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9FE19" w14:textId="3B634B9D" w:rsidR="000A0079" w:rsidRDefault="000A0079" w:rsidP="00930B4E">
      <w:pPr>
        <w:tabs>
          <w:tab w:val="left" w:pos="720"/>
        </w:tabs>
        <w:spacing w:after="0" w:line="276" w:lineRule="auto"/>
        <w:jc w:val="right"/>
        <w:rPr>
          <w:rFonts w:asciiTheme="majorHAnsi" w:eastAsia="Times New Roman" w:hAnsiTheme="majorHAnsi" w:cstheme="majorHAnsi"/>
          <w:bCs/>
          <w:sz w:val="28"/>
          <w:szCs w:val="28"/>
          <w:lang w:val="ro-MD"/>
        </w:rPr>
      </w:pPr>
      <w:bookmarkStart w:id="0" w:name="_Toc468866344"/>
      <w:bookmarkStart w:id="1" w:name="_GoBack"/>
      <w:bookmarkEnd w:id="1"/>
    </w:p>
    <w:p w14:paraId="64F50F77" w14:textId="45600985" w:rsidR="0062046C" w:rsidRPr="00E33BAB" w:rsidRDefault="0062046C" w:rsidP="00930B4E">
      <w:pPr>
        <w:tabs>
          <w:tab w:val="left" w:pos="720"/>
        </w:tabs>
        <w:spacing w:after="0" w:line="276" w:lineRule="auto"/>
        <w:jc w:val="right"/>
        <w:rPr>
          <w:rFonts w:asciiTheme="majorHAnsi" w:eastAsia="Times New Roman" w:hAnsiTheme="majorHAnsi" w:cstheme="majorHAnsi"/>
          <w:bCs/>
          <w:sz w:val="28"/>
          <w:szCs w:val="28"/>
          <w:lang w:val="ro-MD"/>
        </w:rPr>
      </w:pPr>
      <w:r w:rsidRPr="00E33BAB">
        <w:rPr>
          <w:rFonts w:asciiTheme="majorHAnsi" w:eastAsia="Times New Roman" w:hAnsiTheme="majorHAnsi" w:cstheme="majorHAnsi"/>
          <w:bCs/>
          <w:sz w:val="28"/>
          <w:szCs w:val="28"/>
          <w:lang w:val="ro-MD"/>
        </w:rPr>
        <w:t xml:space="preserve">Anexă </w:t>
      </w:r>
    </w:p>
    <w:p w14:paraId="285F279E" w14:textId="77777777" w:rsidR="0062046C" w:rsidRPr="00E33BAB" w:rsidRDefault="0062046C" w:rsidP="00930B4E">
      <w:pPr>
        <w:tabs>
          <w:tab w:val="left" w:pos="720"/>
        </w:tabs>
        <w:spacing w:after="0" w:line="276" w:lineRule="auto"/>
        <w:jc w:val="right"/>
        <w:rPr>
          <w:rFonts w:asciiTheme="majorHAnsi" w:eastAsia="Times New Roman" w:hAnsiTheme="majorHAnsi" w:cstheme="majorHAnsi"/>
          <w:bCs/>
          <w:sz w:val="28"/>
          <w:szCs w:val="28"/>
          <w:lang w:val="ro-MD"/>
        </w:rPr>
      </w:pPr>
      <w:r w:rsidRPr="00E33BAB">
        <w:rPr>
          <w:rFonts w:asciiTheme="majorHAnsi" w:eastAsia="Times New Roman" w:hAnsiTheme="majorHAnsi" w:cstheme="majorHAnsi"/>
          <w:bCs/>
          <w:sz w:val="28"/>
          <w:szCs w:val="28"/>
          <w:lang w:val="ro-MD"/>
        </w:rPr>
        <w:t xml:space="preserve">la Hotărârea Curții de Conturi </w:t>
      </w:r>
    </w:p>
    <w:p w14:paraId="657F94A4" w14:textId="47BFD085" w:rsidR="0062046C" w:rsidRPr="00E33BAB" w:rsidRDefault="0062046C" w:rsidP="00930B4E">
      <w:pPr>
        <w:tabs>
          <w:tab w:val="left" w:pos="720"/>
        </w:tabs>
        <w:spacing w:after="0" w:line="276" w:lineRule="auto"/>
        <w:jc w:val="right"/>
        <w:rPr>
          <w:rFonts w:asciiTheme="majorHAnsi" w:eastAsia="Times New Roman" w:hAnsiTheme="majorHAnsi" w:cstheme="majorHAnsi"/>
          <w:bCs/>
          <w:color w:val="1F4E79" w:themeColor="accent1" w:themeShade="80"/>
          <w:sz w:val="28"/>
          <w:szCs w:val="28"/>
          <w:lang w:val="ro-MD"/>
        </w:rPr>
      </w:pPr>
      <w:r w:rsidRPr="00E33BAB">
        <w:rPr>
          <w:rFonts w:asciiTheme="majorHAnsi" w:eastAsia="Times New Roman" w:hAnsiTheme="majorHAnsi" w:cstheme="majorHAnsi"/>
          <w:bCs/>
          <w:sz w:val="28"/>
          <w:szCs w:val="28"/>
          <w:lang w:val="ro-MD"/>
        </w:rPr>
        <w:t xml:space="preserve"> nr</w:t>
      </w:r>
      <w:r w:rsidR="00A00076">
        <w:rPr>
          <w:rFonts w:asciiTheme="majorHAnsi" w:eastAsia="Times New Roman" w:hAnsiTheme="majorHAnsi" w:cstheme="majorHAnsi"/>
          <w:bCs/>
          <w:sz w:val="28"/>
          <w:szCs w:val="28"/>
          <w:lang w:val="ro-MD"/>
        </w:rPr>
        <w:t>. 44</w:t>
      </w:r>
      <w:r w:rsidR="00C752AB" w:rsidRPr="00E33BAB">
        <w:rPr>
          <w:rFonts w:asciiTheme="majorHAnsi" w:eastAsia="Times New Roman" w:hAnsiTheme="majorHAnsi" w:cstheme="majorHAnsi"/>
          <w:bCs/>
          <w:sz w:val="28"/>
          <w:szCs w:val="28"/>
          <w:lang w:val="ro-MD"/>
        </w:rPr>
        <w:t xml:space="preserve"> </w:t>
      </w:r>
      <w:r w:rsidRPr="00E33BAB">
        <w:rPr>
          <w:rFonts w:asciiTheme="majorHAnsi" w:eastAsia="Times New Roman" w:hAnsiTheme="majorHAnsi" w:cstheme="majorHAnsi"/>
          <w:bCs/>
          <w:sz w:val="28"/>
          <w:szCs w:val="28"/>
          <w:lang w:val="ro-MD"/>
        </w:rPr>
        <w:t>din</w:t>
      </w:r>
      <w:r w:rsidR="00926A0E" w:rsidRPr="00E33BAB">
        <w:rPr>
          <w:rFonts w:asciiTheme="majorHAnsi" w:eastAsia="Times New Roman" w:hAnsiTheme="majorHAnsi" w:cstheme="majorHAnsi"/>
          <w:bCs/>
          <w:sz w:val="28"/>
          <w:szCs w:val="28"/>
          <w:lang w:val="ro-MD"/>
        </w:rPr>
        <w:t xml:space="preserve"> </w:t>
      </w:r>
      <w:r w:rsidR="00711158" w:rsidRPr="00E33BAB">
        <w:rPr>
          <w:rFonts w:asciiTheme="majorHAnsi" w:eastAsia="Times New Roman" w:hAnsiTheme="majorHAnsi" w:cstheme="majorHAnsi"/>
          <w:bCs/>
          <w:sz w:val="28"/>
          <w:szCs w:val="28"/>
          <w:lang w:val="ro-MD"/>
        </w:rPr>
        <w:t>28</w:t>
      </w:r>
      <w:r w:rsidR="00154CAB" w:rsidRPr="00E33BAB">
        <w:rPr>
          <w:rFonts w:asciiTheme="majorHAnsi" w:eastAsia="Times New Roman" w:hAnsiTheme="majorHAnsi" w:cstheme="majorHAnsi"/>
          <w:bCs/>
          <w:sz w:val="28"/>
          <w:szCs w:val="28"/>
          <w:lang w:val="ro-MD"/>
        </w:rPr>
        <w:t xml:space="preserve"> </w:t>
      </w:r>
      <w:r w:rsidR="00711158" w:rsidRPr="00E33BAB">
        <w:rPr>
          <w:rFonts w:asciiTheme="majorHAnsi" w:eastAsia="Times New Roman" w:hAnsiTheme="majorHAnsi" w:cstheme="majorHAnsi"/>
          <w:bCs/>
          <w:sz w:val="28"/>
          <w:szCs w:val="28"/>
          <w:lang w:val="ro-MD"/>
        </w:rPr>
        <w:t>iulie</w:t>
      </w:r>
      <w:r w:rsidR="005513A1" w:rsidRPr="00E33BAB">
        <w:rPr>
          <w:rFonts w:asciiTheme="majorHAnsi" w:eastAsia="Times New Roman" w:hAnsiTheme="majorHAnsi" w:cstheme="majorHAnsi"/>
          <w:bCs/>
          <w:sz w:val="28"/>
          <w:szCs w:val="28"/>
          <w:lang w:val="ro-MD"/>
        </w:rPr>
        <w:t xml:space="preserve"> </w:t>
      </w:r>
      <w:r w:rsidRPr="00E33BAB">
        <w:rPr>
          <w:rFonts w:asciiTheme="majorHAnsi" w:eastAsia="Times New Roman" w:hAnsiTheme="majorHAnsi" w:cstheme="majorHAnsi"/>
          <w:bCs/>
          <w:sz w:val="28"/>
          <w:szCs w:val="28"/>
          <w:lang w:val="ro-MD"/>
        </w:rPr>
        <w:t>20</w:t>
      </w:r>
      <w:r w:rsidR="00C3668A" w:rsidRPr="00E33BAB">
        <w:rPr>
          <w:rFonts w:asciiTheme="majorHAnsi" w:eastAsia="Times New Roman" w:hAnsiTheme="majorHAnsi" w:cstheme="majorHAnsi"/>
          <w:bCs/>
          <w:sz w:val="28"/>
          <w:szCs w:val="28"/>
          <w:lang w:val="ro-MD"/>
        </w:rPr>
        <w:t>2</w:t>
      </w:r>
      <w:r w:rsidR="00154CAB" w:rsidRPr="00E33BAB">
        <w:rPr>
          <w:rFonts w:asciiTheme="majorHAnsi" w:eastAsia="Times New Roman" w:hAnsiTheme="majorHAnsi" w:cstheme="majorHAnsi"/>
          <w:bCs/>
          <w:sz w:val="28"/>
          <w:szCs w:val="28"/>
          <w:lang w:val="ro-MD"/>
        </w:rPr>
        <w:t>1</w:t>
      </w:r>
    </w:p>
    <w:p w14:paraId="6A7632EA" w14:textId="77777777" w:rsidR="0062046C" w:rsidRPr="00E33BAB" w:rsidRDefault="0062046C" w:rsidP="00633617">
      <w:pPr>
        <w:tabs>
          <w:tab w:val="left" w:pos="7200"/>
        </w:tabs>
        <w:spacing w:after="0" w:line="276" w:lineRule="auto"/>
        <w:rPr>
          <w:rFonts w:asciiTheme="majorHAnsi" w:hAnsiTheme="majorHAnsi" w:cstheme="majorHAnsi"/>
          <w:lang w:val="ro-MD"/>
        </w:rPr>
      </w:pPr>
    </w:p>
    <w:p w14:paraId="538C24F5" w14:textId="77777777" w:rsidR="0062046C" w:rsidRPr="00E33BAB" w:rsidRDefault="0062046C" w:rsidP="00930B4E">
      <w:pPr>
        <w:spacing w:after="0" w:line="276" w:lineRule="auto"/>
        <w:rPr>
          <w:rFonts w:asciiTheme="majorHAnsi" w:hAnsiTheme="majorHAnsi" w:cstheme="majorHAnsi"/>
          <w:lang w:val="ro-MD"/>
        </w:rPr>
      </w:pPr>
    </w:p>
    <w:p w14:paraId="42729EB3" w14:textId="77777777" w:rsidR="0062046C" w:rsidRPr="00E33BAB" w:rsidRDefault="0062046C" w:rsidP="00930B4E">
      <w:pPr>
        <w:spacing w:after="0" w:line="276" w:lineRule="auto"/>
        <w:rPr>
          <w:rFonts w:asciiTheme="majorHAnsi" w:hAnsiTheme="majorHAnsi" w:cstheme="majorHAnsi"/>
          <w:lang w:val="ro-MD"/>
        </w:rPr>
      </w:pPr>
    </w:p>
    <w:p w14:paraId="423F0EBF" w14:textId="77777777" w:rsidR="0062046C" w:rsidRPr="00E33BAB" w:rsidRDefault="0062046C" w:rsidP="00930B4E">
      <w:pPr>
        <w:spacing w:after="0" w:line="276" w:lineRule="auto"/>
        <w:jc w:val="center"/>
        <w:rPr>
          <w:rFonts w:asciiTheme="majorHAnsi" w:hAnsiTheme="majorHAnsi" w:cstheme="majorHAnsi"/>
          <w:b/>
          <w:sz w:val="28"/>
          <w:szCs w:val="28"/>
          <w:lang w:val="ro-MD"/>
        </w:rPr>
      </w:pPr>
    </w:p>
    <w:p w14:paraId="4E968058" w14:textId="65BEE3D9" w:rsidR="00041921" w:rsidRPr="00E33BAB" w:rsidRDefault="0062046C" w:rsidP="00041921">
      <w:pPr>
        <w:spacing w:after="0" w:line="276" w:lineRule="auto"/>
        <w:jc w:val="center"/>
        <w:rPr>
          <w:rFonts w:asciiTheme="majorHAnsi" w:hAnsiTheme="majorHAnsi" w:cstheme="majorHAnsi"/>
          <w:b/>
          <w:sz w:val="28"/>
          <w:szCs w:val="28"/>
          <w:lang w:val="ro-MD"/>
        </w:rPr>
      </w:pPr>
      <w:r w:rsidRPr="00E33BAB">
        <w:rPr>
          <w:rFonts w:asciiTheme="majorHAnsi" w:hAnsiTheme="majorHAnsi" w:cstheme="majorHAnsi"/>
          <w:b/>
          <w:noProof/>
          <w:sz w:val="28"/>
          <w:szCs w:val="28"/>
        </w:rPr>
        <w:drawing>
          <wp:inline distT="0" distB="0" distL="0" distR="0" wp14:anchorId="08B6C5EB" wp14:editId="66D36DAF">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14:paraId="7EC68A41" w14:textId="77777777" w:rsidR="00041921" w:rsidRPr="00E33BAB" w:rsidRDefault="00041921" w:rsidP="00041921">
      <w:pPr>
        <w:spacing w:after="0" w:line="276" w:lineRule="auto"/>
        <w:rPr>
          <w:rFonts w:asciiTheme="majorHAnsi" w:hAnsiTheme="majorHAnsi" w:cstheme="majorHAnsi"/>
          <w:i/>
          <w:sz w:val="24"/>
          <w:szCs w:val="24"/>
          <w:lang w:val="ro-MD"/>
        </w:rPr>
      </w:pPr>
    </w:p>
    <w:p w14:paraId="21B2DB19" w14:textId="77777777" w:rsidR="00041921" w:rsidRPr="00E33BAB" w:rsidRDefault="00041921" w:rsidP="00041921">
      <w:pPr>
        <w:spacing w:after="0" w:line="276" w:lineRule="auto"/>
        <w:rPr>
          <w:rFonts w:asciiTheme="majorHAnsi" w:hAnsiTheme="majorHAnsi" w:cstheme="majorHAnsi"/>
          <w:i/>
          <w:sz w:val="24"/>
          <w:szCs w:val="24"/>
          <w:lang w:val="ro-MD"/>
        </w:rPr>
      </w:pPr>
    </w:p>
    <w:p w14:paraId="74751F14" w14:textId="77777777" w:rsidR="00041921" w:rsidRPr="00E33BAB" w:rsidRDefault="00041921" w:rsidP="00041921">
      <w:pPr>
        <w:spacing w:after="0" w:line="276" w:lineRule="auto"/>
        <w:rPr>
          <w:rFonts w:asciiTheme="majorHAnsi" w:hAnsiTheme="majorHAnsi" w:cstheme="majorHAnsi"/>
          <w:i/>
          <w:sz w:val="24"/>
          <w:szCs w:val="24"/>
          <w:lang w:val="ro-MD"/>
        </w:rPr>
      </w:pPr>
    </w:p>
    <w:p w14:paraId="4C362E63" w14:textId="77777777" w:rsidR="00041921" w:rsidRPr="00E33BAB" w:rsidRDefault="00041921" w:rsidP="00041921">
      <w:pPr>
        <w:spacing w:after="0" w:line="276" w:lineRule="auto"/>
        <w:rPr>
          <w:rFonts w:asciiTheme="majorHAnsi" w:hAnsiTheme="majorHAnsi" w:cstheme="majorHAnsi"/>
          <w:b/>
          <w:sz w:val="24"/>
          <w:szCs w:val="24"/>
          <w:lang w:val="ro-MD"/>
        </w:rPr>
      </w:pPr>
    </w:p>
    <w:p w14:paraId="559E6A00" w14:textId="77777777" w:rsidR="00041921" w:rsidRPr="00E33BAB" w:rsidRDefault="00041921" w:rsidP="00041921">
      <w:pPr>
        <w:spacing w:after="0" w:line="276" w:lineRule="auto"/>
        <w:jc w:val="center"/>
        <w:rPr>
          <w:rFonts w:asciiTheme="majorHAnsi" w:hAnsiTheme="majorHAnsi" w:cstheme="majorHAnsi"/>
          <w:b/>
          <w:sz w:val="28"/>
          <w:szCs w:val="28"/>
          <w:lang w:val="ro-MD"/>
        </w:rPr>
      </w:pPr>
      <w:r w:rsidRPr="00E33BAB">
        <w:rPr>
          <w:rFonts w:asciiTheme="majorHAnsi" w:hAnsiTheme="majorHAnsi" w:cstheme="majorHAnsi"/>
          <w:b/>
          <w:sz w:val="28"/>
          <w:szCs w:val="28"/>
          <w:lang w:val="ro-MD"/>
        </w:rPr>
        <w:t>CURTEA DE CONTURI A REPUBLICII MOLDOVA</w:t>
      </w:r>
    </w:p>
    <w:p w14:paraId="39555A44" w14:textId="089686E5" w:rsidR="00041921" w:rsidRPr="00E33BAB" w:rsidRDefault="00041921" w:rsidP="00041921">
      <w:pPr>
        <w:spacing w:after="0" w:line="276" w:lineRule="auto"/>
        <w:rPr>
          <w:rFonts w:asciiTheme="majorHAnsi" w:hAnsiTheme="majorHAnsi" w:cstheme="majorHAnsi"/>
          <w:sz w:val="24"/>
          <w:szCs w:val="24"/>
          <w:lang w:val="ro-MD"/>
        </w:rPr>
      </w:pPr>
    </w:p>
    <w:p w14:paraId="11C1AD47" w14:textId="77777777" w:rsidR="00B95640" w:rsidRPr="00E33BAB" w:rsidRDefault="00B95640" w:rsidP="00041921">
      <w:pPr>
        <w:spacing w:after="0" w:line="276" w:lineRule="auto"/>
        <w:rPr>
          <w:rFonts w:asciiTheme="majorHAnsi" w:hAnsiTheme="majorHAnsi" w:cstheme="majorHAnsi"/>
          <w:sz w:val="24"/>
          <w:szCs w:val="24"/>
          <w:lang w:val="ro-MD"/>
        </w:rPr>
      </w:pPr>
    </w:p>
    <w:tbl>
      <w:tblPr>
        <w:tblW w:w="9350" w:type="dxa"/>
        <w:jc w:val="center"/>
        <w:tblBorders>
          <w:top w:val="thinThickSmallGap" w:sz="12" w:space="0" w:color="00000A"/>
          <w:bottom w:val="thickThinSmallGap" w:sz="12" w:space="0" w:color="00000A"/>
          <w:insideH w:val="thickThinSmallGap" w:sz="12" w:space="0" w:color="00000A"/>
        </w:tblBorders>
        <w:tblLook w:val="04A0" w:firstRow="1" w:lastRow="0" w:firstColumn="1" w:lastColumn="0" w:noHBand="0" w:noVBand="1"/>
      </w:tblPr>
      <w:tblGrid>
        <w:gridCol w:w="9350"/>
      </w:tblGrid>
      <w:tr w:rsidR="00041921" w:rsidRPr="00E33BAB" w14:paraId="258A6A8B" w14:textId="77777777" w:rsidTr="001C340C">
        <w:trPr>
          <w:trHeight w:val="396"/>
          <w:jc w:val="center"/>
        </w:trPr>
        <w:tc>
          <w:tcPr>
            <w:tcW w:w="9350" w:type="dxa"/>
            <w:tcBorders>
              <w:top w:val="thinThickSmallGap" w:sz="12" w:space="0" w:color="00000A"/>
              <w:bottom w:val="thickThinSmallGap" w:sz="12" w:space="0" w:color="00000A"/>
            </w:tcBorders>
            <w:shd w:val="clear" w:color="auto" w:fill="auto"/>
          </w:tcPr>
          <w:p w14:paraId="1A74BB7F" w14:textId="77777777" w:rsidR="00041921" w:rsidRPr="00E33BAB" w:rsidRDefault="00041921" w:rsidP="001C340C">
            <w:pPr>
              <w:spacing w:after="0" w:line="276" w:lineRule="auto"/>
              <w:rPr>
                <w:rFonts w:asciiTheme="majorHAnsi" w:hAnsiTheme="majorHAnsi" w:cstheme="majorHAnsi"/>
                <w:sz w:val="24"/>
                <w:szCs w:val="24"/>
                <w:lang w:val="ro-MD"/>
              </w:rPr>
            </w:pPr>
            <w:r w:rsidRPr="00E33BAB">
              <w:rPr>
                <w:rFonts w:asciiTheme="majorHAnsi" w:hAnsiTheme="majorHAnsi" w:cstheme="majorHAnsi"/>
                <w:sz w:val="24"/>
                <w:szCs w:val="24"/>
                <w:lang w:val="ro-MD"/>
              </w:rPr>
              <w:t xml:space="preserve">MD-2001, mun. Chișinău, bd. Ștefan cel Mare și Sfânt,69, tel.: (+373) 22 26 60 02, </w:t>
            </w:r>
          </w:p>
          <w:p w14:paraId="0B49B3FB" w14:textId="77777777" w:rsidR="00041921" w:rsidRPr="00E33BAB" w:rsidRDefault="00041921" w:rsidP="001C340C">
            <w:pPr>
              <w:spacing w:after="0" w:line="276" w:lineRule="auto"/>
              <w:rPr>
                <w:rFonts w:asciiTheme="majorHAnsi" w:hAnsiTheme="majorHAnsi" w:cstheme="majorHAnsi"/>
                <w:b/>
                <w:lang w:val="ro-MD"/>
              </w:rPr>
            </w:pPr>
            <w:r w:rsidRPr="00E33BAB">
              <w:rPr>
                <w:rFonts w:asciiTheme="majorHAnsi" w:hAnsiTheme="majorHAnsi" w:cstheme="majorHAnsi"/>
                <w:sz w:val="24"/>
                <w:szCs w:val="24"/>
                <w:lang w:val="ro-MD"/>
              </w:rPr>
              <w:t xml:space="preserve">fax: (+373) 22 26 61 00, </w:t>
            </w:r>
            <w:hyperlink r:id="rId9">
              <w:r w:rsidRPr="00E33BAB">
                <w:rPr>
                  <w:rStyle w:val="LegturInternet"/>
                  <w:rFonts w:cstheme="majorHAnsi"/>
                  <w:sz w:val="24"/>
                  <w:szCs w:val="24"/>
                  <w:lang w:val="ro-MD"/>
                </w:rPr>
                <w:t>www.ccrm.md</w:t>
              </w:r>
            </w:hyperlink>
            <w:r w:rsidRPr="00E33BAB">
              <w:rPr>
                <w:rFonts w:asciiTheme="majorHAnsi" w:hAnsiTheme="majorHAnsi" w:cstheme="majorHAnsi"/>
                <w:sz w:val="24"/>
                <w:szCs w:val="24"/>
                <w:u w:val="single"/>
                <w:lang w:val="ro-MD"/>
              </w:rPr>
              <w:t>;</w:t>
            </w:r>
            <w:r w:rsidRPr="00E33BAB">
              <w:rPr>
                <w:rFonts w:asciiTheme="majorHAnsi" w:hAnsiTheme="majorHAnsi" w:cstheme="majorHAnsi"/>
                <w:sz w:val="24"/>
                <w:szCs w:val="24"/>
                <w:lang w:val="ro-MD"/>
              </w:rPr>
              <w:t xml:space="preserve"> e-mail: </w:t>
            </w:r>
            <w:hyperlink r:id="rId10">
              <w:r w:rsidRPr="00E33BAB">
                <w:rPr>
                  <w:rStyle w:val="LegturInternet"/>
                  <w:rFonts w:cstheme="majorHAnsi"/>
                  <w:sz w:val="24"/>
                  <w:szCs w:val="24"/>
                  <w:lang w:val="ro-MD"/>
                </w:rPr>
                <w:t>ccrm@ccrm.md</w:t>
              </w:r>
            </w:hyperlink>
            <w:r w:rsidRPr="00E33BAB">
              <w:rPr>
                <w:rStyle w:val="LegturInternet"/>
                <w:rFonts w:cstheme="majorHAnsi"/>
                <w:sz w:val="24"/>
                <w:szCs w:val="24"/>
                <w:lang w:val="ro-MD"/>
              </w:rPr>
              <w:t xml:space="preserve"> </w:t>
            </w:r>
          </w:p>
        </w:tc>
      </w:tr>
    </w:tbl>
    <w:p w14:paraId="1950C66F" w14:textId="7A35C1C7" w:rsidR="0062046C" w:rsidRPr="00E33BAB" w:rsidRDefault="00041921" w:rsidP="00041921">
      <w:pPr>
        <w:spacing w:after="0" w:line="276" w:lineRule="auto"/>
        <w:rPr>
          <w:rFonts w:asciiTheme="majorHAnsi" w:eastAsia="Times New Roman" w:hAnsiTheme="majorHAnsi" w:cstheme="majorHAnsi"/>
          <w:sz w:val="24"/>
          <w:szCs w:val="24"/>
          <w:lang w:val="ro-MD"/>
        </w:rPr>
      </w:pPr>
      <w:r w:rsidRPr="00E33BAB">
        <w:rPr>
          <w:rFonts w:asciiTheme="majorHAnsi" w:eastAsia="Times New Roman" w:hAnsiTheme="majorHAnsi" w:cstheme="majorHAnsi"/>
          <w:sz w:val="24"/>
          <w:szCs w:val="24"/>
          <w:lang w:val="ro-MD"/>
        </w:rPr>
        <w:br/>
      </w:r>
    </w:p>
    <w:p w14:paraId="4AD96272" w14:textId="77777777" w:rsidR="0062046C" w:rsidRPr="00E33BAB" w:rsidRDefault="0062046C" w:rsidP="00930B4E">
      <w:pPr>
        <w:tabs>
          <w:tab w:val="left" w:pos="720"/>
        </w:tabs>
        <w:spacing w:after="0" w:line="276" w:lineRule="auto"/>
        <w:jc w:val="center"/>
        <w:rPr>
          <w:rFonts w:asciiTheme="majorHAnsi" w:eastAsia="Times New Roman" w:hAnsiTheme="majorHAnsi" w:cstheme="majorHAnsi"/>
          <w:b/>
          <w:bCs/>
          <w:sz w:val="28"/>
          <w:szCs w:val="28"/>
          <w:lang w:val="ro-MD"/>
        </w:rPr>
      </w:pPr>
      <w:r w:rsidRPr="00E33BAB">
        <w:rPr>
          <w:rFonts w:asciiTheme="majorHAnsi" w:eastAsia="Times New Roman" w:hAnsiTheme="majorHAnsi" w:cstheme="majorHAnsi"/>
          <w:b/>
          <w:bCs/>
          <w:sz w:val="28"/>
          <w:szCs w:val="28"/>
          <w:lang w:val="ro-MD"/>
        </w:rPr>
        <w:t>RAPORTUL</w:t>
      </w:r>
    </w:p>
    <w:p w14:paraId="4AF19342" w14:textId="3879DEB2" w:rsidR="0095700C" w:rsidRPr="00E33BAB" w:rsidRDefault="00382F0D" w:rsidP="00FE7E19">
      <w:pPr>
        <w:tabs>
          <w:tab w:val="left" w:pos="720"/>
        </w:tabs>
        <w:spacing w:after="0" w:line="240" w:lineRule="auto"/>
        <w:jc w:val="center"/>
        <w:rPr>
          <w:rFonts w:asciiTheme="majorHAnsi" w:eastAsia="Times New Roman" w:hAnsiTheme="majorHAnsi" w:cstheme="majorHAnsi"/>
          <w:b/>
          <w:bCs/>
          <w:sz w:val="28"/>
          <w:szCs w:val="24"/>
          <w:lang w:val="ro-MD"/>
        </w:rPr>
      </w:pPr>
      <w:r w:rsidRPr="00E33BAB">
        <w:rPr>
          <w:rFonts w:asciiTheme="majorHAnsi" w:eastAsia="Times New Roman" w:hAnsiTheme="majorHAnsi" w:cstheme="majorHAnsi"/>
          <w:b/>
          <w:bCs/>
          <w:sz w:val="28"/>
          <w:szCs w:val="24"/>
          <w:lang w:val="ro-MD"/>
        </w:rPr>
        <w:t xml:space="preserve">auditului situațiilor financiare ale </w:t>
      </w:r>
      <w:r w:rsidR="006959C5" w:rsidRPr="00E33BAB">
        <w:rPr>
          <w:rFonts w:asciiTheme="majorHAnsi" w:eastAsia="Times New Roman" w:hAnsiTheme="majorHAnsi" w:cstheme="majorHAnsi"/>
          <w:b/>
          <w:bCs/>
          <w:sz w:val="28"/>
          <w:szCs w:val="24"/>
          <w:lang w:val="ro-MD"/>
        </w:rPr>
        <w:t>O</w:t>
      </w:r>
      <w:r w:rsidR="00287790" w:rsidRPr="00E33BAB">
        <w:rPr>
          <w:rFonts w:asciiTheme="majorHAnsi" w:eastAsia="Times New Roman" w:hAnsiTheme="majorHAnsi" w:cstheme="majorHAnsi"/>
          <w:b/>
          <w:bCs/>
          <w:sz w:val="28"/>
          <w:szCs w:val="24"/>
          <w:lang w:val="ro-MD"/>
        </w:rPr>
        <w:t>perațiunii</w:t>
      </w:r>
    </w:p>
    <w:p w14:paraId="5A2F167B" w14:textId="53B12E12" w:rsidR="00FE7E19" w:rsidRPr="00E33BAB" w:rsidRDefault="000170A9" w:rsidP="00FE7E19">
      <w:pPr>
        <w:tabs>
          <w:tab w:val="left" w:pos="720"/>
        </w:tabs>
        <w:spacing w:after="0" w:line="240" w:lineRule="auto"/>
        <w:jc w:val="center"/>
        <w:rPr>
          <w:rFonts w:asciiTheme="majorHAnsi" w:eastAsia="Times New Roman" w:hAnsiTheme="majorHAnsi" w:cstheme="majorHAnsi"/>
          <w:b/>
          <w:bCs/>
          <w:sz w:val="28"/>
          <w:szCs w:val="24"/>
          <w:lang w:val="ro-MD"/>
        </w:rPr>
      </w:pPr>
      <w:r w:rsidRPr="00E33BAB">
        <w:rPr>
          <w:rFonts w:asciiTheme="majorHAnsi" w:eastAsia="Times New Roman" w:hAnsiTheme="majorHAnsi" w:cstheme="majorHAnsi"/>
          <w:b/>
          <w:bCs/>
          <w:sz w:val="28"/>
          <w:szCs w:val="24"/>
          <w:lang w:val="ro-MD"/>
        </w:rPr>
        <w:t xml:space="preserve"> </w:t>
      </w:r>
      <w:r w:rsidR="006959C5" w:rsidRPr="00E33BAB">
        <w:rPr>
          <w:rFonts w:asciiTheme="majorHAnsi" w:eastAsia="Times New Roman" w:hAnsiTheme="majorHAnsi" w:cstheme="majorHAnsi"/>
          <w:b/>
          <w:bCs/>
          <w:sz w:val="28"/>
          <w:szCs w:val="24"/>
          <w:lang w:val="ro-MD"/>
        </w:rPr>
        <w:t>,,</w:t>
      </w:r>
      <w:r w:rsidR="00FE7E19" w:rsidRPr="00E33BAB">
        <w:rPr>
          <w:rFonts w:asciiTheme="majorHAnsi" w:eastAsia="Times New Roman" w:hAnsiTheme="majorHAnsi" w:cstheme="majorHAnsi"/>
          <w:b/>
          <w:bCs/>
          <w:sz w:val="28"/>
          <w:szCs w:val="24"/>
          <w:lang w:val="ro-MD"/>
        </w:rPr>
        <w:t xml:space="preserve">Modernizarea sectorului </w:t>
      </w:r>
      <w:r w:rsidRPr="00E33BAB">
        <w:rPr>
          <w:rFonts w:asciiTheme="majorHAnsi" w:eastAsia="Times New Roman" w:hAnsiTheme="majorHAnsi" w:cstheme="majorHAnsi"/>
          <w:b/>
          <w:bCs/>
          <w:sz w:val="28"/>
          <w:szCs w:val="24"/>
          <w:lang w:val="ro-MD"/>
        </w:rPr>
        <w:t>sănătății în Republica Moldova</w:t>
      </w:r>
      <w:r w:rsidR="006959C5" w:rsidRPr="00E33BAB">
        <w:rPr>
          <w:rFonts w:asciiTheme="majorHAnsi" w:eastAsia="Times New Roman" w:hAnsiTheme="majorHAnsi" w:cstheme="majorHAnsi"/>
          <w:b/>
          <w:bCs/>
          <w:sz w:val="28"/>
          <w:szCs w:val="24"/>
          <w:lang w:val="ro-MD"/>
        </w:rPr>
        <w:t>”</w:t>
      </w:r>
    </w:p>
    <w:p w14:paraId="04012A87" w14:textId="5B7E5701" w:rsidR="0062046C" w:rsidRPr="00E33BAB" w:rsidRDefault="00FE7E19" w:rsidP="00FE7E19">
      <w:pPr>
        <w:tabs>
          <w:tab w:val="left" w:pos="720"/>
        </w:tabs>
        <w:spacing w:after="0" w:line="240" w:lineRule="auto"/>
        <w:jc w:val="center"/>
        <w:rPr>
          <w:rFonts w:asciiTheme="majorHAnsi" w:hAnsiTheme="majorHAnsi" w:cstheme="majorHAnsi"/>
          <w:lang w:val="ro-MD"/>
        </w:rPr>
      </w:pPr>
      <w:r w:rsidRPr="00E33BAB">
        <w:rPr>
          <w:rFonts w:asciiTheme="majorHAnsi" w:eastAsia="Times New Roman" w:hAnsiTheme="majorHAnsi" w:cstheme="majorHAnsi"/>
          <w:b/>
          <w:bCs/>
          <w:sz w:val="28"/>
          <w:szCs w:val="24"/>
          <w:lang w:val="ro-MD"/>
        </w:rPr>
        <w:t>încheiate la 31 decembrie 2020</w:t>
      </w:r>
    </w:p>
    <w:p w14:paraId="3BC93670" w14:textId="53DADA9C" w:rsidR="00395584" w:rsidRPr="00E33BAB" w:rsidRDefault="00395584" w:rsidP="00930B4E">
      <w:pPr>
        <w:spacing w:after="0" w:line="276" w:lineRule="auto"/>
        <w:jc w:val="center"/>
        <w:rPr>
          <w:rFonts w:asciiTheme="majorHAnsi" w:hAnsiTheme="majorHAnsi" w:cstheme="majorHAnsi"/>
          <w:lang w:val="ro-MD"/>
        </w:rPr>
      </w:pPr>
      <w:r w:rsidRPr="00E33BAB">
        <w:rPr>
          <w:rFonts w:asciiTheme="majorHAnsi" w:hAnsiTheme="majorHAnsi" w:cstheme="majorHAnsi"/>
          <w:lang w:val="ro-MD"/>
        </w:rPr>
        <w:br w:type="page"/>
      </w:r>
    </w:p>
    <w:p w14:paraId="1F419645" w14:textId="5E0AAE5F" w:rsidR="00395584" w:rsidRPr="00D5496A" w:rsidRDefault="00395584" w:rsidP="00FB2043">
      <w:pPr>
        <w:pStyle w:val="Heading1"/>
        <w:numPr>
          <w:ilvl w:val="0"/>
          <w:numId w:val="0"/>
        </w:numPr>
        <w:ind w:left="5246" w:hanging="1418"/>
        <w:jc w:val="left"/>
        <w:rPr>
          <w:rFonts w:asciiTheme="majorHAnsi" w:eastAsia="Times New Roman" w:hAnsiTheme="majorHAnsi" w:cs="Times New Roman"/>
          <w:bCs/>
          <w:sz w:val="28"/>
          <w:szCs w:val="28"/>
        </w:rPr>
      </w:pPr>
      <w:r w:rsidRPr="00D5496A">
        <w:rPr>
          <w:rFonts w:asciiTheme="majorHAnsi" w:eastAsia="Times New Roman" w:hAnsiTheme="majorHAnsi" w:cs="Times New Roman"/>
          <w:bCs/>
          <w:sz w:val="28"/>
          <w:szCs w:val="28"/>
        </w:rPr>
        <w:lastRenderedPageBreak/>
        <w:t>Lista acronimelor</w:t>
      </w:r>
    </w:p>
    <w:p w14:paraId="5AD06C7E" w14:textId="77777777" w:rsidR="00395584" w:rsidRPr="00E33BAB" w:rsidRDefault="00395584" w:rsidP="00395584">
      <w:pPr>
        <w:tabs>
          <w:tab w:val="left" w:pos="720"/>
        </w:tabs>
        <w:spacing w:after="0" w:line="276" w:lineRule="auto"/>
        <w:jc w:val="center"/>
        <w:rPr>
          <w:rFonts w:asciiTheme="majorHAnsi" w:eastAsia="Times New Roman" w:hAnsiTheme="majorHAnsi" w:cs="Times New Roman"/>
          <w:b/>
          <w:bCs/>
          <w:sz w:val="28"/>
          <w:szCs w:val="28"/>
          <w:lang w:val="ro-MD"/>
        </w:rPr>
      </w:pPr>
    </w:p>
    <w:tbl>
      <w:tblPr>
        <w:tblStyle w:val="GridTable1Light"/>
        <w:tblW w:w="0" w:type="auto"/>
        <w:jc w:val="center"/>
        <w:tblInd w:w="0" w:type="dxa"/>
        <w:tblLook w:val="04A0" w:firstRow="1" w:lastRow="0" w:firstColumn="1" w:lastColumn="0" w:noHBand="0" w:noVBand="1"/>
      </w:tblPr>
      <w:tblGrid>
        <w:gridCol w:w="1555"/>
        <w:gridCol w:w="7229"/>
      </w:tblGrid>
      <w:tr w:rsidR="006345D4" w:rsidRPr="00E33BAB" w14:paraId="6DA52AD0" w14:textId="77777777" w:rsidTr="0071115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Pr>
          <w:p w14:paraId="602FA70C" w14:textId="7BEB7266" w:rsidR="006345D4" w:rsidRPr="00E33BAB" w:rsidRDefault="006345D4" w:rsidP="00FF53DB">
            <w:pPr>
              <w:tabs>
                <w:tab w:val="left" w:pos="720"/>
              </w:tabs>
              <w:spacing w:line="276" w:lineRule="auto"/>
              <w:rPr>
                <w:rFonts w:asciiTheme="majorHAnsi" w:eastAsia="Times New Roman" w:hAnsiTheme="majorHAnsi" w:cstheme="majorHAnsi"/>
                <w:color w:val="000000"/>
                <w:sz w:val="24"/>
                <w:szCs w:val="24"/>
                <w:lang w:val="ro-MD"/>
              </w:rPr>
            </w:pPr>
            <w:r w:rsidRPr="00E33BAB">
              <w:rPr>
                <w:rFonts w:asciiTheme="majorHAnsi" w:eastAsia="Times New Roman" w:hAnsiTheme="majorHAnsi" w:cstheme="majorHAnsi"/>
                <w:color w:val="000000"/>
                <w:sz w:val="24"/>
                <w:szCs w:val="24"/>
                <w:lang w:val="ro-MD"/>
              </w:rPr>
              <w:t>BM</w:t>
            </w:r>
          </w:p>
        </w:tc>
        <w:tc>
          <w:tcPr>
            <w:tcW w:w="7229" w:type="dxa"/>
          </w:tcPr>
          <w:p w14:paraId="1F2871DF" w14:textId="1290AF4A" w:rsidR="006345D4" w:rsidRPr="00E33BAB" w:rsidRDefault="006345D4" w:rsidP="006345D4">
            <w:pPr>
              <w:tabs>
                <w:tab w:val="left" w:pos="720"/>
              </w:tabs>
              <w:spacing w:line="276"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val="ro-MD"/>
              </w:rPr>
            </w:pPr>
            <w:r w:rsidRPr="00E33BAB">
              <w:rPr>
                <w:rFonts w:asciiTheme="majorHAnsi" w:eastAsia="Times New Roman" w:hAnsiTheme="majorHAnsi" w:cstheme="majorHAnsi"/>
                <w:color w:val="000000"/>
                <w:sz w:val="24"/>
                <w:szCs w:val="24"/>
                <w:lang w:val="ro-MD"/>
              </w:rPr>
              <w:t>Banca Mondială</w:t>
            </w:r>
          </w:p>
        </w:tc>
      </w:tr>
      <w:tr w:rsidR="006345D4" w:rsidRPr="00E33BAB" w14:paraId="6087631A" w14:textId="77777777" w:rsidTr="00711158">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059FD3FF" w14:textId="38CA5C42" w:rsidR="006345D4" w:rsidRPr="00E33BAB" w:rsidRDefault="006345D4" w:rsidP="00FF53DB">
            <w:pPr>
              <w:tabs>
                <w:tab w:val="left" w:pos="720"/>
              </w:tabs>
              <w:spacing w:line="276" w:lineRule="auto"/>
              <w:rPr>
                <w:rFonts w:asciiTheme="majorHAnsi" w:eastAsia="Times New Roman" w:hAnsiTheme="majorHAnsi" w:cstheme="majorHAnsi"/>
                <w:color w:val="000000"/>
                <w:sz w:val="24"/>
                <w:szCs w:val="24"/>
                <w:lang w:val="ro-MD"/>
              </w:rPr>
            </w:pPr>
            <w:r w:rsidRPr="00E33BAB">
              <w:rPr>
                <w:rFonts w:asciiTheme="majorHAnsi" w:eastAsia="Times New Roman" w:hAnsiTheme="majorHAnsi" w:cstheme="majorHAnsi"/>
                <w:color w:val="000000"/>
                <w:sz w:val="24"/>
                <w:szCs w:val="24"/>
                <w:lang w:val="ro-MD"/>
              </w:rPr>
              <w:t>CNAM</w:t>
            </w:r>
          </w:p>
        </w:tc>
        <w:tc>
          <w:tcPr>
            <w:tcW w:w="7229" w:type="dxa"/>
          </w:tcPr>
          <w:p w14:paraId="5F948A38" w14:textId="46422D0A" w:rsidR="006345D4" w:rsidRPr="00E33BAB" w:rsidRDefault="006345D4" w:rsidP="006345D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val="ro-MD"/>
              </w:rPr>
            </w:pPr>
            <w:r w:rsidRPr="00E33BAB">
              <w:rPr>
                <w:rFonts w:asciiTheme="majorHAnsi" w:eastAsia="Times New Roman" w:hAnsiTheme="majorHAnsi" w:cstheme="majorHAnsi"/>
                <w:color w:val="000000"/>
                <w:sz w:val="24"/>
                <w:szCs w:val="24"/>
                <w:lang w:val="ro-MD"/>
              </w:rPr>
              <w:t>Compania Națională de Asigurări în Medicină</w:t>
            </w:r>
          </w:p>
        </w:tc>
      </w:tr>
      <w:tr w:rsidR="006345D4" w:rsidRPr="00E33BAB" w14:paraId="191BF890" w14:textId="77777777" w:rsidTr="00711158">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3EBDB48C" w14:textId="3E13E3B9" w:rsidR="006345D4" w:rsidRPr="00E33BAB" w:rsidRDefault="006345D4" w:rsidP="00FF53DB">
            <w:pPr>
              <w:tabs>
                <w:tab w:val="left" w:pos="720"/>
              </w:tabs>
              <w:spacing w:line="276" w:lineRule="auto"/>
              <w:rPr>
                <w:rFonts w:asciiTheme="majorHAnsi" w:eastAsia="Times New Roman" w:hAnsiTheme="majorHAnsi" w:cstheme="majorHAnsi"/>
                <w:color w:val="000000"/>
                <w:sz w:val="24"/>
                <w:szCs w:val="24"/>
                <w:lang w:val="ro-MD"/>
              </w:rPr>
            </w:pPr>
            <w:r w:rsidRPr="00E33BAB">
              <w:rPr>
                <w:rFonts w:asciiTheme="majorHAnsi" w:eastAsia="Times New Roman" w:hAnsiTheme="majorHAnsi" w:cstheme="majorHAnsi"/>
                <w:color w:val="000000"/>
                <w:sz w:val="24"/>
                <w:szCs w:val="24"/>
                <w:lang w:val="ro-MD"/>
              </w:rPr>
              <w:t>DLR</w:t>
            </w:r>
          </w:p>
        </w:tc>
        <w:tc>
          <w:tcPr>
            <w:tcW w:w="7229" w:type="dxa"/>
          </w:tcPr>
          <w:p w14:paraId="0EC43B19" w14:textId="76646B25" w:rsidR="006345D4" w:rsidRPr="00E33BAB" w:rsidRDefault="006345D4" w:rsidP="006345D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val="ro-MD"/>
              </w:rPr>
            </w:pPr>
            <w:r w:rsidRPr="00E33BAB">
              <w:rPr>
                <w:rFonts w:asciiTheme="majorHAnsi" w:eastAsia="Times New Roman" w:hAnsiTheme="majorHAnsi" w:cstheme="majorHAnsi"/>
                <w:color w:val="000000"/>
                <w:sz w:val="24"/>
                <w:szCs w:val="24"/>
                <w:lang w:val="ro-MD"/>
              </w:rPr>
              <w:t>Rezultat conectat la debursare</w:t>
            </w:r>
          </w:p>
        </w:tc>
      </w:tr>
      <w:tr w:rsidR="006345D4" w:rsidRPr="00E33BAB" w14:paraId="34348FBB" w14:textId="77777777" w:rsidTr="00711158">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02D0F296" w14:textId="1629AC03" w:rsidR="006345D4" w:rsidRPr="00E33BAB" w:rsidRDefault="006345D4" w:rsidP="00FF53DB">
            <w:pPr>
              <w:tabs>
                <w:tab w:val="left" w:pos="720"/>
              </w:tabs>
              <w:spacing w:line="276" w:lineRule="auto"/>
              <w:rPr>
                <w:rFonts w:asciiTheme="majorHAnsi" w:eastAsia="Times New Roman" w:hAnsiTheme="majorHAnsi" w:cstheme="majorHAnsi"/>
                <w:sz w:val="24"/>
                <w:szCs w:val="24"/>
                <w:lang w:val="ro-MD"/>
              </w:rPr>
            </w:pPr>
            <w:r w:rsidRPr="00E33BAB">
              <w:rPr>
                <w:rFonts w:asciiTheme="majorHAnsi" w:eastAsia="Times New Roman" w:hAnsiTheme="majorHAnsi" w:cstheme="majorHAnsi"/>
                <w:color w:val="000000"/>
                <w:sz w:val="24"/>
                <w:szCs w:val="24"/>
                <w:lang w:val="ro-MD"/>
              </w:rPr>
              <w:t>DRG</w:t>
            </w:r>
          </w:p>
        </w:tc>
        <w:tc>
          <w:tcPr>
            <w:tcW w:w="7229" w:type="dxa"/>
          </w:tcPr>
          <w:p w14:paraId="24F70982" w14:textId="57B8AF27" w:rsidR="006345D4" w:rsidRPr="00E33BAB" w:rsidRDefault="006345D4" w:rsidP="006345D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E33BAB">
              <w:rPr>
                <w:rFonts w:asciiTheme="majorHAnsi" w:hAnsiTheme="majorHAnsi" w:cstheme="majorHAnsi"/>
                <w:sz w:val="24"/>
                <w:szCs w:val="24"/>
                <w:lang w:val="ro-MD"/>
              </w:rPr>
              <w:t>Grupuri Omogene de Diagnostic</w:t>
            </w:r>
          </w:p>
        </w:tc>
      </w:tr>
      <w:tr w:rsidR="006345D4" w:rsidRPr="00E33BAB" w14:paraId="32E24663" w14:textId="77777777" w:rsidTr="00711158">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5F7AB8B2" w14:textId="5E990CAD" w:rsidR="006345D4" w:rsidRPr="00E33BAB" w:rsidRDefault="006345D4" w:rsidP="00FF53DB">
            <w:pPr>
              <w:tabs>
                <w:tab w:val="left" w:pos="720"/>
              </w:tabs>
              <w:spacing w:line="276" w:lineRule="auto"/>
              <w:rPr>
                <w:rFonts w:asciiTheme="majorHAnsi" w:eastAsia="Times New Roman" w:hAnsiTheme="majorHAnsi" w:cstheme="majorHAnsi"/>
                <w:sz w:val="24"/>
                <w:szCs w:val="24"/>
                <w:lang w:val="ro-MD"/>
              </w:rPr>
            </w:pPr>
            <w:r w:rsidRPr="00E33BAB">
              <w:rPr>
                <w:rFonts w:asciiTheme="majorHAnsi" w:eastAsia="Times New Roman" w:hAnsiTheme="majorHAnsi" w:cstheme="majorHAnsi"/>
                <w:color w:val="000000"/>
                <w:sz w:val="24"/>
                <w:szCs w:val="24"/>
                <w:lang w:val="ro-MD"/>
              </w:rPr>
              <w:t>DST</w:t>
            </w:r>
          </w:p>
        </w:tc>
        <w:tc>
          <w:tcPr>
            <w:tcW w:w="7229" w:type="dxa"/>
          </w:tcPr>
          <w:p w14:paraId="020C749C" w14:textId="30882682" w:rsidR="006345D4" w:rsidRPr="00E33BAB" w:rsidRDefault="006345D4" w:rsidP="006345D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E33BAB">
              <w:rPr>
                <w:rFonts w:asciiTheme="majorHAnsi" w:eastAsia="Times New Roman" w:hAnsiTheme="majorHAnsi" w:cstheme="majorHAnsi"/>
                <w:color w:val="000000"/>
                <w:sz w:val="24"/>
                <w:szCs w:val="24"/>
                <w:lang w:val="ro-MD"/>
              </w:rPr>
              <w:t>Drepturi Speciale de Tragere</w:t>
            </w:r>
          </w:p>
        </w:tc>
      </w:tr>
      <w:tr w:rsidR="006345D4" w:rsidRPr="00E33BAB" w14:paraId="15DE032B" w14:textId="77777777" w:rsidTr="00711158">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2DB302E9" w14:textId="3CB7A7C4" w:rsidR="006345D4" w:rsidRPr="00B65D07" w:rsidRDefault="006345D4" w:rsidP="00FF53DB">
            <w:pPr>
              <w:tabs>
                <w:tab w:val="left" w:pos="720"/>
              </w:tabs>
              <w:spacing w:line="276" w:lineRule="auto"/>
              <w:rPr>
                <w:rFonts w:asciiTheme="majorHAnsi" w:eastAsia="Times New Roman" w:hAnsiTheme="majorHAnsi" w:cstheme="majorHAnsi"/>
                <w:sz w:val="24"/>
                <w:szCs w:val="24"/>
                <w:lang w:val="ro-MD"/>
              </w:rPr>
            </w:pPr>
            <w:r w:rsidRPr="00B65D07">
              <w:rPr>
                <w:rFonts w:asciiTheme="majorHAnsi" w:eastAsia="Times New Roman" w:hAnsiTheme="majorHAnsi" w:cstheme="majorHAnsi"/>
                <w:color w:val="000000"/>
                <w:sz w:val="24"/>
                <w:szCs w:val="24"/>
                <w:lang w:val="ro-MD"/>
              </w:rPr>
              <w:t>IDA</w:t>
            </w:r>
          </w:p>
        </w:tc>
        <w:tc>
          <w:tcPr>
            <w:tcW w:w="7229" w:type="dxa"/>
          </w:tcPr>
          <w:p w14:paraId="47835EF0" w14:textId="6CABEB02" w:rsidR="006345D4" w:rsidRPr="00E33BAB" w:rsidRDefault="006345D4" w:rsidP="006345D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E33BAB">
              <w:rPr>
                <w:rFonts w:asciiTheme="majorHAnsi" w:eastAsia="Times New Roman" w:hAnsiTheme="majorHAnsi" w:cstheme="majorHAnsi"/>
                <w:color w:val="000000"/>
                <w:sz w:val="24"/>
                <w:szCs w:val="24"/>
                <w:lang w:val="ro-MD"/>
              </w:rPr>
              <w:t>Asociația Internațională pentru Dezvoltare</w:t>
            </w:r>
          </w:p>
        </w:tc>
      </w:tr>
      <w:tr w:rsidR="00B65D07" w:rsidRPr="00E33BAB" w14:paraId="0940F5E4" w14:textId="77777777" w:rsidTr="00711158">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6FCBEC22" w14:textId="1A8D75DC" w:rsidR="00B65D07" w:rsidRPr="00B65D07" w:rsidRDefault="00B65D07" w:rsidP="00B65D07">
            <w:pPr>
              <w:tabs>
                <w:tab w:val="left" w:pos="720"/>
              </w:tabs>
              <w:spacing w:line="276" w:lineRule="auto"/>
              <w:rPr>
                <w:rFonts w:asciiTheme="majorHAnsi" w:eastAsia="Times New Roman" w:hAnsiTheme="majorHAnsi" w:cstheme="majorHAnsi"/>
                <w:color w:val="000000"/>
                <w:sz w:val="24"/>
                <w:szCs w:val="24"/>
                <w:lang w:val="ro-MD"/>
              </w:rPr>
            </w:pPr>
            <w:r w:rsidRPr="00B65D07">
              <w:rPr>
                <w:rFonts w:asciiTheme="majorHAnsi" w:eastAsia="Times New Roman" w:hAnsiTheme="majorHAnsi" w:cstheme="majorHAnsi"/>
                <w:color w:val="000000"/>
                <w:sz w:val="24"/>
                <w:szCs w:val="24"/>
                <w:lang w:val="ro-MD"/>
              </w:rPr>
              <w:t xml:space="preserve">ILD </w:t>
            </w:r>
          </w:p>
        </w:tc>
        <w:tc>
          <w:tcPr>
            <w:tcW w:w="7229" w:type="dxa"/>
          </w:tcPr>
          <w:p w14:paraId="7D2ED8D2" w14:textId="4F51385E" w:rsidR="00B65D07" w:rsidRPr="00E33BAB" w:rsidRDefault="00B65D07" w:rsidP="00B65D07">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val="ro-MD"/>
              </w:rPr>
            </w:pPr>
            <w:r w:rsidRPr="003F0D05">
              <w:rPr>
                <w:rFonts w:asciiTheme="majorHAnsi" w:eastAsia="Times New Roman" w:hAnsiTheme="majorHAnsi" w:cstheme="majorHAnsi"/>
                <w:color w:val="000000"/>
                <w:sz w:val="24"/>
                <w:szCs w:val="24"/>
                <w:lang w:val="ro-MD"/>
              </w:rPr>
              <w:t>Indicatori legați de debursări</w:t>
            </w:r>
          </w:p>
        </w:tc>
      </w:tr>
      <w:tr w:rsidR="00B65D07" w:rsidRPr="00E33BAB" w14:paraId="31904796" w14:textId="77777777" w:rsidTr="00711158">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012C4445" w14:textId="5F171EF9" w:rsidR="00B65D07" w:rsidRPr="00B65D07" w:rsidRDefault="00B65D07" w:rsidP="00B65D07">
            <w:pPr>
              <w:tabs>
                <w:tab w:val="left" w:pos="720"/>
              </w:tabs>
              <w:spacing w:line="276" w:lineRule="auto"/>
              <w:rPr>
                <w:rFonts w:asciiTheme="majorHAnsi" w:eastAsia="Times New Roman" w:hAnsiTheme="majorHAnsi" w:cstheme="majorHAnsi"/>
                <w:sz w:val="24"/>
                <w:szCs w:val="24"/>
                <w:lang w:val="ro-MD"/>
              </w:rPr>
            </w:pPr>
            <w:r w:rsidRPr="00B65D07">
              <w:rPr>
                <w:rFonts w:asciiTheme="majorHAnsi" w:eastAsia="Times New Roman" w:hAnsiTheme="majorHAnsi" w:cstheme="majorHAnsi"/>
                <w:color w:val="000000"/>
                <w:sz w:val="24"/>
                <w:szCs w:val="24"/>
                <w:lang w:val="ro-MD"/>
              </w:rPr>
              <w:t>MSMPS</w:t>
            </w:r>
          </w:p>
        </w:tc>
        <w:tc>
          <w:tcPr>
            <w:tcW w:w="7229" w:type="dxa"/>
          </w:tcPr>
          <w:p w14:paraId="1A43AEA9" w14:textId="150C2235" w:rsidR="00B65D07" w:rsidRPr="00E33BAB" w:rsidRDefault="00B65D07" w:rsidP="00B65D07">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E33BAB">
              <w:rPr>
                <w:rFonts w:asciiTheme="majorHAnsi" w:eastAsia="Times New Roman" w:hAnsiTheme="majorHAnsi" w:cstheme="majorHAnsi"/>
                <w:color w:val="000000"/>
                <w:sz w:val="24"/>
                <w:szCs w:val="24"/>
                <w:lang w:val="ro-MD"/>
              </w:rPr>
              <w:t>Ministerul Sănătății, Muncii și Protecției Sociale</w:t>
            </w:r>
          </w:p>
        </w:tc>
      </w:tr>
      <w:tr w:rsidR="00B65D07" w:rsidRPr="00E33BAB" w14:paraId="1432EF2C" w14:textId="77777777" w:rsidTr="00711158">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071721B2" w14:textId="74DCA62B" w:rsidR="00B65D07" w:rsidRPr="00E33BAB" w:rsidRDefault="00B65D07" w:rsidP="00B65D07">
            <w:pPr>
              <w:tabs>
                <w:tab w:val="left" w:pos="720"/>
              </w:tabs>
              <w:spacing w:line="276" w:lineRule="auto"/>
              <w:rPr>
                <w:rFonts w:asciiTheme="majorHAnsi" w:eastAsia="Times New Roman" w:hAnsiTheme="majorHAnsi" w:cstheme="majorHAnsi"/>
                <w:sz w:val="24"/>
                <w:szCs w:val="24"/>
                <w:lang w:val="ro-MD"/>
              </w:rPr>
            </w:pPr>
            <w:r w:rsidRPr="00E33BAB">
              <w:rPr>
                <w:rFonts w:asciiTheme="majorHAnsi" w:eastAsia="Times New Roman" w:hAnsiTheme="majorHAnsi" w:cstheme="majorHAnsi"/>
                <w:color w:val="000000"/>
                <w:sz w:val="24"/>
                <w:szCs w:val="24"/>
                <w:lang w:val="ro-MD"/>
              </w:rPr>
              <w:t>OMS</w:t>
            </w:r>
          </w:p>
        </w:tc>
        <w:tc>
          <w:tcPr>
            <w:tcW w:w="7229" w:type="dxa"/>
          </w:tcPr>
          <w:p w14:paraId="1D745D7B" w14:textId="4FDFB34F" w:rsidR="00B65D07" w:rsidRPr="00E33BAB" w:rsidRDefault="00B65D07" w:rsidP="00B65D07">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E33BAB">
              <w:rPr>
                <w:rFonts w:asciiTheme="majorHAnsi" w:eastAsia="Times New Roman" w:hAnsiTheme="majorHAnsi" w:cstheme="majorHAnsi"/>
                <w:color w:val="000000"/>
                <w:sz w:val="24"/>
                <w:szCs w:val="24"/>
                <w:lang w:val="ro-MD"/>
              </w:rPr>
              <w:t>Organizația Mondială a Sănătății</w:t>
            </w:r>
          </w:p>
        </w:tc>
      </w:tr>
      <w:tr w:rsidR="00B65D07" w:rsidRPr="00E33BAB" w14:paraId="7C1BDC48" w14:textId="77777777" w:rsidTr="00711158">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3AE8DC25" w14:textId="48A21E1F" w:rsidR="00B65D07" w:rsidRPr="00E33BAB" w:rsidRDefault="00B65D07" w:rsidP="00B65D07">
            <w:pPr>
              <w:tabs>
                <w:tab w:val="left" w:pos="720"/>
              </w:tabs>
              <w:spacing w:line="276" w:lineRule="auto"/>
              <w:rPr>
                <w:rFonts w:asciiTheme="majorHAnsi" w:eastAsia="Times New Roman" w:hAnsiTheme="majorHAnsi" w:cstheme="majorHAnsi"/>
                <w:color w:val="000000"/>
                <w:sz w:val="24"/>
                <w:szCs w:val="24"/>
                <w:lang w:val="ro-MD"/>
              </w:rPr>
            </w:pPr>
            <w:r w:rsidRPr="00E33BAB">
              <w:rPr>
                <w:rFonts w:asciiTheme="majorHAnsi" w:eastAsia="Times New Roman" w:hAnsiTheme="majorHAnsi" w:cstheme="majorHAnsi"/>
                <w:sz w:val="24"/>
                <w:szCs w:val="24"/>
                <w:lang w:val="ro-MD"/>
              </w:rPr>
              <w:t>PAD</w:t>
            </w:r>
          </w:p>
        </w:tc>
        <w:tc>
          <w:tcPr>
            <w:tcW w:w="7229" w:type="dxa"/>
          </w:tcPr>
          <w:p w14:paraId="1252588D" w14:textId="35E92F57" w:rsidR="00B65D07" w:rsidRPr="00E33BAB" w:rsidRDefault="00B65D07" w:rsidP="00B65D07">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val="ro-MD"/>
              </w:rPr>
            </w:pPr>
            <w:r w:rsidRPr="00E33BAB">
              <w:rPr>
                <w:rFonts w:asciiTheme="majorHAnsi" w:hAnsiTheme="majorHAnsi" w:cstheme="majorHAnsi"/>
                <w:sz w:val="24"/>
                <w:szCs w:val="24"/>
                <w:lang w:val="ro-MD"/>
              </w:rPr>
              <w:t>Durata de viață a Proiectului</w:t>
            </w:r>
          </w:p>
        </w:tc>
      </w:tr>
      <w:tr w:rsidR="00B65D07" w:rsidRPr="00E33BAB" w14:paraId="32219E40" w14:textId="77777777" w:rsidTr="00711158">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010E1EA7" w14:textId="515A841C" w:rsidR="00B65D07" w:rsidRPr="00E33BAB" w:rsidRDefault="00B65D07" w:rsidP="00B65D07">
            <w:pPr>
              <w:tabs>
                <w:tab w:val="left" w:pos="720"/>
              </w:tabs>
              <w:spacing w:line="276" w:lineRule="auto"/>
              <w:rPr>
                <w:rFonts w:asciiTheme="majorHAnsi" w:eastAsia="Times New Roman" w:hAnsiTheme="majorHAnsi" w:cstheme="majorHAnsi"/>
                <w:sz w:val="24"/>
                <w:szCs w:val="24"/>
                <w:lang w:val="ro-MD"/>
              </w:rPr>
            </w:pPr>
            <w:r w:rsidRPr="00E33BAB">
              <w:rPr>
                <w:rFonts w:asciiTheme="majorHAnsi" w:eastAsia="Times New Roman" w:hAnsiTheme="majorHAnsi" w:cstheme="majorHAnsi"/>
                <w:sz w:val="24"/>
                <w:szCs w:val="24"/>
                <w:lang w:val="ro-MD"/>
              </w:rPr>
              <w:t>Proiect</w:t>
            </w:r>
          </w:p>
        </w:tc>
        <w:tc>
          <w:tcPr>
            <w:tcW w:w="7229" w:type="dxa"/>
          </w:tcPr>
          <w:p w14:paraId="15BA9638" w14:textId="788F4EE7" w:rsidR="00B65D07" w:rsidRPr="00E33BAB" w:rsidRDefault="00B65D07" w:rsidP="00B65D07">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E33BAB">
              <w:rPr>
                <w:rFonts w:asciiTheme="majorHAnsi" w:eastAsia="Times New Roman" w:hAnsiTheme="majorHAnsi" w:cstheme="majorHAnsi"/>
                <w:sz w:val="24"/>
                <w:szCs w:val="24"/>
                <w:lang w:val="ro-MD"/>
              </w:rPr>
              <w:t>Proiectul „Modernizarea sectorului sănătății</w:t>
            </w:r>
            <w:r>
              <w:rPr>
                <w:rFonts w:asciiTheme="majorHAnsi" w:eastAsia="Times New Roman" w:hAnsiTheme="majorHAnsi" w:cstheme="majorHAnsi"/>
                <w:sz w:val="24"/>
                <w:szCs w:val="24"/>
                <w:lang w:val="ro-MD"/>
              </w:rPr>
              <w:t xml:space="preserve"> în Republica Moldova</w:t>
            </w:r>
            <w:r w:rsidRPr="00E33BAB">
              <w:rPr>
                <w:rFonts w:asciiTheme="majorHAnsi" w:eastAsia="Times New Roman" w:hAnsiTheme="majorHAnsi" w:cstheme="majorHAnsi"/>
                <w:sz w:val="24"/>
                <w:szCs w:val="24"/>
                <w:lang w:val="ro-MD"/>
              </w:rPr>
              <w:t>”</w:t>
            </w:r>
          </w:p>
        </w:tc>
      </w:tr>
      <w:tr w:rsidR="00B65D07" w:rsidRPr="00E33BAB" w14:paraId="3438F5BB" w14:textId="77777777" w:rsidTr="00711158">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4EC0D7EA" w14:textId="4C5C9492" w:rsidR="00B65D07" w:rsidRPr="00E33BAB" w:rsidRDefault="00B65D07" w:rsidP="00B65D07">
            <w:pPr>
              <w:tabs>
                <w:tab w:val="left" w:pos="720"/>
              </w:tabs>
              <w:spacing w:line="276" w:lineRule="auto"/>
              <w:rPr>
                <w:rFonts w:asciiTheme="majorHAnsi" w:eastAsia="Times New Roman" w:hAnsiTheme="majorHAnsi" w:cstheme="majorHAnsi"/>
                <w:sz w:val="24"/>
                <w:szCs w:val="24"/>
                <w:lang w:val="ro-MD"/>
              </w:rPr>
            </w:pPr>
            <w:r w:rsidRPr="00E33BAB">
              <w:rPr>
                <w:rFonts w:asciiTheme="majorHAnsi" w:eastAsia="Times New Roman" w:hAnsiTheme="majorHAnsi" w:cstheme="majorHAnsi"/>
                <w:sz w:val="24"/>
                <w:szCs w:val="24"/>
                <w:lang w:val="ro-MD"/>
              </w:rPr>
              <w:t>STEPS</w:t>
            </w:r>
          </w:p>
        </w:tc>
        <w:tc>
          <w:tcPr>
            <w:tcW w:w="7229" w:type="dxa"/>
          </w:tcPr>
          <w:p w14:paraId="5727FD9B" w14:textId="16BC7D88" w:rsidR="00B65D07" w:rsidRPr="00E33BAB" w:rsidRDefault="00B65D07" w:rsidP="00B65D07">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E33BAB">
              <w:rPr>
                <w:rFonts w:asciiTheme="majorHAnsi" w:hAnsiTheme="majorHAnsi" w:cstheme="majorHAnsi"/>
                <w:sz w:val="24"/>
                <w:lang w:val="ro-MD"/>
              </w:rPr>
              <w:t>Abordarea treptată a OMS în supraveghere</w:t>
            </w:r>
          </w:p>
        </w:tc>
      </w:tr>
      <w:tr w:rsidR="00B65D07" w:rsidRPr="00E33BAB" w14:paraId="384E4323" w14:textId="77777777" w:rsidTr="00711158">
        <w:trPr>
          <w:jc w:val="center"/>
        </w:trPr>
        <w:tc>
          <w:tcPr>
            <w:cnfStyle w:val="001000000000" w:firstRow="0" w:lastRow="0" w:firstColumn="1" w:lastColumn="0" w:oddVBand="0" w:evenVBand="0" w:oddHBand="0" w:evenHBand="0" w:firstRowFirstColumn="0" w:firstRowLastColumn="0" w:lastRowFirstColumn="0" w:lastRowLastColumn="0"/>
            <w:tcW w:w="1555" w:type="dxa"/>
          </w:tcPr>
          <w:p w14:paraId="0A4BDFAF" w14:textId="60AE9242" w:rsidR="00B65D07" w:rsidRPr="00E33BAB" w:rsidRDefault="00B65D07" w:rsidP="00B65D07">
            <w:pPr>
              <w:tabs>
                <w:tab w:val="left" w:pos="720"/>
              </w:tabs>
              <w:spacing w:line="276" w:lineRule="auto"/>
              <w:rPr>
                <w:rFonts w:asciiTheme="majorHAnsi" w:eastAsia="Times New Roman" w:hAnsiTheme="majorHAnsi" w:cstheme="majorHAnsi"/>
                <w:sz w:val="24"/>
                <w:szCs w:val="24"/>
                <w:lang w:val="ro-MD"/>
              </w:rPr>
            </w:pPr>
            <w:r w:rsidRPr="00E33BAB">
              <w:rPr>
                <w:rFonts w:asciiTheme="majorHAnsi" w:eastAsia="Times New Roman" w:hAnsiTheme="majorHAnsi" w:cstheme="majorHAnsi"/>
                <w:sz w:val="24"/>
                <w:szCs w:val="24"/>
                <w:lang w:val="ro-MD"/>
              </w:rPr>
              <w:t>SIA AMP</w:t>
            </w:r>
          </w:p>
        </w:tc>
        <w:tc>
          <w:tcPr>
            <w:tcW w:w="7229" w:type="dxa"/>
          </w:tcPr>
          <w:p w14:paraId="1BD0E783" w14:textId="769E1A11" w:rsidR="00B65D07" w:rsidRPr="00715534" w:rsidRDefault="00B65D07" w:rsidP="00B65D07">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lang w:val="ro-MD"/>
              </w:rPr>
            </w:pPr>
            <w:r w:rsidRPr="00715534">
              <w:rPr>
                <w:rFonts w:asciiTheme="majorHAnsi" w:hAnsiTheme="majorHAnsi" w:cstheme="majorHAnsi"/>
                <w:sz w:val="24"/>
                <w:lang w:val="ro-MD"/>
              </w:rPr>
              <w:t xml:space="preserve">Sistemul Informațional Automatizat </w:t>
            </w:r>
            <w:r w:rsidRPr="00D5496A">
              <w:rPr>
                <w:rFonts w:asciiTheme="majorHAnsi" w:hAnsiTheme="majorHAnsi" w:cstheme="majorHAnsi"/>
                <w:sz w:val="24"/>
                <w:lang w:val="ro-MD"/>
              </w:rPr>
              <w:t>„</w:t>
            </w:r>
            <w:r w:rsidRPr="00715534">
              <w:rPr>
                <w:rFonts w:asciiTheme="majorHAnsi" w:hAnsiTheme="majorHAnsi" w:cstheme="majorHAnsi"/>
                <w:sz w:val="24"/>
                <w:lang w:val="ro-MD"/>
              </w:rPr>
              <w:t>Asistența Medicală Primară”</w:t>
            </w:r>
          </w:p>
        </w:tc>
      </w:tr>
    </w:tbl>
    <w:p w14:paraId="0E016A57" w14:textId="77777777" w:rsidR="0062046C" w:rsidRPr="00E33BAB" w:rsidRDefault="0062046C" w:rsidP="00930B4E">
      <w:pPr>
        <w:spacing w:after="0" w:line="276" w:lineRule="auto"/>
        <w:jc w:val="center"/>
        <w:rPr>
          <w:rFonts w:asciiTheme="majorHAnsi" w:hAnsiTheme="majorHAnsi" w:cstheme="majorHAnsi"/>
          <w:lang w:val="ro-MD"/>
        </w:rPr>
      </w:pPr>
    </w:p>
    <w:p w14:paraId="313A45C6" w14:textId="77777777" w:rsidR="0062046C" w:rsidRPr="00E33BAB" w:rsidRDefault="0062046C" w:rsidP="00930B4E">
      <w:pPr>
        <w:spacing w:after="0" w:line="276" w:lineRule="auto"/>
        <w:rPr>
          <w:rFonts w:asciiTheme="majorHAnsi" w:hAnsiTheme="majorHAnsi" w:cstheme="majorHAnsi"/>
          <w:lang w:val="ro-MD"/>
        </w:rPr>
      </w:pPr>
    </w:p>
    <w:p w14:paraId="239383AA" w14:textId="77777777" w:rsidR="0062046C" w:rsidRPr="00E33BAB" w:rsidRDefault="0062046C" w:rsidP="00930B4E">
      <w:pPr>
        <w:spacing w:after="0" w:line="276" w:lineRule="auto"/>
        <w:rPr>
          <w:rFonts w:asciiTheme="majorHAnsi" w:hAnsiTheme="majorHAnsi" w:cstheme="majorHAnsi"/>
          <w:lang w:val="ro-MD"/>
        </w:rPr>
      </w:pPr>
    </w:p>
    <w:p w14:paraId="6D2ED637" w14:textId="77777777" w:rsidR="0062046C" w:rsidRPr="00E33BAB" w:rsidRDefault="0062046C" w:rsidP="00930B4E">
      <w:pPr>
        <w:spacing w:after="0" w:line="276" w:lineRule="auto"/>
        <w:rPr>
          <w:rFonts w:asciiTheme="majorHAnsi" w:hAnsiTheme="majorHAnsi" w:cstheme="majorHAnsi"/>
          <w:lang w:val="ro-MD"/>
        </w:rPr>
      </w:pPr>
    </w:p>
    <w:p w14:paraId="37A6BA76" w14:textId="77777777" w:rsidR="001A662E" w:rsidRPr="00E33BAB" w:rsidRDefault="001A662E" w:rsidP="00930B4E">
      <w:pPr>
        <w:pStyle w:val="Heading1"/>
        <w:spacing w:before="0"/>
        <w:ind w:left="0" w:firstLine="0"/>
        <w:jc w:val="left"/>
        <w:rPr>
          <w:rFonts w:asciiTheme="majorHAnsi" w:hAnsiTheme="majorHAnsi" w:cstheme="majorHAnsi"/>
          <w:sz w:val="28"/>
          <w:szCs w:val="28"/>
        </w:rPr>
      </w:pPr>
      <w:bookmarkStart w:id="2" w:name="_Toc35000680"/>
      <w:bookmarkEnd w:id="0"/>
      <w:r w:rsidRPr="00E33BAB">
        <w:rPr>
          <w:rFonts w:asciiTheme="majorHAnsi" w:hAnsiTheme="majorHAnsi" w:cstheme="majorHAnsi"/>
          <w:sz w:val="28"/>
          <w:szCs w:val="28"/>
        </w:rPr>
        <w:br w:type="page"/>
      </w:r>
    </w:p>
    <w:p w14:paraId="2A5C0B7C" w14:textId="754F8840" w:rsidR="00C75E87" w:rsidRPr="00E33BAB" w:rsidRDefault="00C75E87" w:rsidP="008F60A2">
      <w:pPr>
        <w:pStyle w:val="Heading1"/>
        <w:numPr>
          <w:ilvl w:val="0"/>
          <w:numId w:val="13"/>
        </w:numPr>
        <w:ind w:left="0" w:firstLine="0"/>
        <w:jc w:val="left"/>
        <w:rPr>
          <w:rFonts w:asciiTheme="majorHAnsi" w:hAnsiTheme="majorHAnsi" w:cstheme="majorHAnsi"/>
          <w:sz w:val="28"/>
          <w:szCs w:val="28"/>
        </w:rPr>
      </w:pPr>
      <w:r w:rsidRPr="00E33BAB">
        <w:rPr>
          <w:rFonts w:asciiTheme="majorHAnsi" w:hAnsiTheme="majorHAnsi" w:cstheme="majorHAnsi"/>
          <w:sz w:val="28"/>
          <w:szCs w:val="28"/>
        </w:rPr>
        <w:lastRenderedPageBreak/>
        <w:t>O</w:t>
      </w:r>
      <w:r w:rsidR="00967BA1" w:rsidRPr="00E33BAB">
        <w:rPr>
          <w:rFonts w:asciiTheme="majorHAnsi" w:hAnsiTheme="majorHAnsi" w:cstheme="majorHAnsi"/>
          <w:sz w:val="28"/>
          <w:szCs w:val="28"/>
        </w:rPr>
        <w:t>PIN</w:t>
      </w:r>
      <w:bookmarkEnd w:id="2"/>
      <w:r w:rsidR="00711158" w:rsidRPr="00E33BAB">
        <w:rPr>
          <w:rFonts w:asciiTheme="majorHAnsi" w:hAnsiTheme="majorHAnsi" w:cstheme="majorHAnsi"/>
          <w:sz w:val="28"/>
          <w:szCs w:val="28"/>
        </w:rPr>
        <w:t>IE</w:t>
      </w:r>
    </w:p>
    <w:p w14:paraId="0C58FA93" w14:textId="3736EC1B" w:rsidR="00E3758F" w:rsidRPr="00E33BAB" w:rsidRDefault="00AB25E0" w:rsidP="00E3758F">
      <w:pPr>
        <w:spacing w:after="0" w:line="276" w:lineRule="auto"/>
        <w:jc w:val="both"/>
        <w:rPr>
          <w:rFonts w:asciiTheme="majorHAnsi" w:eastAsia="Times New Roman" w:hAnsiTheme="majorHAnsi" w:cstheme="majorHAnsi"/>
          <w:sz w:val="24"/>
          <w:szCs w:val="24"/>
          <w:lang w:val="ro-MD"/>
        </w:rPr>
      </w:pPr>
      <w:r w:rsidRPr="00E33BAB">
        <w:rPr>
          <w:rFonts w:asciiTheme="majorHAnsi" w:hAnsiTheme="majorHAnsi" w:cstheme="majorHAnsi"/>
          <w:sz w:val="24"/>
          <w:szCs w:val="24"/>
          <w:lang w:val="ro-MD"/>
        </w:rPr>
        <w:t>Am</w:t>
      </w:r>
      <w:r w:rsidR="005B28B7" w:rsidRPr="00E33BAB">
        <w:rPr>
          <w:rFonts w:asciiTheme="majorHAnsi" w:hAnsiTheme="majorHAnsi" w:cstheme="majorHAnsi"/>
          <w:sz w:val="24"/>
          <w:szCs w:val="24"/>
          <w:lang w:val="ro-MD"/>
        </w:rPr>
        <w:t xml:space="preserve"> auditat </w:t>
      </w:r>
      <w:r w:rsidR="003275D5" w:rsidRPr="00E33BAB">
        <w:rPr>
          <w:rFonts w:asciiTheme="majorHAnsi" w:hAnsiTheme="majorHAnsi" w:cstheme="majorHAnsi"/>
          <w:sz w:val="24"/>
          <w:szCs w:val="24"/>
          <w:lang w:val="ro-MD"/>
        </w:rPr>
        <w:t>situațiile</w:t>
      </w:r>
      <w:r w:rsidR="006959C5" w:rsidRPr="00E33BAB">
        <w:rPr>
          <w:rFonts w:asciiTheme="majorHAnsi" w:hAnsiTheme="majorHAnsi" w:cstheme="majorHAnsi"/>
          <w:sz w:val="24"/>
          <w:szCs w:val="24"/>
          <w:lang w:val="ro-MD"/>
        </w:rPr>
        <w:t xml:space="preserve"> financiare ale</w:t>
      </w:r>
      <w:r w:rsidR="003275D5" w:rsidRPr="00E33BAB">
        <w:rPr>
          <w:rFonts w:asciiTheme="majorHAnsi" w:eastAsia="Times New Roman" w:hAnsiTheme="majorHAnsi" w:cstheme="majorHAnsi"/>
          <w:sz w:val="24"/>
          <w:szCs w:val="24"/>
          <w:lang w:val="ro-MD"/>
        </w:rPr>
        <w:t xml:space="preserve"> </w:t>
      </w:r>
      <w:r w:rsidR="006959C5" w:rsidRPr="00E33BAB">
        <w:rPr>
          <w:rFonts w:asciiTheme="majorHAnsi" w:eastAsia="Times New Roman" w:hAnsiTheme="majorHAnsi" w:cstheme="majorHAnsi"/>
          <w:sz w:val="24"/>
          <w:szCs w:val="24"/>
          <w:lang w:val="ro-MD"/>
        </w:rPr>
        <w:t>O</w:t>
      </w:r>
      <w:r w:rsidR="000170A9" w:rsidRPr="00E33BAB">
        <w:rPr>
          <w:rFonts w:asciiTheme="majorHAnsi" w:eastAsia="Times New Roman" w:hAnsiTheme="majorHAnsi" w:cstheme="majorHAnsi"/>
          <w:sz w:val="24"/>
          <w:szCs w:val="24"/>
          <w:lang w:val="ro-MD"/>
        </w:rPr>
        <w:t>p</w:t>
      </w:r>
      <w:r w:rsidR="00287790" w:rsidRPr="00E33BAB">
        <w:rPr>
          <w:rFonts w:asciiTheme="majorHAnsi" w:eastAsia="Times New Roman" w:hAnsiTheme="majorHAnsi" w:cstheme="majorHAnsi"/>
          <w:sz w:val="24"/>
          <w:szCs w:val="24"/>
          <w:lang w:val="ro-MD"/>
        </w:rPr>
        <w:t>erațiunii</w:t>
      </w:r>
      <w:r w:rsidR="003275D5" w:rsidRPr="00E33BAB">
        <w:rPr>
          <w:rFonts w:asciiTheme="majorHAnsi" w:eastAsia="Times New Roman" w:hAnsiTheme="majorHAnsi" w:cstheme="majorHAnsi"/>
          <w:sz w:val="24"/>
          <w:szCs w:val="24"/>
          <w:lang w:val="ro-MD"/>
        </w:rPr>
        <w:t xml:space="preserve"> </w:t>
      </w:r>
      <w:r w:rsidR="002D6EE1">
        <w:rPr>
          <w:rFonts w:asciiTheme="majorHAnsi" w:eastAsia="Times New Roman" w:hAnsiTheme="majorHAnsi" w:cstheme="majorHAnsi"/>
          <w:sz w:val="24"/>
          <w:szCs w:val="24"/>
          <w:lang w:val="ro-MD"/>
        </w:rPr>
        <w:t>„</w:t>
      </w:r>
      <w:r w:rsidR="0095700C" w:rsidRPr="00E33BAB">
        <w:rPr>
          <w:rFonts w:asciiTheme="majorHAnsi" w:eastAsia="Times New Roman" w:hAnsiTheme="majorHAnsi" w:cstheme="majorHAnsi"/>
          <w:sz w:val="24"/>
          <w:szCs w:val="24"/>
          <w:lang w:val="ro-MD"/>
        </w:rPr>
        <w:t>M</w:t>
      </w:r>
      <w:r w:rsidR="003275D5" w:rsidRPr="00E33BAB">
        <w:rPr>
          <w:rFonts w:asciiTheme="majorHAnsi" w:eastAsia="Times New Roman" w:hAnsiTheme="majorHAnsi" w:cstheme="majorHAnsi"/>
          <w:sz w:val="24"/>
          <w:szCs w:val="24"/>
          <w:lang w:val="ro-MD"/>
        </w:rPr>
        <w:t>odernizarea sectorului</w:t>
      </w:r>
      <w:r w:rsidR="000170A9" w:rsidRPr="00E33BAB">
        <w:rPr>
          <w:rFonts w:asciiTheme="majorHAnsi" w:eastAsia="Times New Roman" w:hAnsiTheme="majorHAnsi" w:cstheme="majorHAnsi"/>
          <w:sz w:val="24"/>
          <w:szCs w:val="24"/>
          <w:lang w:val="ro-MD"/>
        </w:rPr>
        <w:t xml:space="preserve"> sănătății în Republica Moldova</w:t>
      </w:r>
      <w:r w:rsidR="006959C5" w:rsidRPr="00E33BAB">
        <w:rPr>
          <w:rFonts w:asciiTheme="majorHAnsi" w:eastAsia="Times New Roman" w:hAnsiTheme="majorHAnsi" w:cstheme="majorHAnsi"/>
          <w:sz w:val="24"/>
          <w:szCs w:val="24"/>
          <w:lang w:val="ro-MD"/>
        </w:rPr>
        <w:t>”</w:t>
      </w:r>
      <w:r w:rsidR="003275D5" w:rsidRPr="00E33BAB">
        <w:rPr>
          <w:rFonts w:asciiTheme="majorHAnsi" w:eastAsia="Times New Roman" w:hAnsiTheme="majorHAnsi" w:cstheme="majorHAnsi"/>
          <w:sz w:val="24"/>
          <w:szCs w:val="24"/>
          <w:lang w:val="ro-MD"/>
        </w:rPr>
        <w:t xml:space="preserve"> </w:t>
      </w:r>
      <w:r w:rsidR="00711158" w:rsidRPr="00E33BAB">
        <w:rPr>
          <w:rFonts w:asciiTheme="majorHAnsi" w:hAnsiTheme="majorHAnsi" w:cstheme="majorHAnsi"/>
          <w:sz w:val="24"/>
          <w:szCs w:val="24"/>
          <w:lang w:val="ro-MD"/>
        </w:rPr>
        <w:t>încheiate la 31 decembrie 2020</w:t>
      </w:r>
      <w:r w:rsidR="005B28B7" w:rsidRPr="00E33BAB">
        <w:rPr>
          <w:rFonts w:asciiTheme="majorHAnsi" w:hAnsiTheme="majorHAnsi" w:cstheme="majorHAnsi"/>
          <w:sz w:val="24"/>
          <w:szCs w:val="24"/>
          <w:lang w:val="ro-MD"/>
        </w:rPr>
        <w:t>,</w:t>
      </w:r>
      <w:r w:rsidR="00EC2911">
        <w:rPr>
          <w:rFonts w:asciiTheme="majorHAnsi" w:hAnsiTheme="majorHAnsi" w:cstheme="majorHAnsi"/>
          <w:sz w:val="24"/>
          <w:szCs w:val="24"/>
          <w:lang w:val="ro-MD"/>
        </w:rPr>
        <w:t xml:space="preserve"> referitor</w:t>
      </w:r>
      <w:r w:rsidR="00A34A98" w:rsidRPr="00E33BAB">
        <w:rPr>
          <w:rFonts w:asciiTheme="majorHAnsi" w:eastAsia="Times New Roman" w:hAnsiTheme="majorHAnsi" w:cstheme="majorHAnsi"/>
          <w:sz w:val="24"/>
          <w:szCs w:val="24"/>
          <w:lang w:val="ro-MD"/>
        </w:rPr>
        <w:t xml:space="preserve"> la</w:t>
      </w:r>
      <w:r w:rsidR="00E3758F" w:rsidRPr="00E33BAB">
        <w:rPr>
          <w:rFonts w:asciiTheme="majorHAnsi" w:eastAsia="Times New Roman" w:hAnsiTheme="majorHAnsi" w:cstheme="majorHAnsi"/>
          <w:sz w:val="24"/>
          <w:szCs w:val="24"/>
          <w:lang w:val="ro-MD"/>
        </w:rPr>
        <w:t xml:space="preserve"> </w:t>
      </w:r>
      <w:r w:rsidR="00E3758F" w:rsidRPr="00E33BAB">
        <w:rPr>
          <w:rFonts w:asciiTheme="majorHAnsi" w:hAnsiTheme="majorHAnsi" w:cstheme="majorHAnsi"/>
          <w:iCs/>
          <w:sz w:val="24"/>
          <w:szCs w:val="24"/>
          <w:lang w:val="ro-MD"/>
        </w:rPr>
        <w:t>cheltuielile suportate/executate</w:t>
      </w:r>
      <w:r w:rsidR="00E3758F" w:rsidRPr="00E33BAB">
        <w:rPr>
          <w:rFonts w:asciiTheme="majorHAnsi" w:eastAsia="Times New Roman" w:hAnsiTheme="majorHAnsi" w:cstheme="majorHAnsi"/>
          <w:sz w:val="24"/>
          <w:szCs w:val="24"/>
          <w:lang w:val="ro-MD"/>
        </w:rPr>
        <w:t xml:space="preserve"> pentru realizarea Operațiunii</w:t>
      </w:r>
      <w:r w:rsidR="001C666A" w:rsidRPr="00E33BAB">
        <w:rPr>
          <w:rStyle w:val="FootnoteReference"/>
          <w:rFonts w:asciiTheme="majorHAnsi" w:eastAsia="Times New Roman" w:hAnsiTheme="majorHAnsi" w:cstheme="majorHAnsi"/>
          <w:sz w:val="24"/>
          <w:szCs w:val="24"/>
          <w:lang w:val="ro-MD"/>
        </w:rPr>
        <w:footnoteReference w:id="1"/>
      </w:r>
      <w:r w:rsidR="00E3758F" w:rsidRPr="00E33BAB">
        <w:rPr>
          <w:rFonts w:asciiTheme="majorHAnsi" w:eastAsia="Times New Roman" w:hAnsiTheme="majorHAnsi" w:cstheme="majorHAnsi"/>
          <w:sz w:val="24"/>
          <w:szCs w:val="24"/>
          <w:lang w:val="ro-MD"/>
        </w:rPr>
        <w:t>, prezentate Băncii Mondiale și Ministerului Finanțelor (Formularul FD-047)</w:t>
      </w:r>
      <w:r w:rsidR="00E3758F" w:rsidRPr="00E33BAB">
        <w:rPr>
          <w:rStyle w:val="FootnoteReference"/>
          <w:rFonts w:asciiTheme="majorHAnsi" w:eastAsia="Times New Roman" w:hAnsiTheme="majorHAnsi" w:cstheme="majorHAnsi"/>
          <w:sz w:val="24"/>
          <w:szCs w:val="24"/>
          <w:lang w:val="ro-MD"/>
        </w:rPr>
        <w:footnoteReference w:id="2"/>
      </w:r>
      <w:r w:rsidR="00A34A98" w:rsidRPr="00E33BAB">
        <w:rPr>
          <w:rFonts w:asciiTheme="majorHAnsi" w:eastAsia="Times New Roman" w:hAnsiTheme="majorHAnsi" w:cstheme="majorHAnsi"/>
          <w:sz w:val="24"/>
          <w:szCs w:val="24"/>
          <w:lang w:val="ro-MD"/>
        </w:rPr>
        <w:t>,</w:t>
      </w:r>
      <w:r w:rsidR="00E3758F" w:rsidRPr="00E33BAB">
        <w:rPr>
          <w:rFonts w:asciiTheme="majorHAnsi" w:eastAsia="Times New Roman" w:hAnsiTheme="majorHAnsi" w:cstheme="majorHAnsi"/>
          <w:sz w:val="24"/>
          <w:szCs w:val="24"/>
          <w:lang w:val="ro-MD"/>
        </w:rPr>
        <w:t xml:space="preserve"> care oferă, sub toate aspectele semnificative, o imagine corectă și fidelă în conformitate cu cerințele specifice de raportare financiară ale Băncii Mondiale și ale sistemului bugetar. </w:t>
      </w:r>
    </w:p>
    <w:p w14:paraId="375098EE" w14:textId="5A6BE98D" w:rsidR="00FF53DB" w:rsidRPr="00E33BAB" w:rsidRDefault="00FF53DB" w:rsidP="008F60A2">
      <w:pPr>
        <w:pStyle w:val="Heading1"/>
        <w:ind w:left="0" w:firstLine="0"/>
        <w:jc w:val="left"/>
        <w:rPr>
          <w:rFonts w:asciiTheme="majorHAnsi" w:hAnsiTheme="majorHAnsi" w:cstheme="majorHAnsi"/>
          <w:sz w:val="28"/>
          <w:szCs w:val="28"/>
        </w:rPr>
      </w:pPr>
      <w:r w:rsidRPr="00E33BAB">
        <w:rPr>
          <w:rFonts w:asciiTheme="majorHAnsi" w:hAnsiTheme="majorHAnsi" w:cstheme="majorHAnsi"/>
          <w:sz w:val="28"/>
          <w:szCs w:val="28"/>
        </w:rPr>
        <w:t>ALTE ASPECTE</w:t>
      </w:r>
    </w:p>
    <w:p w14:paraId="7AD36EB6" w14:textId="4BADEF66" w:rsidR="008D1BDF" w:rsidRPr="00E33BAB" w:rsidRDefault="00FF53DB" w:rsidP="00FF53DB">
      <w:pPr>
        <w:pStyle w:val="ListParagraph"/>
        <w:spacing w:line="276" w:lineRule="auto"/>
        <w:ind w:left="0"/>
        <w:jc w:val="both"/>
        <w:rPr>
          <w:rFonts w:asciiTheme="majorHAnsi" w:eastAsia="Times New Roman" w:hAnsiTheme="majorHAnsi" w:cstheme="majorHAnsi"/>
          <w:sz w:val="24"/>
          <w:szCs w:val="24"/>
          <w:lang w:val="ro-MD"/>
        </w:rPr>
      </w:pPr>
      <w:r w:rsidRPr="00E33BAB">
        <w:rPr>
          <w:rFonts w:asciiTheme="majorHAnsi" w:eastAsia="Times New Roman" w:hAnsiTheme="majorHAnsi" w:cstheme="majorHAnsi"/>
          <w:sz w:val="24"/>
          <w:szCs w:val="24"/>
          <w:lang w:val="ro-MD"/>
        </w:rPr>
        <w:t>Situațiile financiare auditate sunt întocmite pentru a asista BM și MSMPS în respectarea prevederilor de raportare din Manualul operațional. Drept urmare, este posibil ca situațiile financiare să nu fie adecvate pentru un alt scop. Misiunea de audit a fost efectuată</w:t>
      </w:r>
      <w:r w:rsidR="002D6EE1">
        <w:rPr>
          <w:rFonts w:asciiTheme="majorHAnsi" w:eastAsia="Times New Roman" w:hAnsiTheme="majorHAnsi" w:cstheme="majorHAnsi"/>
          <w:sz w:val="24"/>
          <w:szCs w:val="24"/>
          <w:lang w:val="ro-MD"/>
        </w:rPr>
        <w:t xml:space="preserve"> asupra</w:t>
      </w:r>
      <w:r w:rsidRPr="00E33BAB">
        <w:rPr>
          <w:rFonts w:asciiTheme="majorHAnsi" w:eastAsia="Times New Roman" w:hAnsiTheme="majorHAnsi" w:cstheme="majorHAnsi"/>
          <w:sz w:val="24"/>
          <w:szCs w:val="24"/>
          <w:lang w:val="ro-MD"/>
        </w:rPr>
        <w:t xml:space="preserve"> situațiil</w:t>
      </w:r>
      <w:r w:rsidR="002D6EE1">
        <w:rPr>
          <w:rFonts w:asciiTheme="majorHAnsi" w:eastAsia="Times New Roman" w:hAnsiTheme="majorHAnsi" w:cstheme="majorHAnsi"/>
          <w:sz w:val="24"/>
          <w:szCs w:val="24"/>
          <w:lang w:val="ro-MD"/>
        </w:rPr>
        <w:t>or</w:t>
      </w:r>
      <w:r w:rsidRPr="00E33BAB">
        <w:rPr>
          <w:rFonts w:asciiTheme="majorHAnsi" w:eastAsia="Times New Roman" w:hAnsiTheme="majorHAnsi" w:cstheme="majorHAnsi"/>
          <w:sz w:val="24"/>
          <w:szCs w:val="24"/>
          <w:lang w:val="ro-MD"/>
        </w:rPr>
        <w:t xml:space="preserve"> financiare speciale, întocmite în baza unui cadru de raportare financiară cu scop special</w:t>
      </w:r>
      <w:r w:rsidR="003275D5" w:rsidRPr="00E33BAB">
        <w:rPr>
          <w:rFonts w:asciiTheme="majorHAnsi" w:eastAsia="Times New Roman" w:hAnsiTheme="majorHAnsi" w:cstheme="majorHAnsi"/>
          <w:sz w:val="24"/>
          <w:szCs w:val="24"/>
          <w:vertAlign w:val="superscript"/>
          <w:lang w:val="ro-MD"/>
        </w:rPr>
        <w:footnoteReference w:id="3"/>
      </w:r>
      <w:r w:rsidRPr="00E33BAB">
        <w:rPr>
          <w:rFonts w:asciiTheme="majorHAnsi" w:eastAsia="Times New Roman" w:hAnsiTheme="majorHAnsi" w:cstheme="majorHAnsi"/>
          <w:sz w:val="24"/>
          <w:szCs w:val="24"/>
          <w:lang w:val="ro-MD"/>
        </w:rPr>
        <w:t xml:space="preserve">. Raportul nostru este destinat exclusiv MSMPS, CNAM și BM. </w:t>
      </w:r>
    </w:p>
    <w:p w14:paraId="1945285D" w14:textId="28755BF9" w:rsidR="00C75E87" w:rsidRPr="00E33BAB" w:rsidRDefault="00757271" w:rsidP="008F60A2">
      <w:pPr>
        <w:pStyle w:val="Heading1"/>
        <w:ind w:left="0" w:firstLine="0"/>
        <w:jc w:val="left"/>
        <w:rPr>
          <w:rFonts w:asciiTheme="majorHAnsi" w:hAnsiTheme="majorHAnsi" w:cstheme="majorHAnsi"/>
          <w:sz w:val="28"/>
          <w:szCs w:val="28"/>
        </w:rPr>
      </w:pPr>
      <w:r w:rsidRPr="00E33BAB">
        <w:rPr>
          <w:rFonts w:asciiTheme="majorHAnsi" w:hAnsiTheme="majorHAnsi" w:cstheme="majorHAnsi"/>
          <w:sz w:val="28"/>
          <w:szCs w:val="28"/>
        </w:rPr>
        <w:t>B</w:t>
      </w:r>
      <w:r w:rsidR="001C666A" w:rsidRPr="00E33BAB">
        <w:rPr>
          <w:rFonts w:asciiTheme="majorHAnsi" w:hAnsiTheme="majorHAnsi" w:cstheme="majorHAnsi"/>
          <w:sz w:val="28"/>
          <w:szCs w:val="28"/>
        </w:rPr>
        <w:t>AZA PENTRU OPINI</w:t>
      </w:r>
      <w:r w:rsidR="006B521D" w:rsidRPr="00E33BAB">
        <w:rPr>
          <w:rFonts w:asciiTheme="majorHAnsi" w:hAnsiTheme="majorHAnsi" w:cstheme="majorHAnsi"/>
          <w:sz w:val="28"/>
          <w:szCs w:val="28"/>
        </w:rPr>
        <w:t>E</w:t>
      </w:r>
    </w:p>
    <w:p w14:paraId="7DCFE0AB" w14:textId="35ECFC6D" w:rsidR="00145FD0" w:rsidRPr="00E33BAB" w:rsidRDefault="00145FD0" w:rsidP="00D147E7">
      <w:pPr>
        <w:pStyle w:val="CommentText"/>
        <w:spacing w:after="0" w:line="276" w:lineRule="auto"/>
        <w:jc w:val="both"/>
        <w:rPr>
          <w:rFonts w:asciiTheme="majorHAnsi" w:eastAsia="Times New Roman" w:hAnsiTheme="majorHAnsi" w:cstheme="majorHAnsi"/>
          <w:color w:val="000000" w:themeColor="text1"/>
          <w:sz w:val="24"/>
          <w:szCs w:val="24"/>
          <w:lang w:val="ro-MD"/>
        </w:rPr>
      </w:pPr>
      <w:r w:rsidRPr="00E33BAB">
        <w:rPr>
          <w:rFonts w:asciiTheme="majorHAnsi" w:eastAsia="Times New Roman" w:hAnsiTheme="majorHAnsi" w:cstheme="majorHAnsi"/>
          <w:color w:val="000000" w:themeColor="text1"/>
          <w:sz w:val="24"/>
          <w:szCs w:val="24"/>
          <w:lang w:val="ro-MD"/>
        </w:rPr>
        <w:t>Am realizat misiunea de audit</w:t>
      </w:r>
      <w:r w:rsidR="00C25300" w:rsidRPr="00E33BAB">
        <w:rPr>
          <w:rFonts w:asciiTheme="majorHAnsi" w:eastAsia="Times New Roman" w:hAnsiTheme="majorHAnsi" w:cstheme="majorHAnsi"/>
          <w:color w:val="000000" w:themeColor="text1"/>
          <w:sz w:val="24"/>
          <w:szCs w:val="24"/>
          <w:lang w:val="ro-MD"/>
        </w:rPr>
        <w:t xml:space="preserve"> public extern</w:t>
      </w:r>
      <w:r w:rsidRPr="00E33BAB">
        <w:rPr>
          <w:rFonts w:asciiTheme="majorHAnsi" w:eastAsia="Times New Roman" w:hAnsiTheme="majorHAnsi" w:cstheme="majorHAnsi"/>
          <w:color w:val="000000" w:themeColor="text1"/>
          <w:sz w:val="24"/>
          <w:szCs w:val="24"/>
          <w:lang w:val="ro-MD"/>
        </w:rPr>
        <w:t xml:space="preserve"> în conformitate cu Standardele Internaționale ale Instituțiilor Supreme de Audit aplicate de Curtea de Conturi</w:t>
      </w:r>
      <w:r w:rsidRPr="00E33BAB">
        <w:rPr>
          <w:rStyle w:val="FootnoteReference"/>
          <w:rFonts w:asciiTheme="majorHAnsi" w:hAnsiTheme="majorHAnsi" w:cstheme="majorHAnsi"/>
          <w:sz w:val="24"/>
          <w:szCs w:val="24"/>
          <w:lang w:val="ro-MD"/>
        </w:rPr>
        <w:footnoteReference w:id="4"/>
      </w:r>
      <w:r w:rsidRPr="00E33BAB">
        <w:rPr>
          <w:rFonts w:asciiTheme="majorHAnsi" w:eastAsia="Times New Roman" w:hAnsiTheme="majorHAnsi" w:cstheme="majorHAnsi"/>
          <w:color w:val="000000" w:themeColor="text1"/>
          <w:sz w:val="24"/>
          <w:szCs w:val="24"/>
          <w:lang w:val="ro-MD"/>
        </w:rPr>
        <w:t xml:space="preserve">. Responsabilitățile noastre, potrivit standardelor respective, sunt expuse în secțiunea </w:t>
      </w:r>
      <w:r w:rsidRPr="00E33BAB">
        <w:rPr>
          <w:rFonts w:asciiTheme="majorHAnsi" w:eastAsia="Times New Roman" w:hAnsiTheme="majorHAnsi" w:cstheme="majorHAnsi"/>
          <w:i/>
          <w:sz w:val="24"/>
          <w:szCs w:val="24"/>
          <w:lang w:val="ro-MD"/>
        </w:rPr>
        <w:t>Responsabilitățile auditorului</w:t>
      </w:r>
      <w:r w:rsidRPr="00E33BAB">
        <w:rPr>
          <w:rFonts w:asciiTheme="majorHAnsi" w:eastAsia="Times New Roman" w:hAnsiTheme="majorHAnsi" w:cstheme="majorHAnsi"/>
          <w:i/>
          <w:color w:val="000000" w:themeColor="text1"/>
          <w:sz w:val="24"/>
          <w:szCs w:val="24"/>
          <w:lang w:val="ro-MD"/>
        </w:rPr>
        <w:t xml:space="preserve"> într-un audit al </w:t>
      </w:r>
      <w:r w:rsidR="003275D5" w:rsidRPr="00E33BAB">
        <w:rPr>
          <w:rFonts w:asciiTheme="majorHAnsi" w:eastAsia="Times New Roman" w:hAnsiTheme="majorHAnsi" w:cstheme="majorHAnsi"/>
          <w:i/>
          <w:color w:val="000000" w:themeColor="text1"/>
          <w:sz w:val="24"/>
          <w:szCs w:val="24"/>
          <w:lang w:val="ro-MD"/>
        </w:rPr>
        <w:t>situațiilo</w:t>
      </w:r>
      <w:r w:rsidRPr="00E33BAB">
        <w:rPr>
          <w:rFonts w:asciiTheme="majorHAnsi" w:eastAsia="Times New Roman" w:hAnsiTheme="majorHAnsi" w:cstheme="majorHAnsi"/>
          <w:i/>
          <w:color w:val="000000" w:themeColor="text1"/>
          <w:sz w:val="24"/>
          <w:szCs w:val="24"/>
          <w:lang w:val="ro-MD"/>
        </w:rPr>
        <w:t>r financiare</w:t>
      </w:r>
      <w:r w:rsidRPr="00E33BAB">
        <w:rPr>
          <w:rFonts w:asciiTheme="majorHAnsi" w:eastAsia="Times New Roman" w:hAnsiTheme="majorHAnsi" w:cstheme="majorHAnsi"/>
          <w:color w:val="000000" w:themeColor="text1"/>
          <w:sz w:val="24"/>
          <w:szCs w:val="24"/>
          <w:lang w:val="ro-MD"/>
        </w:rPr>
        <w:t xml:space="preserve"> din prezentul Raport. Suntem independenți față de instituția auditată și am îndeplinit responsabilitățile de etică conform cerințelor Codului etic al Curții de Conturi</w:t>
      </w:r>
      <w:r w:rsidRPr="00E33BAB">
        <w:rPr>
          <w:rStyle w:val="FootnoteReference"/>
          <w:rFonts w:asciiTheme="majorHAnsi" w:hAnsiTheme="majorHAnsi" w:cstheme="majorHAnsi"/>
          <w:sz w:val="24"/>
          <w:szCs w:val="24"/>
          <w:lang w:val="ro-MD"/>
        </w:rPr>
        <w:footnoteReference w:id="5"/>
      </w:r>
      <w:r w:rsidRPr="00E33BAB">
        <w:rPr>
          <w:rFonts w:asciiTheme="majorHAnsi" w:eastAsia="Times New Roman" w:hAnsiTheme="majorHAnsi" w:cstheme="majorHAnsi"/>
          <w:color w:val="000000" w:themeColor="text1"/>
          <w:sz w:val="24"/>
          <w:szCs w:val="24"/>
          <w:lang w:val="ro-MD"/>
        </w:rPr>
        <w:t xml:space="preserve">. Considerăm că probele de audit </w:t>
      </w:r>
      <w:r w:rsidR="00621CE3" w:rsidRPr="00E33BAB">
        <w:rPr>
          <w:rFonts w:asciiTheme="majorHAnsi" w:eastAsia="Times New Roman" w:hAnsiTheme="majorHAnsi" w:cstheme="majorHAnsi"/>
          <w:color w:val="000000" w:themeColor="text1"/>
          <w:sz w:val="24"/>
          <w:szCs w:val="24"/>
          <w:lang w:val="ro-MD"/>
        </w:rPr>
        <w:t xml:space="preserve">pe care le-am obținut </w:t>
      </w:r>
      <w:r w:rsidRPr="00E33BAB">
        <w:rPr>
          <w:rFonts w:asciiTheme="majorHAnsi" w:eastAsia="Times New Roman" w:hAnsiTheme="majorHAnsi" w:cstheme="majorHAnsi"/>
          <w:color w:val="000000" w:themeColor="text1"/>
          <w:sz w:val="24"/>
          <w:szCs w:val="24"/>
          <w:lang w:val="ro-MD"/>
        </w:rPr>
        <w:t>sunt suficiente și adecvate pentru a furniza o bază pentru opinia noastră.</w:t>
      </w:r>
    </w:p>
    <w:p w14:paraId="2BC48816" w14:textId="3C1DAF87" w:rsidR="00BF713D" w:rsidRPr="00E33BAB" w:rsidRDefault="00E70002" w:rsidP="00845F02">
      <w:pPr>
        <w:tabs>
          <w:tab w:val="left" w:pos="-720"/>
          <w:tab w:val="left" w:pos="1134"/>
        </w:tabs>
        <w:suppressAutoHyphens/>
        <w:spacing w:after="0" w:line="276" w:lineRule="auto"/>
        <w:ind w:firstLine="450"/>
        <w:jc w:val="both"/>
        <w:rPr>
          <w:rFonts w:asciiTheme="majorHAnsi" w:eastAsia="Times New Roman" w:hAnsiTheme="majorHAnsi" w:cstheme="majorHAnsi"/>
          <w:sz w:val="24"/>
          <w:szCs w:val="24"/>
          <w:lang w:val="ro-MD"/>
        </w:rPr>
      </w:pPr>
      <w:r w:rsidRPr="00E33BAB">
        <w:rPr>
          <w:rFonts w:asciiTheme="majorHAnsi" w:eastAsia="Times New Roman" w:hAnsiTheme="majorHAnsi" w:cstheme="majorHAnsi"/>
          <w:sz w:val="24"/>
          <w:szCs w:val="24"/>
          <w:lang w:val="ro-MD"/>
        </w:rPr>
        <w:t xml:space="preserve">     </w:t>
      </w:r>
    </w:p>
    <w:p w14:paraId="38A0714F" w14:textId="27C95774" w:rsidR="00C75E87" w:rsidRPr="00E33BAB" w:rsidRDefault="007F422D" w:rsidP="008F60A2">
      <w:pPr>
        <w:pStyle w:val="Heading1"/>
        <w:spacing w:before="0"/>
        <w:ind w:left="0" w:firstLine="0"/>
        <w:jc w:val="left"/>
        <w:rPr>
          <w:rFonts w:asciiTheme="majorHAnsi" w:hAnsiTheme="majorHAnsi" w:cstheme="majorHAnsi"/>
          <w:sz w:val="28"/>
          <w:szCs w:val="28"/>
        </w:rPr>
      </w:pPr>
      <w:bookmarkStart w:id="3" w:name="_Toc35000683"/>
      <w:r w:rsidRPr="00E33BAB">
        <w:rPr>
          <w:rFonts w:asciiTheme="majorHAnsi" w:hAnsiTheme="majorHAnsi" w:cstheme="majorHAnsi"/>
          <w:sz w:val="28"/>
          <w:szCs w:val="28"/>
        </w:rPr>
        <w:t>ASPECTE-CHEIE DE AUDIT</w:t>
      </w:r>
      <w:bookmarkEnd w:id="3"/>
    </w:p>
    <w:p w14:paraId="6574A3C0" w14:textId="1D348275" w:rsidR="004035E2" w:rsidRPr="00E33BAB" w:rsidRDefault="00A83D6A" w:rsidP="00202CE7">
      <w:pPr>
        <w:tabs>
          <w:tab w:val="left" w:pos="720"/>
        </w:tabs>
        <w:spacing w:after="0" w:line="276" w:lineRule="auto"/>
        <w:ind w:right="-29"/>
        <w:jc w:val="both"/>
        <w:rPr>
          <w:rFonts w:asciiTheme="majorHAnsi" w:eastAsia="Calibri" w:hAnsiTheme="majorHAnsi" w:cstheme="majorHAnsi"/>
          <w:sz w:val="24"/>
          <w:szCs w:val="24"/>
          <w:lang w:val="ro-MD"/>
        </w:rPr>
      </w:pPr>
      <w:r w:rsidRPr="00E33BAB">
        <w:rPr>
          <w:rFonts w:asciiTheme="majorHAnsi" w:eastAsia="Calibri" w:hAnsiTheme="majorHAnsi" w:cstheme="majorHAnsi"/>
          <w:sz w:val="24"/>
          <w:szCs w:val="24"/>
          <w:lang w:val="ro-MD"/>
        </w:rPr>
        <w:t xml:space="preserve">Aspectele-cheie de audit sunt acele aspecte care, în baza raționamentului nostru profesional, au avut cea mai mare </w:t>
      </w:r>
      <w:r w:rsidR="007656E2" w:rsidRPr="00E33BAB">
        <w:rPr>
          <w:rFonts w:asciiTheme="majorHAnsi" w:eastAsia="Calibri" w:hAnsiTheme="majorHAnsi" w:cstheme="majorHAnsi"/>
          <w:sz w:val="24"/>
          <w:szCs w:val="24"/>
          <w:lang w:val="ro-MD"/>
        </w:rPr>
        <w:t>importanță pentru auditul</w:t>
      </w:r>
      <w:r w:rsidR="00C25300" w:rsidRPr="00E33BAB">
        <w:rPr>
          <w:rFonts w:asciiTheme="majorHAnsi" w:eastAsia="Calibri" w:hAnsiTheme="majorHAnsi" w:cstheme="majorHAnsi"/>
          <w:sz w:val="24"/>
          <w:szCs w:val="24"/>
          <w:lang w:val="ro-MD"/>
        </w:rPr>
        <w:t xml:space="preserve"> financiar al</w:t>
      </w:r>
      <w:r w:rsidR="007C11CF" w:rsidRPr="00E33BAB">
        <w:rPr>
          <w:rFonts w:asciiTheme="majorHAnsi" w:hAnsiTheme="majorHAnsi" w:cstheme="majorHAnsi"/>
          <w:sz w:val="24"/>
          <w:szCs w:val="24"/>
          <w:lang w:val="ro-MD"/>
        </w:rPr>
        <w:t xml:space="preserve"> </w:t>
      </w:r>
      <w:r w:rsidR="002D6EE1">
        <w:rPr>
          <w:rFonts w:asciiTheme="majorHAnsi" w:eastAsia="Times New Roman" w:hAnsiTheme="majorHAnsi" w:cstheme="majorHAnsi"/>
          <w:sz w:val="24"/>
          <w:szCs w:val="24"/>
          <w:lang w:val="ro-MD"/>
        </w:rPr>
        <w:t>O</w:t>
      </w:r>
      <w:r w:rsidR="00287790" w:rsidRPr="00E33BAB">
        <w:rPr>
          <w:rFonts w:asciiTheme="majorHAnsi" w:eastAsia="Times New Roman" w:hAnsiTheme="majorHAnsi" w:cstheme="majorHAnsi"/>
          <w:sz w:val="24"/>
          <w:szCs w:val="24"/>
          <w:lang w:val="ro-MD"/>
        </w:rPr>
        <w:t>perațiunii</w:t>
      </w:r>
      <w:r w:rsidR="003275D5" w:rsidRPr="00E33BAB">
        <w:rPr>
          <w:rFonts w:asciiTheme="majorHAnsi" w:eastAsia="Times New Roman" w:hAnsiTheme="majorHAnsi" w:cstheme="majorHAnsi"/>
          <w:sz w:val="24"/>
          <w:szCs w:val="24"/>
          <w:lang w:val="ro-MD"/>
        </w:rPr>
        <w:t xml:space="preserve"> </w:t>
      </w:r>
      <w:r w:rsidR="002D6EE1">
        <w:rPr>
          <w:rFonts w:asciiTheme="majorHAnsi" w:eastAsia="Times New Roman" w:hAnsiTheme="majorHAnsi" w:cstheme="majorHAnsi"/>
          <w:sz w:val="24"/>
          <w:szCs w:val="24"/>
          <w:lang w:val="ro-MD"/>
        </w:rPr>
        <w:t>„</w:t>
      </w:r>
      <w:r w:rsidR="0095700C" w:rsidRPr="00E33BAB">
        <w:rPr>
          <w:rFonts w:asciiTheme="majorHAnsi" w:eastAsia="Times New Roman" w:hAnsiTheme="majorHAnsi" w:cstheme="majorHAnsi"/>
          <w:sz w:val="24"/>
          <w:szCs w:val="24"/>
          <w:lang w:val="ro-MD"/>
        </w:rPr>
        <w:t>M</w:t>
      </w:r>
      <w:r w:rsidR="003275D5" w:rsidRPr="00E33BAB">
        <w:rPr>
          <w:rFonts w:asciiTheme="majorHAnsi" w:eastAsia="Times New Roman" w:hAnsiTheme="majorHAnsi" w:cstheme="majorHAnsi"/>
          <w:sz w:val="24"/>
          <w:szCs w:val="24"/>
          <w:lang w:val="ro-MD"/>
        </w:rPr>
        <w:t>odernizarea sectorului</w:t>
      </w:r>
      <w:r w:rsidR="0095700C" w:rsidRPr="00E33BAB">
        <w:rPr>
          <w:rFonts w:asciiTheme="majorHAnsi" w:eastAsia="Times New Roman" w:hAnsiTheme="majorHAnsi" w:cstheme="majorHAnsi"/>
          <w:sz w:val="24"/>
          <w:szCs w:val="24"/>
          <w:lang w:val="ro-MD"/>
        </w:rPr>
        <w:t xml:space="preserve"> sănătății în Republica Moldova</w:t>
      </w:r>
      <w:r w:rsidR="002D6EE1">
        <w:rPr>
          <w:rFonts w:asciiTheme="majorHAnsi" w:eastAsia="Times New Roman" w:hAnsiTheme="majorHAnsi" w:cstheme="majorHAnsi"/>
          <w:sz w:val="24"/>
          <w:szCs w:val="24"/>
          <w:lang w:val="ro-MD"/>
        </w:rPr>
        <w:t>”</w:t>
      </w:r>
      <w:r w:rsidR="007C11CF" w:rsidRPr="00E33BAB">
        <w:rPr>
          <w:rFonts w:asciiTheme="majorHAnsi" w:hAnsiTheme="majorHAnsi" w:cstheme="majorHAnsi"/>
          <w:sz w:val="24"/>
          <w:szCs w:val="24"/>
          <w:lang w:val="ro-MD"/>
        </w:rPr>
        <w:t xml:space="preserve"> </w:t>
      </w:r>
      <w:r w:rsidRPr="00E33BAB">
        <w:rPr>
          <w:rFonts w:asciiTheme="majorHAnsi" w:eastAsia="Calibri" w:hAnsiTheme="majorHAnsi" w:cstheme="majorHAnsi"/>
          <w:sz w:val="24"/>
          <w:szCs w:val="24"/>
          <w:lang w:val="ro-MD"/>
        </w:rPr>
        <w:t>în anul 20</w:t>
      </w:r>
      <w:r w:rsidR="00CF676A" w:rsidRPr="00E33BAB">
        <w:rPr>
          <w:rFonts w:asciiTheme="majorHAnsi" w:eastAsia="Calibri" w:hAnsiTheme="majorHAnsi" w:cstheme="majorHAnsi"/>
          <w:sz w:val="24"/>
          <w:szCs w:val="24"/>
          <w:lang w:val="ro-MD"/>
        </w:rPr>
        <w:t>20</w:t>
      </w:r>
      <w:r w:rsidRPr="00E33BAB">
        <w:rPr>
          <w:rFonts w:asciiTheme="majorHAnsi" w:eastAsia="Calibri" w:hAnsiTheme="majorHAnsi" w:cstheme="majorHAnsi"/>
          <w:sz w:val="24"/>
          <w:szCs w:val="24"/>
          <w:lang w:val="ro-MD"/>
        </w:rPr>
        <w:t xml:space="preserve">. Aceste aspecte au fost abordate în contextul auditului </w:t>
      </w:r>
      <w:r w:rsidR="002E7550" w:rsidRPr="00E33BAB">
        <w:rPr>
          <w:rFonts w:asciiTheme="majorHAnsi" w:eastAsia="Calibri" w:hAnsiTheme="majorHAnsi" w:cstheme="majorHAnsi"/>
          <w:sz w:val="24"/>
          <w:szCs w:val="24"/>
          <w:lang w:val="ro-MD"/>
        </w:rPr>
        <w:t>situațiilor</w:t>
      </w:r>
      <w:r w:rsidRPr="00E33BAB">
        <w:rPr>
          <w:rFonts w:asciiTheme="majorHAnsi" w:eastAsia="Calibri" w:hAnsiTheme="majorHAnsi" w:cstheme="majorHAnsi"/>
          <w:sz w:val="24"/>
          <w:szCs w:val="24"/>
          <w:lang w:val="ro-MD"/>
        </w:rPr>
        <w:t xml:space="preserve"> financiare în ansamblu şi în formarea o</w:t>
      </w:r>
      <w:r w:rsidR="00C82B0D" w:rsidRPr="00E33BAB">
        <w:rPr>
          <w:rFonts w:asciiTheme="majorHAnsi" w:eastAsia="Calibri" w:hAnsiTheme="majorHAnsi" w:cstheme="majorHAnsi"/>
          <w:sz w:val="24"/>
          <w:szCs w:val="24"/>
          <w:lang w:val="ro-MD"/>
        </w:rPr>
        <w:t>piniei asupra acestora</w:t>
      </w:r>
      <w:r w:rsidR="002D6EE1">
        <w:rPr>
          <w:rFonts w:asciiTheme="majorHAnsi" w:eastAsia="Calibri" w:hAnsiTheme="majorHAnsi" w:cstheme="majorHAnsi"/>
          <w:sz w:val="24"/>
          <w:szCs w:val="24"/>
          <w:lang w:val="ro-MD"/>
        </w:rPr>
        <w:t>,</w:t>
      </w:r>
      <w:r w:rsidR="00C82B0D" w:rsidRPr="00E33BAB">
        <w:rPr>
          <w:rFonts w:asciiTheme="majorHAnsi" w:eastAsia="Calibri" w:hAnsiTheme="majorHAnsi" w:cstheme="majorHAnsi"/>
          <w:sz w:val="24"/>
          <w:szCs w:val="24"/>
          <w:lang w:val="ro-MD"/>
        </w:rPr>
        <w:t xml:space="preserve"> ș</w:t>
      </w:r>
      <w:r w:rsidRPr="00E33BAB">
        <w:rPr>
          <w:rFonts w:asciiTheme="majorHAnsi" w:eastAsia="Calibri" w:hAnsiTheme="majorHAnsi" w:cstheme="majorHAnsi"/>
          <w:sz w:val="24"/>
          <w:szCs w:val="24"/>
          <w:lang w:val="ro-MD"/>
        </w:rPr>
        <w:t>i nu oferim o opinie separată cu privire la aspecte</w:t>
      </w:r>
      <w:r w:rsidR="003275D5" w:rsidRPr="00E33BAB">
        <w:rPr>
          <w:rFonts w:asciiTheme="majorHAnsi" w:eastAsia="Calibri" w:hAnsiTheme="majorHAnsi" w:cstheme="majorHAnsi"/>
          <w:sz w:val="24"/>
          <w:szCs w:val="24"/>
          <w:lang w:val="ro-MD"/>
        </w:rPr>
        <w:t>le-cheie</w:t>
      </w:r>
      <w:r w:rsidRPr="00E33BAB">
        <w:rPr>
          <w:rFonts w:asciiTheme="majorHAnsi" w:eastAsia="Calibri" w:hAnsiTheme="majorHAnsi" w:cstheme="majorHAnsi"/>
          <w:sz w:val="24"/>
          <w:szCs w:val="24"/>
          <w:lang w:val="ro-MD"/>
        </w:rPr>
        <w:t xml:space="preserve">. Considerăm că aspectele descrise </w:t>
      </w:r>
      <w:r w:rsidR="00EC2911">
        <w:rPr>
          <w:rFonts w:asciiTheme="majorHAnsi" w:eastAsia="Calibri" w:hAnsiTheme="majorHAnsi" w:cstheme="majorHAnsi"/>
          <w:sz w:val="24"/>
          <w:szCs w:val="24"/>
          <w:lang w:val="ro-MD"/>
        </w:rPr>
        <w:t>în continuare</w:t>
      </w:r>
      <w:r w:rsidRPr="00E33BAB">
        <w:rPr>
          <w:rFonts w:asciiTheme="majorHAnsi" w:eastAsia="Calibri" w:hAnsiTheme="majorHAnsi" w:cstheme="majorHAnsi"/>
          <w:sz w:val="24"/>
          <w:szCs w:val="24"/>
          <w:lang w:val="ro-MD"/>
        </w:rPr>
        <w:t xml:space="preserve">, deși nu au influențat opinia de audit, reprezintă aspectele-cheie de audit care trebuie comunicate în </w:t>
      </w:r>
      <w:r w:rsidR="008430B7" w:rsidRPr="00E33BAB">
        <w:rPr>
          <w:rFonts w:asciiTheme="majorHAnsi" w:eastAsia="Calibri" w:hAnsiTheme="majorHAnsi" w:cstheme="majorHAnsi"/>
          <w:sz w:val="24"/>
          <w:szCs w:val="24"/>
          <w:lang w:val="ro-MD"/>
        </w:rPr>
        <w:t>R</w:t>
      </w:r>
      <w:r w:rsidRPr="00E33BAB">
        <w:rPr>
          <w:rFonts w:asciiTheme="majorHAnsi" w:eastAsia="Calibri" w:hAnsiTheme="majorHAnsi" w:cstheme="majorHAnsi"/>
          <w:sz w:val="24"/>
          <w:szCs w:val="24"/>
          <w:lang w:val="ro-MD"/>
        </w:rPr>
        <w:t>aportul nostru</w:t>
      </w:r>
      <w:r w:rsidR="005C5D38" w:rsidRPr="00E33BAB">
        <w:rPr>
          <w:rFonts w:asciiTheme="majorHAnsi" w:eastAsia="Calibri" w:hAnsiTheme="majorHAnsi" w:cstheme="majorHAnsi"/>
          <w:sz w:val="24"/>
          <w:szCs w:val="24"/>
          <w:lang w:val="ro-MD"/>
        </w:rPr>
        <w:t>.</w:t>
      </w:r>
    </w:p>
    <w:p w14:paraId="6EC69959" w14:textId="6C20D67B" w:rsidR="004035E2" w:rsidRPr="00E33BAB" w:rsidRDefault="003C128C" w:rsidP="0065407F">
      <w:pPr>
        <w:pStyle w:val="ListParagraph"/>
        <w:numPr>
          <w:ilvl w:val="1"/>
          <w:numId w:val="20"/>
        </w:numPr>
        <w:tabs>
          <w:tab w:val="left" w:pos="720"/>
        </w:tabs>
        <w:spacing w:before="240" w:after="0" w:line="276" w:lineRule="auto"/>
        <w:ind w:left="0" w:right="-29" w:firstLine="0"/>
        <w:jc w:val="both"/>
        <w:outlineLvl w:val="1"/>
        <w:rPr>
          <w:rFonts w:asciiTheme="majorHAnsi" w:eastAsia="Calibri" w:hAnsiTheme="majorHAnsi" w:cstheme="majorHAnsi"/>
          <w:b/>
          <w:bCs/>
          <w:sz w:val="24"/>
          <w:szCs w:val="24"/>
          <w:lang w:val="ro-MD"/>
        </w:rPr>
      </w:pPr>
      <w:r w:rsidRPr="00E33BAB">
        <w:rPr>
          <w:rFonts w:asciiTheme="majorHAnsi" w:eastAsia="Calibri" w:hAnsiTheme="majorHAnsi" w:cstheme="majorHAnsi"/>
          <w:b/>
          <w:bCs/>
          <w:sz w:val="24"/>
          <w:szCs w:val="24"/>
          <w:lang w:val="ro-MD"/>
        </w:rPr>
        <w:lastRenderedPageBreak/>
        <w:t>Din cei patru i</w:t>
      </w:r>
      <w:r w:rsidR="004035E2" w:rsidRPr="00E33BAB">
        <w:rPr>
          <w:rFonts w:asciiTheme="majorHAnsi" w:eastAsia="Calibri" w:hAnsiTheme="majorHAnsi" w:cstheme="majorHAnsi"/>
          <w:b/>
          <w:bCs/>
          <w:sz w:val="24"/>
          <w:szCs w:val="24"/>
          <w:lang w:val="ro-MD"/>
        </w:rPr>
        <w:t>ndicatorii legați de debursări</w:t>
      </w:r>
      <w:r w:rsidRPr="00E33BAB">
        <w:rPr>
          <w:rFonts w:asciiTheme="majorHAnsi" w:eastAsia="Calibri" w:hAnsiTheme="majorHAnsi" w:cstheme="majorHAnsi"/>
          <w:b/>
          <w:bCs/>
          <w:sz w:val="24"/>
          <w:szCs w:val="24"/>
          <w:lang w:val="ro-MD"/>
        </w:rPr>
        <w:t>,</w:t>
      </w:r>
      <w:r w:rsidR="004035E2" w:rsidRPr="00E33BAB">
        <w:rPr>
          <w:rFonts w:asciiTheme="majorHAnsi" w:eastAsia="Calibri" w:hAnsiTheme="majorHAnsi" w:cstheme="majorHAnsi"/>
          <w:b/>
          <w:bCs/>
          <w:sz w:val="24"/>
          <w:szCs w:val="24"/>
          <w:lang w:val="ro-MD"/>
        </w:rPr>
        <w:t xml:space="preserve"> planificați în </w:t>
      </w:r>
      <w:r w:rsidR="004035E2" w:rsidRPr="00375555">
        <w:rPr>
          <w:rFonts w:asciiTheme="majorHAnsi" w:eastAsia="Calibri" w:hAnsiTheme="majorHAnsi" w:cstheme="majorHAnsi"/>
          <w:b/>
          <w:bCs/>
          <w:sz w:val="24"/>
          <w:szCs w:val="24"/>
          <w:lang w:val="ro-MD"/>
        </w:rPr>
        <w:t xml:space="preserve">cadrul </w:t>
      </w:r>
      <w:r w:rsidR="00606158" w:rsidRPr="00375555">
        <w:rPr>
          <w:rFonts w:asciiTheme="majorHAnsi" w:eastAsia="Calibri" w:hAnsiTheme="majorHAnsi" w:cstheme="majorHAnsi"/>
          <w:b/>
          <w:bCs/>
          <w:sz w:val="24"/>
          <w:szCs w:val="24"/>
          <w:lang w:val="ro-MD"/>
        </w:rPr>
        <w:t>Pro</w:t>
      </w:r>
      <w:r w:rsidR="00287790" w:rsidRPr="00375555">
        <w:rPr>
          <w:rFonts w:asciiTheme="majorHAnsi" w:eastAsia="Calibri" w:hAnsiTheme="majorHAnsi" w:cstheme="majorHAnsi"/>
          <w:b/>
          <w:bCs/>
          <w:sz w:val="24"/>
          <w:szCs w:val="24"/>
          <w:lang w:val="ro-MD"/>
        </w:rPr>
        <w:t xml:space="preserve">gramului </w:t>
      </w:r>
      <w:r w:rsidR="00375555" w:rsidRPr="00375555">
        <w:rPr>
          <w:rFonts w:asciiTheme="majorHAnsi" w:eastAsia="Calibri" w:hAnsiTheme="majorHAnsi" w:cstheme="majorHAnsi"/>
          <w:b/>
          <w:bCs/>
          <w:sz w:val="24"/>
          <w:szCs w:val="24"/>
          <w:lang w:val="ro-MD"/>
        </w:rPr>
        <w:t>„</w:t>
      </w:r>
      <w:r w:rsidR="0036301D">
        <w:rPr>
          <w:rFonts w:asciiTheme="majorHAnsi" w:eastAsia="Calibri" w:hAnsiTheme="majorHAnsi" w:cstheme="majorHAnsi"/>
          <w:b/>
          <w:bCs/>
          <w:sz w:val="24"/>
          <w:szCs w:val="24"/>
          <w:lang w:val="ro-MD"/>
        </w:rPr>
        <w:t>M</w:t>
      </w:r>
      <w:r w:rsidR="004035E2" w:rsidRPr="00E33BAB">
        <w:rPr>
          <w:rFonts w:asciiTheme="majorHAnsi" w:eastAsia="Calibri" w:hAnsiTheme="majorHAnsi" w:cstheme="majorHAnsi"/>
          <w:b/>
          <w:bCs/>
          <w:sz w:val="24"/>
          <w:szCs w:val="24"/>
          <w:lang w:val="ro-MD"/>
        </w:rPr>
        <w:t>odernizarea sectorului sănătății în Republica Moldova</w:t>
      </w:r>
      <w:r w:rsidR="00375555">
        <w:rPr>
          <w:rFonts w:asciiTheme="majorHAnsi" w:eastAsia="Calibri" w:hAnsiTheme="majorHAnsi" w:cstheme="majorHAnsi"/>
          <w:b/>
          <w:bCs/>
          <w:sz w:val="24"/>
          <w:szCs w:val="24"/>
          <w:lang w:val="ro-MD"/>
        </w:rPr>
        <w:t>”</w:t>
      </w:r>
      <w:r w:rsidR="004035E2" w:rsidRPr="00E33BAB">
        <w:rPr>
          <w:rFonts w:asciiTheme="majorHAnsi" w:eastAsia="Calibri" w:hAnsiTheme="majorHAnsi" w:cstheme="majorHAnsi"/>
          <w:b/>
          <w:bCs/>
          <w:sz w:val="24"/>
          <w:szCs w:val="24"/>
          <w:lang w:val="ro-MD"/>
        </w:rPr>
        <w:t xml:space="preserve"> în anul 2020</w:t>
      </w:r>
      <w:r w:rsidRPr="00E33BAB">
        <w:rPr>
          <w:rFonts w:asciiTheme="majorHAnsi" w:eastAsia="Calibri" w:hAnsiTheme="majorHAnsi" w:cstheme="majorHAnsi"/>
          <w:b/>
          <w:bCs/>
          <w:sz w:val="24"/>
          <w:szCs w:val="24"/>
          <w:lang w:val="ro-MD"/>
        </w:rPr>
        <w:t>, doi nu au fost atinși, iar ceilalți doi</w:t>
      </w:r>
      <w:r w:rsidR="004035E2" w:rsidRPr="00E33BAB">
        <w:rPr>
          <w:rFonts w:asciiTheme="majorHAnsi" w:eastAsia="Calibri" w:hAnsiTheme="majorHAnsi" w:cstheme="majorHAnsi"/>
          <w:b/>
          <w:bCs/>
          <w:sz w:val="24"/>
          <w:szCs w:val="24"/>
          <w:lang w:val="ro-MD"/>
        </w:rPr>
        <w:t xml:space="preserve"> nu au fost </w:t>
      </w:r>
      <w:r w:rsidRPr="00E33BAB">
        <w:rPr>
          <w:rFonts w:asciiTheme="majorHAnsi" w:eastAsia="Calibri" w:hAnsiTheme="majorHAnsi" w:cstheme="majorHAnsi"/>
          <w:b/>
          <w:bCs/>
          <w:sz w:val="24"/>
          <w:szCs w:val="24"/>
          <w:lang w:val="ro-MD"/>
        </w:rPr>
        <w:t>validați</w:t>
      </w:r>
      <w:r w:rsidR="004035E2" w:rsidRPr="00E33BAB">
        <w:rPr>
          <w:rFonts w:asciiTheme="majorHAnsi" w:eastAsia="Calibri" w:hAnsiTheme="majorHAnsi" w:cstheme="majorHAnsi"/>
          <w:b/>
          <w:bCs/>
          <w:sz w:val="24"/>
          <w:szCs w:val="24"/>
          <w:lang w:val="ro-MD"/>
        </w:rPr>
        <w:t xml:space="preserve">, </w:t>
      </w:r>
      <w:r w:rsidR="00C43BFE" w:rsidRPr="00E33BAB">
        <w:rPr>
          <w:rFonts w:asciiTheme="majorHAnsi" w:eastAsia="Calibri" w:hAnsiTheme="majorHAnsi" w:cstheme="majorHAnsi"/>
          <w:b/>
          <w:bCs/>
          <w:sz w:val="24"/>
          <w:szCs w:val="24"/>
          <w:lang w:val="ro-MD"/>
        </w:rPr>
        <w:t xml:space="preserve"> pentru </w:t>
      </w:r>
      <w:r w:rsidR="0036301D">
        <w:rPr>
          <w:rFonts w:asciiTheme="majorHAnsi" w:eastAsia="Calibri" w:hAnsiTheme="majorHAnsi" w:cstheme="majorHAnsi"/>
          <w:b/>
          <w:bCs/>
          <w:sz w:val="24"/>
          <w:szCs w:val="24"/>
          <w:lang w:val="ro-MD"/>
        </w:rPr>
        <w:t>motivul că</w:t>
      </w:r>
      <w:r w:rsidR="00C43BFE" w:rsidRPr="00E33BAB">
        <w:rPr>
          <w:rFonts w:asciiTheme="majorHAnsi" w:eastAsia="Calibri" w:hAnsiTheme="majorHAnsi" w:cstheme="majorHAnsi"/>
          <w:b/>
          <w:bCs/>
          <w:sz w:val="24"/>
          <w:szCs w:val="24"/>
          <w:lang w:val="ro-MD"/>
        </w:rPr>
        <w:t xml:space="preserve"> nu </w:t>
      </w:r>
      <w:r w:rsidR="0036301D">
        <w:rPr>
          <w:rFonts w:asciiTheme="majorHAnsi" w:eastAsia="Calibri" w:hAnsiTheme="majorHAnsi" w:cstheme="majorHAnsi"/>
          <w:b/>
          <w:bCs/>
          <w:sz w:val="24"/>
          <w:szCs w:val="24"/>
          <w:lang w:val="ro-MD"/>
        </w:rPr>
        <w:t>s-</w:t>
      </w:r>
      <w:r w:rsidR="00C43BFE" w:rsidRPr="00E33BAB">
        <w:rPr>
          <w:rFonts w:asciiTheme="majorHAnsi" w:eastAsia="Calibri" w:hAnsiTheme="majorHAnsi" w:cstheme="majorHAnsi"/>
          <w:b/>
          <w:bCs/>
          <w:sz w:val="24"/>
          <w:szCs w:val="24"/>
          <w:lang w:val="ro-MD"/>
        </w:rPr>
        <w:t>au acordat mijloace financiare</w:t>
      </w:r>
      <w:r w:rsidRPr="00E33BAB">
        <w:rPr>
          <w:rFonts w:asciiTheme="majorHAnsi" w:eastAsia="Calibri" w:hAnsiTheme="majorHAnsi" w:cstheme="majorHAnsi"/>
          <w:b/>
          <w:bCs/>
          <w:sz w:val="24"/>
          <w:szCs w:val="24"/>
          <w:lang w:val="ro-MD"/>
        </w:rPr>
        <w:t>.</w:t>
      </w:r>
    </w:p>
    <w:p w14:paraId="70C40B02" w14:textId="0B1CDD35" w:rsidR="005D445A" w:rsidRPr="00E33BAB" w:rsidRDefault="00C43BFE" w:rsidP="0065407F">
      <w:pPr>
        <w:tabs>
          <w:tab w:val="left" w:pos="720"/>
        </w:tabs>
        <w:spacing w:after="0" w:line="276" w:lineRule="auto"/>
        <w:ind w:right="-29"/>
        <w:jc w:val="both"/>
        <w:rPr>
          <w:rFonts w:asciiTheme="majorHAnsi" w:eastAsia="Calibri" w:hAnsiTheme="majorHAnsi" w:cstheme="majorHAnsi"/>
          <w:sz w:val="24"/>
          <w:szCs w:val="24"/>
          <w:lang w:val="ro-MD"/>
        </w:rPr>
      </w:pPr>
      <w:r w:rsidRPr="00E33BAB">
        <w:rPr>
          <w:rFonts w:asciiTheme="majorHAnsi" w:eastAsia="Calibri" w:hAnsiTheme="majorHAnsi" w:cstheme="majorHAnsi"/>
          <w:sz w:val="24"/>
          <w:szCs w:val="24"/>
          <w:lang w:val="ro-MD"/>
        </w:rPr>
        <w:t>P</w:t>
      </w:r>
      <w:r w:rsidR="004035E2" w:rsidRPr="00E33BAB">
        <w:rPr>
          <w:rFonts w:asciiTheme="majorHAnsi" w:eastAsia="Calibri" w:hAnsiTheme="majorHAnsi" w:cstheme="majorHAnsi"/>
          <w:sz w:val="24"/>
          <w:szCs w:val="24"/>
          <w:lang w:val="ro-MD"/>
        </w:rPr>
        <w:t>revederil</w:t>
      </w:r>
      <w:r w:rsidRPr="00E33BAB">
        <w:rPr>
          <w:rFonts w:asciiTheme="majorHAnsi" w:eastAsia="Calibri" w:hAnsiTheme="majorHAnsi" w:cstheme="majorHAnsi"/>
          <w:sz w:val="24"/>
          <w:szCs w:val="24"/>
          <w:lang w:val="ro-MD"/>
        </w:rPr>
        <w:t>e</w:t>
      </w:r>
      <w:r w:rsidR="004035E2" w:rsidRPr="00E33BAB">
        <w:rPr>
          <w:rFonts w:asciiTheme="majorHAnsi" w:eastAsia="Calibri" w:hAnsiTheme="majorHAnsi" w:cstheme="majorHAnsi"/>
          <w:sz w:val="24"/>
          <w:szCs w:val="24"/>
          <w:lang w:val="ro-MD"/>
        </w:rPr>
        <w:t xml:space="preserve"> Acordului de finanțare</w:t>
      </w:r>
      <w:r w:rsidR="004035E2" w:rsidRPr="00E33BAB">
        <w:rPr>
          <w:rFonts w:asciiTheme="majorHAnsi" w:eastAsia="Calibri" w:hAnsiTheme="majorHAnsi" w:cstheme="majorHAnsi"/>
          <w:sz w:val="24"/>
          <w:szCs w:val="24"/>
          <w:vertAlign w:val="superscript"/>
          <w:lang w:val="ro-MD"/>
        </w:rPr>
        <w:footnoteReference w:id="6"/>
      </w:r>
      <w:r w:rsidR="004035E2" w:rsidRPr="00E33BAB">
        <w:rPr>
          <w:rFonts w:asciiTheme="majorHAnsi" w:eastAsia="Calibri" w:hAnsiTheme="majorHAnsi" w:cstheme="majorHAnsi"/>
          <w:sz w:val="24"/>
          <w:szCs w:val="24"/>
          <w:lang w:val="ro-MD"/>
        </w:rPr>
        <w:t xml:space="preserve"> pentru debursarea mijloacelo</w:t>
      </w:r>
      <w:r w:rsidRPr="00E33BAB">
        <w:rPr>
          <w:rFonts w:asciiTheme="majorHAnsi" w:eastAsia="Calibri" w:hAnsiTheme="majorHAnsi" w:cstheme="majorHAnsi"/>
          <w:sz w:val="24"/>
          <w:szCs w:val="24"/>
          <w:lang w:val="ro-MD"/>
        </w:rPr>
        <w:t>r financiare ale Programului</w:t>
      </w:r>
      <w:r w:rsidR="00375555">
        <w:rPr>
          <w:rFonts w:asciiTheme="majorHAnsi" w:eastAsia="Calibri" w:hAnsiTheme="majorHAnsi" w:cstheme="majorHAnsi"/>
          <w:sz w:val="24"/>
          <w:szCs w:val="24"/>
          <w:lang w:val="ro-MD"/>
        </w:rPr>
        <w:t xml:space="preserve"> </w:t>
      </w:r>
      <w:r w:rsidRPr="00E33BAB">
        <w:rPr>
          <w:rFonts w:asciiTheme="majorHAnsi" w:eastAsia="Calibri" w:hAnsiTheme="majorHAnsi" w:cstheme="majorHAnsi"/>
          <w:sz w:val="24"/>
          <w:szCs w:val="24"/>
          <w:lang w:val="ro-MD"/>
        </w:rPr>
        <w:t xml:space="preserve"> stabilesc rezultate care urmează a fi</w:t>
      </w:r>
      <w:r w:rsidR="004035E2" w:rsidRPr="00E33BAB">
        <w:rPr>
          <w:rFonts w:asciiTheme="majorHAnsi" w:eastAsia="Calibri" w:hAnsiTheme="majorHAnsi" w:cstheme="majorHAnsi"/>
          <w:sz w:val="24"/>
          <w:szCs w:val="24"/>
          <w:lang w:val="ro-MD"/>
        </w:rPr>
        <w:t xml:space="preserve"> realiza</w:t>
      </w:r>
      <w:r w:rsidR="004C575E" w:rsidRPr="00E33BAB">
        <w:rPr>
          <w:rFonts w:asciiTheme="majorHAnsi" w:eastAsia="Calibri" w:hAnsiTheme="majorHAnsi" w:cstheme="majorHAnsi"/>
          <w:sz w:val="24"/>
          <w:szCs w:val="24"/>
          <w:lang w:val="ro-MD"/>
        </w:rPr>
        <w:t xml:space="preserve">te de </w:t>
      </w:r>
      <w:r w:rsidR="004C575E" w:rsidRPr="00B65D07">
        <w:rPr>
          <w:rFonts w:asciiTheme="majorHAnsi" w:eastAsia="Calibri" w:hAnsiTheme="majorHAnsi" w:cstheme="majorHAnsi"/>
          <w:sz w:val="24"/>
          <w:szCs w:val="24"/>
          <w:lang w:val="ro-MD"/>
        </w:rPr>
        <w:t>MSMPS și CNAM (</w:t>
      </w:r>
      <w:r w:rsidR="00606158" w:rsidRPr="00B65D07">
        <w:rPr>
          <w:rFonts w:asciiTheme="majorHAnsi" w:eastAsia="Calibri" w:hAnsiTheme="majorHAnsi" w:cstheme="majorHAnsi"/>
          <w:sz w:val="24"/>
          <w:szCs w:val="24"/>
          <w:lang w:val="ro-MD"/>
        </w:rPr>
        <w:t>Anexele</w:t>
      </w:r>
      <w:r w:rsidR="004C575E" w:rsidRPr="00B65D07">
        <w:rPr>
          <w:rFonts w:asciiTheme="majorHAnsi" w:eastAsia="Calibri" w:hAnsiTheme="majorHAnsi" w:cstheme="majorHAnsi"/>
          <w:sz w:val="24"/>
          <w:szCs w:val="24"/>
          <w:lang w:val="ro-MD"/>
        </w:rPr>
        <w:t xml:space="preserve"> </w:t>
      </w:r>
      <w:r w:rsidR="00202CE7" w:rsidRPr="00B65D07">
        <w:rPr>
          <w:rFonts w:asciiTheme="majorHAnsi" w:eastAsia="Calibri" w:hAnsiTheme="majorHAnsi" w:cstheme="majorHAnsi"/>
          <w:sz w:val="24"/>
          <w:szCs w:val="24"/>
          <w:lang w:val="ro-MD"/>
        </w:rPr>
        <w:t xml:space="preserve">nr. 1, </w:t>
      </w:r>
      <w:r w:rsidR="00375555" w:rsidRPr="00B65D07">
        <w:rPr>
          <w:rFonts w:asciiTheme="majorHAnsi" w:eastAsia="Calibri" w:hAnsiTheme="majorHAnsi" w:cstheme="majorHAnsi"/>
          <w:sz w:val="24"/>
          <w:szCs w:val="24"/>
          <w:lang w:val="ro-MD"/>
        </w:rPr>
        <w:t>nr.</w:t>
      </w:r>
      <w:r w:rsidR="005D445A" w:rsidRPr="00B65D07">
        <w:rPr>
          <w:rFonts w:asciiTheme="majorHAnsi" w:eastAsia="Calibri" w:hAnsiTheme="majorHAnsi" w:cstheme="majorHAnsi"/>
          <w:sz w:val="24"/>
          <w:szCs w:val="24"/>
          <w:lang w:val="ro-MD"/>
        </w:rPr>
        <w:t xml:space="preserve">6, </w:t>
      </w:r>
      <w:r w:rsidR="00375555" w:rsidRPr="00B65D07">
        <w:rPr>
          <w:rFonts w:asciiTheme="majorHAnsi" w:eastAsia="Calibri" w:hAnsiTheme="majorHAnsi" w:cstheme="majorHAnsi"/>
          <w:sz w:val="24"/>
          <w:szCs w:val="24"/>
          <w:lang w:val="ro-MD"/>
        </w:rPr>
        <w:t>nr.</w:t>
      </w:r>
      <w:r w:rsidR="00D64EE1" w:rsidRPr="00B65D07">
        <w:rPr>
          <w:rFonts w:asciiTheme="majorHAnsi" w:eastAsia="Calibri" w:hAnsiTheme="majorHAnsi" w:cstheme="majorHAnsi"/>
          <w:sz w:val="24"/>
          <w:szCs w:val="24"/>
          <w:lang w:val="ro-MD"/>
        </w:rPr>
        <w:t xml:space="preserve"> </w:t>
      </w:r>
      <w:r w:rsidR="00202CE7" w:rsidRPr="00B65D07">
        <w:rPr>
          <w:rFonts w:asciiTheme="majorHAnsi" w:eastAsia="Calibri" w:hAnsiTheme="majorHAnsi" w:cstheme="majorHAnsi"/>
          <w:sz w:val="24"/>
          <w:szCs w:val="24"/>
          <w:lang w:val="ro-MD"/>
        </w:rPr>
        <w:t>7</w:t>
      </w:r>
      <w:r w:rsidR="004035E2" w:rsidRPr="00B65D07">
        <w:rPr>
          <w:rFonts w:asciiTheme="majorHAnsi" w:eastAsia="Calibri" w:hAnsiTheme="majorHAnsi" w:cstheme="majorHAnsi"/>
          <w:sz w:val="24"/>
          <w:szCs w:val="24"/>
          <w:lang w:val="ro-MD"/>
        </w:rPr>
        <w:t>), fiind măsurate prin indicatori spec</w:t>
      </w:r>
      <w:r w:rsidRPr="00B65D07">
        <w:rPr>
          <w:rFonts w:asciiTheme="majorHAnsi" w:eastAsia="Calibri" w:hAnsiTheme="majorHAnsi" w:cstheme="majorHAnsi"/>
          <w:sz w:val="24"/>
          <w:szCs w:val="24"/>
          <w:lang w:val="ro-MD"/>
        </w:rPr>
        <w:t>ifici legați de debursări (ILD). Se menționează că</w:t>
      </w:r>
      <w:r w:rsidR="004035E2" w:rsidRPr="00B65D07">
        <w:rPr>
          <w:rFonts w:asciiTheme="majorHAnsi" w:eastAsia="Calibri" w:hAnsiTheme="majorHAnsi" w:cstheme="majorHAnsi"/>
          <w:sz w:val="24"/>
          <w:szCs w:val="24"/>
          <w:lang w:val="ro-MD"/>
        </w:rPr>
        <w:t xml:space="preserve"> cota de finanțare alocată fiecărui indicator corespunde nivelului de efort necesar p</w:t>
      </w:r>
      <w:r w:rsidRPr="00B65D07">
        <w:rPr>
          <w:rFonts w:asciiTheme="majorHAnsi" w:eastAsia="Calibri" w:hAnsiTheme="majorHAnsi" w:cstheme="majorHAnsi"/>
          <w:sz w:val="24"/>
          <w:szCs w:val="24"/>
          <w:lang w:val="ro-MD"/>
        </w:rPr>
        <w:t>entru realizarea acestuia</w:t>
      </w:r>
      <w:r w:rsidR="00AB4C0A" w:rsidRPr="00B65D07">
        <w:rPr>
          <w:rFonts w:asciiTheme="majorHAnsi" w:eastAsia="Calibri" w:hAnsiTheme="majorHAnsi" w:cstheme="majorHAnsi"/>
          <w:sz w:val="24"/>
          <w:szCs w:val="24"/>
          <w:lang w:val="ro-MD"/>
        </w:rPr>
        <w:t xml:space="preserve">, </w:t>
      </w:r>
      <w:r w:rsidRPr="00B65D07">
        <w:rPr>
          <w:rFonts w:asciiTheme="majorHAnsi" w:eastAsia="Calibri" w:hAnsiTheme="majorHAnsi" w:cstheme="majorHAnsi"/>
          <w:sz w:val="24"/>
          <w:szCs w:val="24"/>
          <w:lang w:val="ro-MD"/>
        </w:rPr>
        <w:t>fiind evidențiat rolul</w:t>
      </w:r>
      <w:r w:rsidR="004035E2" w:rsidRPr="00B65D07">
        <w:rPr>
          <w:rFonts w:asciiTheme="majorHAnsi" w:eastAsia="Calibri" w:hAnsiTheme="majorHAnsi" w:cstheme="majorHAnsi"/>
          <w:sz w:val="24"/>
          <w:szCs w:val="24"/>
          <w:lang w:val="ro-MD"/>
        </w:rPr>
        <w:t xml:space="preserve"> în vederea atingerii obiectivului de dezvoltare</w:t>
      </w:r>
      <w:r w:rsidR="004035E2" w:rsidRPr="005A4968">
        <w:rPr>
          <w:rFonts w:asciiTheme="majorHAnsi" w:eastAsia="Calibri" w:hAnsiTheme="majorHAnsi" w:cstheme="majorHAnsi"/>
          <w:sz w:val="24"/>
          <w:szCs w:val="24"/>
          <w:lang w:val="ro-MD"/>
        </w:rPr>
        <w:t xml:space="preserve"> al Operațiunii. Astfel, fondurile creditului se debursează de </w:t>
      </w:r>
      <w:r w:rsidRPr="005A4968">
        <w:rPr>
          <w:rFonts w:asciiTheme="majorHAnsi" w:eastAsia="Calibri" w:hAnsiTheme="majorHAnsi" w:cstheme="majorHAnsi"/>
          <w:sz w:val="24"/>
          <w:szCs w:val="24"/>
          <w:lang w:val="ro-MD"/>
        </w:rPr>
        <w:t xml:space="preserve">către </w:t>
      </w:r>
      <w:r w:rsidR="004035E2" w:rsidRPr="005A4968">
        <w:rPr>
          <w:rFonts w:asciiTheme="majorHAnsi" w:eastAsia="Calibri" w:hAnsiTheme="majorHAnsi" w:cstheme="majorHAnsi"/>
          <w:sz w:val="24"/>
          <w:szCs w:val="24"/>
          <w:lang w:val="ro-MD"/>
        </w:rPr>
        <w:t>Ministerul Finanțelor în funcție de nivelul de</w:t>
      </w:r>
      <w:r w:rsidR="004035E2" w:rsidRPr="00E33BAB">
        <w:rPr>
          <w:rFonts w:asciiTheme="majorHAnsi" w:eastAsia="Calibri" w:hAnsiTheme="majorHAnsi" w:cstheme="majorHAnsi"/>
          <w:sz w:val="24"/>
          <w:szCs w:val="24"/>
          <w:lang w:val="ro-MD"/>
        </w:rPr>
        <w:t xml:space="preserve"> îndeplinire </w:t>
      </w:r>
      <w:r w:rsidR="00AB4C0A" w:rsidRPr="00E33BAB">
        <w:rPr>
          <w:rFonts w:asciiTheme="majorHAnsi" w:eastAsia="Calibri" w:hAnsiTheme="majorHAnsi" w:cstheme="majorHAnsi"/>
          <w:sz w:val="24"/>
          <w:szCs w:val="24"/>
          <w:lang w:val="ro-MD"/>
        </w:rPr>
        <w:t xml:space="preserve">de către părțile implicate </w:t>
      </w:r>
      <w:r w:rsidR="004035E2" w:rsidRPr="00E33BAB">
        <w:rPr>
          <w:rFonts w:asciiTheme="majorHAnsi" w:eastAsia="Calibri" w:hAnsiTheme="majorHAnsi" w:cstheme="majorHAnsi"/>
          <w:sz w:val="24"/>
          <w:szCs w:val="24"/>
          <w:lang w:val="ro-MD"/>
        </w:rPr>
        <w:t>a indicatorilor aferenți debursărilor.</w:t>
      </w:r>
      <w:r w:rsidR="00AB4C0A" w:rsidRPr="00AB4C0A">
        <w:rPr>
          <w:rFonts w:asciiTheme="majorHAnsi" w:eastAsia="Calibri" w:hAnsiTheme="majorHAnsi" w:cstheme="majorHAnsi"/>
          <w:sz w:val="24"/>
          <w:szCs w:val="24"/>
          <w:lang w:val="ro-MD"/>
        </w:rPr>
        <w:t xml:space="preserve"> </w:t>
      </w:r>
    </w:p>
    <w:p w14:paraId="00980465" w14:textId="097EEB6A" w:rsidR="005D445A" w:rsidRPr="00E33BAB" w:rsidRDefault="00C43BFE" w:rsidP="005D445A">
      <w:pPr>
        <w:tabs>
          <w:tab w:val="left" w:pos="720"/>
        </w:tabs>
        <w:spacing w:after="0" w:line="276" w:lineRule="auto"/>
        <w:ind w:right="-29"/>
        <w:jc w:val="both"/>
        <w:rPr>
          <w:rFonts w:asciiTheme="majorHAnsi" w:eastAsia="Calibri" w:hAnsiTheme="majorHAnsi" w:cstheme="majorHAnsi"/>
          <w:sz w:val="24"/>
          <w:szCs w:val="24"/>
          <w:lang w:val="ro-MD"/>
        </w:rPr>
      </w:pPr>
      <w:r w:rsidRPr="00E33BAB">
        <w:rPr>
          <w:rFonts w:asciiTheme="majorHAnsi" w:eastAsia="Calibri" w:hAnsiTheme="majorHAnsi" w:cstheme="majorHAnsi"/>
          <w:sz w:val="24"/>
          <w:szCs w:val="24"/>
          <w:lang w:val="ro-MD"/>
        </w:rPr>
        <w:t>Analiza de audit denotă că p</w:t>
      </w:r>
      <w:r w:rsidR="004035E2" w:rsidRPr="00E33BAB">
        <w:rPr>
          <w:rFonts w:asciiTheme="majorHAnsi" w:eastAsia="Calibri" w:hAnsiTheme="majorHAnsi" w:cstheme="majorHAnsi"/>
          <w:sz w:val="24"/>
          <w:szCs w:val="24"/>
          <w:lang w:val="ro-MD"/>
        </w:rPr>
        <w:t>rin Legea bugetului de stat pentru anul 2020</w:t>
      </w:r>
      <w:r w:rsidR="004035E2" w:rsidRPr="00E33BAB">
        <w:rPr>
          <w:rFonts w:asciiTheme="majorHAnsi" w:eastAsia="Calibri" w:hAnsiTheme="majorHAnsi" w:cstheme="majorHAnsi"/>
          <w:sz w:val="24"/>
          <w:szCs w:val="24"/>
          <w:vertAlign w:val="superscript"/>
          <w:lang w:val="ro-MD"/>
        </w:rPr>
        <w:footnoteReference w:id="7"/>
      </w:r>
      <w:r w:rsidR="004035E2" w:rsidRPr="00E33BAB">
        <w:rPr>
          <w:rFonts w:asciiTheme="majorHAnsi" w:eastAsia="Calibri" w:hAnsiTheme="majorHAnsi" w:cstheme="majorHAnsi"/>
          <w:sz w:val="24"/>
          <w:szCs w:val="24"/>
          <w:lang w:val="ro-MD"/>
        </w:rPr>
        <w:t xml:space="preserve"> au fost </w:t>
      </w:r>
      <w:r w:rsidRPr="00E33BAB">
        <w:rPr>
          <w:rFonts w:asciiTheme="majorHAnsi" w:eastAsia="Calibri" w:hAnsiTheme="majorHAnsi" w:cstheme="majorHAnsi"/>
          <w:sz w:val="24"/>
          <w:szCs w:val="24"/>
          <w:lang w:val="ro-MD"/>
        </w:rPr>
        <w:t xml:space="preserve">planificate și </w:t>
      </w:r>
      <w:r w:rsidR="004035E2" w:rsidRPr="00E33BAB">
        <w:rPr>
          <w:rFonts w:asciiTheme="majorHAnsi" w:eastAsia="Calibri" w:hAnsiTheme="majorHAnsi" w:cstheme="majorHAnsi"/>
          <w:sz w:val="24"/>
          <w:szCs w:val="24"/>
          <w:lang w:val="ro-MD"/>
        </w:rPr>
        <w:t>aprobate 76</w:t>
      </w:r>
      <w:r w:rsidRPr="00E33BAB">
        <w:rPr>
          <w:rFonts w:asciiTheme="majorHAnsi" w:eastAsia="Calibri" w:hAnsiTheme="majorHAnsi" w:cstheme="majorHAnsi"/>
          <w:sz w:val="24"/>
          <w:szCs w:val="24"/>
          <w:lang w:val="ro-MD"/>
        </w:rPr>
        <w:t>,</w:t>
      </w:r>
      <w:r w:rsidR="004035E2" w:rsidRPr="00E33BAB">
        <w:rPr>
          <w:rFonts w:asciiTheme="majorHAnsi" w:eastAsia="Calibri" w:hAnsiTheme="majorHAnsi" w:cstheme="majorHAnsi"/>
          <w:sz w:val="24"/>
          <w:szCs w:val="24"/>
          <w:lang w:val="ro-MD"/>
        </w:rPr>
        <w:t>8</w:t>
      </w:r>
      <w:r w:rsidRPr="00E33BAB">
        <w:rPr>
          <w:rFonts w:asciiTheme="majorHAnsi" w:eastAsia="Calibri" w:hAnsiTheme="majorHAnsi" w:cstheme="majorHAnsi"/>
          <w:sz w:val="24"/>
          <w:szCs w:val="24"/>
          <w:lang w:val="ro-MD"/>
        </w:rPr>
        <w:t xml:space="preserve"> mil</w:t>
      </w:r>
      <w:r w:rsidR="00C77C28">
        <w:rPr>
          <w:rFonts w:asciiTheme="majorHAnsi" w:eastAsia="Calibri" w:hAnsiTheme="majorHAnsi" w:cstheme="majorHAnsi"/>
          <w:sz w:val="24"/>
          <w:szCs w:val="24"/>
          <w:lang w:val="ro-MD"/>
        </w:rPr>
        <w:t>.</w:t>
      </w:r>
      <w:r w:rsidR="004035E2" w:rsidRPr="00E33BAB">
        <w:rPr>
          <w:rFonts w:asciiTheme="majorHAnsi" w:eastAsia="Calibri" w:hAnsiTheme="majorHAnsi" w:cstheme="majorHAnsi"/>
          <w:sz w:val="24"/>
          <w:szCs w:val="24"/>
          <w:lang w:val="ro-MD"/>
        </w:rPr>
        <w:t xml:space="preserve"> lei, din contul împrumutului acordat de BM pentru realizarea Pro</w:t>
      </w:r>
      <w:r w:rsidR="00E54133" w:rsidRPr="00E33BAB">
        <w:rPr>
          <w:rFonts w:asciiTheme="majorHAnsi" w:eastAsia="Calibri" w:hAnsiTheme="majorHAnsi" w:cstheme="majorHAnsi"/>
          <w:sz w:val="24"/>
          <w:szCs w:val="24"/>
          <w:lang w:val="ro-MD"/>
        </w:rPr>
        <w:t>gramului</w:t>
      </w:r>
      <w:r w:rsidRPr="00E33BAB">
        <w:rPr>
          <w:rFonts w:asciiTheme="majorHAnsi" w:eastAsia="Calibri" w:hAnsiTheme="majorHAnsi" w:cstheme="majorHAnsi"/>
          <w:sz w:val="24"/>
          <w:szCs w:val="24"/>
          <w:lang w:val="ro-MD"/>
        </w:rPr>
        <w:t>,</w:t>
      </w:r>
      <w:r w:rsidR="004035E2" w:rsidRPr="00E33BAB">
        <w:rPr>
          <w:rFonts w:asciiTheme="majorHAnsi" w:eastAsia="Calibri" w:hAnsiTheme="majorHAnsi" w:cstheme="majorHAnsi"/>
          <w:sz w:val="24"/>
          <w:szCs w:val="24"/>
          <w:lang w:val="ro-MD"/>
        </w:rPr>
        <w:t xml:space="preserve"> însă </w:t>
      </w:r>
      <w:r w:rsidR="00C77C28" w:rsidRPr="00E33BAB">
        <w:rPr>
          <w:rFonts w:asciiTheme="majorHAnsi" w:eastAsia="Calibri" w:hAnsiTheme="majorHAnsi" w:cstheme="majorHAnsi"/>
          <w:sz w:val="24"/>
          <w:szCs w:val="24"/>
          <w:lang w:val="ro-MD"/>
        </w:rPr>
        <w:t>mijloace</w:t>
      </w:r>
      <w:r w:rsidR="00C77C28">
        <w:rPr>
          <w:rFonts w:asciiTheme="majorHAnsi" w:eastAsia="Calibri" w:hAnsiTheme="majorHAnsi" w:cstheme="majorHAnsi"/>
          <w:sz w:val="24"/>
          <w:szCs w:val="24"/>
          <w:lang w:val="ro-MD"/>
        </w:rPr>
        <w:t>le</w:t>
      </w:r>
      <w:r w:rsidR="00C77C28" w:rsidRPr="00E33BAB">
        <w:rPr>
          <w:rFonts w:asciiTheme="majorHAnsi" w:eastAsia="Calibri" w:hAnsiTheme="majorHAnsi" w:cstheme="majorHAnsi"/>
          <w:sz w:val="24"/>
          <w:szCs w:val="24"/>
          <w:lang w:val="ro-MD"/>
        </w:rPr>
        <w:t xml:space="preserve"> financiare </w:t>
      </w:r>
      <w:r w:rsidR="004035E2" w:rsidRPr="00E33BAB">
        <w:rPr>
          <w:rFonts w:asciiTheme="majorHAnsi" w:eastAsia="Calibri" w:hAnsiTheme="majorHAnsi" w:cstheme="majorHAnsi"/>
          <w:sz w:val="24"/>
          <w:szCs w:val="24"/>
          <w:lang w:val="ro-MD"/>
        </w:rPr>
        <w:t xml:space="preserve">nu au fost alocate, deoarece </w:t>
      </w:r>
      <w:r w:rsidRPr="00E33BAB">
        <w:rPr>
          <w:rFonts w:asciiTheme="majorHAnsi" w:eastAsia="Calibri" w:hAnsiTheme="majorHAnsi" w:cstheme="majorHAnsi"/>
          <w:sz w:val="24"/>
          <w:szCs w:val="24"/>
          <w:lang w:val="ro-MD"/>
        </w:rPr>
        <w:t xml:space="preserve">instituțiile responsabile de implementare </w:t>
      </w:r>
      <w:r w:rsidR="004035E2" w:rsidRPr="00E33BAB">
        <w:rPr>
          <w:rFonts w:asciiTheme="majorHAnsi" w:eastAsia="Calibri" w:hAnsiTheme="majorHAnsi" w:cstheme="majorHAnsi"/>
          <w:sz w:val="24"/>
          <w:szCs w:val="24"/>
          <w:lang w:val="ro-MD"/>
        </w:rPr>
        <w:t>nu au realizat niciun in</w:t>
      </w:r>
      <w:r w:rsidRPr="00E33BAB">
        <w:rPr>
          <w:rFonts w:asciiTheme="majorHAnsi" w:eastAsia="Calibri" w:hAnsiTheme="majorHAnsi" w:cstheme="majorHAnsi"/>
          <w:sz w:val="24"/>
          <w:szCs w:val="24"/>
          <w:lang w:val="ro-MD"/>
        </w:rPr>
        <w:t>dicator legat de debursare.</w:t>
      </w:r>
    </w:p>
    <w:p w14:paraId="0E31C636" w14:textId="5EDA51ED" w:rsidR="005A4968" w:rsidRPr="00B65D07" w:rsidRDefault="00C43BFE" w:rsidP="005D445A">
      <w:pPr>
        <w:tabs>
          <w:tab w:val="left" w:pos="720"/>
        </w:tabs>
        <w:spacing w:after="0" w:line="276" w:lineRule="auto"/>
        <w:ind w:right="-29"/>
        <w:jc w:val="both"/>
        <w:rPr>
          <w:rFonts w:asciiTheme="majorHAnsi" w:eastAsia="Calibri" w:hAnsiTheme="majorHAnsi" w:cstheme="majorHAnsi"/>
          <w:sz w:val="24"/>
          <w:szCs w:val="24"/>
          <w:lang w:val="ro-MD"/>
        </w:rPr>
      </w:pPr>
      <w:r w:rsidRPr="00B65D07">
        <w:rPr>
          <w:rFonts w:asciiTheme="majorHAnsi" w:eastAsia="Calibri" w:hAnsiTheme="majorHAnsi" w:cstheme="majorHAnsi"/>
          <w:sz w:val="24"/>
          <w:szCs w:val="24"/>
          <w:lang w:val="ro-MD"/>
        </w:rPr>
        <w:t xml:space="preserve">Pentru anul 2020 </w:t>
      </w:r>
      <w:r w:rsidR="00CF6BE0" w:rsidRPr="00B65D07">
        <w:rPr>
          <w:rFonts w:asciiTheme="majorHAnsi" w:eastAsia="Calibri" w:hAnsiTheme="majorHAnsi" w:cstheme="majorHAnsi"/>
          <w:sz w:val="24"/>
          <w:szCs w:val="24"/>
          <w:lang w:val="ro-MD"/>
        </w:rPr>
        <w:t>s-</w:t>
      </w:r>
      <w:r w:rsidRPr="00B65D07">
        <w:rPr>
          <w:rFonts w:asciiTheme="majorHAnsi" w:eastAsia="Calibri" w:hAnsiTheme="majorHAnsi" w:cstheme="majorHAnsi"/>
          <w:sz w:val="24"/>
          <w:szCs w:val="24"/>
          <w:lang w:val="ro-MD"/>
        </w:rPr>
        <w:t>au planifica</w:t>
      </w:r>
      <w:r w:rsidR="00CF6BE0" w:rsidRPr="00B65D07">
        <w:rPr>
          <w:rFonts w:asciiTheme="majorHAnsi" w:eastAsia="Calibri" w:hAnsiTheme="majorHAnsi" w:cstheme="majorHAnsi"/>
          <w:sz w:val="24"/>
          <w:szCs w:val="24"/>
          <w:lang w:val="ro-MD"/>
        </w:rPr>
        <w:t>t</w:t>
      </w:r>
      <w:r w:rsidRPr="00B65D07">
        <w:rPr>
          <w:rFonts w:asciiTheme="majorHAnsi" w:eastAsia="Calibri" w:hAnsiTheme="majorHAnsi" w:cstheme="majorHAnsi"/>
          <w:sz w:val="24"/>
          <w:szCs w:val="24"/>
          <w:lang w:val="ro-MD"/>
        </w:rPr>
        <w:t xml:space="preserve"> patru indicatori care nu au fost atinși în perioadele precedente, după cum urmează:</w:t>
      </w:r>
    </w:p>
    <w:p w14:paraId="1E29CD35" w14:textId="43C14203" w:rsidR="004035E2" w:rsidRPr="00E33BAB" w:rsidRDefault="004035E2" w:rsidP="005D445A">
      <w:pPr>
        <w:pStyle w:val="ListParagraph"/>
        <w:numPr>
          <w:ilvl w:val="0"/>
          <w:numId w:val="10"/>
        </w:numPr>
        <w:spacing w:line="276" w:lineRule="auto"/>
        <w:ind w:left="0" w:right="-29" w:firstLine="360"/>
        <w:jc w:val="both"/>
        <w:rPr>
          <w:rFonts w:asciiTheme="majorHAnsi" w:eastAsia="Calibri" w:hAnsiTheme="majorHAnsi" w:cstheme="majorHAnsi"/>
          <w:sz w:val="24"/>
          <w:szCs w:val="24"/>
          <w:lang w:val="ro-MD"/>
        </w:rPr>
      </w:pPr>
      <w:r w:rsidRPr="00B65D07">
        <w:rPr>
          <w:rFonts w:asciiTheme="majorHAnsi" w:eastAsia="Calibri" w:hAnsiTheme="majorHAnsi" w:cstheme="majorHAnsi"/>
          <w:sz w:val="24"/>
          <w:szCs w:val="24"/>
          <w:lang w:val="ro-MD"/>
        </w:rPr>
        <w:t xml:space="preserve"> </w:t>
      </w:r>
      <w:r w:rsidR="00B65D07" w:rsidRPr="00B65D07">
        <w:rPr>
          <w:rFonts w:asciiTheme="majorHAnsi" w:eastAsia="Calibri" w:hAnsiTheme="majorHAnsi" w:cstheme="majorHAnsi"/>
          <w:sz w:val="24"/>
          <w:szCs w:val="24"/>
          <w:lang w:val="ro-MD"/>
        </w:rPr>
        <w:t>ILD</w:t>
      </w:r>
      <w:r w:rsidRPr="00B65D07">
        <w:rPr>
          <w:rFonts w:asciiTheme="majorHAnsi" w:eastAsia="Calibri" w:hAnsiTheme="majorHAnsi" w:cstheme="majorHAnsi"/>
          <w:sz w:val="24"/>
          <w:szCs w:val="24"/>
          <w:lang w:val="ro-MD"/>
        </w:rPr>
        <w:t xml:space="preserve"> 1.1</w:t>
      </w:r>
      <w:r w:rsidR="00761A2F" w:rsidRPr="00B65D07">
        <w:rPr>
          <w:rFonts w:asciiTheme="majorHAnsi" w:eastAsia="Calibri" w:hAnsiTheme="majorHAnsi" w:cstheme="majorHAnsi"/>
          <w:sz w:val="24"/>
          <w:szCs w:val="24"/>
          <w:lang w:val="ro-MD"/>
        </w:rPr>
        <w:t xml:space="preserve">. </w:t>
      </w:r>
      <w:r w:rsidRPr="00B65D07">
        <w:rPr>
          <w:rFonts w:asciiTheme="majorHAnsi" w:eastAsia="Calibri" w:hAnsiTheme="majorHAnsi" w:cstheme="majorHAnsi"/>
          <w:sz w:val="24"/>
          <w:szCs w:val="24"/>
          <w:lang w:val="ro-MD"/>
        </w:rPr>
        <w:t xml:space="preserve"> </w:t>
      </w:r>
      <w:r w:rsidRPr="00B65D07">
        <w:rPr>
          <w:rFonts w:asciiTheme="majorHAnsi" w:eastAsia="Calibri" w:hAnsiTheme="majorHAnsi" w:cstheme="majorHAnsi"/>
          <w:b/>
          <w:i/>
          <w:sz w:val="24"/>
          <w:szCs w:val="24"/>
          <w:lang w:val="ro-MD"/>
        </w:rPr>
        <w:t>„</w:t>
      </w:r>
      <w:bookmarkStart w:id="4" w:name="OLE_LINK146"/>
      <w:bookmarkStart w:id="5" w:name="OLE_LINK147"/>
      <w:bookmarkStart w:id="6" w:name="OLE_LINK148"/>
      <w:r w:rsidRPr="00B65D07">
        <w:rPr>
          <w:rFonts w:asciiTheme="majorHAnsi" w:eastAsia="Calibri" w:hAnsiTheme="majorHAnsi" w:cstheme="majorHAnsi"/>
          <w:b/>
          <w:i/>
          <w:sz w:val="24"/>
          <w:szCs w:val="24"/>
          <w:lang w:val="ro-MD"/>
        </w:rPr>
        <w:t xml:space="preserve">Începând cu anul 2018, toate țigările importate și </w:t>
      </w:r>
      <w:r w:rsidR="00761A2F" w:rsidRPr="00B65D07">
        <w:rPr>
          <w:rFonts w:asciiTheme="majorHAnsi" w:eastAsia="Calibri" w:hAnsiTheme="majorHAnsi" w:cstheme="majorHAnsi"/>
          <w:b/>
          <w:i/>
          <w:sz w:val="24"/>
          <w:szCs w:val="24"/>
          <w:lang w:val="ro-MD"/>
        </w:rPr>
        <w:t xml:space="preserve">cele </w:t>
      </w:r>
      <w:r w:rsidRPr="00B65D07">
        <w:rPr>
          <w:rFonts w:asciiTheme="majorHAnsi" w:eastAsia="Calibri" w:hAnsiTheme="majorHAnsi" w:cstheme="majorHAnsi"/>
          <w:b/>
          <w:i/>
          <w:sz w:val="24"/>
          <w:szCs w:val="24"/>
          <w:lang w:val="ro-MD"/>
        </w:rPr>
        <w:t>produse la nivel local</w:t>
      </w:r>
      <w:r w:rsidR="00D17300" w:rsidRPr="00B65D07">
        <w:rPr>
          <w:rFonts w:asciiTheme="majorHAnsi" w:eastAsia="Calibri" w:hAnsiTheme="majorHAnsi" w:cstheme="majorHAnsi"/>
          <w:b/>
          <w:i/>
          <w:sz w:val="24"/>
          <w:szCs w:val="24"/>
          <w:lang w:val="ro-MD"/>
        </w:rPr>
        <w:t>,</w:t>
      </w:r>
      <w:r w:rsidRPr="00B65D07">
        <w:rPr>
          <w:rFonts w:asciiTheme="majorHAnsi" w:eastAsia="Calibri" w:hAnsiTheme="majorHAnsi" w:cstheme="majorHAnsi"/>
          <w:b/>
          <w:i/>
          <w:sz w:val="24"/>
          <w:szCs w:val="24"/>
          <w:lang w:val="ro-MD"/>
        </w:rPr>
        <w:t xml:space="preserve"> p</w:t>
      </w:r>
      <w:r w:rsidR="00D17300" w:rsidRPr="00B65D07">
        <w:rPr>
          <w:rFonts w:asciiTheme="majorHAnsi" w:eastAsia="Calibri" w:hAnsiTheme="majorHAnsi" w:cstheme="majorHAnsi"/>
          <w:b/>
          <w:i/>
          <w:sz w:val="24"/>
          <w:szCs w:val="24"/>
          <w:lang w:val="ro-MD"/>
        </w:rPr>
        <w:t>rezente</w:t>
      </w:r>
      <w:r w:rsidRPr="00B65D07">
        <w:rPr>
          <w:rFonts w:asciiTheme="majorHAnsi" w:eastAsia="Calibri" w:hAnsiTheme="majorHAnsi" w:cstheme="majorHAnsi"/>
          <w:b/>
          <w:i/>
          <w:sz w:val="24"/>
          <w:szCs w:val="24"/>
          <w:lang w:val="ro-MD"/>
        </w:rPr>
        <w:t xml:space="preserve"> pe piață</w:t>
      </w:r>
      <w:r w:rsidR="00D17300" w:rsidRPr="00B65D07">
        <w:rPr>
          <w:rFonts w:asciiTheme="majorHAnsi" w:eastAsia="Calibri" w:hAnsiTheme="majorHAnsi" w:cstheme="majorHAnsi"/>
          <w:b/>
          <w:i/>
          <w:sz w:val="24"/>
          <w:szCs w:val="24"/>
          <w:lang w:val="ro-MD"/>
        </w:rPr>
        <w:t>,</w:t>
      </w:r>
      <w:r w:rsidRPr="00B65D07">
        <w:rPr>
          <w:rFonts w:asciiTheme="majorHAnsi" w:eastAsia="Calibri" w:hAnsiTheme="majorHAnsi" w:cstheme="majorHAnsi"/>
          <w:b/>
          <w:i/>
          <w:sz w:val="24"/>
          <w:szCs w:val="24"/>
          <w:lang w:val="ro-MD"/>
        </w:rPr>
        <w:t xml:space="preserve"> </w:t>
      </w:r>
      <w:r w:rsidR="00D17300" w:rsidRPr="00B65D07">
        <w:rPr>
          <w:rFonts w:asciiTheme="majorHAnsi" w:eastAsia="Calibri" w:hAnsiTheme="majorHAnsi" w:cstheme="majorHAnsi"/>
          <w:b/>
          <w:i/>
          <w:sz w:val="24"/>
          <w:szCs w:val="24"/>
          <w:lang w:val="ro-MD"/>
        </w:rPr>
        <w:t xml:space="preserve">sunt </w:t>
      </w:r>
      <w:r w:rsidRPr="00B65D07">
        <w:rPr>
          <w:rFonts w:asciiTheme="majorHAnsi" w:eastAsia="Calibri" w:hAnsiTheme="majorHAnsi" w:cstheme="majorHAnsi"/>
          <w:b/>
          <w:i/>
          <w:sz w:val="24"/>
          <w:szCs w:val="24"/>
          <w:lang w:val="ro-MD"/>
        </w:rPr>
        <w:t xml:space="preserve">în conformitate cu </w:t>
      </w:r>
      <w:r w:rsidR="00761A2F" w:rsidRPr="00B65D07">
        <w:rPr>
          <w:rFonts w:asciiTheme="majorHAnsi" w:eastAsia="Calibri" w:hAnsiTheme="majorHAnsi" w:cstheme="majorHAnsi"/>
          <w:b/>
          <w:i/>
          <w:sz w:val="24"/>
          <w:szCs w:val="24"/>
          <w:lang w:val="ro-MD"/>
        </w:rPr>
        <w:t>R</w:t>
      </w:r>
      <w:r w:rsidRPr="00B65D07">
        <w:rPr>
          <w:rFonts w:asciiTheme="majorHAnsi" w:eastAsia="Calibri" w:hAnsiTheme="majorHAnsi" w:cstheme="majorHAnsi"/>
          <w:b/>
          <w:i/>
          <w:sz w:val="24"/>
          <w:szCs w:val="24"/>
          <w:lang w:val="ro-MD"/>
        </w:rPr>
        <w:t xml:space="preserve">egulamentul privind etichetarea </w:t>
      </w:r>
      <w:r w:rsidR="00ED5AB3" w:rsidRPr="00B65D07">
        <w:rPr>
          <w:rFonts w:asciiTheme="majorHAnsi" w:eastAsia="Calibri" w:hAnsiTheme="majorHAnsi" w:cstheme="majorHAnsi"/>
          <w:b/>
          <w:i/>
          <w:sz w:val="24"/>
          <w:szCs w:val="24"/>
          <w:lang w:val="ro-MD"/>
        </w:rPr>
        <w:t>produselor din</w:t>
      </w:r>
      <w:r w:rsidR="00D17300" w:rsidRPr="00B65D07">
        <w:rPr>
          <w:rFonts w:asciiTheme="majorHAnsi" w:eastAsia="Calibri" w:hAnsiTheme="majorHAnsi" w:cstheme="majorHAnsi"/>
          <w:b/>
          <w:i/>
          <w:sz w:val="24"/>
          <w:szCs w:val="24"/>
          <w:lang w:val="ro-MD"/>
        </w:rPr>
        <w:t xml:space="preserve"> </w:t>
      </w:r>
      <w:r w:rsidRPr="00B65D07">
        <w:rPr>
          <w:rFonts w:asciiTheme="majorHAnsi" w:eastAsia="Calibri" w:hAnsiTheme="majorHAnsi" w:cstheme="majorHAnsi"/>
          <w:b/>
          <w:i/>
          <w:sz w:val="24"/>
          <w:szCs w:val="24"/>
          <w:lang w:val="ro-MD"/>
        </w:rPr>
        <w:t>tutun</w:t>
      </w:r>
      <w:bookmarkEnd w:id="4"/>
      <w:bookmarkEnd w:id="5"/>
      <w:bookmarkEnd w:id="6"/>
      <w:r w:rsidRPr="00B65D07">
        <w:rPr>
          <w:rFonts w:asciiTheme="majorHAnsi" w:eastAsia="Calibri" w:hAnsiTheme="majorHAnsi" w:cstheme="majorHAnsi"/>
          <w:b/>
          <w:i/>
          <w:sz w:val="24"/>
          <w:szCs w:val="24"/>
          <w:lang w:val="ro-MD"/>
        </w:rPr>
        <w:t>”</w:t>
      </w:r>
      <w:r w:rsidR="00130839" w:rsidRPr="00B65D07">
        <w:rPr>
          <w:rFonts w:asciiTheme="majorHAnsi" w:eastAsia="Calibri" w:hAnsiTheme="majorHAnsi" w:cstheme="majorHAnsi"/>
          <w:sz w:val="24"/>
          <w:szCs w:val="24"/>
          <w:lang w:val="ro-MD"/>
        </w:rPr>
        <w:t>.</w:t>
      </w:r>
      <w:r w:rsidR="00130839" w:rsidRPr="00E33BAB">
        <w:rPr>
          <w:rFonts w:asciiTheme="majorHAnsi" w:eastAsia="Calibri" w:hAnsiTheme="majorHAnsi" w:cstheme="majorHAnsi"/>
          <w:sz w:val="24"/>
          <w:szCs w:val="24"/>
          <w:lang w:val="ro-MD"/>
        </w:rPr>
        <w:t xml:space="preserve"> Acest indicator  </w:t>
      </w:r>
      <w:r w:rsidR="00202CE7" w:rsidRPr="00E33BAB">
        <w:rPr>
          <w:rFonts w:asciiTheme="majorHAnsi" w:eastAsia="Calibri" w:hAnsiTheme="majorHAnsi" w:cstheme="majorHAnsi"/>
          <w:sz w:val="24"/>
          <w:szCs w:val="24"/>
          <w:lang w:val="ro-MD"/>
        </w:rPr>
        <w:t xml:space="preserve">a </w:t>
      </w:r>
      <w:r w:rsidR="00130839" w:rsidRPr="00E33BAB">
        <w:rPr>
          <w:rFonts w:asciiTheme="majorHAnsi" w:eastAsia="Calibri" w:hAnsiTheme="majorHAnsi" w:cstheme="majorHAnsi"/>
          <w:sz w:val="24"/>
          <w:szCs w:val="24"/>
          <w:lang w:val="ro-MD"/>
        </w:rPr>
        <w:t>fost atins la finele</w:t>
      </w:r>
      <w:r w:rsidRPr="00E33BAB">
        <w:rPr>
          <w:rFonts w:asciiTheme="majorHAnsi" w:eastAsia="Calibri" w:hAnsiTheme="majorHAnsi" w:cstheme="majorHAnsi"/>
          <w:sz w:val="24"/>
          <w:szCs w:val="24"/>
          <w:lang w:val="ro-MD"/>
        </w:rPr>
        <w:t xml:space="preserve"> </w:t>
      </w:r>
      <w:r w:rsidR="00130839" w:rsidRPr="00E33BAB">
        <w:rPr>
          <w:rFonts w:asciiTheme="majorHAnsi" w:eastAsia="Calibri" w:hAnsiTheme="majorHAnsi" w:cstheme="majorHAnsi"/>
          <w:sz w:val="24"/>
          <w:szCs w:val="24"/>
          <w:lang w:val="ro-MD"/>
        </w:rPr>
        <w:t>anului 2017</w:t>
      </w:r>
      <w:r w:rsidRPr="00E33BAB">
        <w:rPr>
          <w:rFonts w:asciiTheme="majorHAnsi" w:eastAsia="Calibri" w:hAnsiTheme="majorHAnsi" w:cstheme="majorHAnsi"/>
          <w:sz w:val="24"/>
          <w:szCs w:val="24"/>
          <w:lang w:val="ro-MD"/>
        </w:rPr>
        <w:t>,</w:t>
      </w:r>
      <w:r w:rsidR="00130839" w:rsidRPr="00E33BAB">
        <w:rPr>
          <w:rFonts w:asciiTheme="majorHAnsi" w:eastAsia="Calibri" w:hAnsiTheme="majorHAnsi" w:cstheme="majorHAnsi"/>
          <w:sz w:val="24"/>
          <w:szCs w:val="24"/>
          <w:lang w:val="ro-MD"/>
        </w:rPr>
        <w:t xml:space="preserve"> </w:t>
      </w:r>
      <w:r w:rsidRPr="00E33BAB">
        <w:rPr>
          <w:rFonts w:asciiTheme="majorHAnsi" w:eastAsia="Calibri" w:hAnsiTheme="majorHAnsi" w:cstheme="majorHAnsi"/>
          <w:sz w:val="24"/>
          <w:szCs w:val="24"/>
          <w:lang w:val="ro-MD"/>
        </w:rPr>
        <w:t>toate pachetele de țigări conțin</w:t>
      </w:r>
      <w:r w:rsidR="00761A2F">
        <w:rPr>
          <w:rFonts w:asciiTheme="majorHAnsi" w:eastAsia="Calibri" w:hAnsiTheme="majorHAnsi" w:cstheme="majorHAnsi"/>
          <w:sz w:val="24"/>
          <w:szCs w:val="24"/>
          <w:lang w:val="ro-MD"/>
        </w:rPr>
        <w:t>ând</w:t>
      </w:r>
      <w:r w:rsidRPr="00E33BAB">
        <w:rPr>
          <w:rFonts w:asciiTheme="majorHAnsi" w:eastAsia="Calibri" w:hAnsiTheme="majorHAnsi" w:cstheme="majorHAnsi"/>
          <w:sz w:val="24"/>
          <w:szCs w:val="24"/>
          <w:lang w:val="ro-MD"/>
        </w:rPr>
        <w:t xml:space="preserve"> mesaje de avertisment </w:t>
      </w:r>
      <w:r w:rsidR="00130839" w:rsidRPr="00E33BAB">
        <w:rPr>
          <w:rFonts w:asciiTheme="majorHAnsi" w:eastAsia="Calibri" w:hAnsiTheme="majorHAnsi" w:cstheme="majorHAnsi"/>
          <w:sz w:val="24"/>
          <w:szCs w:val="24"/>
          <w:lang w:val="ro-MD"/>
        </w:rPr>
        <w:t>cu privire la riscul asupra sănătății</w:t>
      </w:r>
      <w:r w:rsidR="00761A2F">
        <w:rPr>
          <w:rFonts w:asciiTheme="majorHAnsi" w:eastAsia="Calibri" w:hAnsiTheme="majorHAnsi" w:cstheme="majorHAnsi"/>
          <w:sz w:val="24"/>
          <w:szCs w:val="24"/>
          <w:lang w:val="ro-MD"/>
        </w:rPr>
        <w:t>, care</w:t>
      </w:r>
      <w:r w:rsidR="00130839" w:rsidRPr="00E33BAB">
        <w:rPr>
          <w:rFonts w:asciiTheme="majorHAnsi" w:eastAsia="Calibri" w:hAnsiTheme="majorHAnsi" w:cstheme="majorHAnsi"/>
          <w:sz w:val="24"/>
          <w:szCs w:val="24"/>
          <w:lang w:val="ro-MD"/>
        </w:rPr>
        <w:t xml:space="preserve"> </w:t>
      </w:r>
      <w:r w:rsidRPr="00E33BAB">
        <w:rPr>
          <w:rFonts w:asciiTheme="majorHAnsi" w:eastAsia="Calibri" w:hAnsiTheme="majorHAnsi" w:cstheme="majorHAnsi"/>
          <w:sz w:val="24"/>
          <w:szCs w:val="24"/>
          <w:lang w:val="ro-MD"/>
        </w:rPr>
        <w:t>acop</w:t>
      </w:r>
      <w:r w:rsidR="00130839" w:rsidRPr="00E33BAB">
        <w:rPr>
          <w:rFonts w:asciiTheme="majorHAnsi" w:eastAsia="Calibri" w:hAnsiTheme="majorHAnsi" w:cstheme="majorHAnsi"/>
          <w:sz w:val="24"/>
          <w:szCs w:val="24"/>
          <w:lang w:val="ro-MD"/>
        </w:rPr>
        <w:t>eră</w:t>
      </w:r>
      <w:r w:rsidRPr="00E33BAB">
        <w:rPr>
          <w:rFonts w:asciiTheme="majorHAnsi" w:eastAsia="Calibri" w:hAnsiTheme="majorHAnsi" w:cstheme="majorHAnsi"/>
          <w:sz w:val="24"/>
          <w:szCs w:val="24"/>
          <w:lang w:val="ro-MD"/>
        </w:rPr>
        <w:t xml:space="preserve"> parțial suprafața </w:t>
      </w:r>
      <w:r w:rsidR="00761A2F">
        <w:rPr>
          <w:rFonts w:asciiTheme="majorHAnsi" w:eastAsia="Calibri" w:hAnsiTheme="majorHAnsi" w:cstheme="majorHAnsi"/>
          <w:sz w:val="24"/>
          <w:szCs w:val="24"/>
          <w:lang w:val="ro-MD"/>
        </w:rPr>
        <w:t>acestora</w:t>
      </w:r>
      <w:r w:rsidRPr="00E33BAB">
        <w:rPr>
          <w:rFonts w:asciiTheme="majorHAnsi" w:eastAsia="Calibri" w:hAnsiTheme="majorHAnsi" w:cstheme="majorHAnsi"/>
          <w:sz w:val="24"/>
          <w:szCs w:val="24"/>
          <w:lang w:val="ro-MD"/>
        </w:rPr>
        <w:t>. Validarea acestui indicator</w:t>
      </w:r>
      <w:r w:rsidR="00761A2F">
        <w:rPr>
          <w:rFonts w:asciiTheme="majorHAnsi" w:eastAsia="Calibri" w:hAnsiTheme="majorHAnsi" w:cstheme="majorHAnsi"/>
          <w:sz w:val="24"/>
          <w:szCs w:val="24"/>
          <w:lang w:val="ro-MD"/>
        </w:rPr>
        <w:t xml:space="preserve"> </w:t>
      </w:r>
      <w:r w:rsidRPr="00E33BAB">
        <w:rPr>
          <w:rFonts w:asciiTheme="majorHAnsi" w:eastAsia="Calibri" w:hAnsiTheme="majorHAnsi" w:cstheme="majorHAnsi"/>
          <w:sz w:val="24"/>
          <w:szCs w:val="24"/>
          <w:lang w:val="ro-MD"/>
        </w:rPr>
        <w:t xml:space="preserve"> s-a realizat de </w:t>
      </w:r>
      <w:r w:rsidR="00761A2F">
        <w:rPr>
          <w:rFonts w:asciiTheme="majorHAnsi" w:eastAsia="Calibri" w:hAnsiTheme="majorHAnsi" w:cstheme="majorHAnsi"/>
          <w:sz w:val="24"/>
          <w:szCs w:val="24"/>
          <w:lang w:val="ro-MD"/>
        </w:rPr>
        <w:t xml:space="preserve">către </w:t>
      </w:r>
      <w:r w:rsidRPr="00E33BAB">
        <w:rPr>
          <w:rFonts w:asciiTheme="majorHAnsi" w:eastAsia="Calibri" w:hAnsiTheme="majorHAnsi" w:cstheme="majorHAnsi"/>
          <w:sz w:val="24"/>
          <w:szCs w:val="24"/>
          <w:lang w:val="ro-MD"/>
        </w:rPr>
        <w:t>o entitate independentă, care a fost contractată în cadrul unei licitații deschise, în conform</w:t>
      </w:r>
      <w:r w:rsidR="00130839" w:rsidRPr="00E33BAB">
        <w:rPr>
          <w:rFonts w:asciiTheme="majorHAnsi" w:eastAsia="Calibri" w:hAnsiTheme="majorHAnsi" w:cstheme="majorHAnsi"/>
          <w:sz w:val="24"/>
          <w:szCs w:val="24"/>
          <w:lang w:val="ro-MD"/>
        </w:rPr>
        <w:t xml:space="preserve">itate cu metodologia </w:t>
      </w:r>
      <w:r w:rsidR="00130839" w:rsidRPr="00D03006">
        <w:rPr>
          <w:rFonts w:asciiTheme="majorHAnsi" w:eastAsia="Calibri" w:hAnsiTheme="majorHAnsi" w:cstheme="majorHAnsi"/>
          <w:sz w:val="24"/>
          <w:szCs w:val="24"/>
          <w:lang w:val="ro-MD"/>
        </w:rPr>
        <w:t>aprobată</w:t>
      </w:r>
      <w:r w:rsidRPr="00D03006">
        <w:rPr>
          <w:rFonts w:asciiTheme="majorHAnsi" w:eastAsia="Calibri" w:hAnsiTheme="majorHAnsi" w:cstheme="majorHAnsi"/>
          <w:sz w:val="24"/>
          <w:szCs w:val="24"/>
          <w:lang w:val="ro-MD"/>
        </w:rPr>
        <w:t xml:space="preserve"> </w:t>
      </w:r>
      <w:r w:rsidR="00D03006" w:rsidRPr="00D5496A">
        <w:rPr>
          <w:rFonts w:asciiTheme="majorHAnsi" w:eastAsia="Calibri" w:hAnsiTheme="majorHAnsi" w:cstheme="majorHAnsi"/>
          <w:sz w:val="24"/>
          <w:szCs w:val="24"/>
          <w:lang w:val="ro-MD"/>
        </w:rPr>
        <w:t>în</w:t>
      </w:r>
      <w:r w:rsidRPr="00D03006">
        <w:rPr>
          <w:rFonts w:asciiTheme="majorHAnsi" w:eastAsia="Calibri" w:hAnsiTheme="majorHAnsi" w:cstheme="majorHAnsi"/>
          <w:sz w:val="24"/>
          <w:szCs w:val="24"/>
          <w:lang w:val="ro-MD"/>
        </w:rPr>
        <w:t xml:space="preserve"> </w:t>
      </w:r>
      <w:r w:rsidR="00130839" w:rsidRPr="00D03006">
        <w:rPr>
          <w:rFonts w:asciiTheme="majorHAnsi" w:eastAsia="Calibri" w:hAnsiTheme="majorHAnsi" w:cstheme="majorHAnsi"/>
          <w:sz w:val="24"/>
          <w:szCs w:val="24"/>
          <w:lang w:val="ro-MD"/>
        </w:rPr>
        <w:t>comun</w:t>
      </w:r>
      <w:r w:rsidR="00D03006" w:rsidRPr="00D03006">
        <w:rPr>
          <w:rFonts w:asciiTheme="majorHAnsi" w:eastAsia="Calibri" w:hAnsiTheme="majorHAnsi" w:cstheme="majorHAnsi"/>
          <w:sz w:val="24"/>
          <w:szCs w:val="24"/>
          <w:lang w:val="ro-MD"/>
        </w:rPr>
        <w:t xml:space="preserve"> </w:t>
      </w:r>
      <w:r w:rsidR="00130839" w:rsidRPr="00D03006">
        <w:rPr>
          <w:rFonts w:asciiTheme="majorHAnsi" w:eastAsia="Calibri" w:hAnsiTheme="majorHAnsi" w:cstheme="majorHAnsi"/>
          <w:sz w:val="24"/>
          <w:szCs w:val="24"/>
          <w:lang w:val="ro-MD"/>
        </w:rPr>
        <w:t>cu</w:t>
      </w:r>
      <w:r w:rsidR="00130839" w:rsidRPr="00E33BAB">
        <w:rPr>
          <w:rFonts w:asciiTheme="majorHAnsi" w:eastAsia="Calibri" w:hAnsiTheme="majorHAnsi" w:cstheme="majorHAnsi"/>
          <w:sz w:val="24"/>
          <w:szCs w:val="24"/>
          <w:lang w:val="ro-MD"/>
        </w:rPr>
        <w:t xml:space="preserve"> </w:t>
      </w:r>
      <w:r w:rsidR="00764E1D">
        <w:rPr>
          <w:rFonts w:asciiTheme="majorHAnsi" w:eastAsia="Calibri" w:hAnsiTheme="majorHAnsi" w:cstheme="majorHAnsi"/>
          <w:sz w:val="24"/>
          <w:szCs w:val="24"/>
          <w:lang w:val="ro-MD"/>
        </w:rPr>
        <w:t>Banca Mondială. A</w:t>
      </w:r>
      <w:r w:rsidR="001D3802" w:rsidRPr="00E33BAB">
        <w:rPr>
          <w:rFonts w:asciiTheme="majorHAnsi" w:eastAsia="Calibri" w:hAnsiTheme="majorHAnsi" w:cstheme="majorHAnsi"/>
          <w:sz w:val="24"/>
          <w:szCs w:val="24"/>
          <w:lang w:val="ro-MD"/>
        </w:rPr>
        <w:t>stfel</w:t>
      </w:r>
      <w:r w:rsidR="00D03006">
        <w:rPr>
          <w:rFonts w:asciiTheme="majorHAnsi" w:eastAsia="Calibri" w:hAnsiTheme="majorHAnsi" w:cstheme="majorHAnsi"/>
          <w:sz w:val="24"/>
          <w:szCs w:val="24"/>
          <w:lang w:val="ro-MD"/>
        </w:rPr>
        <w:t>,</w:t>
      </w:r>
      <w:r w:rsidR="001D3802" w:rsidRPr="00E33BAB">
        <w:rPr>
          <w:rFonts w:asciiTheme="majorHAnsi" w:eastAsia="Calibri" w:hAnsiTheme="majorHAnsi" w:cstheme="majorHAnsi"/>
          <w:sz w:val="24"/>
          <w:szCs w:val="24"/>
          <w:lang w:val="ro-MD"/>
        </w:rPr>
        <w:t xml:space="preserve"> la </w:t>
      </w:r>
      <w:r w:rsidRPr="00E33BAB">
        <w:rPr>
          <w:rFonts w:asciiTheme="majorHAnsi" w:eastAsia="Calibri" w:hAnsiTheme="majorHAnsi" w:cstheme="majorHAnsi"/>
          <w:sz w:val="24"/>
          <w:szCs w:val="24"/>
          <w:lang w:val="ro-MD"/>
        </w:rPr>
        <w:t>finele lu</w:t>
      </w:r>
      <w:r w:rsidR="00D03006">
        <w:rPr>
          <w:rFonts w:asciiTheme="majorHAnsi" w:eastAsia="Calibri" w:hAnsiTheme="majorHAnsi" w:cstheme="majorHAnsi"/>
          <w:sz w:val="24"/>
          <w:szCs w:val="24"/>
          <w:lang w:val="ro-MD"/>
        </w:rPr>
        <w:t xml:space="preserve">nii </w:t>
      </w:r>
      <w:r w:rsidRPr="00E33BAB">
        <w:rPr>
          <w:rFonts w:asciiTheme="majorHAnsi" w:eastAsia="Calibri" w:hAnsiTheme="majorHAnsi" w:cstheme="majorHAnsi"/>
          <w:sz w:val="24"/>
          <w:szCs w:val="24"/>
          <w:lang w:val="ro-MD"/>
        </w:rPr>
        <w:t xml:space="preserve"> octombrie 2020, MSMPS a prezentat raportul final de validare </w:t>
      </w:r>
      <w:r w:rsidR="00A5191B">
        <w:rPr>
          <w:rFonts w:asciiTheme="majorHAnsi" w:eastAsia="Calibri" w:hAnsiTheme="majorHAnsi" w:cstheme="majorHAnsi"/>
          <w:sz w:val="24"/>
          <w:szCs w:val="24"/>
          <w:lang w:val="ro-MD"/>
        </w:rPr>
        <w:t>a</w:t>
      </w:r>
      <w:r w:rsidRPr="00E33BAB">
        <w:rPr>
          <w:rFonts w:asciiTheme="majorHAnsi" w:eastAsia="Calibri" w:hAnsiTheme="majorHAnsi" w:cstheme="majorHAnsi"/>
          <w:sz w:val="24"/>
          <w:szCs w:val="24"/>
          <w:lang w:val="ro-MD"/>
        </w:rPr>
        <w:t xml:space="preserve"> decizi</w:t>
      </w:r>
      <w:r w:rsidR="00A5191B">
        <w:rPr>
          <w:rFonts w:asciiTheme="majorHAnsi" w:eastAsia="Calibri" w:hAnsiTheme="majorHAnsi" w:cstheme="majorHAnsi"/>
          <w:sz w:val="24"/>
          <w:szCs w:val="24"/>
          <w:lang w:val="ro-MD"/>
        </w:rPr>
        <w:t>ei</w:t>
      </w:r>
      <w:r w:rsidRPr="00E33BAB">
        <w:rPr>
          <w:rFonts w:asciiTheme="majorHAnsi" w:eastAsia="Calibri" w:hAnsiTheme="majorHAnsi" w:cstheme="majorHAnsi"/>
          <w:sz w:val="24"/>
          <w:szCs w:val="24"/>
          <w:lang w:val="ro-MD"/>
        </w:rPr>
        <w:t xml:space="preserve"> Băncii Mondiale</w:t>
      </w:r>
      <w:r w:rsidR="001D3802" w:rsidRPr="00E33BAB">
        <w:rPr>
          <w:rFonts w:asciiTheme="majorHAnsi" w:eastAsia="Calibri" w:hAnsiTheme="majorHAnsi" w:cstheme="majorHAnsi"/>
          <w:sz w:val="24"/>
          <w:szCs w:val="24"/>
          <w:lang w:val="ro-MD"/>
        </w:rPr>
        <w:t xml:space="preserve">. În </w:t>
      </w:r>
      <w:r w:rsidR="00D03006">
        <w:rPr>
          <w:rFonts w:asciiTheme="majorHAnsi" w:eastAsia="Calibri" w:hAnsiTheme="majorHAnsi" w:cstheme="majorHAnsi"/>
          <w:sz w:val="24"/>
          <w:szCs w:val="24"/>
          <w:lang w:val="ro-MD"/>
        </w:rPr>
        <w:t xml:space="preserve">acest </w:t>
      </w:r>
      <w:r w:rsidR="001D3802" w:rsidRPr="00E33BAB">
        <w:rPr>
          <w:rFonts w:asciiTheme="majorHAnsi" w:eastAsia="Calibri" w:hAnsiTheme="majorHAnsi" w:cstheme="majorHAnsi"/>
          <w:sz w:val="24"/>
          <w:szCs w:val="24"/>
          <w:lang w:val="ro-MD"/>
        </w:rPr>
        <w:t xml:space="preserve">context, </w:t>
      </w:r>
      <w:r w:rsidR="00BA41E4" w:rsidRPr="00E33BAB">
        <w:rPr>
          <w:rFonts w:asciiTheme="majorHAnsi" w:eastAsia="Calibri" w:hAnsiTheme="majorHAnsi" w:cstheme="majorHAnsi"/>
          <w:sz w:val="24"/>
          <w:szCs w:val="24"/>
          <w:lang w:val="ro-MD"/>
        </w:rPr>
        <w:t xml:space="preserve">auditul menționează că </w:t>
      </w:r>
      <w:r w:rsidR="001D3802" w:rsidRPr="00E33BAB">
        <w:rPr>
          <w:rFonts w:asciiTheme="majorHAnsi" w:eastAsia="Calibri" w:hAnsiTheme="majorHAnsi" w:cstheme="majorHAnsi"/>
          <w:sz w:val="24"/>
          <w:szCs w:val="24"/>
          <w:lang w:val="ro-MD"/>
        </w:rPr>
        <w:t xml:space="preserve">debursarea sumei de 323 500 Drepturi Speciale de Tragere (DST) la bugetul MSMPS </w:t>
      </w:r>
      <w:r w:rsidR="00BA41E4" w:rsidRPr="00E33BAB">
        <w:rPr>
          <w:rFonts w:asciiTheme="majorHAnsi" w:eastAsia="Calibri" w:hAnsiTheme="majorHAnsi" w:cstheme="majorHAnsi"/>
          <w:sz w:val="24"/>
          <w:szCs w:val="24"/>
          <w:lang w:val="ro-MD"/>
        </w:rPr>
        <w:t xml:space="preserve">a fost realizată în februarie 2021. </w:t>
      </w:r>
    </w:p>
    <w:p w14:paraId="15626F35" w14:textId="77777777" w:rsidR="00B65D07" w:rsidRDefault="00B65D07" w:rsidP="00B65D07">
      <w:pPr>
        <w:pStyle w:val="ListParagraph"/>
        <w:numPr>
          <w:ilvl w:val="0"/>
          <w:numId w:val="10"/>
        </w:numPr>
        <w:tabs>
          <w:tab w:val="left" w:pos="360"/>
        </w:tabs>
        <w:spacing w:before="240" w:line="276" w:lineRule="auto"/>
        <w:ind w:left="0" w:right="-29" w:firstLine="426"/>
        <w:jc w:val="both"/>
        <w:rPr>
          <w:rFonts w:asciiTheme="majorHAnsi" w:eastAsia="Calibri" w:hAnsiTheme="majorHAnsi" w:cstheme="majorHAnsi"/>
          <w:sz w:val="24"/>
          <w:szCs w:val="24"/>
          <w:lang w:val="ro-MD"/>
        </w:rPr>
      </w:pPr>
      <w:r>
        <w:rPr>
          <w:rFonts w:asciiTheme="majorHAnsi" w:eastAsia="Calibri" w:hAnsiTheme="majorHAnsi" w:cstheme="majorHAnsi"/>
          <w:sz w:val="24"/>
          <w:szCs w:val="24"/>
          <w:lang w:val="ro-MD"/>
        </w:rPr>
        <w:t>ILD</w:t>
      </w:r>
      <w:r w:rsidR="004035E2" w:rsidRPr="00636DAC">
        <w:rPr>
          <w:rFonts w:asciiTheme="majorHAnsi" w:eastAsia="Calibri" w:hAnsiTheme="majorHAnsi" w:cstheme="majorHAnsi"/>
          <w:sz w:val="24"/>
          <w:szCs w:val="24"/>
          <w:lang w:val="ro-MD"/>
        </w:rPr>
        <w:t xml:space="preserve"> 1.</w:t>
      </w:r>
      <w:r w:rsidR="004035E2" w:rsidRPr="00E33BAB">
        <w:rPr>
          <w:rFonts w:asciiTheme="majorHAnsi" w:eastAsia="Calibri" w:hAnsiTheme="majorHAnsi" w:cstheme="majorHAnsi"/>
          <w:sz w:val="24"/>
          <w:szCs w:val="24"/>
          <w:lang w:val="ro-MD"/>
        </w:rPr>
        <w:t>2</w:t>
      </w:r>
      <w:r w:rsidR="00D03006">
        <w:rPr>
          <w:rFonts w:asciiTheme="majorHAnsi" w:eastAsia="Calibri" w:hAnsiTheme="majorHAnsi" w:cstheme="majorHAnsi"/>
          <w:sz w:val="24"/>
          <w:szCs w:val="24"/>
          <w:lang w:val="ro-MD"/>
        </w:rPr>
        <w:t xml:space="preserve">. </w:t>
      </w:r>
      <w:r w:rsidR="004035E2" w:rsidRPr="00E33BAB">
        <w:rPr>
          <w:rFonts w:asciiTheme="majorHAnsi" w:eastAsia="Calibri" w:hAnsiTheme="majorHAnsi" w:cstheme="majorHAnsi"/>
          <w:b/>
          <w:i/>
          <w:sz w:val="24"/>
          <w:szCs w:val="24"/>
          <w:lang w:val="ro-MD"/>
        </w:rPr>
        <w:t>„</w:t>
      </w:r>
      <w:r w:rsidR="00F37D59" w:rsidRPr="00E33BAB">
        <w:rPr>
          <w:rFonts w:asciiTheme="majorHAnsi" w:eastAsia="Calibri" w:hAnsiTheme="majorHAnsi" w:cstheme="majorHAnsi"/>
          <w:b/>
          <w:i/>
          <w:sz w:val="24"/>
          <w:szCs w:val="24"/>
          <w:lang w:val="ro-MD"/>
        </w:rPr>
        <w:t>Reducere</w:t>
      </w:r>
      <w:r w:rsidR="004035E2" w:rsidRPr="00E33BAB">
        <w:rPr>
          <w:rFonts w:asciiTheme="majorHAnsi" w:eastAsia="Calibri" w:hAnsiTheme="majorHAnsi" w:cstheme="majorHAnsi"/>
          <w:b/>
          <w:i/>
          <w:sz w:val="24"/>
          <w:szCs w:val="24"/>
          <w:lang w:val="ro-MD"/>
        </w:rPr>
        <w:t xml:space="preserve">a </w:t>
      </w:r>
      <w:r w:rsidR="00F37D59" w:rsidRPr="00E33BAB">
        <w:rPr>
          <w:rFonts w:asciiTheme="majorHAnsi" w:eastAsia="Calibri" w:hAnsiTheme="majorHAnsi" w:cstheme="majorHAnsi"/>
          <w:b/>
          <w:i/>
          <w:sz w:val="24"/>
          <w:szCs w:val="24"/>
          <w:lang w:val="ro-MD"/>
        </w:rPr>
        <w:t xml:space="preserve">ratei fumatului la </w:t>
      </w:r>
      <w:r w:rsidR="00202CE7" w:rsidRPr="00E33BAB">
        <w:rPr>
          <w:rFonts w:asciiTheme="majorHAnsi" w:eastAsia="Calibri" w:hAnsiTheme="majorHAnsi" w:cstheme="majorHAnsi"/>
          <w:b/>
          <w:i/>
          <w:sz w:val="24"/>
          <w:szCs w:val="24"/>
          <w:lang w:val="ro-MD"/>
        </w:rPr>
        <w:t>adulți</w:t>
      </w:r>
      <w:r w:rsidR="004035E2" w:rsidRPr="00E33BAB">
        <w:rPr>
          <w:rFonts w:asciiTheme="majorHAnsi" w:eastAsia="Calibri" w:hAnsiTheme="majorHAnsi" w:cstheme="majorHAnsi"/>
          <w:b/>
          <w:i/>
          <w:sz w:val="24"/>
          <w:szCs w:val="24"/>
          <w:lang w:val="ro-MD"/>
        </w:rPr>
        <w:t xml:space="preserve"> (vârsta între 18 și 69 de ani</w:t>
      </w:r>
      <w:r w:rsidR="00F37D59" w:rsidRPr="00E33BAB">
        <w:rPr>
          <w:rFonts w:asciiTheme="majorHAnsi" w:eastAsia="Calibri" w:hAnsiTheme="majorHAnsi" w:cstheme="majorHAnsi"/>
          <w:b/>
          <w:i/>
          <w:sz w:val="24"/>
          <w:szCs w:val="24"/>
          <w:lang w:val="ro-MD"/>
        </w:rPr>
        <w:t>)</w:t>
      </w:r>
      <w:r w:rsidR="004035E2" w:rsidRPr="00E33BAB">
        <w:rPr>
          <w:rFonts w:asciiTheme="majorHAnsi" w:eastAsia="Calibri" w:hAnsiTheme="majorHAnsi" w:cstheme="majorHAnsi"/>
          <w:b/>
          <w:i/>
          <w:sz w:val="24"/>
          <w:szCs w:val="24"/>
          <w:lang w:val="ro-MD"/>
        </w:rPr>
        <w:t xml:space="preserve"> cu 2 puncte </w:t>
      </w:r>
      <w:r w:rsidR="004035E2" w:rsidRPr="00DB4C2E">
        <w:rPr>
          <w:rFonts w:asciiTheme="majorHAnsi" w:eastAsia="Calibri" w:hAnsiTheme="majorHAnsi" w:cstheme="majorHAnsi"/>
          <w:b/>
          <w:i/>
          <w:sz w:val="24"/>
          <w:szCs w:val="24"/>
          <w:lang w:val="ro-MD"/>
        </w:rPr>
        <w:t>procentuale</w:t>
      </w:r>
      <w:r w:rsidR="00A5191B">
        <w:rPr>
          <w:rFonts w:asciiTheme="majorHAnsi" w:eastAsia="Calibri" w:hAnsiTheme="majorHAnsi" w:cstheme="majorHAnsi"/>
          <w:b/>
          <w:i/>
          <w:sz w:val="24"/>
          <w:szCs w:val="24"/>
          <w:lang w:val="ro-MD"/>
        </w:rPr>
        <w:t>”</w:t>
      </w:r>
      <w:r w:rsidR="004035E2" w:rsidRPr="00DB4C2E">
        <w:rPr>
          <w:rFonts w:asciiTheme="majorHAnsi" w:eastAsia="Calibri" w:hAnsiTheme="majorHAnsi" w:cstheme="majorHAnsi"/>
          <w:sz w:val="24"/>
          <w:szCs w:val="24"/>
          <w:lang w:val="ro-MD"/>
        </w:rPr>
        <w:t xml:space="preserve">. </w:t>
      </w:r>
      <w:r w:rsidR="00764E1D" w:rsidRPr="00DB4C2E">
        <w:rPr>
          <w:rFonts w:asciiTheme="majorHAnsi" w:eastAsia="Calibri" w:hAnsiTheme="majorHAnsi" w:cstheme="majorHAnsi"/>
          <w:sz w:val="24"/>
          <w:szCs w:val="24"/>
          <w:lang w:val="ro-MD"/>
        </w:rPr>
        <w:t>Atingerea indicatorului urma a fi verificată în anul 2019, însă s-a amânat pentru anul 2020</w:t>
      </w:r>
      <w:r w:rsidR="00D03006">
        <w:rPr>
          <w:rFonts w:asciiTheme="majorHAnsi" w:eastAsia="Calibri" w:hAnsiTheme="majorHAnsi" w:cstheme="majorHAnsi"/>
          <w:sz w:val="24"/>
          <w:szCs w:val="24"/>
          <w:lang w:val="ro-MD"/>
        </w:rPr>
        <w:t>,</w:t>
      </w:r>
      <w:r w:rsidR="00764E1D" w:rsidRPr="00DB4C2E">
        <w:rPr>
          <w:rFonts w:asciiTheme="majorHAnsi" w:eastAsia="Calibri" w:hAnsiTheme="majorHAnsi" w:cstheme="majorHAnsi"/>
          <w:sz w:val="24"/>
          <w:szCs w:val="24"/>
          <w:lang w:val="ro-MD"/>
        </w:rPr>
        <w:t xml:space="preserve"> prin studiul STEPS. </w:t>
      </w:r>
      <w:r w:rsidR="00394B9D" w:rsidRPr="00DB4C2E">
        <w:rPr>
          <w:rFonts w:asciiTheme="majorHAnsi" w:eastAsia="Calibri" w:hAnsiTheme="majorHAnsi" w:cstheme="majorHAnsi"/>
          <w:sz w:val="24"/>
          <w:szCs w:val="24"/>
          <w:lang w:val="ro-MD"/>
        </w:rPr>
        <w:t>Pe</w:t>
      </w:r>
      <w:r w:rsidR="00394B9D" w:rsidRPr="00E33BAB">
        <w:rPr>
          <w:rFonts w:asciiTheme="majorHAnsi" w:eastAsia="Calibri" w:hAnsiTheme="majorHAnsi" w:cstheme="majorHAnsi"/>
          <w:sz w:val="24"/>
          <w:szCs w:val="24"/>
          <w:lang w:val="ro-MD"/>
        </w:rPr>
        <w:t xml:space="preserve"> parcursul anului 2020 urma a fi </w:t>
      </w:r>
      <w:r w:rsidR="00394B9D" w:rsidRPr="00A5191B">
        <w:rPr>
          <w:rFonts w:asciiTheme="majorHAnsi" w:eastAsia="Calibri" w:hAnsiTheme="majorHAnsi" w:cstheme="majorHAnsi"/>
          <w:sz w:val="24"/>
          <w:szCs w:val="24"/>
          <w:lang w:val="ro-MD"/>
        </w:rPr>
        <w:t>finalizat studiul STEPS</w:t>
      </w:r>
      <w:r w:rsidR="00D03006" w:rsidRPr="00A5191B">
        <w:rPr>
          <w:rFonts w:asciiTheme="majorHAnsi" w:eastAsia="Calibri" w:hAnsiTheme="majorHAnsi" w:cstheme="majorHAnsi"/>
          <w:sz w:val="24"/>
          <w:szCs w:val="24"/>
          <w:lang w:val="ro-MD"/>
        </w:rPr>
        <w:t>,</w:t>
      </w:r>
      <w:r w:rsidR="00576E9C" w:rsidRPr="00A5191B">
        <w:rPr>
          <w:rFonts w:asciiTheme="majorHAnsi" w:eastAsia="Calibri" w:hAnsiTheme="majorHAnsi" w:cstheme="majorHAnsi"/>
          <w:sz w:val="24"/>
          <w:szCs w:val="24"/>
          <w:lang w:val="ro-MD"/>
        </w:rPr>
        <w:t xml:space="preserve"> prin care se realizează verificarea ILD 1.2</w:t>
      </w:r>
      <w:r w:rsidR="00D03006" w:rsidRPr="00A5191B">
        <w:rPr>
          <w:rFonts w:asciiTheme="majorHAnsi" w:eastAsia="Calibri" w:hAnsiTheme="majorHAnsi" w:cstheme="majorHAnsi"/>
          <w:sz w:val="24"/>
          <w:szCs w:val="24"/>
          <w:lang w:val="ro-MD"/>
        </w:rPr>
        <w:t>.</w:t>
      </w:r>
      <w:r w:rsidR="00394B9D" w:rsidRPr="00A5191B">
        <w:rPr>
          <w:rFonts w:asciiTheme="majorHAnsi" w:eastAsia="Calibri" w:hAnsiTheme="majorHAnsi" w:cstheme="majorHAnsi"/>
          <w:sz w:val="24"/>
          <w:szCs w:val="24"/>
          <w:lang w:val="ro-MD"/>
        </w:rPr>
        <w:t xml:space="preserve"> (septembrie 2020), dar situația epidemiologică </w:t>
      </w:r>
      <w:r w:rsidR="00A5191B" w:rsidRPr="00D5496A">
        <w:rPr>
          <w:rFonts w:asciiTheme="majorHAnsi" w:eastAsia="Calibri" w:hAnsiTheme="majorHAnsi" w:cstheme="majorHAnsi"/>
          <w:sz w:val="24"/>
          <w:szCs w:val="24"/>
          <w:lang w:val="ro-MD"/>
        </w:rPr>
        <w:t>a</w:t>
      </w:r>
      <w:r w:rsidR="00394B9D" w:rsidRPr="00A5191B">
        <w:rPr>
          <w:rFonts w:asciiTheme="majorHAnsi" w:eastAsia="Calibri" w:hAnsiTheme="majorHAnsi" w:cstheme="majorHAnsi"/>
          <w:sz w:val="24"/>
          <w:szCs w:val="24"/>
          <w:lang w:val="ro-MD"/>
        </w:rPr>
        <w:t xml:space="preserve"> </w:t>
      </w:r>
      <w:r w:rsidR="00CF6BE0" w:rsidRPr="00D5496A">
        <w:rPr>
          <w:rFonts w:asciiTheme="majorHAnsi" w:eastAsia="Calibri" w:hAnsiTheme="majorHAnsi" w:cstheme="majorHAnsi"/>
          <w:sz w:val="24"/>
          <w:szCs w:val="24"/>
          <w:lang w:val="ro-MD"/>
        </w:rPr>
        <w:t>infec</w:t>
      </w:r>
      <w:r w:rsidR="00A5191B" w:rsidRPr="00D5496A">
        <w:rPr>
          <w:rFonts w:asciiTheme="majorHAnsi" w:eastAsia="Calibri" w:hAnsiTheme="majorHAnsi" w:cstheme="majorHAnsi"/>
          <w:sz w:val="24"/>
          <w:szCs w:val="24"/>
          <w:lang w:val="ro-MD"/>
        </w:rPr>
        <w:t>ției</w:t>
      </w:r>
      <w:r w:rsidR="00394B9D" w:rsidRPr="00A5191B">
        <w:rPr>
          <w:rFonts w:asciiTheme="majorHAnsi" w:eastAsia="Calibri" w:hAnsiTheme="majorHAnsi" w:cstheme="majorHAnsi"/>
          <w:sz w:val="24"/>
          <w:szCs w:val="24"/>
          <w:lang w:val="ro-MD"/>
        </w:rPr>
        <w:t xml:space="preserve"> cu </w:t>
      </w:r>
      <w:r w:rsidR="00A5191B" w:rsidRPr="00D5496A">
        <w:rPr>
          <w:rFonts w:asciiTheme="majorHAnsi" w:eastAsia="Calibri" w:hAnsiTheme="majorHAnsi" w:cstheme="majorHAnsi"/>
          <w:sz w:val="24"/>
          <w:szCs w:val="24"/>
          <w:lang w:val="ro-MD"/>
        </w:rPr>
        <w:t xml:space="preserve"> </w:t>
      </w:r>
      <w:r w:rsidR="00394B9D" w:rsidRPr="00A5191B">
        <w:rPr>
          <w:rFonts w:asciiTheme="majorHAnsi" w:eastAsia="Calibri" w:hAnsiTheme="majorHAnsi" w:cstheme="majorHAnsi"/>
          <w:sz w:val="24"/>
          <w:szCs w:val="24"/>
          <w:lang w:val="ro-MD"/>
        </w:rPr>
        <w:t xml:space="preserve">COVID-19 a fost un obstacol decisiv pentru continuarea studiului. </w:t>
      </w:r>
      <w:r w:rsidR="00576E9C" w:rsidRPr="00A5191B">
        <w:rPr>
          <w:rFonts w:asciiTheme="majorHAnsi" w:eastAsia="Calibri" w:hAnsiTheme="majorHAnsi" w:cstheme="majorHAnsi"/>
          <w:sz w:val="24"/>
          <w:szCs w:val="24"/>
          <w:lang w:val="ro-MD"/>
        </w:rPr>
        <w:t>Astfel</w:t>
      </w:r>
      <w:r w:rsidR="00394B9D" w:rsidRPr="00A5191B">
        <w:rPr>
          <w:rFonts w:asciiTheme="majorHAnsi" w:eastAsia="Calibri" w:hAnsiTheme="majorHAnsi" w:cstheme="majorHAnsi"/>
          <w:sz w:val="24"/>
          <w:szCs w:val="24"/>
          <w:lang w:val="ro-MD"/>
        </w:rPr>
        <w:t>,</w:t>
      </w:r>
      <w:r w:rsidR="00576E9C" w:rsidRPr="00A5191B">
        <w:rPr>
          <w:rFonts w:asciiTheme="majorHAnsi" w:eastAsia="Calibri" w:hAnsiTheme="majorHAnsi" w:cstheme="majorHAnsi"/>
          <w:sz w:val="24"/>
          <w:szCs w:val="24"/>
          <w:lang w:val="ro-MD"/>
        </w:rPr>
        <w:t xml:space="preserve"> </w:t>
      </w:r>
      <w:r w:rsidR="00394B9D" w:rsidRPr="00A5191B">
        <w:rPr>
          <w:rFonts w:asciiTheme="majorHAnsi" w:eastAsia="Calibri" w:hAnsiTheme="majorHAnsi" w:cstheme="majorHAnsi"/>
          <w:sz w:val="24"/>
          <w:szCs w:val="24"/>
          <w:lang w:val="ro-MD"/>
        </w:rPr>
        <w:t xml:space="preserve">MSMPS și </w:t>
      </w:r>
      <w:r w:rsidR="00576E9C" w:rsidRPr="00A5191B">
        <w:rPr>
          <w:rFonts w:asciiTheme="majorHAnsi" w:eastAsia="Calibri" w:hAnsiTheme="majorHAnsi" w:cstheme="majorHAnsi"/>
          <w:sz w:val="24"/>
          <w:szCs w:val="24"/>
          <w:lang w:val="ro-MD"/>
        </w:rPr>
        <w:t>Banca Mondială a</w:t>
      </w:r>
      <w:r w:rsidR="004677D4" w:rsidRPr="00A5191B">
        <w:rPr>
          <w:rFonts w:asciiTheme="majorHAnsi" w:eastAsia="Calibri" w:hAnsiTheme="majorHAnsi" w:cstheme="majorHAnsi"/>
          <w:sz w:val="24"/>
          <w:szCs w:val="24"/>
          <w:lang w:val="ro-MD"/>
        </w:rPr>
        <w:t>u</w:t>
      </w:r>
      <w:r w:rsidR="00394B9D" w:rsidRPr="00A5191B">
        <w:rPr>
          <w:rFonts w:asciiTheme="majorHAnsi" w:eastAsia="Calibri" w:hAnsiTheme="majorHAnsi" w:cstheme="majorHAnsi"/>
          <w:sz w:val="24"/>
          <w:szCs w:val="24"/>
          <w:lang w:val="ro-MD"/>
        </w:rPr>
        <w:t xml:space="preserve"> convenit asupra anulării acestui Indicator, iar fondurile rămase vor fi realocate unui alt indicator nou </w:t>
      </w:r>
      <w:r w:rsidR="00394B9D" w:rsidRPr="00B65D07">
        <w:rPr>
          <w:rFonts w:asciiTheme="majorHAnsi" w:eastAsia="Calibri" w:hAnsiTheme="majorHAnsi" w:cstheme="majorHAnsi"/>
          <w:sz w:val="24"/>
          <w:szCs w:val="24"/>
          <w:lang w:val="ro-MD"/>
        </w:rPr>
        <w:t xml:space="preserve">definit </w:t>
      </w:r>
      <w:r w:rsidR="00576E9C" w:rsidRPr="00B65D07">
        <w:rPr>
          <w:rFonts w:asciiTheme="majorHAnsi" w:eastAsia="Calibri" w:hAnsiTheme="majorHAnsi" w:cstheme="majorHAnsi"/>
          <w:sz w:val="24"/>
          <w:szCs w:val="24"/>
          <w:lang w:val="ro-MD"/>
        </w:rPr>
        <w:t>(ILD 11)</w:t>
      </w:r>
      <w:r w:rsidR="009E7A81" w:rsidRPr="00B65D07">
        <w:rPr>
          <w:rFonts w:asciiTheme="majorHAnsi" w:eastAsia="Calibri" w:hAnsiTheme="majorHAnsi" w:cstheme="majorHAnsi"/>
          <w:sz w:val="24"/>
          <w:szCs w:val="24"/>
          <w:lang w:val="ro-MD"/>
        </w:rPr>
        <w:t>,</w:t>
      </w:r>
      <w:r w:rsidR="00576E9C" w:rsidRPr="00B65D07">
        <w:rPr>
          <w:rFonts w:asciiTheme="majorHAnsi" w:eastAsia="Calibri" w:hAnsiTheme="majorHAnsi" w:cstheme="majorHAnsi"/>
          <w:sz w:val="24"/>
          <w:szCs w:val="24"/>
          <w:lang w:val="ro-MD"/>
        </w:rPr>
        <w:t xml:space="preserve"> </w:t>
      </w:r>
      <w:r w:rsidR="00394B9D" w:rsidRPr="00B65D07">
        <w:rPr>
          <w:rFonts w:asciiTheme="majorHAnsi" w:eastAsia="Calibri" w:hAnsiTheme="majorHAnsi" w:cstheme="majorHAnsi"/>
          <w:sz w:val="24"/>
          <w:szCs w:val="24"/>
          <w:lang w:val="ro-MD"/>
        </w:rPr>
        <w:t>în contextul luptei cu pandemia COVID-19.</w:t>
      </w:r>
    </w:p>
    <w:p w14:paraId="193963EB" w14:textId="68D38356" w:rsidR="00DE214E" w:rsidRPr="00B65D07" w:rsidRDefault="00B65D07" w:rsidP="00B65D07">
      <w:pPr>
        <w:pStyle w:val="ListParagraph"/>
        <w:numPr>
          <w:ilvl w:val="0"/>
          <w:numId w:val="10"/>
        </w:numPr>
        <w:tabs>
          <w:tab w:val="left" w:pos="360"/>
        </w:tabs>
        <w:spacing w:before="240" w:line="276" w:lineRule="auto"/>
        <w:ind w:left="0" w:right="-29" w:firstLine="426"/>
        <w:jc w:val="both"/>
        <w:rPr>
          <w:rFonts w:asciiTheme="majorHAnsi" w:eastAsia="Calibri" w:hAnsiTheme="majorHAnsi" w:cstheme="majorHAnsi"/>
          <w:sz w:val="24"/>
          <w:szCs w:val="24"/>
          <w:lang w:val="ro-MD"/>
        </w:rPr>
      </w:pPr>
      <w:r w:rsidRPr="00B65D07">
        <w:rPr>
          <w:rFonts w:asciiTheme="majorHAnsi" w:eastAsia="Calibri" w:hAnsiTheme="majorHAnsi" w:cstheme="majorHAnsi"/>
          <w:sz w:val="24"/>
          <w:szCs w:val="24"/>
          <w:lang w:val="ro-MD"/>
        </w:rPr>
        <w:t xml:space="preserve">ILD </w:t>
      </w:r>
      <w:r w:rsidR="004035E2" w:rsidRPr="00B65D07">
        <w:rPr>
          <w:rFonts w:asciiTheme="majorHAnsi" w:eastAsia="Calibri" w:hAnsiTheme="majorHAnsi" w:cstheme="majorHAnsi"/>
          <w:sz w:val="24"/>
          <w:szCs w:val="24"/>
          <w:lang w:val="ro-MD"/>
        </w:rPr>
        <w:t>2</w:t>
      </w:r>
      <w:r w:rsidR="00DA390A" w:rsidRPr="00B65D07">
        <w:rPr>
          <w:rFonts w:asciiTheme="majorHAnsi" w:eastAsia="Calibri" w:hAnsiTheme="majorHAnsi" w:cstheme="majorHAnsi"/>
          <w:sz w:val="24"/>
          <w:szCs w:val="24"/>
          <w:lang w:val="ro-MD"/>
        </w:rPr>
        <w:t>.</w:t>
      </w:r>
      <w:r w:rsidR="004035E2" w:rsidRPr="00B65D07">
        <w:rPr>
          <w:rFonts w:asciiTheme="majorHAnsi" w:eastAsia="Calibri" w:hAnsiTheme="majorHAnsi" w:cstheme="majorHAnsi"/>
          <w:sz w:val="24"/>
          <w:szCs w:val="24"/>
          <w:lang w:val="ro-MD"/>
        </w:rPr>
        <w:t xml:space="preserve"> </w:t>
      </w:r>
      <w:r w:rsidR="004035E2" w:rsidRPr="00B65D07">
        <w:rPr>
          <w:rFonts w:asciiTheme="majorHAnsi" w:eastAsia="Calibri" w:hAnsiTheme="majorHAnsi" w:cstheme="majorHAnsi"/>
          <w:b/>
          <w:i/>
          <w:sz w:val="24"/>
          <w:szCs w:val="24"/>
          <w:lang w:val="ro-MD"/>
        </w:rPr>
        <w:t>„Majorarea procentului de persoane cu boli cardiovasculare (BCV) care beneficiază de medicamente compensate pentru tratamentul BCV“</w:t>
      </w:r>
      <w:r w:rsidR="004035E2" w:rsidRPr="00B65D07">
        <w:rPr>
          <w:rFonts w:asciiTheme="majorHAnsi" w:eastAsia="Calibri" w:hAnsiTheme="majorHAnsi" w:cstheme="majorHAnsi"/>
          <w:sz w:val="24"/>
          <w:szCs w:val="24"/>
          <w:lang w:val="ro-MD"/>
        </w:rPr>
        <w:t xml:space="preserve">. </w:t>
      </w:r>
      <w:r w:rsidR="005D44E8" w:rsidRPr="00B65D07">
        <w:rPr>
          <w:rFonts w:asciiTheme="majorHAnsi" w:eastAsia="SimSun" w:hAnsiTheme="majorHAnsi" w:cstheme="majorHAnsi"/>
          <w:iCs/>
          <w:sz w:val="24"/>
          <w:szCs w:val="24"/>
          <w:lang w:val="ro-MD"/>
        </w:rPr>
        <w:t xml:space="preserve">Datele prezentate de către CNAM privind realizarea </w:t>
      </w:r>
      <w:r w:rsidR="00566E32" w:rsidRPr="00B65D07">
        <w:rPr>
          <w:rFonts w:asciiTheme="majorHAnsi" w:eastAsia="SimSun" w:hAnsiTheme="majorHAnsi" w:cstheme="majorHAnsi"/>
          <w:iCs/>
          <w:sz w:val="24"/>
          <w:szCs w:val="24"/>
          <w:lang w:val="ro-MD"/>
        </w:rPr>
        <w:t xml:space="preserve">DLI 2 </w:t>
      </w:r>
      <w:r w:rsidR="005D44E8" w:rsidRPr="00B65D07">
        <w:rPr>
          <w:rFonts w:asciiTheme="majorHAnsi" w:eastAsia="SimSun" w:hAnsiTheme="majorHAnsi" w:cstheme="majorHAnsi"/>
          <w:iCs/>
          <w:sz w:val="24"/>
          <w:szCs w:val="24"/>
          <w:lang w:val="ro-MD"/>
        </w:rPr>
        <w:t xml:space="preserve">legat de debursări </w:t>
      </w:r>
      <w:r w:rsidR="00197AB6" w:rsidRPr="00B65D07">
        <w:rPr>
          <w:rFonts w:asciiTheme="majorHAnsi" w:eastAsia="SimSun" w:hAnsiTheme="majorHAnsi" w:cstheme="majorHAnsi"/>
          <w:iCs/>
          <w:sz w:val="24"/>
          <w:szCs w:val="24"/>
          <w:lang w:val="ro-MD"/>
        </w:rPr>
        <w:t>indică</w:t>
      </w:r>
      <w:r w:rsidR="005D44E8" w:rsidRPr="00B65D07">
        <w:rPr>
          <w:rFonts w:asciiTheme="majorHAnsi" w:eastAsia="SimSun" w:hAnsiTheme="majorHAnsi" w:cstheme="majorHAnsi"/>
          <w:iCs/>
          <w:sz w:val="24"/>
          <w:szCs w:val="24"/>
          <w:lang w:val="ro-MD"/>
        </w:rPr>
        <w:t xml:space="preserve"> că numărul de beneficiari a</w:t>
      </w:r>
      <w:r w:rsidR="009E7A81" w:rsidRPr="00B65D07">
        <w:rPr>
          <w:rFonts w:asciiTheme="majorHAnsi" w:eastAsia="SimSun" w:hAnsiTheme="majorHAnsi" w:cstheme="majorHAnsi"/>
          <w:iCs/>
          <w:sz w:val="24"/>
          <w:szCs w:val="24"/>
          <w:lang w:val="ro-MD"/>
        </w:rPr>
        <w:t xml:space="preserve">i </w:t>
      </w:r>
      <w:r w:rsidR="005D44E8" w:rsidRPr="00B65D07">
        <w:rPr>
          <w:rFonts w:asciiTheme="majorHAnsi" w:eastAsia="SimSun" w:hAnsiTheme="majorHAnsi" w:cstheme="majorHAnsi"/>
          <w:iCs/>
          <w:sz w:val="24"/>
          <w:szCs w:val="24"/>
          <w:lang w:val="ro-MD"/>
        </w:rPr>
        <w:t xml:space="preserve"> </w:t>
      </w:r>
      <w:r w:rsidR="005D44E8" w:rsidRPr="00B65D07">
        <w:rPr>
          <w:rFonts w:asciiTheme="majorHAnsi" w:eastAsia="SimSun" w:hAnsiTheme="majorHAnsi" w:cstheme="majorHAnsi"/>
          <w:i/>
          <w:sz w:val="24"/>
          <w:szCs w:val="24"/>
          <w:lang w:val="ro-MD"/>
        </w:rPr>
        <w:t>medicamentelor compensate pentru tratamentul maladiilor cardiovasculare</w:t>
      </w:r>
      <w:r w:rsidR="005D44E8" w:rsidRPr="00B65D07">
        <w:rPr>
          <w:rFonts w:asciiTheme="majorHAnsi" w:eastAsia="SimSun" w:hAnsiTheme="majorHAnsi" w:cstheme="majorHAnsi"/>
          <w:iCs/>
          <w:sz w:val="24"/>
          <w:szCs w:val="24"/>
          <w:lang w:val="ro-MD"/>
        </w:rPr>
        <w:t xml:space="preserve"> a crescut de la </w:t>
      </w:r>
      <w:r w:rsidR="00706471" w:rsidRPr="00B65D07">
        <w:rPr>
          <w:rFonts w:asciiTheme="majorHAnsi" w:eastAsia="SimSun" w:hAnsiTheme="majorHAnsi" w:cstheme="majorHAnsi"/>
          <w:iCs/>
          <w:sz w:val="24"/>
          <w:szCs w:val="24"/>
          <w:lang w:val="ro-MD"/>
        </w:rPr>
        <w:t xml:space="preserve"> </w:t>
      </w:r>
      <w:r w:rsidR="005D44E8" w:rsidRPr="00B65D07">
        <w:rPr>
          <w:rFonts w:asciiTheme="majorHAnsi" w:eastAsia="SimSun" w:hAnsiTheme="majorHAnsi" w:cstheme="majorHAnsi"/>
          <w:iCs/>
          <w:sz w:val="24"/>
          <w:szCs w:val="24"/>
          <w:lang w:val="ro-MD"/>
        </w:rPr>
        <w:t>414</w:t>
      </w:r>
      <w:r w:rsidR="00197AB6" w:rsidRPr="00B65D07">
        <w:rPr>
          <w:rFonts w:asciiTheme="majorHAnsi" w:eastAsia="SimSun" w:hAnsiTheme="majorHAnsi" w:cstheme="majorHAnsi"/>
          <w:iCs/>
          <w:sz w:val="24"/>
          <w:szCs w:val="24"/>
          <w:lang w:val="ro-MD"/>
        </w:rPr>
        <w:t xml:space="preserve"> </w:t>
      </w:r>
      <w:r w:rsidR="005D44E8" w:rsidRPr="00B65D07">
        <w:rPr>
          <w:rFonts w:asciiTheme="majorHAnsi" w:eastAsia="SimSun" w:hAnsiTheme="majorHAnsi" w:cstheme="majorHAnsi"/>
          <w:iCs/>
          <w:sz w:val="24"/>
          <w:szCs w:val="24"/>
          <w:lang w:val="ro-MD"/>
        </w:rPr>
        <w:t xml:space="preserve">744 de persoane </w:t>
      </w:r>
      <w:r w:rsidR="00197AB6" w:rsidRPr="00B65D07">
        <w:rPr>
          <w:rFonts w:asciiTheme="majorHAnsi" w:eastAsia="SimSun" w:hAnsiTheme="majorHAnsi" w:cstheme="majorHAnsi"/>
          <w:iCs/>
          <w:sz w:val="24"/>
          <w:szCs w:val="24"/>
          <w:lang w:val="ro-MD"/>
        </w:rPr>
        <w:t xml:space="preserve">- </w:t>
      </w:r>
      <w:r w:rsidR="005D44E8" w:rsidRPr="00B65D07">
        <w:rPr>
          <w:rFonts w:asciiTheme="majorHAnsi" w:eastAsia="SimSun" w:hAnsiTheme="majorHAnsi" w:cstheme="majorHAnsi"/>
          <w:iCs/>
          <w:sz w:val="24"/>
          <w:szCs w:val="24"/>
          <w:lang w:val="ro-MD"/>
        </w:rPr>
        <w:t>în anul 2017</w:t>
      </w:r>
      <w:r w:rsidR="00197AB6" w:rsidRPr="00B65D07">
        <w:rPr>
          <w:rFonts w:asciiTheme="majorHAnsi" w:eastAsia="SimSun" w:hAnsiTheme="majorHAnsi" w:cstheme="majorHAnsi"/>
          <w:iCs/>
          <w:sz w:val="24"/>
          <w:szCs w:val="24"/>
          <w:lang w:val="ro-MD"/>
        </w:rPr>
        <w:t>, până</w:t>
      </w:r>
      <w:r w:rsidR="005D44E8" w:rsidRPr="00B65D07">
        <w:rPr>
          <w:rFonts w:asciiTheme="majorHAnsi" w:eastAsia="SimSun" w:hAnsiTheme="majorHAnsi" w:cstheme="majorHAnsi"/>
          <w:iCs/>
          <w:sz w:val="24"/>
          <w:szCs w:val="24"/>
          <w:lang w:val="ro-MD"/>
        </w:rPr>
        <w:t xml:space="preserve"> la 453</w:t>
      </w:r>
      <w:r w:rsidR="00197AB6" w:rsidRPr="00B65D07">
        <w:rPr>
          <w:rFonts w:asciiTheme="majorHAnsi" w:eastAsia="SimSun" w:hAnsiTheme="majorHAnsi" w:cstheme="majorHAnsi"/>
          <w:iCs/>
          <w:sz w:val="24"/>
          <w:szCs w:val="24"/>
          <w:lang w:val="ro-MD"/>
        </w:rPr>
        <w:t xml:space="preserve"> </w:t>
      </w:r>
      <w:r w:rsidR="005D44E8" w:rsidRPr="00B65D07">
        <w:rPr>
          <w:rFonts w:asciiTheme="majorHAnsi" w:eastAsia="SimSun" w:hAnsiTheme="majorHAnsi" w:cstheme="majorHAnsi"/>
          <w:iCs/>
          <w:sz w:val="24"/>
          <w:szCs w:val="24"/>
          <w:lang w:val="ro-MD"/>
        </w:rPr>
        <w:t xml:space="preserve">160 </w:t>
      </w:r>
      <w:r w:rsidR="00197AB6" w:rsidRPr="00B65D07">
        <w:rPr>
          <w:rFonts w:asciiTheme="majorHAnsi" w:eastAsia="SimSun" w:hAnsiTheme="majorHAnsi" w:cstheme="majorHAnsi"/>
          <w:iCs/>
          <w:sz w:val="24"/>
          <w:szCs w:val="24"/>
          <w:lang w:val="ro-MD"/>
        </w:rPr>
        <w:t xml:space="preserve">de </w:t>
      </w:r>
      <w:r w:rsidR="005D44E8" w:rsidRPr="00B65D07">
        <w:rPr>
          <w:rFonts w:asciiTheme="majorHAnsi" w:eastAsia="SimSun" w:hAnsiTheme="majorHAnsi" w:cstheme="majorHAnsi"/>
          <w:iCs/>
          <w:sz w:val="24"/>
          <w:szCs w:val="24"/>
          <w:lang w:val="ro-MD"/>
        </w:rPr>
        <w:t>persoane</w:t>
      </w:r>
      <w:r w:rsidR="00197AB6" w:rsidRPr="00B65D07">
        <w:rPr>
          <w:rFonts w:asciiTheme="majorHAnsi" w:eastAsia="SimSun" w:hAnsiTheme="majorHAnsi" w:cstheme="majorHAnsi"/>
          <w:iCs/>
          <w:sz w:val="24"/>
          <w:szCs w:val="24"/>
          <w:lang w:val="ro-MD"/>
        </w:rPr>
        <w:t xml:space="preserve"> -</w:t>
      </w:r>
      <w:r w:rsidR="005D44E8" w:rsidRPr="00B65D07">
        <w:rPr>
          <w:rFonts w:asciiTheme="majorHAnsi" w:eastAsia="SimSun" w:hAnsiTheme="majorHAnsi" w:cstheme="majorHAnsi"/>
          <w:iCs/>
          <w:sz w:val="24"/>
          <w:szCs w:val="24"/>
          <w:lang w:val="ro-MD"/>
        </w:rPr>
        <w:t xml:space="preserve"> în anul 2019, majorându-se cu </w:t>
      </w:r>
      <w:r w:rsidR="005D44E8" w:rsidRPr="00B65D07">
        <w:rPr>
          <w:rFonts w:asciiTheme="majorHAnsi" w:eastAsia="SimSun" w:hAnsiTheme="majorHAnsi" w:cstheme="majorHAnsi"/>
          <w:sz w:val="24"/>
          <w:szCs w:val="24"/>
          <w:lang w:val="ro-MD"/>
        </w:rPr>
        <w:t xml:space="preserve">9,26 puncte procentuale față de anul 2017. </w:t>
      </w:r>
      <w:r w:rsidR="00DE214E" w:rsidRPr="00B65D07">
        <w:rPr>
          <w:rFonts w:asciiTheme="majorHAnsi" w:eastAsia="SimSun" w:hAnsiTheme="majorHAnsi" w:cstheme="majorHAnsi"/>
          <w:iCs/>
          <w:sz w:val="24"/>
          <w:szCs w:val="28"/>
          <w:lang w:val="ro-MD"/>
        </w:rPr>
        <w:t xml:space="preserve">Totodată, auditul atestă că </w:t>
      </w:r>
      <w:r w:rsidR="00726274" w:rsidRPr="00B65D07">
        <w:rPr>
          <w:rFonts w:asciiTheme="majorHAnsi" w:eastAsia="SimSun" w:hAnsiTheme="majorHAnsi" w:cstheme="majorHAnsi"/>
          <w:iCs/>
          <w:sz w:val="24"/>
          <w:szCs w:val="28"/>
          <w:lang w:val="ro-MD"/>
        </w:rPr>
        <w:t>numărul</w:t>
      </w:r>
      <w:r w:rsidR="00DE214E" w:rsidRPr="00B65D07">
        <w:rPr>
          <w:rFonts w:asciiTheme="majorHAnsi" w:eastAsia="SimSun" w:hAnsiTheme="majorHAnsi" w:cstheme="majorHAnsi"/>
          <w:iCs/>
          <w:sz w:val="24"/>
          <w:szCs w:val="28"/>
          <w:lang w:val="ro-MD"/>
        </w:rPr>
        <w:t xml:space="preserve"> denumirilor comune internaționale (DCI) incluse în lista medicamentelor compensate s-a majorat  în perioada </w:t>
      </w:r>
      <w:r w:rsidR="00197AB6" w:rsidRPr="00B65D07">
        <w:rPr>
          <w:rFonts w:asciiTheme="majorHAnsi" w:eastAsia="SimSun" w:hAnsiTheme="majorHAnsi" w:cstheme="majorHAnsi"/>
          <w:iCs/>
          <w:sz w:val="24"/>
          <w:szCs w:val="28"/>
          <w:lang w:val="ro-MD"/>
        </w:rPr>
        <w:t xml:space="preserve">anilor </w:t>
      </w:r>
      <w:r w:rsidR="00DE214E" w:rsidRPr="00B65D07">
        <w:rPr>
          <w:rFonts w:asciiTheme="majorHAnsi" w:eastAsia="SimSun" w:hAnsiTheme="majorHAnsi" w:cstheme="majorHAnsi"/>
          <w:iCs/>
          <w:sz w:val="24"/>
          <w:szCs w:val="28"/>
          <w:lang w:val="ro-MD"/>
        </w:rPr>
        <w:t xml:space="preserve">2017-2019 și a fost introdusă compensarea de 100% </w:t>
      </w:r>
      <w:r w:rsidR="00197AB6" w:rsidRPr="00B65D07">
        <w:rPr>
          <w:rFonts w:asciiTheme="majorHAnsi" w:eastAsia="SimSun" w:hAnsiTheme="majorHAnsi" w:cstheme="majorHAnsi"/>
          <w:iCs/>
          <w:sz w:val="24"/>
          <w:szCs w:val="28"/>
          <w:lang w:val="ro-MD"/>
        </w:rPr>
        <w:t xml:space="preserve">cel puțin </w:t>
      </w:r>
      <w:r w:rsidR="00DE214E" w:rsidRPr="00B65D07">
        <w:rPr>
          <w:rFonts w:asciiTheme="majorHAnsi" w:eastAsia="SimSun" w:hAnsiTheme="majorHAnsi" w:cstheme="majorHAnsi"/>
          <w:iCs/>
          <w:sz w:val="24"/>
          <w:szCs w:val="28"/>
          <w:lang w:val="ro-MD"/>
        </w:rPr>
        <w:t>a unui medicament per DCI din februarie 2019.</w:t>
      </w:r>
      <w:r w:rsidR="00DE214E" w:rsidRPr="00B65D07">
        <w:rPr>
          <w:rFonts w:asciiTheme="majorHAnsi" w:eastAsia="SimSun" w:hAnsiTheme="majorHAnsi" w:cstheme="majorHAnsi"/>
          <w:sz w:val="24"/>
          <w:szCs w:val="24"/>
          <w:lang w:val="ro-MD"/>
        </w:rPr>
        <w:t xml:space="preserve"> Evaluarea </w:t>
      </w:r>
      <w:r w:rsidR="00DE214E" w:rsidRPr="00B65D07">
        <w:rPr>
          <w:rFonts w:asciiTheme="majorHAnsi" w:eastAsia="SimSun" w:hAnsiTheme="majorHAnsi" w:cstheme="majorHAnsi"/>
          <w:sz w:val="24"/>
          <w:szCs w:val="24"/>
          <w:lang w:val="ro-MD"/>
        </w:rPr>
        <w:lastRenderedPageBreak/>
        <w:t>rapoartelor</w:t>
      </w:r>
      <w:r w:rsidR="00DE214E" w:rsidRPr="00B65D07">
        <w:rPr>
          <w:rFonts w:asciiTheme="majorHAnsi" w:eastAsia="SimSun" w:hAnsiTheme="majorHAnsi" w:cstheme="majorHAnsi"/>
          <w:sz w:val="24"/>
          <w:szCs w:val="28"/>
          <w:lang w:val="ro-MD"/>
        </w:rPr>
        <w:t xml:space="preserve"> prezentate de către CNAM denotă că în anul 2017 au fost eliberate 2 </w:t>
      </w:r>
      <w:r w:rsidR="004677D4" w:rsidRPr="00B65D07">
        <w:rPr>
          <w:rFonts w:asciiTheme="majorHAnsi" w:eastAsia="SimSun" w:hAnsiTheme="majorHAnsi" w:cstheme="majorHAnsi"/>
          <w:sz w:val="24"/>
          <w:szCs w:val="28"/>
          <w:lang w:val="ro-MD"/>
        </w:rPr>
        <w:t xml:space="preserve"> </w:t>
      </w:r>
      <w:r w:rsidR="00DE214E" w:rsidRPr="00B65D07">
        <w:rPr>
          <w:rFonts w:asciiTheme="majorHAnsi" w:eastAsia="SimSun" w:hAnsiTheme="majorHAnsi" w:cstheme="majorHAnsi"/>
          <w:sz w:val="24"/>
          <w:szCs w:val="28"/>
          <w:lang w:val="ro-MD"/>
        </w:rPr>
        <w:t>771</w:t>
      </w:r>
      <w:r w:rsidR="004677D4" w:rsidRPr="00B65D07">
        <w:rPr>
          <w:rFonts w:asciiTheme="majorHAnsi" w:eastAsia="SimSun" w:hAnsiTheme="majorHAnsi" w:cstheme="majorHAnsi"/>
          <w:sz w:val="24"/>
          <w:szCs w:val="28"/>
          <w:lang w:val="ro-MD"/>
        </w:rPr>
        <w:t xml:space="preserve"> </w:t>
      </w:r>
      <w:r w:rsidR="00DE214E" w:rsidRPr="00B65D07">
        <w:rPr>
          <w:rFonts w:asciiTheme="majorHAnsi" w:eastAsia="SimSun" w:hAnsiTheme="majorHAnsi" w:cstheme="majorHAnsi"/>
          <w:sz w:val="24"/>
          <w:szCs w:val="28"/>
          <w:lang w:val="ro-MD"/>
        </w:rPr>
        <w:t xml:space="preserve"> 327 de rețete compensate pentru tratamentul maladiilor cardiovasculare, iar în anul 2019 au fost prescrise și eliberate 3 295 607 rețete compensate</w:t>
      </w:r>
      <w:r w:rsidR="00DE214E" w:rsidRPr="00E33BAB">
        <w:rPr>
          <w:rStyle w:val="FootnoteReference"/>
          <w:rFonts w:asciiTheme="majorHAnsi" w:eastAsia="SimSun" w:hAnsiTheme="majorHAnsi" w:cstheme="majorHAnsi"/>
          <w:sz w:val="24"/>
          <w:szCs w:val="28"/>
          <w:lang w:val="ro-MD"/>
        </w:rPr>
        <w:footnoteReference w:id="8"/>
      </w:r>
      <w:r w:rsidR="00DE214E" w:rsidRPr="00B65D07">
        <w:rPr>
          <w:rFonts w:asciiTheme="majorHAnsi" w:eastAsia="SimSun" w:hAnsiTheme="majorHAnsi" w:cstheme="majorHAnsi"/>
          <w:sz w:val="24"/>
          <w:szCs w:val="28"/>
          <w:lang w:val="ro-MD"/>
        </w:rPr>
        <w:t>.</w:t>
      </w:r>
      <w:r w:rsidR="00DE214E" w:rsidRPr="00B65D07">
        <w:rPr>
          <w:rFonts w:asciiTheme="majorHAnsi" w:eastAsia="SimSun" w:hAnsiTheme="majorHAnsi" w:cstheme="majorHAnsi"/>
          <w:iCs/>
          <w:sz w:val="24"/>
          <w:lang w:val="ro-MD"/>
        </w:rPr>
        <w:t xml:space="preserve"> </w:t>
      </w:r>
      <w:r w:rsidR="004677D4" w:rsidRPr="00B65D07">
        <w:rPr>
          <w:rFonts w:asciiTheme="majorHAnsi" w:eastAsia="SimSun" w:hAnsiTheme="majorHAnsi" w:cstheme="majorHAnsi"/>
          <w:iCs/>
          <w:sz w:val="24"/>
          <w:szCs w:val="28"/>
          <w:lang w:val="ro-MD"/>
        </w:rPr>
        <w:t>Validarea acestui indicator v</w:t>
      </w:r>
      <w:r w:rsidR="00DE214E" w:rsidRPr="00B65D07">
        <w:rPr>
          <w:rFonts w:asciiTheme="majorHAnsi" w:eastAsia="SimSun" w:hAnsiTheme="majorHAnsi" w:cstheme="majorHAnsi"/>
          <w:iCs/>
          <w:sz w:val="24"/>
          <w:szCs w:val="28"/>
          <w:lang w:val="ro-MD"/>
        </w:rPr>
        <w:t>a servi ca temei pentru debursarea IL</w:t>
      </w:r>
      <w:r w:rsidR="004677D4" w:rsidRPr="00B65D07">
        <w:rPr>
          <w:rFonts w:asciiTheme="majorHAnsi" w:eastAsia="SimSun" w:hAnsiTheme="majorHAnsi" w:cstheme="majorHAnsi"/>
          <w:iCs/>
          <w:sz w:val="24"/>
          <w:szCs w:val="28"/>
          <w:lang w:val="ro-MD"/>
        </w:rPr>
        <w:t>D nr. 2, și anume</w:t>
      </w:r>
      <w:r w:rsidR="00197AB6" w:rsidRPr="00B65D07">
        <w:rPr>
          <w:rFonts w:asciiTheme="majorHAnsi" w:eastAsia="SimSun" w:hAnsiTheme="majorHAnsi" w:cstheme="majorHAnsi"/>
          <w:iCs/>
          <w:sz w:val="24"/>
          <w:szCs w:val="28"/>
          <w:lang w:val="ro-MD"/>
        </w:rPr>
        <w:t>,</w:t>
      </w:r>
      <w:r w:rsidR="004677D4" w:rsidRPr="00B65D07">
        <w:rPr>
          <w:rFonts w:asciiTheme="majorHAnsi" w:eastAsia="SimSun" w:hAnsiTheme="majorHAnsi" w:cstheme="majorHAnsi"/>
          <w:iCs/>
          <w:sz w:val="24"/>
          <w:szCs w:val="28"/>
          <w:lang w:val="ro-MD"/>
        </w:rPr>
        <w:t xml:space="preserve"> câte 291 </w:t>
      </w:r>
      <w:r w:rsidR="00202CE7" w:rsidRPr="00B65D07">
        <w:rPr>
          <w:rFonts w:asciiTheme="majorHAnsi" w:eastAsia="SimSun" w:hAnsiTheme="majorHAnsi" w:cstheme="majorHAnsi"/>
          <w:iCs/>
          <w:sz w:val="24"/>
          <w:szCs w:val="28"/>
          <w:lang w:val="ro-MD"/>
        </w:rPr>
        <w:t>150</w:t>
      </w:r>
      <w:r w:rsidR="00DE214E" w:rsidRPr="00B65D07">
        <w:rPr>
          <w:rFonts w:asciiTheme="majorHAnsi" w:eastAsia="SimSun" w:hAnsiTheme="majorHAnsi" w:cstheme="majorHAnsi"/>
          <w:iCs/>
          <w:sz w:val="24"/>
          <w:szCs w:val="28"/>
          <w:lang w:val="ro-MD"/>
        </w:rPr>
        <w:t xml:space="preserve"> Drepturi Speciale de Tragere pentru fiecare majorare cu 1 punct procentual față de nivelul de referință, până la n</w:t>
      </w:r>
      <w:r w:rsidR="004677D4" w:rsidRPr="00B65D07">
        <w:rPr>
          <w:rFonts w:asciiTheme="majorHAnsi" w:eastAsia="SimSun" w:hAnsiTheme="majorHAnsi" w:cstheme="majorHAnsi"/>
          <w:iCs/>
          <w:sz w:val="24"/>
          <w:szCs w:val="28"/>
          <w:lang w:val="ro-MD"/>
        </w:rPr>
        <w:t xml:space="preserve">ivelul maxim de 2 911 </w:t>
      </w:r>
      <w:r w:rsidR="00DE214E" w:rsidRPr="00B65D07">
        <w:rPr>
          <w:rFonts w:asciiTheme="majorHAnsi" w:eastAsia="SimSun" w:hAnsiTheme="majorHAnsi" w:cstheme="majorHAnsi"/>
          <w:iCs/>
          <w:sz w:val="24"/>
          <w:szCs w:val="28"/>
          <w:lang w:val="ro-MD"/>
        </w:rPr>
        <w:t>500,0 DST.</w:t>
      </w:r>
    </w:p>
    <w:p w14:paraId="429FBAB1" w14:textId="6982DE24" w:rsidR="00015A96" w:rsidRPr="00B65D07" w:rsidRDefault="00B65D07" w:rsidP="004035E2">
      <w:pPr>
        <w:pStyle w:val="ListParagraph"/>
        <w:numPr>
          <w:ilvl w:val="0"/>
          <w:numId w:val="10"/>
        </w:numPr>
        <w:tabs>
          <w:tab w:val="left" w:pos="720"/>
        </w:tabs>
        <w:suppressAutoHyphens/>
        <w:spacing w:before="240" w:after="0" w:line="276" w:lineRule="auto"/>
        <w:ind w:left="0" w:right="-29" w:firstLine="360"/>
        <w:jc w:val="both"/>
        <w:rPr>
          <w:rFonts w:asciiTheme="majorHAnsi" w:eastAsia="Calibri" w:hAnsiTheme="majorHAnsi" w:cstheme="majorHAnsi"/>
          <w:color w:val="000000" w:themeColor="text1"/>
          <w:sz w:val="24"/>
          <w:szCs w:val="24"/>
          <w:lang w:val="ro-MD"/>
        </w:rPr>
      </w:pPr>
      <w:r w:rsidRPr="00B65D07">
        <w:rPr>
          <w:rFonts w:asciiTheme="majorHAnsi" w:eastAsia="Calibri" w:hAnsiTheme="majorHAnsi" w:cstheme="majorHAnsi"/>
          <w:sz w:val="24"/>
          <w:szCs w:val="24"/>
          <w:lang w:val="ro-MD"/>
        </w:rPr>
        <w:t>ILD</w:t>
      </w:r>
      <w:r w:rsidR="005B1BB1" w:rsidRPr="00B65D07">
        <w:rPr>
          <w:rFonts w:asciiTheme="majorHAnsi" w:eastAsia="Calibri" w:hAnsiTheme="majorHAnsi" w:cstheme="majorHAnsi"/>
          <w:sz w:val="24"/>
          <w:szCs w:val="24"/>
          <w:lang w:val="ro-MD"/>
        </w:rPr>
        <w:t xml:space="preserve"> </w:t>
      </w:r>
      <w:r w:rsidR="004035E2" w:rsidRPr="00B65D07">
        <w:rPr>
          <w:rFonts w:asciiTheme="majorHAnsi" w:eastAsia="Calibri" w:hAnsiTheme="majorHAnsi" w:cstheme="majorHAnsi"/>
          <w:sz w:val="24"/>
          <w:szCs w:val="24"/>
          <w:lang w:val="ro-MD"/>
        </w:rPr>
        <w:t>7</w:t>
      </w:r>
      <w:r w:rsidR="00DA390A" w:rsidRPr="00B65D07">
        <w:rPr>
          <w:rFonts w:asciiTheme="majorHAnsi" w:eastAsia="Calibri" w:hAnsiTheme="majorHAnsi" w:cstheme="majorHAnsi"/>
          <w:sz w:val="24"/>
          <w:szCs w:val="24"/>
          <w:lang w:val="ro-MD"/>
        </w:rPr>
        <w:t>.</w:t>
      </w:r>
      <w:r w:rsidR="004035E2" w:rsidRPr="00B65D07">
        <w:rPr>
          <w:rFonts w:asciiTheme="majorHAnsi" w:eastAsia="Calibri" w:hAnsiTheme="majorHAnsi" w:cstheme="majorHAnsi"/>
          <w:sz w:val="24"/>
          <w:szCs w:val="24"/>
          <w:lang w:val="ro-MD"/>
        </w:rPr>
        <w:t xml:space="preserve"> </w:t>
      </w:r>
      <w:r w:rsidR="004035E2" w:rsidRPr="00B65D07">
        <w:rPr>
          <w:rFonts w:asciiTheme="majorHAnsi" w:eastAsia="Calibri" w:hAnsiTheme="majorHAnsi" w:cstheme="majorHAnsi"/>
          <w:b/>
          <w:i/>
          <w:sz w:val="24"/>
          <w:szCs w:val="24"/>
          <w:lang w:val="ro-MD"/>
        </w:rPr>
        <w:t>„Introducerea stimulentelor bazate pe perfor</w:t>
      </w:r>
      <w:r w:rsidR="002309B5" w:rsidRPr="00B65D07">
        <w:rPr>
          <w:rFonts w:asciiTheme="majorHAnsi" w:eastAsia="Calibri" w:hAnsiTheme="majorHAnsi" w:cstheme="majorHAnsi"/>
          <w:b/>
          <w:i/>
          <w:sz w:val="24"/>
          <w:szCs w:val="24"/>
          <w:lang w:val="ro-MD"/>
        </w:rPr>
        <w:t>manță pentru a îmbunătăți</w:t>
      </w:r>
      <w:r w:rsidR="004035E2" w:rsidRPr="00B65D07">
        <w:rPr>
          <w:rFonts w:asciiTheme="majorHAnsi" w:eastAsia="Calibri" w:hAnsiTheme="majorHAnsi" w:cstheme="majorHAnsi"/>
          <w:b/>
          <w:i/>
          <w:sz w:val="24"/>
          <w:szCs w:val="24"/>
          <w:lang w:val="ro-MD"/>
        </w:rPr>
        <w:t xml:space="preserve"> eficiența și calitatea asistenței medicale în spitale”</w:t>
      </w:r>
      <w:r w:rsidR="004035E2" w:rsidRPr="00B65D07">
        <w:rPr>
          <w:rFonts w:asciiTheme="majorHAnsi" w:eastAsia="Calibri" w:hAnsiTheme="majorHAnsi" w:cstheme="majorHAnsi"/>
          <w:sz w:val="24"/>
          <w:szCs w:val="24"/>
          <w:lang w:val="ro-MD"/>
        </w:rPr>
        <w:t xml:space="preserve">. </w:t>
      </w:r>
      <w:r w:rsidR="00E45BE2" w:rsidRPr="00B65D07">
        <w:rPr>
          <w:rFonts w:asciiTheme="majorHAnsi" w:eastAsia="Calibri" w:hAnsiTheme="majorHAnsi" w:cstheme="majorHAnsi"/>
          <w:sz w:val="24"/>
          <w:szCs w:val="24"/>
          <w:lang w:val="ro-MD"/>
        </w:rPr>
        <w:t>În anul 2020, p</w:t>
      </w:r>
      <w:r w:rsidR="002309B5" w:rsidRPr="00B65D07">
        <w:rPr>
          <w:rFonts w:asciiTheme="majorHAnsi" w:eastAsia="Calibri" w:hAnsiTheme="majorHAnsi" w:cstheme="majorHAnsi"/>
          <w:sz w:val="24"/>
          <w:szCs w:val="24"/>
          <w:lang w:val="ro-MD"/>
        </w:rPr>
        <w:t xml:space="preserve">entru acest </w:t>
      </w:r>
      <w:r w:rsidR="00566E32" w:rsidRPr="00B65D07">
        <w:rPr>
          <w:rFonts w:asciiTheme="majorHAnsi" w:eastAsia="Calibri" w:hAnsiTheme="majorHAnsi" w:cstheme="majorHAnsi"/>
          <w:sz w:val="24"/>
          <w:szCs w:val="24"/>
          <w:lang w:val="ro-MD"/>
        </w:rPr>
        <w:t>indicator</w:t>
      </w:r>
      <w:r w:rsidR="002309B5" w:rsidRPr="00B65D07">
        <w:rPr>
          <w:rFonts w:asciiTheme="majorHAnsi" w:eastAsia="Calibri" w:hAnsiTheme="majorHAnsi" w:cstheme="majorHAnsi"/>
          <w:sz w:val="24"/>
          <w:szCs w:val="24"/>
          <w:lang w:val="ro-MD"/>
        </w:rPr>
        <w:t xml:space="preserve"> </w:t>
      </w:r>
      <w:r w:rsidR="00166CA5" w:rsidRPr="00B65D07">
        <w:rPr>
          <w:rFonts w:asciiTheme="majorHAnsi" w:eastAsia="Calibri" w:hAnsiTheme="majorHAnsi" w:cstheme="majorHAnsi"/>
          <w:sz w:val="24"/>
          <w:szCs w:val="24"/>
          <w:lang w:val="ro-MD"/>
        </w:rPr>
        <w:t xml:space="preserve">au fost </w:t>
      </w:r>
      <w:r w:rsidR="00015A96" w:rsidRPr="00B65D07">
        <w:rPr>
          <w:rFonts w:asciiTheme="majorHAnsi" w:eastAsia="Calibri" w:hAnsiTheme="majorHAnsi" w:cstheme="majorHAnsi"/>
          <w:sz w:val="24"/>
          <w:szCs w:val="24"/>
          <w:lang w:val="ro-MD"/>
        </w:rPr>
        <w:t xml:space="preserve">prevăzute patru </w:t>
      </w:r>
      <w:r w:rsidR="00015A96" w:rsidRPr="00B65D07">
        <w:rPr>
          <w:rFonts w:asciiTheme="majorHAnsi" w:eastAsia="Calibri" w:hAnsiTheme="majorHAnsi" w:cstheme="majorHAnsi"/>
          <w:color w:val="000000" w:themeColor="text1"/>
          <w:sz w:val="24"/>
          <w:szCs w:val="24"/>
          <w:lang w:val="ro-MD"/>
        </w:rPr>
        <w:t>componente:</w:t>
      </w:r>
    </w:p>
    <w:p w14:paraId="2697F1B6" w14:textId="4CA0B274" w:rsidR="00015A96" w:rsidRPr="00B65D07" w:rsidRDefault="00015A96" w:rsidP="00015A96">
      <w:pPr>
        <w:pStyle w:val="ListParagraph"/>
        <w:numPr>
          <w:ilvl w:val="0"/>
          <w:numId w:val="11"/>
        </w:numPr>
        <w:tabs>
          <w:tab w:val="left" w:pos="360"/>
        </w:tabs>
        <w:suppressAutoHyphens/>
        <w:spacing w:before="240" w:after="0" w:line="276" w:lineRule="auto"/>
        <w:ind w:left="0" w:right="-29" w:firstLine="360"/>
        <w:jc w:val="both"/>
        <w:rPr>
          <w:rFonts w:asciiTheme="majorHAnsi" w:eastAsia="Calibri" w:hAnsiTheme="majorHAnsi" w:cstheme="majorHAnsi"/>
          <w:color w:val="000000" w:themeColor="text1"/>
          <w:sz w:val="24"/>
          <w:szCs w:val="24"/>
          <w:lang w:val="ro-MD"/>
        </w:rPr>
      </w:pPr>
      <w:r w:rsidRPr="00B65D07">
        <w:rPr>
          <w:rFonts w:asciiTheme="majorHAnsi" w:eastAsia="Calibri" w:hAnsiTheme="majorHAnsi" w:cstheme="majorHAnsi"/>
          <w:color w:val="000000" w:themeColor="text1"/>
          <w:sz w:val="24"/>
          <w:szCs w:val="24"/>
          <w:lang w:val="ro-MD"/>
        </w:rPr>
        <w:t>ILD 7.1</w:t>
      </w:r>
      <w:r w:rsidR="005B1BB1" w:rsidRPr="00B65D07">
        <w:rPr>
          <w:rFonts w:asciiTheme="majorHAnsi" w:eastAsia="Calibri" w:hAnsiTheme="majorHAnsi" w:cstheme="majorHAnsi"/>
          <w:color w:val="000000" w:themeColor="text1"/>
          <w:sz w:val="24"/>
          <w:szCs w:val="24"/>
          <w:lang w:val="ro-MD"/>
        </w:rPr>
        <w:t xml:space="preserve">. </w:t>
      </w:r>
      <w:r w:rsidRPr="00B65D07">
        <w:rPr>
          <w:rFonts w:asciiTheme="majorHAnsi" w:eastAsia="Calibri" w:hAnsiTheme="majorHAnsi" w:cstheme="majorHAnsi"/>
          <w:color w:val="000000" w:themeColor="text1"/>
          <w:sz w:val="24"/>
          <w:szCs w:val="24"/>
          <w:lang w:val="ro-MD"/>
        </w:rPr>
        <w:t xml:space="preserve">: Elaborarea </w:t>
      </w:r>
      <w:r w:rsidR="00634F4E" w:rsidRPr="00B65D07">
        <w:rPr>
          <w:rFonts w:asciiTheme="majorHAnsi" w:eastAsia="Calibri" w:hAnsiTheme="majorHAnsi" w:cstheme="majorHAnsi"/>
          <w:color w:val="000000" w:themeColor="text1"/>
          <w:sz w:val="24"/>
          <w:szCs w:val="24"/>
          <w:lang w:val="ro-MD"/>
        </w:rPr>
        <w:t>S</w:t>
      </w:r>
      <w:r w:rsidRPr="00B65D07">
        <w:rPr>
          <w:rFonts w:asciiTheme="majorHAnsi" w:eastAsia="Calibri" w:hAnsiTheme="majorHAnsi" w:cstheme="majorHAnsi"/>
          <w:color w:val="000000" w:themeColor="text1"/>
          <w:sz w:val="24"/>
          <w:szCs w:val="24"/>
          <w:lang w:val="ro-MD"/>
        </w:rPr>
        <w:t>chemei de stimulare bazate pe performanță în spitale</w:t>
      </w:r>
      <w:r w:rsidR="00166CA5" w:rsidRPr="00B65D07">
        <w:rPr>
          <w:rFonts w:asciiTheme="majorHAnsi" w:eastAsia="Calibri" w:hAnsiTheme="majorHAnsi" w:cstheme="majorHAnsi"/>
          <w:color w:val="000000" w:themeColor="text1"/>
          <w:sz w:val="24"/>
          <w:szCs w:val="24"/>
          <w:lang w:val="ro-MD"/>
        </w:rPr>
        <w:t>;</w:t>
      </w:r>
    </w:p>
    <w:p w14:paraId="2E20A338" w14:textId="1031C114" w:rsidR="00015A96" w:rsidRPr="00B65D07" w:rsidRDefault="00015A96" w:rsidP="00015A96">
      <w:pPr>
        <w:pStyle w:val="ListParagraph"/>
        <w:numPr>
          <w:ilvl w:val="0"/>
          <w:numId w:val="11"/>
        </w:numPr>
        <w:tabs>
          <w:tab w:val="left" w:pos="360"/>
        </w:tabs>
        <w:suppressAutoHyphens/>
        <w:spacing w:before="240" w:after="0" w:line="276" w:lineRule="auto"/>
        <w:ind w:left="0" w:right="-29" w:firstLine="360"/>
        <w:jc w:val="both"/>
        <w:rPr>
          <w:rFonts w:asciiTheme="majorHAnsi" w:eastAsia="Calibri" w:hAnsiTheme="majorHAnsi" w:cstheme="majorHAnsi"/>
          <w:color w:val="000000" w:themeColor="text1"/>
          <w:sz w:val="24"/>
          <w:szCs w:val="24"/>
          <w:lang w:val="ro-MD"/>
        </w:rPr>
      </w:pPr>
      <w:r w:rsidRPr="00B65D07">
        <w:rPr>
          <w:rFonts w:asciiTheme="majorHAnsi" w:eastAsia="Calibri" w:hAnsiTheme="majorHAnsi" w:cstheme="majorHAnsi"/>
          <w:color w:val="000000" w:themeColor="text1"/>
          <w:sz w:val="24"/>
          <w:szCs w:val="24"/>
          <w:lang w:val="ro-MD"/>
        </w:rPr>
        <w:t>ILD 7.2</w:t>
      </w:r>
      <w:r w:rsidR="005B1BB1" w:rsidRPr="00B65D07">
        <w:rPr>
          <w:rFonts w:asciiTheme="majorHAnsi" w:eastAsia="Calibri" w:hAnsiTheme="majorHAnsi" w:cstheme="majorHAnsi"/>
          <w:color w:val="000000" w:themeColor="text1"/>
          <w:sz w:val="24"/>
          <w:szCs w:val="24"/>
          <w:lang w:val="ro-MD"/>
        </w:rPr>
        <w:t xml:space="preserve">. </w:t>
      </w:r>
      <w:r w:rsidRPr="00B65D07">
        <w:rPr>
          <w:rFonts w:asciiTheme="majorHAnsi" w:eastAsia="Calibri" w:hAnsiTheme="majorHAnsi" w:cstheme="majorHAnsi"/>
          <w:color w:val="000000" w:themeColor="text1"/>
          <w:sz w:val="24"/>
          <w:szCs w:val="24"/>
          <w:lang w:val="ro-MD"/>
        </w:rPr>
        <w:t xml:space="preserve">: Cel puțin 3 spitale de pe teritoriul </w:t>
      </w:r>
      <w:r w:rsidR="00166CA5" w:rsidRPr="00B65D07">
        <w:rPr>
          <w:rFonts w:asciiTheme="majorHAnsi" w:eastAsia="Calibri" w:hAnsiTheme="majorHAnsi" w:cstheme="majorHAnsi"/>
          <w:color w:val="000000" w:themeColor="text1"/>
          <w:sz w:val="24"/>
          <w:szCs w:val="24"/>
          <w:lang w:val="ro-MD"/>
        </w:rPr>
        <w:t>b</w:t>
      </w:r>
      <w:r w:rsidRPr="00B65D07">
        <w:rPr>
          <w:rFonts w:asciiTheme="majorHAnsi" w:eastAsia="Calibri" w:hAnsiTheme="majorHAnsi" w:cstheme="majorHAnsi"/>
          <w:color w:val="000000" w:themeColor="text1"/>
          <w:sz w:val="24"/>
          <w:szCs w:val="24"/>
          <w:lang w:val="ro-MD"/>
        </w:rPr>
        <w:t xml:space="preserve">eneficiarului au semnat un acord cu CNAM privind pilotarea </w:t>
      </w:r>
      <w:r w:rsidR="00634F4E" w:rsidRPr="00B65D07">
        <w:rPr>
          <w:rFonts w:asciiTheme="majorHAnsi" w:eastAsia="Calibri" w:hAnsiTheme="majorHAnsi" w:cstheme="majorHAnsi"/>
          <w:color w:val="000000" w:themeColor="text1"/>
          <w:sz w:val="24"/>
          <w:szCs w:val="24"/>
          <w:lang w:val="ro-MD"/>
        </w:rPr>
        <w:t>S</w:t>
      </w:r>
      <w:r w:rsidRPr="00B65D07">
        <w:rPr>
          <w:rFonts w:asciiTheme="majorHAnsi" w:eastAsia="Calibri" w:hAnsiTheme="majorHAnsi" w:cstheme="majorHAnsi"/>
          <w:color w:val="000000" w:themeColor="text1"/>
          <w:sz w:val="24"/>
          <w:szCs w:val="24"/>
          <w:lang w:val="ro-MD"/>
        </w:rPr>
        <w:t xml:space="preserve">chemei de stimulare bazate pe performanță din </w:t>
      </w:r>
      <w:r w:rsidR="00634F4E" w:rsidRPr="00B65D07">
        <w:rPr>
          <w:rFonts w:asciiTheme="majorHAnsi" w:eastAsia="Calibri" w:hAnsiTheme="majorHAnsi" w:cstheme="majorHAnsi"/>
          <w:color w:val="000000" w:themeColor="text1"/>
          <w:sz w:val="24"/>
          <w:szCs w:val="24"/>
          <w:lang w:val="ro-MD"/>
        </w:rPr>
        <w:t>A</w:t>
      </w:r>
      <w:r w:rsidRPr="00B65D07">
        <w:rPr>
          <w:rFonts w:asciiTheme="majorHAnsi" w:eastAsia="Calibri" w:hAnsiTheme="majorHAnsi" w:cstheme="majorHAnsi"/>
          <w:color w:val="000000" w:themeColor="text1"/>
          <w:sz w:val="24"/>
          <w:szCs w:val="24"/>
          <w:lang w:val="ro-MD"/>
        </w:rPr>
        <w:t>nul 2</w:t>
      </w:r>
      <w:r w:rsidR="00166CA5" w:rsidRPr="00B65D07">
        <w:rPr>
          <w:rFonts w:asciiTheme="majorHAnsi" w:eastAsia="Calibri" w:hAnsiTheme="majorHAnsi" w:cstheme="majorHAnsi"/>
          <w:color w:val="000000" w:themeColor="text1"/>
          <w:sz w:val="24"/>
          <w:szCs w:val="24"/>
          <w:lang w:val="ro-MD"/>
        </w:rPr>
        <w:t>;</w:t>
      </w:r>
    </w:p>
    <w:p w14:paraId="3522557D" w14:textId="0C0A4771" w:rsidR="00015A96" w:rsidRPr="00B65D07" w:rsidRDefault="00015A96" w:rsidP="00015A96">
      <w:pPr>
        <w:pStyle w:val="ListParagraph"/>
        <w:numPr>
          <w:ilvl w:val="0"/>
          <w:numId w:val="11"/>
        </w:numPr>
        <w:tabs>
          <w:tab w:val="left" w:pos="360"/>
        </w:tabs>
        <w:suppressAutoHyphens/>
        <w:spacing w:before="240" w:after="0" w:line="276" w:lineRule="auto"/>
        <w:ind w:left="0" w:right="-29" w:firstLine="360"/>
        <w:jc w:val="both"/>
        <w:rPr>
          <w:rFonts w:asciiTheme="majorHAnsi" w:eastAsia="Calibri" w:hAnsiTheme="majorHAnsi" w:cstheme="majorHAnsi"/>
          <w:color w:val="000000" w:themeColor="text1"/>
          <w:sz w:val="24"/>
          <w:szCs w:val="24"/>
          <w:lang w:val="ro-MD"/>
        </w:rPr>
      </w:pPr>
      <w:r w:rsidRPr="00B65D07">
        <w:rPr>
          <w:rFonts w:asciiTheme="majorHAnsi" w:eastAsia="Calibri" w:hAnsiTheme="majorHAnsi" w:cstheme="majorHAnsi"/>
          <w:color w:val="000000" w:themeColor="text1"/>
          <w:sz w:val="24"/>
          <w:szCs w:val="24"/>
          <w:lang w:val="ro-MD"/>
        </w:rPr>
        <w:t>ILD 7.3</w:t>
      </w:r>
      <w:r w:rsidR="005B1BB1" w:rsidRPr="00B65D07">
        <w:rPr>
          <w:rFonts w:asciiTheme="majorHAnsi" w:eastAsia="Calibri" w:hAnsiTheme="majorHAnsi" w:cstheme="majorHAnsi"/>
          <w:color w:val="000000" w:themeColor="text1"/>
          <w:sz w:val="24"/>
          <w:szCs w:val="24"/>
          <w:lang w:val="ro-MD"/>
        </w:rPr>
        <w:t xml:space="preserve">. </w:t>
      </w:r>
      <w:r w:rsidRPr="00B65D07">
        <w:rPr>
          <w:rFonts w:asciiTheme="majorHAnsi" w:eastAsia="Calibri" w:hAnsiTheme="majorHAnsi" w:cstheme="majorHAnsi"/>
          <w:color w:val="000000" w:themeColor="text1"/>
          <w:sz w:val="24"/>
          <w:szCs w:val="24"/>
          <w:lang w:val="ro-MD"/>
        </w:rPr>
        <w:t xml:space="preserve">: Raportul acceptabil pentru </w:t>
      </w:r>
      <w:r w:rsidR="00166CA5" w:rsidRPr="00B65D07">
        <w:rPr>
          <w:rFonts w:asciiTheme="majorHAnsi" w:eastAsia="Calibri" w:hAnsiTheme="majorHAnsi" w:cstheme="majorHAnsi"/>
          <w:color w:val="000000" w:themeColor="text1"/>
          <w:sz w:val="24"/>
          <w:szCs w:val="24"/>
          <w:lang w:val="ro-MD"/>
        </w:rPr>
        <w:t>a</w:t>
      </w:r>
      <w:r w:rsidRPr="00B65D07">
        <w:rPr>
          <w:rFonts w:asciiTheme="majorHAnsi" w:eastAsia="Calibri" w:hAnsiTheme="majorHAnsi" w:cstheme="majorHAnsi"/>
          <w:color w:val="000000" w:themeColor="text1"/>
          <w:sz w:val="24"/>
          <w:szCs w:val="24"/>
          <w:lang w:val="ro-MD"/>
        </w:rPr>
        <w:t>sociaț</w:t>
      </w:r>
      <w:r w:rsidR="00726274" w:rsidRPr="00B65D07">
        <w:rPr>
          <w:rFonts w:asciiTheme="majorHAnsi" w:eastAsia="Calibri" w:hAnsiTheme="majorHAnsi" w:cstheme="majorHAnsi"/>
          <w:color w:val="000000" w:themeColor="text1"/>
          <w:sz w:val="24"/>
          <w:szCs w:val="24"/>
          <w:lang w:val="ro-MD"/>
        </w:rPr>
        <w:t>ie</w:t>
      </w:r>
      <w:r w:rsidR="005B1BB1" w:rsidRPr="00B65D07">
        <w:rPr>
          <w:rFonts w:asciiTheme="majorHAnsi" w:eastAsia="Calibri" w:hAnsiTheme="majorHAnsi" w:cstheme="majorHAnsi"/>
          <w:color w:val="000000" w:themeColor="text1"/>
          <w:sz w:val="24"/>
          <w:szCs w:val="24"/>
          <w:lang w:val="ro-MD"/>
        </w:rPr>
        <w:t>,</w:t>
      </w:r>
      <w:r w:rsidR="00726274" w:rsidRPr="00B65D07">
        <w:rPr>
          <w:rFonts w:asciiTheme="majorHAnsi" w:eastAsia="Calibri" w:hAnsiTheme="majorHAnsi" w:cstheme="majorHAnsi"/>
          <w:color w:val="000000" w:themeColor="text1"/>
          <w:sz w:val="24"/>
          <w:szCs w:val="24"/>
          <w:lang w:val="ro-MD"/>
        </w:rPr>
        <w:t xml:space="preserve"> care va include următoarele:</w:t>
      </w:r>
      <w:r w:rsidRPr="00B65D07">
        <w:rPr>
          <w:rFonts w:asciiTheme="majorHAnsi" w:eastAsia="Calibri" w:hAnsiTheme="majorHAnsi" w:cstheme="majorHAnsi"/>
          <w:color w:val="000000" w:themeColor="text1"/>
          <w:sz w:val="24"/>
          <w:szCs w:val="24"/>
          <w:lang w:val="ro-MD"/>
        </w:rPr>
        <w:t xml:space="preserve"> evaluarea pilotării </w:t>
      </w:r>
      <w:r w:rsidR="00634F4E" w:rsidRPr="00B65D07">
        <w:rPr>
          <w:rFonts w:asciiTheme="majorHAnsi" w:eastAsia="Calibri" w:hAnsiTheme="majorHAnsi" w:cstheme="majorHAnsi"/>
          <w:color w:val="000000" w:themeColor="text1"/>
          <w:sz w:val="24"/>
          <w:szCs w:val="24"/>
          <w:lang w:val="ro-MD"/>
        </w:rPr>
        <w:t>S</w:t>
      </w:r>
      <w:r w:rsidRPr="00B65D07">
        <w:rPr>
          <w:rFonts w:asciiTheme="majorHAnsi" w:eastAsia="Calibri" w:hAnsiTheme="majorHAnsi" w:cstheme="majorHAnsi"/>
          <w:color w:val="000000" w:themeColor="text1"/>
          <w:sz w:val="24"/>
          <w:szCs w:val="24"/>
          <w:lang w:val="ro-MD"/>
        </w:rPr>
        <w:t xml:space="preserve">chemei de stimulare bazate pe performanță în spitalele contractate de CNAM </w:t>
      </w:r>
      <w:r w:rsidR="00726274" w:rsidRPr="00B65D07">
        <w:rPr>
          <w:rFonts w:asciiTheme="majorHAnsi" w:eastAsia="Calibri" w:hAnsiTheme="majorHAnsi" w:cstheme="majorHAnsi"/>
          <w:color w:val="000000" w:themeColor="text1"/>
          <w:sz w:val="24"/>
          <w:szCs w:val="24"/>
          <w:lang w:val="ro-MD"/>
        </w:rPr>
        <w:t>și</w:t>
      </w:r>
      <w:r w:rsidRPr="00B65D07">
        <w:rPr>
          <w:rFonts w:asciiTheme="majorHAnsi" w:eastAsia="Calibri" w:hAnsiTheme="majorHAnsi" w:cstheme="majorHAnsi"/>
          <w:color w:val="000000" w:themeColor="text1"/>
          <w:sz w:val="24"/>
          <w:szCs w:val="24"/>
          <w:lang w:val="ro-MD"/>
        </w:rPr>
        <w:t xml:space="preserve"> o actualizare a design-lui </w:t>
      </w:r>
      <w:r w:rsidR="00566E32" w:rsidRPr="00B65D07">
        <w:rPr>
          <w:rFonts w:asciiTheme="majorHAnsi" w:eastAsia="Calibri" w:hAnsiTheme="majorHAnsi" w:cstheme="majorHAnsi"/>
          <w:color w:val="000000" w:themeColor="text1"/>
          <w:sz w:val="24"/>
          <w:szCs w:val="24"/>
          <w:lang w:val="ro-MD"/>
        </w:rPr>
        <w:t xml:space="preserve">acestei </w:t>
      </w:r>
      <w:r w:rsidR="00166CA5" w:rsidRPr="00B65D07">
        <w:rPr>
          <w:rFonts w:asciiTheme="majorHAnsi" w:eastAsia="Calibri" w:hAnsiTheme="majorHAnsi" w:cstheme="majorHAnsi"/>
          <w:color w:val="000000" w:themeColor="text1"/>
          <w:sz w:val="24"/>
          <w:szCs w:val="24"/>
          <w:lang w:val="ro-MD"/>
        </w:rPr>
        <w:t>s</w:t>
      </w:r>
      <w:r w:rsidRPr="00B65D07">
        <w:rPr>
          <w:rFonts w:asciiTheme="majorHAnsi" w:eastAsia="Calibri" w:hAnsiTheme="majorHAnsi" w:cstheme="majorHAnsi"/>
          <w:color w:val="000000" w:themeColor="text1"/>
          <w:sz w:val="24"/>
          <w:szCs w:val="24"/>
          <w:lang w:val="ro-MD"/>
        </w:rPr>
        <w:t>cheme ca urmare a evaluării realizate</w:t>
      </w:r>
      <w:r w:rsidR="00166CA5" w:rsidRPr="00B65D07">
        <w:rPr>
          <w:rFonts w:asciiTheme="majorHAnsi" w:eastAsia="Calibri" w:hAnsiTheme="majorHAnsi" w:cstheme="majorHAnsi"/>
          <w:color w:val="000000" w:themeColor="text1"/>
          <w:sz w:val="24"/>
          <w:szCs w:val="24"/>
          <w:lang w:val="ro-MD"/>
        </w:rPr>
        <w:t>;</w:t>
      </w:r>
    </w:p>
    <w:p w14:paraId="01367474" w14:textId="5D511284" w:rsidR="00015A96" w:rsidRPr="00B65D07" w:rsidRDefault="00015A96" w:rsidP="00E81F49">
      <w:pPr>
        <w:pStyle w:val="ListParagraph"/>
        <w:numPr>
          <w:ilvl w:val="0"/>
          <w:numId w:val="11"/>
        </w:numPr>
        <w:tabs>
          <w:tab w:val="left" w:pos="360"/>
        </w:tabs>
        <w:suppressAutoHyphens/>
        <w:spacing w:after="0" w:line="276" w:lineRule="auto"/>
        <w:ind w:left="0" w:right="-29" w:firstLine="360"/>
        <w:jc w:val="both"/>
        <w:rPr>
          <w:rFonts w:asciiTheme="majorHAnsi" w:eastAsia="Calibri" w:hAnsiTheme="majorHAnsi" w:cstheme="majorHAnsi"/>
          <w:color w:val="000000" w:themeColor="text1"/>
          <w:sz w:val="24"/>
          <w:szCs w:val="24"/>
          <w:lang w:val="ro-MD"/>
        </w:rPr>
      </w:pPr>
      <w:r w:rsidRPr="00B65D07">
        <w:rPr>
          <w:rFonts w:asciiTheme="majorHAnsi" w:eastAsia="Calibri" w:hAnsiTheme="majorHAnsi" w:cstheme="majorHAnsi"/>
          <w:color w:val="000000" w:themeColor="text1"/>
          <w:sz w:val="24"/>
          <w:szCs w:val="24"/>
          <w:lang w:val="ro-MD"/>
        </w:rPr>
        <w:t>ILD 7.4</w:t>
      </w:r>
      <w:r w:rsidR="005B1BB1" w:rsidRPr="00B65D07">
        <w:rPr>
          <w:rFonts w:asciiTheme="majorHAnsi" w:eastAsia="Calibri" w:hAnsiTheme="majorHAnsi" w:cstheme="majorHAnsi"/>
          <w:color w:val="000000" w:themeColor="text1"/>
          <w:sz w:val="24"/>
          <w:szCs w:val="24"/>
          <w:lang w:val="ro-MD"/>
        </w:rPr>
        <w:t xml:space="preserve">. </w:t>
      </w:r>
      <w:r w:rsidRPr="00B65D07">
        <w:rPr>
          <w:rFonts w:asciiTheme="majorHAnsi" w:eastAsia="Calibri" w:hAnsiTheme="majorHAnsi" w:cstheme="majorHAnsi"/>
          <w:color w:val="000000" w:themeColor="text1"/>
          <w:sz w:val="24"/>
          <w:szCs w:val="24"/>
          <w:lang w:val="ro-MD"/>
        </w:rPr>
        <w:t xml:space="preserve">: Aprobarea </w:t>
      </w:r>
      <w:r w:rsidR="00634F4E" w:rsidRPr="00B65D07">
        <w:rPr>
          <w:rFonts w:asciiTheme="majorHAnsi" w:eastAsia="Calibri" w:hAnsiTheme="majorHAnsi" w:cstheme="majorHAnsi"/>
          <w:color w:val="000000" w:themeColor="text1"/>
          <w:sz w:val="24"/>
          <w:szCs w:val="24"/>
          <w:lang w:val="ro-MD"/>
        </w:rPr>
        <w:t>S</w:t>
      </w:r>
      <w:r w:rsidRPr="00B65D07">
        <w:rPr>
          <w:rFonts w:asciiTheme="majorHAnsi" w:eastAsia="Calibri" w:hAnsiTheme="majorHAnsi" w:cstheme="majorHAnsi"/>
          <w:color w:val="000000" w:themeColor="text1"/>
          <w:sz w:val="24"/>
          <w:szCs w:val="24"/>
          <w:lang w:val="ro-MD"/>
        </w:rPr>
        <w:t xml:space="preserve">chemei revizuite de stimulare bazate pe performanță </w:t>
      </w:r>
      <w:r w:rsidR="00726274" w:rsidRPr="00B65D07">
        <w:rPr>
          <w:rFonts w:asciiTheme="majorHAnsi" w:eastAsia="Calibri" w:hAnsiTheme="majorHAnsi" w:cstheme="majorHAnsi"/>
          <w:color w:val="000000" w:themeColor="text1"/>
          <w:sz w:val="24"/>
          <w:szCs w:val="24"/>
          <w:lang w:val="ro-MD"/>
        </w:rPr>
        <w:t>și</w:t>
      </w:r>
      <w:r w:rsidRPr="00B65D07">
        <w:rPr>
          <w:rFonts w:asciiTheme="majorHAnsi" w:eastAsia="Calibri" w:hAnsiTheme="majorHAnsi" w:cstheme="majorHAnsi"/>
          <w:color w:val="000000" w:themeColor="text1"/>
          <w:sz w:val="24"/>
          <w:szCs w:val="24"/>
          <w:lang w:val="ro-MD"/>
        </w:rPr>
        <w:t xml:space="preserve"> implementarea </w:t>
      </w:r>
      <w:r w:rsidR="006F0968" w:rsidRPr="00B65D07">
        <w:rPr>
          <w:rFonts w:asciiTheme="majorHAnsi" w:eastAsia="Calibri" w:hAnsiTheme="majorHAnsi" w:cstheme="majorHAnsi"/>
          <w:color w:val="000000" w:themeColor="text1"/>
          <w:sz w:val="24"/>
          <w:szCs w:val="24"/>
          <w:lang w:val="ro-MD"/>
        </w:rPr>
        <w:t xml:space="preserve">acesteia </w:t>
      </w:r>
      <w:r w:rsidRPr="00B65D07">
        <w:rPr>
          <w:rFonts w:asciiTheme="majorHAnsi" w:eastAsia="Calibri" w:hAnsiTheme="majorHAnsi" w:cstheme="majorHAnsi"/>
          <w:color w:val="000000" w:themeColor="text1"/>
          <w:sz w:val="24"/>
          <w:szCs w:val="24"/>
          <w:lang w:val="ro-MD"/>
        </w:rPr>
        <w:t>în toate spitalele multiprofil contractate de către CNAM</w:t>
      </w:r>
      <w:r w:rsidR="00726274" w:rsidRPr="00B65D07">
        <w:rPr>
          <w:rFonts w:asciiTheme="majorHAnsi" w:eastAsia="Calibri" w:hAnsiTheme="majorHAnsi" w:cstheme="majorHAnsi"/>
          <w:color w:val="000000" w:themeColor="text1"/>
          <w:sz w:val="24"/>
          <w:szCs w:val="24"/>
          <w:lang w:val="ro-MD"/>
        </w:rPr>
        <w:t>.</w:t>
      </w:r>
    </w:p>
    <w:p w14:paraId="5EBB30E6" w14:textId="5E71DEA0" w:rsidR="00123D03" w:rsidRPr="00E33BAB" w:rsidRDefault="00123D03" w:rsidP="00123D03">
      <w:pPr>
        <w:tabs>
          <w:tab w:val="left" w:pos="720"/>
        </w:tabs>
        <w:suppressAutoHyphens/>
        <w:spacing w:after="0" w:line="276" w:lineRule="auto"/>
        <w:ind w:right="-29"/>
        <w:jc w:val="both"/>
        <w:rPr>
          <w:rFonts w:asciiTheme="majorHAnsi" w:eastAsia="Calibri" w:hAnsiTheme="majorHAnsi" w:cstheme="majorHAnsi"/>
          <w:color w:val="000000" w:themeColor="text1"/>
          <w:sz w:val="24"/>
          <w:szCs w:val="24"/>
          <w:lang w:val="ro-MD"/>
        </w:rPr>
      </w:pPr>
      <w:r w:rsidRPr="00B65D07">
        <w:rPr>
          <w:rFonts w:asciiTheme="majorHAnsi" w:eastAsia="Calibri" w:hAnsiTheme="majorHAnsi" w:cstheme="majorHAnsi"/>
          <w:color w:val="000000" w:themeColor="text1"/>
          <w:sz w:val="24"/>
          <w:szCs w:val="24"/>
          <w:lang w:val="ro-MD"/>
        </w:rPr>
        <w:t>Acest indicator a demarat în baza Contractului din 14.09.2016</w:t>
      </w:r>
      <w:r w:rsidRPr="00E33BAB">
        <w:rPr>
          <w:rFonts w:asciiTheme="majorHAnsi" w:eastAsia="Calibri" w:hAnsiTheme="majorHAnsi" w:cstheme="majorHAnsi"/>
          <w:color w:val="000000" w:themeColor="text1"/>
          <w:sz w:val="24"/>
          <w:szCs w:val="24"/>
          <w:lang w:val="ro-MD"/>
        </w:rPr>
        <w:t xml:space="preserve">, semnat cu o companie internațională de asistență tehnică, în scopul elaborării schemei pentru sectorul spitalicesc, termenul de finalizare fiind </w:t>
      </w:r>
      <w:r w:rsidR="006F0968">
        <w:rPr>
          <w:rFonts w:asciiTheme="majorHAnsi" w:eastAsia="Calibri" w:hAnsiTheme="majorHAnsi" w:cstheme="majorHAnsi"/>
          <w:color w:val="000000" w:themeColor="text1"/>
          <w:sz w:val="24"/>
          <w:szCs w:val="24"/>
          <w:lang w:val="ro-MD"/>
        </w:rPr>
        <w:t xml:space="preserve">data de </w:t>
      </w:r>
      <w:r w:rsidRPr="00E33BAB">
        <w:rPr>
          <w:rFonts w:asciiTheme="majorHAnsi" w:eastAsia="Calibri" w:hAnsiTheme="majorHAnsi" w:cstheme="majorHAnsi"/>
          <w:color w:val="000000" w:themeColor="text1"/>
          <w:sz w:val="24"/>
          <w:szCs w:val="24"/>
          <w:lang w:val="ro-MD"/>
        </w:rPr>
        <w:t xml:space="preserve">04.07.2018. CNAM este instituția responsabilă de pilotarea și revizuirea ulterioară a schemei menționate, inclusiv de măsurarea și validarea performanței pe perioada pilotării. </w:t>
      </w:r>
    </w:p>
    <w:p w14:paraId="6A5C212B" w14:textId="4BC44673" w:rsidR="005531AF" w:rsidRPr="00A528E0" w:rsidRDefault="008157BE" w:rsidP="00123D03">
      <w:pPr>
        <w:tabs>
          <w:tab w:val="left" w:pos="720"/>
        </w:tabs>
        <w:suppressAutoHyphens/>
        <w:spacing w:after="0" w:line="276" w:lineRule="auto"/>
        <w:ind w:right="-29"/>
        <w:jc w:val="both"/>
        <w:rPr>
          <w:rFonts w:asciiTheme="majorHAnsi" w:eastAsia="Calibri" w:hAnsiTheme="majorHAnsi" w:cstheme="majorHAnsi"/>
          <w:color w:val="000000" w:themeColor="text1"/>
          <w:sz w:val="24"/>
          <w:szCs w:val="24"/>
          <w:lang w:val="ro-MD"/>
        </w:rPr>
      </w:pPr>
      <w:r w:rsidRPr="00DA390A">
        <w:rPr>
          <w:rFonts w:asciiTheme="majorHAnsi" w:eastAsia="Calibri" w:hAnsiTheme="majorHAnsi" w:cstheme="majorHAnsi"/>
          <w:color w:val="000000" w:themeColor="text1"/>
          <w:sz w:val="24"/>
          <w:szCs w:val="24"/>
          <w:lang w:val="ro-MD"/>
        </w:rPr>
        <w:t xml:space="preserve">Pentru acest </w:t>
      </w:r>
      <w:r w:rsidR="0017463A" w:rsidRPr="00DA390A">
        <w:rPr>
          <w:rFonts w:asciiTheme="majorHAnsi" w:eastAsia="Calibri" w:hAnsiTheme="majorHAnsi" w:cstheme="majorHAnsi"/>
          <w:color w:val="000000" w:themeColor="text1"/>
          <w:sz w:val="24"/>
          <w:szCs w:val="24"/>
          <w:lang w:val="ro-MD"/>
        </w:rPr>
        <w:t>ILD</w:t>
      </w:r>
      <w:r w:rsidR="00123D03" w:rsidRPr="00DA390A">
        <w:rPr>
          <w:rFonts w:asciiTheme="majorHAnsi" w:eastAsia="Calibri" w:hAnsiTheme="majorHAnsi" w:cstheme="majorHAnsi"/>
          <w:color w:val="000000" w:themeColor="text1"/>
          <w:sz w:val="24"/>
          <w:szCs w:val="24"/>
          <w:lang w:val="ro-MD"/>
        </w:rPr>
        <w:t xml:space="preserve"> </w:t>
      </w:r>
      <w:r w:rsidR="002309B5" w:rsidRPr="00DA390A">
        <w:rPr>
          <w:rFonts w:asciiTheme="majorHAnsi" w:eastAsia="Calibri" w:hAnsiTheme="majorHAnsi" w:cstheme="majorHAnsi"/>
          <w:color w:val="000000" w:themeColor="text1"/>
          <w:sz w:val="24"/>
          <w:szCs w:val="24"/>
          <w:lang w:val="ro-MD"/>
        </w:rPr>
        <w:t>a</w:t>
      </w:r>
      <w:r w:rsidR="004035E2" w:rsidRPr="00DA390A">
        <w:rPr>
          <w:rFonts w:asciiTheme="majorHAnsi" w:eastAsia="Calibri" w:hAnsiTheme="majorHAnsi" w:cstheme="majorHAnsi"/>
          <w:color w:val="000000" w:themeColor="text1"/>
          <w:sz w:val="24"/>
          <w:szCs w:val="24"/>
          <w:lang w:val="ro-MD"/>
        </w:rPr>
        <w:t xml:space="preserve"> </w:t>
      </w:r>
      <w:r w:rsidR="002309B5" w:rsidRPr="00DA390A">
        <w:rPr>
          <w:rFonts w:asciiTheme="majorHAnsi" w:eastAsia="Calibri" w:hAnsiTheme="majorHAnsi" w:cstheme="majorHAnsi"/>
          <w:color w:val="000000" w:themeColor="text1"/>
          <w:sz w:val="24"/>
          <w:szCs w:val="24"/>
          <w:lang w:val="ro-MD"/>
        </w:rPr>
        <w:t xml:space="preserve">fost </w:t>
      </w:r>
      <w:r w:rsidR="004035E2" w:rsidRPr="00DA390A">
        <w:rPr>
          <w:rFonts w:asciiTheme="majorHAnsi" w:eastAsia="Calibri" w:hAnsiTheme="majorHAnsi" w:cstheme="majorHAnsi"/>
          <w:color w:val="000000" w:themeColor="text1"/>
          <w:sz w:val="24"/>
          <w:szCs w:val="24"/>
          <w:lang w:val="ro-MD"/>
        </w:rPr>
        <w:t>prezentat</w:t>
      </w:r>
      <w:r w:rsidR="000C311D" w:rsidRPr="00DA390A">
        <w:rPr>
          <w:rFonts w:asciiTheme="majorHAnsi" w:eastAsia="Calibri" w:hAnsiTheme="majorHAnsi" w:cstheme="majorHAnsi"/>
          <w:color w:val="000000" w:themeColor="text1"/>
          <w:sz w:val="24"/>
          <w:szCs w:val="24"/>
          <w:lang w:val="ro-MD"/>
        </w:rPr>
        <w:t>ă</w:t>
      </w:r>
      <w:r w:rsidR="004035E2" w:rsidRPr="00DA390A">
        <w:rPr>
          <w:rFonts w:asciiTheme="majorHAnsi" w:eastAsia="Calibri" w:hAnsiTheme="majorHAnsi" w:cstheme="majorHAnsi"/>
          <w:color w:val="000000" w:themeColor="text1"/>
          <w:sz w:val="24"/>
          <w:szCs w:val="24"/>
          <w:lang w:val="ro-MD"/>
        </w:rPr>
        <w:t xml:space="preserve"> </w:t>
      </w:r>
      <w:r w:rsidR="000C311D" w:rsidRPr="00DA390A">
        <w:rPr>
          <w:rFonts w:asciiTheme="majorHAnsi" w:eastAsia="Calibri" w:hAnsiTheme="majorHAnsi" w:cstheme="majorHAnsi"/>
          <w:color w:val="000000" w:themeColor="text1"/>
          <w:sz w:val="24"/>
          <w:szCs w:val="24"/>
          <w:lang w:val="ro-MD"/>
        </w:rPr>
        <w:t xml:space="preserve">viziunea și </w:t>
      </w:r>
      <w:r w:rsidR="004035E2" w:rsidRPr="00DA390A">
        <w:rPr>
          <w:rFonts w:asciiTheme="majorHAnsi" w:eastAsia="Calibri" w:hAnsiTheme="majorHAnsi" w:cstheme="majorHAnsi"/>
          <w:color w:val="000000" w:themeColor="text1"/>
          <w:sz w:val="24"/>
          <w:szCs w:val="24"/>
          <w:lang w:val="ro-MD"/>
        </w:rPr>
        <w:t xml:space="preserve">un prim set </w:t>
      </w:r>
      <w:r w:rsidR="000C311D" w:rsidRPr="00DA390A">
        <w:rPr>
          <w:rFonts w:asciiTheme="majorHAnsi" w:eastAsia="Calibri" w:hAnsiTheme="majorHAnsi" w:cstheme="majorHAnsi"/>
          <w:color w:val="000000" w:themeColor="text1"/>
          <w:sz w:val="24"/>
          <w:szCs w:val="24"/>
          <w:lang w:val="ro-MD"/>
        </w:rPr>
        <w:t xml:space="preserve">de indicatori </w:t>
      </w:r>
      <w:r w:rsidR="004035E2" w:rsidRPr="00DA390A">
        <w:rPr>
          <w:rFonts w:asciiTheme="majorHAnsi" w:eastAsia="Calibri" w:hAnsiTheme="majorHAnsi" w:cstheme="majorHAnsi"/>
          <w:color w:val="000000" w:themeColor="text1"/>
          <w:sz w:val="24"/>
          <w:szCs w:val="24"/>
          <w:lang w:val="ro-MD"/>
        </w:rPr>
        <w:t>pentru sc</w:t>
      </w:r>
      <w:r w:rsidR="002309B5" w:rsidRPr="00DA390A">
        <w:rPr>
          <w:rFonts w:asciiTheme="majorHAnsi" w:eastAsia="Calibri" w:hAnsiTheme="majorHAnsi" w:cstheme="majorHAnsi"/>
          <w:color w:val="000000" w:themeColor="text1"/>
          <w:sz w:val="24"/>
          <w:szCs w:val="24"/>
          <w:lang w:val="ro-MD"/>
        </w:rPr>
        <w:t>hema de</w:t>
      </w:r>
      <w:r w:rsidR="002309B5" w:rsidRPr="00E33BAB">
        <w:rPr>
          <w:rFonts w:asciiTheme="majorHAnsi" w:eastAsia="Calibri" w:hAnsiTheme="majorHAnsi" w:cstheme="majorHAnsi"/>
          <w:color w:val="000000" w:themeColor="text1"/>
          <w:sz w:val="24"/>
          <w:szCs w:val="24"/>
          <w:lang w:val="ro-MD"/>
        </w:rPr>
        <w:t xml:space="preserve"> performanță</w:t>
      </w:r>
      <w:r w:rsidR="00166CA5" w:rsidRPr="00E33BAB">
        <w:rPr>
          <w:rFonts w:asciiTheme="majorHAnsi" w:eastAsia="Calibri" w:hAnsiTheme="majorHAnsi" w:cstheme="majorHAnsi"/>
          <w:color w:val="000000" w:themeColor="text1"/>
          <w:sz w:val="24"/>
          <w:szCs w:val="24"/>
          <w:lang w:val="ro-MD"/>
        </w:rPr>
        <w:t>, iar</w:t>
      </w:r>
      <w:r w:rsidR="00726274" w:rsidRPr="00E33BAB">
        <w:rPr>
          <w:rFonts w:asciiTheme="majorHAnsi" w:eastAsia="Calibri" w:hAnsiTheme="majorHAnsi" w:cstheme="majorHAnsi"/>
          <w:color w:val="000000" w:themeColor="text1"/>
          <w:sz w:val="24"/>
          <w:szCs w:val="24"/>
          <w:lang w:val="ro-MD"/>
        </w:rPr>
        <w:t xml:space="preserve"> </w:t>
      </w:r>
      <w:r w:rsidR="00E81F49" w:rsidRPr="00E33BAB">
        <w:rPr>
          <w:rFonts w:asciiTheme="majorHAnsi" w:eastAsia="Calibri" w:hAnsiTheme="majorHAnsi" w:cstheme="majorHAnsi"/>
          <w:color w:val="000000" w:themeColor="text1"/>
          <w:sz w:val="24"/>
          <w:szCs w:val="24"/>
          <w:lang w:val="ro-MD"/>
        </w:rPr>
        <w:t xml:space="preserve">CNAM a confirmat planul de </w:t>
      </w:r>
      <w:r w:rsidR="00E81F49" w:rsidRPr="00A528E0">
        <w:rPr>
          <w:rFonts w:asciiTheme="majorHAnsi" w:eastAsia="Calibri" w:hAnsiTheme="majorHAnsi" w:cstheme="majorHAnsi"/>
          <w:color w:val="000000" w:themeColor="text1"/>
          <w:sz w:val="24"/>
          <w:szCs w:val="24"/>
          <w:lang w:val="ro-MD"/>
        </w:rPr>
        <w:t xml:space="preserve">revizuire a metodologiei schemei. </w:t>
      </w:r>
      <w:r w:rsidR="002309B5" w:rsidRPr="00A528E0">
        <w:rPr>
          <w:rFonts w:asciiTheme="majorHAnsi" w:eastAsia="Calibri" w:hAnsiTheme="majorHAnsi" w:cstheme="majorHAnsi"/>
          <w:color w:val="000000" w:themeColor="text1"/>
          <w:sz w:val="24"/>
          <w:szCs w:val="24"/>
          <w:lang w:val="ro-MD"/>
        </w:rPr>
        <w:t>Totodată</w:t>
      </w:r>
      <w:r w:rsidR="006F0968" w:rsidRPr="00A528E0">
        <w:rPr>
          <w:rFonts w:asciiTheme="majorHAnsi" w:eastAsia="Calibri" w:hAnsiTheme="majorHAnsi" w:cstheme="majorHAnsi"/>
          <w:color w:val="000000" w:themeColor="text1"/>
          <w:sz w:val="24"/>
          <w:szCs w:val="24"/>
          <w:lang w:val="ro-MD"/>
        </w:rPr>
        <w:t>, se menține</w:t>
      </w:r>
      <w:r w:rsidR="002309B5" w:rsidRPr="00A528E0">
        <w:rPr>
          <w:rFonts w:asciiTheme="majorHAnsi" w:eastAsia="Calibri" w:hAnsiTheme="majorHAnsi" w:cstheme="majorHAnsi"/>
          <w:color w:val="000000" w:themeColor="text1"/>
          <w:sz w:val="24"/>
          <w:szCs w:val="24"/>
          <w:lang w:val="ro-MD"/>
        </w:rPr>
        <w:t xml:space="preserve"> în continuare necesitatea elaborării</w:t>
      </w:r>
      <w:r w:rsidR="004035E2" w:rsidRPr="00A528E0">
        <w:rPr>
          <w:rFonts w:asciiTheme="majorHAnsi" w:eastAsia="Calibri" w:hAnsiTheme="majorHAnsi" w:cstheme="majorHAnsi"/>
          <w:color w:val="000000" w:themeColor="text1"/>
          <w:sz w:val="24"/>
          <w:szCs w:val="24"/>
          <w:lang w:val="ro-MD"/>
        </w:rPr>
        <w:t xml:space="preserve"> unui modul/soft IT pentru pilotarea schemei</w:t>
      </w:r>
      <w:r w:rsidR="002309B5" w:rsidRPr="00A528E0">
        <w:rPr>
          <w:rFonts w:asciiTheme="majorHAnsi" w:eastAsia="Calibri" w:hAnsiTheme="majorHAnsi" w:cstheme="majorHAnsi"/>
          <w:color w:val="000000" w:themeColor="text1"/>
          <w:sz w:val="24"/>
          <w:szCs w:val="24"/>
          <w:lang w:val="ro-MD"/>
        </w:rPr>
        <w:t>.</w:t>
      </w:r>
      <w:r w:rsidR="004035E2" w:rsidRPr="00A528E0">
        <w:rPr>
          <w:rFonts w:asciiTheme="majorHAnsi" w:eastAsia="Calibri" w:hAnsiTheme="majorHAnsi" w:cstheme="majorHAnsi"/>
          <w:color w:val="000000" w:themeColor="text1"/>
          <w:sz w:val="24"/>
          <w:szCs w:val="24"/>
          <w:lang w:val="ro-MD"/>
        </w:rPr>
        <w:t xml:space="preserve"> </w:t>
      </w:r>
      <w:r w:rsidR="001E1F26" w:rsidRPr="00A528E0">
        <w:rPr>
          <w:rFonts w:asciiTheme="majorHAnsi" w:eastAsia="Calibri" w:hAnsiTheme="majorHAnsi" w:cstheme="majorHAnsi"/>
          <w:color w:val="000000" w:themeColor="text1"/>
          <w:sz w:val="24"/>
          <w:szCs w:val="24"/>
          <w:lang w:val="ro-MD"/>
        </w:rPr>
        <w:t xml:space="preserve">Reieșind din faptul că faza de pilotare va genera date necesare pentru ajustările ulterioare ale indicatorilor și </w:t>
      </w:r>
      <w:r w:rsidR="0057356A" w:rsidRPr="00A528E0">
        <w:rPr>
          <w:rFonts w:asciiTheme="majorHAnsi" w:eastAsia="Calibri" w:hAnsiTheme="majorHAnsi" w:cstheme="majorHAnsi"/>
          <w:color w:val="000000" w:themeColor="text1"/>
          <w:sz w:val="24"/>
          <w:szCs w:val="24"/>
          <w:lang w:val="ro-MD"/>
        </w:rPr>
        <w:t xml:space="preserve">pentru </w:t>
      </w:r>
      <w:r w:rsidR="001E1F26" w:rsidRPr="00A528E0">
        <w:rPr>
          <w:rFonts w:asciiTheme="majorHAnsi" w:eastAsia="Calibri" w:hAnsiTheme="majorHAnsi" w:cstheme="majorHAnsi"/>
          <w:color w:val="000000" w:themeColor="text1"/>
          <w:sz w:val="24"/>
          <w:szCs w:val="24"/>
          <w:lang w:val="ro-MD"/>
        </w:rPr>
        <w:t xml:space="preserve">punerea în aplicare a schemei în fiecare spital de îngrijire acută, </w:t>
      </w:r>
      <w:r w:rsidR="00F30B09" w:rsidRPr="00A528E0">
        <w:rPr>
          <w:rFonts w:asciiTheme="majorHAnsi" w:eastAsia="Calibri" w:hAnsiTheme="majorHAnsi" w:cstheme="majorHAnsi"/>
          <w:color w:val="000000" w:themeColor="text1"/>
          <w:sz w:val="24"/>
          <w:szCs w:val="24"/>
          <w:lang w:val="ro-MD"/>
        </w:rPr>
        <w:t>indicatorul</w:t>
      </w:r>
      <w:r w:rsidR="001E1F26" w:rsidRPr="00A528E0">
        <w:rPr>
          <w:rFonts w:asciiTheme="majorHAnsi" w:eastAsia="Calibri" w:hAnsiTheme="majorHAnsi" w:cstheme="majorHAnsi"/>
          <w:color w:val="000000" w:themeColor="text1"/>
          <w:sz w:val="24"/>
          <w:szCs w:val="24"/>
          <w:lang w:val="ro-MD"/>
        </w:rPr>
        <w:t xml:space="preserve"> 7.4</w:t>
      </w:r>
      <w:r w:rsidR="0057356A" w:rsidRPr="00A528E0">
        <w:rPr>
          <w:rFonts w:asciiTheme="majorHAnsi" w:eastAsia="Calibri" w:hAnsiTheme="majorHAnsi" w:cstheme="majorHAnsi"/>
          <w:color w:val="000000" w:themeColor="text1"/>
          <w:sz w:val="24"/>
          <w:szCs w:val="24"/>
          <w:lang w:val="ro-MD"/>
        </w:rPr>
        <w:t>.</w:t>
      </w:r>
      <w:r w:rsidR="001E1F26" w:rsidRPr="00A528E0">
        <w:rPr>
          <w:rFonts w:asciiTheme="majorHAnsi" w:eastAsia="Calibri" w:hAnsiTheme="majorHAnsi" w:cstheme="majorHAnsi"/>
          <w:color w:val="000000" w:themeColor="text1"/>
          <w:sz w:val="24"/>
          <w:szCs w:val="24"/>
          <w:lang w:val="ro-MD"/>
        </w:rPr>
        <w:t xml:space="preserve"> va fi exclusă. </w:t>
      </w:r>
      <w:r w:rsidR="00C63014" w:rsidRPr="00A528E0">
        <w:rPr>
          <w:rFonts w:asciiTheme="majorHAnsi" w:eastAsia="Calibri" w:hAnsiTheme="majorHAnsi" w:cstheme="majorHAnsi"/>
          <w:color w:val="000000" w:themeColor="text1"/>
          <w:sz w:val="24"/>
          <w:szCs w:val="24"/>
          <w:lang w:val="ro-MD"/>
        </w:rPr>
        <w:t>În rezultatul analizelor, în cadrul misiunii de suport în implementarea operațiunii din iunie 2020, a fost agreat</w:t>
      </w:r>
      <w:r w:rsidR="0057356A" w:rsidRPr="00A528E0">
        <w:rPr>
          <w:rFonts w:asciiTheme="majorHAnsi" w:eastAsia="Calibri" w:hAnsiTheme="majorHAnsi" w:cstheme="majorHAnsi"/>
          <w:color w:val="000000" w:themeColor="text1"/>
          <w:sz w:val="24"/>
          <w:szCs w:val="24"/>
          <w:lang w:val="ro-MD"/>
        </w:rPr>
        <w:t>ă</w:t>
      </w:r>
      <w:r w:rsidR="00C63014" w:rsidRPr="00A528E0">
        <w:rPr>
          <w:rFonts w:asciiTheme="majorHAnsi" w:eastAsia="Calibri" w:hAnsiTheme="majorHAnsi" w:cstheme="majorHAnsi"/>
          <w:color w:val="000000" w:themeColor="text1"/>
          <w:sz w:val="24"/>
          <w:szCs w:val="24"/>
          <w:lang w:val="ro-MD"/>
        </w:rPr>
        <w:t xml:space="preserve"> </w:t>
      </w:r>
      <w:r w:rsidR="0057356A" w:rsidRPr="00A528E0">
        <w:rPr>
          <w:rFonts w:asciiTheme="majorHAnsi" w:eastAsia="Calibri" w:hAnsiTheme="majorHAnsi" w:cstheme="majorHAnsi"/>
          <w:color w:val="000000" w:themeColor="text1"/>
          <w:sz w:val="24"/>
          <w:szCs w:val="24"/>
          <w:lang w:val="ro-MD"/>
        </w:rPr>
        <w:t xml:space="preserve">următoarea </w:t>
      </w:r>
      <w:r w:rsidR="00C63014" w:rsidRPr="00A528E0">
        <w:rPr>
          <w:rFonts w:asciiTheme="majorHAnsi" w:eastAsia="Calibri" w:hAnsiTheme="majorHAnsi" w:cstheme="majorHAnsi"/>
          <w:color w:val="000000" w:themeColor="text1"/>
          <w:sz w:val="24"/>
          <w:szCs w:val="24"/>
          <w:lang w:val="ro-MD"/>
        </w:rPr>
        <w:t>modificare</w:t>
      </w:r>
      <w:r w:rsidR="0057356A" w:rsidRPr="00A528E0">
        <w:rPr>
          <w:rFonts w:asciiTheme="majorHAnsi" w:eastAsia="Calibri" w:hAnsiTheme="majorHAnsi" w:cstheme="majorHAnsi"/>
          <w:color w:val="000000" w:themeColor="text1"/>
          <w:sz w:val="24"/>
          <w:szCs w:val="24"/>
          <w:lang w:val="ro-MD"/>
        </w:rPr>
        <w:t xml:space="preserve"> - </w:t>
      </w:r>
      <w:r w:rsidR="005531AF" w:rsidRPr="00A528E0">
        <w:rPr>
          <w:rFonts w:asciiTheme="majorHAnsi" w:eastAsia="Calibri" w:hAnsiTheme="majorHAnsi" w:cstheme="majorHAnsi"/>
          <w:color w:val="000000" w:themeColor="text1"/>
          <w:sz w:val="24"/>
          <w:szCs w:val="24"/>
          <w:lang w:val="ro-MD"/>
        </w:rPr>
        <w:t>că s</w:t>
      </w:r>
      <w:r w:rsidR="004035E2" w:rsidRPr="00A528E0">
        <w:rPr>
          <w:rFonts w:asciiTheme="majorHAnsi" w:eastAsia="Calibri" w:hAnsiTheme="majorHAnsi" w:cstheme="majorHAnsi"/>
          <w:color w:val="000000" w:themeColor="text1"/>
          <w:sz w:val="24"/>
          <w:szCs w:val="24"/>
          <w:lang w:val="ro-MD"/>
        </w:rPr>
        <w:t xml:space="preserve">ursele financiare prevăzute anterior pentru ILD </w:t>
      </w:r>
      <w:r w:rsidR="00015A96" w:rsidRPr="00A528E0">
        <w:rPr>
          <w:rFonts w:asciiTheme="majorHAnsi" w:eastAsia="Calibri" w:hAnsiTheme="majorHAnsi" w:cstheme="majorHAnsi"/>
          <w:color w:val="000000" w:themeColor="text1"/>
          <w:sz w:val="24"/>
          <w:szCs w:val="24"/>
          <w:lang w:val="ro-MD"/>
        </w:rPr>
        <w:t>7.</w:t>
      </w:r>
      <w:r w:rsidR="004677D4" w:rsidRPr="00A528E0">
        <w:rPr>
          <w:rFonts w:asciiTheme="majorHAnsi" w:eastAsia="Calibri" w:hAnsiTheme="majorHAnsi" w:cstheme="majorHAnsi"/>
          <w:color w:val="000000" w:themeColor="text1"/>
          <w:sz w:val="24"/>
          <w:szCs w:val="24"/>
          <w:lang w:val="ro-MD"/>
        </w:rPr>
        <w:t>4</w:t>
      </w:r>
      <w:r w:rsidR="0057356A" w:rsidRPr="00A528E0">
        <w:rPr>
          <w:rFonts w:asciiTheme="majorHAnsi" w:eastAsia="Calibri" w:hAnsiTheme="majorHAnsi" w:cstheme="majorHAnsi"/>
          <w:color w:val="000000" w:themeColor="text1"/>
          <w:sz w:val="24"/>
          <w:szCs w:val="24"/>
          <w:lang w:val="ro-MD"/>
        </w:rPr>
        <w:t>.</w:t>
      </w:r>
      <w:r w:rsidR="004677D4" w:rsidRPr="00A528E0">
        <w:rPr>
          <w:rFonts w:asciiTheme="majorHAnsi" w:eastAsia="Calibri" w:hAnsiTheme="majorHAnsi" w:cstheme="majorHAnsi"/>
          <w:color w:val="000000" w:themeColor="text1"/>
          <w:sz w:val="24"/>
          <w:szCs w:val="24"/>
          <w:lang w:val="ro-MD"/>
        </w:rPr>
        <w:t xml:space="preserve"> (323 </w:t>
      </w:r>
      <w:r w:rsidR="004035E2" w:rsidRPr="00A528E0">
        <w:rPr>
          <w:rFonts w:asciiTheme="majorHAnsi" w:eastAsia="Calibri" w:hAnsiTheme="majorHAnsi" w:cstheme="majorHAnsi"/>
          <w:color w:val="000000" w:themeColor="text1"/>
          <w:sz w:val="24"/>
          <w:szCs w:val="24"/>
          <w:lang w:val="ro-MD"/>
        </w:rPr>
        <w:t xml:space="preserve">500 DST) </w:t>
      </w:r>
      <w:r w:rsidR="00CC3933" w:rsidRPr="00A528E0">
        <w:rPr>
          <w:rFonts w:asciiTheme="majorHAnsi" w:eastAsia="Calibri" w:hAnsiTheme="majorHAnsi" w:cstheme="majorHAnsi"/>
          <w:color w:val="000000" w:themeColor="text1"/>
          <w:sz w:val="24"/>
          <w:szCs w:val="24"/>
          <w:lang w:val="ro-MD"/>
        </w:rPr>
        <w:t>urmează a</w:t>
      </w:r>
      <w:r w:rsidR="004035E2" w:rsidRPr="00A528E0">
        <w:rPr>
          <w:rFonts w:asciiTheme="majorHAnsi" w:eastAsia="Calibri" w:hAnsiTheme="majorHAnsi" w:cstheme="majorHAnsi"/>
          <w:color w:val="000000" w:themeColor="text1"/>
          <w:sz w:val="24"/>
          <w:szCs w:val="24"/>
          <w:lang w:val="ro-MD"/>
        </w:rPr>
        <w:t xml:space="preserve"> fi realo</w:t>
      </w:r>
      <w:r w:rsidR="0099637D" w:rsidRPr="00A528E0">
        <w:rPr>
          <w:rFonts w:asciiTheme="majorHAnsi" w:eastAsia="Calibri" w:hAnsiTheme="majorHAnsi" w:cstheme="majorHAnsi"/>
          <w:color w:val="000000" w:themeColor="text1"/>
          <w:sz w:val="24"/>
          <w:szCs w:val="24"/>
          <w:lang w:val="ro-MD"/>
        </w:rPr>
        <w:t>cate către DLR</w:t>
      </w:r>
      <w:r w:rsidR="0057356A" w:rsidRPr="00A528E0">
        <w:rPr>
          <w:rFonts w:asciiTheme="majorHAnsi" w:eastAsia="Calibri" w:hAnsiTheme="majorHAnsi" w:cstheme="majorHAnsi"/>
          <w:color w:val="000000" w:themeColor="text1"/>
          <w:sz w:val="24"/>
          <w:szCs w:val="24"/>
          <w:lang w:val="ro-MD"/>
        </w:rPr>
        <w:t xml:space="preserve"> </w:t>
      </w:r>
      <w:r w:rsidR="0099637D" w:rsidRPr="00A528E0">
        <w:rPr>
          <w:rFonts w:asciiTheme="majorHAnsi" w:eastAsia="Calibri" w:hAnsiTheme="majorHAnsi" w:cstheme="majorHAnsi"/>
          <w:color w:val="000000" w:themeColor="text1"/>
          <w:sz w:val="24"/>
          <w:szCs w:val="24"/>
          <w:lang w:val="ro-MD"/>
        </w:rPr>
        <w:t>7.2</w:t>
      </w:r>
      <w:r w:rsidR="0057356A" w:rsidRPr="00A528E0">
        <w:rPr>
          <w:rFonts w:asciiTheme="majorHAnsi" w:eastAsia="Calibri" w:hAnsiTheme="majorHAnsi" w:cstheme="majorHAnsi"/>
          <w:color w:val="000000" w:themeColor="text1"/>
          <w:sz w:val="24"/>
          <w:szCs w:val="24"/>
          <w:lang w:val="ro-MD"/>
        </w:rPr>
        <w:t>.</w:t>
      </w:r>
      <w:r w:rsidR="0099637D" w:rsidRPr="00A528E0">
        <w:rPr>
          <w:rFonts w:asciiTheme="majorHAnsi" w:eastAsia="Calibri" w:hAnsiTheme="majorHAnsi" w:cstheme="majorHAnsi"/>
          <w:color w:val="000000" w:themeColor="text1"/>
          <w:sz w:val="24"/>
          <w:szCs w:val="24"/>
          <w:lang w:val="ro-MD"/>
        </w:rPr>
        <w:t xml:space="preserve"> și </w:t>
      </w:r>
      <w:r w:rsidR="0057356A" w:rsidRPr="00A528E0">
        <w:rPr>
          <w:rFonts w:asciiTheme="majorHAnsi" w:eastAsia="Calibri" w:hAnsiTheme="majorHAnsi" w:cstheme="majorHAnsi"/>
          <w:color w:val="000000" w:themeColor="text1"/>
          <w:sz w:val="24"/>
          <w:szCs w:val="24"/>
          <w:lang w:val="ro-MD"/>
        </w:rPr>
        <w:t xml:space="preserve">DLR </w:t>
      </w:r>
      <w:r w:rsidR="0099637D" w:rsidRPr="00A528E0">
        <w:rPr>
          <w:rFonts w:asciiTheme="majorHAnsi" w:eastAsia="Calibri" w:hAnsiTheme="majorHAnsi" w:cstheme="majorHAnsi"/>
          <w:color w:val="000000" w:themeColor="text1"/>
          <w:sz w:val="24"/>
          <w:szCs w:val="24"/>
          <w:lang w:val="ro-MD"/>
        </w:rPr>
        <w:t>7.3</w:t>
      </w:r>
      <w:r w:rsidR="0057356A" w:rsidRPr="00A528E0">
        <w:rPr>
          <w:rFonts w:asciiTheme="majorHAnsi" w:eastAsia="Calibri" w:hAnsiTheme="majorHAnsi" w:cstheme="majorHAnsi"/>
          <w:color w:val="000000" w:themeColor="text1"/>
          <w:sz w:val="24"/>
          <w:szCs w:val="24"/>
          <w:lang w:val="ro-MD"/>
        </w:rPr>
        <w:t>.</w:t>
      </w:r>
      <w:r w:rsidR="004035E2" w:rsidRPr="00A528E0">
        <w:rPr>
          <w:rFonts w:asciiTheme="majorHAnsi" w:eastAsia="Calibri" w:hAnsiTheme="majorHAnsi" w:cstheme="majorHAnsi"/>
          <w:color w:val="000000" w:themeColor="text1"/>
          <w:sz w:val="24"/>
          <w:szCs w:val="24"/>
          <w:lang w:val="ro-MD"/>
        </w:rPr>
        <w:t xml:space="preserve"> </w:t>
      </w:r>
      <w:r w:rsidR="0099637D" w:rsidRPr="00A528E0">
        <w:rPr>
          <w:rFonts w:asciiTheme="majorHAnsi" w:eastAsia="Calibri" w:hAnsiTheme="majorHAnsi" w:cstheme="majorHAnsi"/>
          <w:color w:val="000000" w:themeColor="text1"/>
          <w:sz w:val="24"/>
          <w:szCs w:val="24"/>
          <w:lang w:val="ro-MD"/>
        </w:rPr>
        <w:t>și vor</w:t>
      </w:r>
      <w:r w:rsidR="00166CA5" w:rsidRPr="00A528E0">
        <w:rPr>
          <w:rFonts w:asciiTheme="majorHAnsi" w:eastAsia="Calibri" w:hAnsiTheme="majorHAnsi" w:cstheme="majorHAnsi"/>
          <w:color w:val="000000" w:themeColor="text1"/>
          <w:sz w:val="24"/>
          <w:szCs w:val="24"/>
          <w:lang w:val="ro-MD"/>
        </w:rPr>
        <w:t xml:space="preserve"> avea următorul conținut</w:t>
      </w:r>
      <w:r w:rsidR="004035E2" w:rsidRPr="00A528E0">
        <w:rPr>
          <w:rFonts w:asciiTheme="majorHAnsi" w:eastAsia="Calibri" w:hAnsiTheme="majorHAnsi" w:cstheme="majorHAnsi"/>
          <w:color w:val="000000" w:themeColor="text1"/>
          <w:sz w:val="24"/>
          <w:szCs w:val="24"/>
          <w:lang w:val="ro-MD"/>
        </w:rPr>
        <w:t>: 7.2</w:t>
      </w:r>
      <w:r w:rsidR="00CC3933" w:rsidRPr="00A528E0">
        <w:rPr>
          <w:rFonts w:asciiTheme="majorHAnsi" w:eastAsia="Calibri" w:hAnsiTheme="majorHAnsi" w:cstheme="majorHAnsi"/>
          <w:color w:val="000000" w:themeColor="text1"/>
          <w:sz w:val="24"/>
          <w:szCs w:val="24"/>
          <w:lang w:val="ro-MD"/>
        </w:rPr>
        <w:t>.</w:t>
      </w:r>
      <w:r w:rsidR="004035E2" w:rsidRPr="00A528E0">
        <w:rPr>
          <w:rFonts w:asciiTheme="majorHAnsi" w:eastAsia="Calibri" w:hAnsiTheme="majorHAnsi" w:cstheme="majorHAnsi"/>
          <w:color w:val="000000" w:themeColor="text1"/>
          <w:sz w:val="24"/>
          <w:szCs w:val="24"/>
          <w:lang w:val="ro-MD"/>
        </w:rPr>
        <w:t>: revizuirea schemei de</w:t>
      </w:r>
      <w:r w:rsidR="004677D4" w:rsidRPr="00A528E0">
        <w:rPr>
          <w:rFonts w:asciiTheme="majorHAnsi" w:eastAsia="Calibri" w:hAnsiTheme="majorHAnsi" w:cstheme="majorHAnsi"/>
          <w:color w:val="000000" w:themeColor="text1"/>
          <w:sz w:val="24"/>
          <w:szCs w:val="24"/>
          <w:lang w:val="ro-MD"/>
        </w:rPr>
        <w:t xml:space="preserve"> plată pentru performanță</w:t>
      </w:r>
      <w:r w:rsidR="00CC3933" w:rsidRPr="00A528E0">
        <w:rPr>
          <w:rFonts w:asciiTheme="majorHAnsi" w:eastAsia="Calibri" w:hAnsiTheme="majorHAnsi" w:cstheme="majorHAnsi"/>
          <w:color w:val="000000" w:themeColor="text1"/>
          <w:sz w:val="24"/>
          <w:szCs w:val="24"/>
          <w:lang w:val="ro-MD"/>
        </w:rPr>
        <w:t xml:space="preserve"> </w:t>
      </w:r>
      <w:r w:rsidR="004677D4" w:rsidRPr="00A528E0">
        <w:rPr>
          <w:rFonts w:asciiTheme="majorHAnsi" w:eastAsia="Calibri" w:hAnsiTheme="majorHAnsi" w:cstheme="majorHAnsi"/>
          <w:color w:val="000000" w:themeColor="text1"/>
          <w:sz w:val="24"/>
          <w:szCs w:val="24"/>
          <w:lang w:val="ro-MD"/>
        </w:rPr>
        <w:t xml:space="preserve">(485 </w:t>
      </w:r>
      <w:r w:rsidR="004035E2" w:rsidRPr="00A528E0">
        <w:rPr>
          <w:rFonts w:asciiTheme="majorHAnsi" w:eastAsia="Calibri" w:hAnsiTheme="majorHAnsi" w:cstheme="majorHAnsi"/>
          <w:color w:val="000000" w:themeColor="text1"/>
          <w:sz w:val="24"/>
          <w:szCs w:val="24"/>
          <w:lang w:val="ro-MD"/>
        </w:rPr>
        <w:t>250 DST); și 7.3</w:t>
      </w:r>
      <w:r w:rsidR="00737773" w:rsidRPr="00A528E0">
        <w:rPr>
          <w:rFonts w:asciiTheme="majorHAnsi" w:eastAsia="Calibri" w:hAnsiTheme="majorHAnsi" w:cstheme="majorHAnsi"/>
          <w:color w:val="000000" w:themeColor="text1"/>
          <w:sz w:val="24"/>
          <w:szCs w:val="24"/>
          <w:lang w:val="ro-MD"/>
        </w:rPr>
        <w:t xml:space="preserve">. </w:t>
      </w:r>
      <w:r w:rsidR="004035E2" w:rsidRPr="00A528E0">
        <w:rPr>
          <w:rFonts w:asciiTheme="majorHAnsi" w:eastAsia="Calibri" w:hAnsiTheme="majorHAnsi" w:cstheme="majorHAnsi"/>
          <w:color w:val="000000" w:themeColor="text1"/>
          <w:sz w:val="24"/>
          <w:szCs w:val="24"/>
          <w:lang w:val="ro-MD"/>
        </w:rPr>
        <w:t>: pilotarea metodologiei revizui</w:t>
      </w:r>
      <w:r w:rsidR="004677D4" w:rsidRPr="00A528E0">
        <w:rPr>
          <w:rFonts w:asciiTheme="majorHAnsi" w:eastAsia="Calibri" w:hAnsiTheme="majorHAnsi" w:cstheme="majorHAnsi"/>
          <w:color w:val="000000" w:themeColor="text1"/>
          <w:sz w:val="24"/>
          <w:szCs w:val="24"/>
          <w:lang w:val="ro-MD"/>
        </w:rPr>
        <w:t xml:space="preserve">te în cel puțin 7 spitale (485 </w:t>
      </w:r>
      <w:r w:rsidR="004035E2" w:rsidRPr="00A528E0">
        <w:rPr>
          <w:rFonts w:asciiTheme="majorHAnsi" w:eastAsia="Calibri" w:hAnsiTheme="majorHAnsi" w:cstheme="majorHAnsi"/>
          <w:color w:val="000000" w:themeColor="text1"/>
          <w:sz w:val="24"/>
          <w:szCs w:val="24"/>
          <w:lang w:val="ro-MD"/>
        </w:rPr>
        <w:t>250 DST).</w:t>
      </w:r>
    </w:p>
    <w:p w14:paraId="6219EDBA" w14:textId="77777777" w:rsidR="00123D03" w:rsidRPr="00E33BAB" w:rsidRDefault="00123D03" w:rsidP="00123D03">
      <w:pPr>
        <w:tabs>
          <w:tab w:val="left" w:pos="720"/>
        </w:tabs>
        <w:suppressAutoHyphens/>
        <w:spacing w:after="0" w:line="276" w:lineRule="auto"/>
        <w:ind w:right="-29"/>
        <w:jc w:val="both"/>
        <w:rPr>
          <w:rFonts w:asciiTheme="majorHAnsi" w:eastAsia="Calibri" w:hAnsiTheme="majorHAnsi" w:cstheme="majorHAnsi"/>
          <w:color w:val="000000" w:themeColor="text1"/>
          <w:sz w:val="24"/>
          <w:szCs w:val="24"/>
          <w:lang w:val="ro-MD"/>
        </w:rPr>
      </w:pPr>
      <w:r w:rsidRPr="00A528E0">
        <w:rPr>
          <w:rFonts w:asciiTheme="majorHAnsi" w:eastAsia="Calibri" w:hAnsiTheme="majorHAnsi" w:cstheme="majorHAnsi"/>
          <w:color w:val="000000" w:themeColor="text1"/>
          <w:sz w:val="24"/>
          <w:szCs w:val="24"/>
          <w:lang w:val="ro-MD"/>
        </w:rPr>
        <w:t>Începând cu 01.11.2020, a fost pilotat la nivel național Sistemul Informațional</w:t>
      </w:r>
      <w:r w:rsidRPr="00E33BAB">
        <w:rPr>
          <w:rFonts w:asciiTheme="majorHAnsi" w:eastAsia="Calibri" w:hAnsiTheme="majorHAnsi" w:cstheme="majorHAnsi"/>
          <w:color w:val="000000" w:themeColor="text1"/>
          <w:sz w:val="24"/>
          <w:szCs w:val="24"/>
          <w:lang w:val="ro-MD"/>
        </w:rPr>
        <w:t xml:space="preserve"> „Raportarea și evidența serviciilor medicale”, în vederea elaborării metodologiei de estimare a accesului la serviciile medicale de înaltă performanță.</w:t>
      </w:r>
    </w:p>
    <w:p w14:paraId="087172F5" w14:textId="02E90AB0" w:rsidR="00E45BE2" w:rsidRPr="00E33BAB" w:rsidRDefault="00123D03" w:rsidP="00123D03">
      <w:pPr>
        <w:tabs>
          <w:tab w:val="left" w:pos="720"/>
        </w:tabs>
        <w:suppressAutoHyphens/>
        <w:spacing w:after="0" w:line="276" w:lineRule="auto"/>
        <w:ind w:right="-29"/>
        <w:jc w:val="both"/>
        <w:rPr>
          <w:rFonts w:asciiTheme="majorHAnsi" w:eastAsia="Calibri" w:hAnsiTheme="majorHAnsi" w:cstheme="majorHAnsi"/>
          <w:color w:val="000000" w:themeColor="text1"/>
          <w:sz w:val="24"/>
          <w:szCs w:val="24"/>
          <w:lang w:val="ro-MD"/>
        </w:rPr>
      </w:pPr>
      <w:r w:rsidRPr="00E33BAB">
        <w:rPr>
          <w:rFonts w:asciiTheme="majorHAnsi" w:eastAsia="Calibri" w:hAnsiTheme="majorHAnsi" w:cstheme="majorHAnsi"/>
          <w:color w:val="000000" w:themeColor="text1"/>
          <w:sz w:val="24"/>
          <w:szCs w:val="24"/>
          <w:lang w:val="ro-MD"/>
        </w:rPr>
        <w:t xml:space="preserve">În luna decembrie 2020 urma a fi creat grupul de lucru comun </w:t>
      </w:r>
      <w:r w:rsidR="00CC3933">
        <w:rPr>
          <w:rFonts w:asciiTheme="majorHAnsi" w:eastAsia="Calibri" w:hAnsiTheme="majorHAnsi" w:cstheme="majorHAnsi"/>
          <w:color w:val="000000" w:themeColor="text1"/>
          <w:sz w:val="24"/>
          <w:szCs w:val="24"/>
          <w:lang w:val="ro-MD"/>
        </w:rPr>
        <w:t xml:space="preserve">al </w:t>
      </w:r>
      <w:r w:rsidRPr="00E33BAB">
        <w:rPr>
          <w:rFonts w:asciiTheme="majorHAnsi" w:eastAsia="Calibri" w:hAnsiTheme="majorHAnsi" w:cstheme="majorHAnsi"/>
          <w:color w:val="000000" w:themeColor="text1"/>
          <w:sz w:val="24"/>
          <w:szCs w:val="24"/>
          <w:lang w:val="ro-MD"/>
        </w:rPr>
        <w:t>MSMPS și CNAM pentru elaborarea metodologiei de estimare a accesului la servicii medicale de înaltă performanță</w:t>
      </w:r>
      <w:r w:rsidR="001C0313" w:rsidRPr="00E33BAB">
        <w:rPr>
          <w:rFonts w:asciiTheme="majorHAnsi" w:eastAsia="Calibri" w:hAnsiTheme="majorHAnsi" w:cstheme="majorHAnsi"/>
          <w:color w:val="000000" w:themeColor="text1"/>
          <w:sz w:val="24"/>
          <w:szCs w:val="24"/>
          <w:lang w:val="ro-MD"/>
        </w:rPr>
        <w:t>.</w:t>
      </w:r>
      <w:r w:rsidR="001C0313" w:rsidRPr="00E33BAB">
        <w:rPr>
          <w:color w:val="000000" w:themeColor="text1"/>
          <w:lang w:val="ro-MD"/>
        </w:rPr>
        <w:t xml:space="preserve"> </w:t>
      </w:r>
      <w:r w:rsidR="001C0313" w:rsidRPr="00E33BAB">
        <w:rPr>
          <w:rFonts w:asciiTheme="majorHAnsi" w:eastAsia="Calibri" w:hAnsiTheme="majorHAnsi" w:cstheme="majorHAnsi"/>
          <w:color w:val="000000" w:themeColor="text1"/>
          <w:sz w:val="24"/>
          <w:szCs w:val="24"/>
          <w:lang w:val="ro-MD"/>
        </w:rPr>
        <w:t>Sumele planificate pentru acest indicator în anul 2020 vor fi revizuite</w:t>
      </w:r>
      <w:r w:rsidR="00737773">
        <w:rPr>
          <w:rFonts w:asciiTheme="majorHAnsi" w:eastAsia="Calibri" w:hAnsiTheme="majorHAnsi" w:cstheme="majorHAnsi"/>
          <w:color w:val="000000" w:themeColor="text1"/>
          <w:sz w:val="24"/>
          <w:szCs w:val="24"/>
          <w:lang w:val="ro-MD"/>
        </w:rPr>
        <w:t>,</w:t>
      </w:r>
      <w:r w:rsidR="001C0313" w:rsidRPr="00E33BAB">
        <w:rPr>
          <w:rFonts w:asciiTheme="majorHAnsi" w:eastAsia="Calibri" w:hAnsiTheme="majorHAnsi" w:cstheme="majorHAnsi"/>
          <w:color w:val="000000" w:themeColor="text1"/>
          <w:sz w:val="24"/>
          <w:szCs w:val="24"/>
          <w:lang w:val="ro-MD"/>
        </w:rPr>
        <w:t xml:space="preserve"> </w:t>
      </w:r>
      <w:r w:rsidR="00737773">
        <w:rPr>
          <w:rFonts w:asciiTheme="majorHAnsi" w:eastAsia="Calibri" w:hAnsiTheme="majorHAnsi" w:cstheme="majorHAnsi"/>
          <w:color w:val="000000" w:themeColor="text1"/>
          <w:sz w:val="24"/>
          <w:szCs w:val="24"/>
          <w:lang w:val="ro-MD"/>
        </w:rPr>
        <w:t>iar</w:t>
      </w:r>
      <w:r w:rsidR="001C0313" w:rsidRPr="00E33BAB">
        <w:rPr>
          <w:rFonts w:asciiTheme="majorHAnsi" w:eastAsia="Calibri" w:hAnsiTheme="majorHAnsi" w:cstheme="majorHAnsi"/>
          <w:color w:val="000000" w:themeColor="text1"/>
          <w:sz w:val="24"/>
          <w:szCs w:val="24"/>
          <w:lang w:val="ro-MD"/>
        </w:rPr>
        <w:t xml:space="preserve"> o parte </w:t>
      </w:r>
      <w:r w:rsidR="00737773">
        <w:rPr>
          <w:rFonts w:asciiTheme="majorHAnsi" w:eastAsia="Calibri" w:hAnsiTheme="majorHAnsi" w:cstheme="majorHAnsi"/>
          <w:color w:val="000000" w:themeColor="text1"/>
          <w:sz w:val="24"/>
          <w:szCs w:val="24"/>
          <w:lang w:val="ro-MD"/>
        </w:rPr>
        <w:t xml:space="preserve">- </w:t>
      </w:r>
      <w:r w:rsidR="001C0313" w:rsidRPr="00E33BAB">
        <w:rPr>
          <w:rFonts w:asciiTheme="majorHAnsi" w:eastAsia="Calibri" w:hAnsiTheme="majorHAnsi" w:cstheme="majorHAnsi"/>
          <w:color w:val="000000" w:themeColor="text1"/>
          <w:sz w:val="24"/>
          <w:szCs w:val="24"/>
          <w:lang w:val="ro-MD"/>
        </w:rPr>
        <w:t>replanificate pentru anul 2</w:t>
      </w:r>
      <w:r w:rsidR="0099637D" w:rsidRPr="00E33BAB">
        <w:rPr>
          <w:rFonts w:asciiTheme="majorHAnsi" w:eastAsia="Calibri" w:hAnsiTheme="majorHAnsi" w:cstheme="majorHAnsi"/>
          <w:color w:val="000000" w:themeColor="text1"/>
          <w:sz w:val="24"/>
          <w:szCs w:val="24"/>
          <w:lang w:val="ro-MD"/>
        </w:rPr>
        <w:t>021, în</w:t>
      </w:r>
      <w:r w:rsidR="00737773">
        <w:rPr>
          <w:rFonts w:asciiTheme="majorHAnsi" w:eastAsia="Calibri" w:hAnsiTheme="majorHAnsi" w:cstheme="majorHAnsi"/>
          <w:color w:val="000000" w:themeColor="text1"/>
          <w:sz w:val="24"/>
          <w:szCs w:val="24"/>
          <w:lang w:val="ro-MD"/>
        </w:rPr>
        <w:t xml:space="preserve"> funcție de faptul </w:t>
      </w:r>
      <w:r w:rsidR="0099637D" w:rsidRPr="00E33BAB">
        <w:rPr>
          <w:rFonts w:asciiTheme="majorHAnsi" w:eastAsia="Calibri" w:hAnsiTheme="majorHAnsi" w:cstheme="majorHAnsi"/>
          <w:color w:val="000000" w:themeColor="text1"/>
          <w:sz w:val="24"/>
          <w:szCs w:val="24"/>
          <w:lang w:val="ro-MD"/>
        </w:rPr>
        <w:t xml:space="preserve"> cum va fi revăzută</w:t>
      </w:r>
      <w:r w:rsidR="001C0313" w:rsidRPr="00E33BAB">
        <w:rPr>
          <w:rFonts w:asciiTheme="majorHAnsi" w:eastAsia="Calibri" w:hAnsiTheme="majorHAnsi" w:cstheme="majorHAnsi"/>
          <w:color w:val="000000" w:themeColor="text1"/>
          <w:sz w:val="24"/>
          <w:szCs w:val="24"/>
          <w:lang w:val="ro-MD"/>
        </w:rPr>
        <w:t xml:space="preserve"> schema de către consultanții internaționali.</w:t>
      </w:r>
    </w:p>
    <w:p w14:paraId="303B2AC5" w14:textId="27040BFF" w:rsidR="004035E2" w:rsidRPr="00785129" w:rsidRDefault="00A528E0" w:rsidP="00E81F49">
      <w:pPr>
        <w:pStyle w:val="ListParagraph"/>
        <w:numPr>
          <w:ilvl w:val="0"/>
          <w:numId w:val="10"/>
        </w:numPr>
        <w:tabs>
          <w:tab w:val="left" w:pos="720"/>
        </w:tabs>
        <w:suppressAutoHyphens/>
        <w:spacing w:after="0" w:line="276" w:lineRule="auto"/>
        <w:ind w:left="0" w:right="-29" w:firstLine="360"/>
        <w:jc w:val="both"/>
        <w:rPr>
          <w:rFonts w:asciiTheme="majorHAnsi" w:eastAsia="Calibri" w:hAnsiTheme="majorHAnsi" w:cstheme="majorHAnsi"/>
          <w:sz w:val="24"/>
          <w:szCs w:val="24"/>
          <w:lang w:val="ro-MD"/>
        </w:rPr>
      </w:pPr>
      <w:r>
        <w:rPr>
          <w:rFonts w:asciiTheme="majorHAnsi" w:eastAsia="Calibri" w:hAnsiTheme="majorHAnsi" w:cstheme="majorHAnsi"/>
          <w:sz w:val="24"/>
          <w:szCs w:val="24"/>
          <w:lang w:val="ro-MD"/>
        </w:rPr>
        <w:lastRenderedPageBreak/>
        <w:t>ILD</w:t>
      </w:r>
      <w:r w:rsidR="004C4679">
        <w:rPr>
          <w:rFonts w:asciiTheme="majorHAnsi" w:eastAsia="Calibri" w:hAnsiTheme="majorHAnsi" w:cstheme="majorHAnsi"/>
          <w:sz w:val="24"/>
          <w:szCs w:val="24"/>
          <w:lang w:val="ro-MD"/>
        </w:rPr>
        <w:t xml:space="preserve"> </w:t>
      </w:r>
      <w:r w:rsidR="004035E2" w:rsidRPr="00E33BAB">
        <w:rPr>
          <w:rFonts w:asciiTheme="majorHAnsi" w:eastAsia="Calibri" w:hAnsiTheme="majorHAnsi" w:cstheme="majorHAnsi"/>
          <w:sz w:val="24"/>
          <w:szCs w:val="24"/>
          <w:lang w:val="ro-MD"/>
        </w:rPr>
        <w:t>9</w:t>
      </w:r>
      <w:r w:rsidR="00636DAC">
        <w:rPr>
          <w:rFonts w:asciiTheme="majorHAnsi" w:eastAsia="Calibri" w:hAnsiTheme="majorHAnsi" w:cstheme="majorHAnsi"/>
          <w:sz w:val="24"/>
          <w:szCs w:val="24"/>
          <w:lang w:val="ro-MD"/>
        </w:rPr>
        <w:t>.</w:t>
      </w:r>
      <w:r w:rsidR="004035E2" w:rsidRPr="00E33BAB">
        <w:rPr>
          <w:rFonts w:asciiTheme="majorHAnsi" w:eastAsia="Calibri" w:hAnsiTheme="majorHAnsi" w:cstheme="majorHAnsi"/>
          <w:sz w:val="24"/>
          <w:szCs w:val="24"/>
          <w:lang w:val="ro-MD"/>
        </w:rPr>
        <w:t xml:space="preserve"> </w:t>
      </w:r>
      <w:r w:rsidR="004035E2" w:rsidRPr="00E33BAB">
        <w:rPr>
          <w:rFonts w:asciiTheme="majorHAnsi" w:eastAsia="Calibri" w:hAnsiTheme="majorHAnsi" w:cstheme="majorHAnsi"/>
          <w:b/>
          <w:i/>
          <w:sz w:val="24"/>
          <w:szCs w:val="24"/>
          <w:lang w:val="ro-MD"/>
        </w:rPr>
        <w:t xml:space="preserve">„Consolidarea spitalelor departamentale </w:t>
      </w:r>
      <w:r w:rsidR="00636DAC">
        <w:rPr>
          <w:rFonts w:asciiTheme="majorHAnsi" w:eastAsia="Calibri" w:hAnsiTheme="majorHAnsi" w:cstheme="majorHAnsi"/>
          <w:b/>
          <w:i/>
          <w:sz w:val="24"/>
          <w:szCs w:val="24"/>
          <w:lang w:val="ro-MD"/>
        </w:rPr>
        <w:t>aflate în administrarea</w:t>
      </w:r>
      <w:r w:rsidR="004035E2" w:rsidRPr="00E33BAB">
        <w:rPr>
          <w:rFonts w:asciiTheme="majorHAnsi" w:eastAsia="Calibri" w:hAnsiTheme="majorHAnsi" w:cstheme="majorHAnsi"/>
          <w:b/>
          <w:i/>
          <w:sz w:val="24"/>
          <w:szCs w:val="24"/>
          <w:lang w:val="ro-MD"/>
        </w:rPr>
        <w:t xml:space="preserve"> MSMPS”.</w:t>
      </w:r>
      <w:r w:rsidR="004035E2" w:rsidRPr="00E33BAB">
        <w:rPr>
          <w:rFonts w:asciiTheme="majorHAnsi" w:eastAsia="Calibri" w:hAnsiTheme="majorHAnsi" w:cstheme="majorHAnsi"/>
          <w:sz w:val="24"/>
          <w:szCs w:val="24"/>
          <w:lang w:val="ro-MD"/>
        </w:rPr>
        <w:t xml:space="preserve"> Guvernul a confirmat importanța îmbunătățirii prestării serviciilor în sectorul spitalicesc</w:t>
      </w:r>
      <w:r w:rsidR="001E1F26" w:rsidRPr="00E33BAB">
        <w:rPr>
          <w:rFonts w:asciiTheme="majorHAnsi" w:eastAsia="Calibri" w:hAnsiTheme="majorHAnsi" w:cstheme="majorHAnsi"/>
          <w:sz w:val="24"/>
          <w:szCs w:val="24"/>
          <w:lang w:val="ro-MD"/>
        </w:rPr>
        <w:t xml:space="preserve">,  </w:t>
      </w:r>
      <w:r w:rsidR="004035E2" w:rsidRPr="00E33BAB">
        <w:rPr>
          <w:rFonts w:asciiTheme="majorHAnsi" w:eastAsia="Calibri" w:hAnsiTheme="majorHAnsi" w:cstheme="majorHAnsi"/>
          <w:sz w:val="24"/>
          <w:szCs w:val="24"/>
          <w:lang w:val="ro-MD"/>
        </w:rPr>
        <w:t>la moment</w:t>
      </w:r>
      <w:r w:rsidR="004C4679">
        <w:rPr>
          <w:rFonts w:asciiTheme="majorHAnsi" w:eastAsia="Calibri" w:hAnsiTheme="majorHAnsi" w:cstheme="majorHAnsi"/>
          <w:sz w:val="24"/>
          <w:szCs w:val="24"/>
          <w:lang w:val="ro-MD"/>
        </w:rPr>
        <w:t xml:space="preserve">ul actual </w:t>
      </w:r>
      <w:r w:rsidR="004035E2" w:rsidRPr="00E33BAB">
        <w:rPr>
          <w:rFonts w:asciiTheme="majorHAnsi" w:eastAsia="Calibri" w:hAnsiTheme="majorHAnsi" w:cstheme="majorHAnsi"/>
          <w:sz w:val="24"/>
          <w:szCs w:val="24"/>
          <w:lang w:val="ro-MD"/>
        </w:rPr>
        <w:t xml:space="preserve"> </w:t>
      </w:r>
      <w:r w:rsidR="004C4679">
        <w:rPr>
          <w:rFonts w:asciiTheme="majorHAnsi" w:eastAsia="Calibri" w:hAnsiTheme="majorHAnsi" w:cstheme="majorHAnsi"/>
          <w:sz w:val="24"/>
          <w:szCs w:val="24"/>
          <w:lang w:val="ro-MD"/>
        </w:rPr>
        <w:t>fiind</w:t>
      </w:r>
      <w:r w:rsidR="004035E2" w:rsidRPr="00E33BAB">
        <w:rPr>
          <w:rFonts w:asciiTheme="majorHAnsi" w:eastAsia="Calibri" w:hAnsiTheme="majorHAnsi" w:cstheme="majorHAnsi"/>
          <w:sz w:val="24"/>
          <w:szCs w:val="24"/>
          <w:lang w:val="ro-MD"/>
        </w:rPr>
        <w:t xml:space="preserve"> în proces</w:t>
      </w:r>
      <w:r w:rsidR="00015A96" w:rsidRPr="00E33BAB">
        <w:rPr>
          <w:rFonts w:asciiTheme="majorHAnsi" w:eastAsia="Calibri" w:hAnsiTheme="majorHAnsi" w:cstheme="majorHAnsi"/>
          <w:sz w:val="24"/>
          <w:szCs w:val="24"/>
          <w:lang w:val="ro-MD"/>
        </w:rPr>
        <w:t xml:space="preserve"> de</w:t>
      </w:r>
      <w:r w:rsidR="004035E2" w:rsidRPr="00E33BAB">
        <w:rPr>
          <w:rFonts w:asciiTheme="majorHAnsi" w:eastAsia="Calibri" w:hAnsiTheme="majorHAnsi" w:cstheme="majorHAnsi"/>
          <w:sz w:val="24"/>
          <w:szCs w:val="24"/>
          <w:lang w:val="ro-MD"/>
        </w:rPr>
        <w:t xml:space="preserve"> fuzionare Spitalul</w:t>
      </w:r>
      <w:r w:rsidR="001E1F26" w:rsidRPr="00E33BAB">
        <w:rPr>
          <w:rFonts w:asciiTheme="majorHAnsi" w:eastAsia="Calibri" w:hAnsiTheme="majorHAnsi" w:cstheme="majorHAnsi"/>
          <w:sz w:val="24"/>
          <w:szCs w:val="24"/>
          <w:lang w:val="ro-MD"/>
        </w:rPr>
        <w:t xml:space="preserve"> </w:t>
      </w:r>
      <w:r w:rsidR="004035E2" w:rsidRPr="00E33BAB">
        <w:rPr>
          <w:rFonts w:asciiTheme="majorHAnsi" w:eastAsia="Calibri" w:hAnsiTheme="majorHAnsi" w:cstheme="majorHAnsi"/>
          <w:sz w:val="24"/>
          <w:szCs w:val="24"/>
          <w:lang w:val="ro-MD"/>
        </w:rPr>
        <w:t xml:space="preserve">de Stat și Spitalul Clinic al MSMPS. Astfel, împreună cu Spitalul Clinic Central Feroviar (absorbit de Spitalul Clinic al MSMPS în </w:t>
      </w:r>
      <w:r w:rsidR="004C4679">
        <w:rPr>
          <w:rFonts w:asciiTheme="majorHAnsi" w:eastAsia="Calibri" w:hAnsiTheme="majorHAnsi" w:cstheme="majorHAnsi"/>
          <w:sz w:val="24"/>
          <w:szCs w:val="24"/>
          <w:lang w:val="ro-MD"/>
        </w:rPr>
        <w:t xml:space="preserve">anul </w:t>
      </w:r>
      <w:r w:rsidR="004035E2" w:rsidRPr="00E33BAB">
        <w:rPr>
          <w:rFonts w:asciiTheme="majorHAnsi" w:eastAsia="Calibri" w:hAnsiTheme="majorHAnsi" w:cstheme="majorHAnsi"/>
          <w:sz w:val="24"/>
          <w:szCs w:val="24"/>
          <w:lang w:val="ro-MD"/>
        </w:rPr>
        <w:t>2018) se va realiza indicatorul intermediar 9.1</w:t>
      </w:r>
      <w:r w:rsidR="004C4679">
        <w:rPr>
          <w:rFonts w:asciiTheme="majorHAnsi" w:eastAsia="Calibri" w:hAnsiTheme="majorHAnsi" w:cstheme="majorHAnsi"/>
          <w:sz w:val="24"/>
          <w:szCs w:val="24"/>
          <w:lang w:val="ro-MD"/>
        </w:rPr>
        <w:t>.,</w:t>
      </w:r>
      <w:r w:rsidR="004035E2" w:rsidRPr="00E33BAB">
        <w:rPr>
          <w:rFonts w:asciiTheme="majorHAnsi" w:eastAsia="Calibri" w:hAnsiTheme="majorHAnsi" w:cstheme="majorHAnsi"/>
          <w:sz w:val="24"/>
          <w:szCs w:val="24"/>
          <w:lang w:val="ro-MD"/>
        </w:rPr>
        <w:t xml:space="preserve"> care prevede stabilirea managementului comun la 3 spitale din Chișinău și pentru care s-au debursat sumele în avans</w:t>
      </w:r>
      <w:r w:rsidR="00F36741" w:rsidRPr="00E33BAB">
        <w:rPr>
          <w:rFonts w:asciiTheme="majorHAnsi" w:eastAsia="Calibri" w:hAnsiTheme="majorHAnsi" w:cstheme="majorHAnsi"/>
          <w:sz w:val="24"/>
          <w:szCs w:val="24"/>
          <w:lang w:val="ro-MD"/>
        </w:rPr>
        <w:t xml:space="preserve"> (</w:t>
      </w:r>
      <w:r w:rsidR="00A807EA" w:rsidRPr="00E33BAB">
        <w:rPr>
          <w:rFonts w:asciiTheme="majorHAnsi" w:eastAsia="Calibri" w:hAnsiTheme="majorHAnsi" w:cstheme="majorHAnsi"/>
          <w:sz w:val="24"/>
          <w:szCs w:val="24"/>
          <w:lang w:val="ro-MD"/>
        </w:rPr>
        <w:t xml:space="preserve">404 </w:t>
      </w:r>
      <w:r w:rsidR="00A807EA" w:rsidRPr="00785129">
        <w:rPr>
          <w:rFonts w:asciiTheme="majorHAnsi" w:eastAsia="Calibri" w:hAnsiTheme="majorHAnsi" w:cstheme="majorHAnsi"/>
          <w:sz w:val="24"/>
          <w:szCs w:val="24"/>
          <w:lang w:val="ro-MD"/>
        </w:rPr>
        <w:t>050 DTS</w:t>
      </w:r>
      <w:r w:rsidR="00F36741" w:rsidRPr="00785129">
        <w:rPr>
          <w:rFonts w:asciiTheme="majorHAnsi" w:eastAsia="Calibri" w:hAnsiTheme="majorHAnsi" w:cstheme="majorHAnsi"/>
          <w:sz w:val="24"/>
          <w:szCs w:val="24"/>
          <w:lang w:val="ro-MD"/>
        </w:rPr>
        <w:t>)</w:t>
      </w:r>
      <w:r w:rsidR="004035E2" w:rsidRPr="00785129">
        <w:rPr>
          <w:rFonts w:asciiTheme="majorHAnsi" w:eastAsia="Calibri" w:hAnsiTheme="majorHAnsi" w:cstheme="majorHAnsi"/>
          <w:sz w:val="24"/>
          <w:szCs w:val="24"/>
          <w:lang w:val="ro-MD"/>
        </w:rPr>
        <w:t>.</w:t>
      </w:r>
    </w:p>
    <w:p w14:paraId="22000A39" w14:textId="65AF92E8" w:rsidR="004A697B" w:rsidRPr="00785129" w:rsidRDefault="00A807EA" w:rsidP="005538DC">
      <w:pPr>
        <w:tabs>
          <w:tab w:val="left" w:pos="720"/>
        </w:tabs>
        <w:spacing w:after="0" w:line="276" w:lineRule="auto"/>
        <w:ind w:right="-29"/>
        <w:jc w:val="both"/>
        <w:rPr>
          <w:rFonts w:asciiTheme="majorHAnsi" w:eastAsia="Calibri" w:hAnsiTheme="majorHAnsi" w:cstheme="majorHAnsi"/>
          <w:sz w:val="24"/>
          <w:szCs w:val="24"/>
          <w:lang w:val="ro-MD"/>
        </w:rPr>
      </w:pPr>
      <w:r w:rsidRPr="00785129">
        <w:rPr>
          <w:rFonts w:asciiTheme="majorHAnsi" w:eastAsia="Calibri" w:hAnsiTheme="majorHAnsi" w:cstheme="majorHAnsi"/>
          <w:sz w:val="24"/>
          <w:szCs w:val="24"/>
          <w:lang w:val="ro-MD"/>
        </w:rPr>
        <w:t xml:space="preserve">Se menționează </w:t>
      </w:r>
      <w:r w:rsidR="003546AA" w:rsidRPr="00785129">
        <w:rPr>
          <w:rFonts w:asciiTheme="majorHAnsi" w:eastAsia="Calibri" w:hAnsiTheme="majorHAnsi" w:cstheme="majorHAnsi"/>
          <w:sz w:val="24"/>
          <w:szCs w:val="24"/>
          <w:lang w:val="ro-MD"/>
        </w:rPr>
        <w:t>că</w:t>
      </w:r>
      <w:r w:rsidR="00BB1D64" w:rsidRPr="00785129">
        <w:rPr>
          <w:rFonts w:asciiTheme="majorHAnsi" w:eastAsia="Calibri" w:hAnsiTheme="majorHAnsi" w:cstheme="majorHAnsi"/>
          <w:sz w:val="24"/>
          <w:szCs w:val="24"/>
          <w:lang w:val="ro-MD"/>
        </w:rPr>
        <w:t>,</w:t>
      </w:r>
      <w:r w:rsidR="003546AA" w:rsidRPr="00785129">
        <w:rPr>
          <w:rFonts w:asciiTheme="majorHAnsi" w:eastAsia="Calibri" w:hAnsiTheme="majorHAnsi" w:cstheme="majorHAnsi"/>
          <w:sz w:val="24"/>
          <w:szCs w:val="24"/>
          <w:lang w:val="ro-MD"/>
        </w:rPr>
        <w:t xml:space="preserve"> </w:t>
      </w:r>
      <w:r w:rsidR="00BB1D64" w:rsidRPr="00785129">
        <w:rPr>
          <w:rFonts w:asciiTheme="majorHAnsi" w:eastAsia="Calibri" w:hAnsiTheme="majorHAnsi" w:cstheme="majorHAnsi"/>
          <w:sz w:val="24"/>
          <w:szCs w:val="24"/>
          <w:lang w:val="ro-MD"/>
        </w:rPr>
        <w:t>dată fiind</w:t>
      </w:r>
      <w:r w:rsidR="003546AA" w:rsidRPr="00785129">
        <w:rPr>
          <w:rFonts w:asciiTheme="majorHAnsi" w:eastAsia="Calibri" w:hAnsiTheme="majorHAnsi" w:cstheme="majorHAnsi"/>
          <w:sz w:val="24"/>
          <w:szCs w:val="24"/>
          <w:lang w:val="ro-MD"/>
        </w:rPr>
        <w:t xml:space="preserve"> </w:t>
      </w:r>
      <w:r w:rsidRPr="00785129">
        <w:rPr>
          <w:rFonts w:asciiTheme="majorHAnsi" w:eastAsia="Calibri" w:hAnsiTheme="majorHAnsi" w:cstheme="majorHAnsi"/>
          <w:sz w:val="24"/>
          <w:szCs w:val="24"/>
          <w:lang w:val="ro-MD"/>
        </w:rPr>
        <w:t xml:space="preserve">apariția </w:t>
      </w:r>
      <w:r w:rsidR="00F36741" w:rsidRPr="00785129">
        <w:rPr>
          <w:rFonts w:asciiTheme="majorHAnsi" w:eastAsia="Calibri" w:hAnsiTheme="majorHAnsi" w:cstheme="majorHAnsi"/>
          <w:sz w:val="24"/>
          <w:szCs w:val="24"/>
          <w:lang w:val="ro-MD"/>
        </w:rPr>
        <w:t>pandemiei COVID-19 și urmare suprasolicitării</w:t>
      </w:r>
      <w:r w:rsidR="004035E2" w:rsidRPr="00785129">
        <w:rPr>
          <w:rFonts w:asciiTheme="majorHAnsi" w:eastAsia="Calibri" w:hAnsiTheme="majorHAnsi" w:cstheme="majorHAnsi"/>
          <w:sz w:val="24"/>
          <w:szCs w:val="24"/>
          <w:lang w:val="ro-MD"/>
        </w:rPr>
        <w:t xml:space="preserve"> paturilor din spital, rolul spitalelor este r</w:t>
      </w:r>
      <w:r w:rsidR="00F36741" w:rsidRPr="00785129">
        <w:rPr>
          <w:rFonts w:asciiTheme="majorHAnsi" w:eastAsia="Calibri" w:hAnsiTheme="majorHAnsi" w:cstheme="majorHAnsi"/>
          <w:sz w:val="24"/>
          <w:szCs w:val="24"/>
          <w:lang w:val="ro-MD"/>
        </w:rPr>
        <w:t xml:space="preserve">evizuit. </w:t>
      </w:r>
      <w:r w:rsidR="009E7057" w:rsidRPr="00785129">
        <w:rPr>
          <w:rFonts w:asciiTheme="majorHAnsi" w:eastAsia="Calibri" w:hAnsiTheme="majorHAnsi" w:cstheme="majorHAnsi"/>
          <w:sz w:val="24"/>
          <w:szCs w:val="24"/>
          <w:lang w:val="ro-MD"/>
        </w:rPr>
        <w:t>Astfel</w:t>
      </w:r>
      <w:r w:rsidR="003546AA" w:rsidRPr="00785129">
        <w:rPr>
          <w:rFonts w:asciiTheme="majorHAnsi" w:eastAsia="Calibri" w:hAnsiTheme="majorHAnsi" w:cstheme="majorHAnsi"/>
          <w:sz w:val="24"/>
          <w:szCs w:val="24"/>
          <w:lang w:val="ro-MD"/>
        </w:rPr>
        <w:t>,</w:t>
      </w:r>
      <w:r w:rsidR="004035E2" w:rsidRPr="00785129">
        <w:rPr>
          <w:rFonts w:asciiTheme="majorHAnsi" w:eastAsia="Calibri" w:hAnsiTheme="majorHAnsi" w:cstheme="majorHAnsi"/>
          <w:sz w:val="24"/>
          <w:szCs w:val="24"/>
          <w:lang w:val="ro-MD"/>
        </w:rPr>
        <w:t xml:space="preserve"> strategia națională planificată anterior și planul general de consolidare și raționalizare a spitalelor </w:t>
      </w:r>
      <w:r w:rsidR="00F36741" w:rsidRPr="00785129">
        <w:rPr>
          <w:rFonts w:asciiTheme="majorHAnsi" w:eastAsia="Calibri" w:hAnsiTheme="majorHAnsi" w:cstheme="majorHAnsi"/>
          <w:sz w:val="24"/>
          <w:szCs w:val="24"/>
          <w:lang w:val="ro-MD"/>
        </w:rPr>
        <w:t>urmează a</w:t>
      </w:r>
      <w:r w:rsidR="004035E2" w:rsidRPr="00785129">
        <w:rPr>
          <w:rFonts w:asciiTheme="majorHAnsi" w:eastAsia="Calibri" w:hAnsiTheme="majorHAnsi" w:cstheme="majorHAnsi"/>
          <w:sz w:val="24"/>
          <w:szCs w:val="24"/>
          <w:lang w:val="ro-MD"/>
        </w:rPr>
        <w:t xml:space="preserve"> </w:t>
      </w:r>
      <w:r w:rsidR="001E1F26" w:rsidRPr="00785129">
        <w:rPr>
          <w:rFonts w:asciiTheme="majorHAnsi" w:eastAsia="Calibri" w:hAnsiTheme="majorHAnsi" w:cstheme="majorHAnsi"/>
          <w:sz w:val="24"/>
          <w:szCs w:val="24"/>
          <w:lang w:val="ro-MD"/>
        </w:rPr>
        <w:t>fi reanalizat</w:t>
      </w:r>
      <w:r w:rsidR="00BB1D64" w:rsidRPr="00785129">
        <w:rPr>
          <w:rFonts w:asciiTheme="majorHAnsi" w:eastAsia="Calibri" w:hAnsiTheme="majorHAnsi" w:cstheme="majorHAnsi"/>
          <w:sz w:val="24"/>
          <w:szCs w:val="24"/>
          <w:lang w:val="ro-MD"/>
        </w:rPr>
        <w:t>e</w:t>
      </w:r>
      <w:r w:rsidR="004035E2" w:rsidRPr="00785129">
        <w:rPr>
          <w:rFonts w:asciiTheme="majorHAnsi" w:eastAsia="Calibri" w:hAnsiTheme="majorHAnsi" w:cstheme="majorHAnsi"/>
          <w:sz w:val="24"/>
          <w:szCs w:val="24"/>
          <w:lang w:val="ro-MD"/>
        </w:rPr>
        <w:t xml:space="preserve"> odată </w:t>
      </w:r>
      <w:r w:rsidR="00F36741" w:rsidRPr="00785129">
        <w:rPr>
          <w:rFonts w:asciiTheme="majorHAnsi" w:eastAsia="Calibri" w:hAnsiTheme="majorHAnsi" w:cstheme="majorHAnsi"/>
          <w:sz w:val="24"/>
          <w:szCs w:val="24"/>
          <w:lang w:val="ro-MD"/>
        </w:rPr>
        <w:t>cu aplanarea situației</w:t>
      </w:r>
      <w:r w:rsidR="004035E2" w:rsidRPr="00785129">
        <w:rPr>
          <w:rFonts w:asciiTheme="majorHAnsi" w:eastAsia="Calibri" w:hAnsiTheme="majorHAnsi" w:cstheme="majorHAnsi"/>
          <w:sz w:val="24"/>
          <w:szCs w:val="24"/>
          <w:lang w:val="ro-MD"/>
        </w:rPr>
        <w:t xml:space="preserve"> pandem</w:t>
      </w:r>
      <w:r w:rsidR="00F36741" w:rsidRPr="00785129">
        <w:rPr>
          <w:rFonts w:asciiTheme="majorHAnsi" w:eastAsia="Calibri" w:hAnsiTheme="majorHAnsi" w:cstheme="majorHAnsi"/>
          <w:sz w:val="24"/>
          <w:szCs w:val="24"/>
          <w:lang w:val="ro-MD"/>
        </w:rPr>
        <w:t>ice</w:t>
      </w:r>
      <w:r w:rsidR="004035E2" w:rsidRPr="00785129">
        <w:rPr>
          <w:rFonts w:asciiTheme="majorHAnsi" w:eastAsia="Calibri" w:hAnsiTheme="majorHAnsi" w:cstheme="majorHAnsi"/>
          <w:sz w:val="24"/>
          <w:szCs w:val="24"/>
          <w:lang w:val="ro-MD"/>
        </w:rPr>
        <w:t>. În acest context, s-</w:t>
      </w:r>
      <w:r w:rsidR="005538DC" w:rsidRPr="00785129">
        <w:rPr>
          <w:rFonts w:asciiTheme="majorHAnsi" w:eastAsia="Calibri" w:hAnsiTheme="majorHAnsi" w:cstheme="majorHAnsi"/>
          <w:sz w:val="24"/>
          <w:szCs w:val="24"/>
          <w:lang w:val="ro-MD"/>
        </w:rPr>
        <w:t>a solicitat anularea ILD</w:t>
      </w:r>
      <w:r w:rsidR="00DA390A" w:rsidRPr="00785129">
        <w:rPr>
          <w:rFonts w:asciiTheme="majorHAnsi" w:eastAsia="Calibri" w:hAnsiTheme="majorHAnsi" w:cstheme="majorHAnsi"/>
          <w:sz w:val="24"/>
          <w:szCs w:val="24"/>
          <w:lang w:val="ro-MD"/>
        </w:rPr>
        <w:t xml:space="preserve"> </w:t>
      </w:r>
      <w:r w:rsidR="005538DC" w:rsidRPr="00785129">
        <w:rPr>
          <w:rFonts w:asciiTheme="majorHAnsi" w:eastAsia="Calibri" w:hAnsiTheme="majorHAnsi" w:cstheme="majorHAnsi"/>
          <w:sz w:val="24"/>
          <w:szCs w:val="24"/>
          <w:lang w:val="ro-MD"/>
        </w:rPr>
        <w:t>9.2</w:t>
      </w:r>
      <w:r w:rsidR="00BB1D64" w:rsidRPr="00785129">
        <w:rPr>
          <w:rFonts w:asciiTheme="majorHAnsi" w:eastAsia="Calibri" w:hAnsiTheme="majorHAnsi" w:cstheme="majorHAnsi"/>
          <w:sz w:val="24"/>
          <w:szCs w:val="24"/>
          <w:lang w:val="ro-MD"/>
        </w:rPr>
        <w:t xml:space="preserve">. </w:t>
      </w:r>
      <w:r w:rsidR="005538DC" w:rsidRPr="00785129">
        <w:rPr>
          <w:rFonts w:asciiTheme="majorHAnsi" w:eastAsia="Calibri" w:hAnsiTheme="majorHAnsi" w:cstheme="majorHAnsi"/>
          <w:sz w:val="24"/>
          <w:szCs w:val="24"/>
          <w:lang w:val="ro-MD"/>
        </w:rPr>
        <w:t>: Studiul de fezabilitate privind optimizarea spitalelor</w:t>
      </w:r>
      <w:r w:rsidR="00BB1D64" w:rsidRPr="00785129">
        <w:rPr>
          <w:rFonts w:asciiTheme="majorHAnsi" w:eastAsia="Calibri" w:hAnsiTheme="majorHAnsi" w:cstheme="majorHAnsi"/>
          <w:sz w:val="24"/>
          <w:szCs w:val="24"/>
          <w:lang w:val="ro-MD"/>
        </w:rPr>
        <w:t>,</w:t>
      </w:r>
      <w:r w:rsidR="005538DC" w:rsidRPr="00785129">
        <w:rPr>
          <w:rFonts w:asciiTheme="majorHAnsi" w:eastAsia="Calibri" w:hAnsiTheme="majorHAnsi" w:cstheme="majorHAnsi"/>
          <w:sz w:val="24"/>
          <w:szCs w:val="24"/>
          <w:lang w:val="ro-MD"/>
        </w:rPr>
        <w:t xml:space="preserve"> și ILD 9.3</w:t>
      </w:r>
      <w:r w:rsidR="00BB1D64" w:rsidRPr="00785129">
        <w:rPr>
          <w:rFonts w:asciiTheme="majorHAnsi" w:eastAsia="Calibri" w:hAnsiTheme="majorHAnsi" w:cstheme="majorHAnsi"/>
          <w:sz w:val="24"/>
          <w:szCs w:val="24"/>
          <w:lang w:val="ro-MD"/>
        </w:rPr>
        <w:t>.</w:t>
      </w:r>
      <w:r w:rsidR="005538DC" w:rsidRPr="00785129">
        <w:rPr>
          <w:rFonts w:asciiTheme="majorHAnsi" w:eastAsia="Calibri" w:hAnsiTheme="majorHAnsi" w:cstheme="majorHAnsi"/>
          <w:sz w:val="24"/>
          <w:szCs w:val="24"/>
          <w:lang w:val="ro-MD"/>
        </w:rPr>
        <w:t xml:space="preserve">: Strategia </w:t>
      </w:r>
      <w:r w:rsidR="00BB1D64" w:rsidRPr="00785129">
        <w:rPr>
          <w:rFonts w:asciiTheme="majorHAnsi" w:eastAsia="Calibri" w:hAnsiTheme="majorHAnsi" w:cstheme="majorHAnsi"/>
          <w:sz w:val="24"/>
          <w:szCs w:val="24"/>
          <w:lang w:val="ro-MD"/>
        </w:rPr>
        <w:t>n</w:t>
      </w:r>
      <w:r w:rsidR="005538DC" w:rsidRPr="00785129">
        <w:rPr>
          <w:rFonts w:asciiTheme="majorHAnsi" w:eastAsia="Calibri" w:hAnsiTheme="majorHAnsi" w:cstheme="majorHAnsi"/>
          <w:sz w:val="24"/>
          <w:szCs w:val="24"/>
          <w:lang w:val="ro-MD"/>
        </w:rPr>
        <w:t xml:space="preserve">ațională și Planul </w:t>
      </w:r>
      <w:r w:rsidR="00BB1D64" w:rsidRPr="00785129">
        <w:rPr>
          <w:rFonts w:asciiTheme="majorHAnsi" w:eastAsia="Calibri" w:hAnsiTheme="majorHAnsi" w:cstheme="majorHAnsi"/>
          <w:sz w:val="24"/>
          <w:szCs w:val="24"/>
          <w:lang w:val="ro-MD"/>
        </w:rPr>
        <w:t>g</w:t>
      </w:r>
      <w:r w:rsidR="005538DC" w:rsidRPr="00785129">
        <w:rPr>
          <w:rFonts w:asciiTheme="majorHAnsi" w:eastAsia="Calibri" w:hAnsiTheme="majorHAnsi" w:cstheme="majorHAnsi"/>
          <w:sz w:val="24"/>
          <w:szCs w:val="24"/>
          <w:lang w:val="ro-MD"/>
        </w:rPr>
        <w:t>eneral privind consolidarea și raționalizarea spitalelor, adopta</w:t>
      </w:r>
      <w:r w:rsidR="00BB1D64" w:rsidRPr="00785129">
        <w:rPr>
          <w:rFonts w:asciiTheme="majorHAnsi" w:eastAsia="Calibri" w:hAnsiTheme="majorHAnsi" w:cstheme="majorHAnsi"/>
          <w:sz w:val="24"/>
          <w:szCs w:val="24"/>
          <w:lang w:val="ro-MD"/>
        </w:rPr>
        <w:t>rea</w:t>
      </w:r>
      <w:r w:rsidR="005538DC" w:rsidRPr="00785129">
        <w:rPr>
          <w:rFonts w:asciiTheme="majorHAnsi" w:eastAsia="Calibri" w:hAnsiTheme="majorHAnsi" w:cstheme="majorHAnsi"/>
          <w:sz w:val="24"/>
          <w:szCs w:val="24"/>
          <w:lang w:val="ro-MD"/>
        </w:rPr>
        <w:t xml:space="preserve">  </w:t>
      </w:r>
      <w:r w:rsidR="004035E2" w:rsidRPr="00785129">
        <w:rPr>
          <w:rFonts w:asciiTheme="majorHAnsi" w:eastAsia="Calibri" w:hAnsiTheme="majorHAnsi" w:cstheme="majorHAnsi"/>
          <w:sz w:val="24"/>
          <w:szCs w:val="24"/>
          <w:lang w:val="ro-MD"/>
        </w:rPr>
        <w:t>și realocarea finanțării pentru noul ILD</w:t>
      </w:r>
      <w:r w:rsidR="00DA390A" w:rsidRPr="00785129">
        <w:rPr>
          <w:rFonts w:asciiTheme="majorHAnsi" w:eastAsia="Calibri" w:hAnsiTheme="majorHAnsi" w:cstheme="majorHAnsi"/>
          <w:sz w:val="24"/>
          <w:szCs w:val="24"/>
          <w:lang w:val="ro-MD"/>
        </w:rPr>
        <w:t>.</w:t>
      </w:r>
      <w:r w:rsidR="004035E2" w:rsidRPr="00785129">
        <w:rPr>
          <w:rFonts w:asciiTheme="majorHAnsi" w:eastAsia="Calibri" w:hAnsiTheme="majorHAnsi" w:cstheme="majorHAnsi"/>
          <w:sz w:val="24"/>
          <w:szCs w:val="24"/>
          <w:lang w:val="ro-MD"/>
        </w:rPr>
        <w:t xml:space="preserve"> 11</w:t>
      </w:r>
      <w:r w:rsidR="004A697B" w:rsidRPr="00785129">
        <w:rPr>
          <w:rFonts w:asciiTheme="majorHAnsi" w:eastAsia="Calibri" w:hAnsiTheme="majorHAnsi" w:cstheme="majorHAnsi"/>
          <w:sz w:val="24"/>
          <w:szCs w:val="24"/>
          <w:lang w:val="ro-MD"/>
        </w:rPr>
        <w:t>.</w:t>
      </w:r>
    </w:p>
    <w:p w14:paraId="146DEE69" w14:textId="7127B6EA" w:rsidR="005538DC" w:rsidRPr="00E33BAB" w:rsidRDefault="004A697B" w:rsidP="00ED7F39">
      <w:pPr>
        <w:pStyle w:val="ListParagraph"/>
        <w:numPr>
          <w:ilvl w:val="0"/>
          <w:numId w:val="12"/>
        </w:numPr>
        <w:tabs>
          <w:tab w:val="left" w:pos="426"/>
        </w:tabs>
        <w:spacing w:line="276" w:lineRule="auto"/>
        <w:ind w:left="0" w:right="-29" w:firstLine="417"/>
        <w:jc w:val="both"/>
        <w:rPr>
          <w:rFonts w:asciiTheme="majorHAnsi" w:eastAsia="Calibri" w:hAnsiTheme="majorHAnsi" w:cstheme="majorHAnsi"/>
          <w:sz w:val="24"/>
          <w:szCs w:val="24"/>
          <w:lang w:val="ro-MD"/>
        </w:rPr>
      </w:pPr>
      <w:r w:rsidRPr="00785129">
        <w:rPr>
          <w:rFonts w:asciiTheme="majorHAnsi" w:eastAsia="Calibri" w:hAnsiTheme="majorHAnsi" w:cstheme="majorHAnsi"/>
          <w:sz w:val="24"/>
          <w:szCs w:val="24"/>
          <w:lang w:val="ro-MD"/>
        </w:rPr>
        <w:t>ILD 11</w:t>
      </w:r>
      <w:r w:rsidR="00DA390A" w:rsidRPr="00785129">
        <w:rPr>
          <w:rFonts w:asciiTheme="majorHAnsi" w:eastAsia="Calibri" w:hAnsiTheme="majorHAnsi" w:cstheme="majorHAnsi"/>
          <w:sz w:val="24"/>
          <w:szCs w:val="24"/>
          <w:lang w:val="ro-MD"/>
        </w:rPr>
        <w:t>.</w:t>
      </w:r>
      <w:r w:rsidRPr="00785129">
        <w:rPr>
          <w:rFonts w:asciiTheme="majorHAnsi" w:eastAsia="Calibri" w:hAnsiTheme="majorHAnsi" w:cstheme="majorHAnsi"/>
          <w:sz w:val="24"/>
          <w:szCs w:val="24"/>
          <w:lang w:val="ro-MD"/>
        </w:rPr>
        <w:t xml:space="preserve"> </w:t>
      </w:r>
      <w:r w:rsidR="004035E2" w:rsidRPr="00785129">
        <w:rPr>
          <w:rFonts w:asciiTheme="majorHAnsi" w:eastAsia="Calibri" w:hAnsiTheme="majorHAnsi" w:cstheme="majorHAnsi"/>
          <w:sz w:val="24"/>
          <w:szCs w:val="24"/>
          <w:lang w:val="ro-MD"/>
        </w:rPr>
        <w:t>„</w:t>
      </w:r>
      <w:r w:rsidR="004035E2" w:rsidRPr="00785129">
        <w:rPr>
          <w:rFonts w:asciiTheme="majorHAnsi" w:eastAsia="Calibri" w:hAnsiTheme="majorHAnsi" w:cstheme="majorHAnsi"/>
          <w:b/>
          <w:i/>
          <w:sz w:val="24"/>
          <w:szCs w:val="24"/>
          <w:lang w:val="ro-MD"/>
        </w:rPr>
        <w:t>Integrarea lecțiilor învățate în campaniile de comunicare privind schimbarea comportamentului populației și evaluarea gradului de pregătire pentru vaccin</w:t>
      </w:r>
      <w:r w:rsidR="004035E2" w:rsidRPr="00785129">
        <w:rPr>
          <w:rFonts w:asciiTheme="majorHAnsi" w:eastAsia="Calibri" w:hAnsiTheme="majorHAnsi" w:cstheme="majorHAnsi"/>
          <w:sz w:val="24"/>
          <w:szCs w:val="24"/>
          <w:lang w:val="ro-MD"/>
        </w:rPr>
        <w:t>”</w:t>
      </w:r>
      <w:r w:rsidR="003546AA" w:rsidRPr="00785129">
        <w:rPr>
          <w:rFonts w:asciiTheme="majorHAnsi" w:eastAsia="Calibri" w:hAnsiTheme="majorHAnsi" w:cstheme="majorHAnsi"/>
          <w:sz w:val="24"/>
          <w:szCs w:val="24"/>
          <w:lang w:val="ro-MD"/>
        </w:rPr>
        <w:t xml:space="preserve"> este</w:t>
      </w:r>
      <w:r w:rsidR="004035E2" w:rsidRPr="00785129">
        <w:rPr>
          <w:rFonts w:asciiTheme="majorHAnsi" w:eastAsia="Calibri" w:hAnsiTheme="majorHAnsi" w:cstheme="majorHAnsi"/>
          <w:sz w:val="24"/>
          <w:szCs w:val="24"/>
          <w:lang w:val="ro-MD"/>
        </w:rPr>
        <w:t xml:space="preserve"> </w:t>
      </w:r>
      <w:r w:rsidRPr="00785129">
        <w:rPr>
          <w:rFonts w:asciiTheme="majorHAnsi" w:eastAsia="Calibri" w:hAnsiTheme="majorHAnsi" w:cstheme="majorHAnsi"/>
          <w:sz w:val="24"/>
          <w:szCs w:val="24"/>
          <w:lang w:val="ro-MD"/>
        </w:rPr>
        <w:t xml:space="preserve">definitivat </w:t>
      </w:r>
      <w:r w:rsidR="00F13B13" w:rsidRPr="00785129">
        <w:rPr>
          <w:rFonts w:asciiTheme="majorHAnsi" w:eastAsia="Calibri" w:hAnsiTheme="majorHAnsi" w:cstheme="majorHAnsi"/>
          <w:sz w:val="24"/>
          <w:szCs w:val="24"/>
          <w:lang w:val="ro-MD"/>
        </w:rPr>
        <w:t xml:space="preserve">și pus </w:t>
      </w:r>
      <w:r w:rsidRPr="00785129">
        <w:rPr>
          <w:rFonts w:asciiTheme="majorHAnsi" w:eastAsia="Calibri" w:hAnsiTheme="majorHAnsi" w:cstheme="majorHAnsi"/>
          <w:sz w:val="24"/>
          <w:szCs w:val="24"/>
          <w:lang w:val="ro-MD"/>
        </w:rPr>
        <w:t>în responsabilitatea MSMPS și în susținerea eforturilor de luptă cu pandemia COVID-19</w:t>
      </w:r>
      <w:r w:rsidR="003546AA" w:rsidRPr="00785129">
        <w:rPr>
          <w:rFonts w:asciiTheme="majorHAnsi" w:eastAsia="Calibri" w:hAnsiTheme="majorHAnsi" w:cstheme="majorHAnsi"/>
          <w:sz w:val="24"/>
          <w:szCs w:val="24"/>
          <w:lang w:val="ro-MD"/>
        </w:rPr>
        <w:t>. Acest ILD</w:t>
      </w:r>
      <w:r w:rsidRPr="00785129">
        <w:rPr>
          <w:rFonts w:asciiTheme="majorHAnsi" w:eastAsia="Calibri" w:hAnsiTheme="majorHAnsi" w:cstheme="majorHAnsi"/>
          <w:sz w:val="24"/>
          <w:szCs w:val="24"/>
          <w:lang w:val="ro-MD"/>
        </w:rPr>
        <w:t xml:space="preserve"> </w:t>
      </w:r>
      <w:r w:rsidR="004035E2" w:rsidRPr="00785129">
        <w:rPr>
          <w:rFonts w:asciiTheme="majorHAnsi" w:eastAsia="Calibri" w:hAnsiTheme="majorHAnsi" w:cstheme="majorHAnsi"/>
          <w:sz w:val="24"/>
          <w:szCs w:val="24"/>
          <w:lang w:val="ro-MD"/>
        </w:rPr>
        <w:t xml:space="preserve">va avea 3 rezultate intermediare pentru </w:t>
      </w:r>
      <w:r w:rsidR="00DA390A" w:rsidRPr="00785129">
        <w:rPr>
          <w:rFonts w:asciiTheme="majorHAnsi" w:eastAsia="Calibri" w:hAnsiTheme="majorHAnsi" w:cstheme="majorHAnsi"/>
          <w:sz w:val="24"/>
          <w:szCs w:val="24"/>
          <w:lang w:val="ro-MD"/>
        </w:rPr>
        <w:t xml:space="preserve">anul </w:t>
      </w:r>
      <w:r w:rsidR="004035E2" w:rsidRPr="00785129">
        <w:rPr>
          <w:rFonts w:asciiTheme="majorHAnsi" w:eastAsia="Calibri" w:hAnsiTheme="majorHAnsi" w:cstheme="majorHAnsi"/>
          <w:sz w:val="24"/>
          <w:szCs w:val="24"/>
          <w:lang w:val="ro-MD"/>
        </w:rPr>
        <w:t>2021</w:t>
      </w:r>
      <w:r w:rsidR="00DA390A" w:rsidRPr="00785129">
        <w:rPr>
          <w:rFonts w:asciiTheme="majorHAnsi" w:eastAsia="Calibri" w:hAnsiTheme="majorHAnsi" w:cstheme="majorHAnsi"/>
          <w:sz w:val="24"/>
          <w:szCs w:val="24"/>
          <w:lang w:val="ro-MD"/>
        </w:rPr>
        <w:t>,</w:t>
      </w:r>
      <w:r w:rsidR="003546AA" w:rsidRPr="00785129">
        <w:rPr>
          <w:rFonts w:asciiTheme="majorHAnsi" w:eastAsia="Calibri" w:hAnsiTheme="majorHAnsi" w:cstheme="majorHAnsi"/>
          <w:sz w:val="24"/>
          <w:szCs w:val="24"/>
          <w:lang w:val="ro-MD"/>
        </w:rPr>
        <w:t xml:space="preserve"> și anume</w:t>
      </w:r>
      <w:r w:rsidR="004035E2" w:rsidRPr="00785129">
        <w:rPr>
          <w:rFonts w:asciiTheme="majorHAnsi" w:eastAsia="Calibri" w:hAnsiTheme="majorHAnsi" w:cstheme="majorHAnsi"/>
          <w:sz w:val="24"/>
          <w:szCs w:val="24"/>
          <w:lang w:val="ro-MD"/>
        </w:rPr>
        <w:t xml:space="preserve"> (i) </w:t>
      </w:r>
      <w:r w:rsidR="003546AA" w:rsidRPr="00785129">
        <w:rPr>
          <w:rFonts w:asciiTheme="majorHAnsi" w:eastAsia="Calibri" w:hAnsiTheme="majorHAnsi" w:cstheme="majorHAnsi"/>
          <w:sz w:val="24"/>
          <w:szCs w:val="24"/>
          <w:lang w:val="ro-MD"/>
        </w:rPr>
        <w:t>d</w:t>
      </w:r>
      <w:r w:rsidR="004035E2" w:rsidRPr="00785129">
        <w:rPr>
          <w:rFonts w:asciiTheme="majorHAnsi" w:eastAsia="Calibri" w:hAnsiTheme="majorHAnsi" w:cstheme="majorHAnsi"/>
          <w:sz w:val="24"/>
          <w:szCs w:val="24"/>
          <w:lang w:val="ro-MD"/>
        </w:rPr>
        <w:t>esfășurarea unui studiu</w:t>
      </w:r>
      <w:r w:rsidR="004035E2" w:rsidRPr="00E33BAB">
        <w:rPr>
          <w:rFonts w:asciiTheme="majorHAnsi" w:eastAsia="Calibri" w:hAnsiTheme="majorHAnsi" w:cstheme="majorHAnsi"/>
          <w:sz w:val="24"/>
          <w:szCs w:val="24"/>
          <w:lang w:val="ro-MD"/>
        </w:rPr>
        <w:t xml:space="preserve"> de evaluare a cunoștințelor, comportamentelor și atitudinilor persoanelor în legătură cu încet</w:t>
      </w:r>
      <w:r w:rsidR="004677D4" w:rsidRPr="00E33BAB">
        <w:rPr>
          <w:rFonts w:asciiTheme="majorHAnsi" w:eastAsia="Calibri" w:hAnsiTheme="majorHAnsi" w:cstheme="majorHAnsi"/>
          <w:sz w:val="24"/>
          <w:szCs w:val="24"/>
          <w:lang w:val="ro-MD"/>
        </w:rPr>
        <w:t xml:space="preserve">inirea transmiterii COVID-19 (1 099 </w:t>
      </w:r>
      <w:r w:rsidR="004035E2" w:rsidRPr="00E33BAB">
        <w:rPr>
          <w:rFonts w:asciiTheme="majorHAnsi" w:eastAsia="Calibri" w:hAnsiTheme="majorHAnsi" w:cstheme="majorHAnsi"/>
          <w:sz w:val="24"/>
          <w:szCs w:val="24"/>
          <w:lang w:val="ro-MD"/>
        </w:rPr>
        <w:t xml:space="preserve">000 DST); (ii) </w:t>
      </w:r>
      <w:r w:rsidR="003546AA" w:rsidRPr="00E33BAB">
        <w:rPr>
          <w:rFonts w:asciiTheme="majorHAnsi" w:eastAsia="Calibri" w:hAnsiTheme="majorHAnsi" w:cstheme="majorHAnsi"/>
          <w:sz w:val="24"/>
          <w:szCs w:val="24"/>
          <w:lang w:val="ro-MD"/>
        </w:rPr>
        <w:t>r</w:t>
      </w:r>
      <w:r w:rsidR="004035E2" w:rsidRPr="00E33BAB">
        <w:rPr>
          <w:rFonts w:asciiTheme="majorHAnsi" w:eastAsia="Calibri" w:hAnsiTheme="majorHAnsi" w:cstheme="majorHAnsi"/>
          <w:sz w:val="24"/>
          <w:szCs w:val="24"/>
          <w:lang w:val="ro-MD"/>
        </w:rPr>
        <w:t>ealizarea evaluării gradului de pregăt</w:t>
      </w:r>
      <w:r w:rsidR="004677D4" w:rsidRPr="00E33BAB">
        <w:rPr>
          <w:rFonts w:asciiTheme="majorHAnsi" w:eastAsia="Calibri" w:hAnsiTheme="majorHAnsi" w:cstheme="majorHAnsi"/>
          <w:sz w:val="24"/>
          <w:szCs w:val="24"/>
          <w:lang w:val="ro-MD"/>
        </w:rPr>
        <w:t xml:space="preserve">ire pentru vaccinul COVID-19 (1 099 </w:t>
      </w:r>
      <w:r w:rsidR="004035E2" w:rsidRPr="00E33BAB">
        <w:rPr>
          <w:rFonts w:asciiTheme="majorHAnsi" w:eastAsia="Calibri" w:hAnsiTheme="majorHAnsi" w:cstheme="majorHAnsi"/>
          <w:sz w:val="24"/>
          <w:szCs w:val="24"/>
          <w:lang w:val="ro-MD"/>
        </w:rPr>
        <w:t xml:space="preserve">000 DST); și (iii) </w:t>
      </w:r>
      <w:r w:rsidR="003546AA" w:rsidRPr="00E33BAB">
        <w:rPr>
          <w:rFonts w:asciiTheme="majorHAnsi" w:eastAsia="Calibri" w:hAnsiTheme="majorHAnsi" w:cstheme="majorHAnsi"/>
          <w:sz w:val="24"/>
          <w:szCs w:val="24"/>
          <w:lang w:val="ro-MD"/>
        </w:rPr>
        <w:t>r</w:t>
      </w:r>
      <w:r w:rsidR="004035E2" w:rsidRPr="00E33BAB">
        <w:rPr>
          <w:rFonts w:asciiTheme="majorHAnsi" w:eastAsia="Calibri" w:hAnsiTheme="majorHAnsi" w:cstheme="majorHAnsi"/>
          <w:sz w:val="24"/>
          <w:szCs w:val="24"/>
          <w:lang w:val="ro-MD"/>
        </w:rPr>
        <w:t>evizuirea strategiei naționale de comunicare pentru COVID-19 (pe baza rezultatelor studiului și evaluării grad</w:t>
      </w:r>
      <w:r w:rsidR="0099637D" w:rsidRPr="00E33BAB">
        <w:rPr>
          <w:rFonts w:asciiTheme="majorHAnsi" w:eastAsia="Calibri" w:hAnsiTheme="majorHAnsi" w:cstheme="majorHAnsi"/>
          <w:sz w:val="24"/>
          <w:szCs w:val="24"/>
          <w:lang w:val="ro-MD"/>
        </w:rPr>
        <w:t>ului de pregătire pentru vaccinare</w:t>
      </w:r>
      <w:r w:rsidR="004035E2" w:rsidRPr="00E33BAB">
        <w:rPr>
          <w:rFonts w:asciiTheme="majorHAnsi" w:eastAsia="Calibri" w:hAnsiTheme="majorHAnsi" w:cstheme="majorHAnsi"/>
          <w:sz w:val="24"/>
          <w:szCs w:val="24"/>
          <w:lang w:val="ro-MD"/>
        </w:rPr>
        <w:t>) și realizarea a șase activi</w:t>
      </w:r>
      <w:r w:rsidR="004677D4" w:rsidRPr="00E33BAB">
        <w:rPr>
          <w:rFonts w:asciiTheme="majorHAnsi" w:eastAsia="Calibri" w:hAnsiTheme="majorHAnsi" w:cstheme="majorHAnsi"/>
          <w:sz w:val="24"/>
          <w:szCs w:val="24"/>
          <w:lang w:val="ro-MD"/>
        </w:rPr>
        <w:t xml:space="preserve">tăți din </w:t>
      </w:r>
      <w:r w:rsidR="0066425E">
        <w:rPr>
          <w:rFonts w:asciiTheme="majorHAnsi" w:eastAsia="Calibri" w:hAnsiTheme="majorHAnsi" w:cstheme="majorHAnsi"/>
          <w:sz w:val="24"/>
          <w:szCs w:val="24"/>
          <w:lang w:val="ro-MD"/>
        </w:rPr>
        <w:t>S</w:t>
      </w:r>
      <w:r w:rsidR="004677D4" w:rsidRPr="00E33BAB">
        <w:rPr>
          <w:rFonts w:asciiTheme="majorHAnsi" w:eastAsia="Calibri" w:hAnsiTheme="majorHAnsi" w:cstheme="majorHAnsi"/>
          <w:sz w:val="24"/>
          <w:szCs w:val="24"/>
          <w:lang w:val="ro-MD"/>
        </w:rPr>
        <w:t xml:space="preserve">trategia revizuită (1 099 </w:t>
      </w:r>
      <w:r w:rsidR="004035E2" w:rsidRPr="00E33BAB">
        <w:rPr>
          <w:rFonts w:asciiTheme="majorHAnsi" w:eastAsia="Calibri" w:hAnsiTheme="majorHAnsi" w:cstheme="majorHAnsi"/>
          <w:sz w:val="24"/>
          <w:szCs w:val="24"/>
          <w:lang w:val="ro-MD"/>
        </w:rPr>
        <w:t>000 DST).</w:t>
      </w:r>
    </w:p>
    <w:p w14:paraId="7DC5F1E1" w14:textId="77777777" w:rsidR="005538DC" w:rsidRPr="00E33BAB" w:rsidRDefault="005538DC" w:rsidP="005538DC">
      <w:pPr>
        <w:pStyle w:val="ListParagraph"/>
        <w:tabs>
          <w:tab w:val="left" w:pos="426"/>
        </w:tabs>
        <w:spacing w:line="276" w:lineRule="auto"/>
        <w:ind w:left="417" w:right="-29"/>
        <w:rPr>
          <w:rFonts w:asciiTheme="majorHAnsi" w:eastAsia="Calibri" w:hAnsiTheme="majorHAnsi" w:cstheme="majorHAnsi"/>
          <w:sz w:val="16"/>
          <w:szCs w:val="16"/>
          <w:lang w:val="ro-MD"/>
        </w:rPr>
      </w:pPr>
    </w:p>
    <w:p w14:paraId="48AECD8E" w14:textId="77777777" w:rsidR="00B71AE3" w:rsidRPr="00E33BAB" w:rsidRDefault="00AE03C9" w:rsidP="00867CCB">
      <w:pPr>
        <w:pStyle w:val="Heading1"/>
        <w:tabs>
          <w:tab w:val="left" w:pos="426"/>
        </w:tabs>
        <w:spacing w:before="0"/>
        <w:ind w:left="0" w:firstLine="0"/>
        <w:jc w:val="left"/>
        <w:rPr>
          <w:rFonts w:asciiTheme="majorHAnsi" w:hAnsiTheme="majorHAnsi" w:cstheme="majorHAnsi"/>
          <w:sz w:val="28"/>
          <w:szCs w:val="28"/>
        </w:rPr>
      </w:pPr>
      <w:bookmarkStart w:id="7" w:name="_Toc35000685"/>
      <w:r w:rsidRPr="00E33BAB">
        <w:rPr>
          <w:rFonts w:asciiTheme="majorHAnsi" w:hAnsiTheme="majorHAnsi" w:cstheme="majorHAnsi"/>
          <w:sz w:val="28"/>
          <w:szCs w:val="28"/>
        </w:rPr>
        <w:t>ALTE INFORMAȚII</w:t>
      </w:r>
      <w:bookmarkStart w:id="8" w:name="_Toc10125919"/>
      <w:bookmarkStart w:id="9" w:name="_Toc470707055"/>
      <w:bookmarkEnd w:id="7"/>
      <w:r w:rsidR="005538DC" w:rsidRPr="00E33BAB">
        <w:rPr>
          <w:rFonts w:asciiTheme="majorHAnsi" w:hAnsiTheme="majorHAnsi" w:cstheme="majorHAnsi"/>
          <w:sz w:val="28"/>
          <w:szCs w:val="28"/>
        </w:rPr>
        <w:t xml:space="preserve"> </w:t>
      </w:r>
    </w:p>
    <w:p w14:paraId="2341E6EC" w14:textId="1FEC11C2" w:rsidR="00EC1850" w:rsidRPr="00E33BAB" w:rsidRDefault="00EC1850" w:rsidP="00867CCB">
      <w:pPr>
        <w:pStyle w:val="Heading1"/>
        <w:numPr>
          <w:ilvl w:val="1"/>
          <w:numId w:val="23"/>
        </w:numPr>
        <w:spacing w:before="0"/>
        <w:ind w:left="0" w:firstLine="0"/>
        <w:jc w:val="both"/>
        <w:rPr>
          <w:rFonts w:asciiTheme="majorHAnsi" w:hAnsiTheme="majorHAnsi" w:cstheme="majorHAnsi"/>
          <w:sz w:val="24"/>
          <w:szCs w:val="24"/>
        </w:rPr>
      </w:pPr>
      <w:r w:rsidRPr="00E33BAB">
        <w:rPr>
          <w:rFonts w:asciiTheme="majorHAnsi" w:hAnsiTheme="majorHAnsi" w:cstheme="majorHAnsi"/>
          <w:sz w:val="24"/>
          <w:szCs w:val="24"/>
        </w:rPr>
        <w:t xml:space="preserve">Cheltuielile suportate </w:t>
      </w:r>
      <w:r w:rsidR="0095700C" w:rsidRPr="00E33BAB">
        <w:rPr>
          <w:rFonts w:asciiTheme="majorHAnsi" w:hAnsiTheme="majorHAnsi" w:cstheme="majorHAnsi"/>
          <w:sz w:val="24"/>
          <w:szCs w:val="24"/>
        </w:rPr>
        <w:t>pentru asistenț</w:t>
      </w:r>
      <w:r w:rsidR="00D97A8C">
        <w:rPr>
          <w:rFonts w:asciiTheme="majorHAnsi" w:hAnsiTheme="majorHAnsi" w:cstheme="majorHAnsi"/>
          <w:sz w:val="24"/>
          <w:szCs w:val="24"/>
        </w:rPr>
        <w:t>a</w:t>
      </w:r>
      <w:r w:rsidR="0095700C" w:rsidRPr="00E33BAB">
        <w:rPr>
          <w:rFonts w:asciiTheme="majorHAnsi" w:hAnsiTheme="majorHAnsi" w:cstheme="majorHAnsi"/>
          <w:sz w:val="24"/>
          <w:szCs w:val="24"/>
        </w:rPr>
        <w:t xml:space="preserve"> t</w:t>
      </w:r>
      <w:r w:rsidRPr="00E33BAB">
        <w:rPr>
          <w:rFonts w:asciiTheme="majorHAnsi" w:hAnsiTheme="majorHAnsi" w:cstheme="majorHAnsi"/>
          <w:sz w:val="24"/>
          <w:szCs w:val="24"/>
        </w:rPr>
        <w:t xml:space="preserve">ehnică au fost utilizate la destinație, înregistrate și raportate </w:t>
      </w:r>
      <w:r w:rsidR="003546AA" w:rsidRPr="00E33BAB">
        <w:rPr>
          <w:rFonts w:asciiTheme="majorHAnsi" w:hAnsiTheme="majorHAnsi" w:cstheme="majorHAnsi"/>
          <w:sz w:val="24"/>
          <w:szCs w:val="24"/>
        </w:rPr>
        <w:t>corespunzător</w:t>
      </w:r>
      <w:r w:rsidR="00D97A8C">
        <w:rPr>
          <w:rFonts w:asciiTheme="majorHAnsi" w:hAnsiTheme="majorHAnsi" w:cstheme="majorHAnsi"/>
          <w:sz w:val="24"/>
          <w:szCs w:val="24"/>
        </w:rPr>
        <w:t>.</w:t>
      </w:r>
      <w:r w:rsidR="003546AA" w:rsidRPr="00E33BAB">
        <w:rPr>
          <w:rFonts w:asciiTheme="majorHAnsi" w:hAnsiTheme="majorHAnsi" w:cstheme="majorHAnsi"/>
          <w:sz w:val="24"/>
          <w:szCs w:val="24"/>
          <w:highlight w:val="yellow"/>
        </w:rPr>
        <w:t xml:space="preserve"> </w:t>
      </w:r>
    </w:p>
    <w:p w14:paraId="098AF7E7" w14:textId="3E71FBCB" w:rsidR="00EC1850" w:rsidRPr="00E33BAB" w:rsidRDefault="00EC1850" w:rsidP="00867CCB">
      <w:pPr>
        <w:pStyle w:val="ListParagraph"/>
        <w:numPr>
          <w:ilvl w:val="0"/>
          <w:numId w:val="17"/>
        </w:numPr>
        <w:spacing w:after="0" w:line="276" w:lineRule="auto"/>
        <w:ind w:left="0" w:firstLine="360"/>
        <w:jc w:val="both"/>
        <w:rPr>
          <w:rFonts w:asciiTheme="majorHAnsi" w:hAnsiTheme="majorHAnsi" w:cstheme="majorHAnsi"/>
          <w:sz w:val="24"/>
          <w:szCs w:val="24"/>
          <w:lang w:val="ro-MD"/>
        </w:rPr>
      </w:pPr>
      <w:r w:rsidRPr="00E33BAB">
        <w:rPr>
          <w:rFonts w:asciiTheme="majorHAnsi" w:hAnsiTheme="majorHAnsi" w:cstheme="majorHAnsi"/>
          <w:iCs/>
          <w:sz w:val="24"/>
          <w:szCs w:val="24"/>
          <w:lang w:val="ro-MD"/>
        </w:rPr>
        <w:t>Cheltuielile efectuate din mijloacele Proiectului de Asistență Tehnică</w:t>
      </w:r>
      <w:r w:rsidRPr="00E33BAB">
        <w:rPr>
          <w:rFonts w:asciiTheme="majorHAnsi" w:hAnsiTheme="majorHAnsi" w:cstheme="majorHAnsi"/>
          <w:sz w:val="24"/>
          <w:szCs w:val="24"/>
          <w:lang w:val="ro-MD"/>
        </w:rPr>
        <w:t xml:space="preserve"> au menirea de a sprijini realizarea obiectivelor Programului prin consolidarea capacităților MSMPS și ale CNAM.</w:t>
      </w:r>
      <w:r w:rsidR="003546AA" w:rsidRPr="00E33BAB">
        <w:rPr>
          <w:rFonts w:asciiTheme="majorHAnsi" w:hAnsiTheme="majorHAnsi" w:cstheme="majorHAnsi"/>
          <w:sz w:val="24"/>
          <w:szCs w:val="24"/>
          <w:lang w:val="ro-MD"/>
        </w:rPr>
        <w:t xml:space="preserve"> </w:t>
      </w:r>
      <w:r w:rsidR="00B015F4" w:rsidRPr="00E33BAB">
        <w:rPr>
          <w:rFonts w:asciiTheme="majorHAnsi" w:hAnsiTheme="majorHAnsi" w:cstheme="majorHAnsi"/>
          <w:sz w:val="24"/>
          <w:szCs w:val="24"/>
          <w:lang w:val="ro-MD"/>
        </w:rPr>
        <w:t>Astfel, din valoarea totală a Acordului de finanțare (30,8 milioane dolari SUA), suma de 2,1 mil.</w:t>
      </w:r>
      <w:r w:rsidR="00870B5C" w:rsidRPr="00E33BAB">
        <w:rPr>
          <w:rFonts w:asciiTheme="majorHAnsi" w:hAnsiTheme="majorHAnsi" w:cstheme="majorHAnsi"/>
          <w:sz w:val="24"/>
          <w:szCs w:val="24"/>
          <w:lang w:val="ro-MD"/>
        </w:rPr>
        <w:t xml:space="preserve"> </w:t>
      </w:r>
      <w:r w:rsidR="00B015F4" w:rsidRPr="00E33BAB">
        <w:rPr>
          <w:rFonts w:asciiTheme="majorHAnsi" w:hAnsiTheme="majorHAnsi" w:cstheme="majorHAnsi"/>
          <w:sz w:val="24"/>
          <w:szCs w:val="24"/>
          <w:lang w:val="ro-MD"/>
        </w:rPr>
        <w:t xml:space="preserve">dolari SUA </w:t>
      </w:r>
      <w:r w:rsidR="00D97A8C" w:rsidRPr="00E33BAB">
        <w:rPr>
          <w:rFonts w:asciiTheme="majorHAnsi" w:hAnsiTheme="majorHAnsi" w:cstheme="majorHAnsi"/>
          <w:sz w:val="24"/>
          <w:szCs w:val="24"/>
          <w:lang w:val="ro-MD"/>
        </w:rPr>
        <w:t xml:space="preserve">a fost </w:t>
      </w:r>
      <w:r w:rsidR="00D97A8C" w:rsidRPr="00F13B13">
        <w:rPr>
          <w:rFonts w:asciiTheme="majorHAnsi" w:hAnsiTheme="majorHAnsi" w:cstheme="majorHAnsi"/>
          <w:sz w:val="24"/>
          <w:szCs w:val="24"/>
          <w:lang w:val="ro-MD"/>
        </w:rPr>
        <w:t xml:space="preserve">prevăzută </w:t>
      </w:r>
      <w:r w:rsidR="00B015F4" w:rsidRPr="00F13B13">
        <w:rPr>
          <w:rFonts w:asciiTheme="majorHAnsi" w:hAnsiTheme="majorHAnsi" w:cstheme="majorHAnsi"/>
          <w:sz w:val="24"/>
          <w:szCs w:val="24"/>
          <w:lang w:val="ro-MD"/>
        </w:rPr>
        <w:t>în cadrul unei componente</w:t>
      </w:r>
      <w:r w:rsidR="00B015F4" w:rsidRPr="00E33BAB">
        <w:rPr>
          <w:rFonts w:asciiTheme="majorHAnsi" w:hAnsiTheme="majorHAnsi" w:cstheme="majorHAnsi"/>
          <w:sz w:val="24"/>
          <w:szCs w:val="24"/>
          <w:lang w:val="ro-MD"/>
        </w:rPr>
        <w:t xml:space="preserve"> separate c</w:t>
      </w:r>
      <w:r w:rsidR="00D97A8C">
        <w:rPr>
          <w:rFonts w:asciiTheme="majorHAnsi" w:hAnsiTheme="majorHAnsi" w:cstheme="majorHAnsi"/>
          <w:sz w:val="24"/>
          <w:szCs w:val="24"/>
          <w:lang w:val="ro-MD"/>
        </w:rPr>
        <w:t>ar</w:t>
      </w:r>
      <w:r w:rsidR="00B015F4" w:rsidRPr="00E33BAB">
        <w:rPr>
          <w:rFonts w:asciiTheme="majorHAnsi" w:hAnsiTheme="majorHAnsi" w:cstheme="majorHAnsi"/>
          <w:sz w:val="24"/>
          <w:szCs w:val="24"/>
          <w:lang w:val="ro-MD"/>
        </w:rPr>
        <w:t xml:space="preserve">e </w:t>
      </w:r>
      <w:r w:rsidR="00870B5C" w:rsidRPr="00E33BAB">
        <w:rPr>
          <w:rFonts w:asciiTheme="majorHAnsi" w:hAnsiTheme="majorHAnsi" w:cstheme="majorHAnsi"/>
          <w:sz w:val="24"/>
          <w:szCs w:val="24"/>
          <w:lang w:val="ro-MD"/>
        </w:rPr>
        <w:t>asigură</w:t>
      </w:r>
      <w:r w:rsidR="00B015F4" w:rsidRPr="00E33BAB">
        <w:rPr>
          <w:rFonts w:asciiTheme="majorHAnsi" w:hAnsiTheme="majorHAnsi" w:cstheme="majorHAnsi"/>
          <w:sz w:val="24"/>
          <w:szCs w:val="24"/>
          <w:lang w:val="ro-MD"/>
        </w:rPr>
        <w:t xml:space="preserve"> procedurile de creditare pentru investiții, precum și activități de asistență tehnică și de consolidare a capacităților</w:t>
      </w:r>
      <w:r w:rsidR="00B015F4" w:rsidRPr="00E33BAB">
        <w:rPr>
          <w:rStyle w:val="FootnoteReference"/>
          <w:rFonts w:asciiTheme="majorHAnsi" w:hAnsiTheme="majorHAnsi" w:cstheme="majorHAnsi"/>
          <w:sz w:val="24"/>
          <w:szCs w:val="24"/>
          <w:lang w:val="ro-MD"/>
        </w:rPr>
        <w:footnoteReference w:id="9"/>
      </w:r>
      <w:r w:rsidR="00B015F4" w:rsidRPr="00E33BAB">
        <w:rPr>
          <w:rFonts w:asciiTheme="majorHAnsi" w:hAnsiTheme="majorHAnsi" w:cstheme="majorHAnsi"/>
          <w:sz w:val="24"/>
          <w:szCs w:val="24"/>
          <w:lang w:val="ro-MD"/>
        </w:rPr>
        <w:t>.</w:t>
      </w:r>
    </w:p>
    <w:p w14:paraId="30AC5FF8" w14:textId="487E924B" w:rsidR="00956F96" w:rsidRPr="00E33BAB" w:rsidRDefault="00377BF2" w:rsidP="008C59FE">
      <w:pPr>
        <w:spacing w:after="0" w:line="276" w:lineRule="auto"/>
        <w:jc w:val="both"/>
        <w:rPr>
          <w:rFonts w:asciiTheme="majorHAnsi" w:eastAsia="Times New Roman" w:hAnsiTheme="majorHAnsi" w:cstheme="majorHAnsi"/>
          <w:bCs/>
          <w:sz w:val="24"/>
          <w:szCs w:val="24"/>
          <w:lang w:val="ro-MD"/>
        </w:rPr>
      </w:pPr>
      <w:r w:rsidRPr="00E33BAB">
        <w:rPr>
          <w:rFonts w:asciiTheme="majorHAnsi" w:eastAsia="Times New Roman" w:hAnsiTheme="majorHAnsi" w:cstheme="majorHAnsi"/>
          <w:bCs/>
          <w:sz w:val="24"/>
          <w:szCs w:val="24"/>
          <w:lang w:val="ro-MD"/>
        </w:rPr>
        <w:t>Urmare</w:t>
      </w:r>
      <w:r w:rsidR="00B015F4" w:rsidRPr="00E33BAB">
        <w:rPr>
          <w:rFonts w:asciiTheme="majorHAnsi" w:eastAsia="Times New Roman" w:hAnsiTheme="majorHAnsi" w:cstheme="majorHAnsi"/>
          <w:bCs/>
          <w:sz w:val="24"/>
          <w:szCs w:val="24"/>
          <w:lang w:val="ro-MD"/>
        </w:rPr>
        <w:t xml:space="preserve"> </w:t>
      </w:r>
      <w:r w:rsidRPr="00E33BAB">
        <w:rPr>
          <w:rFonts w:asciiTheme="majorHAnsi" w:hAnsiTheme="majorHAnsi" w:cstheme="majorHAnsi"/>
          <w:sz w:val="24"/>
          <w:szCs w:val="24"/>
          <w:lang w:val="ro-MD"/>
        </w:rPr>
        <w:t>verificării</w:t>
      </w:r>
      <w:r w:rsidR="00B015F4" w:rsidRPr="00E33BAB">
        <w:rPr>
          <w:rFonts w:asciiTheme="majorHAnsi" w:hAnsiTheme="majorHAnsi" w:cstheme="majorHAnsi"/>
          <w:sz w:val="24"/>
          <w:szCs w:val="24"/>
          <w:lang w:val="ro-MD"/>
        </w:rPr>
        <w:t xml:space="preserve"> contractelor, documentelor contabile și a altor informații aferente, auditul nu a identificat devieri semnificative de la cerințele stabilite, toate înregistrările în evidența contabilă fiind confirmate de documentele primare, inclusiv de anexele la acestea, care </w:t>
      </w:r>
      <w:r w:rsidR="00D97A8C">
        <w:rPr>
          <w:rFonts w:asciiTheme="majorHAnsi" w:hAnsiTheme="majorHAnsi" w:cstheme="majorHAnsi"/>
          <w:sz w:val="24"/>
          <w:szCs w:val="24"/>
          <w:lang w:val="ro-MD"/>
        </w:rPr>
        <w:t>atest</w:t>
      </w:r>
      <w:r w:rsidR="00B015F4" w:rsidRPr="00E33BAB">
        <w:rPr>
          <w:rFonts w:asciiTheme="majorHAnsi" w:hAnsiTheme="majorHAnsi" w:cstheme="majorHAnsi"/>
          <w:sz w:val="24"/>
          <w:szCs w:val="24"/>
          <w:lang w:val="ro-MD"/>
        </w:rPr>
        <w:t xml:space="preserve">ă prestarea serviciilor. </w:t>
      </w:r>
      <w:r w:rsidR="00B015F4" w:rsidRPr="00E33BAB">
        <w:rPr>
          <w:rFonts w:asciiTheme="majorHAnsi" w:eastAsia="Times New Roman" w:hAnsiTheme="majorHAnsi" w:cstheme="majorHAnsi"/>
          <w:bCs/>
          <w:sz w:val="24"/>
          <w:szCs w:val="24"/>
          <w:lang w:val="ro-MD"/>
        </w:rPr>
        <w:t>Prin urmare, situațiile financiare ale Proiectului de Asistență Tehnică, care cuprind cheltuielile aferente serviciilor de consultanță, au fost raportate corect și în măsură</w:t>
      </w:r>
      <w:r w:rsidR="00D97A8C" w:rsidRPr="00D97A8C">
        <w:rPr>
          <w:rFonts w:asciiTheme="majorHAnsi" w:eastAsia="Times New Roman" w:hAnsiTheme="majorHAnsi" w:cstheme="majorHAnsi"/>
          <w:bCs/>
          <w:sz w:val="24"/>
          <w:szCs w:val="24"/>
          <w:lang w:val="ro-MD"/>
        </w:rPr>
        <w:t xml:space="preserve"> </w:t>
      </w:r>
      <w:r w:rsidR="00D97A8C" w:rsidRPr="00E33BAB">
        <w:rPr>
          <w:rFonts w:asciiTheme="majorHAnsi" w:eastAsia="Times New Roman" w:hAnsiTheme="majorHAnsi" w:cstheme="majorHAnsi"/>
          <w:bCs/>
          <w:sz w:val="24"/>
          <w:szCs w:val="24"/>
          <w:lang w:val="ro-MD"/>
        </w:rPr>
        <w:t>deplină</w:t>
      </w:r>
      <w:r w:rsidR="00B015F4" w:rsidRPr="00E33BAB">
        <w:rPr>
          <w:rFonts w:asciiTheme="majorHAnsi" w:eastAsia="Times New Roman" w:hAnsiTheme="majorHAnsi" w:cstheme="majorHAnsi"/>
          <w:bCs/>
          <w:sz w:val="24"/>
          <w:szCs w:val="24"/>
          <w:lang w:val="ro-MD"/>
        </w:rPr>
        <w:t>.</w:t>
      </w:r>
      <w:r w:rsidR="00B77A12" w:rsidRPr="00E33BAB">
        <w:rPr>
          <w:rFonts w:asciiTheme="majorHAnsi" w:eastAsia="Times New Roman" w:hAnsiTheme="majorHAnsi" w:cstheme="majorHAnsi"/>
          <w:bCs/>
          <w:sz w:val="24"/>
          <w:szCs w:val="24"/>
          <w:lang w:val="ro-MD"/>
        </w:rPr>
        <w:t xml:space="preserve"> </w:t>
      </w:r>
    </w:p>
    <w:p w14:paraId="087D7642" w14:textId="3EAE944D" w:rsidR="00EC1850" w:rsidRPr="00E33BAB" w:rsidRDefault="00FB2672" w:rsidP="0065407F">
      <w:pPr>
        <w:pStyle w:val="ListParagraph"/>
        <w:numPr>
          <w:ilvl w:val="0"/>
          <w:numId w:val="16"/>
        </w:numPr>
        <w:spacing w:after="0" w:line="276" w:lineRule="auto"/>
        <w:ind w:left="0" w:firstLine="357"/>
        <w:contextualSpacing w:val="0"/>
        <w:jc w:val="both"/>
        <w:rPr>
          <w:rFonts w:asciiTheme="majorHAnsi" w:hAnsiTheme="majorHAnsi" w:cstheme="majorHAnsi"/>
          <w:sz w:val="24"/>
          <w:szCs w:val="24"/>
          <w:lang w:val="ro-MD"/>
        </w:rPr>
      </w:pPr>
      <w:r w:rsidRPr="00E33BAB">
        <w:rPr>
          <w:rFonts w:asciiTheme="majorHAnsi" w:hAnsiTheme="majorHAnsi" w:cstheme="majorHAnsi"/>
          <w:sz w:val="24"/>
          <w:szCs w:val="24"/>
          <w:lang w:val="ro-MD"/>
        </w:rPr>
        <w:t>C</w:t>
      </w:r>
      <w:r w:rsidR="00065D92">
        <w:rPr>
          <w:rFonts w:asciiTheme="majorHAnsi" w:hAnsiTheme="majorHAnsi" w:cstheme="majorHAnsi"/>
          <w:sz w:val="24"/>
          <w:szCs w:val="24"/>
          <w:lang w:val="ro-MD"/>
        </w:rPr>
        <w:t>ât privește</w:t>
      </w:r>
      <w:r w:rsidRPr="00E33BAB">
        <w:rPr>
          <w:rFonts w:asciiTheme="majorHAnsi" w:hAnsiTheme="majorHAnsi" w:cstheme="majorHAnsi"/>
          <w:sz w:val="24"/>
          <w:szCs w:val="24"/>
          <w:lang w:val="ro-MD"/>
        </w:rPr>
        <w:t xml:space="preserve"> raportarea </w:t>
      </w:r>
      <w:r w:rsidR="00EC1850" w:rsidRPr="00E33BAB">
        <w:rPr>
          <w:rFonts w:asciiTheme="majorHAnsi" w:hAnsiTheme="majorHAnsi" w:cstheme="majorHAnsi"/>
          <w:sz w:val="24"/>
          <w:szCs w:val="24"/>
          <w:lang w:val="ro-MD"/>
        </w:rPr>
        <w:t xml:space="preserve">soldurilor mijloacelor bănești la 31.12.2020, </w:t>
      </w:r>
      <w:r w:rsidR="00EC1850" w:rsidRPr="00E33BAB">
        <w:rPr>
          <w:rFonts w:asciiTheme="majorHAnsi" w:eastAsia="Times New Roman" w:hAnsiTheme="majorHAnsi" w:cstheme="majorHAnsi"/>
          <w:sz w:val="24"/>
          <w:szCs w:val="24"/>
          <w:lang w:val="ro-MD" w:eastAsia="ru-RU"/>
        </w:rPr>
        <w:t xml:space="preserve">nu </w:t>
      </w:r>
      <w:r w:rsidRPr="00E33BAB">
        <w:rPr>
          <w:rFonts w:asciiTheme="majorHAnsi" w:eastAsia="Times New Roman" w:hAnsiTheme="majorHAnsi" w:cstheme="majorHAnsi"/>
          <w:sz w:val="24"/>
          <w:szCs w:val="24"/>
          <w:lang w:val="ro-MD" w:eastAsia="ru-RU"/>
        </w:rPr>
        <w:t>s-</w:t>
      </w:r>
      <w:r w:rsidR="00EC1850" w:rsidRPr="00E33BAB">
        <w:rPr>
          <w:rFonts w:asciiTheme="majorHAnsi" w:eastAsia="Times New Roman" w:hAnsiTheme="majorHAnsi" w:cstheme="majorHAnsi"/>
          <w:sz w:val="24"/>
          <w:szCs w:val="24"/>
          <w:lang w:val="ro-MD" w:eastAsia="ru-RU"/>
        </w:rPr>
        <w:t>a</w:t>
      </w:r>
      <w:r w:rsidRPr="00E33BAB">
        <w:rPr>
          <w:rFonts w:asciiTheme="majorHAnsi" w:eastAsia="Times New Roman" w:hAnsiTheme="majorHAnsi" w:cstheme="majorHAnsi"/>
          <w:sz w:val="24"/>
          <w:szCs w:val="24"/>
          <w:lang w:val="ro-MD" w:eastAsia="ru-RU"/>
        </w:rPr>
        <w:t>u</w:t>
      </w:r>
      <w:r w:rsidR="00EC1850" w:rsidRPr="00E33BAB">
        <w:rPr>
          <w:rFonts w:asciiTheme="majorHAnsi" w:eastAsia="Times New Roman" w:hAnsiTheme="majorHAnsi" w:cstheme="majorHAnsi"/>
          <w:sz w:val="24"/>
          <w:szCs w:val="24"/>
          <w:lang w:val="ro-MD" w:eastAsia="ru-RU"/>
        </w:rPr>
        <w:t xml:space="preserve"> stabilit devieri. </w:t>
      </w:r>
      <w:r w:rsidR="00EC1850" w:rsidRPr="00E33BAB">
        <w:rPr>
          <w:rFonts w:asciiTheme="majorHAnsi" w:hAnsiTheme="majorHAnsi" w:cstheme="majorHAnsi"/>
          <w:sz w:val="24"/>
          <w:szCs w:val="24"/>
          <w:lang w:val="ro-MD"/>
        </w:rPr>
        <w:t xml:space="preserve">Soldul mijloacelor financiare rămase în cont la 31.12.2020 a constituit </w:t>
      </w:r>
      <w:r w:rsidR="009F38B3" w:rsidRPr="00E33BAB">
        <w:rPr>
          <w:rFonts w:asciiTheme="majorHAnsi" w:hAnsiTheme="majorHAnsi" w:cstheme="majorHAnsi"/>
          <w:sz w:val="24"/>
          <w:szCs w:val="24"/>
          <w:lang w:val="ro-MD"/>
        </w:rPr>
        <w:t xml:space="preserve">48 111,74 </w:t>
      </w:r>
      <w:r w:rsidR="00EC1850" w:rsidRPr="00E33BAB">
        <w:rPr>
          <w:rFonts w:asciiTheme="majorHAnsi" w:hAnsiTheme="majorHAnsi" w:cstheme="majorHAnsi"/>
          <w:sz w:val="24"/>
          <w:szCs w:val="24"/>
          <w:lang w:val="ro-MD"/>
        </w:rPr>
        <w:t>dolari SUA</w:t>
      </w:r>
      <w:r w:rsidR="007829C9" w:rsidRPr="00E33BAB">
        <w:rPr>
          <w:rFonts w:asciiTheme="majorHAnsi" w:hAnsiTheme="majorHAnsi" w:cstheme="majorHAnsi"/>
          <w:sz w:val="24"/>
          <w:szCs w:val="24"/>
          <w:lang w:val="ro-MD"/>
        </w:rPr>
        <w:t xml:space="preserve"> și </w:t>
      </w:r>
      <w:r w:rsidR="006C7C23" w:rsidRPr="00E33BAB">
        <w:rPr>
          <w:rFonts w:asciiTheme="majorHAnsi" w:hAnsiTheme="majorHAnsi" w:cstheme="majorHAnsi"/>
          <w:sz w:val="24"/>
          <w:szCs w:val="24"/>
          <w:lang w:val="ro-MD"/>
        </w:rPr>
        <w:t>13,83</w:t>
      </w:r>
      <w:r w:rsidR="00EC1850" w:rsidRPr="00E33BAB">
        <w:rPr>
          <w:rFonts w:asciiTheme="majorHAnsi" w:hAnsiTheme="majorHAnsi" w:cstheme="majorHAnsi"/>
          <w:sz w:val="24"/>
          <w:szCs w:val="24"/>
          <w:lang w:val="ro-MD"/>
        </w:rPr>
        <w:t xml:space="preserve"> lei</w:t>
      </w:r>
      <w:r w:rsidRPr="00E33BAB">
        <w:rPr>
          <w:rFonts w:asciiTheme="majorHAnsi" w:hAnsiTheme="majorHAnsi" w:cstheme="majorHAnsi"/>
          <w:sz w:val="24"/>
          <w:szCs w:val="24"/>
          <w:lang w:val="ro-MD"/>
        </w:rPr>
        <w:t xml:space="preserve">, </w:t>
      </w:r>
      <w:r w:rsidR="00EC1850" w:rsidRPr="00E33BAB">
        <w:rPr>
          <w:rFonts w:asciiTheme="majorHAnsi" w:hAnsiTheme="majorHAnsi" w:cstheme="majorHAnsi"/>
          <w:sz w:val="24"/>
          <w:szCs w:val="24"/>
          <w:lang w:val="ro-MD"/>
        </w:rPr>
        <w:t xml:space="preserve">fiind confirmate </w:t>
      </w:r>
      <w:r w:rsidR="00065D92">
        <w:rPr>
          <w:rFonts w:asciiTheme="majorHAnsi" w:hAnsiTheme="majorHAnsi" w:cstheme="majorHAnsi"/>
          <w:sz w:val="24"/>
          <w:szCs w:val="24"/>
          <w:lang w:val="ro-MD"/>
        </w:rPr>
        <w:t>și</w:t>
      </w:r>
      <w:r w:rsidR="00EC1850" w:rsidRPr="00E33BAB">
        <w:rPr>
          <w:rFonts w:asciiTheme="majorHAnsi" w:hAnsiTheme="majorHAnsi" w:cstheme="majorHAnsi"/>
          <w:sz w:val="24"/>
          <w:szCs w:val="24"/>
          <w:lang w:val="ro-MD"/>
        </w:rPr>
        <w:t xml:space="preserve"> de Mi</w:t>
      </w:r>
      <w:r w:rsidR="000912A7" w:rsidRPr="00E33BAB">
        <w:rPr>
          <w:rFonts w:asciiTheme="majorHAnsi" w:hAnsiTheme="majorHAnsi" w:cstheme="majorHAnsi"/>
          <w:sz w:val="24"/>
          <w:szCs w:val="24"/>
          <w:lang w:val="ro-MD"/>
        </w:rPr>
        <w:t>nisterul Finanțelor (Anexa nr. 4</w:t>
      </w:r>
      <w:r w:rsidR="00EC1850" w:rsidRPr="00E33BAB">
        <w:rPr>
          <w:rFonts w:asciiTheme="majorHAnsi" w:hAnsiTheme="majorHAnsi" w:cstheme="majorHAnsi"/>
          <w:sz w:val="24"/>
          <w:szCs w:val="24"/>
          <w:lang w:val="ro-MD"/>
        </w:rPr>
        <w:t xml:space="preserve"> la prezentul Raport de audit).</w:t>
      </w:r>
      <w:r w:rsidR="00EC1850" w:rsidRPr="00E33BAB">
        <w:rPr>
          <w:sz w:val="24"/>
          <w:szCs w:val="24"/>
          <w:lang w:val="ro-MD"/>
        </w:rPr>
        <w:t xml:space="preserve"> </w:t>
      </w:r>
    </w:p>
    <w:p w14:paraId="2EE4A165" w14:textId="0D34C06C" w:rsidR="00FB2672" w:rsidRDefault="007829C9" w:rsidP="0065407F">
      <w:pPr>
        <w:pStyle w:val="ListParagraph"/>
        <w:spacing w:after="0" w:line="276" w:lineRule="auto"/>
        <w:ind w:left="0"/>
        <w:jc w:val="both"/>
        <w:rPr>
          <w:rFonts w:asciiTheme="majorHAnsi" w:hAnsiTheme="majorHAnsi" w:cstheme="majorHAnsi"/>
          <w:sz w:val="24"/>
          <w:szCs w:val="24"/>
          <w:lang w:val="ro-MD"/>
        </w:rPr>
      </w:pPr>
      <w:r w:rsidRPr="00E33BAB">
        <w:rPr>
          <w:rFonts w:asciiTheme="majorHAnsi" w:hAnsiTheme="majorHAnsi" w:cstheme="majorHAnsi"/>
          <w:sz w:val="24"/>
          <w:szCs w:val="24"/>
          <w:lang w:val="ro-MD"/>
        </w:rPr>
        <w:lastRenderedPageBreak/>
        <w:t>Pentru anul 2020</w:t>
      </w:r>
      <w:r w:rsidR="002A1339" w:rsidRPr="00E33BAB">
        <w:rPr>
          <w:rFonts w:asciiTheme="majorHAnsi" w:hAnsiTheme="majorHAnsi" w:cstheme="majorHAnsi"/>
          <w:sz w:val="24"/>
          <w:szCs w:val="24"/>
          <w:lang w:val="ro-MD"/>
        </w:rPr>
        <w:t xml:space="preserve">, MSMPS a raportat cheltuielile executate </w:t>
      </w:r>
      <w:r w:rsidR="00EC1850" w:rsidRPr="00E33BAB">
        <w:rPr>
          <w:rFonts w:asciiTheme="majorHAnsi" w:hAnsiTheme="majorHAnsi" w:cstheme="majorHAnsi"/>
          <w:sz w:val="24"/>
          <w:szCs w:val="24"/>
          <w:lang w:val="ro-MD"/>
        </w:rPr>
        <w:t xml:space="preserve">aferente Proiectului de Asistență Tehnică în sumă de </w:t>
      </w:r>
      <w:r w:rsidRPr="00E33BAB">
        <w:rPr>
          <w:rFonts w:asciiTheme="majorHAnsi" w:hAnsiTheme="majorHAnsi" w:cstheme="majorHAnsi"/>
          <w:sz w:val="24"/>
          <w:szCs w:val="24"/>
          <w:lang w:val="ro-MD"/>
        </w:rPr>
        <w:t xml:space="preserve"> 738,92</w:t>
      </w:r>
      <w:r w:rsidR="00EC1850" w:rsidRPr="00E33BAB">
        <w:rPr>
          <w:rFonts w:asciiTheme="majorHAnsi" w:hAnsiTheme="majorHAnsi" w:cstheme="majorHAnsi"/>
          <w:sz w:val="24"/>
          <w:szCs w:val="24"/>
          <w:lang w:val="ro-MD"/>
        </w:rPr>
        <w:t xml:space="preserve"> mii lei, orientate prioritar pentru serviciile de consultanță</w:t>
      </w:r>
      <w:r w:rsidR="00065D92">
        <w:rPr>
          <w:rFonts w:asciiTheme="majorHAnsi" w:hAnsiTheme="majorHAnsi" w:cstheme="majorHAnsi"/>
          <w:sz w:val="24"/>
          <w:szCs w:val="24"/>
          <w:lang w:val="ro-MD"/>
        </w:rPr>
        <w:t>,</w:t>
      </w:r>
      <w:r w:rsidR="00EC1850" w:rsidRPr="00E33BAB">
        <w:rPr>
          <w:rFonts w:asciiTheme="majorHAnsi" w:hAnsiTheme="majorHAnsi" w:cstheme="majorHAnsi"/>
          <w:sz w:val="24"/>
          <w:szCs w:val="24"/>
          <w:lang w:val="ro-MD"/>
        </w:rPr>
        <w:t xml:space="preserve"> care </w:t>
      </w:r>
      <w:r w:rsidR="002D4F22" w:rsidRPr="00E33BAB">
        <w:rPr>
          <w:rFonts w:asciiTheme="majorHAnsi" w:hAnsiTheme="majorHAnsi" w:cstheme="majorHAnsi"/>
          <w:sz w:val="24"/>
          <w:szCs w:val="24"/>
          <w:lang w:val="ro-MD"/>
        </w:rPr>
        <w:t>urmau a oferi</w:t>
      </w:r>
      <w:r w:rsidR="00EC1850" w:rsidRPr="00E33BAB">
        <w:rPr>
          <w:rFonts w:asciiTheme="majorHAnsi" w:hAnsiTheme="majorHAnsi" w:cstheme="majorHAnsi"/>
          <w:sz w:val="24"/>
          <w:szCs w:val="24"/>
          <w:lang w:val="ro-MD"/>
        </w:rPr>
        <w:t xml:space="preserve"> suport pentru debursarea indicatorilor. </w:t>
      </w:r>
      <w:r w:rsidR="002A1339" w:rsidRPr="00E33BAB">
        <w:rPr>
          <w:rFonts w:asciiTheme="majorHAnsi" w:hAnsiTheme="majorHAnsi" w:cstheme="majorHAnsi"/>
          <w:sz w:val="24"/>
          <w:szCs w:val="24"/>
          <w:lang w:val="ro-MD"/>
        </w:rPr>
        <w:t>Totodată, c</w:t>
      </w:r>
      <w:r w:rsidR="00EC1850" w:rsidRPr="00E33BAB">
        <w:rPr>
          <w:rFonts w:asciiTheme="majorHAnsi" w:hAnsiTheme="majorHAnsi" w:cstheme="majorHAnsi"/>
          <w:sz w:val="24"/>
          <w:szCs w:val="24"/>
          <w:lang w:val="ro-MD"/>
        </w:rPr>
        <w:t xml:space="preserve">heltuielile ce țin de implementarea activităților Proiectului </w:t>
      </w:r>
      <w:r w:rsidR="00065D92">
        <w:rPr>
          <w:rFonts w:asciiTheme="majorHAnsi" w:hAnsiTheme="majorHAnsi" w:cstheme="majorHAnsi"/>
          <w:sz w:val="24"/>
          <w:szCs w:val="24"/>
          <w:lang w:val="ro-MD"/>
        </w:rPr>
        <w:t>„</w:t>
      </w:r>
      <w:r w:rsidR="002A1339" w:rsidRPr="00E33BAB">
        <w:rPr>
          <w:rFonts w:asciiTheme="majorHAnsi" w:hAnsiTheme="majorHAnsi" w:cstheme="majorHAnsi"/>
          <w:sz w:val="24"/>
          <w:szCs w:val="24"/>
          <w:lang w:val="ro-MD"/>
        </w:rPr>
        <w:t xml:space="preserve">Modernizarea sectorului sănătății </w:t>
      </w:r>
      <w:r w:rsidR="00065D92">
        <w:rPr>
          <w:rFonts w:asciiTheme="majorHAnsi" w:hAnsiTheme="majorHAnsi" w:cstheme="majorHAnsi"/>
          <w:sz w:val="24"/>
          <w:szCs w:val="24"/>
          <w:lang w:val="ro-MD"/>
        </w:rPr>
        <w:t xml:space="preserve">în Republica Moldova” </w:t>
      </w:r>
      <w:r w:rsidR="00EC1850" w:rsidRPr="00E33BAB">
        <w:rPr>
          <w:rFonts w:asciiTheme="majorHAnsi" w:hAnsiTheme="majorHAnsi" w:cstheme="majorHAnsi"/>
          <w:sz w:val="24"/>
          <w:szCs w:val="24"/>
          <w:lang w:val="ro-MD"/>
        </w:rPr>
        <w:t xml:space="preserve">și cheltuielile aferente suportului instituțional au fost raportate în sumă de </w:t>
      </w:r>
      <w:r w:rsidR="00125730" w:rsidRPr="00E33BAB">
        <w:rPr>
          <w:rFonts w:asciiTheme="majorHAnsi" w:hAnsiTheme="majorHAnsi" w:cstheme="majorHAnsi"/>
          <w:sz w:val="24"/>
          <w:szCs w:val="24"/>
          <w:lang w:val="ro-MD"/>
        </w:rPr>
        <w:t xml:space="preserve"> 1487,62</w:t>
      </w:r>
      <w:r w:rsidR="00B218A8" w:rsidRPr="00E33BAB">
        <w:rPr>
          <w:rFonts w:asciiTheme="majorHAnsi" w:hAnsiTheme="majorHAnsi" w:cstheme="majorHAnsi"/>
          <w:sz w:val="24"/>
          <w:szCs w:val="24"/>
          <w:lang w:val="ro-MD"/>
        </w:rPr>
        <w:t xml:space="preserve"> </w:t>
      </w:r>
      <w:r w:rsidR="00EC1850" w:rsidRPr="00E33BAB">
        <w:rPr>
          <w:rFonts w:asciiTheme="majorHAnsi" w:hAnsiTheme="majorHAnsi" w:cstheme="majorHAnsi"/>
          <w:sz w:val="24"/>
          <w:szCs w:val="24"/>
          <w:lang w:val="ro-MD"/>
        </w:rPr>
        <w:t xml:space="preserve">mii lei. </w:t>
      </w:r>
      <w:r w:rsidR="002A1339" w:rsidRPr="00E33BAB">
        <w:rPr>
          <w:rFonts w:asciiTheme="majorHAnsi" w:hAnsiTheme="majorHAnsi" w:cstheme="majorHAnsi"/>
          <w:sz w:val="24"/>
          <w:szCs w:val="24"/>
          <w:lang w:val="ro-MD"/>
        </w:rPr>
        <w:t>A</w:t>
      </w:r>
      <w:r w:rsidR="00EC1850" w:rsidRPr="00E33BAB">
        <w:rPr>
          <w:rFonts w:asciiTheme="majorHAnsi" w:hAnsiTheme="majorHAnsi" w:cstheme="majorHAnsi"/>
          <w:sz w:val="24"/>
          <w:szCs w:val="24"/>
          <w:lang w:val="ro-MD"/>
        </w:rPr>
        <w:t xml:space="preserve">uditul a </w:t>
      </w:r>
      <w:r w:rsidR="00065D92">
        <w:rPr>
          <w:rFonts w:asciiTheme="majorHAnsi" w:hAnsiTheme="majorHAnsi" w:cstheme="majorHAnsi"/>
          <w:sz w:val="24"/>
          <w:szCs w:val="24"/>
          <w:lang w:val="ro-MD"/>
        </w:rPr>
        <w:t xml:space="preserve">constatat </w:t>
      </w:r>
      <w:r w:rsidR="00EC1850" w:rsidRPr="00E33BAB">
        <w:rPr>
          <w:rFonts w:asciiTheme="majorHAnsi" w:hAnsiTheme="majorHAnsi" w:cstheme="majorHAnsi"/>
          <w:sz w:val="24"/>
          <w:szCs w:val="24"/>
          <w:lang w:val="ro-MD"/>
        </w:rPr>
        <w:t xml:space="preserve"> că operațiunile economice au fost înregistrate corespunzător și asigură raportarea veridică a situațiilor financiare reflectate în Raportul privind executarea bugetului (Formularul FD-047).</w:t>
      </w:r>
    </w:p>
    <w:p w14:paraId="3BC6991F" w14:textId="77777777" w:rsidR="004D7E51" w:rsidRPr="00E33BAB" w:rsidRDefault="004D7E51" w:rsidP="0065407F">
      <w:pPr>
        <w:pStyle w:val="ListParagraph"/>
        <w:spacing w:after="0" w:line="276" w:lineRule="auto"/>
        <w:ind w:left="0"/>
        <w:jc w:val="both"/>
        <w:rPr>
          <w:rFonts w:asciiTheme="majorHAnsi" w:hAnsiTheme="majorHAnsi" w:cstheme="majorHAnsi"/>
          <w:sz w:val="24"/>
          <w:szCs w:val="24"/>
          <w:lang w:val="ro-MD"/>
        </w:rPr>
      </w:pPr>
    </w:p>
    <w:p w14:paraId="0221DBB8" w14:textId="0EE95E03" w:rsidR="005538DC" w:rsidRPr="004D7E51" w:rsidRDefault="005538DC" w:rsidP="004D7E51">
      <w:pPr>
        <w:pStyle w:val="Heading1"/>
        <w:tabs>
          <w:tab w:val="left" w:pos="426"/>
        </w:tabs>
        <w:spacing w:before="0"/>
        <w:ind w:left="0" w:firstLine="0"/>
        <w:jc w:val="left"/>
        <w:rPr>
          <w:rFonts w:asciiTheme="majorHAnsi" w:hAnsiTheme="majorHAnsi" w:cstheme="majorHAnsi"/>
          <w:sz w:val="28"/>
          <w:szCs w:val="28"/>
        </w:rPr>
      </w:pPr>
      <w:bookmarkStart w:id="10" w:name="_Toc35000689"/>
      <w:bookmarkEnd w:id="8"/>
      <w:bookmarkEnd w:id="9"/>
      <w:r w:rsidRPr="004D7E51">
        <w:rPr>
          <w:rFonts w:asciiTheme="majorHAnsi" w:hAnsiTheme="majorHAnsi" w:cstheme="majorHAnsi"/>
          <w:sz w:val="28"/>
          <w:szCs w:val="28"/>
        </w:rPr>
        <w:t>BUNA GUVERNANȚĂ</w:t>
      </w:r>
    </w:p>
    <w:p w14:paraId="56BDF865" w14:textId="618893A3" w:rsidR="00BF2898" w:rsidRPr="00E33BAB" w:rsidRDefault="00BF2898" w:rsidP="004D7E51">
      <w:pPr>
        <w:pStyle w:val="Heading2"/>
        <w:numPr>
          <w:ilvl w:val="1"/>
          <w:numId w:val="25"/>
        </w:numPr>
        <w:spacing w:before="0" w:line="276" w:lineRule="auto"/>
        <w:ind w:left="0" w:firstLine="0"/>
        <w:rPr>
          <w:rFonts w:asciiTheme="majorHAnsi" w:hAnsiTheme="majorHAnsi" w:cstheme="majorHAnsi"/>
          <w:sz w:val="24"/>
          <w:szCs w:val="24"/>
        </w:rPr>
      </w:pPr>
      <w:r w:rsidRPr="00E33BAB">
        <w:rPr>
          <w:rFonts w:asciiTheme="majorHAnsi" w:hAnsiTheme="majorHAnsi" w:cstheme="majorHAnsi"/>
          <w:sz w:val="24"/>
          <w:szCs w:val="24"/>
        </w:rPr>
        <w:t xml:space="preserve">MSMPS are instituit sistemul de control intern managerial, cu activități și reglementări, care trebuie îmbunătățite pentru </w:t>
      </w:r>
      <w:r w:rsidR="00287790" w:rsidRPr="00E33BAB">
        <w:rPr>
          <w:rFonts w:asciiTheme="majorHAnsi" w:hAnsiTheme="majorHAnsi" w:cstheme="majorHAnsi"/>
          <w:sz w:val="24"/>
          <w:szCs w:val="24"/>
        </w:rPr>
        <w:t>Operațiunea</w:t>
      </w:r>
      <w:r w:rsidRPr="00E33BAB">
        <w:rPr>
          <w:rFonts w:asciiTheme="majorHAnsi" w:hAnsiTheme="majorHAnsi" w:cstheme="majorHAnsi"/>
          <w:sz w:val="24"/>
          <w:szCs w:val="24"/>
        </w:rPr>
        <w:t xml:space="preserve"> „Modernizarea </w:t>
      </w:r>
      <w:r w:rsidR="00065D92">
        <w:rPr>
          <w:rFonts w:asciiTheme="majorHAnsi" w:hAnsiTheme="majorHAnsi" w:cstheme="majorHAnsi"/>
          <w:sz w:val="24"/>
          <w:szCs w:val="24"/>
        </w:rPr>
        <w:t>s</w:t>
      </w:r>
      <w:r w:rsidRPr="00E33BAB">
        <w:rPr>
          <w:rFonts w:asciiTheme="majorHAnsi" w:hAnsiTheme="majorHAnsi" w:cstheme="majorHAnsi"/>
          <w:sz w:val="24"/>
          <w:szCs w:val="24"/>
        </w:rPr>
        <w:t xml:space="preserve">ectorului </w:t>
      </w:r>
      <w:r w:rsidR="00065D92">
        <w:rPr>
          <w:rFonts w:asciiTheme="majorHAnsi" w:hAnsiTheme="majorHAnsi" w:cstheme="majorHAnsi"/>
          <w:sz w:val="24"/>
          <w:szCs w:val="24"/>
        </w:rPr>
        <w:t>s</w:t>
      </w:r>
      <w:r w:rsidRPr="00E33BAB">
        <w:rPr>
          <w:rFonts w:asciiTheme="majorHAnsi" w:hAnsiTheme="majorHAnsi" w:cstheme="majorHAnsi"/>
          <w:sz w:val="24"/>
          <w:szCs w:val="24"/>
        </w:rPr>
        <w:t>ănătății în R</w:t>
      </w:r>
      <w:r w:rsidR="00065D92">
        <w:rPr>
          <w:rFonts w:asciiTheme="majorHAnsi" w:hAnsiTheme="majorHAnsi" w:cstheme="majorHAnsi"/>
          <w:sz w:val="24"/>
          <w:szCs w:val="24"/>
        </w:rPr>
        <w:t xml:space="preserve">epublica </w:t>
      </w:r>
      <w:r w:rsidRPr="00E33BAB">
        <w:rPr>
          <w:rFonts w:asciiTheme="majorHAnsi" w:hAnsiTheme="majorHAnsi" w:cstheme="majorHAnsi"/>
          <w:sz w:val="24"/>
          <w:szCs w:val="24"/>
        </w:rPr>
        <w:t>M</w:t>
      </w:r>
      <w:r w:rsidR="00065D92">
        <w:rPr>
          <w:rFonts w:asciiTheme="majorHAnsi" w:hAnsiTheme="majorHAnsi" w:cstheme="majorHAnsi"/>
          <w:sz w:val="24"/>
          <w:szCs w:val="24"/>
        </w:rPr>
        <w:t>oldova</w:t>
      </w:r>
      <w:r w:rsidRPr="00E33BAB">
        <w:rPr>
          <w:rFonts w:asciiTheme="majorHAnsi" w:hAnsiTheme="majorHAnsi" w:cstheme="majorHAnsi"/>
          <w:sz w:val="24"/>
          <w:szCs w:val="24"/>
        </w:rPr>
        <w:t>”</w:t>
      </w:r>
      <w:r w:rsidR="00065D92">
        <w:rPr>
          <w:rFonts w:asciiTheme="majorHAnsi" w:hAnsiTheme="majorHAnsi" w:cstheme="majorHAnsi"/>
          <w:sz w:val="24"/>
          <w:szCs w:val="24"/>
        </w:rPr>
        <w:t>.</w:t>
      </w:r>
    </w:p>
    <w:p w14:paraId="59A98CE0" w14:textId="220A483C" w:rsidR="00BF2898" w:rsidRPr="00E33BAB" w:rsidRDefault="00BF2898" w:rsidP="00B079CB">
      <w:pPr>
        <w:spacing w:line="276" w:lineRule="auto"/>
        <w:jc w:val="both"/>
        <w:rPr>
          <w:rFonts w:asciiTheme="majorHAnsi" w:eastAsia="Times New Roman" w:hAnsiTheme="majorHAnsi" w:cstheme="majorHAnsi"/>
          <w:b/>
          <w:bCs/>
          <w:sz w:val="24"/>
          <w:szCs w:val="24"/>
          <w:lang w:val="ro-MD"/>
        </w:rPr>
      </w:pPr>
      <w:r w:rsidRPr="00E33BAB">
        <w:rPr>
          <w:rFonts w:asciiTheme="majorHAnsi" w:eastAsia="Times New Roman" w:hAnsiTheme="majorHAnsi" w:cstheme="majorHAnsi"/>
          <w:sz w:val="24"/>
          <w:szCs w:val="24"/>
          <w:lang w:val="ro-MD"/>
        </w:rPr>
        <w:t xml:space="preserve">Evaluarea de </w:t>
      </w:r>
      <w:r w:rsidR="00065D92">
        <w:rPr>
          <w:rFonts w:asciiTheme="majorHAnsi" w:eastAsia="Times New Roman" w:hAnsiTheme="majorHAnsi" w:cstheme="majorHAnsi"/>
          <w:sz w:val="24"/>
          <w:szCs w:val="24"/>
          <w:lang w:val="ro-MD"/>
        </w:rPr>
        <w:t xml:space="preserve">către </w:t>
      </w:r>
      <w:r w:rsidRPr="00E33BAB">
        <w:rPr>
          <w:rFonts w:asciiTheme="majorHAnsi" w:eastAsia="Times New Roman" w:hAnsiTheme="majorHAnsi" w:cstheme="majorHAnsi"/>
          <w:sz w:val="24"/>
          <w:szCs w:val="24"/>
          <w:lang w:val="ro-MD"/>
        </w:rPr>
        <w:t>audit a sistemului CIM</w:t>
      </w:r>
      <w:r w:rsidR="00B079CB" w:rsidRPr="00E33BAB">
        <w:rPr>
          <w:rFonts w:asciiTheme="majorHAnsi" w:eastAsia="Times New Roman" w:hAnsiTheme="majorHAnsi" w:cstheme="majorHAnsi"/>
          <w:sz w:val="24"/>
          <w:szCs w:val="24"/>
          <w:lang w:val="ro-MD"/>
        </w:rPr>
        <w:t xml:space="preserve"> al MSMPS</w:t>
      </w:r>
      <w:r w:rsidRPr="00E33BAB">
        <w:rPr>
          <w:rFonts w:asciiTheme="majorHAnsi" w:eastAsia="Times New Roman" w:hAnsiTheme="majorHAnsi" w:cstheme="majorHAnsi"/>
          <w:sz w:val="24"/>
          <w:szCs w:val="24"/>
          <w:lang w:val="ro-MD"/>
        </w:rPr>
        <w:t>, conform cerințelor legale</w:t>
      </w:r>
      <w:r w:rsidRPr="00E33BAB">
        <w:rPr>
          <w:rStyle w:val="FootnoteReference"/>
          <w:rFonts w:asciiTheme="majorHAnsi" w:eastAsia="Times New Roman" w:hAnsiTheme="majorHAnsi" w:cstheme="majorHAnsi"/>
          <w:sz w:val="24"/>
          <w:szCs w:val="24"/>
          <w:lang w:val="ro-MD"/>
        </w:rPr>
        <w:footnoteReference w:id="10"/>
      </w:r>
      <w:r w:rsidRPr="00E33BAB">
        <w:rPr>
          <w:rFonts w:asciiTheme="majorHAnsi" w:eastAsia="Times New Roman" w:hAnsiTheme="majorHAnsi" w:cstheme="majorHAnsi"/>
          <w:sz w:val="24"/>
          <w:szCs w:val="24"/>
          <w:lang w:val="ro-MD"/>
        </w:rPr>
        <w:t xml:space="preserve">, </w:t>
      </w:r>
      <w:r w:rsidR="00B079CB" w:rsidRPr="00E33BAB">
        <w:rPr>
          <w:rFonts w:asciiTheme="majorHAnsi" w:eastAsia="Times New Roman" w:hAnsiTheme="majorHAnsi" w:cstheme="majorHAnsi"/>
          <w:sz w:val="24"/>
          <w:szCs w:val="24"/>
          <w:lang w:val="ro-MD"/>
        </w:rPr>
        <w:t xml:space="preserve">denotă că </w:t>
      </w:r>
      <w:r w:rsidR="007669EE" w:rsidRPr="00E33BAB">
        <w:rPr>
          <w:rFonts w:asciiTheme="majorHAnsi" w:hAnsiTheme="majorHAnsi" w:cstheme="majorHAnsi"/>
          <w:sz w:val="24"/>
          <w:szCs w:val="24"/>
          <w:lang w:val="ro-MD"/>
        </w:rPr>
        <w:t>î</w:t>
      </w:r>
      <w:r w:rsidR="007669EE" w:rsidRPr="00E33BAB">
        <w:rPr>
          <w:rFonts w:asciiTheme="majorHAnsi" w:eastAsia="Times New Roman" w:hAnsiTheme="majorHAnsi" w:cstheme="majorHAnsi"/>
          <w:sz w:val="24"/>
          <w:szCs w:val="24"/>
          <w:lang w:val="ro-MD"/>
        </w:rPr>
        <w:t>n perioada auditată a</w:t>
      </w:r>
      <w:r w:rsidR="00B079CB" w:rsidRPr="00E33BAB">
        <w:rPr>
          <w:rFonts w:asciiTheme="majorHAnsi" w:eastAsia="Times New Roman" w:hAnsiTheme="majorHAnsi" w:cstheme="majorHAnsi"/>
          <w:sz w:val="24"/>
          <w:szCs w:val="24"/>
          <w:lang w:val="ro-MD"/>
        </w:rPr>
        <w:t>u</w:t>
      </w:r>
      <w:r w:rsidR="007669EE" w:rsidRPr="00E33BAB">
        <w:rPr>
          <w:rFonts w:asciiTheme="majorHAnsi" w:eastAsia="Times New Roman" w:hAnsiTheme="majorHAnsi" w:cstheme="majorHAnsi"/>
          <w:sz w:val="24"/>
          <w:szCs w:val="24"/>
          <w:lang w:val="ro-MD"/>
        </w:rPr>
        <w:t xml:space="preserve"> fost aprobate planurile strategice și planurile anuale de activitate, c</w:t>
      </w:r>
      <w:r w:rsidR="00065D92">
        <w:rPr>
          <w:rFonts w:asciiTheme="majorHAnsi" w:eastAsia="Times New Roman" w:hAnsiTheme="majorHAnsi" w:cstheme="majorHAnsi"/>
          <w:sz w:val="24"/>
          <w:szCs w:val="24"/>
          <w:lang w:val="ro-MD"/>
        </w:rPr>
        <w:t>ar</w:t>
      </w:r>
      <w:r w:rsidR="007669EE" w:rsidRPr="00E33BAB">
        <w:rPr>
          <w:rFonts w:asciiTheme="majorHAnsi" w:eastAsia="Times New Roman" w:hAnsiTheme="majorHAnsi" w:cstheme="majorHAnsi"/>
          <w:sz w:val="24"/>
          <w:szCs w:val="24"/>
          <w:lang w:val="ro-MD"/>
        </w:rPr>
        <w:t>e includ obiective strategice/operaționale, indicatori de performanță și riscuri asociate obiectivelor. În același timp</w:t>
      </w:r>
      <w:r w:rsidR="00065D92">
        <w:rPr>
          <w:rFonts w:asciiTheme="majorHAnsi" w:eastAsia="Times New Roman" w:hAnsiTheme="majorHAnsi" w:cstheme="majorHAnsi"/>
          <w:sz w:val="24"/>
          <w:szCs w:val="24"/>
          <w:lang w:val="ro-MD"/>
        </w:rPr>
        <w:t>,</w:t>
      </w:r>
      <w:r w:rsidR="007669EE" w:rsidRPr="00E33BAB">
        <w:rPr>
          <w:rFonts w:asciiTheme="majorHAnsi" w:eastAsia="Times New Roman" w:hAnsiTheme="majorHAnsi" w:cstheme="majorHAnsi"/>
          <w:sz w:val="24"/>
          <w:szCs w:val="24"/>
          <w:lang w:val="ro-MD"/>
        </w:rPr>
        <w:t xml:space="preserve"> se consideră oportună necesitatea ajustării și intensificării activității de control intern</w:t>
      </w:r>
      <w:r w:rsidR="00065D92">
        <w:rPr>
          <w:rFonts w:asciiTheme="majorHAnsi" w:eastAsia="Times New Roman" w:hAnsiTheme="majorHAnsi" w:cstheme="majorHAnsi"/>
          <w:sz w:val="24"/>
          <w:szCs w:val="24"/>
          <w:lang w:val="ro-MD"/>
        </w:rPr>
        <w:t xml:space="preserve">, </w:t>
      </w:r>
      <w:r w:rsidR="007669EE" w:rsidRPr="00E33BAB">
        <w:rPr>
          <w:rFonts w:asciiTheme="majorHAnsi" w:eastAsia="Times New Roman" w:hAnsiTheme="majorHAnsi" w:cstheme="majorHAnsi"/>
          <w:sz w:val="24"/>
          <w:szCs w:val="24"/>
          <w:lang w:val="ro-MD"/>
        </w:rPr>
        <w:t xml:space="preserve"> pentru o bună guvernanță a proceselor realizate în cadrul Proiectului „Modernizarea </w:t>
      </w:r>
      <w:r w:rsidR="00065D92">
        <w:rPr>
          <w:rFonts w:asciiTheme="majorHAnsi" w:eastAsia="Times New Roman" w:hAnsiTheme="majorHAnsi" w:cstheme="majorHAnsi"/>
          <w:sz w:val="24"/>
          <w:szCs w:val="24"/>
          <w:lang w:val="ro-MD"/>
        </w:rPr>
        <w:t>s</w:t>
      </w:r>
      <w:r w:rsidR="007669EE" w:rsidRPr="00E33BAB">
        <w:rPr>
          <w:rFonts w:asciiTheme="majorHAnsi" w:eastAsia="Times New Roman" w:hAnsiTheme="majorHAnsi" w:cstheme="majorHAnsi"/>
          <w:sz w:val="24"/>
          <w:szCs w:val="24"/>
          <w:lang w:val="ro-MD"/>
        </w:rPr>
        <w:t xml:space="preserve">ectorului </w:t>
      </w:r>
      <w:r w:rsidR="00065D92">
        <w:rPr>
          <w:rFonts w:asciiTheme="majorHAnsi" w:eastAsia="Times New Roman" w:hAnsiTheme="majorHAnsi" w:cstheme="majorHAnsi"/>
          <w:sz w:val="24"/>
          <w:szCs w:val="24"/>
          <w:lang w:val="ro-MD"/>
        </w:rPr>
        <w:t>s</w:t>
      </w:r>
      <w:r w:rsidR="007669EE" w:rsidRPr="00E33BAB">
        <w:rPr>
          <w:rFonts w:asciiTheme="majorHAnsi" w:eastAsia="Times New Roman" w:hAnsiTheme="majorHAnsi" w:cstheme="majorHAnsi"/>
          <w:sz w:val="24"/>
          <w:szCs w:val="24"/>
          <w:lang w:val="ro-MD"/>
        </w:rPr>
        <w:t>ănătății în R</w:t>
      </w:r>
      <w:r w:rsidR="00065D92">
        <w:rPr>
          <w:rFonts w:asciiTheme="majorHAnsi" w:eastAsia="Times New Roman" w:hAnsiTheme="majorHAnsi" w:cstheme="majorHAnsi"/>
          <w:sz w:val="24"/>
          <w:szCs w:val="24"/>
          <w:lang w:val="ro-MD"/>
        </w:rPr>
        <w:t xml:space="preserve">epublica </w:t>
      </w:r>
      <w:r w:rsidR="007669EE" w:rsidRPr="00E33BAB">
        <w:rPr>
          <w:rFonts w:asciiTheme="majorHAnsi" w:eastAsia="Times New Roman" w:hAnsiTheme="majorHAnsi" w:cstheme="majorHAnsi"/>
          <w:sz w:val="24"/>
          <w:szCs w:val="24"/>
          <w:lang w:val="ro-MD"/>
        </w:rPr>
        <w:t>M</w:t>
      </w:r>
      <w:r w:rsidR="00065D92">
        <w:rPr>
          <w:rFonts w:asciiTheme="majorHAnsi" w:eastAsia="Times New Roman" w:hAnsiTheme="majorHAnsi" w:cstheme="majorHAnsi"/>
          <w:sz w:val="24"/>
          <w:szCs w:val="24"/>
          <w:lang w:val="ro-MD"/>
        </w:rPr>
        <w:t>oldova</w:t>
      </w:r>
      <w:r w:rsidR="007669EE" w:rsidRPr="00E33BAB">
        <w:rPr>
          <w:rFonts w:asciiTheme="majorHAnsi" w:eastAsia="Times New Roman" w:hAnsiTheme="majorHAnsi" w:cstheme="majorHAnsi"/>
          <w:sz w:val="24"/>
          <w:szCs w:val="24"/>
          <w:lang w:val="ro-MD"/>
        </w:rPr>
        <w:t>”.</w:t>
      </w:r>
    </w:p>
    <w:p w14:paraId="6FDE5F28" w14:textId="015180C6" w:rsidR="00B71AE3" w:rsidRPr="00E33BAB" w:rsidRDefault="00BF2898" w:rsidP="005E08F1">
      <w:pPr>
        <w:pStyle w:val="ListParagraph"/>
        <w:numPr>
          <w:ilvl w:val="1"/>
          <w:numId w:val="25"/>
        </w:numPr>
        <w:spacing w:after="0" w:line="276" w:lineRule="auto"/>
        <w:ind w:left="0" w:firstLine="0"/>
        <w:jc w:val="both"/>
        <w:outlineLvl w:val="1"/>
        <w:rPr>
          <w:rFonts w:asciiTheme="majorHAnsi" w:eastAsia="Times New Roman" w:hAnsiTheme="majorHAnsi" w:cstheme="majorHAnsi"/>
          <w:b/>
          <w:bCs/>
          <w:sz w:val="24"/>
          <w:szCs w:val="24"/>
          <w:lang w:val="ro-MD"/>
        </w:rPr>
      </w:pPr>
      <w:r w:rsidRPr="00E33BAB">
        <w:rPr>
          <w:rFonts w:asciiTheme="majorHAnsi" w:eastAsia="Times New Roman" w:hAnsiTheme="majorHAnsi" w:cstheme="majorHAnsi"/>
          <w:b/>
          <w:bCs/>
          <w:sz w:val="24"/>
          <w:szCs w:val="24"/>
          <w:lang w:val="ro-MD"/>
        </w:rPr>
        <w:t>R</w:t>
      </w:r>
      <w:r w:rsidR="00423651" w:rsidRPr="00E33BAB">
        <w:rPr>
          <w:rFonts w:asciiTheme="majorHAnsi" w:eastAsia="Times New Roman" w:hAnsiTheme="majorHAnsi" w:cstheme="majorHAnsi"/>
          <w:b/>
          <w:bCs/>
          <w:sz w:val="24"/>
          <w:szCs w:val="24"/>
          <w:lang w:val="ro-MD"/>
        </w:rPr>
        <w:t>ecomand</w:t>
      </w:r>
      <w:r w:rsidRPr="00E33BAB">
        <w:rPr>
          <w:rFonts w:asciiTheme="majorHAnsi" w:eastAsia="Times New Roman" w:hAnsiTheme="majorHAnsi" w:cstheme="majorHAnsi"/>
          <w:b/>
          <w:bCs/>
          <w:sz w:val="24"/>
          <w:szCs w:val="24"/>
          <w:lang w:val="ro-MD"/>
        </w:rPr>
        <w:t>area</w:t>
      </w:r>
      <w:r w:rsidR="00423651" w:rsidRPr="00E33BAB">
        <w:rPr>
          <w:rFonts w:asciiTheme="majorHAnsi" w:eastAsia="Times New Roman" w:hAnsiTheme="majorHAnsi" w:cstheme="majorHAnsi"/>
          <w:b/>
          <w:bCs/>
          <w:sz w:val="24"/>
          <w:szCs w:val="24"/>
          <w:lang w:val="ro-MD"/>
        </w:rPr>
        <w:t xml:space="preserve"> înaintat</w:t>
      </w:r>
      <w:r w:rsidRPr="00E33BAB">
        <w:rPr>
          <w:rFonts w:asciiTheme="majorHAnsi" w:eastAsia="Times New Roman" w:hAnsiTheme="majorHAnsi" w:cstheme="majorHAnsi"/>
          <w:b/>
          <w:bCs/>
          <w:sz w:val="24"/>
          <w:szCs w:val="24"/>
          <w:lang w:val="ro-MD"/>
        </w:rPr>
        <w:t>ă</w:t>
      </w:r>
      <w:r w:rsidR="00423651" w:rsidRPr="00E33BAB">
        <w:rPr>
          <w:rFonts w:asciiTheme="majorHAnsi" w:eastAsia="Times New Roman" w:hAnsiTheme="majorHAnsi" w:cstheme="majorHAnsi"/>
          <w:b/>
          <w:bCs/>
          <w:sz w:val="24"/>
          <w:szCs w:val="24"/>
          <w:lang w:val="ro-MD"/>
        </w:rPr>
        <w:t xml:space="preserve"> anterior nu a fost implementată, fapt c</w:t>
      </w:r>
      <w:r w:rsidR="00065D92">
        <w:rPr>
          <w:rFonts w:asciiTheme="majorHAnsi" w:eastAsia="Times New Roman" w:hAnsiTheme="majorHAnsi" w:cstheme="majorHAnsi"/>
          <w:b/>
          <w:bCs/>
          <w:sz w:val="24"/>
          <w:szCs w:val="24"/>
          <w:lang w:val="ro-MD"/>
        </w:rPr>
        <w:t>ar</w:t>
      </w:r>
      <w:r w:rsidR="006B65BB" w:rsidRPr="00E33BAB">
        <w:rPr>
          <w:rFonts w:asciiTheme="majorHAnsi" w:eastAsia="Times New Roman" w:hAnsiTheme="majorHAnsi" w:cstheme="majorHAnsi"/>
          <w:b/>
          <w:bCs/>
          <w:sz w:val="24"/>
          <w:szCs w:val="24"/>
          <w:lang w:val="ro-MD"/>
        </w:rPr>
        <w:t>e</w:t>
      </w:r>
      <w:r w:rsidR="00423651" w:rsidRPr="00E33BAB">
        <w:rPr>
          <w:rFonts w:asciiTheme="majorHAnsi" w:eastAsia="Times New Roman" w:hAnsiTheme="majorHAnsi" w:cstheme="majorHAnsi"/>
          <w:b/>
          <w:bCs/>
          <w:sz w:val="24"/>
          <w:szCs w:val="24"/>
          <w:lang w:val="ro-MD"/>
        </w:rPr>
        <w:t xml:space="preserve"> a </w:t>
      </w:r>
      <w:r w:rsidR="006B65BB" w:rsidRPr="00E33BAB">
        <w:rPr>
          <w:rFonts w:asciiTheme="majorHAnsi" w:eastAsia="Times New Roman" w:hAnsiTheme="majorHAnsi" w:cstheme="majorHAnsi"/>
          <w:b/>
          <w:bCs/>
          <w:sz w:val="24"/>
          <w:szCs w:val="24"/>
          <w:lang w:val="ro-MD"/>
        </w:rPr>
        <w:t>cauzat ne</w:t>
      </w:r>
      <w:r w:rsidR="006B65BB" w:rsidRPr="00E33BAB">
        <w:rPr>
          <w:rFonts w:asciiTheme="majorHAnsi" w:hAnsiTheme="majorHAnsi" w:cstheme="majorHAnsi"/>
          <w:b/>
          <w:sz w:val="24"/>
          <w:szCs w:val="24"/>
          <w:lang w:val="ro-MD"/>
        </w:rPr>
        <w:t xml:space="preserve">debursarea mijloacelor financiare </w:t>
      </w:r>
      <w:r w:rsidRPr="00E33BAB">
        <w:rPr>
          <w:rFonts w:asciiTheme="majorHAnsi" w:hAnsiTheme="majorHAnsi" w:cstheme="majorHAnsi"/>
          <w:b/>
          <w:sz w:val="24"/>
          <w:szCs w:val="24"/>
          <w:lang w:val="ro-MD"/>
        </w:rPr>
        <w:t>pentru atingerea indicat</w:t>
      </w:r>
      <w:r w:rsidR="0022538A" w:rsidRPr="00E33BAB">
        <w:rPr>
          <w:rFonts w:asciiTheme="majorHAnsi" w:hAnsiTheme="majorHAnsi" w:cstheme="majorHAnsi"/>
          <w:b/>
          <w:sz w:val="24"/>
          <w:szCs w:val="24"/>
          <w:lang w:val="ro-MD"/>
        </w:rPr>
        <w:t>o</w:t>
      </w:r>
      <w:r w:rsidRPr="00E33BAB">
        <w:rPr>
          <w:rFonts w:asciiTheme="majorHAnsi" w:hAnsiTheme="majorHAnsi" w:cstheme="majorHAnsi"/>
          <w:b/>
          <w:sz w:val="24"/>
          <w:szCs w:val="24"/>
          <w:lang w:val="ro-MD"/>
        </w:rPr>
        <w:t>rilor</w:t>
      </w:r>
      <w:r w:rsidR="00065D92">
        <w:rPr>
          <w:rFonts w:asciiTheme="majorHAnsi" w:hAnsiTheme="majorHAnsi" w:cstheme="majorHAnsi"/>
          <w:b/>
          <w:sz w:val="24"/>
          <w:szCs w:val="24"/>
          <w:lang w:val="ro-MD"/>
        </w:rPr>
        <w:t>.</w:t>
      </w:r>
    </w:p>
    <w:p w14:paraId="128A79BF" w14:textId="2929DD49" w:rsidR="00B71AE3" w:rsidRPr="00C315EB" w:rsidRDefault="00B11D6B" w:rsidP="00BF2898">
      <w:pPr>
        <w:jc w:val="both"/>
        <w:rPr>
          <w:rFonts w:asciiTheme="majorHAnsi" w:hAnsiTheme="majorHAnsi" w:cstheme="majorHAnsi"/>
          <w:sz w:val="24"/>
          <w:szCs w:val="24"/>
          <w:lang w:val="ro-MD"/>
        </w:rPr>
      </w:pPr>
      <w:r w:rsidRPr="00E33BAB">
        <w:rPr>
          <w:rFonts w:asciiTheme="majorHAnsi" w:hAnsiTheme="majorHAnsi" w:cs="Calibri Light"/>
          <w:iCs/>
          <w:sz w:val="24"/>
          <w:szCs w:val="24"/>
          <w:lang w:val="ro-MD"/>
        </w:rPr>
        <w:t xml:space="preserve">Analiza implementării recomandării pentru </w:t>
      </w:r>
      <w:r w:rsidRPr="00E33BAB">
        <w:rPr>
          <w:rFonts w:asciiTheme="majorHAnsi" w:hAnsiTheme="majorHAnsi" w:cstheme="majorHAnsi"/>
          <w:sz w:val="24"/>
          <w:szCs w:val="24"/>
          <w:lang w:val="ro-MD"/>
        </w:rPr>
        <w:t xml:space="preserve">monitorizarea atingerii indicatorilor în cadrul Proiectului </w:t>
      </w:r>
      <w:r w:rsidR="00F04628">
        <w:rPr>
          <w:rFonts w:asciiTheme="majorHAnsi" w:hAnsiTheme="majorHAnsi" w:cstheme="majorHAnsi"/>
          <w:sz w:val="24"/>
          <w:szCs w:val="24"/>
          <w:lang w:val="ro-MD"/>
        </w:rPr>
        <w:t>„M</w:t>
      </w:r>
      <w:r w:rsidRPr="00E33BAB">
        <w:rPr>
          <w:rFonts w:asciiTheme="majorHAnsi" w:hAnsiTheme="majorHAnsi" w:cstheme="majorHAnsi"/>
          <w:sz w:val="24"/>
          <w:szCs w:val="24"/>
          <w:lang w:val="ro-MD"/>
        </w:rPr>
        <w:t>odernizarea sectorului sănătății</w:t>
      </w:r>
      <w:r w:rsidR="00F04628">
        <w:rPr>
          <w:rFonts w:asciiTheme="majorHAnsi" w:hAnsiTheme="majorHAnsi" w:cstheme="majorHAnsi"/>
          <w:sz w:val="24"/>
          <w:szCs w:val="24"/>
          <w:lang w:val="ro-MD"/>
        </w:rPr>
        <w:t xml:space="preserve"> în Republica Moldova”</w:t>
      </w:r>
      <w:r w:rsidRPr="00E33BAB">
        <w:rPr>
          <w:rFonts w:asciiTheme="majorHAnsi" w:hAnsiTheme="majorHAnsi" w:cs="Calibri Light"/>
          <w:iCs/>
          <w:sz w:val="24"/>
          <w:szCs w:val="24"/>
          <w:lang w:val="ro-MD"/>
        </w:rPr>
        <w:t xml:space="preserve"> atestă </w:t>
      </w:r>
      <w:r w:rsidR="00BF2898" w:rsidRPr="00E33BAB">
        <w:rPr>
          <w:rFonts w:asciiTheme="majorHAnsi" w:hAnsiTheme="majorHAnsi" w:cs="Calibri Light"/>
          <w:iCs/>
          <w:sz w:val="24"/>
          <w:szCs w:val="24"/>
          <w:lang w:val="ro-MD"/>
        </w:rPr>
        <w:t xml:space="preserve">un nivel redus de implementare. </w:t>
      </w:r>
      <w:r w:rsidR="00BF2898" w:rsidRPr="00C315EB">
        <w:rPr>
          <w:rFonts w:asciiTheme="majorHAnsi" w:hAnsiTheme="majorHAnsi" w:cs="Calibri Light"/>
          <w:iCs/>
          <w:sz w:val="24"/>
          <w:szCs w:val="24"/>
          <w:lang w:val="ro-MD"/>
        </w:rPr>
        <w:t xml:space="preserve">Neimplementarea recomandării menține în continuare situațiile incerte în aspectul </w:t>
      </w:r>
      <w:r w:rsidR="00BF2898" w:rsidRPr="00C315EB">
        <w:rPr>
          <w:rFonts w:asciiTheme="majorHAnsi" w:hAnsiTheme="majorHAnsi" w:cstheme="majorHAnsi"/>
          <w:sz w:val="24"/>
          <w:szCs w:val="24"/>
          <w:lang w:val="ro-MD"/>
        </w:rPr>
        <w:t>atingerii indicatorilor ILD 1, 2, 7 și 9</w:t>
      </w:r>
      <w:r w:rsidR="0099637D" w:rsidRPr="00C315EB">
        <w:rPr>
          <w:rStyle w:val="FootnoteReference"/>
          <w:rFonts w:asciiTheme="majorHAnsi" w:hAnsiTheme="majorHAnsi" w:cstheme="majorHAnsi"/>
          <w:sz w:val="24"/>
          <w:szCs w:val="24"/>
          <w:lang w:val="ro-MD"/>
        </w:rPr>
        <w:footnoteReference w:id="11"/>
      </w:r>
      <w:r w:rsidR="00BF2898" w:rsidRPr="00C315EB">
        <w:rPr>
          <w:rFonts w:asciiTheme="majorHAnsi" w:hAnsiTheme="majorHAnsi" w:cstheme="majorHAnsi"/>
          <w:sz w:val="24"/>
          <w:szCs w:val="24"/>
          <w:lang w:val="ro-MD"/>
        </w:rPr>
        <w:t xml:space="preserve">, ceea ce ar fi servit </w:t>
      </w:r>
      <w:r w:rsidR="00F04628" w:rsidRPr="00C315EB">
        <w:rPr>
          <w:rFonts w:asciiTheme="majorHAnsi" w:hAnsiTheme="majorHAnsi" w:cstheme="majorHAnsi"/>
          <w:sz w:val="24"/>
          <w:szCs w:val="24"/>
          <w:lang w:val="ro-MD"/>
        </w:rPr>
        <w:t xml:space="preserve">ca </w:t>
      </w:r>
      <w:r w:rsidR="00BF2898" w:rsidRPr="00C315EB">
        <w:rPr>
          <w:rFonts w:asciiTheme="majorHAnsi" w:hAnsiTheme="majorHAnsi" w:cstheme="majorHAnsi"/>
          <w:sz w:val="24"/>
          <w:szCs w:val="24"/>
          <w:lang w:val="ro-MD"/>
        </w:rPr>
        <w:t>temei pentru debursarea mijloacelor financiare. Prin urmare, aceast</w:t>
      </w:r>
      <w:r w:rsidR="00F04628" w:rsidRPr="00C315EB">
        <w:rPr>
          <w:rFonts w:asciiTheme="majorHAnsi" w:hAnsiTheme="majorHAnsi" w:cstheme="majorHAnsi"/>
          <w:sz w:val="24"/>
          <w:szCs w:val="24"/>
          <w:lang w:val="ro-MD"/>
        </w:rPr>
        <w:t>ă recomandare</w:t>
      </w:r>
      <w:r w:rsidR="00BF2898" w:rsidRPr="00C315EB">
        <w:rPr>
          <w:rFonts w:asciiTheme="majorHAnsi" w:hAnsiTheme="majorHAnsi" w:cstheme="majorHAnsi"/>
          <w:sz w:val="24"/>
          <w:szCs w:val="24"/>
          <w:lang w:val="ro-MD"/>
        </w:rPr>
        <w:t xml:space="preserve"> a fost reiterată.</w:t>
      </w:r>
    </w:p>
    <w:p w14:paraId="7F752DEB" w14:textId="461B0ABE" w:rsidR="00B71AE3" w:rsidRPr="00C315EB" w:rsidRDefault="0011190C" w:rsidP="005E08F1">
      <w:pPr>
        <w:pStyle w:val="ListParagraph"/>
        <w:numPr>
          <w:ilvl w:val="1"/>
          <w:numId w:val="25"/>
        </w:numPr>
        <w:spacing w:after="0" w:line="276" w:lineRule="auto"/>
        <w:ind w:left="0" w:firstLine="0"/>
        <w:jc w:val="both"/>
        <w:outlineLvl w:val="1"/>
        <w:rPr>
          <w:rFonts w:asciiTheme="majorHAnsi" w:eastAsia="Times New Roman" w:hAnsiTheme="majorHAnsi" w:cstheme="majorHAnsi"/>
          <w:b/>
          <w:bCs/>
          <w:sz w:val="24"/>
          <w:szCs w:val="24"/>
          <w:lang w:val="ro-MD"/>
        </w:rPr>
      </w:pPr>
      <w:r w:rsidRPr="00C315EB">
        <w:rPr>
          <w:rFonts w:asciiTheme="majorHAnsi" w:hAnsiTheme="majorHAnsi" w:cstheme="majorHAnsi"/>
          <w:b/>
          <w:sz w:val="24"/>
          <w:szCs w:val="24"/>
          <w:lang w:val="ro-MD"/>
        </w:rPr>
        <w:t>C</w:t>
      </w:r>
      <w:r w:rsidR="00B00A95" w:rsidRPr="00C315EB">
        <w:rPr>
          <w:rFonts w:asciiTheme="majorHAnsi" w:hAnsiTheme="majorHAnsi" w:cstheme="majorHAnsi"/>
          <w:b/>
          <w:sz w:val="24"/>
          <w:szCs w:val="24"/>
          <w:lang w:val="ro-MD"/>
        </w:rPr>
        <w:t>heltuielile</w:t>
      </w:r>
      <w:r w:rsidR="00B71AE3" w:rsidRPr="00C315EB">
        <w:rPr>
          <w:rFonts w:asciiTheme="majorHAnsi" w:hAnsiTheme="majorHAnsi" w:cstheme="majorHAnsi"/>
          <w:b/>
          <w:sz w:val="24"/>
          <w:szCs w:val="24"/>
          <w:lang w:val="ro-MD"/>
        </w:rPr>
        <w:t xml:space="preserve"> suportate din sursele Proiectului de Asistență Tehnică</w:t>
      </w:r>
      <w:r w:rsidR="00B00A95" w:rsidRPr="00C315EB">
        <w:rPr>
          <w:rFonts w:asciiTheme="majorHAnsi" w:hAnsiTheme="majorHAnsi" w:cstheme="majorHAnsi"/>
          <w:b/>
          <w:sz w:val="24"/>
          <w:szCs w:val="24"/>
          <w:lang w:val="ro-MD"/>
        </w:rPr>
        <w:t xml:space="preserve"> urmează a fi orientate spre atingerea principiului de economicitate</w:t>
      </w:r>
      <w:r w:rsidR="00B71AE3" w:rsidRPr="00C315EB">
        <w:rPr>
          <w:rFonts w:asciiTheme="majorHAnsi" w:hAnsiTheme="majorHAnsi" w:cstheme="majorHAnsi"/>
          <w:b/>
          <w:sz w:val="24"/>
          <w:szCs w:val="24"/>
          <w:lang w:val="ro-MD"/>
        </w:rPr>
        <w:t xml:space="preserve"> </w:t>
      </w:r>
      <w:r w:rsidR="00F04628" w:rsidRPr="00C315EB">
        <w:rPr>
          <w:rFonts w:asciiTheme="majorHAnsi" w:hAnsiTheme="majorHAnsi" w:cstheme="majorHAnsi"/>
          <w:b/>
          <w:sz w:val="24"/>
          <w:szCs w:val="24"/>
          <w:lang w:val="ro-MD"/>
        </w:rPr>
        <w:t>.</w:t>
      </w:r>
    </w:p>
    <w:p w14:paraId="4F809B20" w14:textId="2717854D" w:rsidR="00705148" w:rsidRPr="00C315EB" w:rsidRDefault="00B079CB" w:rsidP="00C03806">
      <w:pPr>
        <w:spacing w:after="0" w:line="276" w:lineRule="auto"/>
        <w:jc w:val="both"/>
        <w:rPr>
          <w:rFonts w:asciiTheme="majorHAnsi" w:eastAsia="Times New Roman" w:hAnsiTheme="majorHAnsi" w:cstheme="majorHAnsi"/>
          <w:bCs/>
          <w:sz w:val="24"/>
          <w:szCs w:val="24"/>
          <w:lang w:val="ro-MD"/>
        </w:rPr>
      </w:pPr>
      <w:r w:rsidRPr="00C315EB">
        <w:rPr>
          <w:rFonts w:asciiTheme="majorHAnsi" w:eastAsia="Times New Roman" w:hAnsiTheme="majorHAnsi" w:cstheme="majorHAnsi"/>
          <w:bCs/>
          <w:sz w:val="24"/>
          <w:szCs w:val="24"/>
          <w:lang w:val="ro-MD"/>
        </w:rPr>
        <w:t>Auditul constată că î</w:t>
      </w:r>
      <w:r w:rsidR="00B71AE3" w:rsidRPr="00C315EB">
        <w:rPr>
          <w:rFonts w:asciiTheme="majorHAnsi" w:eastAsia="Times New Roman" w:hAnsiTheme="majorHAnsi" w:cstheme="majorHAnsi"/>
          <w:bCs/>
          <w:sz w:val="24"/>
          <w:szCs w:val="24"/>
          <w:lang w:val="ro-MD"/>
        </w:rPr>
        <w:t>n unele rapoarte de activitate ale consultanților</w:t>
      </w:r>
      <w:r w:rsidR="00B71AE3" w:rsidRPr="00C315EB">
        <w:rPr>
          <w:rStyle w:val="FootnoteReference"/>
          <w:rFonts w:asciiTheme="majorHAnsi" w:eastAsia="Times New Roman" w:hAnsiTheme="majorHAnsi" w:cstheme="majorHAnsi"/>
          <w:bCs/>
          <w:sz w:val="24"/>
          <w:szCs w:val="24"/>
          <w:lang w:val="ro-MD"/>
        </w:rPr>
        <w:footnoteReference w:id="12"/>
      </w:r>
      <w:r w:rsidR="00B71AE3" w:rsidRPr="00C315EB">
        <w:rPr>
          <w:rFonts w:asciiTheme="majorHAnsi" w:eastAsia="Times New Roman" w:hAnsiTheme="majorHAnsi" w:cstheme="majorHAnsi"/>
          <w:bCs/>
          <w:sz w:val="24"/>
          <w:szCs w:val="24"/>
          <w:lang w:val="ro-MD"/>
        </w:rPr>
        <w:t xml:space="preserve"> au fost incluse activități ce țin de alte domenii decât Proiectul „Modernizarea </w:t>
      </w:r>
      <w:r w:rsidR="00F04628" w:rsidRPr="00C315EB">
        <w:rPr>
          <w:rFonts w:asciiTheme="majorHAnsi" w:eastAsia="Times New Roman" w:hAnsiTheme="majorHAnsi" w:cstheme="majorHAnsi"/>
          <w:bCs/>
          <w:sz w:val="24"/>
          <w:szCs w:val="24"/>
          <w:lang w:val="ro-MD"/>
        </w:rPr>
        <w:t>s</w:t>
      </w:r>
      <w:r w:rsidR="00B71AE3" w:rsidRPr="00C315EB">
        <w:rPr>
          <w:rFonts w:asciiTheme="majorHAnsi" w:eastAsia="Times New Roman" w:hAnsiTheme="majorHAnsi" w:cstheme="majorHAnsi"/>
          <w:bCs/>
          <w:sz w:val="24"/>
          <w:szCs w:val="24"/>
          <w:lang w:val="ro-MD"/>
        </w:rPr>
        <w:t xml:space="preserve">ectorului </w:t>
      </w:r>
      <w:r w:rsidR="00F04628" w:rsidRPr="00C315EB">
        <w:rPr>
          <w:rFonts w:asciiTheme="majorHAnsi" w:eastAsia="Times New Roman" w:hAnsiTheme="majorHAnsi" w:cstheme="majorHAnsi"/>
          <w:bCs/>
          <w:sz w:val="24"/>
          <w:szCs w:val="24"/>
          <w:lang w:val="ro-MD"/>
        </w:rPr>
        <w:t>s</w:t>
      </w:r>
      <w:r w:rsidR="00B71AE3" w:rsidRPr="00C315EB">
        <w:rPr>
          <w:rFonts w:asciiTheme="majorHAnsi" w:eastAsia="Times New Roman" w:hAnsiTheme="majorHAnsi" w:cstheme="majorHAnsi"/>
          <w:bCs/>
          <w:sz w:val="24"/>
          <w:szCs w:val="24"/>
          <w:lang w:val="ro-MD"/>
        </w:rPr>
        <w:t>ănătății în R</w:t>
      </w:r>
      <w:r w:rsidR="00F04628" w:rsidRPr="00C315EB">
        <w:rPr>
          <w:rFonts w:asciiTheme="majorHAnsi" w:eastAsia="Times New Roman" w:hAnsiTheme="majorHAnsi" w:cstheme="majorHAnsi"/>
          <w:bCs/>
          <w:sz w:val="24"/>
          <w:szCs w:val="24"/>
          <w:lang w:val="ro-MD"/>
        </w:rPr>
        <w:t xml:space="preserve">epublica </w:t>
      </w:r>
      <w:r w:rsidR="00B71AE3" w:rsidRPr="00C315EB">
        <w:rPr>
          <w:rFonts w:asciiTheme="majorHAnsi" w:eastAsia="Times New Roman" w:hAnsiTheme="majorHAnsi" w:cstheme="majorHAnsi"/>
          <w:bCs/>
          <w:sz w:val="24"/>
          <w:szCs w:val="24"/>
          <w:lang w:val="ro-MD"/>
        </w:rPr>
        <w:t>M</w:t>
      </w:r>
      <w:r w:rsidR="00F04628" w:rsidRPr="00C315EB">
        <w:rPr>
          <w:rFonts w:asciiTheme="majorHAnsi" w:eastAsia="Times New Roman" w:hAnsiTheme="majorHAnsi" w:cstheme="majorHAnsi"/>
          <w:bCs/>
          <w:sz w:val="24"/>
          <w:szCs w:val="24"/>
          <w:lang w:val="ro-MD"/>
        </w:rPr>
        <w:t>oldova</w:t>
      </w:r>
      <w:r w:rsidR="00B71AE3" w:rsidRPr="00C315EB">
        <w:rPr>
          <w:rFonts w:asciiTheme="majorHAnsi" w:eastAsia="Times New Roman" w:hAnsiTheme="majorHAnsi" w:cstheme="majorHAnsi"/>
          <w:bCs/>
          <w:sz w:val="24"/>
          <w:szCs w:val="24"/>
          <w:lang w:val="ro-MD"/>
        </w:rPr>
        <w:t xml:space="preserve">”, </w:t>
      </w:r>
      <w:r w:rsidR="00F316D2" w:rsidRPr="00C315EB">
        <w:rPr>
          <w:rFonts w:asciiTheme="majorHAnsi" w:eastAsia="Times New Roman" w:hAnsiTheme="majorHAnsi" w:cstheme="majorHAnsi"/>
          <w:bCs/>
          <w:sz w:val="24"/>
          <w:szCs w:val="24"/>
          <w:lang w:val="ro-MD"/>
        </w:rPr>
        <w:t>în special</w:t>
      </w:r>
      <w:r w:rsidR="00F04628" w:rsidRPr="00C315EB">
        <w:rPr>
          <w:rFonts w:asciiTheme="majorHAnsi" w:eastAsia="Times New Roman" w:hAnsiTheme="majorHAnsi" w:cstheme="majorHAnsi"/>
          <w:bCs/>
          <w:sz w:val="24"/>
          <w:szCs w:val="24"/>
          <w:lang w:val="ro-MD"/>
        </w:rPr>
        <w:t>,</w:t>
      </w:r>
      <w:r w:rsidR="00F316D2" w:rsidRPr="00C315EB">
        <w:rPr>
          <w:rFonts w:asciiTheme="majorHAnsi" w:eastAsia="Times New Roman" w:hAnsiTheme="majorHAnsi" w:cstheme="majorHAnsi"/>
          <w:bCs/>
          <w:sz w:val="24"/>
          <w:szCs w:val="24"/>
          <w:lang w:val="ro-MD"/>
        </w:rPr>
        <w:t xml:space="preserve"> </w:t>
      </w:r>
      <w:r w:rsidR="00F04628" w:rsidRPr="00C315EB">
        <w:rPr>
          <w:rFonts w:asciiTheme="majorHAnsi" w:eastAsia="Times New Roman" w:hAnsiTheme="majorHAnsi" w:cstheme="majorHAnsi"/>
          <w:bCs/>
          <w:sz w:val="24"/>
          <w:szCs w:val="24"/>
          <w:lang w:val="ro-MD"/>
        </w:rPr>
        <w:t>aferente</w:t>
      </w:r>
      <w:r w:rsidR="00A01F53" w:rsidRPr="00C315EB">
        <w:rPr>
          <w:rFonts w:asciiTheme="majorHAnsi" w:eastAsia="Times New Roman" w:hAnsiTheme="majorHAnsi" w:cstheme="majorHAnsi"/>
          <w:bCs/>
          <w:sz w:val="24"/>
          <w:szCs w:val="24"/>
          <w:lang w:val="ro-MD"/>
        </w:rPr>
        <w:t xml:space="preserve"> Proiectul</w:t>
      </w:r>
      <w:r w:rsidR="00F04628" w:rsidRPr="00C315EB">
        <w:rPr>
          <w:rFonts w:asciiTheme="majorHAnsi" w:eastAsia="Times New Roman" w:hAnsiTheme="majorHAnsi" w:cstheme="majorHAnsi"/>
          <w:bCs/>
          <w:sz w:val="24"/>
          <w:szCs w:val="24"/>
          <w:lang w:val="ro-MD"/>
        </w:rPr>
        <w:t>ui</w:t>
      </w:r>
      <w:r w:rsidR="00A01F53" w:rsidRPr="00C315EB">
        <w:rPr>
          <w:rFonts w:asciiTheme="majorHAnsi" w:eastAsia="Times New Roman" w:hAnsiTheme="majorHAnsi" w:cstheme="majorHAnsi"/>
          <w:bCs/>
          <w:sz w:val="24"/>
          <w:szCs w:val="24"/>
          <w:lang w:val="ro-MD"/>
        </w:rPr>
        <w:t xml:space="preserve"> „Răspuns</w:t>
      </w:r>
      <w:r w:rsidR="00B71AE3" w:rsidRPr="00C315EB">
        <w:rPr>
          <w:rFonts w:asciiTheme="majorHAnsi" w:eastAsia="Times New Roman" w:hAnsiTheme="majorHAnsi" w:cstheme="majorHAnsi"/>
          <w:bCs/>
          <w:sz w:val="24"/>
          <w:szCs w:val="24"/>
          <w:lang w:val="ro-MD"/>
        </w:rPr>
        <w:t xml:space="preserve"> de Urgență COVID-19 în RM”. </w:t>
      </w:r>
      <w:r w:rsidR="00360071" w:rsidRPr="00C315EB">
        <w:rPr>
          <w:rFonts w:asciiTheme="majorHAnsi" w:eastAsia="Times New Roman" w:hAnsiTheme="majorHAnsi" w:cstheme="majorHAnsi"/>
          <w:bCs/>
          <w:sz w:val="24"/>
          <w:szCs w:val="24"/>
          <w:lang w:val="ro-MD"/>
        </w:rPr>
        <w:t xml:space="preserve">Astfel, activitățile menționate </w:t>
      </w:r>
      <w:r w:rsidR="00F04628" w:rsidRPr="00C315EB">
        <w:rPr>
          <w:rFonts w:asciiTheme="majorHAnsi" w:eastAsia="Times New Roman" w:hAnsiTheme="majorHAnsi" w:cstheme="majorHAnsi"/>
          <w:bCs/>
          <w:sz w:val="24"/>
          <w:szCs w:val="24"/>
          <w:lang w:val="ro-MD"/>
        </w:rPr>
        <w:t>s-</w:t>
      </w:r>
      <w:r w:rsidR="00360071" w:rsidRPr="00C315EB">
        <w:rPr>
          <w:rFonts w:asciiTheme="majorHAnsi" w:eastAsia="Times New Roman" w:hAnsiTheme="majorHAnsi" w:cstheme="majorHAnsi"/>
          <w:bCs/>
          <w:sz w:val="24"/>
          <w:szCs w:val="24"/>
          <w:lang w:val="ro-MD"/>
        </w:rPr>
        <w:t xml:space="preserve">au </w:t>
      </w:r>
      <w:r w:rsidR="00F04628" w:rsidRPr="00C315EB">
        <w:rPr>
          <w:rFonts w:asciiTheme="majorHAnsi" w:eastAsia="Times New Roman" w:hAnsiTheme="majorHAnsi" w:cstheme="majorHAnsi"/>
          <w:bCs/>
          <w:sz w:val="24"/>
          <w:szCs w:val="24"/>
          <w:lang w:val="ro-MD"/>
        </w:rPr>
        <w:t xml:space="preserve">realizat </w:t>
      </w:r>
      <w:r w:rsidR="00360071" w:rsidRPr="00C315EB">
        <w:rPr>
          <w:rFonts w:asciiTheme="majorHAnsi" w:eastAsia="Times New Roman" w:hAnsiTheme="majorHAnsi" w:cstheme="majorHAnsi"/>
          <w:bCs/>
          <w:sz w:val="24"/>
          <w:szCs w:val="24"/>
          <w:lang w:val="ro-MD"/>
        </w:rPr>
        <w:t>în contextul apariției pandemiei COV</w:t>
      </w:r>
      <w:r w:rsidR="00F04628" w:rsidRPr="00C315EB">
        <w:rPr>
          <w:rFonts w:asciiTheme="majorHAnsi" w:eastAsia="Times New Roman" w:hAnsiTheme="majorHAnsi" w:cstheme="majorHAnsi"/>
          <w:bCs/>
          <w:sz w:val="24"/>
          <w:szCs w:val="24"/>
          <w:lang w:val="ro-MD"/>
        </w:rPr>
        <w:t>I</w:t>
      </w:r>
      <w:r w:rsidR="00360071" w:rsidRPr="00C315EB">
        <w:rPr>
          <w:rFonts w:asciiTheme="majorHAnsi" w:eastAsia="Times New Roman" w:hAnsiTheme="majorHAnsi" w:cstheme="majorHAnsi"/>
          <w:bCs/>
          <w:sz w:val="24"/>
          <w:szCs w:val="24"/>
          <w:lang w:val="ro-MD"/>
        </w:rPr>
        <w:t>D-19</w:t>
      </w:r>
      <w:r w:rsidR="00360071" w:rsidRPr="00DB4C2E">
        <w:rPr>
          <w:rFonts w:asciiTheme="majorHAnsi" w:eastAsia="Times New Roman" w:hAnsiTheme="majorHAnsi" w:cstheme="majorHAnsi"/>
          <w:bCs/>
          <w:sz w:val="24"/>
          <w:szCs w:val="24"/>
          <w:lang w:val="ro-MD"/>
        </w:rPr>
        <w:t xml:space="preserve">, iar odată cu inițierea procedurilor de negociere și pregătire a </w:t>
      </w:r>
      <w:r w:rsidR="00360071" w:rsidRPr="00C315EB">
        <w:rPr>
          <w:rFonts w:asciiTheme="majorHAnsi" w:eastAsia="Times New Roman" w:hAnsiTheme="majorHAnsi" w:cstheme="majorHAnsi"/>
          <w:bCs/>
          <w:sz w:val="24"/>
          <w:szCs w:val="24"/>
          <w:lang w:val="ro-MD"/>
        </w:rPr>
        <w:t xml:space="preserve">pachetului de documente necesare pentru semnarea Acordului de Finanțare privind Proiectul „Răspuns de Urgență la COVID 19" și ratificarea acestuia, consultanții menționați au oferit suport suplimentar la activitățile prestate în </w:t>
      </w:r>
      <w:r w:rsidR="00F04628" w:rsidRPr="00C315EB">
        <w:rPr>
          <w:rFonts w:asciiTheme="majorHAnsi" w:eastAsia="Times New Roman" w:hAnsiTheme="majorHAnsi" w:cstheme="majorHAnsi"/>
          <w:bCs/>
          <w:sz w:val="24"/>
          <w:szCs w:val="24"/>
          <w:lang w:val="ro-MD"/>
        </w:rPr>
        <w:t xml:space="preserve">cadrul </w:t>
      </w:r>
      <w:r w:rsidR="00360071" w:rsidRPr="00C315EB">
        <w:rPr>
          <w:rFonts w:asciiTheme="majorHAnsi" w:eastAsia="Times New Roman" w:hAnsiTheme="majorHAnsi" w:cstheme="majorHAnsi"/>
          <w:bCs/>
          <w:sz w:val="24"/>
          <w:szCs w:val="24"/>
          <w:lang w:val="ro-MD"/>
        </w:rPr>
        <w:t>Proiectul</w:t>
      </w:r>
      <w:r w:rsidR="00F04628" w:rsidRPr="00C315EB">
        <w:rPr>
          <w:rFonts w:asciiTheme="majorHAnsi" w:eastAsia="Times New Roman" w:hAnsiTheme="majorHAnsi" w:cstheme="majorHAnsi"/>
          <w:bCs/>
          <w:sz w:val="24"/>
          <w:szCs w:val="24"/>
          <w:lang w:val="ro-MD"/>
        </w:rPr>
        <w:t>ui</w:t>
      </w:r>
      <w:r w:rsidR="00360071" w:rsidRPr="00C315EB">
        <w:rPr>
          <w:rFonts w:asciiTheme="majorHAnsi" w:eastAsia="Times New Roman" w:hAnsiTheme="majorHAnsi" w:cstheme="majorHAnsi"/>
          <w:bCs/>
          <w:sz w:val="24"/>
          <w:szCs w:val="24"/>
          <w:lang w:val="ro-MD"/>
        </w:rPr>
        <w:t xml:space="preserve"> </w:t>
      </w:r>
      <w:r w:rsidR="00F04628" w:rsidRPr="00C315EB">
        <w:rPr>
          <w:rFonts w:asciiTheme="majorHAnsi" w:eastAsia="Times New Roman" w:hAnsiTheme="majorHAnsi" w:cstheme="majorHAnsi"/>
          <w:bCs/>
          <w:sz w:val="24"/>
          <w:szCs w:val="24"/>
          <w:lang w:val="ro-MD"/>
        </w:rPr>
        <w:t>„</w:t>
      </w:r>
      <w:r w:rsidR="00360071" w:rsidRPr="00C315EB">
        <w:rPr>
          <w:rFonts w:asciiTheme="majorHAnsi" w:eastAsia="Times New Roman" w:hAnsiTheme="majorHAnsi" w:cstheme="majorHAnsi"/>
          <w:bCs/>
          <w:sz w:val="24"/>
          <w:szCs w:val="24"/>
          <w:lang w:val="ro-MD"/>
        </w:rPr>
        <w:t>Modernizarea sectorului sănătății în R</w:t>
      </w:r>
      <w:r w:rsidR="00F04628" w:rsidRPr="00C315EB">
        <w:rPr>
          <w:rFonts w:asciiTheme="majorHAnsi" w:eastAsia="Times New Roman" w:hAnsiTheme="majorHAnsi" w:cstheme="majorHAnsi"/>
          <w:bCs/>
          <w:sz w:val="24"/>
          <w:szCs w:val="24"/>
          <w:lang w:val="ro-MD"/>
        </w:rPr>
        <w:t xml:space="preserve">epublica </w:t>
      </w:r>
      <w:r w:rsidR="00360071" w:rsidRPr="00C315EB">
        <w:rPr>
          <w:rFonts w:asciiTheme="majorHAnsi" w:eastAsia="Times New Roman" w:hAnsiTheme="majorHAnsi" w:cstheme="majorHAnsi"/>
          <w:bCs/>
          <w:sz w:val="24"/>
          <w:szCs w:val="24"/>
          <w:lang w:val="ro-MD"/>
        </w:rPr>
        <w:t>M</w:t>
      </w:r>
      <w:r w:rsidR="00F04628" w:rsidRPr="00C315EB">
        <w:rPr>
          <w:rFonts w:asciiTheme="majorHAnsi" w:eastAsia="Times New Roman" w:hAnsiTheme="majorHAnsi" w:cstheme="majorHAnsi"/>
          <w:bCs/>
          <w:sz w:val="24"/>
          <w:szCs w:val="24"/>
          <w:lang w:val="ro-MD"/>
        </w:rPr>
        <w:t>oldova”</w:t>
      </w:r>
      <w:r w:rsidR="00360071" w:rsidRPr="00C315EB">
        <w:rPr>
          <w:rFonts w:asciiTheme="majorHAnsi" w:eastAsia="Times New Roman" w:hAnsiTheme="majorHAnsi" w:cstheme="majorHAnsi"/>
          <w:bCs/>
          <w:sz w:val="24"/>
          <w:szCs w:val="24"/>
          <w:lang w:val="ro-MD"/>
        </w:rPr>
        <w:t>.</w:t>
      </w:r>
    </w:p>
    <w:p w14:paraId="40242232" w14:textId="39CC9CE1" w:rsidR="00360071" w:rsidRPr="00C315EB" w:rsidRDefault="00705148" w:rsidP="00006FD7">
      <w:pPr>
        <w:spacing w:after="0" w:line="276" w:lineRule="auto"/>
        <w:jc w:val="both"/>
        <w:rPr>
          <w:rFonts w:asciiTheme="majorHAnsi" w:eastAsia="Times New Roman" w:hAnsiTheme="majorHAnsi" w:cstheme="majorHAnsi"/>
          <w:bCs/>
          <w:sz w:val="24"/>
          <w:szCs w:val="24"/>
        </w:rPr>
      </w:pPr>
      <w:r w:rsidRPr="00C315EB">
        <w:rPr>
          <w:rFonts w:asciiTheme="majorHAnsi" w:eastAsia="Times New Roman" w:hAnsiTheme="majorHAnsi" w:cstheme="majorHAnsi"/>
          <w:bCs/>
          <w:sz w:val="24"/>
          <w:szCs w:val="24"/>
          <w:lang w:val="ro-MD"/>
        </w:rPr>
        <w:t>Totodată</w:t>
      </w:r>
      <w:r w:rsidR="00C609D7" w:rsidRPr="00C315EB">
        <w:rPr>
          <w:rFonts w:asciiTheme="majorHAnsi" w:eastAsia="Times New Roman" w:hAnsiTheme="majorHAnsi" w:cstheme="majorHAnsi"/>
          <w:bCs/>
          <w:sz w:val="24"/>
          <w:szCs w:val="24"/>
          <w:lang w:val="ro-MD"/>
        </w:rPr>
        <w:t>,</w:t>
      </w:r>
      <w:r w:rsidRPr="00C315EB">
        <w:rPr>
          <w:rFonts w:asciiTheme="majorHAnsi" w:eastAsia="Times New Roman" w:hAnsiTheme="majorHAnsi" w:cstheme="majorHAnsi"/>
          <w:bCs/>
          <w:sz w:val="24"/>
          <w:szCs w:val="24"/>
          <w:lang w:val="ro-MD"/>
        </w:rPr>
        <w:t xml:space="preserve"> se</w:t>
      </w:r>
      <w:r w:rsidR="00B71AE3" w:rsidRPr="00C315EB">
        <w:rPr>
          <w:rFonts w:asciiTheme="majorHAnsi" w:eastAsia="Times New Roman" w:hAnsiTheme="majorHAnsi" w:cstheme="majorHAnsi"/>
          <w:bCs/>
          <w:sz w:val="24"/>
          <w:szCs w:val="24"/>
          <w:lang w:val="ro-MD"/>
        </w:rPr>
        <w:t xml:space="preserve"> menționează că, deși contractele </w:t>
      </w:r>
      <w:r w:rsidR="0095700C" w:rsidRPr="00C315EB">
        <w:rPr>
          <w:rFonts w:asciiTheme="majorHAnsi" w:eastAsia="Times New Roman" w:hAnsiTheme="majorHAnsi" w:cstheme="majorHAnsi"/>
          <w:bCs/>
          <w:sz w:val="24"/>
          <w:szCs w:val="24"/>
          <w:lang w:val="ro-MD"/>
        </w:rPr>
        <w:t xml:space="preserve">de consultanță </w:t>
      </w:r>
      <w:r w:rsidR="00B71AE3" w:rsidRPr="00C315EB">
        <w:rPr>
          <w:rFonts w:asciiTheme="majorHAnsi" w:eastAsia="Times New Roman" w:hAnsiTheme="majorHAnsi" w:cstheme="majorHAnsi"/>
          <w:bCs/>
          <w:sz w:val="24"/>
          <w:szCs w:val="24"/>
          <w:lang w:val="ro-MD"/>
        </w:rPr>
        <w:t xml:space="preserve">în cadrul Proiectului „Modernizarea </w:t>
      </w:r>
      <w:r w:rsidR="00C609D7" w:rsidRPr="00C315EB">
        <w:rPr>
          <w:rFonts w:asciiTheme="majorHAnsi" w:eastAsia="Times New Roman" w:hAnsiTheme="majorHAnsi" w:cstheme="majorHAnsi"/>
          <w:bCs/>
          <w:sz w:val="24"/>
          <w:szCs w:val="24"/>
          <w:lang w:val="ro-MD"/>
        </w:rPr>
        <w:t>s</w:t>
      </w:r>
      <w:r w:rsidR="00B71AE3" w:rsidRPr="00C315EB">
        <w:rPr>
          <w:rFonts w:asciiTheme="majorHAnsi" w:eastAsia="Times New Roman" w:hAnsiTheme="majorHAnsi" w:cstheme="majorHAnsi"/>
          <w:bCs/>
          <w:sz w:val="24"/>
          <w:szCs w:val="24"/>
          <w:lang w:val="ro-MD"/>
        </w:rPr>
        <w:t xml:space="preserve">ectorului </w:t>
      </w:r>
      <w:r w:rsidR="00C609D7" w:rsidRPr="00C315EB">
        <w:rPr>
          <w:rFonts w:asciiTheme="majorHAnsi" w:eastAsia="Times New Roman" w:hAnsiTheme="majorHAnsi" w:cstheme="majorHAnsi"/>
          <w:bCs/>
          <w:sz w:val="24"/>
          <w:szCs w:val="24"/>
          <w:lang w:val="ro-MD"/>
        </w:rPr>
        <w:t>s</w:t>
      </w:r>
      <w:r w:rsidR="00B71AE3" w:rsidRPr="00C315EB">
        <w:rPr>
          <w:rFonts w:asciiTheme="majorHAnsi" w:eastAsia="Times New Roman" w:hAnsiTheme="majorHAnsi" w:cstheme="majorHAnsi"/>
          <w:bCs/>
          <w:sz w:val="24"/>
          <w:szCs w:val="24"/>
          <w:lang w:val="ro-MD"/>
        </w:rPr>
        <w:t>ănătății în R</w:t>
      </w:r>
      <w:r w:rsidR="00C609D7" w:rsidRPr="00C315EB">
        <w:rPr>
          <w:rFonts w:asciiTheme="majorHAnsi" w:eastAsia="Times New Roman" w:hAnsiTheme="majorHAnsi" w:cstheme="majorHAnsi"/>
          <w:bCs/>
          <w:sz w:val="24"/>
          <w:szCs w:val="24"/>
          <w:lang w:val="ro-MD"/>
        </w:rPr>
        <w:t xml:space="preserve">epublica </w:t>
      </w:r>
      <w:r w:rsidR="00B71AE3" w:rsidRPr="00C315EB">
        <w:rPr>
          <w:rFonts w:asciiTheme="majorHAnsi" w:eastAsia="Times New Roman" w:hAnsiTheme="majorHAnsi" w:cstheme="majorHAnsi"/>
          <w:bCs/>
          <w:sz w:val="24"/>
          <w:szCs w:val="24"/>
          <w:lang w:val="ro-MD"/>
        </w:rPr>
        <w:t>M</w:t>
      </w:r>
      <w:r w:rsidR="00C609D7" w:rsidRPr="00C315EB">
        <w:rPr>
          <w:rFonts w:asciiTheme="majorHAnsi" w:eastAsia="Times New Roman" w:hAnsiTheme="majorHAnsi" w:cstheme="majorHAnsi"/>
          <w:bCs/>
          <w:sz w:val="24"/>
          <w:szCs w:val="24"/>
          <w:lang w:val="ro-MD"/>
        </w:rPr>
        <w:t>oldova</w:t>
      </w:r>
      <w:r w:rsidR="00B71AE3" w:rsidRPr="00C315EB">
        <w:rPr>
          <w:rFonts w:asciiTheme="majorHAnsi" w:eastAsia="Times New Roman" w:hAnsiTheme="majorHAnsi" w:cstheme="majorHAnsi"/>
          <w:bCs/>
          <w:sz w:val="24"/>
          <w:szCs w:val="24"/>
          <w:lang w:val="ro-MD"/>
        </w:rPr>
        <w:t xml:space="preserve">” </w:t>
      </w:r>
      <w:r w:rsidR="0095700C" w:rsidRPr="00C315EB">
        <w:rPr>
          <w:rFonts w:asciiTheme="majorHAnsi" w:eastAsia="Times New Roman" w:hAnsiTheme="majorHAnsi" w:cstheme="majorHAnsi"/>
          <w:bCs/>
          <w:sz w:val="24"/>
          <w:szCs w:val="24"/>
          <w:lang w:val="ro-MD"/>
        </w:rPr>
        <w:t>au fost</w:t>
      </w:r>
      <w:r w:rsidR="00B71AE3" w:rsidRPr="00C315EB">
        <w:rPr>
          <w:rFonts w:asciiTheme="majorHAnsi" w:eastAsia="Times New Roman" w:hAnsiTheme="majorHAnsi" w:cstheme="majorHAnsi"/>
          <w:bCs/>
          <w:sz w:val="24"/>
          <w:szCs w:val="24"/>
          <w:lang w:val="ro-MD"/>
        </w:rPr>
        <w:t xml:space="preserve"> </w:t>
      </w:r>
      <w:r w:rsidR="003E787F" w:rsidRPr="00C315EB">
        <w:rPr>
          <w:rFonts w:asciiTheme="majorHAnsi" w:eastAsia="Times New Roman" w:hAnsiTheme="majorHAnsi" w:cstheme="majorHAnsi"/>
          <w:bCs/>
          <w:sz w:val="24"/>
          <w:szCs w:val="24"/>
          <w:lang w:val="ro-MD"/>
        </w:rPr>
        <w:t>încheiate</w:t>
      </w:r>
      <w:r w:rsidR="00B71AE3" w:rsidRPr="00C315EB">
        <w:rPr>
          <w:rFonts w:asciiTheme="majorHAnsi" w:eastAsia="Times New Roman" w:hAnsiTheme="majorHAnsi" w:cstheme="majorHAnsi"/>
          <w:bCs/>
          <w:sz w:val="24"/>
          <w:szCs w:val="24"/>
          <w:lang w:val="ro-MD"/>
        </w:rPr>
        <w:t xml:space="preserve"> </w:t>
      </w:r>
      <w:r w:rsidR="00CD34A9" w:rsidRPr="00C315EB">
        <w:rPr>
          <w:rFonts w:asciiTheme="majorHAnsi" w:eastAsia="Times New Roman" w:hAnsiTheme="majorHAnsi" w:cstheme="majorHAnsi"/>
          <w:bCs/>
          <w:sz w:val="24"/>
          <w:szCs w:val="24"/>
          <w:lang w:val="ro-MD"/>
        </w:rPr>
        <w:t xml:space="preserve">până la </w:t>
      </w:r>
      <w:r w:rsidR="0099637D" w:rsidRPr="00C315EB">
        <w:rPr>
          <w:rFonts w:asciiTheme="majorHAnsi" w:eastAsia="Times New Roman" w:hAnsiTheme="majorHAnsi" w:cstheme="majorHAnsi"/>
          <w:bCs/>
          <w:sz w:val="24"/>
          <w:szCs w:val="24"/>
          <w:lang w:val="ro-MD"/>
        </w:rPr>
        <w:t>finele</w:t>
      </w:r>
      <w:r w:rsidR="00CD34A9" w:rsidRPr="00C315EB">
        <w:rPr>
          <w:rFonts w:asciiTheme="majorHAnsi" w:eastAsia="Times New Roman" w:hAnsiTheme="majorHAnsi" w:cstheme="majorHAnsi"/>
          <w:bCs/>
          <w:sz w:val="24"/>
          <w:szCs w:val="24"/>
          <w:lang w:val="ro-MD"/>
        </w:rPr>
        <w:t xml:space="preserve"> anului 2020</w:t>
      </w:r>
      <w:r w:rsidR="00B71AE3" w:rsidRPr="00C315EB">
        <w:rPr>
          <w:rFonts w:asciiTheme="majorHAnsi" w:eastAsia="Times New Roman" w:hAnsiTheme="majorHAnsi" w:cstheme="majorHAnsi"/>
          <w:bCs/>
          <w:sz w:val="24"/>
          <w:szCs w:val="24"/>
          <w:lang w:val="ro-MD"/>
        </w:rPr>
        <w:t>,</w:t>
      </w:r>
      <w:r w:rsidR="00CD34A9" w:rsidRPr="00C315EB">
        <w:rPr>
          <w:rFonts w:asciiTheme="majorHAnsi" w:eastAsia="Times New Roman" w:hAnsiTheme="majorHAnsi" w:cstheme="majorHAnsi"/>
          <w:bCs/>
          <w:sz w:val="24"/>
          <w:szCs w:val="24"/>
          <w:lang w:val="ro-MD"/>
        </w:rPr>
        <w:t xml:space="preserve"> la </w:t>
      </w:r>
      <w:r w:rsidR="00B71AE3" w:rsidRPr="00C315EB">
        <w:rPr>
          <w:rFonts w:asciiTheme="majorHAnsi" w:eastAsia="Times New Roman" w:hAnsiTheme="majorHAnsi" w:cstheme="majorHAnsi"/>
          <w:bCs/>
          <w:sz w:val="24"/>
          <w:szCs w:val="24"/>
          <w:lang w:val="ro-MD"/>
        </w:rPr>
        <w:t>30 mai</w:t>
      </w:r>
      <w:r w:rsidR="00CD34A9" w:rsidRPr="00C315EB">
        <w:rPr>
          <w:rFonts w:asciiTheme="majorHAnsi" w:eastAsia="Times New Roman" w:hAnsiTheme="majorHAnsi" w:cstheme="majorHAnsi"/>
          <w:bCs/>
          <w:sz w:val="24"/>
          <w:szCs w:val="24"/>
          <w:lang w:val="ro-MD"/>
        </w:rPr>
        <w:t xml:space="preserve"> </w:t>
      </w:r>
      <w:r w:rsidR="00CD34A9" w:rsidRPr="00C315EB">
        <w:rPr>
          <w:rFonts w:asciiTheme="majorHAnsi" w:eastAsia="Times New Roman" w:hAnsiTheme="majorHAnsi" w:cstheme="majorHAnsi"/>
          <w:bCs/>
          <w:sz w:val="24"/>
          <w:szCs w:val="24"/>
          <w:lang w:val="ro-MD"/>
        </w:rPr>
        <w:lastRenderedPageBreak/>
        <w:t>2020</w:t>
      </w:r>
      <w:r w:rsidR="00334A54" w:rsidRPr="00C315EB">
        <w:rPr>
          <w:rFonts w:asciiTheme="majorHAnsi" w:eastAsia="Times New Roman" w:hAnsiTheme="majorHAnsi" w:cstheme="majorHAnsi"/>
          <w:bCs/>
          <w:sz w:val="24"/>
          <w:szCs w:val="24"/>
          <w:lang w:val="ro-MD"/>
        </w:rPr>
        <w:t xml:space="preserve"> s-a întocmit</w:t>
      </w:r>
      <w:r w:rsidR="00B71AE3" w:rsidRPr="00C315EB">
        <w:rPr>
          <w:rFonts w:asciiTheme="majorHAnsi" w:eastAsia="Times New Roman" w:hAnsiTheme="majorHAnsi" w:cstheme="majorHAnsi"/>
          <w:bCs/>
          <w:sz w:val="24"/>
          <w:szCs w:val="24"/>
          <w:lang w:val="ro-MD"/>
        </w:rPr>
        <w:t xml:space="preserve"> un amendamen</w:t>
      </w:r>
      <w:r w:rsidR="00334A54" w:rsidRPr="00C315EB">
        <w:rPr>
          <w:rFonts w:asciiTheme="majorHAnsi" w:eastAsia="Times New Roman" w:hAnsiTheme="majorHAnsi" w:cstheme="majorHAnsi"/>
          <w:bCs/>
          <w:sz w:val="24"/>
          <w:szCs w:val="24"/>
          <w:lang w:val="ro-MD"/>
        </w:rPr>
        <w:t>t</w:t>
      </w:r>
      <w:r w:rsidR="00C609D7" w:rsidRPr="00C315EB">
        <w:rPr>
          <w:rFonts w:asciiTheme="majorHAnsi" w:eastAsia="Times New Roman" w:hAnsiTheme="majorHAnsi" w:cstheme="majorHAnsi"/>
          <w:bCs/>
          <w:sz w:val="24"/>
          <w:szCs w:val="24"/>
          <w:lang w:val="ro-MD"/>
        </w:rPr>
        <w:t>,</w:t>
      </w:r>
      <w:r w:rsidR="00334A54" w:rsidRPr="00C315EB">
        <w:rPr>
          <w:rFonts w:asciiTheme="majorHAnsi" w:eastAsia="Times New Roman" w:hAnsiTheme="majorHAnsi" w:cstheme="majorHAnsi"/>
          <w:bCs/>
          <w:sz w:val="24"/>
          <w:szCs w:val="24"/>
          <w:lang w:val="ro-MD"/>
        </w:rPr>
        <w:t xml:space="preserve"> prin care s-au renegociat </w:t>
      </w:r>
      <w:r w:rsidR="00006FD7" w:rsidRPr="00C315EB">
        <w:rPr>
          <w:rFonts w:asciiTheme="majorHAnsi" w:eastAsia="Times New Roman" w:hAnsiTheme="majorHAnsi" w:cstheme="majorHAnsi"/>
          <w:bCs/>
          <w:sz w:val="24"/>
          <w:szCs w:val="24"/>
          <w:lang w:val="ro-MD"/>
        </w:rPr>
        <w:t xml:space="preserve">zilele lucrătoare și </w:t>
      </w:r>
      <w:r w:rsidR="00334A54" w:rsidRPr="00C315EB">
        <w:rPr>
          <w:rFonts w:asciiTheme="majorHAnsi" w:eastAsia="Times New Roman" w:hAnsiTheme="majorHAnsi" w:cstheme="majorHAnsi"/>
          <w:bCs/>
          <w:sz w:val="24"/>
          <w:szCs w:val="24"/>
          <w:lang w:val="ro-MD"/>
        </w:rPr>
        <w:t>sumele</w:t>
      </w:r>
      <w:r w:rsidR="00B71AE3" w:rsidRPr="00C315EB">
        <w:rPr>
          <w:rFonts w:asciiTheme="majorHAnsi" w:eastAsia="Times New Roman" w:hAnsiTheme="majorHAnsi" w:cstheme="majorHAnsi"/>
          <w:bCs/>
          <w:sz w:val="24"/>
          <w:szCs w:val="24"/>
          <w:lang w:val="ro-MD"/>
        </w:rPr>
        <w:t xml:space="preserve"> remunerării</w:t>
      </w:r>
      <w:r w:rsidR="00CD34A9" w:rsidRPr="00C315EB">
        <w:rPr>
          <w:rFonts w:asciiTheme="majorHAnsi" w:eastAsia="Times New Roman" w:hAnsiTheme="majorHAnsi" w:cstheme="majorHAnsi"/>
          <w:bCs/>
          <w:sz w:val="24"/>
          <w:szCs w:val="24"/>
          <w:lang w:val="ro-MD"/>
        </w:rPr>
        <w:t xml:space="preserve"> </w:t>
      </w:r>
      <w:r w:rsidR="00CD34A9" w:rsidRPr="00C315EB">
        <w:rPr>
          <w:rFonts w:asciiTheme="majorHAnsi" w:eastAsia="Times New Roman" w:hAnsiTheme="majorHAnsi" w:cstheme="majorHAnsi"/>
          <w:bCs/>
          <w:color w:val="000000" w:themeColor="text1"/>
          <w:sz w:val="24"/>
          <w:szCs w:val="24"/>
          <w:lang w:val="ro-MD"/>
        </w:rPr>
        <w:t>(</w:t>
      </w:r>
      <w:r w:rsidRPr="00C315EB">
        <w:rPr>
          <w:rFonts w:asciiTheme="majorHAnsi" w:eastAsia="Times New Roman" w:hAnsiTheme="majorHAnsi" w:cstheme="majorHAnsi"/>
          <w:bCs/>
          <w:color w:val="000000" w:themeColor="text1"/>
          <w:sz w:val="24"/>
          <w:szCs w:val="24"/>
          <w:lang w:val="ro-MD"/>
        </w:rPr>
        <w:t xml:space="preserve">pentru </w:t>
      </w:r>
      <w:r w:rsidR="00CD34A9" w:rsidRPr="00C315EB">
        <w:rPr>
          <w:rFonts w:asciiTheme="majorHAnsi" w:eastAsia="Times New Roman" w:hAnsiTheme="majorHAnsi" w:cstheme="majorHAnsi"/>
          <w:bCs/>
          <w:color w:val="000000" w:themeColor="text1"/>
          <w:sz w:val="24"/>
          <w:szCs w:val="24"/>
          <w:lang w:val="ro-MD"/>
        </w:rPr>
        <w:t>consultantul în achiziții și consultantul în management financiar)</w:t>
      </w:r>
      <w:r w:rsidR="00B71AE3" w:rsidRPr="00C315EB">
        <w:rPr>
          <w:rFonts w:asciiTheme="majorHAnsi" w:eastAsia="Times New Roman" w:hAnsiTheme="majorHAnsi" w:cstheme="majorHAnsi"/>
          <w:bCs/>
          <w:color w:val="000000" w:themeColor="text1"/>
          <w:sz w:val="24"/>
          <w:szCs w:val="24"/>
          <w:lang w:val="ro-MD"/>
        </w:rPr>
        <w:t xml:space="preserve">. </w:t>
      </w:r>
    </w:p>
    <w:p w14:paraId="4409B8CB" w14:textId="528F2599" w:rsidR="00006FD7" w:rsidRPr="00C315EB" w:rsidRDefault="00B71AE3" w:rsidP="00006FD7">
      <w:pPr>
        <w:spacing w:line="276" w:lineRule="auto"/>
        <w:jc w:val="both"/>
        <w:rPr>
          <w:rFonts w:asciiTheme="majorHAnsi" w:eastAsia="Times New Roman" w:hAnsiTheme="majorHAnsi" w:cstheme="majorHAnsi"/>
          <w:bCs/>
          <w:color w:val="000000" w:themeColor="text1"/>
          <w:sz w:val="24"/>
          <w:szCs w:val="24"/>
          <w:lang w:val="ro-MD"/>
        </w:rPr>
      </w:pPr>
      <w:r w:rsidRPr="00C315EB">
        <w:rPr>
          <w:rFonts w:asciiTheme="majorHAnsi" w:eastAsia="Times New Roman" w:hAnsiTheme="majorHAnsi" w:cstheme="majorHAnsi"/>
          <w:bCs/>
          <w:color w:val="000000" w:themeColor="text1"/>
          <w:sz w:val="24"/>
          <w:szCs w:val="24"/>
          <w:lang w:val="ro-MD"/>
        </w:rPr>
        <w:t>Astfel, în unele cazuri, a fost redus numărul de zile acordate pentru consultanță</w:t>
      </w:r>
      <w:r w:rsidR="00006FD7" w:rsidRPr="00C315EB">
        <w:rPr>
          <w:rFonts w:asciiTheme="majorHAnsi" w:eastAsia="Times New Roman" w:hAnsiTheme="majorHAnsi" w:cstheme="majorHAnsi"/>
          <w:bCs/>
          <w:color w:val="000000" w:themeColor="text1"/>
          <w:sz w:val="24"/>
          <w:szCs w:val="24"/>
          <w:lang w:val="ro-MD"/>
        </w:rPr>
        <w:t xml:space="preserve">  (de la 21 până la 7)</w:t>
      </w:r>
      <w:r w:rsidRPr="00C315EB">
        <w:rPr>
          <w:rFonts w:asciiTheme="majorHAnsi" w:eastAsia="Times New Roman" w:hAnsiTheme="majorHAnsi" w:cstheme="majorHAnsi"/>
          <w:bCs/>
          <w:color w:val="000000" w:themeColor="text1"/>
          <w:sz w:val="24"/>
          <w:szCs w:val="24"/>
          <w:lang w:val="ro-MD"/>
        </w:rPr>
        <w:t>, iar mijloacele financiare nu s-</w:t>
      </w:r>
      <w:r w:rsidR="00397C7B" w:rsidRPr="00C315EB">
        <w:rPr>
          <w:rFonts w:asciiTheme="majorHAnsi" w:eastAsia="Times New Roman" w:hAnsiTheme="majorHAnsi" w:cstheme="majorHAnsi"/>
          <w:bCs/>
          <w:color w:val="000000" w:themeColor="text1"/>
          <w:sz w:val="24"/>
          <w:szCs w:val="24"/>
          <w:lang w:val="ro-MD"/>
        </w:rPr>
        <w:t>au redus proporțional</w:t>
      </w:r>
      <w:r w:rsidR="00006FD7" w:rsidRPr="00C315EB">
        <w:rPr>
          <w:rFonts w:asciiTheme="majorHAnsi" w:eastAsia="Times New Roman" w:hAnsiTheme="majorHAnsi" w:cstheme="majorHAnsi"/>
          <w:bCs/>
          <w:color w:val="000000" w:themeColor="text1"/>
          <w:sz w:val="24"/>
          <w:szCs w:val="24"/>
          <w:lang w:val="ro-MD"/>
        </w:rPr>
        <w:t xml:space="preserve"> (</w:t>
      </w:r>
      <w:r w:rsidR="002A7E46" w:rsidRPr="00C315EB">
        <w:rPr>
          <w:rFonts w:asciiTheme="majorHAnsi" w:hAnsiTheme="majorHAnsi" w:cstheme="majorHAnsi"/>
          <w:sz w:val="24"/>
          <w:szCs w:val="24"/>
          <w:lang w:val="ro-MD"/>
        </w:rPr>
        <w:t>de la 27 178,00 lei/lun</w:t>
      </w:r>
      <w:r w:rsidR="00C609D7" w:rsidRPr="00C315EB">
        <w:rPr>
          <w:rFonts w:asciiTheme="majorHAnsi" w:hAnsiTheme="majorHAnsi" w:cstheme="majorHAnsi"/>
          <w:sz w:val="24"/>
          <w:szCs w:val="24"/>
          <w:lang w:val="ro-MD"/>
        </w:rPr>
        <w:t>ă</w:t>
      </w:r>
      <w:r w:rsidR="002A7E46" w:rsidRPr="00C315EB">
        <w:rPr>
          <w:rFonts w:asciiTheme="majorHAnsi" w:hAnsiTheme="majorHAnsi" w:cstheme="majorHAnsi"/>
          <w:sz w:val="24"/>
          <w:szCs w:val="24"/>
          <w:lang w:val="ro-MD"/>
        </w:rPr>
        <w:t xml:space="preserve"> pâ</w:t>
      </w:r>
      <w:r w:rsidR="00006FD7" w:rsidRPr="00C315EB">
        <w:rPr>
          <w:rFonts w:asciiTheme="majorHAnsi" w:hAnsiTheme="majorHAnsi" w:cstheme="majorHAnsi"/>
          <w:sz w:val="24"/>
          <w:szCs w:val="24"/>
          <w:lang w:val="ro-MD"/>
        </w:rPr>
        <w:t>n</w:t>
      </w:r>
      <w:r w:rsidR="00F30B09" w:rsidRPr="00C315EB">
        <w:rPr>
          <w:rFonts w:asciiTheme="majorHAnsi" w:hAnsiTheme="majorHAnsi" w:cstheme="majorHAnsi"/>
          <w:sz w:val="24"/>
          <w:szCs w:val="24"/>
          <w:lang w:val="ro-MD"/>
        </w:rPr>
        <w:t>ă</w:t>
      </w:r>
      <w:r w:rsidR="00006FD7" w:rsidRPr="00C315EB">
        <w:rPr>
          <w:rFonts w:asciiTheme="majorHAnsi" w:hAnsiTheme="majorHAnsi" w:cstheme="majorHAnsi"/>
          <w:sz w:val="24"/>
          <w:szCs w:val="24"/>
          <w:lang w:val="ro-MD"/>
        </w:rPr>
        <w:t xml:space="preserve"> la 14 931,42 lei/lun</w:t>
      </w:r>
      <w:r w:rsidR="00C609D7" w:rsidRPr="00C315EB">
        <w:rPr>
          <w:rFonts w:asciiTheme="majorHAnsi" w:hAnsiTheme="majorHAnsi" w:cstheme="majorHAnsi"/>
          <w:sz w:val="24"/>
          <w:szCs w:val="24"/>
          <w:lang w:val="ro-MD"/>
        </w:rPr>
        <w:t>ă</w:t>
      </w:r>
      <w:r w:rsidR="00006FD7" w:rsidRPr="00C315EB">
        <w:rPr>
          <w:rFonts w:asciiTheme="majorHAnsi" w:hAnsiTheme="majorHAnsi" w:cstheme="majorHAnsi"/>
          <w:sz w:val="24"/>
          <w:szCs w:val="24"/>
          <w:lang w:val="ro-MD"/>
        </w:rPr>
        <w:t>)</w:t>
      </w:r>
      <w:r w:rsidR="005E212B" w:rsidRPr="00C315EB">
        <w:rPr>
          <w:rFonts w:asciiTheme="majorHAnsi" w:eastAsia="Times New Roman" w:hAnsiTheme="majorHAnsi" w:cstheme="majorHAnsi"/>
          <w:bCs/>
          <w:color w:val="000000" w:themeColor="text1"/>
          <w:sz w:val="24"/>
          <w:szCs w:val="24"/>
          <w:lang w:val="ro-MD"/>
        </w:rPr>
        <w:t>. Prin urmare, pentru un consultant rata zilnică de remunerare a crescut cu 1,7 ori (de la 1234,0 lei/zi până la 2133,06 lei/zi).</w:t>
      </w:r>
      <w:r w:rsidR="009266B5" w:rsidRPr="00C315EB">
        <w:rPr>
          <w:rFonts w:asciiTheme="majorHAnsi" w:eastAsia="Times New Roman" w:hAnsiTheme="majorHAnsi" w:cstheme="majorHAnsi"/>
          <w:bCs/>
          <w:color w:val="000000" w:themeColor="text1"/>
          <w:sz w:val="24"/>
          <w:szCs w:val="24"/>
          <w:lang w:val="ro-MD"/>
        </w:rPr>
        <w:t xml:space="preserve"> </w:t>
      </w:r>
    </w:p>
    <w:p w14:paraId="5629CEF3" w14:textId="6C7DB217" w:rsidR="00624693" w:rsidRPr="00C315EB" w:rsidRDefault="00CD34A9" w:rsidP="00006FD7">
      <w:pPr>
        <w:spacing w:line="276" w:lineRule="auto"/>
        <w:jc w:val="both"/>
        <w:rPr>
          <w:rFonts w:asciiTheme="majorHAnsi" w:eastAsia="Times New Roman" w:hAnsiTheme="majorHAnsi" w:cstheme="majorHAnsi"/>
          <w:bCs/>
          <w:color w:val="000000" w:themeColor="text1"/>
          <w:sz w:val="24"/>
          <w:szCs w:val="24"/>
          <w:lang w:val="ro-MD"/>
        </w:rPr>
      </w:pPr>
      <w:r w:rsidRPr="00C315EB">
        <w:rPr>
          <w:rFonts w:asciiTheme="majorHAnsi" w:eastAsia="Times New Roman" w:hAnsiTheme="majorHAnsi" w:cstheme="majorHAnsi"/>
          <w:bCs/>
          <w:color w:val="000000" w:themeColor="text1"/>
          <w:sz w:val="24"/>
          <w:szCs w:val="24"/>
          <w:lang w:val="ro-MD"/>
        </w:rPr>
        <w:t>P</w:t>
      </w:r>
      <w:r w:rsidR="00B71AE3" w:rsidRPr="00C315EB">
        <w:rPr>
          <w:rFonts w:asciiTheme="majorHAnsi" w:eastAsia="Times New Roman" w:hAnsiTheme="majorHAnsi" w:cstheme="majorHAnsi"/>
          <w:bCs/>
          <w:color w:val="000000" w:themeColor="text1"/>
          <w:sz w:val="24"/>
          <w:szCs w:val="24"/>
          <w:lang w:val="ro-MD"/>
        </w:rPr>
        <w:t>otrivit normelor</w:t>
      </w:r>
      <w:r w:rsidR="00B71AE3" w:rsidRPr="00C315EB">
        <w:rPr>
          <w:rFonts w:asciiTheme="majorHAnsi" w:hAnsiTheme="majorHAnsi" w:cstheme="majorHAnsi"/>
          <w:color w:val="000000" w:themeColor="text1"/>
          <w:sz w:val="24"/>
          <w:szCs w:val="24"/>
          <w:vertAlign w:val="superscript"/>
          <w:lang w:val="ro-MD"/>
        </w:rPr>
        <w:footnoteReference w:id="13"/>
      </w:r>
      <w:r w:rsidR="00B71AE3" w:rsidRPr="00C315EB">
        <w:rPr>
          <w:rFonts w:asciiTheme="majorHAnsi" w:eastAsia="Times New Roman" w:hAnsiTheme="majorHAnsi" w:cstheme="majorHAnsi"/>
          <w:bCs/>
          <w:color w:val="000000" w:themeColor="text1"/>
          <w:sz w:val="24"/>
          <w:szCs w:val="24"/>
          <w:lang w:val="ro-MD"/>
        </w:rPr>
        <w:t>, unul din</w:t>
      </w:r>
      <w:r w:rsidR="00715B4B" w:rsidRPr="00C315EB">
        <w:rPr>
          <w:rFonts w:asciiTheme="majorHAnsi" w:eastAsia="Times New Roman" w:hAnsiTheme="majorHAnsi" w:cstheme="majorHAnsi"/>
          <w:bCs/>
          <w:color w:val="000000" w:themeColor="text1"/>
          <w:sz w:val="24"/>
          <w:szCs w:val="24"/>
          <w:lang w:val="ro-MD"/>
        </w:rPr>
        <w:t>tre</w:t>
      </w:r>
      <w:r w:rsidR="00B71AE3" w:rsidRPr="00C315EB">
        <w:rPr>
          <w:rFonts w:asciiTheme="majorHAnsi" w:eastAsia="Times New Roman" w:hAnsiTheme="majorHAnsi" w:cstheme="majorHAnsi"/>
          <w:bCs/>
          <w:color w:val="000000" w:themeColor="text1"/>
          <w:sz w:val="24"/>
          <w:szCs w:val="24"/>
          <w:lang w:val="ro-MD"/>
        </w:rPr>
        <w:t xml:space="preserve"> aspectele principale care ghidează politica B</w:t>
      </w:r>
      <w:r w:rsidR="00715B4B" w:rsidRPr="00C315EB">
        <w:rPr>
          <w:rFonts w:asciiTheme="majorHAnsi" w:eastAsia="Times New Roman" w:hAnsiTheme="majorHAnsi" w:cstheme="majorHAnsi"/>
          <w:bCs/>
          <w:color w:val="000000" w:themeColor="text1"/>
          <w:sz w:val="24"/>
          <w:szCs w:val="24"/>
          <w:lang w:val="ro-MD"/>
        </w:rPr>
        <w:t>M</w:t>
      </w:r>
      <w:r w:rsidR="00B71AE3" w:rsidRPr="00C315EB">
        <w:rPr>
          <w:rFonts w:asciiTheme="majorHAnsi" w:eastAsia="Times New Roman" w:hAnsiTheme="majorHAnsi" w:cstheme="majorHAnsi"/>
          <w:bCs/>
          <w:color w:val="000000" w:themeColor="text1"/>
          <w:sz w:val="24"/>
          <w:szCs w:val="24"/>
          <w:lang w:val="ro-MD"/>
        </w:rPr>
        <w:t xml:space="preserve"> cu privire la procesul </w:t>
      </w:r>
      <w:r w:rsidR="009266B5" w:rsidRPr="00C315EB">
        <w:rPr>
          <w:rFonts w:asciiTheme="majorHAnsi" w:eastAsia="Times New Roman" w:hAnsiTheme="majorHAnsi" w:cstheme="majorHAnsi"/>
          <w:bCs/>
          <w:color w:val="000000" w:themeColor="text1"/>
          <w:sz w:val="24"/>
          <w:szCs w:val="24"/>
          <w:lang w:val="ro-MD"/>
        </w:rPr>
        <w:t xml:space="preserve">de selectare a  consultanților </w:t>
      </w:r>
      <w:r w:rsidR="00C13B03" w:rsidRPr="00C315EB">
        <w:rPr>
          <w:rFonts w:asciiTheme="majorHAnsi" w:eastAsia="Times New Roman" w:hAnsiTheme="majorHAnsi" w:cstheme="majorHAnsi"/>
          <w:bCs/>
          <w:color w:val="000000" w:themeColor="text1"/>
          <w:sz w:val="24"/>
          <w:szCs w:val="24"/>
          <w:lang w:val="ro-MD"/>
        </w:rPr>
        <w:t>îl constituie economia și eficiența</w:t>
      </w:r>
      <w:r w:rsidR="00B71AE3" w:rsidRPr="00C315EB">
        <w:rPr>
          <w:rFonts w:asciiTheme="majorHAnsi" w:eastAsia="Times New Roman" w:hAnsiTheme="majorHAnsi" w:cstheme="majorHAnsi"/>
          <w:bCs/>
          <w:color w:val="000000" w:themeColor="text1"/>
          <w:sz w:val="24"/>
          <w:szCs w:val="24"/>
          <w:lang w:val="ro-MD"/>
        </w:rPr>
        <w:t>. Astfel, situația constatată</w:t>
      </w:r>
      <w:r w:rsidR="003133F6" w:rsidRPr="00C315EB">
        <w:rPr>
          <w:rFonts w:asciiTheme="majorHAnsi" w:eastAsia="Times New Roman" w:hAnsiTheme="majorHAnsi" w:cstheme="majorHAnsi"/>
          <w:bCs/>
          <w:color w:val="000000" w:themeColor="text1"/>
          <w:sz w:val="24"/>
          <w:szCs w:val="24"/>
          <w:lang w:val="ro-MD"/>
        </w:rPr>
        <w:t xml:space="preserve"> de audit</w:t>
      </w:r>
      <w:r w:rsidR="00B71AE3" w:rsidRPr="00C315EB">
        <w:rPr>
          <w:rFonts w:asciiTheme="majorHAnsi" w:eastAsia="Times New Roman" w:hAnsiTheme="majorHAnsi" w:cstheme="majorHAnsi"/>
          <w:bCs/>
          <w:color w:val="000000" w:themeColor="text1"/>
          <w:sz w:val="24"/>
          <w:szCs w:val="24"/>
          <w:lang w:val="ro-MD"/>
        </w:rPr>
        <w:t xml:space="preserve"> </w:t>
      </w:r>
      <w:r w:rsidR="00183B99" w:rsidRPr="00C315EB">
        <w:rPr>
          <w:rFonts w:asciiTheme="majorHAnsi" w:eastAsia="Times New Roman" w:hAnsiTheme="majorHAnsi" w:cstheme="majorHAnsi"/>
          <w:bCs/>
          <w:color w:val="000000" w:themeColor="text1"/>
          <w:sz w:val="24"/>
          <w:szCs w:val="24"/>
          <w:lang w:val="ro-MD"/>
        </w:rPr>
        <w:t xml:space="preserve">denotă necesitatea </w:t>
      </w:r>
      <w:r w:rsidR="003133F6" w:rsidRPr="00C315EB">
        <w:rPr>
          <w:rFonts w:asciiTheme="majorHAnsi" w:eastAsia="Times New Roman" w:hAnsiTheme="majorHAnsi" w:cstheme="majorHAnsi"/>
          <w:bCs/>
          <w:color w:val="000000" w:themeColor="text1"/>
          <w:sz w:val="24"/>
          <w:szCs w:val="24"/>
          <w:lang w:val="ro-MD"/>
        </w:rPr>
        <w:t>orient</w:t>
      </w:r>
      <w:r w:rsidR="00715B4B" w:rsidRPr="00C315EB">
        <w:rPr>
          <w:rFonts w:asciiTheme="majorHAnsi" w:eastAsia="Times New Roman" w:hAnsiTheme="majorHAnsi" w:cstheme="majorHAnsi"/>
          <w:bCs/>
          <w:color w:val="000000" w:themeColor="text1"/>
          <w:sz w:val="24"/>
          <w:szCs w:val="24"/>
          <w:lang w:val="ro-MD"/>
        </w:rPr>
        <w:t>ării</w:t>
      </w:r>
      <w:r w:rsidR="00183B99" w:rsidRPr="00C315EB">
        <w:rPr>
          <w:rFonts w:asciiTheme="majorHAnsi" w:eastAsia="Times New Roman" w:hAnsiTheme="majorHAnsi" w:cstheme="majorHAnsi"/>
          <w:bCs/>
          <w:color w:val="000000" w:themeColor="text1"/>
          <w:sz w:val="24"/>
          <w:szCs w:val="24"/>
          <w:lang w:val="ro-MD"/>
        </w:rPr>
        <w:t xml:space="preserve"> managementul</w:t>
      </w:r>
      <w:r w:rsidR="00715B4B" w:rsidRPr="00C315EB">
        <w:rPr>
          <w:rFonts w:asciiTheme="majorHAnsi" w:eastAsia="Times New Roman" w:hAnsiTheme="majorHAnsi" w:cstheme="majorHAnsi"/>
          <w:bCs/>
          <w:color w:val="000000" w:themeColor="text1"/>
          <w:sz w:val="24"/>
          <w:szCs w:val="24"/>
          <w:lang w:val="ro-MD"/>
        </w:rPr>
        <w:t>ui</w:t>
      </w:r>
      <w:r w:rsidR="003133F6" w:rsidRPr="00C315EB">
        <w:rPr>
          <w:rFonts w:asciiTheme="majorHAnsi" w:eastAsia="Times New Roman" w:hAnsiTheme="majorHAnsi" w:cstheme="majorHAnsi"/>
          <w:bCs/>
          <w:color w:val="000000" w:themeColor="text1"/>
          <w:sz w:val="24"/>
          <w:szCs w:val="24"/>
          <w:lang w:val="ro-MD"/>
        </w:rPr>
        <w:t xml:space="preserve"> MSMPS</w:t>
      </w:r>
      <w:r w:rsidR="00183B99" w:rsidRPr="00C315EB">
        <w:rPr>
          <w:rFonts w:asciiTheme="majorHAnsi" w:eastAsia="Times New Roman" w:hAnsiTheme="majorHAnsi" w:cstheme="majorHAnsi"/>
          <w:bCs/>
          <w:color w:val="000000" w:themeColor="text1"/>
          <w:sz w:val="24"/>
          <w:szCs w:val="24"/>
          <w:lang w:val="ro-MD"/>
        </w:rPr>
        <w:t xml:space="preserve"> </w:t>
      </w:r>
      <w:r w:rsidR="003133F6" w:rsidRPr="00C315EB">
        <w:rPr>
          <w:rFonts w:asciiTheme="majorHAnsi" w:eastAsia="Times New Roman" w:hAnsiTheme="majorHAnsi" w:cstheme="majorHAnsi"/>
          <w:bCs/>
          <w:color w:val="000000" w:themeColor="text1"/>
          <w:sz w:val="24"/>
          <w:szCs w:val="24"/>
          <w:lang w:val="ro-MD"/>
        </w:rPr>
        <w:t>spre principiile</w:t>
      </w:r>
      <w:r w:rsidR="00715B4B" w:rsidRPr="00C315EB">
        <w:rPr>
          <w:rFonts w:asciiTheme="majorHAnsi" w:eastAsia="Times New Roman" w:hAnsiTheme="majorHAnsi" w:cstheme="majorHAnsi"/>
          <w:bCs/>
          <w:color w:val="000000" w:themeColor="text1"/>
          <w:sz w:val="24"/>
          <w:szCs w:val="24"/>
          <w:lang w:val="ro-MD"/>
        </w:rPr>
        <w:t xml:space="preserve"> </w:t>
      </w:r>
      <w:r w:rsidR="003133F6" w:rsidRPr="00C315EB">
        <w:rPr>
          <w:rFonts w:asciiTheme="majorHAnsi" w:eastAsia="Times New Roman" w:hAnsiTheme="majorHAnsi" w:cstheme="majorHAnsi"/>
          <w:bCs/>
          <w:color w:val="000000" w:themeColor="text1"/>
          <w:sz w:val="24"/>
          <w:szCs w:val="24"/>
          <w:lang w:val="ro-MD"/>
        </w:rPr>
        <w:t>bunei guvernări</w:t>
      </w:r>
      <w:r w:rsidR="003133F6" w:rsidRPr="00C315EB">
        <w:rPr>
          <w:rStyle w:val="FootnoteReference"/>
          <w:rFonts w:asciiTheme="majorHAnsi" w:eastAsia="Times New Roman" w:hAnsiTheme="majorHAnsi" w:cstheme="majorHAnsi"/>
          <w:bCs/>
          <w:color w:val="000000" w:themeColor="text1"/>
          <w:sz w:val="24"/>
          <w:szCs w:val="24"/>
          <w:lang w:val="ro-MD"/>
        </w:rPr>
        <w:footnoteReference w:id="14"/>
      </w:r>
      <w:r w:rsidR="003133F6" w:rsidRPr="00C315EB">
        <w:rPr>
          <w:rFonts w:asciiTheme="majorHAnsi" w:eastAsia="Times New Roman" w:hAnsiTheme="majorHAnsi" w:cstheme="majorHAnsi"/>
          <w:bCs/>
          <w:color w:val="000000" w:themeColor="text1"/>
          <w:sz w:val="24"/>
          <w:szCs w:val="24"/>
          <w:lang w:val="ro-MD"/>
        </w:rPr>
        <w:t xml:space="preserve">, inclusiv </w:t>
      </w:r>
      <w:r w:rsidR="00183B99" w:rsidRPr="00C315EB">
        <w:rPr>
          <w:rFonts w:asciiTheme="majorHAnsi" w:eastAsia="Times New Roman" w:hAnsiTheme="majorHAnsi" w:cstheme="majorHAnsi"/>
          <w:bCs/>
          <w:color w:val="000000" w:themeColor="text1"/>
          <w:sz w:val="24"/>
          <w:szCs w:val="24"/>
          <w:lang w:val="ro-MD"/>
        </w:rPr>
        <w:t>spre</w:t>
      </w:r>
      <w:r w:rsidR="003133F6" w:rsidRPr="00C315EB">
        <w:rPr>
          <w:rFonts w:asciiTheme="majorHAnsi" w:eastAsia="Times New Roman" w:hAnsiTheme="majorHAnsi" w:cstheme="majorHAnsi"/>
          <w:bCs/>
          <w:color w:val="000000" w:themeColor="text1"/>
          <w:sz w:val="24"/>
          <w:szCs w:val="24"/>
          <w:lang w:val="ro-MD"/>
        </w:rPr>
        <w:t xml:space="preserve"> </w:t>
      </w:r>
      <w:r w:rsidR="00B71AE3" w:rsidRPr="00C315EB">
        <w:rPr>
          <w:rFonts w:asciiTheme="majorHAnsi" w:eastAsia="Times New Roman" w:hAnsiTheme="majorHAnsi" w:cstheme="majorHAnsi"/>
          <w:bCs/>
          <w:color w:val="000000" w:themeColor="text1"/>
          <w:sz w:val="24"/>
          <w:szCs w:val="24"/>
          <w:lang w:val="ro-MD"/>
        </w:rPr>
        <w:t>respectarea principiului de economicitate, în condițiile în care mijloace</w:t>
      </w:r>
      <w:r w:rsidR="00732B2D" w:rsidRPr="00C315EB">
        <w:rPr>
          <w:rFonts w:asciiTheme="majorHAnsi" w:eastAsia="Times New Roman" w:hAnsiTheme="majorHAnsi" w:cstheme="majorHAnsi"/>
          <w:bCs/>
          <w:color w:val="000000" w:themeColor="text1"/>
          <w:sz w:val="24"/>
          <w:szCs w:val="24"/>
          <w:lang w:val="ro-MD"/>
        </w:rPr>
        <w:t>le financiare</w:t>
      </w:r>
      <w:r w:rsidR="00B71AE3" w:rsidRPr="00C315EB">
        <w:rPr>
          <w:rFonts w:asciiTheme="majorHAnsi" w:eastAsia="Times New Roman" w:hAnsiTheme="majorHAnsi" w:cstheme="majorHAnsi"/>
          <w:bCs/>
          <w:color w:val="000000" w:themeColor="text1"/>
          <w:sz w:val="24"/>
          <w:szCs w:val="24"/>
          <w:lang w:val="ro-MD"/>
        </w:rPr>
        <w:t xml:space="preserve"> ale împrumutului urmează a fi rambursate</w:t>
      </w:r>
      <w:r w:rsidR="00183B99" w:rsidRPr="00C315EB">
        <w:rPr>
          <w:rFonts w:asciiTheme="majorHAnsi" w:eastAsia="Times New Roman" w:hAnsiTheme="majorHAnsi" w:cstheme="majorHAnsi"/>
          <w:bCs/>
          <w:color w:val="000000" w:themeColor="text1"/>
          <w:sz w:val="24"/>
          <w:szCs w:val="24"/>
          <w:lang w:val="ro-MD"/>
        </w:rPr>
        <w:t>,</w:t>
      </w:r>
      <w:r w:rsidR="00C13B03" w:rsidRPr="00C315EB">
        <w:rPr>
          <w:rFonts w:asciiTheme="majorHAnsi" w:eastAsia="Times New Roman" w:hAnsiTheme="majorHAnsi" w:cstheme="majorHAnsi"/>
          <w:bCs/>
          <w:color w:val="000000" w:themeColor="text1"/>
          <w:sz w:val="24"/>
          <w:szCs w:val="24"/>
          <w:lang w:val="ro-MD"/>
        </w:rPr>
        <w:t xml:space="preserve"> cu achitarea costurilor aferente (dobândă</w:t>
      </w:r>
      <w:r w:rsidR="00183B99" w:rsidRPr="00C315EB">
        <w:rPr>
          <w:rFonts w:asciiTheme="majorHAnsi" w:eastAsia="Times New Roman" w:hAnsiTheme="majorHAnsi" w:cstheme="majorHAnsi"/>
          <w:bCs/>
          <w:color w:val="000000" w:themeColor="text1"/>
          <w:sz w:val="24"/>
          <w:szCs w:val="24"/>
          <w:lang w:val="ro-MD"/>
        </w:rPr>
        <w:t xml:space="preserve"> anuală</w:t>
      </w:r>
      <w:r w:rsidR="00C13B03" w:rsidRPr="00C315EB">
        <w:rPr>
          <w:rFonts w:asciiTheme="majorHAnsi" w:eastAsia="Times New Roman" w:hAnsiTheme="majorHAnsi" w:cstheme="majorHAnsi"/>
          <w:bCs/>
          <w:color w:val="000000" w:themeColor="text1"/>
          <w:sz w:val="24"/>
          <w:szCs w:val="24"/>
          <w:lang w:val="ro-MD"/>
        </w:rPr>
        <w:t>, taxa de deservire și taxa de angajament)</w:t>
      </w:r>
      <w:r w:rsidR="00B71AE3" w:rsidRPr="00C315EB">
        <w:rPr>
          <w:rFonts w:asciiTheme="majorHAnsi" w:eastAsia="Times New Roman" w:hAnsiTheme="majorHAnsi" w:cstheme="majorHAnsi"/>
          <w:bCs/>
          <w:color w:val="000000" w:themeColor="text1"/>
          <w:sz w:val="24"/>
          <w:szCs w:val="24"/>
          <w:lang w:val="ro-MD"/>
        </w:rPr>
        <w:t>.</w:t>
      </w:r>
      <w:r w:rsidRPr="00C315EB">
        <w:rPr>
          <w:rFonts w:asciiTheme="majorHAnsi" w:eastAsia="Times New Roman" w:hAnsiTheme="majorHAnsi" w:cstheme="majorHAnsi"/>
          <w:bCs/>
          <w:color w:val="000000" w:themeColor="text1"/>
          <w:sz w:val="24"/>
          <w:szCs w:val="24"/>
          <w:lang w:val="ro-MD"/>
        </w:rPr>
        <w:t xml:space="preserve"> </w:t>
      </w:r>
      <w:r w:rsidR="002A7E46" w:rsidRPr="00C315EB">
        <w:rPr>
          <w:rFonts w:asciiTheme="majorHAnsi" w:eastAsia="Times New Roman" w:hAnsiTheme="majorHAnsi" w:cstheme="majorHAnsi"/>
          <w:bCs/>
          <w:color w:val="000000" w:themeColor="text1"/>
          <w:sz w:val="24"/>
          <w:szCs w:val="24"/>
          <w:lang w:val="ro-MD"/>
        </w:rPr>
        <w:t>M</w:t>
      </w:r>
      <w:r w:rsidR="00006FD7" w:rsidRPr="00C315EB">
        <w:rPr>
          <w:rFonts w:asciiTheme="majorHAnsi" w:eastAsia="Times New Roman" w:hAnsiTheme="majorHAnsi" w:cstheme="majorHAnsi"/>
          <w:bCs/>
          <w:color w:val="000000" w:themeColor="text1"/>
          <w:sz w:val="24"/>
          <w:szCs w:val="24"/>
          <w:lang w:val="ro-MD"/>
        </w:rPr>
        <w:t>otivațiil</w:t>
      </w:r>
      <w:r w:rsidR="002A7E46" w:rsidRPr="00C315EB">
        <w:rPr>
          <w:rFonts w:asciiTheme="majorHAnsi" w:eastAsia="Times New Roman" w:hAnsiTheme="majorHAnsi" w:cstheme="majorHAnsi"/>
          <w:bCs/>
          <w:color w:val="000000" w:themeColor="text1"/>
          <w:sz w:val="24"/>
          <w:szCs w:val="24"/>
          <w:lang w:val="ro-MD"/>
        </w:rPr>
        <w:t xml:space="preserve">e </w:t>
      </w:r>
      <w:r w:rsidR="00006FD7" w:rsidRPr="00C315EB">
        <w:rPr>
          <w:rFonts w:asciiTheme="majorHAnsi" w:eastAsia="Times New Roman" w:hAnsiTheme="majorHAnsi" w:cstheme="majorHAnsi"/>
          <w:bCs/>
          <w:color w:val="000000" w:themeColor="text1"/>
          <w:sz w:val="24"/>
          <w:szCs w:val="24"/>
          <w:lang w:val="ro-MD"/>
        </w:rPr>
        <w:t xml:space="preserve">expuse de MSMPS </w:t>
      </w:r>
      <w:r w:rsidR="002A7E46" w:rsidRPr="00C315EB">
        <w:rPr>
          <w:rFonts w:asciiTheme="majorHAnsi" w:eastAsia="Times New Roman" w:hAnsiTheme="majorHAnsi" w:cstheme="majorHAnsi"/>
          <w:bCs/>
          <w:color w:val="000000" w:themeColor="text1"/>
          <w:sz w:val="24"/>
          <w:szCs w:val="24"/>
          <w:lang w:val="ro-MD"/>
        </w:rPr>
        <w:t xml:space="preserve">relevă că </w:t>
      </w:r>
      <w:r w:rsidR="00006FD7" w:rsidRPr="00C315EB">
        <w:rPr>
          <w:rFonts w:asciiTheme="majorHAnsi" w:eastAsia="Times New Roman" w:hAnsiTheme="majorHAnsi" w:cstheme="majorHAnsi"/>
          <w:bCs/>
          <w:color w:val="000000" w:themeColor="text1"/>
          <w:sz w:val="24"/>
          <w:szCs w:val="24"/>
          <w:lang w:val="ro-MD"/>
        </w:rPr>
        <w:t xml:space="preserve">negocierea a avut loc în contextul inițierii Proiectului „Răspuns de Urgență COVID-19 în RM”, în </w:t>
      </w:r>
      <w:r w:rsidR="00F30B09" w:rsidRPr="00C315EB">
        <w:rPr>
          <w:rFonts w:asciiTheme="majorHAnsi" w:eastAsia="Times New Roman" w:hAnsiTheme="majorHAnsi" w:cstheme="majorHAnsi"/>
          <w:bCs/>
          <w:color w:val="000000" w:themeColor="text1"/>
          <w:sz w:val="24"/>
          <w:szCs w:val="24"/>
          <w:lang w:val="ro-MD"/>
        </w:rPr>
        <w:t>cadrul căruia</w:t>
      </w:r>
      <w:r w:rsidR="00006FD7" w:rsidRPr="00C315EB">
        <w:rPr>
          <w:rFonts w:asciiTheme="majorHAnsi" w:eastAsia="Times New Roman" w:hAnsiTheme="majorHAnsi" w:cstheme="majorHAnsi"/>
          <w:bCs/>
          <w:color w:val="000000" w:themeColor="text1"/>
          <w:sz w:val="24"/>
          <w:szCs w:val="24"/>
          <w:lang w:val="ro-MD"/>
        </w:rPr>
        <w:t xml:space="preserve"> au fost contractați aceiași operatori economici</w:t>
      </w:r>
      <w:r w:rsidR="00006FD7" w:rsidRPr="00C315EB">
        <w:rPr>
          <w:rStyle w:val="FootnoteReference"/>
          <w:rFonts w:asciiTheme="majorHAnsi" w:eastAsia="Times New Roman" w:hAnsiTheme="majorHAnsi" w:cstheme="majorHAnsi"/>
          <w:bCs/>
          <w:color w:val="000000" w:themeColor="text1"/>
          <w:sz w:val="24"/>
          <w:szCs w:val="24"/>
          <w:lang w:val="ro-MD"/>
        </w:rPr>
        <w:footnoteReference w:id="15"/>
      </w:r>
      <w:r w:rsidR="00006FD7" w:rsidRPr="00C315EB">
        <w:rPr>
          <w:rFonts w:asciiTheme="majorHAnsi" w:eastAsia="Times New Roman" w:hAnsiTheme="majorHAnsi" w:cstheme="majorHAnsi"/>
          <w:bCs/>
          <w:color w:val="000000" w:themeColor="text1"/>
          <w:sz w:val="24"/>
          <w:szCs w:val="24"/>
          <w:lang w:val="ro-MD"/>
        </w:rPr>
        <w:t xml:space="preserve">, </w:t>
      </w:r>
      <w:r w:rsidR="00F30B09" w:rsidRPr="00C315EB">
        <w:rPr>
          <w:rFonts w:asciiTheme="majorHAnsi" w:eastAsia="Times New Roman" w:hAnsiTheme="majorHAnsi" w:cstheme="majorHAnsi"/>
          <w:bCs/>
          <w:color w:val="000000" w:themeColor="text1"/>
          <w:sz w:val="24"/>
          <w:szCs w:val="24"/>
          <w:lang w:val="ro-MD"/>
        </w:rPr>
        <w:t>remuner</w:t>
      </w:r>
      <w:r w:rsidR="002A7E46" w:rsidRPr="00C315EB">
        <w:rPr>
          <w:rFonts w:asciiTheme="majorHAnsi" w:eastAsia="Times New Roman" w:hAnsiTheme="majorHAnsi" w:cstheme="majorHAnsi"/>
          <w:bCs/>
          <w:color w:val="000000" w:themeColor="text1"/>
          <w:sz w:val="24"/>
          <w:szCs w:val="24"/>
          <w:lang w:val="ro-MD"/>
        </w:rPr>
        <w:t xml:space="preserve">ați și din </w:t>
      </w:r>
      <w:r w:rsidR="00F30B09" w:rsidRPr="00C315EB">
        <w:rPr>
          <w:rFonts w:asciiTheme="majorHAnsi" w:eastAsia="Times New Roman" w:hAnsiTheme="majorHAnsi" w:cstheme="majorHAnsi"/>
          <w:bCs/>
          <w:color w:val="000000" w:themeColor="text1"/>
          <w:sz w:val="24"/>
          <w:szCs w:val="24"/>
          <w:lang w:val="ro-MD"/>
        </w:rPr>
        <w:t xml:space="preserve">contul </w:t>
      </w:r>
      <w:r w:rsidR="002A7E46" w:rsidRPr="00C315EB">
        <w:rPr>
          <w:rFonts w:asciiTheme="majorHAnsi" w:eastAsia="Times New Roman" w:hAnsiTheme="majorHAnsi" w:cstheme="majorHAnsi"/>
          <w:bCs/>
          <w:color w:val="000000" w:themeColor="text1"/>
          <w:sz w:val="24"/>
          <w:szCs w:val="24"/>
          <w:lang w:val="ro-MD"/>
        </w:rPr>
        <w:t>Proiectul</w:t>
      </w:r>
      <w:r w:rsidR="00F30B09" w:rsidRPr="00C315EB">
        <w:rPr>
          <w:rFonts w:asciiTheme="majorHAnsi" w:eastAsia="Times New Roman" w:hAnsiTheme="majorHAnsi" w:cstheme="majorHAnsi"/>
          <w:bCs/>
          <w:color w:val="000000" w:themeColor="text1"/>
          <w:sz w:val="24"/>
          <w:szCs w:val="24"/>
          <w:lang w:val="ro-MD"/>
        </w:rPr>
        <w:t>ui</w:t>
      </w:r>
      <w:r w:rsidR="002A7E46" w:rsidRPr="00C315EB">
        <w:rPr>
          <w:rFonts w:asciiTheme="majorHAnsi" w:eastAsia="Times New Roman" w:hAnsiTheme="majorHAnsi" w:cstheme="majorHAnsi"/>
          <w:bCs/>
          <w:color w:val="000000" w:themeColor="text1"/>
          <w:sz w:val="24"/>
          <w:szCs w:val="24"/>
          <w:lang w:val="ro-MD"/>
        </w:rPr>
        <w:t xml:space="preserve"> respectiv</w:t>
      </w:r>
      <w:r w:rsidR="00006FD7" w:rsidRPr="00C315EB">
        <w:rPr>
          <w:rFonts w:asciiTheme="majorHAnsi" w:hAnsiTheme="majorHAnsi" w:cstheme="majorHAnsi"/>
          <w:sz w:val="24"/>
          <w:szCs w:val="24"/>
          <w:lang w:val="ro-MD"/>
        </w:rPr>
        <w:t>.</w:t>
      </w:r>
    </w:p>
    <w:p w14:paraId="7F56981C" w14:textId="57A5BB5A" w:rsidR="003E787F" w:rsidRPr="00C315EB" w:rsidRDefault="003E787F" w:rsidP="00624693">
      <w:pPr>
        <w:spacing w:line="276" w:lineRule="auto"/>
        <w:jc w:val="both"/>
        <w:rPr>
          <w:rFonts w:asciiTheme="majorHAnsi" w:eastAsia="Times New Roman" w:hAnsiTheme="majorHAnsi" w:cstheme="majorHAnsi"/>
          <w:bCs/>
          <w:sz w:val="24"/>
          <w:szCs w:val="24"/>
          <w:lang w:val="ro-MD"/>
        </w:rPr>
      </w:pPr>
      <w:r w:rsidRPr="00C315EB">
        <w:rPr>
          <w:rFonts w:asciiTheme="majorHAnsi" w:hAnsiTheme="majorHAnsi" w:cstheme="majorHAnsi"/>
          <w:sz w:val="24"/>
          <w:szCs w:val="24"/>
          <w:lang w:val="ro-MD"/>
        </w:rPr>
        <w:t xml:space="preserve">Subsecvent, </w:t>
      </w:r>
      <w:r w:rsidR="00125730" w:rsidRPr="00C315EB">
        <w:rPr>
          <w:rFonts w:asciiTheme="majorHAnsi" w:hAnsiTheme="majorHAnsi" w:cstheme="majorHAnsi"/>
          <w:sz w:val="24"/>
          <w:szCs w:val="24"/>
          <w:lang w:val="ro-MD"/>
        </w:rPr>
        <w:t>auditul</w:t>
      </w:r>
      <w:r w:rsidR="00715B4B" w:rsidRPr="00C315EB">
        <w:rPr>
          <w:rFonts w:asciiTheme="majorHAnsi" w:hAnsiTheme="majorHAnsi" w:cstheme="majorHAnsi"/>
          <w:sz w:val="24"/>
          <w:szCs w:val="24"/>
          <w:lang w:val="ro-MD"/>
        </w:rPr>
        <w:t xml:space="preserve"> relevă</w:t>
      </w:r>
      <w:r w:rsidR="00125730" w:rsidRPr="00C315EB">
        <w:rPr>
          <w:rFonts w:asciiTheme="majorHAnsi" w:hAnsiTheme="majorHAnsi" w:cstheme="majorHAnsi"/>
          <w:sz w:val="24"/>
          <w:szCs w:val="24"/>
          <w:lang w:val="ro-MD"/>
        </w:rPr>
        <w:t xml:space="preserve"> că în</w:t>
      </w:r>
      <w:r w:rsidR="00CD34A9" w:rsidRPr="00C315EB">
        <w:rPr>
          <w:rFonts w:asciiTheme="majorHAnsi" w:hAnsiTheme="majorHAnsi" w:cstheme="majorHAnsi"/>
          <w:sz w:val="24"/>
          <w:szCs w:val="24"/>
          <w:lang w:val="ro-MD"/>
        </w:rPr>
        <w:t xml:space="preserve"> anul 2020 MSMPS a </w:t>
      </w:r>
      <w:r w:rsidR="00125730" w:rsidRPr="00C315EB">
        <w:rPr>
          <w:rFonts w:asciiTheme="majorHAnsi" w:hAnsiTheme="majorHAnsi" w:cstheme="majorHAnsi"/>
          <w:sz w:val="24"/>
          <w:szCs w:val="24"/>
          <w:lang w:val="ro-MD"/>
        </w:rPr>
        <w:t>suportat cheltuieli</w:t>
      </w:r>
      <w:r w:rsidR="009266B5" w:rsidRPr="00C315EB">
        <w:rPr>
          <w:rFonts w:asciiTheme="majorHAnsi" w:hAnsiTheme="majorHAnsi" w:cstheme="majorHAnsi"/>
          <w:sz w:val="24"/>
          <w:szCs w:val="24"/>
          <w:lang w:val="ro-MD"/>
        </w:rPr>
        <w:t xml:space="preserve"> în sumă de 738,92 mii lei</w:t>
      </w:r>
      <w:r w:rsidR="00CD34A9" w:rsidRPr="00C315EB">
        <w:rPr>
          <w:rFonts w:asciiTheme="majorHAnsi" w:hAnsiTheme="majorHAnsi" w:cstheme="majorHAnsi"/>
          <w:sz w:val="24"/>
          <w:szCs w:val="24"/>
          <w:lang w:val="ro-MD"/>
        </w:rPr>
        <w:t xml:space="preserve"> pentru serviciile de consultanță</w:t>
      </w:r>
      <w:r w:rsidR="00715B4B" w:rsidRPr="00C315EB">
        <w:rPr>
          <w:rFonts w:asciiTheme="majorHAnsi" w:hAnsiTheme="majorHAnsi" w:cstheme="majorHAnsi"/>
          <w:sz w:val="24"/>
          <w:szCs w:val="24"/>
          <w:lang w:val="ro-MD"/>
        </w:rPr>
        <w:t>,</w:t>
      </w:r>
      <w:r w:rsidR="00CD34A9" w:rsidRPr="00C315EB">
        <w:rPr>
          <w:rFonts w:asciiTheme="majorHAnsi" w:hAnsiTheme="majorHAnsi" w:cstheme="majorHAnsi"/>
          <w:sz w:val="24"/>
          <w:szCs w:val="24"/>
          <w:lang w:val="ro-MD"/>
        </w:rPr>
        <w:t xml:space="preserve"> care urmau a oferi suport </w:t>
      </w:r>
      <w:r w:rsidR="00E4376C" w:rsidRPr="00C315EB">
        <w:rPr>
          <w:rFonts w:asciiTheme="majorHAnsi" w:hAnsiTheme="majorHAnsi" w:cstheme="majorHAnsi"/>
          <w:sz w:val="24"/>
          <w:szCs w:val="24"/>
          <w:lang w:val="ro-MD"/>
        </w:rPr>
        <w:t>pentru debursarea indicatorilor. Totodată</w:t>
      </w:r>
      <w:r w:rsidR="00F85BE3" w:rsidRPr="00C315EB">
        <w:rPr>
          <w:rFonts w:asciiTheme="majorHAnsi" w:hAnsiTheme="majorHAnsi" w:cstheme="majorHAnsi"/>
          <w:sz w:val="24"/>
          <w:szCs w:val="24"/>
          <w:lang w:val="ro-MD"/>
        </w:rPr>
        <w:t>,</w:t>
      </w:r>
      <w:r w:rsidR="00E4376C" w:rsidRPr="00C315EB">
        <w:rPr>
          <w:rFonts w:asciiTheme="majorHAnsi" w:hAnsiTheme="majorHAnsi" w:cstheme="majorHAnsi"/>
          <w:sz w:val="24"/>
          <w:szCs w:val="24"/>
          <w:lang w:val="ro-MD"/>
        </w:rPr>
        <w:t xml:space="preserve"> </w:t>
      </w:r>
      <w:r w:rsidR="00715B4B" w:rsidRPr="00C315EB">
        <w:rPr>
          <w:rFonts w:asciiTheme="majorHAnsi" w:hAnsiTheme="majorHAnsi" w:cstheme="majorHAnsi"/>
          <w:sz w:val="24"/>
          <w:szCs w:val="24"/>
          <w:lang w:val="ro-MD"/>
        </w:rPr>
        <w:t xml:space="preserve">se </w:t>
      </w:r>
      <w:r w:rsidR="00E4376C" w:rsidRPr="00C315EB">
        <w:rPr>
          <w:rFonts w:asciiTheme="majorHAnsi" w:hAnsiTheme="majorHAnsi" w:cstheme="majorHAnsi"/>
          <w:sz w:val="24"/>
          <w:szCs w:val="24"/>
          <w:lang w:val="ro-MD"/>
        </w:rPr>
        <w:t>menționează că</w:t>
      </w:r>
      <w:r w:rsidR="00125730" w:rsidRPr="00C315EB">
        <w:rPr>
          <w:rFonts w:asciiTheme="majorHAnsi" w:hAnsiTheme="majorHAnsi" w:cstheme="majorHAnsi"/>
          <w:sz w:val="24"/>
          <w:szCs w:val="24"/>
          <w:lang w:val="ro-MD"/>
        </w:rPr>
        <w:t xml:space="preserve"> niciun indicator din cei planificați nu a fost</w:t>
      </w:r>
      <w:r w:rsidR="009266B5" w:rsidRPr="00C315EB">
        <w:rPr>
          <w:rFonts w:asciiTheme="majorHAnsi" w:hAnsiTheme="majorHAnsi" w:cstheme="majorHAnsi"/>
          <w:sz w:val="24"/>
          <w:szCs w:val="24"/>
          <w:lang w:val="ro-MD"/>
        </w:rPr>
        <w:t xml:space="preserve"> debursat</w:t>
      </w:r>
      <w:r w:rsidR="00624693" w:rsidRPr="00C315EB">
        <w:rPr>
          <w:rFonts w:asciiTheme="majorHAnsi" w:eastAsia="Times New Roman" w:hAnsiTheme="majorHAnsi" w:cstheme="majorHAnsi"/>
          <w:bCs/>
          <w:color w:val="000000" w:themeColor="text1"/>
          <w:sz w:val="24"/>
          <w:szCs w:val="24"/>
          <w:lang w:val="ro-MD"/>
        </w:rPr>
        <w:t>.</w:t>
      </w:r>
    </w:p>
    <w:p w14:paraId="241CA838" w14:textId="0C1159B2" w:rsidR="00330B0C" w:rsidRPr="00C315EB" w:rsidRDefault="00330B0C" w:rsidP="00C261FF">
      <w:pPr>
        <w:pStyle w:val="Heading2"/>
        <w:numPr>
          <w:ilvl w:val="1"/>
          <w:numId w:val="25"/>
        </w:numPr>
        <w:ind w:left="0" w:firstLine="0"/>
        <w:rPr>
          <w:rFonts w:asciiTheme="majorHAnsi" w:eastAsia="Calibri" w:hAnsiTheme="majorHAnsi" w:cstheme="majorHAnsi"/>
          <w:bCs w:val="0"/>
          <w:sz w:val="24"/>
          <w:szCs w:val="24"/>
        </w:rPr>
      </w:pPr>
      <w:r w:rsidRPr="00C315EB">
        <w:rPr>
          <w:rFonts w:asciiTheme="majorHAnsi" w:eastAsia="Calibri" w:hAnsiTheme="majorHAnsi" w:cstheme="majorHAnsi"/>
          <w:bCs w:val="0"/>
          <w:sz w:val="24"/>
          <w:szCs w:val="24"/>
        </w:rPr>
        <w:t xml:space="preserve">Componenta Asistența Tehnică </w:t>
      </w:r>
      <w:r w:rsidR="0079702A" w:rsidRPr="00C315EB">
        <w:rPr>
          <w:rFonts w:asciiTheme="majorHAnsi" w:eastAsia="Calibri" w:hAnsiTheme="majorHAnsi" w:cstheme="majorHAnsi"/>
          <w:bCs w:val="0"/>
          <w:sz w:val="24"/>
          <w:szCs w:val="24"/>
        </w:rPr>
        <w:t xml:space="preserve">pe </w:t>
      </w:r>
      <w:r w:rsidRPr="00C315EB">
        <w:rPr>
          <w:rFonts w:asciiTheme="majorHAnsi" w:eastAsia="Calibri" w:hAnsiTheme="majorHAnsi" w:cstheme="majorHAnsi"/>
          <w:bCs w:val="0"/>
          <w:sz w:val="24"/>
          <w:szCs w:val="24"/>
        </w:rPr>
        <w:t>parcursul anului 2020 nu a înregistrat progrese în implementarea acțiunilor planificate, din cauza situației pandemice</w:t>
      </w:r>
      <w:r w:rsidR="00C261FF" w:rsidRPr="00C315EB">
        <w:rPr>
          <w:rFonts w:asciiTheme="majorHAnsi" w:eastAsia="Calibri" w:hAnsiTheme="majorHAnsi" w:cstheme="majorHAnsi"/>
          <w:bCs w:val="0"/>
          <w:sz w:val="24"/>
          <w:szCs w:val="24"/>
        </w:rPr>
        <w:t>.</w:t>
      </w:r>
    </w:p>
    <w:p w14:paraId="7A6E28F5" w14:textId="77777777" w:rsidR="00330B0C" w:rsidRPr="00C315EB" w:rsidRDefault="00330B0C" w:rsidP="00330B0C">
      <w:pPr>
        <w:spacing w:after="0" w:line="276" w:lineRule="auto"/>
        <w:jc w:val="both"/>
        <w:rPr>
          <w:rFonts w:asciiTheme="majorHAnsi" w:hAnsiTheme="majorHAnsi" w:cstheme="majorHAnsi"/>
          <w:sz w:val="24"/>
          <w:szCs w:val="24"/>
          <w:lang w:val="ro-MD"/>
        </w:rPr>
      </w:pPr>
      <w:r w:rsidRPr="00C315EB">
        <w:rPr>
          <w:rFonts w:asciiTheme="majorHAnsi" w:eastAsia="Calibri" w:hAnsiTheme="majorHAnsi" w:cstheme="majorHAnsi"/>
          <w:sz w:val="24"/>
          <w:szCs w:val="24"/>
          <w:lang w:val="ro-MD"/>
        </w:rPr>
        <w:t>Analiza rapoartelor de progres, prezentate BM, precum și a situațiilor financiare privind executarea cheltuielilor din mijloacele  Proiectului de Asistență Tehnică denotă următoarele.</w:t>
      </w:r>
    </w:p>
    <w:p w14:paraId="6F263D2E" w14:textId="69B288B5" w:rsidR="00330B0C" w:rsidRPr="00C315EB" w:rsidRDefault="00330B0C" w:rsidP="00330B0C">
      <w:pPr>
        <w:spacing w:after="0" w:line="276" w:lineRule="auto"/>
        <w:jc w:val="both"/>
        <w:rPr>
          <w:rFonts w:asciiTheme="majorHAnsi" w:eastAsia="Calibri" w:hAnsiTheme="majorHAnsi" w:cstheme="majorHAnsi"/>
          <w:bCs/>
          <w:sz w:val="24"/>
          <w:szCs w:val="24"/>
          <w:lang w:val="ro-MD"/>
        </w:rPr>
      </w:pPr>
      <w:r w:rsidRPr="00C315EB">
        <w:rPr>
          <w:rFonts w:asciiTheme="majorHAnsi" w:eastAsia="Calibri" w:hAnsiTheme="majorHAnsi" w:cstheme="majorHAnsi"/>
          <w:b/>
          <w:bCs/>
          <w:i/>
          <w:sz w:val="24"/>
          <w:szCs w:val="24"/>
          <w:lang w:val="ro-MD"/>
        </w:rPr>
        <w:t xml:space="preserve">Pentru „Agenția independentă de verificare (AIV) pentru indicatorii nr.1 și </w:t>
      </w:r>
      <w:r w:rsidR="0079702A" w:rsidRPr="00C315EB">
        <w:rPr>
          <w:rFonts w:asciiTheme="majorHAnsi" w:eastAsia="Calibri" w:hAnsiTheme="majorHAnsi" w:cstheme="majorHAnsi"/>
          <w:b/>
          <w:bCs/>
          <w:i/>
          <w:sz w:val="24"/>
          <w:szCs w:val="24"/>
          <w:lang w:val="ro-MD"/>
        </w:rPr>
        <w:t>nr.</w:t>
      </w:r>
      <w:r w:rsidRPr="00C315EB">
        <w:rPr>
          <w:rFonts w:asciiTheme="majorHAnsi" w:eastAsia="Calibri" w:hAnsiTheme="majorHAnsi" w:cstheme="majorHAnsi"/>
          <w:b/>
          <w:bCs/>
          <w:i/>
          <w:sz w:val="24"/>
          <w:szCs w:val="24"/>
          <w:lang w:val="ro-MD"/>
        </w:rPr>
        <w:t>2 prin realizarea studiului STEP” (pct. 1.1.4</w:t>
      </w:r>
      <w:r w:rsidR="0079702A" w:rsidRPr="00C315EB">
        <w:rPr>
          <w:rFonts w:asciiTheme="majorHAnsi" w:eastAsia="Calibri" w:hAnsiTheme="majorHAnsi" w:cstheme="majorHAnsi"/>
          <w:b/>
          <w:bCs/>
          <w:i/>
          <w:sz w:val="24"/>
          <w:szCs w:val="24"/>
          <w:lang w:val="ro-MD"/>
        </w:rPr>
        <w:t>.</w:t>
      </w:r>
      <w:r w:rsidRPr="00C315EB">
        <w:rPr>
          <w:rFonts w:asciiTheme="majorHAnsi" w:eastAsia="Calibri" w:hAnsiTheme="majorHAnsi" w:cstheme="majorHAnsi"/>
          <w:b/>
          <w:bCs/>
          <w:i/>
          <w:sz w:val="24"/>
          <w:szCs w:val="24"/>
          <w:lang w:val="ro-MD"/>
        </w:rPr>
        <w:t xml:space="preserve"> din Planul de procurări)</w:t>
      </w:r>
      <w:r w:rsidRPr="00C315EB">
        <w:rPr>
          <w:rFonts w:asciiTheme="majorHAnsi" w:eastAsia="Calibri" w:hAnsiTheme="majorHAnsi" w:cstheme="majorHAnsi"/>
          <w:bCs/>
          <w:i/>
          <w:sz w:val="24"/>
          <w:szCs w:val="24"/>
          <w:lang w:val="ro-MD"/>
        </w:rPr>
        <w:t>,</w:t>
      </w:r>
      <w:r w:rsidRPr="00C315EB">
        <w:rPr>
          <w:rFonts w:asciiTheme="majorHAnsi" w:eastAsia="Calibri" w:hAnsiTheme="majorHAnsi" w:cstheme="majorHAnsi"/>
          <w:bCs/>
          <w:sz w:val="24"/>
          <w:szCs w:val="24"/>
          <w:lang w:val="ro-MD"/>
        </w:rPr>
        <w:t xml:space="preserve"> studiul STEPS urma a fi finalizat de către </w:t>
      </w:r>
      <w:r w:rsidR="00D33083" w:rsidRPr="00C315EB">
        <w:rPr>
          <w:rFonts w:asciiTheme="majorHAnsi" w:eastAsia="Calibri" w:hAnsiTheme="majorHAnsi" w:cstheme="majorHAnsi"/>
          <w:bCs/>
          <w:sz w:val="24"/>
          <w:szCs w:val="24"/>
          <w:lang w:val="ro-MD"/>
        </w:rPr>
        <w:t>OMS</w:t>
      </w:r>
      <w:r w:rsidRPr="00C315EB">
        <w:rPr>
          <w:rFonts w:asciiTheme="majorHAnsi" w:eastAsia="Calibri" w:hAnsiTheme="majorHAnsi" w:cstheme="majorHAnsi"/>
          <w:bCs/>
          <w:sz w:val="24"/>
          <w:szCs w:val="24"/>
          <w:lang w:val="ro-MD"/>
        </w:rPr>
        <w:t xml:space="preserve"> în septembrie 2020</w:t>
      </w:r>
      <w:r w:rsidR="0079702A" w:rsidRPr="00C315EB">
        <w:rPr>
          <w:rFonts w:asciiTheme="majorHAnsi" w:eastAsia="Calibri" w:hAnsiTheme="majorHAnsi" w:cstheme="majorHAnsi"/>
          <w:bCs/>
          <w:sz w:val="24"/>
          <w:szCs w:val="24"/>
          <w:lang w:val="ro-MD"/>
        </w:rPr>
        <w:t xml:space="preserve">, </w:t>
      </w:r>
      <w:r w:rsidRPr="00C315EB">
        <w:rPr>
          <w:rFonts w:asciiTheme="majorHAnsi" w:eastAsia="Calibri" w:hAnsiTheme="majorHAnsi" w:cstheme="majorHAnsi"/>
          <w:bCs/>
          <w:sz w:val="24"/>
          <w:szCs w:val="24"/>
          <w:lang w:val="ro-MD"/>
        </w:rPr>
        <w:t>rezultatele acestuia serv</w:t>
      </w:r>
      <w:r w:rsidR="0079702A" w:rsidRPr="00C315EB">
        <w:rPr>
          <w:rFonts w:asciiTheme="majorHAnsi" w:eastAsia="Calibri" w:hAnsiTheme="majorHAnsi" w:cstheme="majorHAnsi"/>
          <w:bCs/>
          <w:sz w:val="24"/>
          <w:szCs w:val="24"/>
          <w:lang w:val="ro-MD"/>
        </w:rPr>
        <w:t>ind</w:t>
      </w:r>
      <w:r w:rsidRPr="00C315EB">
        <w:rPr>
          <w:rFonts w:asciiTheme="majorHAnsi" w:eastAsia="Calibri" w:hAnsiTheme="majorHAnsi" w:cstheme="majorHAnsi"/>
          <w:bCs/>
          <w:sz w:val="24"/>
          <w:szCs w:val="24"/>
          <w:lang w:val="ro-MD"/>
        </w:rPr>
        <w:t xml:space="preserve"> B</w:t>
      </w:r>
      <w:r w:rsidR="0079702A" w:rsidRPr="00C315EB">
        <w:rPr>
          <w:rFonts w:asciiTheme="majorHAnsi" w:eastAsia="Calibri" w:hAnsiTheme="majorHAnsi" w:cstheme="majorHAnsi"/>
          <w:bCs/>
          <w:sz w:val="24"/>
          <w:szCs w:val="24"/>
          <w:lang w:val="ro-MD"/>
        </w:rPr>
        <w:t>ăncii</w:t>
      </w:r>
      <w:r w:rsidRPr="00C315EB">
        <w:rPr>
          <w:rFonts w:asciiTheme="majorHAnsi" w:eastAsia="Calibri" w:hAnsiTheme="majorHAnsi" w:cstheme="majorHAnsi"/>
          <w:bCs/>
          <w:sz w:val="24"/>
          <w:szCs w:val="24"/>
          <w:lang w:val="ro-MD"/>
        </w:rPr>
        <w:t xml:space="preserve"> Mondial</w:t>
      </w:r>
      <w:r w:rsidR="0079702A" w:rsidRPr="00C315EB">
        <w:rPr>
          <w:rFonts w:asciiTheme="majorHAnsi" w:eastAsia="Calibri" w:hAnsiTheme="majorHAnsi" w:cstheme="majorHAnsi"/>
          <w:bCs/>
          <w:sz w:val="24"/>
          <w:szCs w:val="24"/>
          <w:lang w:val="ro-MD"/>
        </w:rPr>
        <w:t>e</w:t>
      </w:r>
      <w:r w:rsidRPr="00C315EB">
        <w:rPr>
          <w:rFonts w:asciiTheme="majorHAnsi" w:eastAsia="Calibri" w:hAnsiTheme="majorHAnsi" w:cstheme="majorHAnsi"/>
          <w:bCs/>
          <w:sz w:val="24"/>
          <w:szCs w:val="24"/>
          <w:lang w:val="ro-MD"/>
        </w:rPr>
        <w:t xml:space="preserve"> </w:t>
      </w:r>
      <w:r w:rsidR="0079702A" w:rsidRPr="00C315EB">
        <w:rPr>
          <w:rFonts w:asciiTheme="majorHAnsi" w:eastAsia="Calibri" w:hAnsiTheme="majorHAnsi" w:cstheme="majorHAnsi"/>
          <w:bCs/>
          <w:sz w:val="24"/>
          <w:szCs w:val="24"/>
          <w:lang w:val="ro-MD"/>
        </w:rPr>
        <w:t xml:space="preserve">ca temei </w:t>
      </w:r>
      <w:r w:rsidRPr="00C315EB">
        <w:rPr>
          <w:rFonts w:asciiTheme="majorHAnsi" w:eastAsia="Calibri" w:hAnsiTheme="majorHAnsi" w:cstheme="majorHAnsi"/>
          <w:bCs/>
          <w:sz w:val="24"/>
          <w:szCs w:val="24"/>
          <w:lang w:val="ro-MD"/>
        </w:rPr>
        <w:t>pentru debursa</w:t>
      </w:r>
      <w:r w:rsidR="0079702A" w:rsidRPr="00C315EB">
        <w:rPr>
          <w:rFonts w:asciiTheme="majorHAnsi" w:eastAsia="Calibri" w:hAnsiTheme="majorHAnsi" w:cstheme="majorHAnsi"/>
          <w:bCs/>
          <w:sz w:val="24"/>
          <w:szCs w:val="24"/>
          <w:lang w:val="ro-MD"/>
        </w:rPr>
        <w:t>rea</w:t>
      </w:r>
      <w:r w:rsidRPr="00C315EB">
        <w:rPr>
          <w:rFonts w:asciiTheme="majorHAnsi" w:eastAsia="Calibri" w:hAnsiTheme="majorHAnsi" w:cstheme="majorHAnsi"/>
          <w:bCs/>
          <w:sz w:val="24"/>
          <w:szCs w:val="24"/>
          <w:lang w:val="ro-MD"/>
        </w:rPr>
        <w:t xml:space="preserve"> la bugetul de stat </w:t>
      </w:r>
      <w:r w:rsidR="0079702A" w:rsidRPr="00C315EB">
        <w:rPr>
          <w:rFonts w:asciiTheme="majorHAnsi" w:eastAsia="Calibri" w:hAnsiTheme="majorHAnsi" w:cstheme="majorHAnsi"/>
          <w:bCs/>
          <w:sz w:val="24"/>
          <w:szCs w:val="24"/>
          <w:lang w:val="ro-MD"/>
        </w:rPr>
        <w:t xml:space="preserve">a sumelor prevăzute </w:t>
      </w:r>
      <w:r w:rsidRPr="00C315EB">
        <w:rPr>
          <w:rFonts w:asciiTheme="majorHAnsi" w:eastAsia="Calibri" w:hAnsiTheme="majorHAnsi" w:cstheme="majorHAnsi"/>
          <w:bCs/>
          <w:sz w:val="24"/>
          <w:szCs w:val="24"/>
          <w:lang w:val="ro-MD"/>
        </w:rPr>
        <w:t xml:space="preserve">pentru indicatorul 1.2. </w:t>
      </w:r>
      <w:r w:rsidR="0079702A" w:rsidRPr="00C315EB">
        <w:rPr>
          <w:rFonts w:asciiTheme="majorHAnsi" w:eastAsia="Calibri" w:hAnsiTheme="majorHAnsi" w:cstheme="majorHAnsi"/>
          <w:bCs/>
          <w:sz w:val="24"/>
          <w:szCs w:val="24"/>
          <w:lang w:val="ro-MD"/>
        </w:rPr>
        <w:t>C</w:t>
      </w:r>
      <w:r w:rsidRPr="00C315EB">
        <w:rPr>
          <w:rFonts w:asciiTheme="majorHAnsi" w:eastAsia="Calibri" w:hAnsiTheme="majorHAnsi" w:cstheme="majorHAnsi"/>
          <w:bCs/>
          <w:sz w:val="24"/>
          <w:szCs w:val="24"/>
          <w:lang w:val="ro-MD"/>
        </w:rPr>
        <w:t xml:space="preserve">el mai mare obstacol </w:t>
      </w:r>
      <w:r w:rsidR="0079702A" w:rsidRPr="00C315EB">
        <w:rPr>
          <w:rFonts w:asciiTheme="majorHAnsi" w:eastAsia="Calibri" w:hAnsiTheme="majorHAnsi" w:cstheme="majorHAnsi"/>
          <w:bCs/>
          <w:sz w:val="24"/>
          <w:szCs w:val="24"/>
          <w:lang w:val="ro-MD"/>
        </w:rPr>
        <w:t>în</w:t>
      </w:r>
      <w:r w:rsidRPr="00C315EB">
        <w:rPr>
          <w:rFonts w:asciiTheme="majorHAnsi" w:eastAsia="Calibri" w:hAnsiTheme="majorHAnsi" w:cstheme="majorHAnsi"/>
          <w:bCs/>
          <w:sz w:val="24"/>
          <w:szCs w:val="24"/>
          <w:lang w:val="ro-MD"/>
        </w:rPr>
        <w:t xml:space="preserve"> continuarea studiului a fost </w:t>
      </w:r>
      <w:r w:rsidR="00D33083" w:rsidRPr="00C315EB">
        <w:rPr>
          <w:rFonts w:asciiTheme="majorHAnsi" w:eastAsia="Calibri" w:hAnsiTheme="majorHAnsi" w:cstheme="majorHAnsi"/>
          <w:bCs/>
          <w:sz w:val="24"/>
          <w:szCs w:val="24"/>
          <w:lang w:val="ro-MD"/>
        </w:rPr>
        <w:t>situația</w:t>
      </w:r>
      <w:r w:rsidRPr="00C315EB">
        <w:rPr>
          <w:rFonts w:asciiTheme="majorHAnsi" w:eastAsia="Calibri" w:hAnsiTheme="majorHAnsi" w:cstheme="majorHAnsi"/>
          <w:bCs/>
          <w:sz w:val="24"/>
          <w:szCs w:val="24"/>
          <w:lang w:val="ro-MD"/>
        </w:rPr>
        <w:t xml:space="preserve"> epidemiologică </w:t>
      </w:r>
      <w:r w:rsidR="0079702A" w:rsidRPr="00C315EB">
        <w:rPr>
          <w:rFonts w:asciiTheme="majorHAnsi" w:eastAsia="Calibri" w:hAnsiTheme="majorHAnsi" w:cstheme="majorHAnsi"/>
          <w:bCs/>
          <w:sz w:val="24"/>
          <w:szCs w:val="24"/>
          <w:lang w:val="ro-MD"/>
        </w:rPr>
        <w:t>a infecției</w:t>
      </w:r>
      <w:r w:rsidRPr="00C315EB">
        <w:rPr>
          <w:rFonts w:asciiTheme="majorHAnsi" w:eastAsia="Calibri" w:hAnsiTheme="majorHAnsi" w:cstheme="majorHAnsi"/>
          <w:bCs/>
          <w:sz w:val="24"/>
          <w:szCs w:val="24"/>
          <w:lang w:val="ro-MD"/>
        </w:rPr>
        <w:t xml:space="preserve"> COVID-19. În acest context, echipa OMS, care urma să ajungă la Chișinău în </w:t>
      </w:r>
      <w:r w:rsidR="0079702A" w:rsidRPr="00C315EB">
        <w:rPr>
          <w:rFonts w:asciiTheme="majorHAnsi" w:eastAsia="Calibri" w:hAnsiTheme="majorHAnsi" w:cstheme="majorHAnsi"/>
          <w:bCs/>
          <w:sz w:val="24"/>
          <w:szCs w:val="24"/>
          <w:lang w:val="ro-MD"/>
        </w:rPr>
        <w:t xml:space="preserve">luna </w:t>
      </w:r>
      <w:r w:rsidRPr="00C315EB">
        <w:rPr>
          <w:rFonts w:asciiTheme="majorHAnsi" w:eastAsia="Calibri" w:hAnsiTheme="majorHAnsi" w:cstheme="majorHAnsi"/>
          <w:bCs/>
          <w:sz w:val="24"/>
          <w:szCs w:val="24"/>
          <w:lang w:val="ro-MD"/>
        </w:rPr>
        <w:t>martie</w:t>
      </w:r>
      <w:r w:rsidR="0079702A" w:rsidRPr="00C315EB">
        <w:rPr>
          <w:rFonts w:asciiTheme="majorHAnsi" w:eastAsia="Calibri" w:hAnsiTheme="majorHAnsi" w:cstheme="majorHAnsi"/>
          <w:bCs/>
          <w:sz w:val="24"/>
          <w:szCs w:val="24"/>
          <w:lang w:val="ro-MD"/>
        </w:rPr>
        <w:t>,</w:t>
      </w:r>
      <w:r w:rsidRPr="00C315EB">
        <w:rPr>
          <w:rFonts w:asciiTheme="majorHAnsi" w:eastAsia="Calibri" w:hAnsiTheme="majorHAnsi" w:cstheme="majorHAnsi"/>
          <w:bCs/>
          <w:sz w:val="24"/>
          <w:szCs w:val="24"/>
          <w:lang w:val="ro-MD"/>
        </w:rPr>
        <w:t xml:space="preserve"> pentru instruirea echipelor locale, a primit instrucțiuni de a nu călători o anumită perioadă.</w:t>
      </w:r>
    </w:p>
    <w:p w14:paraId="2906096B" w14:textId="2CFCE154" w:rsidR="00330B0C" w:rsidRPr="00E33BAB" w:rsidRDefault="00330B0C" w:rsidP="00330B0C">
      <w:pPr>
        <w:spacing w:after="0" w:line="276" w:lineRule="auto"/>
        <w:jc w:val="both"/>
        <w:rPr>
          <w:rFonts w:asciiTheme="majorHAnsi" w:eastAsia="Calibri" w:hAnsiTheme="majorHAnsi" w:cstheme="majorHAnsi"/>
          <w:bCs/>
          <w:sz w:val="24"/>
          <w:szCs w:val="24"/>
          <w:lang w:val="ro-MD"/>
        </w:rPr>
      </w:pPr>
      <w:r w:rsidRPr="00C315EB">
        <w:rPr>
          <w:rFonts w:asciiTheme="majorHAnsi" w:eastAsia="Calibri" w:hAnsiTheme="majorHAnsi" w:cstheme="majorHAnsi"/>
          <w:bCs/>
          <w:sz w:val="24"/>
          <w:szCs w:val="24"/>
          <w:lang w:val="ro-MD"/>
        </w:rPr>
        <w:t>Ținând cont de situația din țară şi pentru a evita orice risc legat de COVID-19, Comitetul de coordonare a studiului STEPS a acceptat amânarea instruirilor şi, respectiv,</w:t>
      </w:r>
      <w:r w:rsidR="002F1C3C" w:rsidRPr="00C315EB">
        <w:rPr>
          <w:rFonts w:asciiTheme="majorHAnsi" w:eastAsia="Calibri" w:hAnsiTheme="majorHAnsi" w:cstheme="majorHAnsi"/>
          <w:bCs/>
          <w:sz w:val="24"/>
          <w:szCs w:val="24"/>
          <w:lang w:val="ro-MD"/>
        </w:rPr>
        <w:t xml:space="preserve"> a</w:t>
      </w:r>
      <w:r w:rsidRPr="00C315EB">
        <w:rPr>
          <w:rFonts w:asciiTheme="majorHAnsi" w:eastAsia="Calibri" w:hAnsiTheme="majorHAnsi" w:cstheme="majorHAnsi"/>
          <w:bCs/>
          <w:sz w:val="24"/>
          <w:szCs w:val="24"/>
          <w:lang w:val="ro-MD"/>
        </w:rPr>
        <w:t xml:space="preserve"> studiului cu circa 3-6 luni, cu o ulterioară evaluare a situației. Amânarea studiului STEPS a necesitat o extindere a termenului de realizare a contractului cu OMS. Solicitarea argumentată a OMS</w:t>
      </w:r>
      <w:r w:rsidR="002F1C3C" w:rsidRPr="00C315EB">
        <w:rPr>
          <w:rFonts w:asciiTheme="majorHAnsi" w:eastAsia="Calibri" w:hAnsiTheme="majorHAnsi" w:cstheme="majorHAnsi"/>
          <w:bCs/>
          <w:sz w:val="24"/>
          <w:szCs w:val="24"/>
          <w:lang w:val="ro-MD"/>
        </w:rPr>
        <w:t>,</w:t>
      </w:r>
      <w:r w:rsidRPr="00C315EB">
        <w:rPr>
          <w:rFonts w:asciiTheme="majorHAnsi" w:eastAsia="Calibri" w:hAnsiTheme="majorHAnsi" w:cstheme="majorHAnsi"/>
          <w:bCs/>
          <w:sz w:val="24"/>
          <w:szCs w:val="24"/>
          <w:lang w:val="ro-MD"/>
        </w:rPr>
        <w:t xml:space="preserve"> din luna iunie</w:t>
      </w:r>
      <w:r w:rsidR="002F1C3C" w:rsidRPr="00C315EB">
        <w:rPr>
          <w:rFonts w:asciiTheme="majorHAnsi" w:eastAsia="Calibri" w:hAnsiTheme="majorHAnsi" w:cstheme="majorHAnsi"/>
          <w:bCs/>
          <w:sz w:val="24"/>
          <w:szCs w:val="24"/>
          <w:lang w:val="ro-MD"/>
        </w:rPr>
        <w:t xml:space="preserve">, </w:t>
      </w:r>
      <w:r w:rsidRPr="00C315EB">
        <w:rPr>
          <w:rFonts w:asciiTheme="majorHAnsi" w:eastAsia="Calibri" w:hAnsiTheme="majorHAnsi" w:cstheme="majorHAnsi"/>
          <w:bCs/>
          <w:sz w:val="24"/>
          <w:szCs w:val="24"/>
          <w:lang w:val="ro-MD"/>
        </w:rPr>
        <w:t xml:space="preserve"> privind extinderea fără costuri adiționale a termenului contractului cu 12 luni a fost acceptată de Comitetul de implementare a studiului STEPS la mijlocul lunii iunie, după ce s-a agreat cu Banca Mondială extinderea cu 12 luni a termenului de realizare a Operațiunii.</w:t>
      </w:r>
      <w:r w:rsidRPr="00E33BAB">
        <w:rPr>
          <w:rFonts w:asciiTheme="majorHAnsi" w:eastAsia="Calibri" w:hAnsiTheme="majorHAnsi" w:cstheme="majorHAnsi"/>
          <w:bCs/>
          <w:sz w:val="24"/>
          <w:szCs w:val="24"/>
          <w:lang w:val="ro-MD"/>
        </w:rPr>
        <w:t xml:space="preserve"> </w:t>
      </w:r>
    </w:p>
    <w:p w14:paraId="67A42383" w14:textId="1D1ABF50" w:rsidR="00330B0C" w:rsidRPr="00E33BAB" w:rsidRDefault="00330B0C" w:rsidP="00330B0C">
      <w:pPr>
        <w:spacing w:after="0" w:line="276" w:lineRule="auto"/>
        <w:jc w:val="both"/>
        <w:rPr>
          <w:rFonts w:asciiTheme="majorHAnsi" w:eastAsia="Calibri" w:hAnsiTheme="majorHAnsi" w:cstheme="majorHAnsi"/>
          <w:bCs/>
          <w:sz w:val="24"/>
          <w:szCs w:val="24"/>
          <w:lang w:val="ro-MD"/>
        </w:rPr>
      </w:pPr>
      <w:r w:rsidRPr="00E33BAB">
        <w:rPr>
          <w:rFonts w:asciiTheme="majorHAnsi" w:eastAsia="Calibri" w:hAnsiTheme="majorHAnsi" w:cstheme="majorHAnsi"/>
          <w:bCs/>
          <w:sz w:val="24"/>
          <w:szCs w:val="24"/>
          <w:lang w:val="ro-MD"/>
        </w:rPr>
        <w:lastRenderedPageBreak/>
        <w:t>Echipa OMS a prezentat cel de-al doilea raport de progres în luna aprilie, iar în perioada raportată s-au pregătit toate documentele și materialele necesare pentru studiu, inclusiv</w:t>
      </w:r>
      <w:r w:rsidR="002F1C3C">
        <w:rPr>
          <w:rFonts w:asciiTheme="majorHAnsi" w:eastAsia="Calibri" w:hAnsiTheme="majorHAnsi" w:cstheme="majorHAnsi"/>
          <w:bCs/>
          <w:sz w:val="24"/>
          <w:szCs w:val="24"/>
          <w:lang w:val="ro-MD"/>
        </w:rPr>
        <w:t xml:space="preserve"> a fost</w:t>
      </w:r>
      <w:r w:rsidRPr="00E33BAB">
        <w:rPr>
          <w:rFonts w:asciiTheme="majorHAnsi" w:eastAsia="Calibri" w:hAnsiTheme="majorHAnsi" w:cstheme="majorHAnsi"/>
          <w:bCs/>
          <w:sz w:val="24"/>
          <w:szCs w:val="24"/>
          <w:lang w:val="ro-MD"/>
        </w:rPr>
        <w:t xml:space="preserve"> contractată Asociația Epidemiologilor din RM</w:t>
      </w:r>
      <w:r w:rsidR="002F1C3C">
        <w:rPr>
          <w:rFonts w:asciiTheme="majorHAnsi" w:eastAsia="Calibri" w:hAnsiTheme="majorHAnsi" w:cstheme="majorHAnsi"/>
          <w:bCs/>
          <w:sz w:val="24"/>
          <w:szCs w:val="24"/>
          <w:lang w:val="ro-MD"/>
        </w:rPr>
        <w:t>,</w:t>
      </w:r>
      <w:r w:rsidRPr="00E33BAB">
        <w:rPr>
          <w:rFonts w:asciiTheme="majorHAnsi" w:eastAsia="Calibri" w:hAnsiTheme="majorHAnsi" w:cstheme="majorHAnsi"/>
          <w:bCs/>
          <w:sz w:val="24"/>
          <w:szCs w:val="24"/>
          <w:lang w:val="ro-MD"/>
        </w:rPr>
        <w:t xml:space="preserve"> pentru colectarea datelor din teritoriu.</w:t>
      </w:r>
    </w:p>
    <w:p w14:paraId="1EF34A09" w14:textId="39A94ADF" w:rsidR="00330B0C" w:rsidRPr="00E33BAB" w:rsidRDefault="00330B0C" w:rsidP="00330B0C">
      <w:pPr>
        <w:spacing w:after="0" w:line="276" w:lineRule="auto"/>
        <w:jc w:val="both"/>
        <w:rPr>
          <w:rFonts w:asciiTheme="majorHAnsi" w:eastAsia="Calibri" w:hAnsiTheme="majorHAnsi" w:cstheme="majorHAnsi"/>
          <w:bCs/>
          <w:sz w:val="24"/>
          <w:szCs w:val="24"/>
          <w:lang w:val="ro-MD"/>
        </w:rPr>
      </w:pPr>
      <w:r w:rsidRPr="00E33BAB">
        <w:rPr>
          <w:rFonts w:asciiTheme="majorHAnsi" w:eastAsia="Calibri" w:hAnsiTheme="majorHAnsi" w:cstheme="majorHAnsi"/>
          <w:bCs/>
          <w:sz w:val="24"/>
          <w:szCs w:val="24"/>
          <w:lang w:val="ro-MD"/>
        </w:rPr>
        <w:t xml:space="preserve">Pentru „Validarea indicatorului nr. 1.1” </w:t>
      </w:r>
      <w:r w:rsidR="002F1C3C" w:rsidRPr="00E33BAB">
        <w:rPr>
          <w:rFonts w:asciiTheme="majorHAnsi" w:eastAsia="Calibri" w:hAnsiTheme="majorHAnsi" w:cstheme="majorHAnsi"/>
          <w:bCs/>
          <w:sz w:val="24"/>
          <w:szCs w:val="24"/>
          <w:lang w:val="ro-MD"/>
        </w:rPr>
        <w:t xml:space="preserve">a fost contractată </w:t>
      </w:r>
      <w:r w:rsidRPr="00E33BAB">
        <w:rPr>
          <w:rFonts w:asciiTheme="majorHAnsi" w:eastAsia="Calibri" w:hAnsiTheme="majorHAnsi" w:cstheme="majorHAnsi"/>
          <w:bCs/>
          <w:sz w:val="24"/>
          <w:szCs w:val="24"/>
          <w:lang w:val="ro-MD"/>
        </w:rPr>
        <w:t xml:space="preserve">o entitate independentă în cadrul unei </w:t>
      </w:r>
      <w:r w:rsidR="00E33BAB" w:rsidRPr="00E33BAB">
        <w:rPr>
          <w:rFonts w:asciiTheme="majorHAnsi" w:eastAsia="Calibri" w:hAnsiTheme="majorHAnsi" w:cstheme="majorHAnsi"/>
          <w:bCs/>
          <w:sz w:val="24"/>
          <w:szCs w:val="24"/>
          <w:lang w:val="ro-MD"/>
        </w:rPr>
        <w:t>licitații</w:t>
      </w:r>
      <w:r w:rsidRPr="00E33BAB">
        <w:rPr>
          <w:rFonts w:asciiTheme="majorHAnsi" w:eastAsia="Calibri" w:hAnsiTheme="majorHAnsi" w:cstheme="majorHAnsi"/>
          <w:bCs/>
          <w:sz w:val="24"/>
          <w:szCs w:val="24"/>
          <w:lang w:val="ro-MD"/>
        </w:rPr>
        <w:t xml:space="preserve"> deschise. Metodologia a fost elaborată de consultanți și aprobată de grupul de lucru a</w:t>
      </w:r>
      <w:r w:rsidR="002F1C3C">
        <w:rPr>
          <w:rFonts w:asciiTheme="majorHAnsi" w:eastAsia="Calibri" w:hAnsiTheme="majorHAnsi" w:cstheme="majorHAnsi"/>
          <w:bCs/>
          <w:sz w:val="24"/>
          <w:szCs w:val="24"/>
          <w:lang w:val="ro-MD"/>
        </w:rPr>
        <w:t xml:space="preserve">l </w:t>
      </w:r>
      <w:r w:rsidRPr="00E33BAB">
        <w:rPr>
          <w:rFonts w:asciiTheme="majorHAnsi" w:eastAsia="Calibri" w:hAnsiTheme="majorHAnsi" w:cstheme="majorHAnsi"/>
          <w:bCs/>
          <w:sz w:val="24"/>
          <w:szCs w:val="24"/>
          <w:lang w:val="ro-MD"/>
        </w:rPr>
        <w:t xml:space="preserve"> Ministerului Sănătății, Muncii și Protecției Sociale și de echipa Băncii Mondiale. </w:t>
      </w:r>
    </w:p>
    <w:p w14:paraId="766BEEE4" w14:textId="2BAB04DC" w:rsidR="00330B0C" w:rsidRPr="00E33BAB" w:rsidRDefault="00330B0C" w:rsidP="00330B0C">
      <w:pPr>
        <w:pStyle w:val="ListParagraph"/>
        <w:numPr>
          <w:ilvl w:val="0"/>
          <w:numId w:val="12"/>
        </w:numPr>
        <w:spacing w:after="0" w:line="276" w:lineRule="auto"/>
        <w:ind w:left="0" w:firstLine="0"/>
        <w:jc w:val="both"/>
        <w:rPr>
          <w:rFonts w:asciiTheme="majorHAnsi" w:eastAsia="Calibri" w:hAnsiTheme="majorHAnsi" w:cstheme="majorHAnsi"/>
          <w:bCs/>
          <w:sz w:val="24"/>
          <w:szCs w:val="24"/>
          <w:lang w:val="ro-MD"/>
        </w:rPr>
      </w:pPr>
      <w:r w:rsidRPr="00E33BAB">
        <w:rPr>
          <w:rFonts w:asciiTheme="majorHAnsi" w:eastAsia="Calibri" w:hAnsiTheme="majorHAnsi" w:cstheme="majorHAnsi"/>
          <w:b/>
          <w:bCs/>
          <w:i/>
          <w:sz w:val="24"/>
          <w:szCs w:val="24"/>
          <w:lang w:val="ro-MD"/>
        </w:rPr>
        <w:t xml:space="preserve">Pentru repetarea Studiului „Accesul </w:t>
      </w:r>
      <w:r w:rsidR="00E33BAB" w:rsidRPr="00E33BAB">
        <w:rPr>
          <w:rFonts w:asciiTheme="majorHAnsi" w:eastAsia="Calibri" w:hAnsiTheme="majorHAnsi" w:cstheme="majorHAnsi"/>
          <w:b/>
          <w:bCs/>
          <w:i/>
          <w:sz w:val="24"/>
          <w:szCs w:val="24"/>
          <w:lang w:val="ro-MD"/>
        </w:rPr>
        <w:t>populației</w:t>
      </w:r>
      <w:r w:rsidRPr="00E33BAB">
        <w:rPr>
          <w:rFonts w:asciiTheme="majorHAnsi" w:eastAsia="Calibri" w:hAnsiTheme="majorHAnsi" w:cstheme="majorHAnsi"/>
          <w:b/>
          <w:bCs/>
          <w:i/>
          <w:sz w:val="24"/>
          <w:szCs w:val="24"/>
          <w:lang w:val="ro-MD"/>
        </w:rPr>
        <w:t xml:space="preserve"> la serviciile de sănătate în 2016” (</w:t>
      </w:r>
      <w:r w:rsidR="002F1C3C">
        <w:rPr>
          <w:rFonts w:asciiTheme="majorHAnsi" w:eastAsia="Calibri" w:hAnsiTheme="majorHAnsi" w:cstheme="majorHAnsi"/>
          <w:b/>
          <w:bCs/>
          <w:i/>
          <w:sz w:val="24"/>
          <w:szCs w:val="24"/>
          <w:lang w:val="ro-MD"/>
        </w:rPr>
        <w:t xml:space="preserve">pct. </w:t>
      </w:r>
      <w:r w:rsidRPr="00E33BAB">
        <w:rPr>
          <w:rFonts w:asciiTheme="majorHAnsi" w:eastAsia="Calibri" w:hAnsiTheme="majorHAnsi" w:cstheme="majorHAnsi"/>
          <w:b/>
          <w:bCs/>
          <w:i/>
          <w:sz w:val="24"/>
          <w:szCs w:val="24"/>
          <w:lang w:val="ro-MD"/>
        </w:rPr>
        <w:t>1.1.8</w:t>
      </w:r>
      <w:r w:rsidR="002F1C3C">
        <w:rPr>
          <w:rFonts w:asciiTheme="majorHAnsi" w:eastAsia="Calibri" w:hAnsiTheme="majorHAnsi" w:cstheme="majorHAnsi"/>
          <w:b/>
          <w:bCs/>
          <w:i/>
          <w:sz w:val="24"/>
          <w:szCs w:val="24"/>
          <w:lang w:val="ro-MD"/>
        </w:rPr>
        <w:t>.</w:t>
      </w:r>
      <w:r w:rsidRPr="00E33BAB">
        <w:rPr>
          <w:rFonts w:asciiTheme="majorHAnsi" w:eastAsia="Calibri" w:hAnsiTheme="majorHAnsi" w:cstheme="majorHAnsi"/>
          <w:b/>
          <w:bCs/>
          <w:i/>
          <w:sz w:val="24"/>
          <w:szCs w:val="24"/>
          <w:lang w:val="ro-MD"/>
        </w:rPr>
        <w:t xml:space="preserve"> din Planul de procurări)</w:t>
      </w:r>
      <w:r w:rsidRPr="00E33BAB">
        <w:rPr>
          <w:rFonts w:asciiTheme="majorHAnsi" w:eastAsia="Calibri" w:hAnsiTheme="majorHAnsi" w:cstheme="majorHAnsi"/>
          <w:bCs/>
          <w:sz w:val="24"/>
          <w:szCs w:val="24"/>
          <w:lang w:val="ro-MD"/>
        </w:rPr>
        <w:t>, MSMPS</w:t>
      </w:r>
      <w:r w:rsidR="002F1C3C">
        <w:rPr>
          <w:rFonts w:asciiTheme="majorHAnsi" w:eastAsia="Calibri" w:hAnsiTheme="majorHAnsi" w:cstheme="majorHAnsi"/>
          <w:bCs/>
          <w:sz w:val="24"/>
          <w:szCs w:val="24"/>
          <w:lang w:val="ro-MD"/>
        </w:rPr>
        <w:t>,</w:t>
      </w:r>
      <w:r w:rsidRPr="00E33BAB">
        <w:rPr>
          <w:rFonts w:asciiTheme="majorHAnsi" w:eastAsia="Calibri" w:hAnsiTheme="majorHAnsi" w:cstheme="majorHAnsi"/>
          <w:bCs/>
          <w:sz w:val="24"/>
          <w:szCs w:val="24"/>
          <w:lang w:val="ro-MD"/>
        </w:rPr>
        <w:t xml:space="preserve"> de comun acord cu Biroul Naţional de Statistică</w:t>
      </w:r>
      <w:r w:rsidR="00F13B13">
        <w:rPr>
          <w:rFonts w:asciiTheme="majorHAnsi" w:eastAsia="Calibri" w:hAnsiTheme="majorHAnsi" w:cstheme="majorHAnsi"/>
          <w:bCs/>
          <w:sz w:val="24"/>
          <w:szCs w:val="24"/>
          <w:lang w:val="ro-MD"/>
        </w:rPr>
        <w:t xml:space="preserve"> (BNS),</w:t>
      </w:r>
      <w:r w:rsidRPr="00E33BAB">
        <w:rPr>
          <w:rFonts w:asciiTheme="majorHAnsi" w:eastAsia="Calibri" w:hAnsiTheme="majorHAnsi" w:cstheme="majorHAnsi"/>
          <w:bCs/>
          <w:sz w:val="24"/>
          <w:szCs w:val="24"/>
          <w:lang w:val="ro-MD"/>
        </w:rPr>
        <w:t xml:space="preserve"> care va fi contractat din sursă unică, </w:t>
      </w:r>
      <w:r w:rsidR="002F1C3C" w:rsidRPr="00E33BAB">
        <w:rPr>
          <w:rFonts w:asciiTheme="majorHAnsi" w:eastAsia="Calibri" w:hAnsiTheme="majorHAnsi" w:cstheme="majorHAnsi"/>
          <w:bCs/>
          <w:sz w:val="24"/>
          <w:szCs w:val="24"/>
          <w:lang w:val="ro-MD"/>
        </w:rPr>
        <w:t>a</w:t>
      </w:r>
      <w:r w:rsidR="002F1C3C">
        <w:rPr>
          <w:rFonts w:asciiTheme="majorHAnsi" w:eastAsia="Calibri" w:hAnsiTheme="majorHAnsi" w:cstheme="majorHAnsi"/>
          <w:bCs/>
          <w:sz w:val="24"/>
          <w:szCs w:val="24"/>
          <w:lang w:val="ro-MD"/>
        </w:rPr>
        <w:t>u</w:t>
      </w:r>
      <w:r w:rsidR="002F1C3C" w:rsidRPr="00E33BAB">
        <w:rPr>
          <w:rFonts w:asciiTheme="majorHAnsi" w:eastAsia="Calibri" w:hAnsiTheme="majorHAnsi" w:cstheme="majorHAnsi"/>
          <w:bCs/>
          <w:sz w:val="24"/>
          <w:szCs w:val="24"/>
          <w:lang w:val="ro-MD"/>
        </w:rPr>
        <w:t xml:space="preserve"> convenit </w:t>
      </w:r>
      <w:r w:rsidRPr="00E33BAB">
        <w:rPr>
          <w:rFonts w:asciiTheme="majorHAnsi" w:eastAsia="Calibri" w:hAnsiTheme="majorHAnsi" w:cstheme="majorHAnsi"/>
          <w:bCs/>
          <w:sz w:val="24"/>
          <w:szCs w:val="24"/>
          <w:lang w:val="ro-MD"/>
        </w:rPr>
        <w:t xml:space="preserve">ca studiul să fie repetat în anul 2021. </w:t>
      </w:r>
      <w:r w:rsidRPr="00F13B13">
        <w:rPr>
          <w:rFonts w:asciiTheme="majorHAnsi" w:eastAsia="Calibri" w:hAnsiTheme="majorHAnsi" w:cstheme="majorHAnsi"/>
          <w:bCs/>
          <w:sz w:val="24"/>
          <w:szCs w:val="24"/>
          <w:lang w:val="ro-MD"/>
        </w:rPr>
        <w:t>BNS</w:t>
      </w:r>
      <w:r w:rsidRPr="00E33BAB">
        <w:rPr>
          <w:rFonts w:asciiTheme="majorHAnsi" w:eastAsia="Calibri" w:hAnsiTheme="majorHAnsi" w:cstheme="majorHAnsi"/>
          <w:bCs/>
          <w:sz w:val="24"/>
          <w:szCs w:val="24"/>
          <w:lang w:val="ro-MD"/>
        </w:rPr>
        <w:t xml:space="preserve"> urmează să ajusteze chestionarul, care</w:t>
      </w:r>
      <w:r w:rsidR="007D65BA">
        <w:rPr>
          <w:rFonts w:asciiTheme="majorHAnsi" w:eastAsia="Calibri" w:hAnsiTheme="majorHAnsi" w:cstheme="majorHAnsi"/>
          <w:bCs/>
          <w:sz w:val="24"/>
          <w:szCs w:val="24"/>
          <w:lang w:val="ro-MD"/>
        </w:rPr>
        <w:t>,</w:t>
      </w:r>
      <w:r w:rsidRPr="00E33BAB">
        <w:rPr>
          <w:rFonts w:asciiTheme="majorHAnsi" w:eastAsia="Calibri" w:hAnsiTheme="majorHAnsi" w:cstheme="majorHAnsi"/>
          <w:bCs/>
          <w:sz w:val="24"/>
          <w:szCs w:val="24"/>
          <w:lang w:val="ro-MD"/>
        </w:rPr>
        <w:t xml:space="preserve"> împreună cu termenii de referință</w:t>
      </w:r>
      <w:r w:rsidR="007D65BA">
        <w:rPr>
          <w:rFonts w:asciiTheme="majorHAnsi" w:eastAsia="Calibri" w:hAnsiTheme="majorHAnsi" w:cstheme="majorHAnsi"/>
          <w:bCs/>
          <w:sz w:val="24"/>
          <w:szCs w:val="24"/>
          <w:lang w:val="ro-MD"/>
        </w:rPr>
        <w:t>,</w:t>
      </w:r>
      <w:r w:rsidRPr="00E33BAB">
        <w:rPr>
          <w:rFonts w:asciiTheme="majorHAnsi" w:eastAsia="Calibri" w:hAnsiTheme="majorHAnsi" w:cstheme="majorHAnsi"/>
          <w:bCs/>
          <w:sz w:val="24"/>
          <w:szCs w:val="24"/>
          <w:lang w:val="ro-MD"/>
        </w:rPr>
        <w:t xml:space="preserve"> se vor prezenta Băncii </w:t>
      </w:r>
      <w:r w:rsidR="007D65BA">
        <w:rPr>
          <w:rFonts w:asciiTheme="majorHAnsi" w:eastAsia="Calibri" w:hAnsiTheme="majorHAnsi" w:cstheme="majorHAnsi"/>
          <w:bCs/>
          <w:sz w:val="24"/>
          <w:szCs w:val="24"/>
          <w:lang w:val="ro-MD"/>
        </w:rPr>
        <w:t xml:space="preserve">Mondiale </w:t>
      </w:r>
      <w:r w:rsidRPr="00E33BAB">
        <w:rPr>
          <w:rFonts w:asciiTheme="majorHAnsi" w:eastAsia="Calibri" w:hAnsiTheme="majorHAnsi" w:cstheme="majorHAnsi"/>
          <w:bCs/>
          <w:sz w:val="24"/>
          <w:szCs w:val="24"/>
          <w:lang w:val="ro-MD"/>
        </w:rPr>
        <w:t xml:space="preserve">spre aprobare. </w:t>
      </w:r>
      <w:r w:rsidR="007D65BA">
        <w:rPr>
          <w:rFonts w:asciiTheme="majorHAnsi" w:eastAsia="Calibri" w:hAnsiTheme="majorHAnsi" w:cstheme="majorHAnsi"/>
          <w:bCs/>
          <w:sz w:val="24"/>
          <w:szCs w:val="24"/>
          <w:lang w:val="ro-MD"/>
        </w:rPr>
        <w:t>U</w:t>
      </w:r>
      <w:r w:rsidRPr="00E33BAB">
        <w:rPr>
          <w:rFonts w:asciiTheme="majorHAnsi" w:eastAsia="Calibri" w:hAnsiTheme="majorHAnsi" w:cstheme="majorHAnsi"/>
          <w:bCs/>
          <w:sz w:val="24"/>
          <w:szCs w:val="24"/>
          <w:lang w:val="ro-MD"/>
        </w:rPr>
        <w:t>lterior</w:t>
      </w:r>
      <w:r w:rsidR="007D65BA">
        <w:rPr>
          <w:rFonts w:asciiTheme="majorHAnsi" w:eastAsia="Calibri" w:hAnsiTheme="majorHAnsi" w:cstheme="majorHAnsi"/>
          <w:bCs/>
          <w:sz w:val="24"/>
          <w:szCs w:val="24"/>
          <w:lang w:val="ro-MD"/>
        </w:rPr>
        <w:t>,</w:t>
      </w:r>
      <w:r w:rsidRPr="00E33BAB">
        <w:rPr>
          <w:rFonts w:asciiTheme="majorHAnsi" w:eastAsia="Calibri" w:hAnsiTheme="majorHAnsi" w:cstheme="majorHAnsi"/>
          <w:bCs/>
          <w:sz w:val="24"/>
          <w:szCs w:val="24"/>
          <w:lang w:val="ro-MD"/>
        </w:rPr>
        <w:t xml:space="preserve"> MSMPS va solicita de la BNS oferta financiară pentru acest studiu. </w:t>
      </w:r>
    </w:p>
    <w:p w14:paraId="25B8A6CD" w14:textId="54F2FFD8" w:rsidR="00330B0C" w:rsidRPr="00E33BAB" w:rsidRDefault="00330B0C" w:rsidP="00330B0C">
      <w:pPr>
        <w:pStyle w:val="ListParagraph"/>
        <w:numPr>
          <w:ilvl w:val="0"/>
          <w:numId w:val="12"/>
        </w:numPr>
        <w:spacing w:after="0" w:line="276" w:lineRule="auto"/>
        <w:ind w:left="0" w:firstLine="0"/>
        <w:jc w:val="both"/>
        <w:rPr>
          <w:rFonts w:asciiTheme="majorHAnsi" w:eastAsia="Calibri" w:hAnsiTheme="majorHAnsi" w:cstheme="majorHAnsi"/>
          <w:bCs/>
          <w:sz w:val="24"/>
          <w:szCs w:val="24"/>
          <w:lang w:val="ro-MD"/>
        </w:rPr>
      </w:pPr>
      <w:r w:rsidRPr="00E33BAB">
        <w:rPr>
          <w:rFonts w:asciiTheme="majorHAnsi" w:eastAsia="Calibri" w:hAnsiTheme="majorHAnsi" w:cstheme="majorHAnsi"/>
          <w:b/>
          <w:bCs/>
          <w:i/>
          <w:sz w:val="24"/>
          <w:szCs w:val="24"/>
          <w:lang w:val="ro-MD"/>
        </w:rPr>
        <w:t>Pentru Sistemul Informațional Automatizat „Asistenț</w:t>
      </w:r>
      <w:r w:rsidR="007D65BA">
        <w:rPr>
          <w:rFonts w:asciiTheme="majorHAnsi" w:eastAsia="Calibri" w:hAnsiTheme="majorHAnsi" w:cstheme="majorHAnsi"/>
          <w:b/>
          <w:bCs/>
          <w:i/>
          <w:sz w:val="24"/>
          <w:szCs w:val="24"/>
          <w:lang w:val="ro-MD"/>
        </w:rPr>
        <w:t>a</w:t>
      </w:r>
      <w:r w:rsidRPr="00E33BAB">
        <w:rPr>
          <w:rFonts w:asciiTheme="majorHAnsi" w:eastAsia="Calibri" w:hAnsiTheme="majorHAnsi" w:cstheme="majorHAnsi"/>
          <w:b/>
          <w:bCs/>
          <w:i/>
          <w:sz w:val="24"/>
          <w:szCs w:val="24"/>
          <w:lang w:val="ro-MD"/>
        </w:rPr>
        <w:t xml:space="preserve"> Medicală Primară” (pct. 1.1.9.a și 1.1.9.b din Planul de procurări)</w:t>
      </w:r>
      <w:r w:rsidRPr="00E33BAB">
        <w:rPr>
          <w:rFonts w:asciiTheme="majorHAnsi" w:eastAsia="Calibri" w:hAnsiTheme="majorHAnsi" w:cstheme="majorHAnsi"/>
          <w:bCs/>
          <w:sz w:val="24"/>
          <w:szCs w:val="24"/>
          <w:lang w:val="ro-MD"/>
        </w:rPr>
        <w:t xml:space="preserve">, suma </w:t>
      </w:r>
      <w:r w:rsidRPr="00C315EB">
        <w:rPr>
          <w:rFonts w:asciiTheme="majorHAnsi" w:eastAsia="Calibri" w:hAnsiTheme="majorHAnsi" w:cstheme="majorHAnsi"/>
          <w:bCs/>
          <w:sz w:val="24"/>
          <w:szCs w:val="24"/>
          <w:lang w:val="ro-MD"/>
        </w:rPr>
        <w:t>de 714 500 DST, din Programul de suport la buget</w:t>
      </w:r>
      <w:r w:rsidRPr="00C315EB">
        <w:rPr>
          <w:rStyle w:val="FootnoteReference"/>
          <w:rFonts w:asciiTheme="majorHAnsi" w:eastAsia="Calibri" w:hAnsiTheme="majorHAnsi" w:cstheme="majorHAnsi"/>
          <w:bCs/>
          <w:sz w:val="24"/>
          <w:szCs w:val="24"/>
          <w:lang w:val="ro-MD"/>
        </w:rPr>
        <w:footnoteReference w:id="16"/>
      </w:r>
      <w:r w:rsidRPr="00C315EB">
        <w:rPr>
          <w:rFonts w:asciiTheme="majorHAnsi" w:eastAsia="Calibri" w:hAnsiTheme="majorHAnsi" w:cstheme="majorHAnsi"/>
          <w:bCs/>
          <w:sz w:val="24"/>
          <w:szCs w:val="24"/>
          <w:lang w:val="ro-MD"/>
        </w:rPr>
        <w:t>, realocată pentru activitățile adiționale de asist</w:t>
      </w:r>
      <w:r w:rsidR="00D33083" w:rsidRPr="00C315EB">
        <w:rPr>
          <w:rFonts w:asciiTheme="majorHAnsi" w:eastAsia="Calibri" w:hAnsiTheme="majorHAnsi" w:cstheme="majorHAnsi"/>
          <w:bCs/>
          <w:sz w:val="24"/>
          <w:szCs w:val="24"/>
          <w:lang w:val="ro-MD"/>
        </w:rPr>
        <w:t>ență tehnică în scopul dezvolt</w:t>
      </w:r>
      <w:r w:rsidRPr="00C315EB">
        <w:rPr>
          <w:rFonts w:asciiTheme="majorHAnsi" w:eastAsia="Calibri" w:hAnsiTheme="majorHAnsi" w:cstheme="majorHAnsi"/>
          <w:bCs/>
          <w:sz w:val="24"/>
          <w:szCs w:val="24"/>
          <w:lang w:val="ro-MD"/>
        </w:rPr>
        <w:t xml:space="preserve">ării funcționalităților adiționale și a interconexiunilor Sistemului Informațional Automatizat „Asistența Medicală Primară” (Rețeta electronică </w:t>
      </w:r>
      <w:r w:rsidR="00106F3C" w:rsidRPr="00C315EB">
        <w:rPr>
          <w:rFonts w:asciiTheme="majorHAnsi" w:eastAsia="Calibri" w:hAnsiTheme="majorHAnsi" w:cstheme="majorHAnsi"/>
          <w:bCs/>
          <w:sz w:val="24"/>
          <w:szCs w:val="24"/>
          <w:lang w:val="ro-MD"/>
        </w:rPr>
        <w:t>(</w:t>
      </w:r>
      <w:r w:rsidRPr="00C315EB">
        <w:rPr>
          <w:rFonts w:asciiTheme="majorHAnsi" w:eastAsia="Calibri" w:hAnsiTheme="majorHAnsi" w:cstheme="majorHAnsi"/>
          <w:bCs/>
          <w:sz w:val="24"/>
          <w:szCs w:val="24"/>
          <w:lang w:val="ro-MD"/>
        </w:rPr>
        <w:t>E-Rețeta); Certificat</w:t>
      </w:r>
      <w:r w:rsidR="00106F3C" w:rsidRPr="00C315EB">
        <w:rPr>
          <w:rFonts w:asciiTheme="majorHAnsi" w:eastAsia="Calibri" w:hAnsiTheme="majorHAnsi" w:cstheme="majorHAnsi"/>
          <w:bCs/>
          <w:sz w:val="24"/>
          <w:szCs w:val="24"/>
          <w:lang w:val="ro-MD"/>
        </w:rPr>
        <w:t>ul</w:t>
      </w:r>
      <w:r w:rsidRPr="00C315EB">
        <w:rPr>
          <w:rFonts w:asciiTheme="majorHAnsi" w:eastAsia="Calibri" w:hAnsiTheme="majorHAnsi" w:cstheme="majorHAnsi"/>
          <w:bCs/>
          <w:sz w:val="24"/>
          <w:szCs w:val="24"/>
          <w:lang w:val="ro-MD"/>
        </w:rPr>
        <w:t xml:space="preserve"> de concediu medical electronic (E-Certificat); Certificat</w:t>
      </w:r>
      <w:r w:rsidR="00106F3C" w:rsidRPr="00C315EB">
        <w:rPr>
          <w:rFonts w:asciiTheme="majorHAnsi" w:eastAsia="Calibri" w:hAnsiTheme="majorHAnsi" w:cstheme="majorHAnsi"/>
          <w:bCs/>
          <w:sz w:val="24"/>
          <w:szCs w:val="24"/>
          <w:lang w:val="ro-MD"/>
        </w:rPr>
        <w:t>ul</w:t>
      </w:r>
      <w:r w:rsidRPr="00C315EB">
        <w:rPr>
          <w:rFonts w:asciiTheme="majorHAnsi" w:eastAsia="Calibri" w:hAnsiTheme="majorHAnsi" w:cstheme="majorHAnsi"/>
          <w:bCs/>
          <w:sz w:val="24"/>
          <w:szCs w:val="24"/>
          <w:lang w:val="ro-MD"/>
        </w:rPr>
        <w:t xml:space="preserve"> de naștere electronic; Certificat</w:t>
      </w:r>
      <w:r w:rsidR="00106F3C" w:rsidRPr="00C315EB">
        <w:rPr>
          <w:rFonts w:asciiTheme="majorHAnsi" w:eastAsia="Calibri" w:hAnsiTheme="majorHAnsi" w:cstheme="majorHAnsi"/>
          <w:bCs/>
          <w:sz w:val="24"/>
          <w:szCs w:val="24"/>
          <w:lang w:val="ro-MD"/>
        </w:rPr>
        <w:t>ul</w:t>
      </w:r>
      <w:r w:rsidRPr="00C315EB">
        <w:rPr>
          <w:rFonts w:asciiTheme="majorHAnsi" w:eastAsia="Calibri" w:hAnsiTheme="majorHAnsi" w:cstheme="majorHAnsi"/>
          <w:bCs/>
          <w:sz w:val="24"/>
          <w:szCs w:val="24"/>
          <w:lang w:val="ro-MD"/>
        </w:rPr>
        <w:t xml:space="preserve"> de deces electronic; Registrul de diabet zaharat; Registrul Național Renal</w:t>
      </w:r>
      <w:r w:rsidR="00106F3C" w:rsidRPr="00C315EB">
        <w:rPr>
          <w:rFonts w:asciiTheme="majorHAnsi" w:eastAsia="Calibri" w:hAnsiTheme="majorHAnsi" w:cstheme="majorHAnsi"/>
          <w:bCs/>
          <w:sz w:val="24"/>
          <w:szCs w:val="24"/>
          <w:lang w:val="ro-MD"/>
        </w:rPr>
        <w:t>)</w:t>
      </w:r>
      <w:r w:rsidRPr="00C315EB">
        <w:rPr>
          <w:rFonts w:asciiTheme="majorHAnsi" w:eastAsia="Calibri" w:hAnsiTheme="majorHAnsi" w:cstheme="majorHAnsi"/>
          <w:bCs/>
          <w:sz w:val="24"/>
          <w:szCs w:val="24"/>
          <w:lang w:val="ro-MD"/>
        </w:rPr>
        <w:t>, a rămas necontractată</w:t>
      </w:r>
      <w:r w:rsidR="00123D03" w:rsidRPr="00C315EB">
        <w:rPr>
          <w:rFonts w:asciiTheme="majorHAnsi" w:eastAsia="Calibri" w:hAnsiTheme="majorHAnsi" w:cstheme="majorHAnsi"/>
          <w:bCs/>
          <w:sz w:val="24"/>
          <w:szCs w:val="24"/>
          <w:lang w:val="ro-MD"/>
        </w:rPr>
        <w:t>, din</w:t>
      </w:r>
      <w:r w:rsidR="00C63014" w:rsidRPr="00C315EB">
        <w:rPr>
          <w:rFonts w:asciiTheme="majorHAnsi" w:eastAsia="Calibri" w:hAnsiTheme="majorHAnsi" w:cstheme="majorHAnsi"/>
          <w:bCs/>
          <w:sz w:val="24"/>
          <w:szCs w:val="24"/>
          <w:lang w:val="ro-MD"/>
        </w:rPr>
        <w:t xml:space="preserve"> cauza lipsei </w:t>
      </w:r>
      <w:r w:rsidR="001C0313" w:rsidRPr="00C315EB">
        <w:rPr>
          <w:rFonts w:asciiTheme="majorHAnsi" w:eastAsia="Calibri" w:hAnsiTheme="majorHAnsi" w:cstheme="majorHAnsi"/>
          <w:bCs/>
          <w:sz w:val="24"/>
          <w:szCs w:val="24"/>
          <w:lang w:val="ro-MD"/>
        </w:rPr>
        <w:t>specificațiilor tehnice</w:t>
      </w:r>
      <w:r w:rsidRPr="00C315EB">
        <w:rPr>
          <w:rFonts w:asciiTheme="majorHAnsi" w:eastAsia="Calibri" w:hAnsiTheme="majorHAnsi" w:cstheme="majorHAnsi"/>
          <w:bCs/>
          <w:sz w:val="24"/>
          <w:szCs w:val="24"/>
          <w:lang w:val="ro-MD"/>
        </w:rPr>
        <w:t>. Totodată, se constată că pe durata pandemie</w:t>
      </w:r>
      <w:r w:rsidR="007D65BA" w:rsidRPr="00C315EB">
        <w:rPr>
          <w:rFonts w:asciiTheme="majorHAnsi" w:eastAsia="Calibri" w:hAnsiTheme="majorHAnsi" w:cstheme="majorHAnsi"/>
          <w:bCs/>
          <w:sz w:val="24"/>
          <w:szCs w:val="24"/>
          <w:lang w:val="ro-MD"/>
        </w:rPr>
        <w:t>i</w:t>
      </w:r>
      <w:r w:rsidRPr="00C315EB">
        <w:rPr>
          <w:rFonts w:asciiTheme="majorHAnsi" w:eastAsia="Calibri" w:hAnsiTheme="majorHAnsi" w:cstheme="majorHAnsi"/>
          <w:bCs/>
          <w:sz w:val="24"/>
          <w:szCs w:val="24"/>
          <w:lang w:val="ro-MD"/>
        </w:rPr>
        <w:t xml:space="preserve"> </w:t>
      </w:r>
      <w:r w:rsidR="00715534" w:rsidRPr="00C315EB">
        <w:rPr>
          <w:rFonts w:asciiTheme="majorHAnsi" w:eastAsia="Calibri" w:hAnsiTheme="majorHAnsi" w:cstheme="majorHAnsi"/>
          <w:bCs/>
          <w:sz w:val="24"/>
          <w:szCs w:val="24"/>
          <w:lang w:val="ro-MD"/>
        </w:rPr>
        <w:t>s-</w:t>
      </w:r>
      <w:r w:rsidRPr="00C315EB">
        <w:rPr>
          <w:rFonts w:asciiTheme="majorHAnsi" w:eastAsia="Calibri" w:hAnsiTheme="majorHAnsi" w:cstheme="majorHAnsi"/>
          <w:bCs/>
          <w:sz w:val="24"/>
          <w:szCs w:val="24"/>
          <w:lang w:val="ro-MD"/>
        </w:rPr>
        <w:t>a</w:t>
      </w:r>
      <w:r w:rsidR="00715534" w:rsidRPr="00C315EB">
        <w:rPr>
          <w:rFonts w:asciiTheme="majorHAnsi" w:eastAsia="Calibri" w:hAnsiTheme="majorHAnsi" w:cstheme="majorHAnsi"/>
          <w:bCs/>
          <w:sz w:val="24"/>
          <w:szCs w:val="24"/>
          <w:lang w:val="ro-MD"/>
        </w:rPr>
        <w:t xml:space="preserve"> </w:t>
      </w:r>
      <w:r w:rsidRPr="00C315EB">
        <w:rPr>
          <w:rFonts w:asciiTheme="majorHAnsi" w:eastAsia="Calibri" w:hAnsiTheme="majorHAnsi" w:cstheme="majorHAnsi"/>
          <w:bCs/>
          <w:sz w:val="24"/>
          <w:szCs w:val="24"/>
          <w:lang w:val="ro-MD"/>
        </w:rPr>
        <w:t>definitivat integral pachetul de documente necesare pentru lansarea licitației</w:t>
      </w:r>
      <w:r w:rsidR="00715534" w:rsidRPr="00C315EB">
        <w:rPr>
          <w:rFonts w:asciiTheme="majorHAnsi" w:eastAsia="Calibri" w:hAnsiTheme="majorHAnsi" w:cstheme="majorHAnsi"/>
          <w:bCs/>
          <w:sz w:val="24"/>
          <w:szCs w:val="24"/>
          <w:lang w:val="ro-MD"/>
        </w:rPr>
        <w:t>, a</w:t>
      </w:r>
      <w:r w:rsidRPr="00C315EB">
        <w:rPr>
          <w:rFonts w:asciiTheme="majorHAnsi" w:eastAsia="Calibri" w:hAnsiTheme="majorHAnsi" w:cstheme="majorHAnsi"/>
          <w:bCs/>
          <w:sz w:val="24"/>
          <w:szCs w:val="24"/>
          <w:lang w:val="ro-MD"/>
        </w:rPr>
        <w:t xml:space="preserve">cestea </w:t>
      </w:r>
      <w:r w:rsidR="00715534" w:rsidRPr="00C315EB">
        <w:rPr>
          <w:rFonts w:asciiTheme="majorHAnsi" w:eastAsia="Calibri" w:hAnsiTheme="majorHAnsi" w:cstheme="majorHAnsi"/>
          <w:bCs/>
          <w:sz w:val="24"/>
          <w:szCs w:val="24"/>
          <w:lang w:val="ro-MD"/>
        </w:rPr>
        <w:t>fiind</w:t>
      </w:r>
      <w:r w:rsidRPr="00C315EB">
        <w:rPr>
          <w:rFonts w:asciiTheme="majorHAnsi" w:eastAsia="Calibri" w:hAnsiTheme="majorHAnsi" w:cstheme="majorHAnsi"/>
          <w:bCs/>
          <w:sz w:val="24"/>
          <w:szCs w:val="24"/>
          <w:lang w:val="ro-MD"/>
        </w:rPr>
        <w:t xml:space="preserve"> coordonate cu Proiectul e-Guvern și </w:t>
      </w:r>
      <w:r w:rsidR="00715534" w:rsidRPr="00C315EB">
        <w:rPr>
          <w:rFonts w:asciiTheme="majorHAnsi" w:eastAsia="Calibri" w:hAnsiTheme="majorHAnsi" w:cstheme="majorHAnsi"/>
          <w:bCs/>
          <w:sz w:val="24"/>
          <w:szCs w:val="24"/>
          <w:lang w:val="ro-MD"/>
        </w:rPr>
        <w:t xml:space="preserve">cu </w:t>
      </w:r>
      <w:r w:rsidRPr="00C315EB">
        <w:rPr>
          <w:rFonts w:asciiTheme="majorHAnsi" w:eastAsia="Calibri" w:hAnsiTheme="majorHAnsi" w:cstheme="majorHAnsi"/>
          <w:bCs/>
          <w:sz w:val="24"/>
          <w:szCs w:val="24"/>
          <w:lang w:val="ro-MD"/>
        </w:rPr>
        <w:t>mai multe autorități publice centrale, inclusiv</w:t>
      </w:r>
      <w:r w:rsidR="00715534" w:rsidRPr="00C315EB">
        <w:rPr>
          <w:rFonts w:asciiTheme="majorHAnsi" w:eastAsia="Calibri" w:hAnsiTheme="majorHAnsi" w:cstheme="majorHAnsi"/>
          <w:bCs/>
          <w:sz w:val="24"/>
          <w:szCs w:val="24"/>
          <w:lang w:val="ro-MD"/>
        </w:rPr>
        <w:t xml:space="preserve"> </w:t>
      </w:r>
      <w:r w:rsidRPr="00C315EB">
        <w:rPr>
          <w:rFonts w:asciiTheme="majorHAnsi" w:eastAsia="Calibri" w:hAnsiTheme="majorHAnsi" w:cstheme="majorHAnsi"/>
          <w:bCs/>
          <w:sz w:val="24"/>
          <w:szCs w:val="24"/>
          <w:lang w:val="ro-MD"/>
        </w:rPr>
        <w:t>definitiva</w:t>
      </w:r>
      <w:r w:rsidR="00715534" w:rsidRPr="00C315EB">
        <w:rPr>
          <w:rFonts w:asciiTheme="majorHAnsi" w:eastAsia="Calibri" w:hAnsiTheme="majorHAnsi" w:cstheme="majorHAnsi"/>
          <w:bCs/>
          <w:sz w:val="24"/>
          <w:szCs w:val="24"/>
          <w:lang w:val="ro-MD"/>
        </w:rPr>
        <w:t>te</w:t>
      </w:r>
      <w:r w:rsidRPr="00C315EB">
        <w:rPr>
          <w:rFonts w:asciiTheme="majorHAnsi" w:eastAsia="Calibri" w:hAnsiTheme="majorHAnsi" w:cstheme="majorHAnsi"/>
          <w:bCs/>
          <w:sz w:val="24"/>
          <w:szCs w:val="24"/>
          <w:lang w:val="ro-MD"/>
        </w:rPr>
        <w:t xml:space="preserve"> în baza recomandărilor acestora. Către finele anului 2020, echipa MSMPS</w:t>
      </w:r>
      <w:r w:rsidR="00715534" w:rsidRPr="00C315EB">
        <w:rPr>
          <w:rFonts w:asciiTheme="majorHAnsi" w:eastAsia="Calibri" w:hAnsiTheme="majorHAnsi" w:cstheme="majorHAnsi"/>
          <w:bCs/>
          <w:sz w:val="24"/>
          <w:szCs w:val="24"/>
          <w:lang w:val="ro-MD"/>
        </w:rPr>
        <w:t>,</w:t>
      </w:r>
      <w:r w:rsidRPr="00C315EB">
        <w:rPr>
          <w:rFonts w:asciiTheme="majorHAnsi" w:eastAsia="Calibri" w:hAnsiTheme="majorHAnsi" w:cstheme="majorHAnsi"/>
          <w:bCs/>
          <w:sz w:val="24"/>
          <w:szCs w:val="24"/>
          <w:lang w:val="ro-MD"/>
        </w:rPr>
        <w:t xml:space="preserve"> cu suportul coordonatorului IT</w:t>
      </w:r>
      <w:r w:rsidR="00715534" w:rsidRPr="00C315EB">
        <w:rPr>
          <w:rFonts w:asciiTheme="majorHAnsi" w:eastAsia="Calibri" w:hAnsiTheme="majorHAnsi" w:cstheme="majorHAnsi"/>
          <w:bCs/>
          <w:sz w:val="24"/>
          <w:szCs w:val="24"/>
          <w:lang w:val="ro-MD"/>
        </w:rPr>
        <w:t>,</w:t>
      </w:r>
      <w:r w:rsidRPr="00C315EB">
        <w:rPr>
          <w:rFonts w:asciiTheme="majorHAnsi" w:eastAsia="Calibri" w:hAnsiTheme="majorHAnsi" w:cstheme="majorHAnsi"/>
          <w:bCs/>
          <w:sz w:val="24"/>
          <w:szCs w:val="24"/>
          <w:lang w:val="ro-MD"/>
        </w:rPr>
        <w:t xml:space="preserve"> a finalizat </w:t>
      </w:r>
      <w:r w:rsidR="00106F3C" w:rsidRPr="00C315EB">
        <w:rPr>
          <w:rFonts w:asciiTheme="majorHAnsi" w:eastAsia="Calibri" w:hAnsiTheme="majorHAnsi" w:cstheme="majorHAnsi"/>
          <w:bCs/>
          <w:sz w:val="24"/>
          <w:szCs w:val="24"/>
          <w:lang w:val="ro-MD"/>
        </w:rPr>
        <w:t>C</w:t>
      </w:r>
      <w:r w:rsidRPr="00C315EB">
        <w:rPr>
          <w:rFonts w:asciiTheme="majorHAnsi" w:eastAsia="Calibri" w:hAnsiTheme="majorHAnsi" w:cstheme="majorHAnsi"/>
          <w:bCs/>
          <w:sz w:val="24"/>
          <w:szCs w:val="24"/>
          <w:lang w:val="ro-MD"/>
        </w:rPr>
        <w:t>aietul de sarcini în limbile română și engleză. După ce a fost acceptată extinderea</w:t>
      </w:r>
      <w:r w:rsidR="00C315EB" w:rsidRPr="00C315EB">
        <w:rPr>
          <w:rFonts w:asciiTheme="majorHAnsi" w:eastAsia="Calibri" w:hAnsiTheme="majorHAnsi" w:cstheme="majorHAnsi"/>
          <w:bCs/>
          <w:sz w:val="24"/>
          <w:szCs w:val="24"/>
          <w:lang w:val="ro-MD"/>
        </w:rPr>
        <w:t xml:space="preserve"> termenului</w:t>
      </w:r>
      <w:r w:rsidR="00106F3C" w:rsidRPr="00C315EB">
        <w:rPr>
          <w:rFonts w:asciiTheme="majorHAnsi" w:eastAsia="Calibri" w:hAnsiTheme="majorHAnsi" w:cstheme="majorHAnsi"/>
          <w:bCs/>
          <w:sz w:val="24"/>
          <w:szCs w:val="24"/>
          <w:lang w:val="ro-MD"/>
        </w:rPr>
        <w:t>,</w:t>
      </w:r>
      <w:r w:rsidRPr="00C315EB">
        <w:rPr>
          <w:rFonts w:asciiTheme="majorHAnsi" w:eastAsia="Calibri" w:hAnsiTheme="majorHAnsi" w:cstheme="majorHAnsi"/>
          <w:bCs/>
          <w:sz w:val="24"/>
          <w:szCs w:val="24"/>
          <w:lang w:val="ro-MD"/>
        </w:rPr>
        <w:t xml:space="preserve"> Caietul de sarcini a fost înaintat</w:t>
      </w:r>
      <w:r w:rsidR="00106F3C" w:rsidRPr="00C315EB">
        <w:rPr>
          <w:rFonts w:asciiTheme="majorHAnsi" w:eastAsia="Calibri" w:hAnsiTheme="majorHAnsi" w:cstheme="majorHAnsi"/>
          <w:bCs/>
          <w:sz w:val="24"/>
          <w:szCs w:val="24"/>
          <w:lang w:val="ro-MD"/>
        </w:rPr>
        <w:t>,</w:t>
      </w:r>
      <w:r w:rsidRPr="00C315EB">
        <w:rPr>
          <w:rFonts w:asciiTheme="majorHAnsi" w:eastAsia="Calibri" w:hAnsiTheme="majorHAnsi" w:cstheme="majorHAnsi"/>
          <w:bCs/>
          <w:sz w:val="24"/>
          <w:szCs w:val="24"/>
          <w:lang w:val="ro-MD"/>
        </w:rPr>
        <w:t xml:space="preserve"> spre revizuire și acceptare</w:t>
      </w:r>
      <w:r w:rsidR="00106F3C" w:rsidRPr="00C315EB">
        <w:rPr>
          <w:rFonts w:asciiTheme="majorHAnsi" w:eastAsia="Calibri" w:hAnsiTheme="majorHAnsi" w:cstheme="majorHAnsi"/>
          <w:bCs/>
          <w:sz w:val="24"/>
          <w:szCs w:val="24"/>
          <w:lang w:val="ro-MD"/>
        </w:rPr>
        <w:t>,</w:t>
      </w:r>
      <w:r w:rsidRPr="00C315EB">
        <w:rPr>
          <w:rFonts w:asciiTheme="majorHAnsi" w:eastAsia="Calibri" w:hAnsiTheme="majorHAnsi" w:cstheme="majorHAnsi"/>
          <w:bCs/>
          <w:sz w:val="24"/>
          <w:szCs w:val="24"/>
          <w:lang w:val="ro-MD"/>
        </w:rPr>
        <w:t xml:space="preserve"> Băncii </w:t>
      </w:r>
      <w:r w:rsidR="00106F3C" w:rsidRPr="00C315EB">
        <w:rPr>
          <w:rFonts w:asciiTheme="majorHAnsi" w:eastAsia="Calibri" w:hAnsiTheme="majorHAnsi" w:cstheme="majorHAnsi"/>
          <w:bCs/>
          <w:sz w:val="24"/>
          <w:szCs w:val="24"/>
          <w:lang w:val="ro-MD"/>
        </w:rPr>
        <w:t xml:space="preserve">Mondiale </w:t>
      </w:r>
      <w:r w:rsidRPr="00C315EB">
        <w:rPr>
          <w:rFonts w:asciiTheme="majorHAnsi" w:eastAsia="Calibri" w:hAnsiTheme="majorHAnsi" w:cstheme="majorHAnsi"/>
          <w:bCs/>
          <w:sz w:val="24"/>
          <w:szCs w:val="24"/>
          <w:lang w:val="ro-MD"/>
        </w:rPr>
        <w:t>în primele zile</w:t>
      </w:r>
      <w:r w:rsidRPr="00E33BAB">
        <w:rPr>
          <w:rFonts w:asciiTheme="majorHAnsi" w:eastAsia="Calibri" w:hAnsiTheme="majorHAnsi" w:cstheme="majorHAnsi"/>
          <w:bCs/>
          <w:sz w:val="24"/>
          <w:szCs w:val="24"/>
          <w:lang w:val="ro-MD"/>
        </w:rPr>
        <w:t xml:space="preserve"> ale anului 2021. </w:t>
      </w:r>
    </w:p>
    <w:p w14:paraId="37E3D79F" w14:textId="0BFB5E46" w:rsidR="00330B0C" w:rsidRPr="00E33BAB" w:rsidRDefault="00330B0C" w:rsidP="00330B0C">
      <w:pPr>
        <w:spacing w:after="0" w:line="276" w:lineRule="auto"/>
        <w:jc w:val="both"/>
        <w:rPr>
          <w:rFonts w:asciiTheme="majorHAnsi" w:eastAsia="Calibri" w:hAnsiTheme="majorHAnsi" w:cstheme="majorHAnsi"/>
          <w:bCs/>
          <w:sz w:val="24"/>
          <w:szCs w:val="24"/>
          <w:lang w:val="ro-MD"/>
        </w:rPr>
      </w:pPr>
      <w:r w:rsidRPr="00E33BAB">
        <w:rPr>
          <w:rFonts w:ascii="Calibri Light" w:hAnsi="Calibri Light" w:cs="Times New Roman"/>
          <w:sz w:val="24"/>
          <w:szCs w:val="28"/>
          <w:lang w:val="ro-MD"/>
        </w:rPr>
        <w:t xml:space="preserve">Astfel, neimplementarea </w:t>
      </w:r>
      <w:r w:rsidRPr="00E33BAB">
        <w:rPr>
          <w:rFonts w:asciiTheme="majorHAnsi" w:eastAsia="Calibri" w:hAnsiTheme="majorHAnsi" w:cstheme="majorHAnsi"/>
          <w:bCs/>
          <w:sz w:val="24"/>
          <w:szCs w:val="24"/>
          <w:lang w:val="ro-MD"/>
        </w:rPr>
        <w:t>dezvoltării funcționalităților</w:t>
      </w:r>
      <w:r w:rsidRPr="00E33BAB">
        <w:rPr>
          <w:rFonts w:ascii="Calibri Light" w:hAnsi="Calibri Light" w:cs="Times New Roman"/>
          <w:sz w:val="24"/>
          <w:szCs w:val="28"/>
          <w:lang w:val="ro-MD"/>
        </w:rPr>
        <w:t xml:space="preserve"> Sistemului informațional din cadrul proiectului menține în continuare situațiile de risc și nu permite evidența, prelucrarea, precum și raportarea unificată a datelor, situații identificate inclusiv </w:t>
      </w:r>
      <w:r w:rsidRPr="00E33BAB">
        <w:rPr>
          <w:rFonts w:asciiTheme="majorHAnsi" w:eastAsia="Calibri" w:hAnsiTheme="majorHAnsi" w:cstheme="majorHAnsi"/>
          <w:bCs/>
          <w:sz w:val="24"/>
          <w:szCs w:val="24"/>
          <w:lang w:val="ro-MD"/>
        </w:rPr>
        <w:t>în Raportul auditului performanței implementării Planului de acțiuni al Programului național de prevenire și control al diabetului zaharat</w:t>
      </w:r>
      <w:r w:rsidRPr="00E33BAB">
        <w:rPr>
          <w:rStyle w:val="FootnoteReference"/>
          <w:rFonts w:asciiTheme="majorHAnsi" w:eastAsia="Calibri" w:hAnsiTheme="majorHAnsi" w:cstheme="majorHAnsi"/>
          <w:bCs/>
          <w:sz w:val="24"/>
          <w:szCs w:val="24"/>
          <w:lang w:val="ro-MD"/>
        </w:rPr>
        <w:footnoteReference w:id="17"/>
      </w:r>
      <w:r w:rsidR="00F85BE3" w:rsidRPr="00E33BAB">
        <w:rPr>
          <w:rFonts w:asciiTheme="majorHAnsi" w:eastAsia="Calibri" w:hAnsiTheme="majorHAnsi" w:cstheme="majorHAnsi"/>
          <w:bCs/>
          <w:sz w:val="24"/>
          <w:szCs w:val="24"/>
          <w:lang w:val="ro-MD"/>
        </w:rPr>
        <w:t>.</w:t>
      </w:r>
    </w:p>
    <w:p w14:paraId="51E1334E" w14:textId="7B10EEFD" w:rsidR="00215432" w:rsidRPr="00E33BAB" w:rsidRDefault="00330B0C" w:rsidP="00330B0C">
      <w:pPr>
        <w:jc w:val="both"/>
        <w:rPr>
          <w:rFonts w:asciiTheme="majorHAnsi" w:eastAsia="Calibri" w:hAnsiTheme="majorHAnsi" w:cstheme="majorHAnsi"/>
          <w:bCs/>
          <w:sz w:val="24"/>
          <w:szCs w:val="24"/>
          <w:lang w:val="ro-MD"/>
        </w:rPr>
      </w:pPr>
      <w:r w:rsidRPr="00E33BAB">
        <w:rPr>
          <w:rFonts w:asciiTheme="majorHAnsi" w:eastAsia="Calibri" w:hAnsiTheme="majorHAnsi" w:cstheme="majorHAnsi"/>
          <w:bCs/>
          <w:sz w:val="24"/>
          <w:szCs w:val="24"/>
          <w:lang w:val="ro-MD"/>
        </w:rPr>
        <w:t>Adițional la dezvoltarea funcționalităților suplimentare a</w:t>
      </w:r>
      <w:r w:rsidR="00106F3C">
        <w:rPr>
          <w:rFonts w:asciiTheme="majorHAnsi" w:eastAsia="Calibri" w:hAnsiTheme="majorHAnsi" w:cstheme="majorHAnsi"/>
          <w:bCs/>
          <w:sz w:val="24"/>
          <w:szCs w:val="24"/>
          <w:lang w:val="ro-MD"/>
        </w:rPr>
        <w:t>le</w:t>
      </w:r>
      <w:r w:rsidRPr="00E33BAB">
        <w:rPr>
          <w:rFonts w:asciiTheme="majorHAnsi" w:eastAsia="Calibri" w:hAnsiTheme="majorHAnsi" w:cstheme="majorHAnsi"/>
          <w:bCs/>
          <w:sz w:val="24"/>
          <w:szCs w:val="24"/>
          <w:lang w:val="ro-MD"/>
        </w:rPr>
        <w:t xml:space="preserve"> SIA AMP, MSMPS a inițiat procesul de contractare a serviciilor de consultanță pentru </w:t>
      </w:r>
      <w:r w:rsidRPr="00E33BAB">
        <w:rPr>
          <w:rFonts w:asciiTheme="majorHAnsi" w:eastAsia="Calibri" w:hAnsiTheme="majorHAnsi" w:cstheme="majorHAnsi"/>
          <w:bCs/>
          <w:i/>
          <w:sz w:val="24"/>
          <w:szCs w:val="24"/>
          <w:lang w:val="ro-MD"/>
        </w:rPr>
        <w:t xml:space="preserve">elaborarea Strategiei de comunicare a MSMPS 2021-2023 (componenta </w:t>
      </w:r>
      <w:r w:rsidR="00106F3C">
        <w:rPr>
          <w:rFonts w:asciiTheme="majorHAnsi" w:eastAsia="Calibri" w:hAnsiTheme="majorHAnsi" w:cstheme="majorHAnsi"/>
          <w:bCs/>
          <w:i/>
          <w:sz w:val="24"/>
          <w:szCs w:val="24"/>
          <w:lang w:val="ro-MD"/>
        </w:rPr>
        <w:t>S</w:t>
      </w:r>
      <w:r w:rsidRPr="00E33BAB">
        <w:rPr>
          <w:rFonts w:asciiTheme="majorHAnsi" w:eastAsia="Calibri" w:hAnsiTheme="majorHAnsi" w:cstheme="majorHAnsi"/>
          <w:bCs/>
          <w:i/>
          <w:sz w:val="24"/>
          <w:szCs w:val="24"/>
          <w:lang w:val="ro-MD"/>
        </w:rPr>
        <w:t xml:space="preserve">ănătate și componenta </w:t>
      </w:r>
      <w:r w:rsidR="00106F3C">
        <w:rPr>
          <w:rFonts w:asciiTheme="majorHAnsi" w:eastAsia="Calibri" w:hAnsiTheme="majorHAnsi" w:cstheme="majorHAnsi"/>
          <w:bCs/>
          <w:i/>
          <w:sz w:val="24"/>
          <w:szCs w:val="24"/>
          <w:lang w:val="ro-MD"/>
        </w:rPr>
        <w:t>P</w:t>
      </w:r>
      <w:r w:rsidRPr="00E33BAB">
        <w:rPr>
          <w:rFonts w:asciiTheme="majorHAnsi" w:eastAsia="Calibri" w:hAnsiTheme="majorHAnsi" w:cstheme="majorHAnsi"/>
          <w:bCs/>
          <w:i/>
          <w:sz w:val="24"/>
          <w:szCs w:val="24"/>
          <w:lang w:val="ro-MD"/>
        </w:rPr>
        <w:t>rotecți</w:t>
      </w:r>
      <w:r w:rsidR="003E2E80">
        <w:rPr>
          <w:rFonts w:asciiTheme="majorHAnsi" w:eastAsia="Calibri" w:hAnsiTheme="majorHAnsi" w:cstheme="majorHAnsi"/>
          <w:bCs/>
          <w:i/>
          <w:sz w:val="24"/>
          <w:szCs w:val="24"/>
          <w:lang w:val="ro-MD"/>
        </w:rPr>
        <w:t>a</w:t>
      </w:r>
      <w:r w:rsidRPr="00E33BAB">
        <w:rPr>
          <w:rFonts w:asciiTheme="majorHAnsi" w:eastAsia="Calibri" w:hAnsiTheme="majorHAnsi" w:cstheme="majorHAnsi"/>
          <w:bCs/>
          <w:i/>
          <w:sz w:val="24"/>
          <w:szCs w:val="24"/>
          <w:lang w:val="ro-MD"/>
        </w:rPr>
        <w:t xml:space="preserve"> </w:t>
      </w:r>
      <w:r w:rsidR="003E2E80">
        <w:rPr>
          <w:rFonts w:asciiTheme="majorHAnsi" w:eastAsia="Calibri" w:hAnsiTheme="majorHAnsi" w:cstheme="majorHAnsi"/>
          <w:bCs/>
          <w:i/>
          <w:sz w:val="24"/>
          <w:szCs w:val="24"/>
          <w:lang w:val="ro-MD"/>
        </w:rPr>
        <w:t>So</w:t>
      </w:r>
      <w:r w:rsidRPr="00E33BAB">
        <w:rPr>
          <w:rFonts w:asciiTheme="majorHAnsi" w:eastAsia="Calibri" w:hAnsiTheme="majorHAnsi" w:cstheme="majorHAnsi"/>
          <w:bCs/>
          <w:i/>
          <w:sz w:val="24"/>
          <w:szCs w:val="24"/>
          <w:lang w:val="ro-MD"/>
        </w:rPr>
        <w:t>cială)</w:t>
      </w:r>
      <w:r w:rsidRPr="00E33BAB">
        <w:rPr>
          <w:rFonts w:asciiTheme="majorHAnsi" w:eastAsia="Calibri" w:hAnsiTheme="majorHAnsi" w:cstheme="majorHAnsi"/>
          <w:bCs/>
          <w:sz w:val="24"/>
          <w:szCs w:val="24"/>
          <w:lang w:val="ro-MD"/>
        </w:rPr>
        <w:t>.</w:t>
      </w:r>
      <w:bookmarkStart w:id="11" w:name="OLE_LINK86"/>
      <w:bookmarkStart w:id="12" w:name="OLE_LINK87"/>
      <w:bookmarkStart w:id="13" w:name="OLE_LINK88"/>
      <w:r w:rsidRPr="00E33BAB">
        <w:rPr>
          <w:rFonts w:asciiTheme="majorHAnsi" w:eastAsia="Calibri" w:hAnsiTheme="majorHAnsi" w:cstheme="majorHAnsi"/>
          <w:bCs/>
          <w:sz w:val="24"/>
          <w:szCs w:val="24"/>
          <w:lang w:val="ro-MD"/>
        </w:rPr>
        <w:tab/>
      </w:r>
      <w:bookmarkEnd w:id="11"/>
      <w:bookmarkEnd w:id="12"/>
      <w:bookmarkEnd w:id="13"/>
    </w:p>
    <w:p w14:paraId="74D19263" w14:textId="77777777" w:rsidR="00330B0C" w:rsidRPr="00E33BAB" w:rsidRDefault="00330B0C" w:rsidP="00330B0C">
      <w:pPr>
        <w:pStyle w:val="Heading1"/>
        <w:tabs>
          <w:tab w:val="left" w:pos="426"/>
        </w:tabs>
        <w:ind w:left="0" w:firstLine="0"/>
        <w:jc w:val="left"/>
        <w:rPr>
          <w:rFonts w:asciiTheme="majorHAnsi" w:eastAsia="Calibri" w:hAnsiTheme="majorHAnsi" w:cstheme="majorHAnsi"/>
          <w:sz w:val="28"/>
          <w:szCs w:val="28"/>
        </w:rPr>
      </w:pPr>
      <w:r w:rsidRPr="00E33BAB">
        <w:rPr>
          <w:rFonts w:asciiTheme="majorHAnsi" w:eastAsia="Calibri" w:hAnsiTheme="majorHAnsi" w:cstheme="majorHAnsi"/>
          <w:sz w:val="28"/>
          <w:szCs w:val="28"/>
        </w:rPr>
        <w:t>PREZENTAREA PROIECTULUI</w:t>
      </w:r>
    </w:p>
    <w:p w14:paraId="7F073E4B" w14:textId="4AF65147" w:rsidR="00707CC5" w:rsidRPr="00E33BAB" w:rsidRDefault="00287790" w:rsidP="00330B0C">
      <w:pPr>
        <w:spacing w:after="0" w:line="276" w:lineRule="auto"/>
        <w:jc w:val="both"/>
        <w:rPr>
          <w:rFonts w:asciiTheme="majorHAnsi" w:hAnsiTheme="majorHAnsi" w:cstheme="majorHAnsi"/>
          <w:iCs/>
          <w:sz w:val="24"/>
          <w:szCs w:val="24"/>
          <w:lang w:val="ro-MD"/>
        </w:rPr>
      </w:pPr>
      <w:r w:rsidRPr="00E33BAB">
        <w:rPr>
          <w:rFonts w:asciiTheme="majorHAnsi" w:hAnsiTheme="majorHAnsi" w:cstheme="majorHAnsi"/>
          <w:sz w:val="24"/>
          <w:szCs w:val="24"/>
          <w:lang w:val="ro-MD"/>
        </w:rPr>
        <w:t>Operațiunea</w:t>
      </w:r>
      <w:r w:rsidR="001D4BBB" w:rsidRPr="00E33BAB">
        <w:rPr>
          <w:rFonts w:asciiTheme="majorHAnsi" w:hAnsiTheme="majorHAnsi" w:cstheme="majorHAnsi"/>
          <w:sz w:val="24"/>
          <w:szCs w:val="24"/>
          <w:lang w:val="ro-MD"/>
        </w:rPr>
        <w:t xml:space="preserve"> </w:t>
      </w:r>
      <w:r w:rsidR="00330B0C" w:rsidRPr="00E33BAB">
        <w:rPr>
          <w:rFonts w:asciiTheme="majorHAnsi" w:hAnsiTheme="majorHAnsi" w:cstheme="majorHAnsi"/>
          <w:sz w:val="24"/>
          <w:szCs w:val="24"/>
          <w:lang w:val="ro-MD"/>
        </w:rPr>
        <w:t>,,Modernizarea sectorului sănătății în Republica Moldova”</w:t>
      </w:r>
      <w:r w:rsidR="00330B0C" w:rsidRPr="00E33BAB">
        <w:rPr>
          <w:rFonts w:asciiTheme="majorHAnsi" w:hAnsiTheme="majorHAnsi" w:cstheme="majorHAnsi"/>
          <w:iCs/>
          <w:sz w:val="24"/>
          <w:szCs w:val="24"/>
          <w:lang w:val="ro-MD"/>
        </w:rPr>
        <w:t xml:space="preserve"> a fost inițiat</w:t>
      </w:r>
      <w:r w:rsidR="00106F3C">
        <w:rPr>
          <w:rFonts w:asciiTheme="majorHAnsi" w:hAnsiTheme="majorHAnsi" w:cstheme="majorHAnsi"/>
          <w:iCs/>
          <w:sz w:val="24"/>
          <w:szCs w:val="24"/>
          <w:lang w:val="ro-MD"/>
        </w:rPr>
        <w:t>ă</w:t>
      </w:r>
      <w:r w:rsidR="00330B0C" w:rsidRPr="00E33BAB">
        <w:rPr>
          <w:rFonts w:asciiTheme="majorHAnsi" w:hAnsiTheme="majorHAnsi" w:cstheme="majorHAnsi"/>
          <w:iCs/>
          <w:sz w:val="24"/>
          <w:szCs w:val="24"/>
          <w:lang w:val="ro-MD"/>
        </w:rPr>
        <w:t xml:space="preserve"> în scopul reducerii riscurilor</w:t>
      </w:r>
      <w:r w:rsidR="00106F3C">
        <w:rPr>
          <w:rFonts w:asciiTheme="majorHAnsi" w:hAnsiTheme="majorHAnsi" w:cstheme="majorHAnsi"/>
          <w:iCs/>
          <w:sz w:val="24"/>
          <w:szCs w:val="24"/>
          <w:lang w:val="ro-MD"/>
        </w:rPr>
        <w:t>-</w:t>
      </w:r>
      <w:r w:rsidR="00BF3D3D" w:rsidRPr="00E33BAB">
        <w:rPr>
          <w:rFonts w:asciiTheme="majorHAnsi" w:hAnsiTheme="majorHAnsi" w:cstheme="majorHAnsi"/>
          <w:iCs/>
          <w:sz w:val="24"/>
          <w:szCs w:val="24"/>
          <w:lang w:val="ro-MD"/>
        </w:rPr>
        <w:t>cheie</w:t>
      </w:r>
      <w:r w:rsidR="00330B0C" w:rsidRPr="00E33BAB">
        <w:rPr>
          <w:rFonts w:asciiTheme="majorHAnsi" w:hAnsiTheme="majorHAnsi" w:cstheme="majorHAnsi"/>
          <w:iCs/>
          <w:sz w:val="24"/>
          <w:szCs w:val="24"/>
          <w:lang w:val="ro-MD"/>
        </w:rPr>
        <w:t xml:space="preserve"> aferente bolilor nontransmisibile, sporirii eficienței serviciilor de sănătate oferite populației, reducerii invalidității și incapacității de muncă</w:t>
      </w:r>
      <w:r w:rsidR="00106F3C">
        <w:rPr>
          <w:rFonts w:asciiTheme="majorHAnsi" w:hAnsiTheme="majorHAnsi" w:cstheme="majorHAnsi"/>
          <w:iCs/>
          <w:sz w:val="24"/>
          <w:szCs w:val="24"/>
          <w:lang w:val="ro-MD"/>
        </w:rPr>
        <w:t>,</w:t>
      </w:r>
      <w:r w:rsidR="008F78EF" w:rsidRPr="00E33BAB">
        <w:rPr>
          <w:rFonts w:asciiTheme="majorHAnsi" w:hAnsiTheme="majorHAnsi" w:cstheme="majorHAnsi"/>
          <w:iCs/>
          <w:sz w:val="24"/>
          <w:szCs w:val="24"/>
          <w:lang w:val="ro-MD"/>
        </w:rPr>
        <w:t xml:space="preserve"> precum și</w:t>
      </w:r>
      <w:r w:rsidR="00330B0C" w:rsidRPr="00E33BAB">
        <w:rPr>
          <w:rFonts w:asciiTheme="majorHAnsi" w:hAnsiTheme="majorHAnsi" w:cstheme="majorHAnsi"/>
          <w:iCs/>
          <w:sz w:val="24"/>
          <w:szCs w:val="24"/>
          <w:lang w:val="ro-MD"/>
        </w:rPr>
        <w:t xml:space="preserve"> îmbunătățirii indicatorilor de</w:t>
      </w:r>
      <w:r w:rsidR="00CB7F15" w:rsidRPr="00E33BAB">
        <w:rPr>
          <w:rFonts w:asciiTheme="majorHAnsi" w:hAnsiTheme="majorHAnsi" w:cstheme="majorHAnsi"/>
          <w:iCs/>
          <w:sz w:val="24"/>
          <w:szCs w:val="24"/>
          <w:lang w:val="ro-MD"/>
        </w:rPr>
        <w:t xml:space="preserve"> sănătate în Republica Moldova. </w:t>
      </w:r>
      <w:r w:rsidR="00330B0C" w:rsidRPr="00E33BAB">
        <w:rPr>
          <w:rFonts w:asciiTheme="majorHAnsi" w:hAnsiTheme="majorHAnsi" w:cstheme="majorHAnsi"/>
          <w:iCs/>
          <w:sz w:val="24"/>
          <w:szCs w:val="24"/>
          <w:lang w:val="ro-MD"/>
        </w:rPr>
        <w:t xml:space="preserve">Acordul de finanțare a fost semnat </w:t>
      </w:r>
      <w:r w:rsidR="00106F3C">
        <w:rPr>
          <w:rFonts w:asciiTheme="majorHAnsi" w:hAnsiTheme="majorHAnsi" w:cstheme="majorHAnsi"/>
          <w:iCs/>
          <w:sz w:val="24"/>
          <w:szCs w:val="24"/>
          <w:lang w:val="ro-MD"/>
        </w:rPr>
        <w:t>la</w:t>
      </w:r>
      <w:r w:rsidR="00330B0C" w:rsidRPr="00E33BAB">
        <w:rPr>
          <w:rFonts w:asciiTheme="majorHAnsi" w:hAnsiTheme="majorHAnsi" w:cstheme="majorHAnsi"/>
          <w:iCs/>
          <w:sz w:val="24"/>
          <w:szCs w:val="24"/>
          <w:lang w:val="ro-MD"/>
        </w:rPr>
        <w:t xml:space="preserve"> 11 iulie 2014</w:t>
      </w:r>
      <w:r w:rsidR="00106F3C">
        <w:rPr>
          <w:rFonts w:asciiTheme="majorHAnsi" w:hAnsiTheme="majorHAnsi" w:cstheme="majorHAnsi"/>
          <w:iCs/>
          <w:sz w:val="24"/>
          <w:szCs w:val="24"/>
          <w:lang w:val="ro-MD"/>
        </w:rPr>
        <w:t xml:space="preserve">, </w:t>
      </w:r>
      <w:r w:rsidR="00330B0C" w:rsidRPr="00E33BAB">
        <w:rPr>
          <w:rFonts w:asciiTheme="majorHAnsi" w:hAnsiTheme="majorHAnsi" w:cstheme="majorHAnsi"/>
          <w:iCs/>
          <w:sz w:val="24"/>
          <w:szCs w:val="24"/>
          <w:lang w:val="ro-MD"/>
        </w:rPr>
        <w:t xml:space="preserve"> în cadrul Strategiei de parteneriat cu BM pe anii 2014-2017</w:t>
      </w:r>
      <w:r w:rsidR="00106F3C">
        <w:rPr>
          <w:rFonts w:asciiTheme="majorHAnsi" w:hAnsiTheme="majorHAnsi" w:cstheme="majorHAnsi"/>
          <w:iCs/>
          <w:sz w:val="24"/>
          <w:szCs w:val="24"/>
          <w:lang w:val="ro-MD"/>
        </w:rPr>
        <w:t>,</w:t>
      </w:r>
      <w:r w:rsidR="00330B0C" w:rsidRPr="00E33BAB">
        <w:rPr>
          <w:rFonts w:asciiTheme="majorHAnsi" w:hAnsiTheme="majorHAnsi" w:cstheme="majorHAnsi"/>
          <w:iCs/>
          <w:sz w:val="24"/>
          <w:szCs w:val="24"/>
          <w:lang w:val="ro-MD"/>
        </w:rPr>
        <w:t xml:space="preserve"> și prevede acordarea unui împrumut în valoare de 20</w:t>
      </w:r>
      <w:r w:rsidR="00106F3C">
        <w:rPr>
          <w:rFonts w:asciiTheme="majorHAnsi" w:hAnsiTheme="majorHAnsi" w:cstheme="majorHAnsi"/>
          <w:iCs/>
          <w:sz w:val="24"/>
          <w:szCs w:val="24"/>
          <w:lang w:val="ro-MD"/>
        </w:rPr>
        <w:t>,0</w:t>
      </w:r>
      <w:r w:rsidR="00330B0C" w:rsidRPr="00E33BAB">
        <w:rPr>
          <w:rFonts w:asciiTheme="majorHAnsi" w:hAnsiTheme="majorHAnsi" w:cstheme="majorHAnsi"/>
          <w:iCs/>
          <w:sz w:val="24"/>
          <w:szCs w:val="24"/>
          <w:lang w:val="ro-MD"/>
        </w:rPr>
        <w:t xml:space="preserve"> mil. Drepturi Speciale de Tragere, echivalent</w:t>
      </w:r>
      <w:r w:rsidR="00106F3C">
        <w:rPr>
          <w:rFonts w:asciiTheme="majorHAnsi" w:hAnsiTheme="majorHAnsi" w:cstheme="majorHAnsi"/>
          <w:iCs/>
          <w:sz w:val="24"/>
          <w:szCs w:val="24"/>
          <w:lang w:val="ro-MD"/>
        </w:rPr>
        <w:t>ul</w:t>
      </w:r>
      <w:r w:rsidR="00330B0C" w:rsidRPr="00E33BAB">
        <w:rPr>
          <w:rFonts w:asciiTheme="majorHAnsi" w:hAnsiTheme="majorHAnsi" w:cstheme="majorHAnsi"/>
          <w:iCs/>
          <w:sz w:val="24"/>
          <w:szCs w:val="24"/>
          <w:lang w:val="ro-MD"/>
        </w:rPr>
        <w:t xml:space="preserve"> a 30,8 mil. dolari SUA. </w:t>
      </w:r>
      <w:r w:rsidR="00330B0C" w:rsidRPr="00E33BAB">
        <w:rPr>
          <w:rFonts w:asciiTheme="majorHAnsi" w:hAnsiTheme="majorHAnsi" w:cstheme="majorHAnsi"/>
          <w:iCs/>
          <w:sz w:val="24"/>
          <w:szCs w:val="24"/>
          <w:lang w:val="ro-MD"/>
        </w:rPr>
        <w:lastRenderedPageBreak/>
        <w:t xml:space="preserve">Împrumutul </w:t>
      </w:r>
      <w:r w:rsidR="00330B0C" w:rsidRPr="00C315EB">
        <w:rPr>
          <w:rFonts w:asciiTheme="majorHAnsi" w:hAnsiTheme="majorHAnsi" w:cstheme="majorHAnsi"/>
          <w:iCs/>
          <w:sz w:val="24"/>
          <w:szCs w:val="24"/>
          <w:lang w:val="ro-MD"/>
        </w:rPr>
        <w:t>a fost acordat în condiții standard prevăzute de Asociația Internațională pentru Dezvoltare. Finanțarea</w:t>
      </w:r>
      <w:r w:rsidR="00BF3D3D" w:rsidRPr="00C315EB">
        <w:rPr>
          <w:rFonts w:asciiTheme="majorHAnsi" w:hAnsiTheme="majorHAnsi" w:cstheme="majorHAnsi"/>
          <w:iCs/>
          <w:sz w:val="24"/>
          <w:szCs w:val="24"/>
          <w:lang w:val="ro-MD"/>
        </w:rPr>
        <w:t xml:space="preserve"> </w:t>
      </w:r>
      <w:r w:rsidR="00C315EB" w:rsidRPr="00C315EB">
        <w:rPr>
          <w:rFonts w:asciiTheme="majorHAnsi" w:hAnsiTheme="majorHAnsi" w:cstheme="majorHAnsi"/>
          <w:iCs/>
          <w:sz w:val="24"/>
          <w:szCs w:val="24"/>
          <w:lang w:val="ro-MD"/>
        </w:rPr>
        <w:t>Operaț</w:t>
      </w:r>
      <w:r w:rsidR="00BF3D3D" w:rsidRPr="00C315EB">
        <w:rPr>
          <w:rFonts w:asciiTheme="majorHAnsi" w:hAnsiTheme="majorHAnsi" w:cstheme="majorHAnsi"/>
          <w:iCs/>
          <w:sz w:val="24"/>
          <w:szCs w:val="24"/>
          <w:lang w:val="ro-MD"/>
        </w:rPr>
        <w:t>i</w:t>
      </w:r>
      <w:r w:rsidR="00C315EB" w:rsidRPr="00C315EB">
        <w:rPr>
          <w:rFonts w:asciiTheme="majorHAnsi" w:hAnsiTheme="majorHAnsi" w:cstheme="majorHAnsi"/>
          <w:iCs/>
          <w:sz w:val="24"/>
          <w:szCs w:val="24"/>
          <w:lang w:val="ro-MD"/>
        </w:rPr>
        <w:t>unii</w:t>
      </w:r>
      <w:r w:rsidR="00330B0C" w:rsidRPr="00C315EB">
        <w:rPr>
          <w:rFonts w:asciiTheme="majorHAnsi" w:hAnsiTheme="majorHAnsi" w:cstheme="majorHAnsi"/>
          <w:iCs/>
          <w:sz w:val="24"/>
          <w:szCs w:val="24"/>
          <w:lang w:val="ro-MD"/>
        </w:rPr>
        <w:t xml:space="preserve"> este acordată sub formă de suport bugetar, iar suma este debursată în baza realizării indicatorilor stabiliți între Banca Mondială, Ministerul Sănătății, Muncii și Protecției Sociale și Compania</w:t>
      </w:r>
      <w:r w:rsidR="00330B0C" w:rsidRPr="00E33BAB">
        <w:rPr>
          <w:rFonts w:asciiTheme="majorHAnsi" w:hAnsiTheme="majorHAnsi" w:cstheme="majorHAnsi"/>
          <w:iCs/>
          <w:sz w:val="24"/>
          <w:szCs w:val="24"/>
          <w:lang w:val="ro-MD"/>
        </w:rPr>
        <w:t xml:space="preserve"> Națională de Asigurări în Medicină. </w:t>
      </w:r>
      <w:r w:rsidR="00BF3D3D" w:rsidRPr="00E33BAB">
        <w:rPr>
          <w:rFonts w:asciiTheme="majorHAnsi" w:hAnsiTheme="majorHAnsi" w:cstheme="majorHAnsi"/>
          <w:iCs/>
          <w:sz w:val="24"/>
          <w:szCs w:val="24"/>
          <w:lang w:val="ro-MD"/>
        </w:rPr>
        <w:t xml:space="preserve">Fondurile de asistență tehnică sunt furnizate direct la Ministerul Sănătății, Muncii și Protecției Sociale. </w:t>
      </w:r>
      <w:r w:rsidR="00330B0C" w:rsidRPr="00E33BAB">
        <w:rPr>
          <w:rFonts w:asciiTheme="majorHAnsi" w:hAnsiTheme="majorHAnsi" w:cstheme="majorHAnsi"/>
          <w:iCs/>
          <w:sz w:val="24"/>
          <w:szCs w:val="24"/>
          <w:lang w:val="ro-MD"/>
        </w:rPr>
        <w:t xml:space="preserve">Condițiile de acordare a împrumutului sunt prezentate în </w:t>
      </w:r>
      <w:r w:rsidR="00CC08C5" w:rsidRPr="00E33BAB">
        <w:rPr>
          <w:rFonts w:asciiTheme="majorHAnsi" w:hAnsiTheme="majorHAnsi" w:cstheme="majorHAnsi"/>
          <w:iCs/>
          <w:sz w:val="24"/>
          <w:szCs w:val="24"/>
          <w:lang w:val="ro-MD"/>
        </w:rPr>
        <w:t>tabel</w:t>
      </w:r>
      <w:r w:rsidR="00CC08C5">
        <w:rPr>
          <w:rFonts w:asciiTheme="majorHAnsi" w:hAnsiTheme="majorHAnsi" w:cstheme="majorHAnsi"/>
          <w:iCs/>
          <w:sz w:val="24"/>
          <w:szCs w:val="24"/>
          <w:lang w:val="ro-MD"/>
        </w:rPr>
        <w:t>ul</w:t>
      </w:r>
      <w:r w:rsidR="00CC08C5" w:rsidRPr="00E33BAB">
        <w:rPr>
          <w:rFonts w:asciiTheme="majorHAnsi" w:hAnsiTheme="majorHAnsi" w:cstheme="majorHAnsi"/>
          <w:iCs/>
          <w:sz w:val="24"/>
          <w:szCs w:val="24"/>
          <w:lang w:val="ro-MD"/>
        </w:rPr>
        <w:t xml:space="preserve"> </w:t>
      </w:r>
      <w:r w:rsidR="00C315EB">
        <w:rPr>
          <w:rFonts w:asciiTheme="majorHAnsi" w:hAnsiTheme="majorHAnsi" w:cstheme="majorHAnsi"/>
          <w:iCs/>
          <w:sz w:val="24"/>
          <w:szCs w:val="24"/>
          <w:lang w:val="ro-MD"/>
        </w:rPr>
        <w:t>următor.</w:t>
      </w:r>
    </w:p>
    <w:p w14:paraId="74668D82" w14:textId="01350BA9" w:rsidR="00330B0C" w:rsidRPr="00D5496A" w:rsidRDefault="00330B0C" w:rsidP="00330B0C">
      <w:pPr>
        <w:spacing w:after="0" w:line="276" w:lineRule="auto"/>
        <w:jc w:val="right"/>
        <w:rPr>
          <w:rFonts w:asciiTheme="majorHAnsi" w:hAnsiTheme="majorHAnsi" w:cstheme="majorHAnsi"/>
          <w:b/>
          <w:iCs/>
          <w:sz w:val="24"/>
          <w:szCs w:val="24"/>
          <w:lang w:val="ro-MD"/>
        </w:rPr>
      </w:pPr>
      <w:r w:rsidRPr="00D5496A">
        <w:rPr>
          <w:rFonts w:asciiTheme="majorHAnsi" w:hAnsiTheme="majorHAnsi" w:cstheme="majorHAnsi"/>
          <w:b/>
          <w:iCs/>
          <w:sz w:val="24"/>
          <w:szCs w:val="24"/>
          <w:lang w:val="ro-MD"/>
        </w:rPr>
        <w:t>Tabel</w:t>
      </w:r>
      <w:r w:rsidR="00CC08C5" w:rsidRPr="00D5496A">
        <w:rPr>
          <w:rFonts w:asciiTheme="majorHAnsi" w:hAnsiTheme="majorHAnsi" w:cstheme="majorHAnsi"/>
          <w:b/>
          <w:iCs/>
          <w:sz w:val="24"/>
          <w:szCs w:val="24"/>
          <w:lang w:val="ro-MD"/>
        </w:rPr>
        <w:t>ul</w:t>
      </w:r>
      <w:r w:rsidRPr="00D5496A">
        <w:rPr>
          <w:rFonts w:asciiTheme="majorHAnsi" w:hAnsiTheme="majorHAnsi" w:cstheme="majorHAnsi"/>
          <w:b/>
          <w:iCs/>
          <w:sz w:val="24"/>
          <w:szCs w:val="24"/>
          <w:lang w:val="ro-MD"/>
        </w:rPr>
        <w:t xml:space="preserve"> nr. 1</w:t>
      </w:r>
    </w:p>
    <w:tbl>
      <w:tblPr>
        <w:tblStyle w:val="TableGrid"/>
        <w:tblW w:w="0" w:type="auto"/>
        <w:tblLook w:val="04A0" w:firstRow="1" w:lastRow="0" w:firstColumn="1" w:lastColumn="0" w:noHBand="0" w:noVBand="1"/>
      </w:tblPr>
      <w:tblGrid>
        <w:gridCol w:w="4673"/>
        <w:gridCol w:w="4674"/>
      </w:tblGrid>
      <w:tr w:rsidR="00330B0C" w:rsidRPr="00E33BAB" w14:paraId="15B8E866" w14:textId="77777777" w:rsidTr="00BD7925">
        <w:tc>
          <w:tcPr>
            <w:tcW w:w="4673" w:type="dxa"/>
            <w:shd w:val="clear" w:color="auto" w:fill="auto"/>
          </w:tcPr>
          <w:p w14:paraId="1D4FA047" w14:textId="7ABAD2ED" w:rsidR="00330B0C" w:rsidRPr="00BD7925" w:rsidRDefault="00330B0C" w:rsidP="00FE7E19">
            <w:pPr>
              <w:spacing w:line="276" w:lineRule="auto"/>
              <w:jc w:val="both"/>
              <w:rPr>
                <w:rFonts w:asciiTheme="majorHAnsi" w:hAnsiTheme="majorHAnsi" w:cstheme="majorHAnsi"/>
                <w:b/>
                <w:iCs/>
                <w:sz w:val="24"/>
                <w:szCs w:val="24"/>
                <w:lang w:val="ro-MD"/>
              </w:rPr>
            </w:pPr>
            <w:r w:rsidRPr="00BD7925">
              <w:rPr>
                <w:rFonts w:asciiTheme="majorHAnsi" w:hAnsiTheme="majorHAnsi" w:cstheme="majorHAnsi"/>
                <w:b/>
                <w:iCs/>
                <w:sz w:val="24"/>
                <w:szCs w:val="24"/>
                <w:lang w:val="ro-MD"/>
              </w:rPr>
              <w:t xml:space="preserve">Responsabil de implementarea </w:t>
            </w:r>
            <w:r w:rsidR="00CC08C5" w:rsidRPr="00BD7925">
              <w:rPr>
                <w:rFonts w:asciiTheme="majorHAnsi" w:hAnsiTheme="majorHAnsi" w:cstheme="majorHAnsi"/>
                <w:b/>
                <w:iCs/>
                <w:sz w:val="24"/>
                <w:szCs w:val="24"/>
                <w:lang w:val="ro-MD"/>
              </w:rPr>
              <w:t>P</w:t>
            </w:r>
            <w:r w:rsidRPr="00BD7925">
              <w:rPr>
                <w:rFonts w:asciiTheme="majorHAnsi" w:hAnsiTheme="majorHAnsi" w:cstheme="majorHAnsi"/>
                <w:b/>
                <w:iCs/>
                <w:sz w:val="24"/>
                <w:szCs w:val="24"/>
                <w:lang w:val="ro-MD"/>
              </w:rPr>
              <w:t>roiectului</w:t>
            </w:r>
          </w:p>
        </w:tc>
        <w:tc>
          <w:tcPr>
            <w:tcW w:w="4674" w:type="dxa"/>
          </w:tcPr>
          <w:p w14:paraId="12C47493" w14:textId="6C3ACEF9" w:rsidR="00330B0C" w:rsidRPr="00BD7925" w:rsidRDefault="00330B0C" w:rsidP="00FE7E19">
            <w:pPr>
              <w:spacing w:line="276" w:lineRule="auto"/>
              <w:jc w:val="both"/>
              <w:rPr>
                <w:rFonts w:asciiTheme="majorHAnsi" w:hAnsiTheme="majorHAnsi" w:cstheme="majorHAnsi"/>
                <w:iCs/>
                <w:sz w:val="24"/>
                <w:szCs w:val="24"/>
                <w:lang w:val="ro-MD"/>
              </w:rPr>
            </w:pPr>
            <w:r w:rsidRPr="00BD7925">
              <w:rPr>
                <w:rFonts w:asciiTheme="majorHAnsi" w:hAnsiTheme="majorHAnsi" w:cstheme="majorHAnsi"/>
                <w:iCs/>
                <w:sz w:val="24"/>
                <w:szCs w:val="24"/>
                <w:lang w:val="ro-MD"/>
              </w:rPr>
              <w:t>MSMPS și CNAM</w:t>
            </w:r>
          </w:p>
        </w:tc>
      </w:tr>
      <w:tr w:rsidR="00330B0C" w:rsidRPr="00E33BAB" w14:paraId="133827C0" w14:textId="77777777" w:rsidTr="00BD7925">
        <w:tc>
          <w:tcPr>
            <w:tcW w:w="4673" w:type="dxa"/>
            <w:shd w:val="clear" w:color="auto" w:fill="auto"/>
          </w:tcPr>
          <w:p w14:paraId="71B83EFC" w14:textId="77777777" w:rsidR="00330B0C" w:rsidRPr="00BD7925" w:rsidRDefault="00330B0C" w:rsidP="00FE7E19">
            <w:pPr>
              <w:spacing w:line="276" w:lineRule="auto"/>
              <w:jc w:val="both"/>
              <w:rPr>
                <w:rFonts w:asciiTheme="majorHAnsi" w:hAnsiTheme="majorHAnsi" w:cstheme="majorHAnsi"/>
                <w:b/>
                <w:iCs/>
                <w:sz w:val="24"/>
                <w:szCs w:val="24"/>
                <w:lang w:val="ro-MD"/>
              </w:rPr>
            </w:pPr>
            <w:r w:rsidRPr="00BD7925">
              <w:rPr>
                <w:rFonts w:asciiTheme="majorHAnsi" w:hAnsiTheme="majorHAnsi" w:cstheme="majorHAnsi"/>
                <w:b/>
                <w:iCs/>
                <w:sz w:val="24"/>
                <w:szCs w:val="24"/>
                <w:lang w:val="ro-MD"/>
              </w:rPr>
              <w:t>Suma împrumutului</w:t>
            </w:r>
          </w:p>
        </w:tc>
        <w:tc>
          <w:tcPr>
            <w:tcW w:w="4674" w:type="dxa"/>
          </w:tcPr>
          <w:p w14:paraId="445530A6" w14:textId="77777777" w:rsidR="00330B0C" w:rsidRPr="00BD7925" w:rsidRDefault="00330B0C" w:rsidP="00FE7E19">
            <w:pPr>
              <w:spacing w:line="276" w:lineRule="auto"/>
              <w:jc w:val="both"/>
              <w:rPr>
                <w:rFonts w:asciiTheme="majorHAnsi" w:hAnsiTheme="majorHAnsi" w:cstheme="majorHAnsi"/>
                <w:iCs/>
                <w:sz w:val="24"/>
                <w:szCs w:val="24"/>
                <w:lang w:val="ro-MD"/>
              </w:rPr>
            </w:pPr>
            <w:r w:rsidRPr="00BD7925">
              <w:rPr>
                <w:rFonts w:asciiTheme="majorHAnsi" w:hAnsiTheme="majorHAnsi" w:cstheme="majorHAnsi"/>
                <w:iCs/>
                <w:sz w:val="24"/>
                <w:szCs w:val="24"/>
                <w:lang w:val="ro-MD"/>
              </w:rPr>
              <w:t>20 mil DST / 30,8 mil dolari SUA</w:t>
            </w:r>
          </w:p>
        </w:tc>
      </w:tr>
      <w:tr w:rsidR="00330B0C" w:rsidRPr="00E33BAB" w14:paraId="2627EFE9" w14:textId="77777777" w:rsidTr="00BD7925">
        <w:tc>
          <w:tcPr>
            <w:tcW w:w="4673" w:type="dxa"/>
            <w:shd w:val="clear" w:color="auto" w:fill="auto"/>
          </w:tcPr>
          <w:p w14:paraId="6C59A340" w14:textId="77777777" w:rsidR="00330B0C" w:rsidRPr="00BD7925" w:rsidRDefault="00330B0C" w:rsidP="00FE7E19">
            <w:pPr>
              <w:spacing w:line="276" w:lineRule="auto"/>
              <w:jc w:val="both"/>
              <w:rPr>
                <w:rFonts w:asciiTheme="majorHAnsi" w:hAnsiTheme="majorHAnsi" w:cstheme="majorHAnsi"/>
                <w:b/>
                <w:iCs/>
                <w:sz w:val="24"/>
                <w:szCs w:val="24"/>
                <w:lang w:val="ro-MD"/>
              </w:rPr>
            </w:pPr>
            <w:r w:rsidRPr="00BD7925">
              <w:rPr>
                <w:rFonts w:asciiTheme="majorHAnsi" w:hAnsiTheme="majorHAnsi" w:cstheme="majorHAnsi"/>
                <w:b/>
                <w:iCs/>
                <w:sz w:val="24"/>
                <w:szCs w:val="24"/>
                <w:lang w:val="ro-MD"/>
              </w:rPr>
              <w:t>Perioada de acordare a împrumutului</w:t>
            </w:r>
          </w:p>
        </w:tc>
        <w:tc>
          <w:tcPr>
            <w:tcW w:w="4674" w:type="dxa"/>
          </w:tcPr>
          <w:p w14:paraId="45D8B86C" w14:textId="77777777" w:rsidR="00330B0C" w:rsidRPr="00BD7925" w:rsidRDefault="00330B0C" w:rsidP="00FE7E19">
            <w:pPr>
              <w:spacing w:line="276" w:lineRule="auto"/>
              <w:jc w:val="both"/>
              <w:rPr>
                <w:rFonts w:asciiTheme="majorHAnsi" w:hAnsiTheme="majorHAnsi" w:cstheme="majorHAnsi"/>
                <w:iCs/>
                <w:sz w:val="24"/>
                <w:szCs w:val="24"/>
                <w:lang w:val="ro-MD"/>
              </w:rPr>
            </w:pPr>
            <w:r w:rsidRPr="00BD7925">
              <w:rPr>
                <w:rFonts w:asciiTheme="majorHAnsi" w:hAnsiTheme="majorHAnsi" w:cstheme="majorHAnsi"/>
                <w:iCs/>
                <w:sz w:val="24"/>
                <w:szCs w:val="24"/>
                <w:lang w:val="ro-MD"/>
              </w:rPr>
              <w:t>25 ani</w:t>
            </w:r>
          </w:p>
        </w:tc>
      </w:tr>
      <w:tr w:rsidR="00330B0C" w:rsidRPr="00E33BAB" w14:paraId="307A811F" w14:textId="77777777" w:rsidTr="00BD7925">
        <w:tc>
          <w:tcPr>
            <w:tcW w:w="4673" w:type="dxa"/>
            <w:shd w:val="clear" w:color="auto" w:fill="auto"/>
          </w:tcPr>
          <w:p w14:paraId="652B8DF7" w14:textId="77777777" w:rsidR="00330B0C" w:rsidRPr="00BD7925" w:rsidRDefault="00330B0C" w:rsidP="00FE7E19">
            <w:pPr>
              <w:spacing w:line="276" w:lineRule="auto"/>
              <w:jc w:val="both"/>
              <w:rPr>
                <w:rFonts w:asciiTheme="majorHAnsi" w:hAnsiTheme="majorHAnsi" w:cstheme="majorHAnsi"/>
                <w:b/>
                <w:iCs/>
                <w:sz w:val="24"/>
                <w:szCs w:val="24"/>
                <w:lang w:val="ro-MD"/>
              </w:rPr>
            </w:pPr>
            <w:r w:rsidRPr="00BD7925">
              <w:rPr>
                <w:rFonts w:asciiTheme="majorHAnsi" w:hAnsiTheme="majorHAnsi" w:cstheme="majorHAnsi"/>
                <w:b/>
                <w:iCs/>
                <w:sz w:val="24"/>
                <w:szCs w:val="24"/>
                <w:lang w:val="ro-MD"/>
              </w:rPr>
              <w:t xml:space="preserve">Taxa de angajament  </w:t>
            </w:r>
          </w:p>
        </w:tc>
        <w:tc>
          <w:tcPr>
            <w:tcW w:w="4674" w:type="dxa"/>
          </w:tcPr>
          <w:p w14:paraId="52F23224" w14:textId="77777777" w:rsidR="00330B0C" w:rsidRPr="00BD7925" w:rsidRDefault="00330B0C" w:rsidP="00FE7E19">
            <w:pPr>
              <w:spacing w:line="276" w:lineRule="auto"/>
              <w:jc w:val="both"/>
              <w:rPr>
                <w:rFonts w:asciiTheme="majorHAnsi" w:hAnsiTheme="majorHAnsi" w:cstheme="majorHAnsi"/>
                <w:iCs/>
                <w:sz w:val="24"/>
                <w:szCs w:val="24"/>
                <w:lang w:val="ro-MD"/>
              </w:rPr>
            </w:pPr>
            <w:r w:rsidRPr="00BD7925">
              <w:rPr>
                <w:rFonts w:asciiTheme="majorHAnsi" w:hAnsiTheme="majorHAnsi" w:cstheme="majorHAnsi"/>
                <w:iCs/>
                <w:sz w:val="24"/>
                <w:szCs w:val="24"/>
                <w:lang w:val="ro-MD"/>
              </w:rPr>
              <w:t>0,5%</w:t>
            </w:r>
          </w:p>
        </w:tc>
      </w:tr>
      <w:tr w:rsidR="00330B0C" w:rsidRPr="00E33BAB" w14:paraId="118311B0" w14:textId="77777777" w:rsidTr="00BD7925">
        <w:tc>
          <w:tcPr>
            <w:tcW w:w="4673" w:type="dxa"/>
            <w:shd w:val="clear" w:color="auto" w:fill="auto"/>
          </w:tcPr>
          <w:p w14:paraId="66B84745" w14:textId="77777777" w:rsidR="00330B0C" w:rsidRPr="00BD7925" w:rsidRDefault="00330B0C" w:rsidP="00FE7E19">
            <w:pPr>
              <w:spacing w:line="276" w:lineRule="auto"/>
              <w:jc w:val="both"/>
              <w:rPr>
                <w:rFonts w:asciiTheme="majorHAnsi" w:hAnsiTheme="majorHAnsi" w:cstheme="majorHAnsi"/>
                <w:b/>
                <w:iCs/>
                <w:sz w:val="24"/>
                <w:szCs w:val="24"/>
                <w:lang w:val="ro-MD"/>
              </w:rPr>
            </w:pPr>
            <w:r w:rsidRPr="00BD7925">
              <w:rPr>
                <w:rFonts w:asciiTheme="majorHAnsi" w:hAnsiTheme="majorHAnsi" w:cstheme="majorHAnsi"/>
                <w:b/>
                <w:iCs/>
                <w:sz w:val="24"/>
                <w:szCs w:val="24"/>
                <w:lang w:val="ro-MD"/>
              </w:rPr>
              <w:t xml:space="preserve">Taxa de deservire </w:t>
            </w:r>
          </w:p>
        </w:tc>
        <w:tc>
          <w:tcPr>
            <w:tcW w:w="4674" w:type="dxa"/>
          </w:tcPr>
          <w:p w14:paraId="46930712" w14:textId="77777777" w:rsidR="00330B0C" w:rsidRPr="00BD7925" w:rsidRDefault="00330B0C" w:rsidP="00FE7E19">
            <w:pPr>
              <w:spacing w:line="276" w:lineRule="auto"/>
              <w:jc w:val="both"/>
              <w:rPr>
                <w:rFonts w:asciiTheme="majorHAnsi" w:hAnsiTheme="majorHAnsi" w:cstheme="majorHAnsi"/>
                <w:iCs/>
                <w:sz w:val="24"/>
                <w:szCs w:val="24"/>
                <w:lang w:val="ro-MD"/>
              </w:rPr>
            </w:pPr>
            <w:r w:rsidRPr="00BD7925">
              <w:rPr>
                <w:rFonts w:asciiTheme="majorHAnsi" w:hAnsiTheme="majorHAnsi" w:cstheme="majorHAnsi"/>
                <w:iCs/>
                <w:sz w:val="24"/>
                <w:szCs w:val="24"/>
                <w:lang w:val="ro-MD"/>
              </w:rPr>
              <w:t>0,75%</w:t>
            </w:r>
          </w:p>
        </w:tc>
      </w:tr>
      <w:tr w:rsidR="00330B0C" w:rsidRPr="00E33BAB" w14:paraId="6E4BA928" w14:textId="77777777" w:rsidTr="00BD7925">
        <w:tc>
          <w:tcPr>
            <w:tcW w:w="4673" w:type="dxa"/>
            <w:shd w:val="clear" w:color="auto" w:fill="auto"/>
          </w:tcPr>
          <w:p w14:paraId="6C4A3FBD" w14:textId="40EE03FE" w:rsidR="00330B0C" w:rsidRPr="00BD7925" w:rsidRDefault="00330B0C" w:rsidP="00FE7E19">
            <w:pPr>
              <w:spacing w:line="276" w:lineRule="auto"/>
              <w:jc w:val="both"/>
              <w:rPr>
                <w:rFonts w:asciiTheme="majorHAnsi" w:hAnsiTheme="majorHAnsi" w:cstheme="majorHAnsi"/>
                <w:b/>
                <w:iCs/>
                <w:sz w:val="24"/>
                <w:szCs w:val="24"/>
                <w:lang w:val="ro-MD"/>
              </w:rPr>
            </w:pPr>
            <w:r w:rsidRPr="00BD7925">
              <w:rPr>
                <w:rFonts w:asciiTheme="majorHAnsi" w:hAnsiTheme="majorHAnsi" w:cstheme="majorHAnsi"/>
                <w:b/>
                <w:iCs/>
                <w:sz w:val="24"/>
                <w:szCs w:val="24"/>
                <w:lang w:val="ro-MD"/>
              </w:rPr>
              <w:t>Dobânda</w:t>
            </w:r>
            <w:r w:rsidR="00A8105E" w:rsidRPr="00BD7925">
              <w:rPr>
                <w:rFonts w:asciiTheme="majorHAnsi" w:hAnsiTheme="majorHAnsi" w:cstheme="majorHAnsi"/>
                <w:b/>
                <w:iCs/>
                <w:sz w:val="24"/>
                <w:szCs w:val="24"/>
                <w:lang w:val="ro-MD"/>
              </w:rPr>
              <w:t xml:space="preserve"> anuală</w:t>
            </w:r>
          </w:p>
        </w:tc>
        <w:tc>
          <w:tcPr>
            <w:tcW w:w="4674" w:type="dxa"/>
            <w:shd w:val="clear" w:color="auto" w:fill="auto"/>
          </w:tcPr>
          <w:p w14:paraId="777C1557" w14:textId="2723107B" w:rsidR="00330B0C" w:rsidRPr="00BD7925" w:rsidRDefault="00330B0C" w:rsidP="00FE7E19">
            <w:pPr>
              <w:spacing w:line="276" w:lineRule="auto"/>
              <w:jc w:val="both"/>
              <w:rPr>
                <w:rFonts w:asciiTheme="majorHAnsi" w:hAnsiTheme="majorHAnsi" w:cstheme="majorHAnsi"/>
                <w:iCs/>
                <w:sz w:val="24"/>
                <w:szCs w:val="24"/>
                <w:lang w:val="ro-MD"/>
              </w:rPr>
            </w:pPr>
            <w:r w:rsidRPr="00BD7925">
              <w:rPr>
                <w:rFonts w:asciiTheme="majorHAnsi" w:hAnsiTheme="majorHAnsi" w:cstheme="majorHAnsi"/>
                <w:iCs/>
                <w:sz w:val="24"/>
                <w:szCs w:val="24"/>
                <w:lang w:val="ro-MD"/>
              </w:rPr>
              <w:t>1,25%</w:t>
            </w:r>
          </w:p>
        </w:tc>
      </w:tr>
    </w:tbl>
    <w:p w14:paraId="67A55BCA" w14:textId="77777777" w:rsidR="00330B0C" w:rsidRPr="00E33BAB" w:rsidRDefault="00330B0C" w:rsidP="00330B0C">
      <w:pPr>
        <w:spacing w:after="0" w:line="276" w:lineRule="auto"/>
        <w:jc w:val="both"/>
        <w:rPr>
          <w:rFonts w:asciiTheme="majorHAnsi" w:hAnsiTheme="majorHAnsi" w:cstheme="majorHAnsi"/>
          <w:iCs/>
          <w:sz w:val="24"/>
          <w:szCs w:val="24"/>
          <w:lang w:val="ro-MD"/>
        </w:rPr>
      </w:pPr>
    </w:p>
    <w:p w14:paraId="4DBF42C0" w14:textId="3B2BA57A" w:rsidR="00330B0C" w:rsidRPr="00E33BAB" w:rsidRDefault="00330B0C" w:rsidP="00330B0C">
      <w:pPr>
        <w:spacing w:line="276" w:lineRule="auto"/>
        <w:jc w:val="both"/>
        <w:rPr>
          <w:rFonts w:asciiTheme="majorHAnsi" w:hAnsiTheme="majorHAnsi" w:cstheme="majorHAnsi"/>
          <w:sz w:val="24"/>
          <w:szCs w:val="24"/>
          <w:lang w:val="ro-MD"/>
        </w:rPr>
      </w:pPr>
      <w:r w:rsidRPr="00E33BAB">
        <w:rPr>
          <w:rFonts w:asciiTheme="majorHAnsi" w:eastAsia="Times New Roman" w:hAnsiTheme="majorHAnsi" w:cstheme="majorHAnsi"/>
          <w:sz w:val="24"/>
          <w:szCs w:val="24"/>
          <w:lang w:val="ro-MD"/>
        </w:rPr>
        <w:t>Astfel, pentru acorda</w:t>
      </w:r>
      <w:r w:rsidR="00CC08C5">
        <w:rPr>
          <w:rFonts w:asciiTheme="majorHAnsi" w:eastAsia="Times New Roman" w:hAnsiTheme="majorHAnsi" w:cstheme="majorHAnsi"/>
          <w:sz w:val="24"/>
          <w:szCs w:val="24"/>
          <w:lang w:val="ro-MD"/>
        </w:rPr>
        <w:t>rea unei</w:t>
      </w:r>
      <w:r w:rsidRPr="00E33BAB">
        <w:rPr>
          <w:rFonts w:asciiTheme="majorHAnsi" w:eastAsia="Times New Roman" w:hAnsiTheme="majorHAnsi" w:cstheme="majorHAnsi"/>
          <w:sz w:val="24"/>
          <w:szCs w:val="24"/>
          <w:lang w:val="ro-MD"/>
        </w:rPr>
        <w:t xml:space="preserve"> asistenț</w:t>
      </w:r>
      <w:r w:rsidR="00CC08C5">
        <w:rPr>
          <w:rFonts w:asciiTheme="majorHAnsi" w:eastAsia="Times New Roman" w:hAnsiTheme="majorHAnsi" w:cstheme="majorHAnsi"/>
          <w:sz w:val="24"/>
          <w:szCs w:val="24"/>
          <w:lang w:val="ro-MD"/>
        </w:rPr>
        <w:t>e</w:t>
      </w:r>
      <w:r w:rsidRPr="00E33BAB">
        <w:rPr>
          <w:rFonts w:asciiTheme="majorHAnsi" w:eastAsia="Times New Roman" w:hAnsiTheme="majorHAnsi" w:cstheme="majorHAnsi"/>
          <w:sz w:val="24"/>
          <w:szCs w:val="24"/>
          <w:lang w:val="ro-MD"/>
        </w:rPr>
        <w:t xml:space="preserve"> tehnic</w:t>
      </w:r>
      <w:r w:rsidR="00CC08C5">
        <w:rPr>
          <w:rFonts w:asciiTheme="majorHAnsi" w:eastAsia="Times New Roman" w:hAnsiTheme="majorHAnsi" w:cstheme="majorHAnsi"/>
          <w:sz w:val="24"/>
          <w:szCs w:val="24"/>
          <w:lang w:val="ro-MD"/>
        </w:rPr>
        <w:t>e</w:t>
      </w:r>
      <w:r w:rsidRPr="00E33BAB">
        <w:rPr>
          <w:rFonts w:asciiTheme="majorHAnsi" w:eastAsia="Times New Roman" w:hAnsiTheme="majorHAnsi" w:cstheme="majorHAnsi"/>
          <w:sz w:val="24"/>
          <w:szCs w:val="24"/>
          <w:lang w:val="ro-MD"/>
        </w:rPr>
        <w:t xml:space="preserve"> adecvat</w:t>
      </w:r>
      <w:r w:rsidR="00CC08C5">
        <w:rPr>
          <w:rFonts w:asciiTheme="majorHAnsi" w:eastAsia="Times New Roman" w:hAnsiTheme="majorHAnsi" w:cstheme="majorHAnsi"/>
          <w:sz w:val="24"/>
          <w:szCs w:val="24"/>
          <w:lang w:val="ro-MD"/>
        </w:rPr>
        <w:t>e</w:t>
      </w:r>
      <w:r w:rsidRPr="00E33BAB">
        <w:rPr>
          <w:rFonts w:asciiTheme="majorHAnsi" w:eastAsia="Times New Roman" w:hAnsiTheme="majorHAnsi" w:cstheme="majorHAnsi"/>
          <w:sz w:val="24"/>
          <w:szCs w:val="24"/>
          <w:lang w:val="ro-MD"/>
        </w:rPr>
        <w:t xml:space="preserve"> și în timp util</w:t>
      </w:r>
      <w:r w:rsidR="00BF3D3D" w:rsidRPr="00E33BAB">
        <w:rPr>
          <w:rFonts w:asciiTheme="majorHAnsi" w:eastAsia="Times New Roman" w:hAnsiTheme="majorHAnsi" w:cstheme="majorHAnsi"/>
          <w:sz w:val="24"/>
          <w:szCs w:val="24"/>
          <w:lang w:val="ro-MD"/>
        </w:rPr>
        <w:t xml:space="preserve"> pentru Program</w:t>
      </w:r>
      <w:r w:rsidRPr="00E33BAB">
        <w:rPr>
          <w:rFonts w:asciiTheme="majorHAnsi" w:eastAsia="Times New Roman" w:hAnsiTheme="majorHAnsi" w:cstheme="majorHAnsi"/>
          <w:sz w:val="24"/>
          <w:szCs w:val="24"/>
          <w:lang w:val="ro-MD"/>
        </w:rPr>
        <w:t>, din cauza că MSMPS dispune de o capacitate limitată de achiziționare a serviciilor de consultanță, din valoarea totală a Acordului de finanțare (30,8 mil. dolari SUA)</w:t>
      </w:r>
      <w:r w:rsidR="00CC08C5">
        <w:rPr>
          <w:rFonts w:asciiTheme="majorHAnsi" w:eastAsia="Times New Roman" w:hAnsiTheme="majorHAnsi" w:cstheme="majorHAnsi"/>
          <w:sz w:val="24"/>
          <w:szCs w:val="24"/>
          <w:lang w:val="ro-MD"/>
        </w:rPr>
        <w:t>,</w:t>
      </w:r>
      <w:r w:rsidRPr="00E33BAB">
        <w:rPr>
          <w:rFonts w:asciiTheme="majorHAnsi" w:eastAsia="Times New Roman" w:hAnsiTheme="majorHAnsi" w:cstheme="majorHAnsi"/>
          <w:sz w:val="24"/>
          <w:szCs w:val="24"/>
          <w:lang w:val="ro-MD"/>
        </w:rPr>
        <w:t xml:space="preserve"> a fost prevăzută suma de 2,1 mil. dolari SUA, în cadrul unei componente separate ce urmează procedurile de creditare pentru investiții, din care </w:t>
      </w:r>
      <w:r w:rsidR="00CC08C5">
        <w:rPr>
          <w:rFonts w:asciiTheme="majorHAnsi" w:eastAsia="Times New Roman" w:hAnsiTheme="majorHAnsi" w:cstheme="majorHAnsi"/>
          <w:sz w:val="24"/>
          <w:szCs w:val="24"/>
          <w:lang w:val="ro-MD"/>
        </w:rPr>
        <w:t>va</w:t>
      </w:r>
      <w:r w:rsidRPr="00E33BAB">
        <w:rPr>
          <w:rFonts w:asciiTheme="majorHAnsi" w:eastAsia="Times New Roman" w:hAnsiTheme="majorHAnsi" w:cstheme="majorHAnsi"/>
          <w:sz w:val="24"/>
          <w:szCs w:val="24"/>
          <w:lang w:val="ro-MD"/>
        </w:rPr>
        <w:t xml:space="preserve"> fi finanțat un set selectat de activități de asistență tehnică și de consolidare a capacităților</w:t>
      </w:r>
      <w:r w:rsidRPr="00E33BAB">
        <w:rPr>
          <w:rFonts w:asciiTheme="majorHAnsi" w:eastAsia="Times New Roman" w:hAnsiTheme="majorHAnsi" w:cstheme="majorHAnsi"/>
          <w:sz w:val="24"/>
          <w:szCs w:val="24"/>
          <w:vertAlign w:val="superscript"/>
          <w:lang w:val="ro-MD"/>
        </w:rPr>
        <w:footnoteReference w:id="18"/>
      </w:r>
      <w:r w:rsidRPr="00E33BAB">
        <w:rPr>
          <w:rFonts w:asciiTheme="majorHAnsi" w:hAnsiTheme="majorHAnsi" w:cstheme="majorHAnsi"/>
          <w:iCs/>
          <w:sz w:val="24"/>
          <w:szCs w:val="24"/>
          <w:lang w:val="ro-MD"/>
        </w:rPr>
        <w:t>, destina</w:t>
      </w:r>
      <w:r w:rsidRPr="00F13B13">
        <w:rPr>
          <w:rFonts w:asciiTheme="majorHAnsi" w:hAnsiTheme="majorHAnsi" w:cstheme="majorHAnsi"/>
          <w:iCs/>
          <w:sz w:val="24"/>
          <w:szCs w:val="24"/>
          <w:lang w:val="ro-MD"/>
        </w:rPr>
        <w:t>tă</w:t>
      </w:r>
      <w:r w:rsidRPr="00E33BAB">
        <w:rPr>
          <w:rFonts w:asciiTheme="majorHAnsi" w:hAnsiTheme="majorHAnsi" w:cstheme="majorHAnsi"/>
          <w:iCs/>
          <w:sz w:val="24"/>
          <w:szCs w:val="24"/>
          <w:lang w:val="ro-MD"/>
        </w:rPr>
        <w:t xml:space="preserve"> unor acțiuni pentru atingerea indicatorilor</w:t>
      </w:r>
      <w:r w:rsidR="00CC08C5">
        <w:rPr>
          <w:rFonts w:asciiTheme="majorHAnsi" w:hAnsiTheme="majorHAnsi" w:cstheme="majorHAnsi"/>
          <w:iCs/>
          <w:sz w:val="24"/>
          <w:szCs w:val="24"/>
          <w:lang w:val="ro-MD"/>
        </w:rPr>
        <w:t xml:space="preserve"> </w:t>
      </w:r>
      <w:r w:rsidRPr="00E33BAB">
        <w:rPr>
          <w:rFonts w:asciiTheme="majorHAnsi" w:hAnsiTheme="majorHAnsi" w:cstheme="majorHAnsi"/>
          <w:iCs/>
          <w:sz w:val="24"/>
          <w:szCs w:val="24"/>
          <w:lang w:val="ro-MD"/>
        </w:rPr>
        <w:t>legați de debursări. Cheltuielile efectuate din mijloacele Proiectului de Asistență Tehnică</w:t>
      </w:r>
      <w:r w:rsidRPr="00E33BAB">
        <w:rPr>
          <w:rFonts w:asciiTheme="majorHAnsi" w:hAnsiTheme="majorHAnsi" w:cstheme="majorHAnsi"/>
          <w:sz w:val="24"/>
          <w:szCs w:val="24"/>
          <w:lang w:val="ro-MD"/>
        </w:rPr>
        <w:t xml:space="preserve"> au menirea de a sprijini realizarea obiectivelor Programului prin consolidarea capacităților MSMPS și ale CNAM.</w:t>
      </w:r>
    </w:p>
    <w:p w14:paraId="3D70AEF2" w14:textId="29641293" w:rsidR="00330B0C" w:rsidRPr="00E33BAB" w:rsidRDefault="00330B0C" w:rsidP="00330B0C">
      <w:pPr>
        <w:spacing w:line="276" w:lineRule="auto"/>
        <w:jc w:val="both"/>
        <w:rPr>
          <w:rFonts w:asciiTheme="majorHAnsi" w:hAnsiTheme="majorHAnsi" w:cstheme="majorHAnsi"/>
          <w:iCs/>
          <w:sz w:val="24"/>
          <w:szCs w:val="24"/>
          <w:lang w:val="ro-MD"/>
        </w:rPr>
      </w:pPr>
      <w:r w:rsidRPr="00E33BAB">
        <w:rPr>
          <w:rFonts w:asciiTheme="majorHAnsi" w:hAnsiTheme="majorHAnsi" w:cstheme="majorHAnsi"/>
          <w:iCs/>
          <w:sz w:val="24"/>
          <w:szCs w:val="24"/>
          <w:lang w:val="ro-MD"/>
        </w:rPr>
        <w:t xml:space="preserve">Situațiile financiare ale Proiectului sunt raportate Băncii Mondiale și Ministerului Finanțelor, </w:t>
      </w:r>
      <w:r w:rsidR="003358CD">
        <w:rPr>
          <w:rFonts w:asciiTheme="majorHAnsi" w:hAnsiTheme="majorHAnsi" w:cstheme="majorHAnsi"/>
          <w:iCs/>
          <w:sz w:val="24"/>
          <w:szCs w:val="24"/>
          <w:lang w:val="ro-MD"/>
        </w:rPr>
        <w:t>acestea</w:t>
      </w:r>
      <w:r w:rsidRPr="00E33BAB">
        <w:rPr>
          <w:rFonts w:asciiTheme="majorHAnsi" w:hAnsiTheme="majorHAnsi" w:cstheme="majorHAnsi"/>
          <w:iCs/>
          <w:sz w:val="24"/>
          <w:szCs w:val="24"/>
          <w:lang w:val="ro-MD"/>
        </w:rPr>
        <w:t xml:space="preserve"> inclu</w:t>
      </w:r>
      <w:r w:rsidR="003358CD">
        <w:rPr>
          <w:rFonts w:asciiTheme="majorHAnsi" w:hAnsiTheme="majorHAnsi" w:cstheme="majorHAnsi"/>
          <w:iCs/>
          <w:sz w:val="24"/>
          <w:szCs w:val="24"/>
          <w:lang w:val="ro-MD"/>
        </w:rPr>
        <w:t xml:space="preserve">zând </w:t>
      </w:r>
      <w:r w:rsidRPr="00E33BAB">
        <w:rPr>
          <w:rFonts w:asciiTheme="majorHAnsi" w:hAnsiTheme="majorHAnsi" w:cstheme="majorHAnsi"/>
          <w:iCs/>
          <w:sz w:val="24"/>
          <w:szCs w:val="24"/>
          <w:lang w:val="ro-MD"/>
        </w:rPr>
        <w:t>un raport de progres al debursărilor recepționate și al cheltuielilor suportate pe componente și activități pentru anul de gestiune, în care sunt indicate fondurile acumulate de Proiect, soldurile bancare şi alte active, precum şi obligațiunile acestora (Anexele nr. 1</w:t>
      </w:r>
      <w:r w:rsidR="00CC08C5">
        <w:rPr>
          <w:rFonts w:asciiTheme="majorHAnsi" w:hAnsiTheme="majorHAnsi" w:cstheme="majorHAnsi"/>
          <w:iCs/>
          <w:sz w:val="24"/>
          <w:szCs w:val="24"/>
          <w:lang w:val="ro-MD"/>
        </w:rPr>
        <w:t xml:space="preserve"> – nr. </w:t>
      </w:r>
      <w:r w:rsidRPr="00E33BAB">
        <w:rPr>
          <w:rFonts w:asciiTheme="majorHAnsi" w:hAnsiTheme="majorHAnsi" w:cstheme="majorHAnsi"/>
          <w:iCs/>
          <w:sz w:val="24"/>
          <w:szCs w:val="24"/>
          <w:lang w:val="ro-MD"/>
        </w:rPr>
        <w:t>5).</w:t>
      </w:r>
    </w:p>
    <w:p w14:paraId="26F442AC" w14:textId="7C6C1251" w:rsidR="00330B0C" w:rsidRPr="00E33BAB" w:rsidRDefault="00A8105E" w:rsidP="00330B0C">
      <w:pPr>
        <w:spacing w:after="0" w:line="276" w:lineRule="auto"/>
        <w:jc w:val="both"/>
        <w:rPr>
          <w:rFonts w:asciiTheme="majorHAnsi" w:eastAsia="Times New Roman" w:hAnsiTheme="majorHAnsi" w:cstheme="majorHAnsi"/>
          <w:sz w:val="24"/>
          <w:szCs w:val="24"/>
          <w:lang w:val="ro-MD"/>
        </w:rPr>
      </w:pPr>
      <w:r w:rsidRPr="00E33BAB">
        <w:rPr>
          <w:rFonts w:asciiTheme="majorHAnsi" w:eastAsia="Times New Roman" w:hAnsiTheme="majorHAnsi" w:cstheme="majorHAnsi"/>
          <w:sz w:val="24"/>
          <w:szCs w:val="24"/>
          <w:lang w:val="ro-MD"/>
        </w:rPr>
        <w:t>Potrivit</w:t>
      </w:r>
      <w:r w:rsidR="00330B0C" w:rsidRPr="00E33BAB">
        <w:rPr>
          <w:rFonts w:asciiTheme="majorHAnsi" w:eastAsia="Times New Roman" w:hAnsiTheme="majorHAnsi" w:cstheme="majorHAnsi"/>
          <w:sz w:val="24"/>
          <w:szCs w:val="24"/>
          <w:lang w:val="ro-MD"/>
        </w:rPr>
        <w:t xml:space="preserve"> Acordului de finanțare dintre Republica Moldova și Asociația Internațională pentru Dezvoltare, Operațiunea </w:t>
      </w:r>
      <w:r w:rsidR="003358CD">
        <w:rPr>
          <w:rFonts w:asciiTheme="majorHAnsi" w:eastAsia="Times New Roman" w:hAnsiTheme="majorHAnsi" w:cstheme="majorHAnsi"/>
          <w:sz w:val="24"/>
          <w:szCs w:val="24"/>
          <w:lang w:val="ro-MD"/>
        </w:rPr>
        <w:t>„</w:t>
      </w:r>
      <w:r w:rsidR="00330B0C" w:rsidRPr="00E33BAB">
        <w:rPr>
          <w:rFonts w:asciiTheme="majorHAnsi" w:eastAsia="Times New Roman" w:hAnsiTheme="majorHAnsi" w:cstheme="majorHAnsi"/>
          <w:sz w:val="24"/>
          <w:szCs w:val="24"/>
          <w:lang w:val="ro-MD"/>
        </w:rPr>
        <w:t xml:space="preserve">Modernizarea sectorului sănătății </w:t>
      </w:r>
      <w:r w:rsidR="003358CD">
        <w:rPr>
          <w:rFonts w:asciiTheme="majorHAnsi" w:eastAsia="Times New Roman" w:hAnsiTheme="majorHAnsi" w:cstheme="majorHAnsi"/>
          <w:sz w:val="24"/>
          <w:szCs w:val="24"/>
          <w:lang w:val="ro-MD"/>
        </w:rPr>
        <w:t xml:space="preserve">în Republica Moldova” </w:t>
      </w:r>
      <w:r w:rsidR="00330B0C" w:rsidRPr="00E33BAB">
        <w:rPr>
          <w:rFonts w:asciiTheme="majorHAnsi" w:eastAsia="Times New Roman" w:hAnsiTheme="majorHAnsi" w:cstheme="majorHAnsi"/>
          <w:sz w:val="24"/>
          <w:szCs w:val="24"/>
          <w:lang w:val="ro-MD"/>
        </w:rPr>
        <w:t>urma a fi realizată în termen de 5 ani, data încheierii fiind 30 martie 2019. Conform Notei de Memoriu</w:t>
      </w:r>
      <w:r w:rsidR="00330B0C" w:rsidRPr="00E33BAB">
        <w:rPr>
          <w:rFonts w:asciiTheme="majorHAnsi" w:eastAsia="Times New Roman" w:hAnsiTheme="majorHAnsi" w:cstheme="majorHAnsi"/>
          <w:sz w:val="24"/>
          <w:szCs w:val="24"/>
          <w:vertAlign w:val="superscript"/>
          <w:lang w:val="ro-MD"/>
        </w:rPr>
        <w:footnoteReference w:id="19"/>
      </w:r>
      <w:r w:rsidR="00330B0C" w:rsidRPr="00E33BAB">
        <w:rPr>
          <w:rFonts w:asciiTheme="majorHAnsi" w:eastAsia="Times New Roman" w:hAnsiTheme="majorHAnsi" w:cstheme="majorHAnsi"/>
          <w:sz w:val="24"/>
          <w:szCs w:val="24"/>
          <w:lang w:val="ro-MD"/>
        </w:rPr>
        <w:t xml:space="preserve"> din octombrie 2018, pentru a asigura realizarea tuturor indicatorilor legați de debursare, precum și absorbția integrală a mijloacelor creditare, a fost acceptată extinderea termenului de realizare </w:t>
      </w:r>
      <w:r w:rsidR="003358CD">
        <w:rPr>
          <w:rFonts w:asciiTheme="majorHAnsi" w:eastAsia="Times New Roman" w:hAnsiTheme="majorHAnsi" w:cstheme="majorHAnsi"/>
          <w:sz w:val="24"/>
          <w:szCs w:val="24"/>
          <w:lang w:val="ro-MD"/>
        </w:rPr>
        <w:t xml:space="preserve">a Operațiunii </w:t>
      </w:r>
      <w:r w:rsidR="00330B0C" w:rsidRPr="00E33BAB">
        <w:rPr>
          <w:rFonts w:asciiTheme="majorHAnsi" w:eastAsia="Times New Roman" w:hAnsiTheme="majorHAnsi" w:cstheme="majorHAnsi"/>
          <w:sz w:val="24"/>
          <w:szCs w:val="24"/>
          <w:lang w:val="ro-MD"/>
        </w:rPr>
        <w:t>cu 21 de luni, până la 31 decembrie 2020.</w:t>
      </w:r>
      <w:r w:rsidR="00330B0C" w:rsidRPr="00E33BAB">
        <w:rPr>
          <w:rFonts w:asciiTheme="majorHAnsi" w:hAnsiTheme="majorHAnsi" w:cstheme="majorHAnsi"/>
          <w:sz w:val="24"/>
          <w:szCs w:val="24"/>
          <w:lang w:val="ro-MD"/>
        </w:rPr>
        <w:t xml:space="preserve"> </w:t>
      </w:r>
    </w:p>
    <w:p w14:paraId="03AE8247" w14:textId="59079CD8" w:rsidR="00330B0C" w:rsidRPr="00E33BAB" w:rsidRDefault="00921E05" w:rsidP="00330B0C">
      <w:pPr>
        <w:rPr>
          <w:lang w:val="ro-MD"/>
        </w:rPr>
      </w:pPr>
      <w:r w:rsidRPr="00E33BAB">
        <w:rPr>
          <w:rFonts w:asciiTheme="majorHAnsi" w:hAnsiTheme="majorHAnsi" w:cs="Times New Roman"/>
          <w:noProof/>
          <w:color w:val="000000"/>
          <w:sz w:val="24"/>
          <w:szCs w:val="24"/>
        </w:rPr>
        <mc:AlternateContent>
          <mc:Choice Requires="wps">
            <w:drawing>
              <wp:anchor distT="0" distB="0" distL="114300" distR="114300" simplePos="0" relativeHeight="251659264" behindDoc="0" locked="0" layoutInCell="1" allowOverlap="1" wp14:anchorId="0B8D3F65" wp14:editId="5704AE45">
                <wp:simplePos x="0" y="0"/>
                <wp:positionH relativeFrom="column">
                  <wp:posOffset>16510</wp:posOffset>
                </wp:positionH>
                <wp:positionV relativeFrom="paragraph">
                  <wp:posOffset>63500</wp:posOffset>
                </wp:positionV>
                <wp:extent cx="5989320" cy="1409700"/>
                <wp:effectExtent l="0" t="0" r="11430" b="19050"/>
                <wp:wrapNone/>
                <wp:docPr id="1" name="Rectangle 1"/>
                <wp:cNvGraphicFramePr/>
                <a:graphic xmlns:a="http://schemas.openxmlformats.org/drawingml/2006/main">
                  <a:graphicData uri="http://schemas.microsoft.com/office/word/2010/wordprocessingShape">
                    <wps:wsp>
                      <wps:cNvSpPr/>
                      <wps:spPr>
                        <a:xfrm>
                          <a:off x="0" y="0"/>
                          <a:ext cx="5989320" cy="1409700"/>
                        </a:xfrm>
                        <a:prstGeom prst="rect">
                          <a:avLst/>
                        </a:prstGeom>
                        <a:solidFill>
                          <a:sysClr val="window" lastClr="FFFFFF"/>
                        </a:solidFill>
                        <a:ln w="12700" cap="flat" cmpd="sng" algn="ctr">
                          <a:solidFill>
                            <a:srgbClr val="70AD47"/>
                          </a:solidFill>
                          <a:prstDash val="solid"/>
                          <a:miter lim="800000"/>
                        </a:ln>
                        <a:effectLst/>
                      </wps:spPr>
                      <wps:txbx>
                        <w:txbxContent>
                          <w:p w14:paraId="4FA34A7E" w14:textId="0565D8AB" w:rsidR="00785129" w:rsidRPr="00E301D6" w:rsidRDefault="00785129" w:rsidP="00330B0C">
                            <w:pPr>
                              <w:spacing w:line="276" w:lineRule="auto"/>
                              <w:jc w:val="both"/>
                              <w:rPr>
                                <w:rFonts w:ascii="Calibri Light" w:hAnsi="Calibri Light" w:cs="Calibri Light"/>
                                <w:b/>
                                <w:sz w:val="24"/>
                                <w:szCs w:val="24"/>
                                <w:lang w:val="ro-MD"/>
                              </w:rPr>
                            </w:pPr>
                            <w:r w:rsidRPr="00E301D6">
                              <w:rPr>
                                <w:rFonts w:ascii="Calibri Light" w:hAnsi="Calibri Light" w:cs="Calibri Light"/>
                                <w:b/>
                                <w:sz w:val="24"/>
                                <w:szCs w:val="24"/>
                                <w:lang w:val="ro-MD"/>
                              </w:rPr>
                              <w:t xml:space="preserve">Situația pandemică provocată de virusul Covid-19 a avut un impact major asupra activităților </w:t>
                            </w:r>
                            <w:r>
                              <w:rPr>
                                <w:rFonts w:ascii="Calibri Light" w:hAnsi="Calibri Light" w:cs="Calibri Light"/>
                                <w:b/>
                                <w:sz w:val="24"/>
                                <w:szCs w:val="24"/>
                                <w:lang w:val="ro-MD"/>
                              </w:rPr>
                              <w:t>de implementare a</w:t>
                            </w:r>
                            <w:r w:rsidRPr="00226AC0">
                              <w:rPr>
                                <w:rFonts w:ascii="Calibri Light" w:hAnsi="Calibri Light" w:cs="Calibri Light"/>
                                <w:b/>
                                <w:sz w:val="24"/>
                                <w:szCs w:val="24"/>
                                <w:lang w:val="ro-MD"/>
                              </w:rPr>
                              <w:t xml:space="preserve"> Programului ,,Modernizarea sectorului sănătății în Republica Moldova”</w:t>
                            </w:r>
                            <w:r>
                              <w:rPr>
                                <w:rFonts w:ascii="Calibri Light" w:hAnsi="Calibri Light" w:cs="Calibri Light"/>
                                <w:b/>
                                <w:sz w:val="24"/>
                                <w:szCs w:val="24"/>
                                <w:lang w:val="ro-MD"/>
                              </w:rPr>
                              <w:t>, desfășurate în anul 2020, atât pe interior</w:t>
                            </w:r>
                            <w:r w:rsidRPr="00E301D6">
                              <w:rPr>
                                <w:rFonts w:ascii="Calibri Light" w:hAnsi="Calibri Light" w:cs="Calibri Light"/>
                                <w:b/>
                                <w:sz w:val="24"/>
                                <w:szCs w:val="24"/>
                                <w:lang w:val="ro-MD"/>
                              </w:rPr>
                              <w:t>, cât și pe exterior</w:t>
                            </w:r>
                            <w:r>
                              <w:rPr>
                                <w:rFonts w:ascii="Calibri Light" w:hAnsi="Calibri Light" w:cs="Calibri Light"/>
                                <w:b/>
                                <w:sz w:val="24"/>
                                <w:szCs w:val="24"/>
                                <w:lang w:val="ro-MD"/>
                              </w:rPr>
                              <w:t xml:space="preserve">, în </w:t>
                            </w:r>
                            <w:r w:rsidRPr="00E301D6">
                              <w:rPr>
                                <w:rFonts w:ascii="Calibri Light" w:hAnsi="Calibri Light" w:cs="Calibri Light"/>
                                <w:b/>
                                <w:sz w:val="24"/>
                                <w:szCs w:val="24"/>
                                <w:lang w:val="ro-MD"/>
                              </w:rPr>
                              <w:t>conlucrare</w:t>
                            </w:r>
                            <w:r>
                              <w:rPr>
                                <w:rFonts w:ascii="Calibri Light" w:hAnsi="Calibri Light" w:cs="Calibri Light"/>
                                <w:b/>
                                <w:sz w:val="24"/>
                                <w:szCs w:val="24"/>
                                <w:lang w:val="ro-MD"/>
                              </w:rPr>
                              <w:t>a</w:t>
                            </w:r>
                            <w:r w:rsidRPr="00E301D6">
                              <w:rPr>
                                <w:rFonts w:ascii="Calibri Light" w:hAnsi="Calibri Light" w:cs="Calibri Light"/>
                                <w:b/>
                                <w:sz w:val="24"/>
                                <w:szCs w:val="24"/>
                                <w:lang w:val="ro-MD"/>
                              </w:rPr>
                              <w:t xml:space="preserve"> cu alte instituții/autorități de diferit nivel, care</w:t>
                            </w:r>
                            <w:r>
                              <w:rPr>
                                <w:rFonts w:ascii="Calibri Light" w:hAnsi="Calibri Light" w:cs="Calibri Light"/>
                                <w:b/>
                                <w:sz w:val="24"/>
                                <w:szCs w:val="24"/>
                                <w:lang w:val="ro-MD"/>
                              </w:rPr>
                              <w:t>,</w:t>
                            </w:r>
                            <w:r w:rsidRPr="00E301D6">
                              <w:rPr>
                                <w:rFonts w:ascii="Calibri Light" w:hAnsi="Calibri Light" w:cs="Calibri Light"/>
                                <w:b/>
                                <w:sz w:val="24"/>
                                <w:szCs w:val="24"/>
                                <w:lang w:val="ro-MD"/>
                              </w:rPr>
                              <w:t xml:space="preserve"> di</w:t>
                            </w:r>
                            <w:r>
                              <w:rPr>
                                <w:rFonts w:ascii="Calibri Light" w:hAnsi="Calibri Light" w:cs="Calibri Light"/>
                                <w:b/>
                                <w:sz w:val="24"/>
                                <w:szCs w:val="24"/>
                                <w:lang w:val="ro-MD"/>
                              </w:rPr>
                              <w:t>n cauza răspâ</w:t>
                            </w:r>
                            <w:r w:rsidRPr="00E301D6">
                              <w:rPr>
                                <w:rFonts w:ascii="Calibri Light" w:hAnsi="Calibri Light" w:cs="Calibri Light"/>
                                <w:b/>
                                <w:sz w:val="24"/>
                                <w:szCs w:val="24"/>
                                <w:lang w:val="ro-MD"/>
                              </w:rPr>
                              <w:t>ndir</w:t>
                            </w:r>
                            <w:r>
                              <w:rPr>
                                <w:rFonts w:ascii="Calibri Light" w:hAnsi="Calibri Light" w:cs="Calibri Light"/>
                                <w:b/>
                                <w:sz w:val="24"/>
                                <w:szCs w:val="24"/>
                                <w:lang w:val="ro-MD"/>
                              </w:rPr>
                              <w:t>ii</w:t>
                            </w:r>
                            <w:r w:rsidRPr="00E301D6">
                              <w:rPr>
                                <w:rFonts w:ascii="Calibri Light" w:hAnsi="Calibri Light" w:cs="Calibri Light"/>
                                <w:b/>
                                <w:sz w:val="24"/>
                                <w:szCs w:val="24"/>
                                <w:lang w:val="ro-MD"/>
                              </w:rPr>
                              <w:t xml:space="preserve"> virusului, și-au reorganizat activitatea în condiții speciale. Această situație a influențat în mod direct și procesul de </w:t>
                            </w:r>
                            <w:r>
                              <w:rPr>
                                <w:rFonts w:ascii="Calibri Light" w:hAnsi="Calibri Light" w:cs="Calibri Light"/>
                                <w:b/>
                                <w:sz w:val="24"/>
                                <w:szCs w:val="24"/>
                                <w:lang w:val="ro-MD"/>
                              </w:rPr>
                              <w:t>debursare a indicatorilor.</w:t>
                            </w:r>
                          </w:p>
                          <w:p w14:paraId="466D93F2" w14:textId="77777777" w:rsidR="00785129" w:rsidRPr="00E301D6" w:rsidRDefault="00785129" w:rsidP="00330B0C">
                            <w:pPr>
                              <w:jc w:val="center"/>
                              <w:rPr>
                                <w:lang w:val="ro-M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8D3F65" id="Rectangle 1" o:spid="_x0000_s1026" style="position:absolute;margin-left:1.3pt;margin-top:5pt;width:471.6pt;height:1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" fillcolor="window" strokecolor="#70ad47" strokeweight="1pt">
                <v:textbox>
                  <w:txbxContent>
                    <w:p w14:paraId="4FA34A7E" w14:textId="0565D8AB" w:rsidR="00785129" w:rsidRPr="00E301D6" w:rsidRDefault="00785129" w:rsidP="00330B0C">
                      <w:pPr>
                        <w:spacing w:line="276" w:lineRule="auto"/>
                        <w:jc w:val="both"/>
                        <w:rPr>
                          <w:rFonts w:ascii="Calibri Light" w:hAnsi="Calibri Light" w:cs="Calibri Light"/>
                          <w:b/>
                          <w:sz w:val="24"/>
                          <w:szCs w:val="24"/>
                          <w:lang w:val="ro-MD"/>
                        </w:rPr>
                      </w:pPr>
                      <w:r w:rsidRPr="00E301D6">
                        <w:rPr>
                          <w:rFonts w:ascii="Calibri Light" w:hAnsi="Calibri Light" w:cs="Calibri Light"/>
                          <w:b/>
                          <w:sz w:val="24"/>
                          <w:szCs w:val="24"/>
                          <w:lang w:val="ro-MD"/>
                        </w:rPr>
                        <w:t xml:space="preserve">Situația pandemică provocată de virusul Covid-19 a avut un impact major asupra activităților </w:t>
                      </w:r>
                      <w:r>
                        <w:rPr>
                          <w:rFonts w:ascii="Calibri Light" w:hAnsi="Calibri Light" w:cs="Calibri Light"/>
                          <w:b/>
                          <w:sz w:val="24"/>
                          <w:szCs w:val="24"/>
                          <w:lang w:val="ro-MD"/>
                        </w:rPr>
                        <w:t>de implementare a</w:t>
                      </w:r>
                      <w:r w:rsidRPr="00226AC0">
                        <w:rPr>
                          <w:rFonts w:ascii="Calibri Light" w:hAnsi="Calibri Light" w:cs="Calibri Light"/>
                          <w:b/>
                          <w:sz w:val="24"/>
                          <w:szCs w:val="24"/>
                          <w:lang w:val="ro-MD"/>
                        </w:rPr>
                        <w:t xml:space="preserve"> Programului ,,Modernizarea sectorului sănătății în Republica Moldova”</w:t>
                      </w:r>
                      <w:r>
                        <w:rPr>
                          <w:rFonts w:ascii="Calibri Light" w:hAnsi="Calibri Light" w:cs="Calibri Light"/>
                          <w:b/>
                          <w:sz w:val="24"/>
                          <w:szCs w:val="24"/>
                          <w:lang w:val="ro-MD"/>
                        </w:rPr>
                        <w:t>, desfășurate în anul 2020, atât pe interior</w:t>
                      </w:r>
                      <w:r w:rsidRPr="00E301D6">
                        <w:rPr>
                          <w:rFonts w:ascii="Calibri Light" w:hAnsi="Calibri Light" w:cs="Calibri Light"/>
                          <w:b/>
                          <w:sz w:val="24"/>
                          <w:szCs w:val="24"/>
                          <w:lang w:val="ro-MD"/>
                        </w:rPr>
                        <w:t>, cât și pe exterior</w:t>
                      </w:r>
                      <w:r>
                        <w:rPr>
                          <w:rFonts w:ascii="Calibri Light" w:hAnsi="Calibri Light" w:cs="Calibri Light"/>
                          <w:b/>
                          <w:sz w:val="24"/>
                          <w:szCs w:val="24"/>
                          <w:lang w:val="ro-MD"/>
                        </w:rPr>
                        <w:t xml:space="preserve">, în </w:t>
                      </w:r>
                      <w:r w:rsidRPr="00E301D6">
                        <w:rPr>
                          <w:rFonts w:ascii="Calibri Light" w:hAnsi="Calibri Light" w:cs="Calibri Light"/>
                          <w:b/>
                          <w:sz w:val="24"/>
                          <w:szCs w:val="24"/>
                          <w:lang w:val="ro-MD"/>
                        </w:rPr>
                        <w:t>conlucrare</w:t>
                      </w:r>
                      <w:r>
                        <w:rPr>
                          <w:rFonts w:ascii="Calibri Light" w:hAnsi="Calibri Light" w:cs="Calibri Light"/>
                          <w:b/>
                          <w:sz w:val="24"/>
                          <w:szCs w:val="24"/>
                          <w:lang w:val="ro-MD"/>
                        </w:rPr>
                        <w:t>a</w:t>
                      </w:r>
                      <w:r w:rsidRPr="00E301D6">
                        <w:rPr>
                          <w:rFonts w:ascii="Calibri Light" w:hAnsi="Calibri Light" w:cs="Calibri Light"/>
                          <w:b/>
                          <w:sz w:val="24"/>
                          <w:szCs w:val="24"/>
                          <w:lang w:val="ro-MD"/>
                        </w:rPr>
                        <w:t xml:space="preserve"> cu alte instituții/autorități de diferit nivel, care</w:t>
                      </w:r>
                      <w:r>
                        <w:rPr>
                          <w:rFonts w:ascii="Calibri Light" w:hAnsi="Calibri Light" w:cs="Calibri Light"/>
                          <w:b/>
                          <w:sz w:val="24"/>
                          <w:szCs w:val="24"/>
                          <w:lang w:val="ro-MD"/>
                        </w:rPr>
                        <w:t>,</w:t>
                      </w:r>
                      <w:r w:rsidRPr="00E301D6">
                        <w:rPr>
                          <w:rFonts w:ascii="Calibri Light" w:hAnsi="Calibri Light" w:cs="Calibri Light"/>
                          <w:b/>
                          <w:sz w:val="24"/>
                          <w:szCs w:val="24"/>
                          <w:lang w:val="ro-MD"/>
                        </w:rPr>
                        <w:t xml:space="preserve"> di</w:t>
                      </w:r>
                      <w:r>
                        <w:rPr>
                          <w:rFonts w:ascii="Calibri Light" w:hAnsi="Calibri Light" w:cs="Calibri Light"/>
                          <w:b/>
                          <w:sz w:val="24"/>
                          <w:szCs w:val="24"/>
                          <w:lang w:val="ro-MD"/>
                        </w:rPr>
                        <w:t>n cauza răspâ</w:t>
                      </w:r>
                      <w:r w:rsidRPr="00E301D6">
                        <w:rPr>
                          <w:rFonts w:ascii="Calibri Light" w:hAnsi="Calibri Light" w:cs="Calibri Light"/>
                          <w:b/>
                          <w:sz w:val="24"/>
                          <w:szCs w:val="24"/>
                          <w:lang w:val="ro-MD"/>
                        </w:rPr>
                        <w:t>ndir</w:t>
                      </w:r>
                      <w:r>
                        <w:rPr>
                          <w:rFonts w:ascii="Calibri Light" w:hAnsi="Calibri Light" w:cs="Calibri Light"/>
                          <w:b/>
                          <w:sz w:val="24"/>
                          <w:szCs w:val="24"/>
                          <w:lang w:val="ro-MD"/>
                        </w:rPr>
                        <w:t>ii</w:t>
                      </w:r>
                      <w:r w:rsidRPr="00E301D6">
                        <w:rPr>
                          <w:rFonts w:ascii="Calibri Light" w:hAnsi="Calibri Light" w:cs="Calibri Light"/>
                          <w:b/>
                          <w:sz w:val="24"/>
                          <w:szCs w:val="24"/>
                          <w:lang w:val="ro-MD"/>
                        </w:rPr>
                        <w:t xml:space="preserve"> virusului, și-au reorganizat activitatea în condiții speciale. Această situație a influențat în mod direct și procesul de </w:t>
                      </w:r>
                      <w:r>
                        <w:rPr>
                          <w:rFonts w:ascii="Calibri Light" w:hAnsi="Calibri Light" w:cs="Calibri Light"/>
                          <w:b/>
                          <w:sz w:val="24"/>
                          <w:szCs w:val="24"/>
                          <w:lang w:val="ro-MD"/>
                        </w:rPr>
                        <w:t>debursare a indicatorilor.</w:t>
                      </w:r>
                    </w:p>
                    <w:p w14:paraId="466D93F2" w14:textId="77777777" w:rsidR="00785129" w:rsidRPr="00E301D6" w:rsidRDefault="00785129" w:rsidP="00330B0C">
                      <w:pPr>
                        <w:jc w:val="center"/>
                        <w:rPr>
                          <w:lang w:val="ro-MD"/>
                        </w:rPr>
                      </w:pPr>
                    </w:p>
                  </w:txbxContent>
                </v:textbox>
              </v:rect>
            </w:pict>
          </mc:Fallback>
        </mc:AlternateContent>
      </w:r>
    </w:p>
    <w:p w14:paraId="58C87D56" w14:textId="7AF12136" w:rsidR="00330B0C" w:rsidRPr="00E33BAB" w:rsidRDefault="00330B0C" w:rsidP="00330B0C">
      <w:pPr>
        <w:rPr>
          <w:lang w:val="ro-MD"/>
        </w:rPr>
      </w:pPr>
    </w:p>
    <w:p w14:paraId="1E7D3824" w14:textId="11987C7E" w:rsidR="00330B0C" w:rsidRPr="00E33BAB" w:rsidRDefault="00330B0C" w:rsidP="00330B0C">
      <w:pPr>
        <w:rPr>
          <w:lang w:val="ro-MD"/>
        </w:rPr>
      </w:pPr>
    </w:p>
    <w:p w14:paraId="07868D41" w14:textId="77777777" w:rsidR="00A656AF" w:rsidRDefault="00A656AF" w:rsidP="00330B0C">
      <w:pPr>
        <w:spacing w:after="0" w:line="276" w:lineRule="auto"/>
        <w:jc w:val="both"/>
        <w:rPr>
          <w:lang w:val="ro-MD"/>
        </w:rPr>
      </w:pPr>
    </w:p>
    <w:p w14:paraId="615D98C5" w14:textId="7BD07788" w:rsidR="00330B0C" w:rsidRPr="00E33BAB" w:rsidRDefault="00330B0C" w:rsidP="00330B0C">
      <w:pPr>
        <w:spacing w:after="0" w:line="276" w:lineRule="auto"/>
        <w:jc w:val="both"/>
        <w:rPr>
          <w:rFonts w:asciiTheme="majorHAnsi" w:hAnsiTheme="majorHAnsi" w:cstheme="majorHAnsi"/>
          <w:sz w:val="24"/>
          <w:szCs w:val="24"/>
          <w:lang w:val="ro-MD"/>
        </w:rPr>
      </w:pPr>
      <w:r w:rsidRPr="00E33BAB">
        <w:rPr>
          <w:rFonts w:asciiTheme="majorHAnsi" w:hAnsiTheme="majorHAnsi" w:cstheme="majorHAnsi"/>
          <w:sz w:val="24"/>
          <w:szCs w:val="24"/>
          <w:lang w:val="ro-MD"/>
        </w:rPr>
        <w:lastRenderedPageBreak/>
        <w:t xml:space="preserve">Astfel, progresul în sensul realizării Proiectului este menținut la un nivel moderat, fără modificări substanțiale ale coeficientului de debursare. Sumele debursate în cadrul Proiectului </w:t>
      </w:r>
      <w:r w:rsidR="0018363A">
        <w:rPr>
          <w:rFonts w:asciiTheme="majorHAnsi" w:hAnsiTheme="majorHAnsi" w:cstheme="majorHAnsi"/>
          <w:sz w:val="24"/>
          <w:szCs w:val="24"/>
          <w:lang w:val="ro-MD"/>
        </w:rPr>
        <w:t>„M</w:t>
      </w:r>
      <w:r w:rsidRPr="00E33BAB">
        <w:rPr>
          <w:rFonts w:asciiTheme="majorHAnsi" w:hAnsiTheme="majorHAnsi" w:cstheme="majorHAnsi"/>
          <w:sz w:val="24"/>
          <w:szCs w:val="24"/>
          <w:lang w:val="ro-MD"/>
        </w:rPr>
        <w:t>odernizarea sectorului sănătății</w:t>
      </w:r>
      <w:r w:rsidR="0018363A">
        <w:rPr>
          <w:rFonts w:asciiTheme="majorHAnsi" w:hAnsiTheme="majorHAnsi" w:cstheme="majorHAnsi"/>
          <w:sz w:val="24"/>
          <w:szCs w:val="24"/>
          <w:lang w:val="ro-MD"/>
        </w:rPr>
        <w:t xml:space="preserve"> în Republica Moldova”</w:t>
      </w:r>
      <w:r w:rsidRPr="00E33BAB">
        <w:rPr>
          <w:rFonts w:asciiTheme="majorHAnsi" w:hAnsiTheme="majorHAnsi" w:cstheme="majorHAnsi"/>
          <w:sz w:val="24"/>
          <w:szCs w:val="24"/>
          <w:lang w:val="ro-MD"/>
        </w:rPr>
        <w:t xml:space="preserve">, până în anul 2020, sunt următoarele: </w:t>
      </w:r>
    </w:p>
    <w:p w14:paraId="5EBA9EE6" w14:textId="521A3CBA" w:rsidR="00330B0C" w:rsidRPr="00E33BAB" w:rsidRDefault="00330B0C" w:rsidP="00330B0C">
      <w:pPr>
        <w:spacing w:after="0" w:line="276" w:lineRule="auto"/>
        <w:jc w:val="both"/>
        <w:rPr>
          <w:rFonts w:asciiTheme="majorHAnsi" w:hAnsiTheme="majorHAnsi" w:cstheme="majorHAnsi"/>
          <w:sz w:val="24"/>
          <w:szCs w:val="24"/>
          <w:lang w:val="ro-MD"/>
        </w:rPr>
      </w:pPr>
      <w:r w:rsidRPr="00E33BAB">
        <w:rPr>
          <w:rFonts w:asciiTheme="majorHAnsi" w:hAnsiTheme="majorHAnsi" w:cstheme="majorHAnsi"/>
          <w:sz w:val="24"/>
          <w:szCs w:val="24"/>
          <w:lang w:val="ro-MD"/>
        </w:rPr>
        <w:t xml:space="preserve"> </w:t>
      </w:r>
      <w:r w:rsidR="0018363A">
        <w:rPr>
          <w:rFonts w:asciiTheme="majorHAnsi" w:hAnsiTheme="majorHAnsi" w:cstheme="majorHAnsi"/>
          <w:sz w:val="24"/>
          <w:szCs w:val="24"/>
          <w:lang w:val="ro-MD"/>
        </w:rPr>
        <w:t xml:space="preserve">- </w:t>
      </w:r>
      <w:r w:rsidRPr="00E33BAB">
        <w:rPr>
          <w:rFonts w:asciiTheme="majorHAnsi" w:hAnsiTheme="majorHAnsi" w:cstheme="majorHAnsi"/>
          <w:sz w:val="24"/>
          <w:szCs w:val="24"/>
          <w:lang w:val="ro-MD"/>
        </w:rPr>
        <w:t>Program Suport la Buget</w:t>
      </w:r>
      <w:r w:rsidRPr="00E33BAB">
        <w:rPr>
          <w:rStyle w:val="FootnoteReference"/>
          <w:rFonts w:asciiTheme="majorHAnsi" w:hAnsiTheme="majorHAnsi" w:cstheme="majorHAnsi"/>
          <w:sz w:val="24"/>
          <w:szCs w:val="24"/>
          <w:lang w:val="ro-MD"/>
        </w:rPr>
        <w:footnoteReference w:id="20"/>
      </w:r>
      <w:r w:rsidR="003E2E80">
        <w:rPr>
          <w:rFonts w:asciiTheme="majorHAnsi" w:hAnsiTheme="majorHAnsi" w:cstheme="majorHAnsi"/>
          <w:sz w:val="24"/>
          <w:szCs w:val="24"/>
          <w:lang w:val="ro-MD"/>
        </w:rPr>
        <w:t>:</w:t>
      </w:r>
      <w:r w:rsidR="0018363A">
        <w:rPr>
          <w:rFonts w:asciiTheme="majorHAnsi" w:hAnsiTheme="majorHAnsi" w:cstheme="majorHAnsi"/>
          <w:sz w:val="24"/>
          <w:szCs w:val="24"/>
          <w:lang w:val="ro-MD"/>
        </w:rPr>
        <w:t xml:space="preserve"> </w:t>
      </w:r>
      <w:r w:rsidRPr="00E33BAB">
        <w:rPr>
          <w:rFonts w:asciiTheme="majorHAnsi" w:hAnsiTheme="majorHAnsi" w:cstheme="majorHAnsi"/>
          <w:sz w:val="24"/>
          <w:szCs w:val="24"/>
          <w:lang w:val="ro-MD"/>
        </w:rPr>
        <w:t xml:space="preserve"> </w:t>
      </w:r>
      <w:r w:rsidR="003E2E80">
        <w:rPr>
          <w:rFonts w:asciiTheme="majorHAnsi" w:hAnsiTheme="majorHAnsi" w:cstheme="majorHAnsi"/>
          <w:sz w:val="24"/>
          <w:szCs w:val="24"/>
          <w:lang w:val="ro-MD"/>
        </w:rPr>
        <w:t xml:space="preserve">debursate </w:t>
      </w:r>
      <w:r w:rsidRPr="00E33BAB">
        <w:rPr>
          <w:rFonts w:asciiTheme="majorHAnsi" w:hAnsiTheme="majorHAnsi" w:cstheme="majorHAnsi"/>
          <w:sz w:val="24"/>
          <w:szCs w:val="24"/>
          <w:lang w:val="ro-MD"/>
        </w:rPr>
        <w:t>10,3 mil. DST, ce reprezintă 55,2</w:t>
      </w:r>
      <w:r w:rsidR="0018363A">
        <w:rPr>
          <w:rFonts w:asciiTheme="majorHAnsi" w:hAnsiTheme="majorHAnsi" w:cstheme="majorHAnsi"/>
          <w:sz w:val="24"/>
          <w:szCs w:val="24"/>
          <w:lang w:val="ro-MD"/>
        </w:rPr>
        <w:t>%</w:t>
      </w:r>
      <w:r w:rsidRPr="00E33BAB">
        <w:rPr>
          <w:rFonts w:asciiTheme="majorHAnsi" w:hAnsiTheme="majorHAnsi" w:cstheme="majorHAnsi"/>
          <w:sz w:val="24"/>
          <w:szCs w:val="24"/>
          <w:lang w:val="ro-MD"/>
        </w:rPr>
        <w:t xml:space="preserve"> din creditul total în valoare de 18,6 mil. DST</w:t>
      </w:r>
      <w:r w:rsidR="0018363A">
        <w:rPr>
          <w:rFonts w:asciiTheme="majorHAnsi" w:hAnsiTheme="majorHAnsi" w:cstheme="majorHAnsi"/>
          <w:sz w:val="24"/>
          <w:szCs w:val="24"/>
          <w:lang w:val="ro-MD"/>
        </w:rPr>
        <w:t>.</w:t>
      </w:r>
      <w:r w:rsidRPr="00E33BAB">
        <w:rPr>
          <w:rFonts w:asciiTheme="majorHAnsi" w:hAnsiTheme="majorHAnsi" w:cstheme="majorHAnsi"/>
          <w:sz w:val="24"/>
          <w:szCs w:val="24"/>
          <w:lang w:val="ro-MD"/>
        </w:rPr>
        <w:t xml:space="preserve"> </w:t>
      </w:r>
      <w:r w:rsidR="00BF3D3D" w:rsidRPr="00E33BAB">
        <w:rPr>
          <w:rFonts w:asciiTheme="majorHAnsi" w:eastAsia="Times New Roman" w:hAnsiTheme="majorHAnsi" w:cstheme="majorHAnsi"/>
          <w:sz w:val="24"/>
          <w:szCs w:val="24"/>
          <w:lang w:val="ro-MD"/>
        </w:rPr>
        <w:t xml:space="preserve">Mijloacele au fost debursate </w:t>
      </w:r>
      <w:r w:rsidR="0018363A">
        <w:rPr>
          <w:rFonts w:asciiTheme="majorHAnsi" w:eastAsia="Times New Roman" w:hAnsiTheme="majorHAnsi" w:cstheme="majorHAnsi"/>
          <w:sz w:val="24"/>
          <w:szCs w:val="24"/>
          <w:lang w:val="ro-MD"/>
        </w:rPr>
        <w:t xml:space="preserve">ca </w:t>
      </w:r>
      <w:r w:rsidR="00BF3D3D" w:rsidRPr="00E33BAB">
        <w:rPr>
          <w:rFonts w:asciiTheme="majorHAnsi" w:eastAsia="Times New Roman" w:hAnsiTheme="majorHAnsi" w:cstheme="majorHAnsi"/>
          <w:sz w:val="24"/>
          <w:szCs w:val="24"/>
          <w:lang w:val="ro-MD"/>
        </w:rPr>
        <w:t>urmare a realizării integrale a șase indicatori (ILD 3, 4, 5, 6, 8 și 10</w:t>
      </w:r>
      <w:r w:rsidR="000A7C6C" w:rsidRPr="00E33BAB">
        <w:rPr>
          <w:rStyle w:val="FootnoteReference"/>
          <w:rFonts w:asciiTheme="majorHAnsi" w:eastAsia="Times New Roman" w:hAnsiTheme="majorHAnsi" w:cstheme="majorHAnsi"/>
          <w:sz w:val="24"/>
          <w:szCs w:val="24"/>
          <w:lang w:val="ro-MD"/>
        </w:rPr>
        <w:footnoteReference w:id="21"/>
      </w:r>
      <w:r w:rsidR="00BF3D3D" w:rsidRPr="00E33BAB">
        <w:rPr>
          <w:rFonts w:asciiTheme="majorHAnsi" w:eastAsia="Times New Roman" w:hAnsiTheme="majorHAnsi" w:cstheme="majorHAnsi"/>
          <w:sz w:val="24"/>
          <w:szCs w:val="24"/>
          <w:lang w:val="ro-MD"/>
        </w:rPr>
        <w:t>).</w:t>
      </w:r>
      <w:r w:rsidR="00BF3D3D" w:rsidRPr="00E33BAB">
        <w:rPr>
          <w:rFonts w:asciiTheme="majorHAnsi" w:hAnsiTheme="majorHAnsi" w:cstheme="majorHAnsi"/>
          <w:sz w:val="24"/>
          <w:szCs w:val="24"/>
          <w:lang w:val="ro-MD"/>
        </w:rPr>
        <w:t xml:space="preserve"> </w:t>
      </w:r>
      <w:r w:rsidR="00BF3D3D" w:rsidRPr="00E33BAB">
        <w:rPr>
          <w:rFonts w:asciiTheme="majorHAnsi" w:eastAsia="Times New Roman" w:hAnsiTheme="majorHAnsi" w:cstheme="majorHAnsi"/>
          <w:sz w:val="24"/>
          <w:szCs w:val="24"/>
          <w:lang w:val="ro-MD"/>
        </w:rPr>
        <w:t>Totodată, parțial au fost atinși patru indicatori (</w:t>
      </w:r>
      <w:r w:rsidR="00C315EB">
        <w:rPr>
          <w:rFonts w:asciiTheme="majorHAnsi" w:eastAsia="Times New Roman" w:hAnsiTheme="majorHAnsi" w:cstheme="majorHAnsi"/>
          <w:sz w:val="24"/>
          <w:szCs w:val="24"/>
          <w:lang w:val="ro-MD"/>
        </w:rPr>
        <w:t>ILD</w:t>
      </w:r>
      <w:r w:rsidR="00BF3D3D" w:rsidRPr="00E33BAB">
        <w:rPr>
          <w:rFonts w:asciiTheme="majorHAnsi" w:eastAsia="Times New Roman" w:hAnsiTheme="majorHAnsi" w:cstheme="majorHAnsi"/>
          <w:sz w:val="24"/>
          <w:szCs w:val="24"/>
          <w:lang w:val="ro-MD"/>
        </w:rPr>
        <w:t xml:space="preserve"> 1, 2, 7 și 9)</w:t>
      </w:r>
      <w:r w:rsidR="0018363A">
        <w:rPr>
          <w:rFonts w:asciiTheme="majorHAnsi" w:eastAsia="Times New Roman" w:hAnsiTheme="majorHAnsi" w:cstheme="majorHAnsi"/>
          <w:sz w:val="24"/>
          <w:szCs w:val="24"/>
          <w:lang w:val="ro-MD"/>
        </w:rPr>
        <w:t>,</w:t>
      </w:r>
      <w:r w:rsidR="00BF3D3D" w:rsidRPr="00E33BAB">
        <w:rPr>
          <w:rFonts w:asciiTheme="majorHAnsi" w:eastAsia="Times New Roman" w:hAnsiTheme="majorHAnsi" w:cstheme="majorHAnsi"/>
          <w:sz w:val="24"/>
          <w:szCs w:val="24"/>
          <w:lang w:val="ro-MD"/>
        </w:rPr>
        <w:t xml:space="preserve"> care urmează a fi realizați până la finalizarea Proiectului</w:t>
      </w:r>
      <w:r w:rsidR="0018363A">
        <w:rPr>
          <w:rFonts w:asciiTheme="majorHAnsi" w:eastAsia="Times New Roman" w:hAnsiTheme="majorHAnsi" w:cstheme="majorHAnsi"/>
          <w:sz w:val="24"/>
          <w:szCs w:val="24"/>
          <w:lang w:val="ro-MD"/>
        </w:rPr>
        <w:t>, cu</w:t>
      </w:r>
      <w:r w:rsidR="00BF3D3D" w:rsidRPr="00E33BAB">
        <w:rPr>
          <w:rFonts w:asciiTheme="majorHAnsi" w:eastAsia="Times New Roman" w:hAnsiTheme="majorHAnsi" w:cstheme="majorHAnsi"/>
          <w:sz w:val="24"/>
          <w:szCs w:val="24"/>
          <w:lang w:val="ro-MD"/>
        </w:rPr>
        <w:t xml:space="preserve"> debursa</w:t>
      </w:r>
      <w:r w:rsidR="0018363A">
        <w:rPr>
          <w:rFonts w:asciiTheme="majorHAnsi" w:eastAsia="Times New Roman" w:hAnsiTheme="majorHAnsi" w:cstheme="majorHAnsi"/>
          <w:sz w:val="24"/>
          <w:szCs w:val="24"/>
          <w:lang w:val="ro-MD"/>
        </w:rPr>
        <w:t>rea</w:t>
      </w:r>
      <w:r w:rsidR="00BF3D3D" w:rsidRPr="00E33BAB">
        <w:rPr>
          <w:rFonts w:asciiTheme="majorHAnsi" w:eastAsia="Times New Roman" w:hAnsiTheme="majorHAnsi" w:cstheme="majorHAnsi"/>
          <w:sz w:val="24"/>
          <w:szCs w:val="24"/>
          <w:lang w:val="ro-MD"/>
        </w:rPr>
        <w:t xml:space="preserve"> mijloace</w:t>
      </w:r>
      <w:r w:rsidR="0018363A">
        <w:rPr>
          <w:rFonts w:asciiTheme="majorHAnsi" w:eastAsia="Times New Roman" w:hAnsiTheme="majorHAnsi" w:cstheme="majorHAnsi"/>
          <w:sz w:val="24"/>
          <w:szCs w:val="24"/>
          <w:lang w:val="ro-MD"/>
        </w:rPr>
        <w:t>lor;</w:t>
      </w:r>
    </w:p>
    <w:p w14:paraId="0A36929A" w14:textId="12EDAB3E" w:rsidR="00330B0C" w:rsidRPr="00E33BAB" w:rsidRDefault="00330B0C" w:rsidP="00330B0C">
      <w:pPr>
        <w:spacing w:after="0" w:line="276" w:lineRule="auto"/>
        <w:jc w:val="both"/>
        <w:rPr>
          <w:rFonts w:asciiTheme="majorHAnsi" w:hAnsiTheme="majorHAnsi" w:cstheme="majorHAnsi"/>
          <w:sz w:val="24"/>
          <w:szCs w:val="24"/>
          <w:lang w:val="ro-MD"/>
        </w:rPr>
      </w:pPr>
      <w:r w:rsidRPr="00E33BAB">
        <w:rPr>
          <w:rFonts w:asciiTheme="majorHAnsi" w:hAnsiTheme="majorHAnsi" w:cstheme="majorHAnsi"/>
          <w:sz w:val="24"/>
          <w:szCs w:val="24"/>
          <w:lang w:val="ro-MD"/>
        </w:rPr>
        <w:t xml:space="preserve">- Componenta Asistența </w:t>
      </w:r>
      <w:r w:rsidR="003E2E80">
        <w:rPr>
          <w:rFonts w:asciiTheme="majorHAnsi" w:hAnsiTheme="majorHAnsi" w:cstheme="majorHAnsi"/>
          <w:sz w:val="24"/>
          <w:szCs w:val="24"/>
          <w:lang w:val="ro-MD"/>
        </w:rPr>
        <w:t>T</w:t>
      </w:r>
      <w:r w:rsidRPr="00E33BAB">
        <w:rPr>
          <w:rFonts w:asciiTheme="majorHAnsi" w:hAnsiTheme="majorHAnsi" w:cstheme="majorHAnsi"/>
          <w:sz w:val="24"/>
          <w:szCs w:val="24"/>
          <w:lang w:val="ro-MD"/>
        </w:rPr>
        <w:t>ehnică</w:t>
      </w:r>
      <w:r w:rsidRPr="00E33BAB">
        <w:rPr>
          <w:rStyle w:val="FootnoteReference"/>
          <w:rFonts w:asciiTheme="majorHAnsi" w:hAnsiTheme="majorHAnsi" w:cstheme="majorHAnsi"/>
          <w:sz w:val="24"/>
          <w:szCs w:val="24"/>
          <w:lang w:val="ro-MD"/>
        </w:rPr>
        <w:footnoteReference w:id="22"/>
      </w:r>
      <w:r w:rsidRPr="00E33BAB">
        <w:rPr>
          <w:rFonts w:asciiTheme="majorHAnsi" w:hAnsiTheme="majorHAnsi" w:cstheme="majorHAnsi"/>
          <w:sz w:val="24"/>
          <w:szCs w:val="24"/>
          <w:lang w:val="ro-MD"/>
        </w:rPr>
        <w:t xml:space="preserve">: </w:t>
      </w:r>
      <w:r w:rsidR="003E2E80" w:rsidRPr="00E33BAB">
        <w:rPr>
          <w:rFonts w:asciiTheme="majorHAnsi" w:hAnsiTheme="majorHAnsi" w:cstheme="majorHAnsi"/>
          <w:sz w:val="24"/>
          <w:szCs w:val="24"/>
          <w:lang w:val="ro-MD"/>
        </w:rPr>
        <w:t xml:space="preserve">debursate </w:t>
      </w:r>
      <w:r w:rsidRPr="00E33BAB">
        <w:rPr>
          <w:rFonts w:asciiTheme="majorHAnsi" w:hAnsiTheme="majorHAnsi" w:cstheme="majorHAnsi"/>
          <w:sz w:val="24"/>
          <w:szCs w:val="24"/>
          <w:lang w:val="ro-MD"/>
        </w:rPr>
        <w:t xml:space="preserve">1,2 mil. DST, ce reprezintă 85,7 </w:t>
      </w:r>
      <w:r w:rsidR="003E2E80">
        <w:rPr>
          <w:rFonts w:asciiTheme="majorHAnsi" w:hAnsiTheme="majorHAnsi" w:cstheme="majorHAnsi"/>
          <w:sz w:val="24"/>
          <w:szCs w:val="24"/>
          <w:lang w:val="ro-MD"/>
        </w:rPr>
        <w:t>%</w:t>
      </w:r>
      <w:r w:rsidRPr="00E33BAB">
        <w:rPr>
          <w:rFonts w:asciiTheme="majorHAnsi" w:hAnsiTheme="majorHAnsi" w:cstheme="majorHAnsi"/>
          <w:sz w:val="24"/>
          <w:szCs w:val="24"/>
          <w:lang w:val="ro-MD"/>
        </w:rPr>
        <w:t xml:space="preserve"> din creditul total în valoare de 1,4 milioane DST.</w:t>
      </w:r>
      <w:r w:rsidRPr="00E33BAB">
        <w:rPr>
          <w:rFonts w:asciiTheme="majorHAnsi" w:eastAsia="Times New Roman" w:hAnsiTheme="majorHAnsi" w:cstheme="majorHAnsi"/>
          <w:sz w:val="24"/>
          <w:szCs w:val="24"/>
          <w:lang w:val="ro-MD"/>
        </w:rPr>
        <w:t xml:space="preserve"> </w:t>
      </w:r>
    </w:p>
    <w:p w14:paraId="1753A483" w14:textId="77880D7E" w:rsidR="00330B0C" w:rsidRPr="00E33BAB" w:rsidRDefault="00330B0C" w:rsidP="00330B0C">
      <w:pPr>
        <w:spacing w:after="0" w:line="276" w:lineRule="auto"/>
        <w:jc w:val="both"/>
        <w:rPr>
          <w:rFonts w:asciiTheme="majorHAnsi" w:hAnsiTheme="majorHAnsi" w:cstheme="majorHAnsi"/>
          <w:sz w:val="24"/>
          <w:szCs w:val="24"/>
          <w:lang w:val="ro-MD"/>
        </w:rPr>
      </w:pPr>
      <w:r w:rsidRPr="00E33BAB">
        <w:rPr>
          <w:rFonts w:asciiTheme="majorHAnsi" w:hAnsiTheme="majorHAnsi" w:cstheme="majorHAnsi"/>
          <w:sz w:val="24"/>
          <w:szCs w:val="24"/>
          <w:lang w:val="ro-MD"/>
        </w:rPr>
        <w:t>Urmare situației pandemice</w:t>
      </w:r>
      <w:r w:rsidR="003E2E80">
        <w:rPr>
          <w:rFonts w:asciiTheme="majorHAnsi" w:hAnsiTheme="majorHAnsi" w:cstheme="majorHAnsi"/>
          <w:sz w:val="24"/>
          <w:szCs w:val="24"/>
          <w:lang w:val="ro-MD"/>
        </w:rPr>
        <w:t>,</w:t>
      </w:r>
      <w:r w:rsidRPr="00E33BAB">
        <w:rPr>
          <w:rFonts w:asciiTheme="majorHAnsi" w:hAnsiTheme="majorHAnsi" w:cstheme="majorHAnsi"/>
          <w:sz w:val="24"/>
          <w:szCs w:val="24"/>
          <w:lang w:val="ro-MD"/>
        </w:rPr>
        <w:t xml:space="preserve"> s-a decis introducerea unui nou DLI 11</w:t>
      </w:r>
      <w:r w:rsidR="003E2E80">
        <w:rPr>
          <w:rFonts w:asciiTheme="majorHAnsi" w:hAnsiTheme="majorHAnsi" w:cstheme="majorHAnsi"/>
          <w:sz w:val="24"/>
          <w:szCs w:val="24"/>
          <w:lang w:val="ro-MD"/>
        </w:rPr>
        <w:t>.</w:t>
      </w:r>
      <w:r w:rsidRPr="00E33BAB">
        <w:rPr>
          <w:rFonts w:asciiTheme="majorHAnsi" w:hAnsiTheme="majorHAnsi" w:cstheme="majorHAnsi"/>
          <w:sz w:val="24"/>
          <w:szCs w:val="24"/>
          <w:lang w:val="ro-MD"/>
        </w:rPr>
        <w:t xml:space="preserve"> (Anexa nr. 5)</w:t>
      </w:r>
      <w:r w:rsidR="003E2E80">
        <w:rPr>
          <w:rFonts w:asciiTheme="majorHAnsi" w:hAnsiTheme="majorHAnsi" w:cstheme="majorHAnsi"/>
          <w:sz w:val="24"/>
          <w:szCs w:val="24"/>
          <w:lang w:val="ro-MD"/>
        </w:rPr>
        <w:t xml:space="preserve">, </w:t>
      </w:r>
      <w:r w:rsidRPr="00E33BAB">
        <w:rPr>
          <w:rFonts w:asciiTheme="majorHAnsi" w:hAnsiTheme="majorHAnsi" w:cstheme="majorHAnsi"/>
          <w:sz w:val="24"/>
          <w:szCs w:val="24"/>
          <w:lang w:val="ro-MD"/>
        </w:rPr>
        <w:t>privind acordarea de sprijin suplimentar pentru gestionarea pandemiei COVID-</w:t>
      </w:r>
      <w:r w:rsidRPr="005368F4">
        <w:rPr>
          <w:rFonts w:asciiTheme="majorHAnsi" w:hAnsiTheme="majorHAnsi" w:cstheme="majorHAnsi"/>
          <w:sz w:val="24"/>
          <w:szCs w:val="24"/>
          <w:lang w:val="ro-MD"/>
        </w:rPr>
        <w:t>19 în Moldova</w:t>
      </w:r>
      <w:r w:rsidR="005368F4" w:rsidRPr="00D5496A">
        <w:rPr>
          <w:rFonts w:asciiTheme="majorHAnsi" w:hAnsiTheme="majorHAnsi" w:cstheme="majorHAnsi"/>
          <w:sz w:val="24"/>
          <w:szCs w:val="24"/>
          <w:lang w:val="ro-MD"/>
        </w:rPr>
        <w:t xml:space="preserve"> - </w:t>
      </w:r>
      <w:r w:rsidRPr="005368F4">
        <w:rPr>
          <w:rFonts w:asciiTheme="majorHAnsi" w:hAnsiTheme="majorHAnsi" w:cstheme="majorHAnsi"/>
          <w:sz w:val="24"/>
          <w:szCs w:val="24"/>
          <w:lang w:val="ro-MD"/>
        </w:rPr>
        <w:t>„</w:t>
      </w:r>
      <w:r w:rsidRPr="005368F4">
        <w:rPr>
          <w:rFonts w:asciiTheme="majorHAnsi" w:hAnsiTheme="majorHAnsi" w:cstheme="majorHAnsi"/>
          <w:b/>
          <w:sz w:val="24"/>
          <w:szCs w:val="24"/>
          <w:lang w:val="ro-MD"/>
        </w:rPr>
        <w:t>Integrarea lecțiilor învățate în campaniile de comunicare privind schimbarea comportamentului populației și evaluarea gradului de pregătire pentru vaccin</w:t>
      </w:r>
      <w:r w:rsidRPr="005368F4">
        <w:rPr>
          <w:rFonts w:asciiTheme="majorHAnsi" w:hAnsiTheme="majorHAnsi" w:cstheme="majorHAnsi"/>
          <w:sz w:val="24"/>
          <w:szCs w:val="24"/>
          <w:lang w:val="ro-MD"/>
        </w:rPr>
        <w:t>”, cu trei DLR-uri.</w:t>
      </w:r>
      <w:r w:rsidR="00842672" w:rsidRPr="005368F4">
        <w:rPr>
          <w:rFonts w:asciiTheme="majorHAnsi" w:hAnsiTheme="majorHAnsi" w:cstheme="majorHAnsi"/>
          <w:sz w:val="24"/>
          <w:szCs w:val="24"/>
          <w:lang w:val="ro-MD"/>
        </w:rPr>
        <w:t xml:space="preserve"> Informația</w:t>
      </w:r>
      <w:r w:rsidR="00842672" w:rsidRPr="00E33BAB">
        <w:rPr>
          <w:rFonts w:asciiTheme="majorHAnsi" w:hAnsiTheme="majorHAnsi" w:cstheme="majorHAnsi"/>
          <w:sz w:val="24"/>
          <w:szCs w:val="24"/>
          <w:lang w:val="ro-MD"/>
        </w:rPr>
        <w:t xml:space="preserve"> cu privire la indicatorii </w:t>
      </w:r>
      <w:r w:rsidR="005368F4">
        <w:rPr>
          <w:rFonts w:asciiTheme="majorHAnsi" w:hAnsiTheme="majorHAnsi" w:cstheme="majorHAnsi"/>
          <w:sz w:val="24"/>
          <w:szCs w:val="24"/>
          <w:lang w:val="ro-MD"/>
        </w:rPr>
        <w:t>P</w:t>
      </w:r>
      <w:r w:rsidR="00842672" w:rsidRPr="00E33BAB">
        <w:rPr>
          <w:rFonts w:asciiTheme="majorHAnsi" w:hAnsiTheme="majorHAnsi" w:cstheme="majorHAnsi"/>
          <w:sz w:val="24"/>
          <w:szCs w:val="24"/>
          <w:lang w:val="ro-MD"/>
        </w:rPr>
        <w:t xml:space="preserve">roiectului este prezentată în tabelul </w:t>
      </w:r>
      <w:r w:rsidR="0018363A">
        <w:rPr>
          <w:rFonts w:asciiTheme="majorHAnsi" w:hAnsiTheme="majorHAnsi" w:cstheme="majorHAnsi"/>
          <w:sz w:val="24"/>
          <w:szCs w:val="24"/>
          <w:lang w:val="ro-MD"/>
        </w:rPr>
        <w:t>care urmează</w:t>
      </w:r>
      <w:r w:rsidR="00842672" w:rsidRPr="00E33BAB">
        <w:rPr>
          <w:rFonts w:asciiTheme="majorHAnsi" w:hAnsiTheme="majorHAnsi" w:cstheme="majorHAnsi"/>
          <w:sz w:val="24"/>
          <w:szCs w:val="24"/>
          <w:lang w:val="ro-MD"/>
        </w:rPr>
        <w:t>.</w:t>
      </w:r>
    </w:p>
    <w:p w14:paraId="324EBCC3" w14:textId="0A3D1FF0" w:rsidR="00330B0C" w:rsidRPr="00D5496A" w:rsidRDefault="00330B0C" w:rsidP="00330B0C">
      <w:pPr>
        <w:spacing w:after="0" w:line="276" w:lineRule="auto"/>
        <w:jc w:val="right"/>
        <w:rPr>
          <w:rFonts w:asciiTheme="majorHAnsi" w:eastAsia="Times New Roman" w:hAnsiTheme="majorHAnsi" w:cstheme="majorHAnsi"/>
          <w:b/>
          <w:sz w:val="24"/>
          <w:szCs w:val="24"/>
          <w:lang w:val="ro-MD"/>
        </w:rPr>
      </w:pPr>
      <w:r w:rsidRPr="00D5496A">
        <w:rPr>
          <w:rFonts w:asciiTheme="majorHAnsi" w:eastAsia="Times New Roman" w:hAnsiTheme="majorHAnsi" w:cstheme="majorHAnsi"/>
          <w:b/>
          <w:sz w:val="24"/>
          <w:szCs w:val="24"/>
          <w:lang w:val="ro-MD"/>
        </w:rPr>
        <w:t>Tabel</w:t>
      </w:r>
      <w:r w:rsidR="0018363A" w:rsidRPr="00D5496A">
        <w:rPr>
          <w:rFonts w:asciiTheme="majorHAnsi" w:eastAsia="Times New Roman" w:hAnsiTheme="majorHAnsi" w:cstheme="majorHAnsi"/>
          <w:b/>
          <w:sz w:val="24"/>
          <w:szCs w:val="24"/>
          <w:lang w:val="ro-MD"/>
        </w:rPr>
        <w:t>ul</w:t>
      </w:r>
      <w:r w:rsidRPr="00D5496A">
        <w:rPr>
          <w:rFonts w:asciiTheme="majorHAnsi" w:eastAsia="Times New Roman" w:hAnsiTheme="majorHAnsi" w:cstheme="majorHAnsi"/>
          <w:b/>
          <w:sz w:val="24"/>
          <w:szCs w:val="24"/>
          <w:lang w:val="ro-MD"/>
        </w:rPr>
        <w:t xml:space="preserve"> nr. </w:t>
      </w:r>
      <w:r w:rsidR="00842672" w:rsidRPr="00D5496A">
        <w:rPr>
          <w:rFonts w:asciiTheme="majorHAnsi" w:eastAsia="Times New Roman" w:hAnsiTheme="majorHAnsi" w:cstheme="majorHAnsi"/>
          <w:b/>
          <w:sz w:val="24"/>
          <w:szCs w:val="24"/>
          <w:lang w:val="ro-MD"/>
        </w:rPr>
        <w:t>2</w:t>
      </w:r>
    </w:p>
    <w:p w14:paraId="11AC6041" w14:textId="77777777" w:rsidR="00330B0C" w:rsidRPr="00E33BAB" w:rsidRDefault="00330B0C" w:rsidP="00330B0C">
      <w:pPr>
        <w:jc w:val="center"/>
        <w:rPr>
          <w:rFonts w:asciiTheme="majorHAnsi" w:hAnsiTheme="majorHAnsi" w:cstheme="majorHAnsi"/>
          <w:b/>
          <w:i/>
          <w:sz w:val="24"/>
          <w:szCs w:val="24"/>
          <w:lang w:val="ro-MD"/>
        </w:rPr>
      </w:pPr>
      <w:r w:rsidRPr="00E33BAB">
        <w:rPr>
          <w:rFonts w:asciiTheme="majorHAnsi" w:hAnsiTheme="majorHAnsi" w:cstheme="majorHAnsi"/>
          <w:b/>
          <w:i/>
          <w:sz w:val="24"/>
          <w:szCs w:val="24"/>
          <w:lang w:val="ro-MD"/>
        </w:rPr>
        <w:t>Mijloacele financiare debursate din contul împrumutului acordat de BM</w:t>
      </w:r>
    </w:p>
    <w:tbl>
      <w:tblPr>
        <w:tblStyle w:val="TableGrid"/>
        <w:tblW w:w="9805" w:type="dxa"/>
        <w:tblLayout w:type="fixed"/>
        <w:tblLook w:val="04A0" w:firstRow="1" w:lastRow="0" w:firstColumn="1" w:lastColumn="0" w:noHBand="0" w:noVBand="1"/>
      </w:tblPr>
      <w:tblGrid>
        <w:gridCol w:w="4495"/>
        <w:gridCol w:w="1028"/>
        <w:gridCol w:w="380"/>
        <w:gridCol w:w="302"/>
        <w:gridCol w:w="360"/>
        <w:gridCol w:w="360"/>
        <w:gridCol w:w="360"/>
        <w:gridCol w:w="364"/>
        <w:gridCol w:w="2156"/>
      </w:tblGrid>
      <w:tr w:rsidR="00175B90" w:rsidRPr="00E33BAB" w14:paraId="70174780" w14:textId="5D79967C" w:rsidTr="00BD7925">
        <w:tc>
          <w:tcPr>
            <w:tcW w:w="4495" w:type="dxa"/>
            <w:vMerge w:val="restart"/>
            <w:shd w:val="clear" w:color="auto" w:fill="auto"/>
            <w:vAlign w:val="center"/>
          </w:tcPr>
          <w:p w14:paraId="1CF5682B" w14:textId="47AC3CD7" w:rsidR="00175B90" w:rsidRPr="00BD7925" w:rsidRDefault="00175B90" w:rsidP="00175B90">
            <w:pPr>
              <w:jc w:val="center"/>
              <w:rPr>
                <w:rFonts w:asciiTheme="majorHAnsi" w:eastAsia="Times New Roman" w:hAnsiTheme="majorHAnsi" w:cstheme="majorHAnsi"/>
                <w:b/>
                <w:color w:val="000000" w:themeColor="text1"/>
                <w:sz w:val="20"/>
                <w:szCs w:val="20"/>
                <w:lang w:val="ro-MD"/>
              </w:rPr>
            </w:pPr>
            <w:r w:rsidRPr="00BD7925">
              <w:rPr>
                <w:rFonts w:asciiTheme="majorHAnsi" w:eastAsia="Times New Roman" w:hAnsiTheme="majorHAnsi" w:cstheme="majorHAnsi"/>
                <w:b/>
                <w:color w:val="000000" w:themeColor="text1"/>
                <w:sz w:val="28"/>
                <w:szCs w:val="20"/>
                <w:lang w:val="ro-MD"/>
              </w:rPr>
              <w:t>Nr. indicatorilor</w:t>
            </w:r>
          </w:p>
        </w:tc>
        <w:tc>
          <w:tcPr>
            <w:tcW w:w="1028" w:type="dxa"/>
            <w:vMerge w:val="restart"/>
            <w:shd w:val="clear" w:color="auto" w:fill="auto"/>
            <w:vAlign w:val="center"/>
          </w:tcPr>
          <w:p w14:paraId="0DAA0933" w14:textId="77777777" w:rsidR="00175B90" w:rsidRPr="00BD7925" w:rsidRDefault="00175B90" w:rsidP="00175B90">
            <w:pPr>
              <w:jc w:val="center"/>
              <w:rPr>
                <w:rFonts w:asciiTheme="majorHAnsi" w:eastAsia="Times New Roman" w:hAnsiTheme="majorHAnsi" w:cstheme="majorHAnsi"/>
                <w:b/>
                <w:color w:val="000000" w:themeColor="text1"/>
                <w:sz w:val="20"/>
                <w:szCs w:val="20"/>
                <w:lang w:val="ro-MD"/>
              </w:rPr>
            </w:pPr>
            <w:r w:rsidRPr="00BD7925">
              <w:rPr>
                <w:rFonts w:asciiTheme="majorHAnsi" w:eastAsia="Times New Roman" w:hAnsiTheme="majorHAnsi" w:cstheme="majorHAnsi"/>
                <w:b/>
                <w:color w:val="000000" w:themeColor="text1"/>
                <w:sz w:val="20"/>
                <w:szCs w:val="20"/>
                <w:lang w:val="ro-MD"/>
              </w:rPr>
              <w:t>Suma debursată</w:t>
            </w:r>
          </w:p>
        </w:tc>
        <w:tc>
          <w:tcPr>
            <w:tcW w:w="2126" w:type="dxa"/>
            <w:gridSpan w:val="6"/>
            <w:shd w:val="clear" w:color="auto" w:fill="auto"/>
            <w:vAlign w:val="center"/>
          </w:tcPr>
          <w:p w14:paraId="4F2F9942" w14:textId="77777777" w:rsidR="00175B90" w:rsidRPr="00BD7925" w:rsidRDefault="00175B90" w:rsidP="00175B90">
            <w:pPr>
              <w:jc w:val="center"/>
              <w:rPr>
                <w:rFonts w:asciiTheme="majorHAnsi" w:eastAsia="Times New Roman" w:hAnsiTheme="majorHAnsi" w:cstheme="majorHAnsi"/>
                <w:b/>
                <w:color w:val="000000" w:themeColor="text1"/>
                <w:sz w:val="20"/>
                <w:szCs w:val="20"/>
                <w:lang w:val="ro-MD"/>
              </w:rPr>
            </w:pPr>
            <w:r w:rsidRPr="00BD7925">
              <w:rPr>
                <w:rFonts w:asciiTheme="majorHAnsi" w:eastAsia="Times New Roman" w:hAnsiTheme="majorHAnsi" w:cstheme="majorHAnsi"/>
                <w:b/>
                <w:color w:val="000000" w:themeColor="text1"/>
                <w:sz w:val="20"/>
                <w:szCs w:val="20"/>
                <w:lang w:val="ro-MD"/>
              </w:rPr>
              <w:t>Anul atingerii/îndeplinirii indicatorului</w:t>
            </w:r>
          </w:p>
        </w:tc>
        <w:tc>
          <w:tcPr>
            <w:tcW w:w="2156" w:type="dxa"/>
            <w:vMerge w:val="restart"/>
            <w:shd w:val="clear" w:color="auto" w:fill="auto"/>
            <w:vAlign w:val="center"/>
          </w:tcPr>
          <w:p w14:paraId="1C8EF62E" w14:textId="574C2083" w:rsidR="00175B90" w:rsidRPr="00BD7925" w:rsidRDefault="00175B90" w:rsidP="00175B90">
            <w:pPr>
              <w:jc w:val="center"/>
              <w:rPr>
                <w:rFonts w:asciiTheme="majorHAnsi" w:eastAsia="Times New Roman" w:hAnsiTheme="majorHAnsi" w:cstheme="majorHAnsi"/>
                <w:b/>
                <w:color w:val="000000" w:themeColor="text1"/>
                <w:sz w:val="20"/>
                <w:szCs w:val="20"/>
                <w:lang w:val="ro-MD"/>
              </w:rPr>
            </w:pPr>
            <w:r w:rsidRPr="00BD7925">
              <w:rPr>
                <w:rFonts w:asciiTheme="majorHAnsi" w:eastAsia="Times New Roman" w:hAnsiTheme="majorHAnsi" w:cstheme="majorHAnsi"/>
                <w:b/>
                <w:color w:val="000000" w:themeColor="text1"/>
                <w:sz w:val="20"/>
                <w:szCs w:val="20"/>
                <w:lang w:val="ro-MD"/>
              </w:rPr>
              <w:t>Comentarii</w:t>
            </w:r>
          </w:p>
        </w:tc>
      </w:tr>
      <w:tr w:rsidR="00175B90" w:rsidRPr="00E33BAB" w14:paraId="0A1957C2" w14:textId="3387021A" w:rsidTr="00BD7925">
        <w:trPr>
          <w:cantSplit/>
          <w:trHeight w:val="597"/>
        </w:trPr>
        <w:tc>
          <w:tcPr>
            <w:tcW w:w="4495" w:type="dxa"/>
            <w:vMerge/>
            <w:shd w:val="clear" w:color="auto" w:fill="auto"/>
          </w:tcPr>
          <w:p w14:paraId="481EE120" w14:textId="77777777" w:rsidR="00175B90" w:rsidRPr="00E33BAB" w:rsidRDefault="00175B90" w:rsidP="00F9051A">
            <w:pPr>
              <w:jc w:val="center"/>
              <w:rPr>
                <w:rFonts w:asciiTheme="majorHAnsi" w:eastAsia="Times New Roman" w:hAnsiTheme="majorHAnsi" w:cstheme="majorHAnsi"/>
                <w:color w:val="000000" w:themeColor="text1"/>
                <w:sz w:val="20"/>
                <w:szCs w:val="20"/>
                <w:lang w:val="ro-MD"/>
              </w:rPr>
            </w:pPr>
          </w:p>
        </w:tc>
        <w:tc>
          <w:tcPr>
            <w:tcW w:w="1028" w:type="dxa"/>
            <w:vMerge/>
            <w:shd w:val="clear" w:color="auto" w:fill="auto"/>
          </w:tcPr>
          <w:p w14:paraId="63AF6A8E" w14:textId="77777777" w:rsidR="00175B90" w:rsidRPr="00E33BAB" w:rsidRDefault="00175B90" w:rsidP="00F9051A">
            <w:pPr>
              <w:jc w:val="center"/>
              <w:rPr>
                <w:rFonts w:asciiTheme="majorHAnsi" w:eastAsia="Times New Roman" w:hAnsiTheme="majorHAnsi" w:cstheme="majorHAnsi"/>
                <w:color w:val="000000" w:themeColor="text1"/>
                <w:sz w:val="20"/>
                <w:szCs w:val="20"/>
                <w:lang w:val="ro-MD"/>
              </w:rPr>
            </w:pPr>
          </w:p>
        </w:tc>
        <w:tc>
          <w:tcPr>
            <w:tcW w:w="380" w:type="dxa"/>
            <w:shd w:val="clear" w:color="auto" w:fill="auto"/>
            <w:textDirection w:val="btLr"/>
          </w:tcPr>
          <w:p w14:paraId="5B97B2EF" w14:textId="77777777" w:rsidR="00175B90" w:rsidRPr="00E33BAB" w:rsidRDefault="00175B90" w:rsidP="00F9051A">
            <w:pPr>
              <w:ind w:left="113" w:right="113"/>
              <w:jc w:val="center"/>
              <w:rPr>
                <w:rFonts w:asciiTheme="majorHAnsi" w:eastAsia="Times New Roman" w:hAnsiTheme="majorHAnsi" w:cstheme="majorHAnsi"/>
                <w:b/>
                <w:color w:val="000000" w:themeColor="text1"/>
                <w:sz w:val="16"/>
                <w:szCs w:val="20"/>
                <w:lang w:val="ro-MD"/>
              </w:rPr>
            </w:pPr>
            <w:r w:rsidRPr="00E33BAB">
              <w:rPr>
                <w:rFonts w:asciiTheme="majorHAnsi" w:eastAsia="Times New Roman" w:hAnsiTheme="majorHAnsi" w:cstheme="majorHAnsi"/>
                <w:b/>
                <w:color w:val="000000" w:themeColor="text1"/>
                <w:sz w:val="16"/>
                <w:szCs w:val="20"/>
                <w:lang w:val="ro-MD"/>
              </w:rPr>
              <w:t>2015</w:t>
            </w:r>
          </w:p>
        </w:tc>
        <w:tc>
          <w:tcPr>
            <w:tcW w:w="302" w:type="dxa"/>
            <w:shd w:val="clear" w:color="auto" w:fill="auto"/>
            <w:textDirection w:val="btLr"/>
          </w:tcPr>
          <w:p w14:paraId="65B8637F" w14:textId="77777777" w:rsidR="00175B90" w:rsidRPr="00E33BAB" w:rsidRDefault="00175B90" w:rsidP="00F9051A">
            <w:pPr>
              <w:ind w:left="113" w:right="113"/>
              <w:jc w:val="center"/>
              <w:rPr>
                <w:rFonts w:asciiTheme="majorHAnsi" w:eastAsia="Times New Roman" w:hAnsiTheme="majorHAnsi" w:cstheme="majorHAnsi"/>
                <w:b/>
                <w:color w:val="000000" w:themeColor="text1"/>
                <w:sz w:val="16"/>
                <w:szCs w:val="20"/>
                <w:lang w:val="ro-MD"/>
              </w:rPr>
            </w:pPr>
            <w:r w:rsidRPr="00E33BAB">
              <w:rPr>
                <w:rFonts w:asciiTheme="majorHAnsi" w:eastAsia="Times New Roman" w:hAnsiTheme="majorHAnsi" w:cstheme="majorHAnsi"/>
                <w:b/>
                <w:color w:val="000000" w:themeColor="text1"/>
                <w:sz w:val="16"/>
                <w:szCs w:val="20"/>
                <w:lang w:val="ro-MD"/>
              </w:rPr>
              <w:t>2016</w:t>
            </w:r>
          </w:p>
        </w:tc>
        <w:tc>
          <w:tcPr>
            <w:tcW w:w="360" w:type="dxa"/>
            <w:shd w:val="clear" w:color="auto" w:fill="auto"/>
            <w:textDirection w:val="btLr"/>
          </w:tcPr>
          <w:p w14:paraId="6DCDF5D2" w14:textId="77777777" w:rsidR="00175B90" w:rsidRPr="00E33BAB" w:rsidRDefault="00175B90" w:rsidP="00F9051A">
            <w:pPr>
              <w:ind w:left="113" w:right="113"/>
              <w:jc w:val="center"/>
              <w:rPr>
                <w:rFonts w:asciiTheme="majorHAnsi" w:eastAsia="Times New Roman" w:hAnsiTheme="majorHAnsi" w:cstheme="majorHAnsi"/>
                <w:b/>
                <w:color w:val="000000" w:themeColor="text1"/>
                <w:sz w:val="16"/>
                <w:szCs w:val="20"/>
                <w:lang w:val="ro-MD"/>
              </w:rPr>
            </w:pPr>
            <w:r w:rsidRPr="00E33BAB">
              <w:rPr>
                <w:rFonts w:asciiTheme="majorHAnsi" w:eastAsia="Times New Roman" w:hAnsiTheme="majorHAnsi" w:cstheme="majorHAnsi"/>
                <w:b/>
                <w:color w:val="000000" w:themeColor="text1"/>
                <w:sz w:val="16"/>
                <w:szCs w:val="20"/>
                <w:lang w:val="ro-MD"/>
              </w:rPr>
              <w:t>2017</w:t>
            </w:r>
          </w:p>
        </w:tc>
        <w:tc>
          <w:tcPr>
            <w:tcW w:w="360" w:type="dxa"/>
            <w:shd w:val="clear" w:color="auto" w:fill="auto"/>
            <w:textDirection w:val="btLr"/>
          </w:tcPr>
          <w:p w14:paraId="115C6EB4" w14:textId="77777777" w:rsidR="00175B90" w:rsidRPr="00E33BAB" w:rsidRDefault="00175B90" w:rsidP="00F9051A">
            <w:pPr>
              <w:ind w:left="113" w:right="113"/>
              <w:jc w:val="center"/>
              <w:rPr>
                <w:rFonts w:asciiTheme="majorHAnsi" w:eastAsia="Times New Roman" w:hAnsiTheme="majorHAnsi" w:cstheme="majorHAnsi"/>
                <w:b/>
                <w:color w:val="000000" w:themeColor="text1"/>
                <w:sz w:val="16"/>
                <w:szCs w:val="20"/>
                <w:lang w:val="ro-MD"/>
              </w:rPr>
            </w:pPr>
            <w:r w:rsidRPr="00E33BAB">
              <w:rPr>
                <w:rFonts w:asciiTheme="majorHAnsi" w:eastAsia="Times New Roman" w:hAnsiTheme="majorHAnsi" w:cstheme="majorHAnsi"/>
                <w:b/>
                <w:color w:val="000000" w:themeColor="text1"/>
                <w:sz w:val="16"/>
                <w:szCs w:val="20"/>
                <w:lang w:val="ro-MD"/>
              </w:rPr>
              <w:t>2018</w:t>
            </w:r>
          </w:p>
        </w:tc>
        <w:tc>
          <w:tcPr>
            <w:tcW w:w="360" w:type="dxa"/>
            <w:shd w:val="clear" w:color="auto" w:fill="auto"/>
            <w:textDirection w:val="btLr"/>
          </w:tcPr>
          <w:p w14:paraId="220FBB25" w14:textId="77777777" w:rsidR="00175B90" w:rsidRPr="00E33BAB" w:rsidRDefault="00175B90" w:rsidP="00F9051A">
            <w:pPr>
              <w:ind w:left="113" w:right="113"/>
              <w:jc w:val="center"/>
              <w:rPr>
                <w:rFonts w:asciiTheme="majorHAnsi" w:eastAsia="Times New Roman" w:hAnsiTheme="majorHAnsi" w:cstheme="majorHAnsi"/>
                <w:b/>
                <w:color w:val="000000" w:themeColor="text1"/>
                <w:sz w:val="16"/>
                <w:szCs w:val="20"/>
                <w:lang w:val="ro-MD"/>
              </w:rPr>
            </w:pPr>
            <w:r w:rsidRPr="00E33BAB">
              <w:rPr>
                <w:rFonts w:asciiTheme="majorHAnsi" w:eastAsia="Times New Roman" w:hAnsiTheme="majorHAnsi" w:cstheme="majorHAnsi"/>
                <w:b/>
                <w:color w:val="000000" w:themeColor="text1"/>
                <w:sz w:val="16"/>
                <w:szCs w:val="20"/>
                <w:lang w:val="ro-MD"/>
              </w:rPr>
              <w:t>2019</w:t>
            </w:r>
          </w:p>
        </w:tc>
        <w:tc>
          <w:tcPr>
            <w:tcW w:w="364" w:type="dxa"/>
            <w:shd w:val="clear" w:color="auto" w:fill="auto"/>
            <w:textDirection w:val="btLr"/>
          </w:tcPr>
          <w:p w14:paraId="508B466B" w14:textId="77777777" w:rsidR="00175B90" w:rsidRPr="00E33BAB" w:rsidRDefault="00175B90" w:rsidP="00F9051A">
            <w:pPr>
              <w:ind w:left="113" w:right="113"/>
              <w:jc w:val="center"/>
              <w:rPr>
                <w:rFonts w:asciiTheme="majorHAnsi" w:eastAsia="Times New Roman" w:hAnsiTheme="majorHAnsi" w:cstheme="majorHAnsi"/>
                <w:b/>
                <w:color w:val="000000" w:themeColor="text1"/>
                <w:sz w:val="16"/>
                <w:szCs w:val="20"/>
                <w:lang w:val="ro-MD"/>
              </w:rPr>
            </w:pPr>
            <w:r w:rsidRPr="00E33BAB">
              <w:rPr>
                <w:rFonts w:asciiTheme="majorHAnsi" w:eastAsia="Times New Roman" w:hAnsiTheme="majorHAnsi" w:cstheme="majorHAnsi"/>
                <w:b/>
                <w:color w:val="000000" w:themeColor="text1"/>
                <w:sz w:val="16"/>
                <w:szCs w:val="20"/>
                <w:lang w:val="ro-MD"/>
              </w:rPr>
              <w:t>2020</w:t>
            </w:r>
          </w:p>
        </w:tc>
        <w:tc>
          <w:tcPr>
            <w:tcW w:w="2156" w:type="dxa"/>
            <w:vMerge/>
            <w:shd w:val="clear" w:color="auto" w:fill="auto"/>
          </w:tcPr>
          <w:p w14:paraId="5D686C8C" w14:textId="77777777" w:rsidR="00175B90" w:rsidRPr="00E33BAB" w:rsidRDefault="00175B90" w:rsidP="00F9051A">
            <w:pPr>
              <w:jc w:val="center"/>
              <w:rPr>
                <w:rFonts w:asciiTheme="majorHAnsi" w:eastAsia="Times New Roman" w:hAnsiTheme="majorHAnsi" w:cstheme="majorHAnsi"/>
                <w:color w:val="000000" w:themeColor="text1"/>
                <w:sz w:val="20"/>
                <w:szCs w:val="20"/>
                <w:lang w:val="ro-MD"/>
              </w:rPr>
            </w:pPr>
          </w:p>
        </w:tc>
      </w:tr>
      <w:tr w:rsidR="0073075C" w:rsidRPr="00E33BAB" w14:paraId="43B44C1F" w14:textId="0A190D2E" w:rsidTr="00BD7925">
        <w:tc>
          <w:tcPr>
            <w:tcW w:w="4495" w:type="dxa"/>
            <w:tcBorders>
              <w:top w:val="single" w:sz="6" w:space="0" w:color="000000"/>
              <w:left w:val="single" w:sz="6" w:space="0" w:color="000000"/>
              <w:bottom w:val="single" w:sz="6" w:space="0" w:color="000000"/>
              <w:right w:val="single" w:sz="6" w:space="0" w:color="000000"/>
            </w:tcBorders>
            <w:shd w:val="clear" w:color="auto" w:fill="auto"/>
          </w:tcPr>
          <w:p w14:paraId="09485BA3" w14:textId="03EB6276" w:rsidR="0073075C" w:rsidRPr="00E33BAB" w:rsidRDefault="0073075C" w:rsidP="00F9051A">
            <w:pPr>
              <w:jc w:val="both"/>
              <w:rPr>
                <w:rFonts w:asciiTheme="majorHAnsi" w:eastAsia="Times New Roman" w:hAnsiTheme="majorHAnsi" w:cstheme="majorHAnsi"/>
                <w:b/>
                <w:color w:val="000000" w:themeColor="text1"/>
                <w:sz w:val="20"/>
                <w:szCs w:val="20"/>
                <w:lang w:val="ro-MD"/>
              </w:rPr>
            </w:pPr>
            <w:r w:rsidRPr="00E33BAB">
              <w:rPr>
                <w:rFonts w:asciiTheme="majorHAnsi" w:hAnsiTheme="majorHAnsi" w:cstheme="majorHAnsi"/>
                <w:sz w:val="20"/>
                <w:szCs w:val="20"/>
                <w:lang w:val="ro-MD"/>
              </w:rPr>
              <w:t xml:space="preserve">DLI 1:  Toate țigările importate și </w:t>
            </w:r>
            <w:r w:rsidR="003E2E80">
              <w:rPr>
                <w:rFonts w:asciiTheme="majorHAnsi" w:hAnsiTheme="majorHAnsi" w:cstheme="majorHAnsi"/>
                <w:sz w:val="20"/>
                <w:szCs w:val="20"/>
                <w:lang w:val="ro-MD"/>
              </w:rPr>
              <w:t xml:space="preserve">cele </w:t>
            </w:r>
            <w:r w:rsidRPr="00E33BAB">
              <w:rPr>
                <w:rFonts w:asciiTheme="majorHAnsi" w:hAnsiTheme="majorHAnsi" w:cstheme="majorHAnsi"/>
                <w:sz w:val="20"/>
                <w:szCs w:val="20"/>
                <w:lang w:val="ro-MD"/>
              </w:rPr>
              <w:t xml:space="preserve">produse </w:t>
            </w:r>
            <w:r w:rsidR="00D17300">
              <w:rPr>
                <w:rFonts w:asciiTheme="majorHAnsi" w:hAnsiTheme="majorHAnsi" w:cstheme="majorHAnsi"/>
                <w:sz w:val="20"/>
                <w:szCs w:val="20"/>
                <w:lang w:val="ro-MD"/>
              </w:rPr>
              <w:t xml:space="preserve">la nivel </w:t>
            </w:r>
            <w:r w:rsidRPr="00E33BAB">
              <w:rPr>
                <w:rFonts w:asciiTheme="majorHAnsi" w:hAnsiTheme="majorHAnsi" w:cstheme="majorHAnsi"/>
                <w:sz w:val="20"/>
                <w:szCs w:val="20"/>
                <w:lang w:val="ro-MD"/>
              </w:rPr>
              <w:t xml:space="preserve">local, </w:t>
            </w:r>
            <w:r w:rsidR="00D17300">
              <w:rPr>
                <w:rFonts w:asciiTheme="majorHAnsi" w:hAnsiTheme="majorHAnsi" w:cstheme="majorHAnsi"/>
                <w:sz w:val="20"/>
                <w:szCs w:val="20"/>
                <w:lang w:val="ro-MD"/>
              </w:rPr>
              <w:t>prezen</w:t>
            </w:r>
            <w:r w:rsidRPr="00E33BAB">
              <w:rPr>
                <w:rFonts w:asciiTheme="majorHAnsi" w:hAnsiTheme="majorHAnsi" w:cstheme="majorHAnsi"/>
                <w:sz w:val="20"/>
                <w:szCs w:val="20"/>
                <w:lang w:val="ro-MD"/>
              </w:rPr>
              <w:t xml:space="preserve">te pe piață, sunt în conformitate cu </w:t>
            </w:r>
            <w:r w:rsidR="00D17300">
              <w:rPr>
                <w:rFonts w:asciiTheme="majorHAnsi" w:hAnsiTheme="majorHAnsi" w:cstheme="majorHAnsi"/>
                <w:sz w:val="20"/>
                <w:szCs w:val="20"/>
                <w:lang w:val="ro-MD"/>
              </w:rPr>
              <w:t>R</w:t>
            </w:r>
            <w:r w:rsidRPr="00E33BAB">
              <w:rPr>
                <w:rFonts w:asciiTheme="majorHAnsi" w:hAnsiTheme="majorHAnsi" w:cstheme="majorHAnsi"/>
                <w:sz w:val="20"/>
                <w:szCs w:val="20"/>
                <w:lang w:val="ro-MD"/>
              </w:rPr>
              <w:t>eg</w:t>
            </w:r>
            <w:r w:rsidR="00D17300">
              <w:rPr>
                <w:rFonts w:asciiTheme="majorHAnsi" w:hAnsiTheme="majorHAnsi" w:cstheme="majorHAnsi"/>
                <w:sz w:val="20"/>
                <w:szCs w:val="20"/>
                <w:lang w:val="ro-MD"/>
              </w:rPr>
              <w:t>ulamentul</w:t>
            </w:r>
            <w:r w:rsidRPr="00E33BAB">
              <w:rPr>
                <w:rFonts w:asciiTheme="majorHAnsi" w:hAnsiTheme="majorHAnsi" w:cstheme="majorHAnsi"/>
                <w:sz w:val="20"/>
                <w:szCs w:val="20"/>
                <w:lang w:val="ro-MD"/>
              </w:rPr>
              <w:t xml:space="preserve"> privind etichetarea </w:t>
            </w:r>
            <w:r w:rsidRPr="00F13B13">
              <w:rPr>
                <w:rFonts w:asciiTheme="majorHAnsi" w:hAnsiTheme="majorHAnsi" w:cstheme="majorHAnsi"/>
                <w:sz w:val="20"/>
                <w:szCs w:val="20"/>
                <w:lang w:val="ro-MD"/>
              </w:rPr>
              <w:t>produselor d</w:t>
            </w:r>
            <w:r w:rsidR="00ED5AB3" w:rsidRPr="00D5496A">
              <w:rPr>
                <w:rFonts w:asciiTheme="majorHAnsi" w:hAnsiTheme="majorHAnsi" w:cstheme="majorHAnsi"/>
                <w:sz w:val="20"/>
                <w:szCs w:val="20"/>
                <w:lang w:val="ro-MD"/>
              </w:rPr>
              <w:t xml:space="preserve">in </w:t>
            </w:r>
            <w:r w:rsidRPr="00F13B13">
              <w:rPr>
                <w:rFonts w:asciiTheme="majorHAnsi" w:hAnsiTheme="majorHAnsi" w:cstheme="majorHAnsi"/>
                <w:sz w:val="20"/>
                <w:szCs w:val="20"/>
                <w:lang w:val="ro-MD"/>
              </w:rPr>
              <w:t xml:space="preserve"> tutun</w:t>
            </w:r>
            <w:r w:rsidRPr="00E33BAB">
              <w:rPr>
                <w:rFonts w:asciiTheme="majorHAnsi" w:hAnsiTheme="majorHAnsi" w:cstheme="majorHAnsi"/>
                <w:sz w:val="20"/>
                <w:szCs w:val="20"/>
                <w:lang w:val="ro-MD"/>
              </w:rPr>
              <w:t xml:space="preserve">  </w:t>
            </w:r>
          </w:p>
        </w:tc>
        <w:tc>
          <w:tcPr>
            <w:tcW w:w="1028" w:type="dxa"/>
            <w:shd w:val="clear" w:color="auto" w:fill="auto"/>
          </w:tcPr>
          <w:p w14:paraId="37F02B7F" w14:textId="77777777" w:rsidR="0073075C" w:rsidRPr="00E33BAB" w:rsidRDefault="0073075C" w:rsidP="00F9051A">
            <w:pPr>
              <w:jc w:val="center"/>
              <w:rPr>
                <w:rFonts w:asciiTheme="majorHAnsi" w:eastAsia="Times New Roman" w:hAnsiTheme="majorHAnsi" w:cstheme="majorHAnsi"/>
                <w:color w:val="000000" w:themeColor="text1"/>
                <w:sz w:val="20"/>
                <w:szCs w:val="20"/>
                <w:lang w:val="ro-MD"/>
              </w:rPr>
            </w:pPr>
            <w:r w:rsidRPr="00E33BAB">
              <w:rPr>
                <w:rFonts w:asciiTheme="majorHAnsi" w:eastAsia="Times New Roman" w:hAnsiTheme="majorHAnsi" w:cstheme="majorHAnsi"/>
                <w:color w:val="000000" w:themeColor="text1"/>
                <w:sz w:val="20"/>
                <w:szCs w:val="20"/>
                <w:lang w:val="ro-MD"/>
              </w:rPr>
              <w:t>2 264 500</w:t>
            </w:r>
          </w:p>
        </w:tc>
        <w:tc>
          <w:tcPr>
            <w:tcW w:w="380" w:type="dxa"/>
            <w:shd w:val="clear" w:color="auto" w:fill="auto"/>
          </w:tcPr>
          <w:p w14:paraId="13C17238" w14:textId="77777777" w:rsidR="0073075C" w:rsidRPr="00E33BAB" w:rsidRDefault="0073075C" w:rsidP="00F9051A">
            <w:pPr>
              <w:jc w:val="both"/>
              <w:rPr>
                <w:rFonts w:asciiTheme="majorHAnsi" w:eastAsia="Times New Roman" w:hAnsiTheme="majorHAnsi" w:cstheme="majorHAnsi"/>
                <w:color w:val="000000" w:themeColor="text1"/>
                <w:sz w:val="20"/>
                <w:szCs w:val="20"/>
                <w:lang w:val="ro-MD"/>
              </w:rPr>
            </w:pPr>
          </w:p>
        </w:tc>
        <w:tc>
          <w:tcPr>
            <w:tcW w:w="302" w:type="dxa"/>
            <w:shd w:val="clear" w:color="auto" w:fill="auto"/>
          </w:tcPr>
          <w:p w14:paraId="7F4781F7" w14:textId="77777777" w:rsidR="0073075C" w:rsidRPr="00E33BAB" w:rsidRDefault="0073075C" w:rsidP="00F9051A">
            <w:pPr>
              <w:jc w:val="both"/>
              <w:rPr>
                <w:rFonts w:asciiTheme="majorHAnsi" w:eastAsia="Times New Roman" w:hAnsiTheme="majorHAnsi" w:cstheme="majorHAnsi"/>
                <w:color w:val="000000" w:themeColor="text1"/>
                <w:sz w:val="20"/>
                <w:szCs w:val="20"/>
                <w:lang w:val="ro-MD"/>
              </w:rPr>
            </w:pPr>
          </w:p>
        </w:tc>
        <w:tc>
          <w:tcPr>
            <w:tcW w:w="360" w:type="dxa"/>
            <w:shd w:val="clear" w:color="auto" w:fill="auto"/>
          </w:tcPr>
          <w:p w14:paraId="7551E6B3" w14:textId="77777777" w:rsidR="0073075C" w:rsidRPr="00E33BAB" w:rsidRDefault="0073075C" w:rsidP="00F9051A">
            <w:pPr>
              <w:jc w:val="both"/>
              <w:rPr>
                <w:rFonts w:asciiTheme="majorHAnsi" w:eastAsia="Times New Roman" w:hAnsiTheme="majorHAnsi" w:cstheme="majorHAnsi"/>
                <w:color w:val="000000" w:themeColor="text1"/>
                <w:sz w:val="20"/>
                <w:szCs w:val="20"/>
                <w:lang w:val="ro-MD"/>
              </w:rPr>
            </w:pPr>
          </w:p>
        </w:tc>
        <w:tc>
          <w:tcPr>
            <w:tcW w:w="360" w:type="dxa"/>
            <w:shd w:val="clear" w:color="auto" w:fill="auto"/>
          </w:tcPr>
          <w:p w14:paraId="620C5889" w14:textId="77777777" w:rsidR="0073075C" w:rsidRPr="00E33BAB" w:rsidRDefault="0073075C" w:rsidP="00F9051A">
            <w:pPr>
              <w:jc w:val="both"/>
              <w:rPr>
                <w:rFonts w:asciiTheme="majorHAnsi" w:eastAsia="Times New Roman" w:hAnsiTheme="majorHAnsi" w:cstheme="majorHAnsi"/>
                <w:color w:val="000000" w:themeColor="text1"/>
                <w:sz w:val="20"/>
                <w:szCs w:val="20"/>
                <w:lang w:val="ro-MD"/>
              </w:rPr>
            </w:pPr>
          </w:p>
        </w:tc>
        <w:tc>
          <w:tcPr>
            <w:tcW w:w="360" w:type="dxa"/>
            <w:shd w:val="clear" w:color="auto" w:fill="auto"/>
          </w:tcPr>
          <w:p w14:paraId="0EAD752F" w14:textId="77777777" w:rsidR="0073075C" w:rsidRPr="00E33BAB" w:rsidRDefault="0073075C" w:rsidP="00F9051A">
            <w:pPr>
              <w:jc w:val="both"/>
              <w:rPr>
                <w:rFonts w:asciiTheme="majorHAnsi" w:eastAsia="Times New Roman" w:hAnsiTheme="majorHAnsi" w:cstheme="majorHAnsi"/>
                <w:color w:val="000000" w:themeColor="text1"/>
                <w:sz w:val="20"/>
                <w:szCs w:val="20"/>
                <w:lang w:val="ro-MD"/>
              </w:rPr>
            </w:pPr>
          </w:p>
        </w:tc>
        <w:tc>
          <w:tcPr>
            <w:tcW w:w="364" w:type="dxa"/>
            <w:shd w:val="clear" w:color="auto" w:fill="auto"/>
          </w:tcPr>
          <w:p w14:paraId="2F7557C1" w14:textId="77777777" w:rsidR="0073075C" w:rsidRPr="00E33BAB" w:rsidRDefault="0073075C" w:rsidP="00F9051A">
            <w:pPr>
              <w:jc w:val="both"/>
              <w:rPr>
                <w:rFonts w:asciiTheme="majorHAnsi" w:eastAsia="Times New Roman" w:hAnsiTheme="majorHAnsi" w:cstheme="majorHAnsi"/>
                <w:color w:val="000000" w:themeColor="text1"/>
                <w:sz w:val="20"/>
                <w:szCs w:val="20"/>
                <w:lang w:val="ro-MD"/>
              </w:rPr>
            </w:pPr>
          </w:p>
        </w:tc>
        <w:tc>
          <w:tcPr>
            <w:tcW w:w="2156" w:type="dxa"/>
            <w:shd w:val="clear" w:color="auto" w:fill="auto"/>
          </w:tcPr>
          <w:p w14:paraId="7E1B5AC6" w14:textId="157049F0" w:rsidR="0073075C" w:rsidRPr="00E33BAB" w:rsidRDefault="0073075C" w:rsidP="00F9051A">
            <w:pPr>
              <w:jc w:val="both"/>
              <w:rPr>
                <w:rFonts w:asciiTheme="majorHAnsi" w:eastAsia="Times New Roman" w:hAnsiTheme="majorHAnsi" w:cstheme="majorHAnsi"/>
                <w:color w:val="000000" w:themeColor="text1"/>
                <w:sz w:val="20"/>
                <w:szCs w:val="20"/>
                <w:lang w:val="ro-MD"/>
              </w:rPr>
            </w:pPr>
            <w:r w:rsidRPr="00E33BAB">
              <w:rPr>
                <w:rFonts w:asciiTheme="majorHAnsi" w:eastAsia="Times New Roman" w:hAnsiTheme="majorHAnsi" w:cstheme="majorHAnsi"/>
                <w:color w:val="000000" w:themeColor="text1"/>
                <w:sz w:val="20"/>
                <w:szCs w:val="20"/>
                <w:lang w:val="ro-MD"/>
              </w:rPr>
              <w:t xml:space="preserve">Urmează a fi validat </w:t>
            </w:r>
          </w:p>
        </w:tc>
      </w:tr>
      <w:tr w:rsidR="0073075C" w:rsidRPr="00AF1159" w14:paraId="16A34B50" w14:textId="7A765F8D" w:rsidTr="00BD7925">
        <w:tc>
          <w:tcPr>
            <w:tcW w:w="4495" w:type="dxa"/>
            <w:tcBorders>
              <w:top w:val="single" w:sz="6" w:space="0" w:color="000000"/>
              <w:left w:val="single" w:sz="6" w:space="0" w:color="000000"/>
              <w:bottom w:val="single" w:sz="6" w:space="0" w:color="000000"/>
              <w:right w:val="single" w:sz="6" w:space="0" w:color="000000"/>
            </w:tcBorders>
            <w:shd w:val="clear" w:color="auto" w:fill="auto"/>
          </w:tcPr>
          <w:p w14:paraId="76D92643" w14:textId="59D05CAE" w:rsidR="0073075C" w:rsidRPr="00A656AF" w:rsidRDefault="00E4401F" w:rsidP="00F9051A">
            <w:pPr>
              <w:tabs>
                <w:tab w:val="left" w:pos="1080"/>
              </w:tabs>
              <w:contextualSpacing/>
              <w:jc w:val="both"/>
              <w:rPr>
                <w:rFonts w:asciiTheme="majorHAnsi" w:hAnsiTheme="majorHAnsi" w:cstheme="majorHAnsi"/>
                <w:sz w:val="20"/>
                <w:szCs w:val="20"/>
                <w:lang w:val="ro-MD"/>
              </w:rPr>
            </w:pPr>
            <w:r w:rsidRPr="00A656AF">
              <w:rPr>
                <w:rFonts w:asciiTheme="majorHAnsi" w:hAnsiTheme="majorHAnsi" w:cstheme="majorHAnsi"/>
                <w:sz w:val="20"/>
                <w:szCs w:val="20"/>
                <w:lang w:val="ro-MD"/>
              </w:rPr>
              <w:t xml:space="preserve">DLI 2: </w:t>
            </w:r>
            <w:r w:rsidR="0073075C" w:rsidRPr="00A656AF">
              <w:rPr>
                <w:rFonts w:asciiTheme="majorHAnsi" w:hAnsiTheme="majorHAnsi" w:cstheme="majorHAnsi"/>
                <w:sz w:val="20"/>
                <w:szCs w:val="20"/>
                <w:lang w:val="ro-MD"/>
              </w:rPr>
              <w:t xml:space="preserve">Creșterea numărului de persoane cu boli cardiovasculare (BCV) care beneficiază de medicamente compensate pentru tratamentul BCV  </w:t>
            </w:r>
          </w:p>
        </w:tc>
        <w:tc>
          <w:tcPr>
            <w:tcW w:w="1028" w:type="dxa"/>
            <w:shd w:val="clear" w:color="auto" w:fill="auto"/>
          </w:tcPr>
          <w:p w14:paraId="039DD2DA" w14:textId="77777777" w:rsidR="0073075C" w:rsidRPr="00E33BAB" w:rsidRDefault="0073075C" w:rsidP="00F9051A">
            <w:pPr>
              <w:jc w:val="center"/>
              <w:rPr>
                <w:rFonts w:asciiTheme="majorHAnsi" w:eastAsia="Times New Roman" w:hAnsiTheme="majorHAnsi" w:cstheme="majorHAnsi"/>
                <w:color w:val="000000" w:themeColor="text1"/>
                <w:sz w:val="20"/>
                <w:szCs w:val="20"/>
                <w:lang w:val="ro-MD"/>
              </w:rPr>
            </w:pPr>
            <w:r w:rsidRPr="00E33BAB">
              <w:rPr>
                <w:rFonts w:asciiTheme="majorHAnsi" w:eastAsia="Times New Roman" w:hAnsiTheme="majorHAnsi" w:cstheme="majorHAnsi"/>
                <w:color w:val="000000" w:themeColor="text1"/>
                <w:sz w:val="20"/>
                <w:szCs w:val="20"/>
                <w:lang w:val="ro-MD"/>
              </w:rPr>
              <w:t>2 911 500</w:t>
            </w:r>
          </w:p>
        </w:tc>
        <w:tc>
          <w:tcPr>
            <w:tcW w:w="380" w:type="dxa"/>
            <w:shd w:val="clear" w:color="auto" w:fill="auto"/>
          </w:tcPr>
          <w:p w14:paraId="58AEA812" w14:textId="77777777" w:rsidR="0073075C" w:rsidRPr="00E33BAB" w:rsidRDefault="0073075C" w:rsidP="00F9051A">
            <w:pPr>
              <w:jc w:val="both"/>
              <w:rPr>
                <w:rFonts w:asciiTheme="majorHAnsi" w:eastAsia="Times New Roman" w:hAnsiTheme="majorHAnsi" w:cstheme="majorHAnsi"/>
                <w:b/>
                <w:color w:val="000000" w:themeColor="text1"/>
                <w:sz w:val="18"/>
                <w:szCs w:val="20"/>
                <w:lang w:val="ro-MD"/>
              </w:rPr>
            </w:pPr>
          </w:p>
        </w:tc>
        <w:tc>
          <w:tcPr>
            <w:tcW w:w="302" w:type="dxa"/>
            <w:shd w:val="clear" w:color="auto" w:fill="auto"/>
          </w:tcPr>
          <w:p w14:paraId="3F72A131" w14:textId="77777777" w:rsidR="0073075C" w:rsidRPr="00E33BAB" w:rsidRDefault="0073075C" w:rsidP="00F9051A">
            <w:pPr>
              <w:jc w:val="both"/>
              <w:rPr>
                <w:rFonts w:asciiTheme="majorHAnsi" w:eastAsia="Times New Roman" w:hAnsiTheme="majorHAnsi" w:cstheme="majorHAnsi"/>
                <w:b/>
                <w:color w:val="000000" w:themeColor="text1"/>
                <w:sz w:val="18"/>
                <w:szCs w:val="20"/>
                <w:lang w:val="ro-MD"/>
              </w:rPr>
            </w:pPr>
          </w:p>
        </w:tc>
        <w:tc>
          <w:tcPr>
            <w:tcW w:w="360" w:type="dxa"/>
            <w:shd w:val="clear" w:color="auto" w:fill="auto"/>
          </w:tcPr>
          <w:p w14:paraId="2B9EA8CC" w14:textId="77777777" w:rsidR="0073075C" w:rsidRPr="00E33BAB" w:rsidRDefault="0073075C" w:rsidP="00F9051A">
            <w:pPr>
              <w:jc w:val="both"/>
              <w:rPr>
                <w:rFonts w:asciiTheme="majorHAnsi" w:eastAsia="Times New Roman" w:hAnsiTheme="majorHAnsi" w:cstheme="majorHAnsi"/>
                <w:b/>
                <w:color w:val="000000" w:themeColor="text1"/>
                <w:sz w:val="18"/>
                <w:szCs w:val="20"/>
                <w:lang w:val="ro-MD"/>
              </w:rPr>
            </w:pPr>
          </w:p>
        </w:tc>
        <w:tc>
          <w:tcPr>
            <w:tcW w:w="360" w:type="dxa"/>
            <w:shd w:val="clear" w:color="auto" w:fill="auto"/>
          </w:tcPr>
          <w:p w14:paraId="00BE6557" w14:textId="77777777" w:rsidR="0073075C" w:rsidRPr="00E33BAB" w:rsidRDefault="0073075C" w:rsidP="00F9051A">
            <w:pPr>
              <w:jc w:val="both"/>
              <w:rPr>
                <w:rFonts w:asciiTheme="majorHAnsi" w:eastAsia="Times New Roman" w:hAnsiTheme="majorHAnsi" w:cstheme="majorHAnsi"/>
                <w:b/>
                <w:color w:val="000000" w:themeColor="text1"/>
                <w:sz w:val="18"/>
                <w:szCs w:val="20"/>
                <w:lang w:val="ro-MD"/>
              </w:rPr>
            </w:pPr>
          </w:p>
        </w:tc>
        <w:tc>
          <w:tcPr>
            <w:tcW w:w="360" w:type="dxa"/>
            <w:shd w:val="clear" w:color="auto" w:fill="auto"/>
          </w:tcPr>
          <w:p w14:paraId="23427C2B" w14:textId="77777777" w:rsidR="0073075C" w:rsidRPr="00E33BAB" w:rsidRDefault="0073075C" w:rsidP="00F9051A">
            <w:pPr>
              <w:jc w:val="both"/>
              <w:rPr>
                <w:rFonts w:asciiTheme="majorHAnsi" w:eastAsia="Times New Roman" w:hAnsiTheme="majorHAnsi" w:cstheme="majorHAnsi"/>
                <w:b/>
                <w:color w:val="000000" w:themeColor="text1"/>
                <w:sz w:val="18"/>
                <w:szCs w:val="20"/>
                <w:lang w:val="ro-MD"/>
              </w:rPr>
            </w:pPr>
          </w:p>
        </w:tc>
        <w:tc>
          <w:tcPr>
            <w:tcW w:w="364" w:type="dxa"/>
            <w:shd w:val="clear" w:color="auto" w:fill="auto"/>
          </w:tcPr>
          <w:p w14:paraId="48A254FD" w14:textId="77777777" w:rsidR="0073075C" w:rsidRPr="00E33BAB" w:rsidRDefault="0073075C" w:rsidP="00F9051A">
            <w:pPr>
              <w:jc w:val="both"/>
              <w:rPr>
                <w:rFonts w:asciiTheme="majorHAnsi" w:eastAsia="Times New Roman" w:hAnsiTheme="majorHAnsi" w:cstheme="majorHAnsi"/>
                <w:color w:val="000000" w:themeColor="text1"/>
                <w:sz w:val="20"/>
                <w:szCs w:val="20"/>
                <w:lang w:val="ro-MD"/>
              </w:rPr>
            </w:pPr>
          </w:p>
        </w:tc>
        <w:tc>
          <w:tcPr>
            <w:tcW w:w="2156" w:type="dxa"/>
            <w:shd w:val="clear" w:color="auto" w:fill="auto"/>
          </w:tcPr>
          <w:p w14:paraId="2A3CADB8" w14:textId="576E1246" w:rsidR="0073075C" w:rsidRPr="00E33BAB" w:rsidRDefault="0073075C" w:rsidP="00F9051A">
            <w:pPr>
              <w:jc w:val="both"/>
              <w:rPr>
                <w:rFonts w:asciiTheme="majorHAnsi" w:eastAsia="Times New Roman" w:hAnsiTheme="majorHAnsi" w:cstheme="majorHAnsi"/>
                <w:color w:val="000000" w:themeColor="text1"/>
                <w:sz w:val="20"/>
                <w:szCs w:val="20"/>
                <w:lang w:val="ro-MD"/>
              </w:rPr>
            </w:pPr>
            <w:r w:rsidRPr="00E33BAB">
              <w:rPr>
                <w:rFonts w:asciiTheme="majorHAnsi" w:eastAsia="Times New Roman" w:hAnsiTheme="majorHAnsi" w:cstheme="majorHAnsi"/>
                <w:color w:val="000000" w:themeColor="text1"/>
                <w:sz w:val="20"/>
                <w:szCs w:val="20"/>
                <w:lang w:val="ro-MD"/>
              </w:rPr>
              <w:t>A fost atins, urm</w:t>
            </w:r>
            <w:r w:rsidR="00AF1159">
              <w:rPr>
                <w:rFonts w:asciiTheme="majorHAnsi" w:eastAsia="Times New Roman" w:hAnsiTheme="majorHAnsi" w:cstheme="majorHAnsi"/>
                <w:color w:val="000000" w:themeColor="text1"/>
                <w:sz w:val="20"/>
                <w:szCs w:val="20"/>
                <w:lang w:val="ro-MD"/>
              </w:rPr>
              <w:t>ând</w:t>
            </w:r>
            <w:r w:rsidRPr="00E33BAB">
              <w:rPr>
                <w:rFonts w:asciiTheme="majorHAnsi" w:eastAsia="Times New Roman" w:hAnsiTheme="majorHAnsi" w:cstheme="majorHAnsi"/>
                <w:color w:val="000000" w:themeColor="text1"/>
                <w:sz w:val="20"/>
                <w:szCs w:val="20"/>
                <w:lang w:val="ro-MD"/>
              </w:rPr>
              <w:t xml:space="preserve"> a fi debursate</w:t>
            </w:r>
            <w:r w:rsidR="00AF1159">
              <w:rPr>
                <w:rFonts w:asciiTheme="majorHAnsi" w:eastAsia="Times New Roman" w:hAnsiTheme="majorHAnsi" w:cstheme="majorHAnsi"/>
                <w:color w:val="000000" w:themeColor="text1"/>
                <w:sz w:val="20"/>
                <w:szCs w:val="20"/>
                <w:lang w:val="ro-MD"/>
              </w:rPr>
              <w:t xml:space="preserve"> </w:t>
            </w:r>
            <w:r w:rsidRPr="00E33BAB">
              <w:rPr>
                <w:rFonts w:asciiTheme="majorHAnsi" w:eastAsia="Times New Roman" w:hAnsiTheme="majorHAnsi" w:cstheme="majorHAnsi"/>
                <w:color w:val="000000" w:themeColor="text1"/>
                <w:sz w:val="20"/>
                <w:szCs w:val="20"/>
                <w:lang w:val="ro-MD"/>
              </w:rPr>
              <w:t xml:space="preserve">mijloace financiare în </w:t>
            </w:r>
            <w:r w:rsidR="00AF1159">
              <w:rPr>
                <w:rFonts w:asciiTheme="majorHAnsi" w:eastAsia="Times New Roman" w:hAnsiTheme="majorHAnsi" w:cstheme="majorHAnsi"/>
                <w:color w:val="000000" w:themeColor="text1"/>
                <w:sz w:val="20"/>
                <w:szCs w:val="20"/>
                <w:lang w:val="ro-MD"/>
              </w:rPr>
              <w:t xml:space="preserve">anul </w:t>
            </w:r>
            <w:r w:rsidRPr="00E33BAB">
              <w:rPr>
                <w:rFonts w:asciiTheme="majorHAnsi" w:eastAsia="Times New Roman" w:hAnsiTheme="majorHAnsi" w:cstheme="majorHAnsi"/>
                <w:color w:val="000000" w:themeColor="text1"/>
                <w:sz w:val="20"/>
                <w:szCs w:val="20"/>
                <w:lang w:val="ro-MD"/>
              </w:rPr>
              <w:t>2021</w:t>
            </w:r>
          </w:p>
        </w:tc>
      </w:tr>
      <w:tr w:rsidR="0073075C" w:rsidRPr="00E33BAB" w14:paraId="472940E8" w14:textId="74E12B4E" w:rsidTr="00BD7925">
        <w:tc>
          <w:tcPr>
            <w:tcW w:w="4495" w:type="dxa"/>
            <w:tcBorders>
              <w:top w:val="single" w:sz="6" w:space="0" w:color="000000"/>
              <w:left w:val="single" w:sz="6" w:space="0" w:color="000000"/>
              <w:bottom w:val="single" w:sz="6" w:space="0" w:color="000000"/>
              <w:right w:val="single" w:sz="6" w:space="0" w:color="000000"/>
            </w:tcBorders>
            <w:shd w:val="clear" w:color="auto" w:fill="auto"/>
          </w:tcPr>
          <w:p w14:paraId="118CEC52" w14:textId="34BFEDB5" w:rsidR="0073075C" w:rsidRPr="00A656AF" w:rsidRDefault="00E4401F" w:rsidP="00413D0E">
            <w:pPr>
              <w:tabs>
                <w:tab w:val="left" w:pos="1080"/>
              </w:tabs>
              <w:contextualSpacing/>
              <w:jc w:val="both"/>
              <w:rPr>
                <w:rFonts w:asciiTheme="majorHAnsi" w:hAnsiTheme="majorHAnsi" w:cstheme="majorHAnsi"/>
                <w:sz w:val="20"/>
                <w:szCs w:val="20"/>
                <w:lang w:val="ro-MD"/>
              </w:rPr>
            </w:pPr>
            <w:r w:rsidRPr="00A656AF">
              <w:rPr>
                <w:rFonts w:asciiTheme="majorHAnsi" w:hAnsiTheme="majorHAnsi" w:cstheme="majorHAnsi"/>
                <w:sz w:val="20"/>
                <w:szCs w:val="20"/>
                <w:lang w:val="ro-MD"/>
              </w:rPr>
              <w:t xml:space="preserve">DLI 3: </w:t>
            </w:r>
            <w:r w:rsidR="0073075C" w:rsidRPr="00A656AF">
              <w:rPr>
                <w:rFonts w:asciiTheme="majorHAnsi" w:hAnsiTheme="majorHAnsi" w:cstheme="majorHAnsi"/>
                <w:sz w:val="20"/>
                <w:szCs w:val="20"/>
                <w:lang w:val="ro-MD"/>
              </w:rPr>
              <w:t xml:space="preserve">Numărul de internări anuale în spitalele de îngrijire acută la 100 </w:t>
            </w:r>
            <w:r w:rsidR="003E2E80" w:rsidRPr="00A656AF">
              <w:rPr>
                <w:rFonts w:asciiTheme="majorHAnsi" w:hAnsiTheme="majorHAnsi" w:cstheme="majorHAnsi"/>
                <w:sz w:val="20"/>
                <w:szCs w:val="20"/>
                <w:lang w:val="ro-MD"/>
              </w:rPr>
              <w:t xml:space="preserve">de </w:t>
            </w:r>
            <w:r w:rsidR="0073075C" w:rsidRPr="00A656AF">
              <w:rPr>
                <w:rFonts w:asciiTheme="majorHAnsi" w:hAnsiTheme="majorHAnsi" w:cstheme="majorHAnsi"/>
                <w:sz w:val="20"/>
                <w:szCs w:val="20"/>
                <w:lang w:val="ro-MD"/>
              </w:rPr>
              <w:t>persoane, pornind d</w:t>
            </w:r>
            <w:r w:rsidR="00413D0E" w:rsidRPr="00A656AF">
              <w:rPr>
                <w:rFonts w:asciiTheme="majorHAnsi" w:hAnsiTheme="majorHAnsi" w:cstheme="majorHAnsi"/>
                <w:sz w:val="20"/>
                <w:szCs w:val="20"/>
                <w:lang w:val="ro-MD"/>
              </w:rPr>
              <w:t>e la  valoare</w:t>
            </w:r>
            <w:r w:rsidR="00AF1159" w:rsidRPr="00A656AF">
              <w:rPr>
                <w:rFonts w:asciiTheme="majorHAnsi" w:hAnsiTheme="majorHAnsi" w:cstheme="majorHAnsi"/>
                <w:sz w:val="20"/>
                <w:szCs w:val="20"/>
                <w:lang w:val="ro-MD"/>
              </w:rPr>
              <w:t>a</w:t>
            </w:r>
            <w:r w:rsidR="00413D0E" w:rsidRPr="00A656AF">
              <w:rPr>
                <w:rFonts w:asciiTheme="majorHAnsi" w:hAnsiTheme="majorHAnsi" w:cstheme="majorHAnsi"/>
                <w:sz w:val="20"/>
                <w:szCs w:val="20"/>
                <w:lang w:val="ro-MD"/>
              </w:rPr>
              <w:t xml:space="preserve"> de referință de </w:t>
            </w:r>
            <w:r w:rsidR="0073075C" w:rsidRPr="00A656AF">
              <w:rPr>
                <w:rFonts w:asciiTheme="majorHAnsi" w:hAnsiTheme="majorHAnsi" w:cstheme="majorHAnsi"/>
                <w:sz w:val="20"/>
                <w:szCs w:val="20"/>
                <w:lang w:val="ro-MD"/>
              </w:rPr>
              <w:t xml:space="preserve">17,6  </w:t>
            </w:r>
          </w:p>
        </w:tc>
        <w:tc>
          <w:tcPr>
            <w:tcW w:w="1028" w:type="dxa"/>
            <w:shd w:val="clear" w:color="auto" w:fill="auto"/>
          </w:tcPr>
          <w:p w14:paraId="6652B85D" w14:textId="77777777" w:rsidR="0073075C" w:rsidRPr="00E33BAB" w:rsidRDefault="0073075C" w:rsidP="00F9051A">
            <w:pPr>
              <w:jc w:val="center"/>
              <w:rPr>
                <w:rFonts w:asciiTheme="majorHAnsi" w:eastAsia="Times New Roman" w:hAnsiTheme="majorHAnsi" w:cstheme="majorHAnsi"/>
                <w:color w:val="000000" w:themeColor="text1"/>
                <w:sz w:val="20"/>
                <w:szCs w:val="20"/>
                <w:lang w:val="ro-MD"/>
              </w:rPr>
            </w:pPr>
            <w:r w:rsidRPr="00E33BAB">
              <w:rPr>
                <w:rFonts w:asciiTheme="majorHAnsi" w:eastAsia="Times New Roman" w:hAnsiTheme="majorHAnsi" w:cstheme="majorHAnsi"/>
                <w:color w:val="000000" w:themeColor="text1"/>
                <w:sz w:val="20"/>
                <w:szCs w:val="20"/>
                <w:lang w:val="ro-MD"/>
              </w:rPr>
              <w:t>1 941 000</w:t>
            </w:r>
          </w:p>
        </w:tc>
        <w:tc>
          <w:tcPr>
            <w:tcW w:w="380" w:type="dxa"/>
            <w:shd w:val="clear" w:color="auto" w:fill="auto"/>
          </w:tcPr>
          <w:p w14:paraId="0E77B8EE" w14:textId="77777777" w:rsidR="0073075C" w:rsidRPr="00E33BAB" w:rsidRDefault="0073075C" w:rsidP="00F9051A">
            <w:pPr>
              <w:jc w:val="both"/>
              <w:rPr>
                <w:rFonts w:asciiTheme="majorHAnsi" w:eastAsia="Times New Roman" w:hAnsiTheme="majorHAnsi" w:cstheme="majorHAnsi"/>
                <w:b/>
                <w:color w:val="000000" w:themeColor="text1"/>
                <w:sz w:val="18"/>
                <w:szCs w:val="20"/>
                <w:lang w:val="ro-MD"/>
              </w:rPr>
            </w:pPr>
          </w:p>
        </w:tc>
        <w:tc>
          <w:tcPr>
            <w:tcW w:w="302" w:type="dxa"/>
            <w:shd w:val="clear" w:color="auto" w:fill="auto"/>
          </w:tcPr>
          <w:p w14:paraId="21FE4094" w14:textId="554D29BB" w:rsidR="0073075C" w:rsidRPr="00E33BAB" w:rsidRDefault="00413D0E" w:rsidP="00F9051A">
            <w:pPr>
              <w:jc w:val="center"/>
              <w:rPr>
                <w:rFonts w:asciiTheme="majorHAnsi" w:eastAsia="Times New Roman" w:hAnsiTheme="majorHAnsi" w:cstheme="majorHAnsi"/>
                <w:b/>
                <w:color w:val="000000" w:themeColor="text1"/>
                <w:sz w:val="18"/>
                <w:szCs w:val="20"/>
                <w:lang w:val="ro-MD"/>
              </w:rPr>
            </w:pPr>
            <w:r w:rsidRPr="00E33BAB">
              <w:rPr>
                <w:rFonts w:asciiTheme="majorHAnsi" w:eastAsia="Times New Roman" w:hAnsiTheme="majorHAnsi" w:cstheme="majorHAnsi"/>
                <w:b/>
                <w:color w:val="000000" w:themeColor="text1"/>
                <w:sz w:val="18"/>
                <w:szCs w:val="20"/>
                <w:lang w:val="ro-MD"/>
              </w:rPr>
              <w:t>V</w:t>
            </w:r>
          </w:p>
        </w:tc>
        <w:tc>
          <w:tcPr>
            <w:tcW w:w="360" w:type="dxa"/>
            <w:shd w:val="clear" w:color="auto" w:fill="auto"/>
          </w:tcPr>
          <w:p w14:paraId="3200377F" w14:textId="77777777" w:rsidR="0073075C" w:rsidRPr="00E33BAB" w:rsidRDefault="0073075C" w:rsidP="00F9051A">
            <w:pPr>
              <w:jc w:val="both"/>
              <w:rPr>
                <w:rFonts w:asciiTheme="majorHAnsi" w:eastAsia="Times New Roman" w:hAnsiTheme="majorHAnsi" w:cstheme="majorHAnsi"/>
                <w:b/>
                <w:color w:val="000000" w:themeColor="text1"/>
                <w:sz w:val="18"/>
                <w:szCs w:val="20"/>
                <w:lang w:val="ro-MD"/>
              </w:rPr>
            </w:pPr>
          </w:p>
        </w:tc>
        <w:tc>
          <w:tcPr>
            <w:tcW w:w="360" w:type="dxa"/>
            <w:shd w:val="clear" w:color="auto" w:fill="auto"/>
          </w:tcPr>
          <w:p w14:paraId="4D5DD2C9" w14:textId="77777777" w:rsidR="0073075C" w:rsidRPr="00E33BAB" w:rsidRDefault="0073075C" w:rsidP="00F9051A">
            <w:pPr>
              <w:jc w:val="both"/>
              <w:rPr>
                <w:rFonts w:asciiTheme="majorHAnsi" w:eastAsia="Times New Roman" w:hAnsiTheme="majorHAnsi" w:cstheme="majorHAnsi"/>
                <w:b/>
                <w:color w:val="000000" w:themeColor="text1"/>
                <w:sz w:val="18"/>
                <w:szCs w:val="20"/>
                <w:lang w:val="ro-MD"/>
              </w:rPr>
            </w:pPr>
          </w:p>
        </w:tc>
        <w:tc>
          <w:tcPr>
            <w:tcW w:w="360" w:type="dxa"/>
            <w:shd w:val="clear" w:color="auto" w:fill="auto"/>
          </w:tcPr>
          <w:p w14:paraId="236C4615" w14:textId="77777777" w:rsidR="0073075C" w:rsidRPr="00E33BAB" w:rsidRDefault="0073075C" w:rsidP="00F9051A">
            <w:pPr>
              <w:jc w:val="both"/>
              <w:rPr>
                <w:rFonts w:asciiTheme="majorHAnsi" w:eastAsia="Times New Roman" w:hAnsiTheme="majorHAnsi" w:cstheme="majorHAnsi"/>
                <w:b/>
                <w:color w:val="000000" w:themeColor="text1"/>
                <w:sz w:val="18"/>
                <w:szCs w:val="20"/>
                <w:lang w:val="ro-MD"/>
              </w:rPr>
            </w:pPr>
          </w:p>
        </w:tc>
        <w:tc>
          <w:tcPr>
            <w:tcW w:w="364" w:type="dxa"/>
            <w:shd w:val="clear" w:color="auto" w:fill="auto"/>
          </w:tcPr>
          <w:p w14:paraId="0BC95E09" w14:textId="77777777" w:rsidR="0073075C" w:rsidRPr="00E33BAB" w:rsidRDefault="0073075C" w:rsidP="00F9051A">
            <w:pPr>
              <w:jc w:val="both"/>
              <w:rPr>
                <w:rFonts w:asciiTheme="majorHAnsi" w:eastAsia="Times New Roman" w:hAnsiTheme="majorHAnsi" w:cstheme="majorHAnsi"/>
                <w:color w:val="000000" w:themeColor="text1"/>
                <w:sz w:val="20"/>
                <w:szCs w:val="20"/>
                <w:lang w:val="ro-MD"/>
              </w:rPr>
            </w:pPr>
          </w:p>
        </w:tc>
        <w:tc>
          <w:tcPr>
            <w:tcW w:w="2156" w:type="dxa"/>
            <w:shd w:val="clear" w:color="auto" w:fill="auto"/>
          </w:tcPr>
          <w:p w14:paraId="7D4749C4" w14:textId="53DF21EF" w:rsidR="0073075C" w:rsidRPr="00E33BAB" w:rsidRDefault="0073075C" w:rsidP="00F9051A">
            <w:pPr>
              <w:jc w:val="both"/>
              <w:rPr>
                <w:rFonts w:asciiTheme="majorHAnsi" w:eastAsia="Times New Roman" w:hAnsiTheme="majorHAnsi" w:cstheme="majorHAnsi"/>
                <w:color w:val="000000" w:themeColor="text1"/>
                <w:sz w:val="20"/>
                <w:szCs w:val="20"/>
                <w:lang w:val="ro-MD"/>
              </w:rPr>
            </w:pPr>
            <w:r w:rsidRPr="00E33BAB">
              <w:rPr>
                <w:rFonts w:asciiTheme="majorHAnsi" w:eastAsia="Times New Roman" w:hAnsiTheme="majorHAnsi" w:cstheme="majorHAnsi"/>
                <w:color w:val="000000" w:themeColor="text1"/>
                <w:sz w:val="20"/>
                <w:szCs w:val="20"/>
                <w:lang w:val="ro-MD"/>
              </w:rPr>
              <w:t>A fost debursat</w:t>
            </w:r>
          </w:p>
        </w:tc>
      </w:tr>
      <w:tr w:rsidR="0073075C" w:rsidRPr="00E33BAB" w14:paraId="7DA54D91" w14:textId="32E5DCEA" w:rsidTr="00BD7925">
        <w:tc>
          <w:tcPr>
            <w:tcW w:w="4495" w:type="dxa"/>
            <w:tcBorders>
              <w:top w:val="single" w:sz="6" w:space="0" w:color="000000"/>
              <w:left w:val="single" w:sz="6" w:space="0" w:color="000000"/>
              <w:bottom w:val="single" w:sz="6" w:space="0" w:color="000000"/>
              <w:right w:val="single" w:sz="6" w:space="0" w:color="000000"/>
            </w:tcBorders>
            <w:shd w:val="clear" w:color="auto" w:fill="auto"/>
          </w:tcPr>
          <w:p w14:paraId="14ABE29E" w14:textId="420F1045" w:rsidR="0073075C" w:rsidRPr="00A656AF" w:rsidRDefault="00E4401F" w:rsidP="00F9051A">
            <w:pPr>
              <w:tabs>
                <w:tab w:val="left" w:pos="1080"/>
              </w:tabs>
              <w:contextualSpacing/>
              <w:jc w:val="both"/>
              <w:rPr>
                <w:rFonts w:asciiTheme="majorHAnsi" w:hAnsiTheme="majorHAnsi" w:cstheme="majorHAnsi"/>
                <w:sz w:val="20"/>
                <w:szCs w:val="20"/>
                <w:lang w:val="ro-MD"/>
              </w:rPr>
            </w:pPr>
            <w:r w:rsidRPr="00A656AF">
              <w:rPr>
                <w:rFonts w:asciiTheme="majorHAnsi" w:hAnsiTheme="majorHAnsi" w:cstheme="majorHAnsi"/>
                <w:sz w:val="20"/>
                <w:szCs w:val="20"/>
                <w:lang w:val="ro-MD"/>
              </w:rPr>
              <w:t xml:space="preserve">DLI 4: </w:t>
            </w:r>
            <w:r w:rsidR="0073075C" w:rsidRPr="00A656AF">
              <w:rPr>
                <w:rFonts w:asciiTheme="majorHAnsi" w:hAnsiTheme="majorHAnsi" w:cstheme="majorHAnsi"/>
                <w:sz w:val="20"/>
                <w:szCs w:val="20"/>
                <w:lang w:val="ro-MD"/>
              </w:rPr>
              <w:t>Numărul de paturi în spitale</w:t>
            </w:r>
            <w:r w:rsidR="00AF1159" w:rsidRPr="00A656AF">
              <w:rPr>
                <w:rFonts w:asciiTheme="majorHAnsi" w:hAnsiTheme="majorHAnsi" w:cstheme="majorHAnsi"/>
                <w:sz w:val="20"/>
                <w:szCs w:val="20"/>
                <w:lang w:val="ro-MD"/>
              </w:rPr>
              <w:t>le</w:t>
            </w:r>
            <w:r w:rsidR="0073075C" w:rsidRPr="00A656AF">
              <w:rPr>
                <w:rFonts w:asciiTheme="majorHAnsi" w:hAnsiTheme="majorHAnsi" w:cstheme="majorHAnsi"/>
                <w:sz w:val="20"/>
                <w:szCs w:val="20"/>
                <w:lang w:val="ro-MD"/>
              </w:rPr>
              <w:t xml:space="preserve"> de îngrijire acută, pornind de la valoare</w:t>
            </w:r>
            <w:r w:rsidR="00AF1159" w:rsidRPr="00A656AF">
              <w:rPr>
                <w:rFonts w:asciiTheme="majorHAnsi" w:hAnsiTheme="majorHAnsi" w:cstheme="majorHAnsi"/>
                <w:sz w:val="20"/>
                <w:szCs w:val="20"/>
                <w:lang w:val="ro-MD"/>
              </w:rPr>
              <w:t>a</w:t>
            </w:r>
            <w:r w:rsidR="0073075C" w:rsidRPr="00A656AF">
              <w:rPr>
                <w:rFonts w:asciiTheme="majorHAnsi" w:hAnsiTheme="majorHAnsi" w:cstheme="majorHAnsi"/>
                <w:sz w:val="20"/>
                <w:szCs w:val="20"/>
                <w:lang w:val="ro-MD"/>
              </w:rPr>
              <w:t xml:space="preserve"> de referință de 17.586  </w:t>
            </w:r>
          </w:p>
        </w:tc>
        <w:tc>
          <w:tcPr>
            <w:tcW w:w="1028" w:type="dxa"/>
            <w:shd w:val="clear" w:color="auto" w:fill="auto"/>
          </w:tcPr>
          <w:p w14:paraId="2121952D" w14:textId="77777777" w:rsidR="0073075C" w:rsidRPr="00E33BAB" w:rsidRDefault="0073075C" w:rsidP="00F9051A">
            <w:pPr>
              <w:jc w:val="center"/>
              <w:rPr>
                <w:rFonts w:asciiTheme="majorHAnsi" w:eastAsia="Times New Roman" w:hAnsiTheme="majorHAnsi" w:cstheme="majorHAnsi"/>
                <w:color w:val="000000" w:themeColor="text1"/>
                <w:sz w:val="20"/>
                <w:szCs w:val="20"/>
                <w:lang w:val="ro-MD"/>
              </w:rPr>
            </w:pPr>
            <w:r w:rsidRPr="00E33BAB">
              <w:rPr>
                <w:rFonts w:asciiTheme="majorHAnsi" w:eastAsia="Times New Roman" w:hAnsiTheme="majorHAnsi" w:cstheme="majorHAnsi"/>
                <w:color w:val="000000" w:themeColor="text1"/>
                <w:sz w:val="20"/>
                <w:szCs w:val="20"/>
                <w:lang w:val="ro-MD"/>
              </w:rPr>
              <w:t>3 041 000</w:t>
            </w:r>
          </w:p>
        </w:tc>
        <w:tc>
          <w:tcPr>
            <w:tcW w:w="380" w:type="dxa"/>
            <w:shd w:val="clear" w:color="auto" w:fill="auto"/>
          </w:tcPr>
          <w:p w14:paraId="2064A7A8" w14:textId="77777777" w:rsidR="0073075C" w:rsidRPr="00E33BAB" w:rsidRDefault="0073075C" w:rsidP="00F9051A">
            <w:pPr>
              <w:jc w:val="both"/>
              <w:rPr>
                <w:rFonts w:asciiTheme="majorHAnsi" w:eastAsia="Times New Roman" w:hAnsiTheme="majorHAnsi" w:cstheme="majorHAnsi"/>
                <w:b/>
                <w:color w:val="000000" w:themeColor="text1"/>
                <w:sz w:val="18"/>
                <w:szCs w:val="20"/>
                <w:lang w:val="ro-MD"/>
              </w:rPr>
            </w:pPr>
          </w:p>
        </w:tc>
        <w:tc>
          <w:tcPr>
            <w:tcW w:w="302" w:type="dxa"/>
            <w:shd w:val="clear" w:color="auto" w:fill="auto"/>
          </w:tcPr>
          <w:p w14:paraId="5080965F" w14:textId="3C3C1440" w:rsidR="0073075C" w:rsidRPr="00E33BAB" w:rsidRDefault="00413D0E" w:rsidP="00F9051A">
            <w:pPr>
              <w:jc w:val="center"/>
              <w:rPr>
                <w:rFonts w:asciiTheme="majorHAnsi" w:eastAsia="Times New Roman" w:hAnsiTheme="majorHAnsi" w:cstheme="majorHAnsi"/>
                <w:b/>
                <w:color w:val="000000" w:themeColor="text1"/>
                <w:sz w:val="18"/>
                <w:szCs w:val="20"/>
                <w:lang w:val="ro-MD"/>
              </w:rPr>
            </w:pPr>
            <w:r w:rsidRPr="00E33BAB">
              <w:rPr>
                <w:rFonts w:asciiTheme="majorHAnsi" w:eastAsia="Times New Roman" w:hAnsiTheme="majorHAnsi" w:cstheme="majorHAnsi"/>
                <w:b/>
                <w:color w:val="000000" w:themeColor="text1"/>
                <w:sz w:val="18"/>
                <w:szCs w:val="20"/>
                <w:lang w:val="ro-MD"/>
              </w:rPr>
              <w:t>V</w:t>
            </w:r>
          </w:p>
        </w:tc>
        <w:tc>
          <w:tcPr>
            <w:tcW w:w="360" w:type="dxa"/>
            <w:shd w:val="clear" w:color="auto" w:fill="auto"/>
          </w:tcPr>
          <w:p w14:paraId="70159925" w14:textId="77777777" w:rsidR="0073075C" w:rsidRPr="00E33BAB" w:rsidRDefault="0073075C" w:rsidP="00F9051A">
            <w:pPr>
              <w:jc w:val="both"/>
              <w:rPr>
                <w:rFonts w:asciiTheme="majorHAnsi" w:eastAsia="Times New Roman" w:hAnsiTheme="majorHAnsi" w:cstheme="majorHAnsi"/>
                <w:b/>
                <w:color w:val="000000" w:themeColor="text1"/>
                <w:sz w:val="18"/>
                <w:szCs w:val="20"/>
                <w:lang w:val="ro-MD"/>
              </w:rPr>
            </w:pPr>
          </w:p>
        </w:tc>
        <w:tc>
          <w:tcPr>
            <w:tcW w:w="360" w:type="dxa"/>
            <w:shd w:val="clear" w:color="auto" w:fill="auto"/>
          </w:tcPr>
          <w:p w14:paraId="07A10A18" w14:textId="77777777" w:rsidR="0073075C" w:rsidRPr="00E33BAB" w:rsidRDefault="0073075C" w:rsidP="00F9051A">
            <w:pPr>
              <w:jc w:val="both"/>
              <w:rPr>
                <w:rFonts w:asciiTheme="majorHAnsi" w:eastAsia="Times New Roman" w:hAnsiTheme="majorHAnsi" w:cstheme="majorHAnsi"/>
                <w:b/>
                <w:color w:val="000000" w:themeColor="text1"/>
                <w:sz w:val="18"/>
                <w:szCs w:val="20"/>
                <w:lang w:val="ro-MD"/>
              </w:rPr>
            </w:pPr>
          </w:p>
        </w:tc>
        <w:tc>
          <w:tcPr>
            <w:tcW w:w="360" w:type="dxa"/>
            <w:shd w:val="clear" w:color="auto" w:fill="auto"/>
          </w:tcPr>
          <w:p w14:paraId="480CF2B1" w14:textId="77777777" w:rsidR="0073075C" w:rsidRPr="00E33BAB" w:rsidRDefault="0073075C" w:rsidP="00F9051A">
            <w:pPr>
              <w:jc w:val="both"/>
              <w:rPr>
                <w:rFonts w:asciiTheme="majorHAnsi" w:eastAsia="Times New Roman" w:hAnsiTheme="majorHAnsi" w:cstheme="majorHAnsi"/>
                <w:b/>
                <w:color w:val="000000" w:themeColor="text1"/>
                <w:sz w:val="18"/>
                <w:szCs w:val="20"/>
                <w:lang w:val="ro-MD"/>
              </w:rPr>
            </w:pPr>
          </w:p>
        </w:tc>
        <w:tc>
          <w:tcPr>
            <w:tcW w:w="364" w:type="dxa"/>
            <w:shd w:val="clear" w:color="auto" w:fill="auto"/>
          </w:tcPr>
          <w:p w14:paraId="33C73E14" w14:textId="77777777" w:rsidR="0073075C" w:rsidRPr="00E33BAB" w:rsidRDefault="0073075C" w:rsidP="00F9051A">
            <w:pPr>
              <w:jc w:val="both"/>
              <w:rPr>
                <w:rFonts w:asciiTheme="majorHAnsi" w:eastAsia="Times New Roman" w:hAnsiTheme="majorHAnsi" w:cstheme="majorHAnsi"/>
                <w:color w:val="000000" w:themeColor="text1"/>
                <w:sz w:val="20"/>
                <w:szCs w:val="20"/>
                <w:lang w:val="ro-MD"/>
              </w:rPr>
            </w:pPr>
          </w:p>
        </w:tc>
        <w:tc>
          <w:tcPr>
            <w:tcW w:w="2156" w:type="dxa"/>
            <w:shd w:val="clear" w:color="auto" w:fill="auto"/>
          </w:tcPr>
          <w:p w14:paraId="3758C876" w14:textId="11C250EA" w:rsidR="0073075C" w:rsidRPr="00E33BAB" w:rsidRDefault="0073075C" w:rsidP="00F9051A">
            <w:pPr>
              <w:jc w:val="both"/>
              <w:rPr>
                <w:rFonts w:asciiTheme="majorHAnsi" w:eastAsia="Times New Roman" w:hAnsiTheme="majorHAnsi" w:cstheme="majorHAnsi"/>
                <w:color w:val="000000" w:themeColor="text1"/>
                <w:sz w:val="20"/>
                <w:szCs w:val="20"/>
                <w:lang w:val="ro-MD"/>
              </w:rPr>
            </w:pPr>
            <w:r w:rsidRPr="00E33BAB">
              <w:rPr>
                <w:rFonts w:asciiTheme="majorHAnsi" w:eastAsia="Times New Roman" w:hAnsiTheme="majorHAnsi" w:cstheme="majorHAnsi"/>
                <w:color w:val="000000" w:themeColor="text1"/>
                <w:sz w:val="20"/>
                <w:szCs w:val="20"/>
                <w:lang w:val="ro-MD"/>
              </w:rPr>
              <w:t>A fost debursat</w:t>
            </w:r>
          </w:p>
        </w:tc>
      </w:tr>
      <w:tr w:rsidR="0073075C" w:rsidRPr="00E33BAB" w14:paraId="4D1C4FA7" w14:textId="640F2D55" w:rsidTr="00BD7925">
        <w:tc>
          <w:tcPr>
            <w:tcW w:w="4495" w:type="dxa"/>
            <w:tcBorders>
              <w:top w:val="single" w:sz="6" w:space="0" w:color="000000"/>
              <w:left w:val="single" w:sz="6" w:space="0" w:color="000000"/>
              <w:bottom w:val="single" w:sz="6" w:space="0" w:color="000000"/>
              <w:right w:val="single" w:sz="6" w:space="0" w:color="000000"/>
            </w:tcBorders>
            <w:shd w:val="clear" w:color="auto" w:fill="auto"/>
          </w:tcPr>
          <w:p w14:paraId="499DBEBE" w14:textId="56F006E6" w:rsidR="0073075C" w:rsidRPr="00A656AF" w:rsidRDefault="00E4401F" w:rsidP="00F9051A">
            <w:pPr>
              <w:tabs>
                <w:tab w:val="left" w:pos="1080"/>
              </w:tabs>
              <w:contextualSpacing/>
              <w:jc w:val="both"/>
              <w:rPr>
                <w:rFonts w:asciiTheme="majorHAnsi" w:hAnsiTheme="majorHAnsi" w:cstheme="majorHAnsi"/>
                <w:sz w:val="20"/>
                <w:szCs w:val="20"/>
                <w:lang w:val="ro-MD"/>
              </w:rPr>
            </w:pPr>
            <w:r w:rsidRPr="00A656AF">
              <w:rPr>
                <w:rFonts w:asciiTheme="majorHAnsi" w:hAnsiTheme="majorHAnsi" w:cstheme="majorHAnsi"/>
                <w:sz w:val="20"/>
                <w:szCs w:val="20"/>
                <w:lang w:val="ro-MD"/>
              </w:rPr>
              <w:t xml:space="preserve">DLI 5: </w:t>
            </w:r>
            <w:r w:rsidR="0073075C" w:rsidRPr="00A656AF">
              <w:rPr>
                <w:rFonts w:asciiTheme="majorHAnsi" w:hAnsiTheme="majorHAnsi" w:cstheme="majorHAnsi"/>
                <w:sz w:val="20"/>
                <w:szCs w:val="20"/>
                <w:lang w:val="ro-MD"/>
              </w:rPr>
              <w:t xml:space="preserve">Aprobarea revizuirii pachetului de beneficii de ambulatoriu în ceea ce privește medicamentele antihipertensive   </w:t>
            </w:r>
          </w:p>
        </w:tc>
        <w:tc>
          <w:tcPr>
            <w:tcW w:w="1028" w:type="dxa"/>
            <w:shd w:val="clear" w:color="auto" w:fill="auto"/>
          </w:tcPr>
          <w:p w14:paraId="43AB5DA8" w14:textId="77777777" w:rsidR="0073075C" w:rsidRPr="00E33BAB" w:rsidRDefault="0073075C" w:rsidP="00F9051A">
            <w:pPr>
              <w:jc w:val="center"/>
              <w:rPr>
                <w:rFonts w:asciiTheme="majorHAnsi" w:eastAsia="Times New Roman" w:hAnsiTheme="majorHAnsi" w:cstheme="majorHAnsi"/>
                <w:color w:val="000000" w:themeColor="text1"/>
                <w:sz w:val="20"/>
                <w:szCs w:val="20"/>
                <w:lang w:val="ro-MD"/>
              </w:rPr>
            </w:pPr>
            <w:r w:rsidRPr="00E33BAB">
              <w:rPr>
                <w:rFonts w:asciiTheme="majorHAnsi" w:eastAsia="Times New Roman" w:hAnsiTheme="majorHAnsi" w:cstheme="majorHAnsi"/>
                <w:color w:val="000000" w:themeColor="text1"/>
                <w:sz w:val="20"/>
                <w:szCs w:val="20"/>
                <w:lang w:val="ro-MD"/>
              </w:rPr>
              <w:t>1 294 000</w:t>
            </w:r>
          </w:p>
        </w:tc>
        <w:tc>
          <w:tcPr>
            <w:tcW w:w="380" w:type="dxa"/>
            <w:shd w:val="clear" w:color="auto" w:fill="auto"/>
          </w:tcPr>
          <w:p w14:paraId="2034DFAF" w14:textId="4358B904" w:rsidR="0073075C" w:rsidRPr="00E33BAB" w:rsidRDefault="00413D0E" w:rsidP="00F9051A">
            <w:pPr>
              <w:jc w:val="center"/>
              <w:rPr>
                <w:rFonts w:asciiTheme="majorHAnsi" w:eastAsia="Times New Roman" w:hAnsiTheme="majorHAnsi" w:cstheme="majorHAnsi"/>
                <w:b/>
                <w:color w:val="000000" w:themeColor="text1"/>
                <w:sz w:val="18"/>
                <w:szCs w:val="20"/>
                <w:lang w:val="ro-MD"/>
              </w:rPr>
            </w:pPr>
            <w:r w:rsidRPr="00E33BAB">
              <w:rPr>
                <w:rFonts w:asciiTheme="majorHAnsi" w:eastAsia="Times New Roman" w:hAnsiTheme="majorHAnsi" w:cstheme="majorHAnsi"/>
                <w:b/>
                <w:color w:val="000000" w:themeColor="text1"/>
                <w:sz w:val="18"/>
                <w:szCs w:val="20"/>
                <w:lang w:val="ro-MD"/>
              </w:rPr>
              <w:t>V</w:t>
            </w:r>
          </w:p>
        </w:tc>
        <w:tc>
          <w:tcPr>
            <w:tcW w:w="302" w:type="dxa"/>
            <w:shd w:val="clear" w:color="auto" w:fill="auto"/>
          </w:tcPr>
          <w:p w14:paraId="2775F466" w14:textId="77777777" w:rsidR="0073075C" w:rsidRPr="00E33BAB" w:rsidRDefault="0073075C" w:rsidP="00F9051A">
            <w:pPr>
              <w:jc w:val="both"/>
              <w:rPr>
                <w:rFonts w:asciiTheme="majorHAnsi" w:eastAsia="Times New Roman" w:hAnsiTheme="majorHAnsi" w:cstheme="majorHAnsi"/>
                <w:b/>
                <w:color w:val="000000" w:themeColor="text1"/>
                <w:sz w:val="18"/>
                <w:szCs w:val="20"/>
                <w:lang w:val="ro-MD"/>
              </w:rPr>
            </w:pPr>
          </w:p>
        </w:tc>
        <w:tc>
          <w:tcPr>
            <w:tcW w:w="360" w:type="dxa"/>
            <w:shd w:val="clear" w:color="auto" w:fill="auto"/>
          </w:tcPr>
          <w:p w14:paraId="732DACE4" w14:textId="77777777" w:rsidR="0073075C" w:rsidRPr="00E33BAB" w:rsidRDefault="0073075C" w:rsidP="00F9051A">
            <w:pPr>
              <w:jc w:val="both"/>
              <w:rPr>
                <w:rFonts w:asciiTheme="majorHAnsi" w:eastAsia="Times New Roman" w:hAnsiTheme="majorHAnsi" w:cstheme="majorHAnsi"/>
                <w:b/>
                <w:color w:val="000000" w:themeColor="text1"/>
                <w:sz w:val="18"/>
                <w:szCs w:val="20"/>
                <w:lang w:val="ro-MD"/>
              </w:rPr>
            </w:pPr>
          </w:p>
        </w:tc>
        <w:tc>
          <w:tcPr>
            <w:tcW w:w="360" w:type="dxa"/>
            <w:shd w:val="clear" w:color="auto" w:fill="auto"/>
          </w:tcPr>
          <w:p w14:paraId="3A4E9DBD" w14:textId="77777777" w:rsidR="0073075C" w:rsidRPr="00E33BAB" w:rsidRDefault="0073075C" w:rsidP="00F9051A">
            <w:pPr>
              <w:jc w:val="both"/>
              <w:rPr>
                <w:rFonts w:asciiTheme="majorHAnsi" w:eastAsia="Times New Roman" w:hAnsiTheme="majorHAnsi" w:cstheme="majorHAnsi"/>
                <w:b/>
                <w:color w:val="000000" w:themeColor="text1"/>
                <w:sz w:val="18"/>
                <w:szCs w:val="20"/>
                <w:lang w:val="ro-MD"/>
              </w:rPr>
            </w:pPr>
          </w:p>
        </w:tc>
        <w:tc>
          <w:tcPr>
            <w:tcW w:w="360" w:type="dxa"/>
            <w:shd w:val="clear" w:color="auto" w:fill="auto"/>
          </w:tcPr>
          <w:p w14:paraId="75063FB0" w14:textId="77777777" w:rsidR="0073075C" w:rsidRPr="00E33BAB" w:rsidRDefault="0073075C" w:rsidP="00F9051A">
            <w:pPr>
              <w:jc w:val="both"/>
              <w:rPr>
                <w:rFonts w:asciiTheme="majorHAnsi" w:eastAsia="Times New Roman" w:hAnsiTheme="majorHAnsi" w:cstheme="majorHAnsi"/>
                <w:b/>
                <w:color w:val="000000" w:themeColor="text1"/>
                <w:sz w:val="18"/>
                <w:szCs w:val="20"/>
                <w:lang w:val="ro-MD"/>
              </w:rPr>
            </w:pPr>
          </w:p>
        </w:tc>
        <w:tc>
          <w:tcPr>
            <w:tcW w:w="364" w:type="dxa"/>
            <w:shd w:val="clear" w:color="auto" w:fill="auto"/>
          </w:tcPr>
          <w:p w14:paraId="0BC62F96" w14:textId="77777777" w:rsidR="0073075C" w:rsidRPr="00E33BAB" w:rsidRDefault="0073075C" w:rsidP="00F9051A">
            <w:pPr>
              <w:jc w:val="both"/>
              <w:rPr>
                <w:rFonts w:asciiTheme="majorHAnsi" w:eastAsia="Times New Roman" w:hAnsiTheme="majorHAnsi" w:cstheme="majorHAnsi"/>
                <w:color w:val="000000" w:themeColor="text1"/>
                <w:sz w:val="20"/>
                <w:szCs w:val="20"/>
                <w:lang w:val="ro-MD"/>
              </w:rPr>
            </w:pPr>
          </w:p>
        </w:tc>
        <w:tc>
          <w:tcPr>
            <w:tcW w:w="2156" w:type="dxa"/>
            <w:shd w:val="clear" w:color="auto" w:fill="auto"/>
          </w:tcPr>
          <w:p w14:paraId="354B073F" w14:textId="62286E67" w:rsidR="0073075C" w:rsidRPr="00E33BAB" w:rsidRDefault="0073075C" w:rsidP="00F9051A">
            <w:pPr>
              <w:jc w:val="both"/>
              <w:rPr>
                <w:rFonts w:asciiTheme="majorHAnsi" w:eastAsia="Times New Roman" w:hAnsiTheme="majorHAnsi" w:cstheme="majorHAnsi"/>
                <w:color w:val="000000" w:themeColor="text1"/>
                <w:sz w:val="20"/>
                <w:szCs w:val="20"/>
                <w:lang w:val="ro-MD"/>
              </w:rPr>
            </w:pPr>
            <w:r w:rsidRPr="00E33BAB">
              <w:rPr>
                <w:rFonts w:asciiTheme="majorHAnsi" w:eastAsia="Times New Roman" w:hAnsiTheme="majorHAnsi" w:cstheme="majorHAnsi"/>
                <w:color w:val="000000" w:themeColor="text1"/>
                <w:sz w:val="20"/>
                <w:szCs w:val="20"/>
                <w:lang w:val="ro-MD"/>
              </w:rPr>
              <w:t>A fost debursat</w:t>
            </w:r>
          </w:p>
        </w:tc>
      </w:tr>
      <w:tr w:rsidR="0073075C" w:rsidRPr="00E33BAB" w14:paraId="4C6DDAF3" w14:textId="1A61CEE9" w:rsidTr="00BD7925">
        <w:tc>
          <w:tcPr>
            <w:tcW w:w="4495" w:type="dxa"/>
            <w:tcBorders>
              <w:top w:val="single" w:sz="6" w:space="0" w:color="000000"/>
              <w:left w:val="single" w:sz="6" w:space="0" w:color="000000"/>
              <w:bottom w:val="single" w:sz="6" w:space="0" w:color="000000"/>
              <w:right w:val="single" w:sz="6" w:space="0" w:color="000000"/>
            </w:tcBorders>
            <w:shd w:val="clear" w:color="auto" w:fill="auto"/>
          </w:tcPr>
          <w:p w14:paraId="5228A26B" w14:textId="51458B9B" w:rsidR="0073075C" w:rsidRPr="00A656AF" w:rsidRDefault="00E4401F" w:rsidP="00F9051A">
            <w:pPr>
              <w:tabs>
                <w:tab w:val="left" w:pos="1080"/>
              </w:tabs>
              <w:contextualSpacing/>
              <w:jc w:val="both"/>
              <w:rPr>
                <w:rFonts w:asciiTheme="majorHAnsi" w:hAnsiTheme="majorHAnsi" w:cstheme="majorHAnsi"/>
                <w:sz w:val="20"/>
                <w:szCs w:val="20"/>
                <w:lang w:val="ro-MD"/>
              </w:rPr>
            </w:pPr>
            <w:r w:rsidRPr="00A656AF">
              <w:rPr>
                <w:rFonts w:asciiTheme="majorHAnsi" w:hAnsiTheme="majorHAnsi" w:cstheme="majorHAnsi"/>
                <w:sz w:val="20"/>
                <w:szCs w:val="20"/>
                <w:lang w:val="ro-MD"/>
              </w:rPr>
              <w:t xml:space="preserve">DLI 6: </w:t>
            </w:r>
            <w:r w:rsidR="0073075C" w:rsidRPr="00A656AF">
              <w:rPr>
                <w:rFonts w:asciiTheme="majorHAnsi" w:hAnsiTheme="majorHAnsi" w:cstheme="majorHAnsi"/>
                <w:sz w:val="20"/>
                <w:szCs w:val="20"/>
                <w:lang w:val="ro-MD"/>
              </w:rPr>
              <w:t xml:space="preserve">Revizuirea și punerea în aplicare a </w:t>
            </w:r>
            <w:r w:rsidR="00634F4E" w:rsidRPr="00A656AF">
              <w:rPr>
                <w:rFonts w:asciiTheme="majorHAnsi" w:hAnsiTheme="majorHAnsi" w:cstheme="majorHAnsi"/>
                <w:sz w:val="20"/>
                <w:szCs w:val="20"/>
                <w:lang w:val="ro-MD"/>
              </w:rPr>
              <w:t>S</w:t>
            </w:r>
            <w:r w:rsidR="0073075C" w:rsidRPr="00A656AF">
              <w:rPr>
                <w:rFonts w:asciiTheme="majorHAnsi" w:hAnsiTheme="majorHAnsi" w:cstheme="majorHAnsi"/>
                <w:sz w:val="20"/>
                <w:szCs w:val="20"/>
                <w:lang w:val="ro-MD"/>
              </w:rPr>
              <w:t xml:space="preserve">chemei de stimulare bazate pe performanță în asistența medicală primară   </w:t>
            </w:r>
          </w:p>
        </w:tc>
        <w:tc>
          <w:tcPr>
            <w:tcW w:w="1028" w:type="dxa"/>
            <w:shd w:val="clear" w:color="auto" w:fill="auto"/>
          </w:tcPr>
          <w:p w14:paraId="7BEBBA29" w14:textId="77777777" w:rsidR="0073075C" w:rsidRPr="00E33BAB" w:rsidRDefault="0073075C" w:rsidP="00F9051A">
            <w:pPr>
              <w:jc w:val="center"/>
              <w:rPr>
                <w:rFonts w:asciiTheme="majorHAnsi" w:eastAsia="Times New Roman" w:hAnsiTheme="majorHAnsi" w:cstheme="majorHAnsi"/>
                <w:color w:val="000000" w:themeColor="text1"/>
                <w:sz w:val="20"/>
                <w:szCs w:val="20"/>
                <w:lang w:val="ro-MD"/>
              </w:rPr>
            </w:pPr>
            <w:r w:rsidRPr="00E33BAB">
              <w:rPr>
                <w:rFonts w:asciiTheme="majorHAnsi" w:eastAsia="Times New Roman" w:hAnsiTheme="majorHAnsi" w:cstheme="majorHAnsi"/>
                <w:color w:val="000000" w:themeColor="text1"/>
                <w:sz w:val="20"/>
                <w:szCs w:val="20"/>
                <w:lang w:val="ro-MD"/>
              </w:rPr>
              <w:t>1 294 000</w:t>
            </w:r>
          </w:p>
        </w:tc>
        <w:tc>
          <w:tcPr>
            <w:tcW w:w="380" w:type="dxa"/>
            <w:shd w:val="clear" w:color="auto" w:fill="auto"/>
          </w:tcPr>
          <w:p w14:paraId="1D51A830" w14:textId="77777777" w:rsidR="0073075C" w:rsidRPr="00E33BAB" w:rsidRDefault="0073075C" w:rsidP="00F9051A">
            <w:pPr>
              <w:jc w:val="both"/>
              <w:rPr>
                <w:rFonts w:asciiTheme="majorHAnsi" w:eastAsia="Times New Roman" w:hAnsiTheme="majorHAnsi" w:cstheme="majorHAnsi"/>
                <w:b/>
                <w:color w:val="000000" w:themeColor="text1"/>
                <w:sz w:val="18"/>
                <w:szCs w:val="20"/>
                <w:lang w:val="ro-MD"/>
              </w:rPr>
            </w:pPr>
          </w:p>
        </w:tc>
        <w:tc>
          <w:tcPr>
            <w:tcW w:w="302" w:type="dxa"/>
            <w:shd w:val="clear" w:color="auto" w:fill="auto"/>
          </w:tcPr>
          <w:p w14:paraId="60AE057D" w14:textId="64490BE5" w:rsidR="0073075C" w:rsidRPr="00E33BAB" w:rsidRDefault="00413D0E" w:rsidP="00F9051A">
            <w:pPr>
              <w:jc w:val="center"/>
              <w:rPr>
                <w:rFonts w:asciiTheme="majorHAnsi" w:eastAsia="Times New Roman" w:hAnsiTheme="majorHAnsi" w:cstheme="majorHAnsi"/>
                <w:b/>
                <w:color w:val="000000" w:themeColor="text1"/>
                <w:sz w:val="18"/>
                <w:szCs w:val="20"/>
                <w:lang w:val="ro-MD"/>
              </w:rPr>
            </w:pPr>
            <w:r w:rsidRPr="00E33BAB">
              <w:rPr>
                <w:rFonts w:asciiTheme="majorHAnsi" w:eastAsia="Times New Roman" w:hAnsiTheme="majorHAnsi" w:cstheme="majorHAnsi"/>
                <w:b/>
                <w:color w:val="000000" w:themeColor="text1"/>
                <w:sz w:val="18"/>
                <w:szCs w:val="20"/>
                <w:lang w:val="ro-MD"/>
              </w:rPr>
              <w:t>V</w:t>
            </w:r>
          </w:p>
        </w:tc>
        <w:tc>
          <w:tcPr>
            <w:tcW w:w="360" w:type="dxa"/>
            <w:shd w:val="clear" w:color="auto" w:fill="auto"/>
          </w:tcPr>
          <w:p w14:paraId="0F157444" w14:textId="77777777" w:rsidR="0073075C" w:rsidRPr="00E33BAB" w:rsidRDefault="0073075C" w:rsidP="00F9051A">
            <w:pPr>
              <w:jc w:val="both"/>
              <w:rPr>
                <w:rFonts w:asciiTheme="majorHAnsi" w:eastAsia="Times New Roman" w:hAnsiTheme="majorHAnsi" w:cstheme="majorHAnsi"/>
                <w:b/>
                <w:color w:val="000000" w:themeColor="text1"/>
                <w:sz w:val="18"/>
                <w:szCs w:val="20"/>
                <w:lang w:val="ro-MD"/>
              </w:rPr>
            </w:pPr>
          </w:p>
        </w:tc>
        <w:tc>
          <w:tcPr>
            <w:tcW w:w="360" w:type="dxa"/>
            <w:shd w:val="clear" w:color="auto" w:fill="auto"/>
          </w:tcPr>
          <w:p w14:paraId="4519FEBD" w14:textId="560BA027" w:rsidR="0073075C" w:rsidRPr="00E33BAB" w:rsidRDefault="00413D0E" w:rsidP="00F9051A">
            <w:pPr>
              <w:jc w:val="center"/>
              <w:rPr>
                <w:rFonts w:asciiTheme="majorHAnsi" w:eastAsia="Times New Roman" w:hAnsiTheme="majorHAnsi" w:cstheme="majorHAnsi"/>
                <w:b/>
                <w:color w:val="000000" w:themeColor="text1"/>
                <w:sz w:val="18"/>
                <w:szCs w:val="20"/>
                <w:lang w:val="ro-MD"/>
              </w:rPr>
            </w:pPr>
            <w:r w:rsidRPr="00E33BAB">
              <w:rPr>
                <w:rFonts w:asciiTheme="majorHAnsi" w:eastAsia="Times New Roman" w:hAnsiTheme="majorHAnsi" w:cstheme="majorHAnsi"/>
                <w:b/>
                <w:color w:val="000000" w:themeColor="text1"/>
                <w:sz w:val="18"/>
                <w:szCs w:val="20"/>
                <w:lang w:val="ro-MD"/>
              </w:rPr>
              <w:t>V</w:t>
            </w:r>
          </w:p>
        </w:tc>
        <w:tc>
          <w:tcPr>
            <w:tcW w:w="360" w:type="dxa"/>
            <w:shd w:val="clear" w:color="auto" w:fill="auto"/>
          </w:tcPr>
          <w:p w14:paraId="114E6EAE" w14:textId="0029EBED" w:rsidR="0073075C" w:rsidRPr="00E33BAB" w:rsidRDefault="00413D0E" w:rsidP="00F9051A">
            <w:pPr>
              <w:jc w:val="center"/>
              <w:rPr>
                <w:rFonts w:asciiTheme="majorHAnsi" w:eastAsia="Times New Roman" w:hAnsiTheme="majorHAnsi" w:cstheme="majorHAnsi"/>
                <w:b/>
                <w:color w:val="000000" w:themeColor="text1"/>
                <w:sz w:val="18"/>
                <w:szCs w:val="20"/>
                <w:lang w:val="ro-MD"/>
              </w:rPr>
            </w:pPr>
            <w:r w:rsidRPr="00E33BAB">
              <w:rPr>
                <w:rFonts w:asciiTheme="majorHAnsi" w:eastAsia="Times New Roman" w:hAnsiTheme="majorHAnsi" w:cstheme="majorHAnsi"/>
                <w:b/>
                <w:color w:val="000000" w:themeColor="text1"/>
                <w:sz w:val="18"/>
                <w:szCs w:val="20"/>
                <w:lang w:val="ro-MD"/>
              </w:rPr>
              <w:t>V</w:t>
            </w:r>
          </w:p>
        </w:tc>
        <w:tc>
          <w:tcPr>
            <w:tcW w:w="364" w:type="dxa"/>
            <w:shd w:val="clear" w:color="auto" w:fill="auto"/>
          </w:tcPr>
          <w:p w14:paraId="08F8D0C5" w14:textId="77777777" w:rsidR="0073075C" w:rsidRPr="00E33BAB" w:rsidRDefault="0073075C" w:rsidP="00F9051A">
            <w:pPr>
              <w:jc w:val="both"/>
              <w:rPr>
                <w:rFonts w:asciiTheme="majorHAnsi" w:eastAsia="Times New Roman" w:hAnsiTheme="majorHAnsi" w:cstheme="majorHAnsi"/>
                <w:color w:val="000000" w:themeColor="text1"/>
                <w:sz w:val="20"/>
                <w:szCs w:val="20"/>
                <w:lang w:val="ro-MD"/>
              </w:rPr>
            </w:pPr>
          </w:p>
        </w:tc>
        <w:tc>
          <w:tcPr>
            <w:tcW w:w="2156" w:type="dxa"/>
            <w:shd w:val="clear" w:color="auto" w:fill="auto"/>
          </w:tcPr>
          <w:p w14:paraId="354B7E03" w14:textId="1AB1B93C" w:rsidR="0073075C" w:rsidRPr="00E33BAB" w:rsidRDefault="0073075C" w:rsidP="00F9051A">
            <w:pPr>
              <w:jc w:val="both"/>
              <w:rPr>
                <w:rFonts w:asciiTheme="majorHAnsi" w:eastAsia="Times New Roman" w:hAnsiTheme="majorHAnsi" w:cstheme="majorHAnsi"/>
                <w:color w:val="000000" w:themeColor="text1"/>
                <w:sz w:val="20"/>
                <w:szCs w:val="20"/>
                <w:lang w:val="ro-MD"/>
              </w:rPr>
            </w:pPr>
            <w:r w:rsidRPr="00E33BAB">
              <w:rPr>
                <w:rFonts w:asciiTheme="majorHAnsi" w:eastAsia="Times New Roman" w:hAnsiTheme="majorHAnsi" w:cstheme="majorHAnsi"/>
                <w:color w:val="000000" w:themeColor="text1"/>
                <w:sz w:val="20"/>
                <w:szCs w:val="20"/>
                <w:lang w:val="ro-MD"/>
              </w:rPr>
              <w:t>A fost debursat</w:t>
            </w:r>
          </w:p>
        </w:tc>
      </w:tr>
      <w:tr w:rsidR="0073075C" w:rsidRPr="00E33BAB" w14:paraId="0807CC8B" w14:textId="2C2E09DD" w:rsidTr="00BD7925">
        <w:tc>
          <w:tcPr>
            <w:tcW w:w="4495" w:type="dxa"/>
            <w:tcBorders>
              <w:top w:val="single" w:sz="6" w:space="0" w:color="000000"/>
              <w:left w:val="single" w:sz="6" w:space="0" w:color="000000"/>
              <w:bottom w:val="single" w:sz="6" w:space="0" w:color="000000"/>
              <w:right w:val="single" w:sz="6" w:space="0" w:color="000000"/>
            </w:tcBorders>
            <w:shd w:val="clear" w:color="auto" w:fill="auto"/>
          </w:tcPr>
          <w:p w14:paraId="2D757DC3" w14:textId="7F3CCDD5" w:rsidR="0073075C" w:rsidRPr="00A656AF" w:rsidRDefault="00E4401F" w:rsidP="00F9051A">
            <w:pPr>
              <w:tabs>
                <w:tab w:val="left" w:pos="1080"/>
              </w:tabs>
              <w:contextualSpacing/>
              <w:jc w:val="both"/>
              <w:rPr>
                <w:rFonts w:asciiTheme="majorHAnsi" w:hAnsiTheme="majorHAnsi" w:cstheme="majorHAnsi"/>
                <w:sz w:val="20"/>
                <w:szCs w:val="20"/>
                <w:lang w:val="ro-MD"/>
              </w:rPr>
            </w:pPr>
            <w:r w:rsidRPr="00A656AF">
              <w:rPr>
                <w:rFonts w:asciiTheme="majorHAnsi" w:hAnsiTheme="majorHAnsi" w:cstheme="majorHAnsi"/>
                <w:sz w:val="20"/>
                <w:szCs w:val="20"/>
                <w:lang w:val="ro-MD"/>
              </w:rPr>
              <w:t xml:space="preserve">DLI 7: </w:t>
            </w:r>
            <w:r w:rsidR="0073075C" w:rsidRPr="00A656AF">
              <w:rPr>
                <w:rFonts w:asciiTheme="majorHAnsi" w:hAnsiTheme="majorHAnsi" w:cstheme="majorHAnsi"/>
                <w:sz w:val="20"/>
                <w:szCs w:val="20"/>
                <w:lang w:val="ro-MD"/>
              </w:rPr>
              <w:t xml:space="preserve">Conceperea și pilotarea stimulentelor bazate pe performanță pentru toate spitalele </w:t>
            </w:r>
          </w:p>
        </w:tc>
        <w:tc>
          <w:tcPr>
            <w:tcW w:w="1028" w:type="dxa"/>
            <w:shd w:val="clear" w:color="auto" w:fill="auto"/>
          </w:tcPr>
          <w:p w14:paraId="0F666162" w14:textId="77777777" w:rsidR="0073075C" w:rsidRPr="00E33BAB" w:rsidRDefault="0073075C" w:rsidP="00F9051A">
            <w:pPr>
              <w:jc w:val="center"/>
              <w:rPr>
                <w:rFonts w:asciiTheme="majorHAnsi" w:eastAsia="Times New Roman" w:hAnsiTheme="majorHAnsi" w:cstheme="majorHAnsi"/>
                <w:color w:val="000000" w:themeColor="text1"/>
                <w:sz w:val="20"/>
                <w:szCs w:val="20"/>
                <w:lang w:val="ro-MD"/>
              </w:rPr>
            </w:pPr>
            <w:r w:rsidRPr="00E33BAB">
              <w:rPr>
                <w:rFonts w:asciiTheme="majorHAnsi" w:eastAsia="Times New Roman" w:hAnsiTheme="majorHAnsi" w:cstheme="majorHAnsi"/>
                <w:color w:val="000000" w:themeColor="text1"/>
                <w:sz w:val="20"/>
                <w:szCs w:val="20"/>
                <w:lang w:val="ro-MD"/>
              </w:rPr>
              <w:t>323 500</w:t>
            </w:r>
          </w:p>
        </w:tc>
        <w:tc>
          <w:tcPr>
            <w:tcW w:w="380" w:type="dxa"/>
            <w:shd w:val="clear" w:color="auto" w:fill="auto"/>
          </w:tcPr>
          <w:p w14:paraId="65B2A146" w14:textId="77777777" w:rsidR="0073075C" w:rsidRPr="00E33BAB" w:rsidRDefault="0073075C" w:rsidP="00F9051A">
            <w:pPr>
              <w:jc w:val="both"/>
              <w:rPr>
                <w:rFonts w:asciiTheme="majorHAnsi" w:eastAsia="Times New Roman" w:hAnsiTheme="majorHAnsi" w:cstheme="majorHAnsi"/>
                <w:b/>
                <w:color w:val="000000" w:themeColor="text1"/>
                <w:sz w:val="18"/>
                <w:szCs w:val="20"/>
                <w:lang w:val="ro-MD"/>
              </w:rPr>
            </w:pPr>
          </w:p>
        </w:tc>
        <w:tc>
          <w:tcPr>
            <w:tcW w:w="302" w:type="dxa"/>
            <w:shd w:val="clear" w:color="auto" w:fill="auto"/>
          </w:tcPr>
          <w:p w14:paraId="10E1EEDF" w14:textId="16831F07" w:rsidR="0073075C" w:rsidRPr="00E33BAB" w:rsidRDefault="00413D0E" w:rsidP="00F9051A">
            <w:pPr>
              <w:jc w:val="center"/>
              <w:rPr>
                <w:rFonts w:asciiTheme="majorHAnsi" w:eastAsia="Times New Roman" w:hAnsiTheme="majorHAnsi" w:cstheme="majorHAnsi"/>
                <w:b/>
                <w:color w:val="000000" w:themeColor="text1"/>
                <w:sz w:val="18"/>
                <w:szCs w:val="20"/>
                <w:lang w:val="ro-MD"/>
              </w:rPr>
            </w:pPr>
            <w:r w:rsidRPr="00E33BAB">
              <w:rPr>
                <w:rFonts w:asciiTheme="majorHAnsi" w:eastAsia="Times New Roman" w:hAnsiTheme="majorHAnsi" w:cstheme="majorHAnsi"/>
                <w:b/>
                <w:color w:val="000000" w:themeColor="text1"/>
                <w:sz w:val="18"/>
                <w:szCs w:val="20"/>
                <w:lang w:val="ro-MD"/>
              </w:rPr>
              <w:t>V</w:t>
            </w:r>
          </w:p>
        </w:tc>
        <w:tc>
          <w:tcPr>
            <w:tcW w:w="360" w:type="dxa"/>
            <w:shd w:val="clear" w:color="auto" w:fill="auto"/>
          </w:tcPr>
          <w:p w14:paraId="46959ED4" w14:textId="77777777" w:rsidR="0073075C" w:rsidRPr="00E33BAB" w:rsidRDefault="0073075C" w:rsidP="00F9051A">
            <w:pPr>
              <w:jc w:val="both"/>
              <w:rPr>
                <w:rFonts w:asciiTheme="majorHAnsi" w:eastAsia="Times New Roman" w:hAnsiTheme="majorHAnsi" w:cstheme="majorHAnsi"/>
                <w:b/>
                <w:color w:val="000000" w:themeColor="text1"/>
                <w:sz w:val="18"/>
                <w:szCs w:val="20"/>
                <w:lang w:val="ro-MD"/>
              </w:rPr>
            </w:pPr>
          </w:p>
        </w:tc>
        <w:tc>
          <w:tcPr>
            <w:tcW w:w="360" w:type="dxa"/>
            <w:shd w:val="clear" w:color="auto" w:fill="auto"/>
          </w:tcPr>
          <w:p w14:paraId="74FAFF3B" w14:textId="77777777" w:rsidR="0073075C" w:rsidRPr="00E33BAB" w:rsidRDefault="0073075C" w:rsidP="00F9051A">
            <w:pPr>
              <w:jc w:val="center"/>
              <w:rPr>
                <w:rFonts w:asciiTheme="majorHAnsi" w:eastAsia="Times New Roman" w:hAnsiTheme="majorHAnsi" w:cstheme="majorHAnsi"/>
                <w:b/>
                <w:color w:val="000000" w:themeColor="text1"/>
                <w:sz w:val="18"/>
                <w:szCs w:val="20"/>
                <w:lang w:val="ro-MD"/>
              </w:rPr>
            </w:pPr>
          </w:p>
        </w:tc>
        <w:tc>
          <w:tcPr>
            <w:tcW w:w="360" w:type="dxa"/>
            <w:shd w:val="clear" w:color="auto" w:fill="auto"/>
          </w:tcPr>
          <w:p w14:paraId="5C1E80EE" w14:textId="77777777" w:rsidR="0073075C" w:rsidRPr="00E33BAB" w:rsidRDefault="0073075C" w:rsidP="00F9051A">
            <w:pPr>
              <w:jc w:val="both"/>
              <w:rPr>
                <w:rFonts w:asciiTheme="majorHAnsi" w:eastAsia="Times New Roman" w:hAnsiTheme="majorHAnsi" w:cstheme="majorHAnsi"/>
                <w:b/>
                <w:color w:val="000000" w:themeColor="text1"/>
                <w:sz w:val="18"/>
                <w:szCs w:val="20"/>
                <w:lang w:val="ro-MD"/>
              </w:rPr>
            </w:pPr>
          </w:p>
        </w:tc>
        <w:tc>
          <w:tcPr>
            <w:tcW w:w="364" w:type="dxa"/>
            <w:shd w:val="clear" w:color="auto" w:fill="auto"/>
          </w:tcPr>
          <w:p w14:paraId="1945061A" w14:textId="77777777" w:rsidR="0073075C" w:rsidRPr="00E33BAB" w:rsidRDefault="0073075C" w:rsidP="00F9051A">
            <w:pPr>
              <w:jc w:val="both"/>
              <w:rPr>
                <w:rFonts w:asciiTheme="majorHAnsi" w:eastAsia="Times New Roman" w:hAnsiTheme="majorHAnsi" w:cstheme="majorHAnsi"/>
                <w:color w:val="000000" w:themeColor="text1"/>
                <w:sz w:val="20"/>
                <w:szCs w:val="20"/>
                <w:lang w:val="ro-MD"/>
              </w:rPr>
            </w:pPr>
          </w:p>
        </w:tc>
        <w:tc>
          <w:tcPr>
            <w:tcW w:w="2156" w:type="dxa"/>
            <w:shd w:val="clear" w:color="auto" w:fill="auto"/>
          </w:tcPr>
          <w:p w14:paraId="7D3D35C7" w14:textId="6559E1D0" w:rsidR="0073075C" w:rsidRPr="00E33BAB" w:rsidRDefault="0073075C" w:rsidP="00F9051A">
            <w:pPr>
              <w:jc w:val="both"/>
              <w:rPr>
                <w:rFonts w:asciiTheme="majorHAnsi" w:eastAsia="Times New Roman" w:hAnsiTheme="majorHAnsi" w:cstheme="majorHAnsi"/>
                <w:color w:val="000000" w:themeColor="text1"/>
                <w:sz w:val="20"/>
                <w:szCs w:val="20"/>
                <w:lang w:val="ro-MD"/>
              </w:rPr>
            </w:pPr>
            <w:r w:rsidRPr="00E33BAB">
              <w:rPr>
                <w:rFonts w:asciiTheme="majorHAnsi" w:eastAsia="Times New Roman" w:hAnsiTheme="majorHAnsi" w:cstheme="majorHAnsi"/>
                <w:color w:val="000000" w:themeColor="text1"/>
                <w:sz w:val="20"/>
                <w:szCs w:val="20"/>
                <w:lang w:val="ro-MD"/>
              </w:rPr>
              <w:t>În curs de implementare</w:t>
            </w:r>
          </w:p>
        </w:tc>
      </w:tr>
      <w:tr w:rsidR="0073075C" w:rsidRPr="00E33BAB" w14:paraId="028F7D92" w14:textId="304512F9" w:rsidTr="00BD7925">
        <w:tc>
          <w:tcPr>
            <w:tcW w:w="4495" w:type="dxa"/>
            <w:tcBorders>
              <w:top w:val="single" w:sz="6" w:space="0" w:color="000000"/>
              <w:left w:val="single" w:sz="6" w:space="0" w:color="000000"/>
              <w:bottom w:val="single" w:sz="6" w:space="0" w:color="000000"/>
              <w:right w:val="single" w:sz="6" w:space="0" w:color="000000"/>
            </w:tcBorders>
            <w:shd w:val="clear" w:color="auto" w:fill="auto"/>
          </w:tcPr>
          <w:p w14:paraId="5C7FB4B9" w14:textId="4FE31BF1" w:rsidR="0073075C" w:rsidRPr="00A656AF" w:rsidRDefault="00E4401F" w:rsidP="00F9051A">
            <w:pPr>
              <w:tabs>
                <w:tab w:val="left" w:pos="1080"/>
              </w:tabs>
              <w:contextualSpacing/>
              <w:jc w:val="both"/>
              <w:rPr>
                <w:rFonts w:asciiTheme="majorHAnsi" w:hAnsiTheme="majorHAnsi" w:cstheme="majorHAnsi"/>
                <w:sz w:val="20"/>
                <w:szCs w:val="20"/>
                <w:lang w:val="ro-MD"/>
              </w:rPr>
            </w:pPr>
            <w:r w:rsidRPr="00A656AF">
              <w:rPr>
                <w:rFonts w:asciiTheme="majorHAnsi" w:hAnsiTheme="majorHAnsi" w:cstheme="majorHAnsi"/>
                <w:sz w:val="20"/>
                <w:szCs w:val="20"/>
                <w:lang w:val="ro-MD"/>
              </w:rPr>
              <w:t xml:space="preserve">DLI 8: </w:t>
            </w:r>
            <w:r w:rsidR="0073075C" w:rsidRPr="00A656AF">
              <w:rPr>
                <w:rFonts w:asciiTheme="majorHAnsi" w:hAnsiTheme="majorHAnsi" w:cstheme="majorHAnsi"/>
                <w:sz w:val="20"/>
                <w:szCs w:val="20"/>
                <w:lang w:val="ro-MD"/>
              </w:rPr>
              <w:t xml:space="preserve">Punerea în aplicare și actualizarea prețurilor GOB pentru plățile către spitale publice de îngrijiri </w:t>
            </w:r>
          </w:p>
          <w:p w14:paraId="2E3EB3B5" w14:textId="2A4512C5" w:rsidR="0073075C" w:rsidRPr="00A656AF" w:rsidRDefault="0073075C" w:rsidP="00F9051A">
            <w:pPr>
              <w:jc w:val="both"/>
              <w:rPr>
                <w:rFonts w:asciiTheme="majorHAnsi" w:eastAsia="Times New Roman" w:hAnsiTheme="majorHAnsi" w:cstheme="majorHAnsi"/>
                <w:b/>
                <w:color w:val="000000" w:themeColor="text1"/>
                <w:sz w:val="20"/>
                <w:szCs w:val="20"/>
                <w:lang w:val="ro-MD"/>
              </w:rPr>
            </w:pPr>
            <w:r w:rsidRPr="00A656AF">
              <w:rPr>
                <w:rFonts w:asciiTheme="majorHAnsi" w:hAnsiTheme="majorHAnsi" w:cstheme="majorHAnsi"/>
                <w:sz w:val="20"/>
                <w:szCs w:val="20"/>
                <w:lang w:val="ro-MD"/>
              </w:rPr>
              <w:t xml:space="preserve">acute  </w:t>
            </w:r>
          </w:p>
        </w:tc>
        <w:tc>
          <w:tcPr>
            <w:tcW w:w="1028" w:type="dxa"/>
            <w:shd w:val="clear" w:color="auto" w:fill="auto"/>
          </w:tcPr>
          <w:p w14:paraId="3680FDF9" w14:textId="4E850730" w:rsidR="0073075C" w:rsidRPr="00E33BAB" w:rsidRDefault="0073075C" w:rsidP="00F9051A">
            <w:pPr>
              <w:jc w:val="center"/>
              <w:rPr>
                <w:rFonts w:asciiTheme="majorHAnsi" w:eastAsia="Times New Roman" w:hAnsiTheme="majorHAnsi" w:cstheme="majorHAnsi"/>
                <w:color w:val="000000" w:themeColor="text1"/>
                <w:sz w:val="20"/>
                <w:szCs w:val="20"/>
                <w:lang w:val="ro-MD"/>
              </w:rPr>
            </w:pPr>
            <w:r w:rsidRPr="00E33BAB">
              <w:rPr>
                <w:rFonts w:asciiTheme="majorHAnsi" w:eastAsia="Times New Roman" w:hAnsiTheme="majorHAnsi" w:cstheme="majorHAnsi"/>
                <w:color w:val="000000" w:themeColor="text1"/>
                <w:sz w:val="20"/>
                <w:szCs w:val="20"/>
                <w:lang w:val="ro-MD"/>
              </w:rPr>
              <w:t>1 294 00</w:t>
            </w:r>
            <w:r w:rsidR="00E140DD">
              <w:rPr>
                <w:rFonts w:asciiTheme="majorHAnsi" w:eastAsia="Times New Roman" w:hAnsiTheme="majorHAnsi" w:cstheme="majorHAnsi"/>
                <w:color w:val="000000" w:themeColor="text1"/>
                <w:sz w:val="20"/>
                <w:szCs w:val="20"/>
                <w:lang w:val="ro-MD"/>
              </w:rPr>
              <w:t>0</w:t>
            </w:r>
          </w:p>
        </w:tc>
        <w:tc>
          <w:tcPr>
            <w:tcW w:w="380" w:type="dxa"/>
            <w:shd w:val="clear" w:color="auto" w:fill="auto"/>
          </w:tcPr>
          <w:p w14:paraId="0D9BFD6C" w14:textId="77777777" w:rsidR="0073075C" w:rsidRPr="00E33BAB" w:rsidRDefault="0073075C" w:rsidP="00F9051A">
            <w:pPr>
              <w:jc w:val="both"/>
              <w:rPr>
                <w:rFonts w:asciiTheme="majorHAnsi" w:eastAsia="Times New Roman" w:hAnsiTheme="majorHAnsi" w:cstheme="majorHAnsi"/>
                <w:b/>
                <w:color w:val="000000" w:themeColor="text1"/>
                <w:sz w:val="18"/>
                <w:szCs w:val="20"/>
                <w:lang w:val="ro-MD"/>
              </w:rPr>
            </w:pPr>
          </w:p>
        </w:tc>
        <w:tc>
          <w:tcPr>
            <w:tcW w:w="302" w:type="dxa"/>
            <w:shd w:val="clear" w:color="auto" w:fill="auto"/>
          </w:tcPr>
          <w:p w14:paraId="3455C20C" w14:textId="77777777" w:rsidR="0073075C" w:rsidRPr="00E33BAB" w:rsidRDefault="0073075C" w:rsidP="00F9051A">
            <w:pPr>
              <w:jc w:val="both"/>
              <w:rPr>
                <w:rFonts w:asciiTheme="majorHAnsi" w:eastAsia="Times New Roman" w:hAnsiTheme="majorHAnsi" w:cstheme="majorHAnsi"/>
                <w:b/>
                <w:color w:val="000000" w:themeColor="text1"/>
                <w:sz w:val="18"/>
                <w:szCs w:val="20"/>
                <w:lang w:val="ro-MD"/>
              </w:rPr>
            </w:pPr>
          </w:p>
        </w:tc>
        <w:tc>
          <w:tcPr>
            <w:tcW w:w="360" w:type="dxa"/>
            <w:shd w:val="clear" w:color="auto" w:fill="auto"/>
          </w:tcPr>
          <w:p w14:paraId="59020779" w14:textId="1041CA05" w:rsidR="0073075C" w:rsidRPr="00E33BAB" w:rsidRDefault="00413D0E" w:rsidP="00F9051A">
            <w:pPr>
              <w:jc w:val="center"/>
              <w:rPr>
                <w:rFonts w:asciiTheme="majorHAnsi" w:eastAsia="Times New Roman" w:hAnsiTheme="majorHAnsi" w:cstheme="majorHAnsi"/>
                <w:b/>
                <w:color w:val="000000" w:themeColor="text1"/>
                <w:sz w:val="18"/>
                <w:szCs w:val="20"/>
                <w:lang w:val="ro-MD"/>
              </w:rPr>
            </w:pPr>
            <w:r w:rsidRPr="00E33BAB">
              <w:rPr>
                <w:rFonts w:asciiTheme="majorHAnsi" w:eastAsia="Times New Roman" w:hAnsiTheme="majorHAnsi" w:cstheme="majorHAnsi"/>
                <w:b/>
                <w:color w:val="000000" w:themeColor="text1"/>
                <w:sz w:val="18"/>
                <w:szCs w:val="20"/>
                <w:lang w:val="ro-MD"/>
              </w:rPr>
              <w:t>V</w:t>
            </w:r>
          </w:p>
        </w:tc>
        <w:tc>
          <w:tcPr>
            <w:tcW w:w="360" w:type="dxa"/>
            <w:shd w:val="clear" w:color="auto" w:fill="auto"/>
          </w:tcPr>
          <w:p w14:paraId="3DE580E1" w14:textId="77777777" w:rsidR="0073075C" w:rsidRPr="00E33BAB" w:rsidRDefault="0073075C" w:rsidP="00F9051A">
            <w:pPr>
              <w:jc w:val="center"/>
              <w:rPr>
                <w:rFonts w:asciiTheme="majorHAnsi" w:eastAsia="Times New Roman" w:hAnsiTheme="majorHAnsi" w:cstheme="majorHAnsi"/>
                <w:b/>
                <w:color w:val="000000" w:themeColor="text1"/>
                <w:sz w:val="18"/>
                <w:szCs w:val="20"/>
                <w:lang w:val="ro-MD"/>
              </w:rPr>
            </w:pPr>
          </w:p>
        </w:tc>
        <w:tc>
          <w:tcPr>
            <w:tcW w:w="360" w:type="dxa"/>
            <w:shd w:val="clear" w:color="auto" w:fill="auto"/>
          </w:tcPr>
          <w:p w14:paraId="288DFC00" w14:textId="788E37C8" w:rsidR="0073075C" w:rsidRPr="00E33BAB" w:rsidRDefault="00413D0E" w:rsidP="00F9051A">
            <w:pPr>
              <w:jc w:val="center"/>
              <w:rPr>
                <w:rFonts w:asciiTheme="majorHAnsi" w:eastAsia="Times New Roman" w:hAnsiTheme="majorHAnsi" w:cstheme="majorHAnsi"/>
                <w:b/>
                <w:color w:val="000000" w:themeColor="text1"/>
                <w:sz w:val="18"/>
                <w:szCs w:val="20"/>
                <w:lang w:val="ro-MD"/>
              </w:rPr>
            </w:pPr>
            <w:r w:rsidRPr="00E33BAB">
              <w:rPr>
                <w:rFonts w:asciiTheme="majorHAnsi" w:eastAsia="Times New Roman" w:hAnsiTheme="majorHAnsi" w:cstheme="majorHAnsi"/>
                <w:b/>
                <w:color w:val="000000" w:themeColor="text1"/>
                <w:sz w:val="18"/>
                <w:szCs w:val="20"/>
                <w:lang w:val="ro-MD"/>
              </w:rPr>
              <w:t>V</w:t>
            </w:r>
          </w:p>
        </w:tc>
        <w:tc>
          <w:tcPr>
            <w:tcW w:w="364" w:type="dxa"/>
            <w:shd w:val="clear" w:color="auto" w:fill="auto"/>
          </w:tcPr>
          <w:p w14:paraId="6A0951AE" w14:textId="77777777" w:rsidR="0073075C" w:rsidRPr="00E33BAB" w:rsidRDefault="0073075C" w:rsidP="00F9051A">
            <w:pPr>
              <w:jc w:val="both"/>
              <w:rPr>
                <w:rFonts w:asciiTheme="majorHAnsi" w:eastAsia="Times New Roman" w:hAnsiTheme="majorHAnsi" w:cstheme="majorHAnsi"/>
                <w:color w:val="000000" w:themeColor="text1"/>
                <w:sz w:val="20"/>
                <w:szCs w:val="20"/>
                <w:lang w:val="ro-MD"/>
              </w:rPr>
            </w:pPr>
          </w:p>
        </w:tc>
        <w:tc>
          <w:tcPr>
            <w:tcW w:w="2156" w:type="dxa"/>
            <w:shd w:val="clear" w:color="auto" w:fill="auto"/>
          </w:tcPr>
          <w:p w14:paraId="64F5A1B6" w14:textId="1DD5B2B5" w:rsidR="0073075C" w:rsidRPr="00E33BAB" w:rsidRDefault="0073075C" w:rsidP="00F9051A">
            <w:pPr>
              <w:jc w:val="both"/>
              <w:rPr>
                <w:rFonts w:asciiTheme="majorHAnsi" w:eastAsia="Times New Roman" w:hAnsiTheme="majorHAnsi" w:cstheme="majorHAnsi"/>
                <w:color w:val="000000" w:themeColor="text1"/>
                <w:sz w:val="20"/>
                <w:szCs w:val="20"/>
                <w:lang w:val="ro-MD"/>
              </w:rPr>
            </w:pPr>
            <w:r w:rsidRPr="00E33BAB">
              <w:rPr>
                <w:rFonts w:asciiTheme="majorHAnsi" w:eastAsia="Times New Roman" w:hAnsiTheme="majorHAnsi" w:cstheme="majorHAnsi"/>
                <w:color w:val="000000" w:themeColor="text1"/>
                <w:sz w:val="20"/>
                <w:szCs w:val="20"/>
                <w:lang w:val="ro-MD"/>
              </w:rPr>
              <w:t>A fost debursat</w:t>
            </w:r>
          </w:p>
        </w:tc>
      </w:tr>
      <w:tr w:rsidR="0073075C" w:rsidRPr="00E33BAB" w14:paraId="57BF0DC9" w14:textId="3E49B95B" w:rsidTr="00BD7925">
        <w:tc>
          <w:tcPr>
            <w:tcW w:w="4495" w:type="dxa"/>
            <w:tcBorders>
              <w:top w:val="single" w:sz="6" w:space="0" w:color="000000"/>
              <w:left w:val="single" w:sz="6" w:space="0" w:color="000000"/>
              <w:bottom w:val="single" w:sz="6" w:space="0" w:color="000000"/>
              <w:right w:val="single" w:sz="6" w:space="0" w:color="000000"/>
            </w:tcBorders>
            <w:shd w:val="clear" w:color="auto" w:fill="auto"/>
          </w:tcPr>
          <w:p w14:paraId="55D0F918" w14:textId="7409A248" w:rsidR="0073075C" w:rsidRPr="00E33BAB" w:rsidRDefault="00E4401F" w:rsidP="00F9051A">
            <w:pPr>
              <w:tabs>
                <w:tab w:val="left" w:pos="1080"/>
              </w:tabs>
              <w:contextualSpacing/>
              <w:jc w:val="both"/>
              <w:rPr>
                <w:rFonts w:asciiTheme="majorHAnsi" w:hAnsiTheme="majorHAnsi" w:cstheme="majorHAnsi"/>
                <w:sz w:val="20"/>
                <w:szCs w:val="20"/>
                <w:lang w:val="ro-MD"/>
              </w:rPr>
            </w:pPr>
            <w:r w:rsidRPr="00E33BAB">
              <w:rPr>
                <w:rFonts w:asciiTheme="majorHAnsi" w:hAnsiTheme="majorHAnsi" w:cstheme="majorHAnsi"/>
                <w:sz w:val="20"/>
                <w:szCs w:val="20"/>
                <w:lang w:val="ro-MD"/>
              </w:rPr>
              <w:lastRenderedPageBreak/>
              <w:t xml:space="preserve">DLI 9: </w:t>
            </w:r>
            <w:r w:rsidR="0073075C" w:rsidRPr="00E33BAB">
              <w:rPr>
                <w:rFonts w:asciiTheme="majorHAnsi" w:hAnsiTheme="majorHAnsi" w:cstheme="majorHAnsi"/>
                <w:sz w:val="20"/>
                <w:szCs w:val="20"/>
                <w:lang w:val="ro-MD"/>
              </w:rPr>
              <w:t xml:space="preserve">Consolidarea spitalelor departamentale aflate </w:t>
            </w:r>
            <w:r w:rsidR="005368F4">
              <w:rPr>
                <w:rFonts w:asciiTheme="majorHAnsi" w:hAnsiTheme="majorHAnsi" w:cstheme="majorHAnsi"/>
                <w:sz w:val="20"/>
                <w:szCs w:val="20"/>
                <w:lang w:val="ro-MD"/>
              </w:rPr>
              <w:t>în</w:t>
            </w:r>
            <w:r w:rsidR="0073075C" w:rsidRPr="00E33BAB">
              <w:rPr>
                <w:rFonts w:asciiTheme="majorHAnsi" w:hAnsiTheme="majorHAnsi" w:cstheme="majorHAnsi"/>
                <w:sz w:val="20"/>
                <w:szCs w:val="20"/>
                <w:lang w:val="ro-MD"/>
              </w:rPr>
              <w:t xml:space="preserve"> administrarea MSMPS </w:t>
            </w:r>
          </w:p>
        </w:tc>
        <w:tc>
          <w:tcPr>
            <w:tcW w:w="1028" w:type="dxa"/>
            <w:shd w:val="clear" w:color="auto" w:fill="auto"/>
          </w:tcPr>
          <w:p w14:paraId="4CF0EA42" w14:textId="77777777" w:rsidR="0073075C" w:rsidRPr="00E33BAB" w:rsidRDefault="0073075C" w:rsidP="00F9051A">
            <w:pPr>
              <w:jc w:val="center"/>
              <w:rPr>
                <w:rFonts w:asciiTheme="majorHAnsi" w:eastAsia="Times New Roman" w:hAnsiTheme="majorHAnsi" w:cstheme="majorHAnsi"/>
                <w:color w:val="000000" w:themeColor="text1"/>
                <w:sz w:val="20"/>
                <w:szCs w:val="20"/>
                <w:lang w:val="ro-MD"/>
              </w:rPr>
            </w:pPr>
            <w:r w:rsidRPr="00E33BAB">
              <w:rPr>
                <w:rFonts w:asciiTheme="majorHAnsi" w:hAnsiTheme="majorHAnsi" w:cstheme="majorHAnsi"/>
                <w:color w:val="000000" w:themeColor="text1"/>
                <w:sz w:val="20"/>
                <w:szCs w:val="20"/>
                <w:lang w:val="ro-MD"/>
              </w:rPr>
              <w:t>404 050</w:t>
            </w:r>
          </w:p>
        </w:tc>
        <w:tc>
          <w:tcPr>
            <w:tcW w:w="380" w:type="dxa"/>
            <w:shd w:val="clear" w:color="auto" w:fill="auto"/>
          </w:tcPr>
          <w:p w14:paraId="5157BCF8" w14:textId="77777777" w:rsidR="0073075C" w:rsidRPr="00E33BAB" w:rsidRDefault="0073075C" w:rsidP="00F9051A">
            <w:pPr>
              <w:jc w:val="both"/>
              <w:rPr>
                <w:rFonts w:asciiTheme="majorHAnsi" w:eastAsia="Times New Roman" w:hAnsiTheme="majorHAnsi" w:cstheme="majorHAnsi"/>
                <w:b/>
                <w:color w:val="000000" w:themeColor="text1"/>
                <w:sz w:val="18"/>
                <w:szCs w:val="20"/>
                <w:lang w:val="ro-MD"/>
              </w:rPr>
            </w:pPr>
          </w:p>
        </w:tc>
        <w:tc>
          <w:tcPr>
            <w:tcW w:w="302" w:type="dxa"/>
            <w:shd w:val="clear" w:color="auto" w:fill="auto"/>
          </w:tcPr>
          <w:p w14:paraId="2DF94B83" w14:textId="10360F95" w:rsidR="0073075C" w:rsidRPr="00E33BAB" w:rsidRDefault="00413D0E" w:rsidP="00F9051A">
            <w:pPr>
              <w:jc w:val="center"/>
              <w:rPr>
                <w:rFonts w:asciiTheme="majorHAnsi" w:eastAsia="Times New Roman" w:hAnsiTheme="majorHAnsi" w:cstheme="majorHAnsi"/>
                <w:b/>
                <w:color w:val="000000" w:themeColor="text1"/>
                <w:sz w:val="18"/>
                <w:szCs w:val="20"/>
                <w:lang w:val="ro-MD"/>
              </w:rPr>
            </w:pPr>
            <w:r w:rsidRPr="00E33BAB">
              <w:rPr>
                <w:rFonts w:asciiTheme="majorHAnsi" w:eastAsia="Times New Roman" w:hAnsiTheme="majorHAnsi" w:cstheme="majorHAnsi"/>
                <w:b/>
                <w:color w:val="000000" w:themeColor="text1"/>
                <w:sz w:val="18"/>
                <w:szCs w:val="20"/>
                <w:lang w:val="ro-MD"/>
              </w:rPr>
              <w:t>V</w:t>
            </w:r>
          </w:p>
        </w:tc>
        <w:tc>
          <w:tcPr>
            <w:tcW w:w="360" w:type="dxa"/>
            <w:shd w:val="clear" w:color="auto" w:fill="auto"/>
          </w:tcPr>
          <w:p w14:paraId="4FD2BD20" w14:textId="77777777" w:rsidR="0073075C" w:rsidRPr="00E33BAB" w:rsidRDefault="0073075C" w:rsidP="00F9051A">
            <w:pPr>
              <w:jc w:val="both"/>
              <w:rPr>
                <w:rFonts w:asciiTheme="majorHAnsi" w:eastAsia="Times New Roman" w:hAnsiTheme="majorHAnsi" w:cstheme="majorHAnsi"/>
                <w:b/>
                <w:color w:val="000000" w:themeColor="text1"/>
                <w:sz w:val="18"/>
                <w:szCs w:val="20"/>
                <w:lang w:val="ro-MD"/>
              </w:rPr>
            </w:pPr>
          </w:p>
        </w:tc>
        <w:tc>
          <w:tcPr>
            <w:tcW w:w="360" w:type="dxa"/>
            <w:shd w:val="clear" w:color="auto" w:fill="auto"/>
          </w:tcPr>
          <w:p w14:paraId="62AE5AFA" w14:textId="77777777" w:rsidR="0073075C" w:rsidRPr="00E33BAB" w:rsidRDefault="0073075C" w:rsidP="00F9051A">
            <w:pPr>
              <w:jc w:val="both"/>
              <w:rPr>
                <w:rFonts w:asciiTheme="majorHAnsi" w:eastAsia="Times New Roman" w:hAnsiTheme="majorHAnsi" w:cstheme="majorHAnsi"/>
                <w:b/>
                <w:color w:val="000000" w:themeColor="text1"/>
                <w:sz w:val="18"/>
                <w:szCs w:val="20"/>
                <w:lang w:val="ro-MD"/>
              </w:rPr>
            </w:pPr>
          </w:p>
        </w:tc>
        <w:tc>
          <w:tcPr>
            <w:tcW w:w="360" w:type="dxa"/>
            <w:shd w:val="clear" w:color="auto" w:fill="auto"/>
          </w:tcPr>
          <w:p w14:paraId="55E5074E" w14:textId="77777777" w:rsidR="0073075C" w:rsidRPr="00E33BAB" w:rsidRDefault="0073075C" w:rsidP="00F9051A">
            <w:pPr>
              <w:jc w:val="both"/>
              <w:rPr>
                <w:rFonts w:asciiTheme="majorHAnsi" w:eastAsia="Times New Roman" w:hAnsiTheme="majorHAnsi" w:cstheme="majorHAnsi"/>
                <w:b/>
                <w:color w:val="000000" w:themeColor="text1"/>
                <w:sz w:val="18"/>
                <w:szCs w:val="20"/>
                <w:lang w:val="ro-MD"/>
              </w:rPr>
            </w:pPr>
          </w:p>
        </w:tc>
        <w:tc>
          <w:tcPr>
            <w:tcW w:w="364" w:type="dxa"/>
            <w:shd w:val="clear" w:color="auto" w:fill="auto"/>
          </w:tcPr>
          <w:p w14:paraId="4E56170C" w14:textId="77777777" w:rsidR="0073075C" w:rsidRPr="00E33BAB" w:rsidRDefault="0073075C" w:rsidP="00F9051A">
            <w:pPr>
              <w:jc w:val="both"/>
              <w:rPr>
                <w:rFonts w:asciiTheme="majorHAnsi" w:eastAsia="Times New Roman" w:hAnsiTheme="majorHAnsi" w:cstheme="majorHAnsi"/>
                <w:color w:val="000000" w:themeColor="text1"/>
                <w:sz w:val="20"/>
                <w:szCs w:val="20"/>
                <w:lang w:val="ro-MD"/>
              </w:rPr>
            </w:pPr>
          </w:p>
        </w:tc>
        <w:tc>
          <w:tcPr>
            <w:tcW w:w="2156" w:type="dxa"/>
            <w:shd w:val="clear" w:color="auto" w:fill="auto"/>
          </w:tcPr>
          <w:p w14:paraId="2D58A3AA" w14:textId="6174807E" w:rsidR="0073075C" w:rsidRPr="00E33BAB" w:rsidRDefault="0073075C" w:rsidP="00F9051A">
            <w:pPr>
              <w:jc w:val="both"/>
              <w:rPr>
                <w:rFonts w:asciiTheme="majorHAnsi" w:eastAsia="Times New Roman" w:hAnsiTheme="majorHAnsi" w:cstheme="majorHAnsi"/>
                <w:color w:val="000000" w:themeColor="text1"/>
                <w:sz w:val="20"/>
                <w:szCs w:val="20"/>
                <w:lang w:val="ro-MD"/>
              </w:rPr>
            </w:pPr>
            <w:r w:rsidRPr="00E33BAB">
              <w:rPr>
                <w:rFonts w:asciiTheme="majorHAnsi" w:eastAsia="Times New Roman" w:hAnsiTheme="majorHAnsi" w:cstheme="majorHAnsi"/>
                <w:color w:val="000000" w:themeColor="text1"/>
                <w:sz w:val="20"/>
                <w:szCs w:val="20"/>
                <w:lang w:val="ro-MD"/>
              </w:rPr>
              <w:t>A fost debursat în avans</w:t>
            </w:r>
          </w:p>
        </w:tc>
      </w:tr>
      <w:tr w:rsidR="0073075C" w:rsidRPr="00E33BAB" w14:paraId="3F3A29EC" w14:textId="3C8B6ECD" w:rsidTr="00BD7925">
        <w:tc>
          <w:tcPr>
            <w:tcW w:w="4495" w:type="dxa"/>
            <w:tcBorders>
              <w:top w:val="single" w:sz="6" w:space="0" w:color="000000"/>
              <w:left w:val="single" w:sz="6" w:space="0" w:color="000000"/>
              <w:bottom w:val="single" w:sz="6" w:space="0" w:color="000000"/>
              <w:right w:val="single" w:sz="6" w:space="0" w:color="000000"/>
            </w:tcBorders>
            <w:shd w:val="clear" w:color="auto" w:fill="auto"/>
          </w:tcPr>
          <w:p w14:paraId="5780BD79" w14:textId="77BBB27B" w:rsidR="0073075C" w:rsidRPr="00E33BAB" w:rsidRDefault="00E4401F" w:rsidP="00D5496A">
            <w:pPr>
              <w:tabs>
                <w:tab w:val="left" w:pos="1080"/>
              </w:tabs>
              <w:contextualSpacing/>
              <w:jc w:val="both"/>
              <w:rPr>
                <w:rFonts w:asciiTheme="majorHAnsi" w:eastAsia="Times New Roman" w:hAnsiTheme="majorHAnsi" w:cstheme="majorHAnsi"/>
                <w:b/>
                <w:color w:val="000000" w:themeColor="text1"/>
                <w:sz w:val="20"/>
                <w:szCs w:val="20"/>
                <w:lang w:val="ro-MD"/>
              </w:rPr>
            </w:pPr>
            <w:r w:rsidRPr="00E33BAB">
              <w:rPr>
                <w:rFonts w:asciiTheme="majorHAnsi" w:hAnsiTheme="majorHAnsi" w:cstheme="majorHAnsi"/>
                <w:sz w:val="20"/>
                <w:szCs w:val="20"/>
                <w:lang w:val="ro-MD"/>
              </w:rPr>
              <w:t xml:space="preserve">DLI 10: </w:t>
            </w:r>
            <w:r w:rsidR="0073075C" w:rsidRPr="00E33BAB">
              <w:rPr>
                <w:rFonts w:asciiTheme="majorHAnsi" w:hAnsiTheme="majorHAnsi" w:cstheme="majorHAnsi"/>
                <w:sz w:val="20"/>
                <w:szCs w:val="20"/>
                <w:lang w:val="ro-MD"/>
              </w:rPr>
              <w:t xml:space="preserve">Aprobarea Strategiei </w:t>
            </w:r>
            <w:r w:rsidR="008A0930">
              <w:rPr>
                <w:rFonts w:asciiTheme="majorHAnsi" w:hAnsiTheme="majorHAnsi" w:cstheme="majorHAnsi"/>
                <w:sz w:val="20"/>
                <w:szCs w:val="20"/>
                <w:lang w:val="ro-MD"/>
              </w:rPr>
              <w:t>N</w:t>
            </w:r>
            <w:r w:rsidR="0073075C" w:rsidRPr="00E33BAB">
              <w:rPr>
                <w:rFonts w:asciiTheme="majorHAnsi" w:hAnsiTheme="majorHAnsi" w:cstheme="majorHAnsi"/>
                <w:sz w:val="20"/>
                <w:szCs w:val="20"/>
                <w:lang w:val="ro-MD"/>
              </w:rPr>
              <w:t xml:space="preserve">aționale </w:t>
            </w:r>
            <w:r w:rsidR="008A0930" w:rsidRPr="00E33BAB">
              <w:rPr>
                <w:rFonts w:asciiTheme="majorHAnsi" w:hAnsiTheme="majorHAnsi" w:cstheme="majorHAnsi"/>
                <w:sz w:val="20"/>
                <w:szCs w:val="20"/>
                <w:lang w:val="ro-MD"/>
              </w:rPr>
              <w:t>revizuit</w:t>
            </w:r>
            <w:r w:rsidR="008A0930">
              <w:rPr>
                <w:rFonts w:asciiTheme="majorHAnsi" w:hAnsiTheme="majorHAnsi" w:cstheme="majorHAnsi"/>
                <w:sz w:val="20"/>
                <w:szCs w:val="20"/>
                <w:lang w:val="ro-MD"/>
              </w:rPr>
              <w:t xml:space="preserve">e </w:t>
            </w:r>
            <w:r w:rsidR="0073075C" w:rsidRPr="00E33BAB">
              <w:rPr>
                <w:rFonts w:asciiTheme="majorHAnsi" w:hAnsiTheme="majorHAnsi" w:cstheme="majorHAnsi"/>
                <w:sz w:val="20"/>
                <w:szCs w:val="20"/>
                <w:lang w:val="ro-MD"/>
              </w:rPr>
              <w:t xml:space="preserve">de </w:t>
            </w:r>
            <w:r w:rsidR="008A0930">
              <w:rPr>
                <w:rFonts w:asciiTheme="majorHAnsi" w:hAnsiTheme="majorHAnsi" w:cstheme="majorHAnsi"/>
                <w:sz w:val="20"/>
                <w:szCs w:val="20"/>
                <w:lang w:val="ro-MD"/>
              </w:rPr>
              <w:t>D</w:t>
            </w:r>
            <w:r w:rsidR="0073075C" w:rsidRPr="00E33BAB">
              <w:rPr>
                <w:rFonts w:asciiTheme="majorHAnsi" w:hAnsiTheme="majorHAnsi" w:cstheme="majorHAnsi"/>
                <w:sz w:val="20"/>
                <w:szCs w:val="20"/>
                <w:lang w:val="ro-MD"/>
              </w:rPr>
              <w:t xml:space="preserve">ezvoltare a </w:t>
            </w:r>
            <w:r w:rsidR="008A0930">
              <w:rPr>
                <w:rFonts w:asciiTheme="majorHAnsi" w:hAnsiTheme="majorHAnsi" w:cstheme="majorHAnsi"/>
                <w:sz w:val="20"/>
                <w:szCs w:val="20"/>
                <w:lang w:val="ro-MD"/>
              </w:rPr>
              <w:t>S</w:t>
            </w:r>
            <w:r w:rsidR="0073075C" w:rsidRPr="00E33BAB">
              <w:rPr>
                <w:rFonts w:asciiTheme="majorHAnsi" w:hAnsiTheme="majorHAnsi" w:cstheme="majorHAnsi"/>
                <w:sz w:val="20"/>
                <w:szCs w:val="20"/>
                <w:lang w:val="ro-MD"/>
              </w:rPr>
              <w:t xml:space="preserve">istemului de </w:t>
            </w:r>
            <w:r w:rsidR="008A0930">
              <w:rPr>
                <w:rFonts w:asciiTheme="majorHAnsi" w:hAnsiTheme="majorHAnsi" w:cstheme="majorHAnsi"/>
                <w:sz w:val="20"/>
                <w:szCs w:val="20"/>
                <w:lang w:val="ro-MD"/>
              </w:rPr>
              <w:t>S</w:t>
            </w:r>
            <w:r w:rsidR="0073075C" w:rsidRPr="00E33BAB">
              <w:rPr>
                <w:rFonts w:asciiTheme="majorHAnsi" w:hAnsiTheme="majorHAnsi" w:cstheme="majorHAnsi"/>
                <w:sz w:val="20"/>
                <w:szCs w:val="20"/>
                <w:lang w:val="ro-MD"/>
              </w:rPr>
              <w:t>ănătate</w:t>
            </w:r>
            <w:r w:rsidR="00402627">
              <w:rPr>
                <w:rFonts w:asciiTheme="majorHAnsi" w:hAnsiTheme="majorHAnsi" w:cstheme="majorHAnsi"/>
                <w:sz w:val="20"/>
                <w:szCs w:val="20"/>
                <w:lang w:val="ro-MD"/>
              </w:rPr>
              <w:t>,</w:t>
            </w:r>
            <w:r w:rsidR="0073075C" w:rsidRPr="00E33BAB">
              <w:rPr>
                <w:rFonts w:asciiTheme="majorHAnsi" w:hAnsiTheme="majorHAnsi" w:cstheme="majorHAnsi"/>
                <w:sz w:val="20"/>
                <w:szCs w:val="20"/>
                <w:lang w:val="ro-MD"/>
              </w:rPr>
              <w:t xml:space="preserve"> care include măsuri de raționalizare spitalicească  </w:t>
            </w:r>
          </w:p>
        </w:tc>
        <w:tc>
          <w:tcPr>
            <w:tcW w:w="1028" w:type="dxa"/>
            <w:shd w:val="clear" w:color="auto" w:fill="auto"/>
          </w:tcPr>
          <w:p w14:paraId="00F1A28D" w14:textId="77777777" w:rsidR="0073075C" w:rsidRPr="00E33BAB" w:rsidRDefault="0073075C" w:rsidP="00F9051A">
            <w:pPr>
              <w:tabs>
                <w:tab w:val="left" w:pos="1080"/>
              </w:tabs>
              <w:contextualSpacing/>
              <w:jc w:val="center"/>
              <w:rPr>
                <w:rFonts w:asciiTheme="majorHAnsi" w:hAnsiTheme="majorHAnsi" w:cstheme="majorHAnsi"/>
                <w:color w:val="000000" w:themeColor="text1"/>
                <w:sz w:val="20"/>
                <w:szCs w:val="20"/>
                <w:lang w:val="ro-MD"/>
              </w:rPr>
            </w:pPr>
            <w:r w:rsidRPr="00E33BAB">
              <w:rPr>
                <w:rFonts w:asciiTheme="majorHAnsi" w:hAnsiTheme="majorHAnsi" w:cstheme="majorHAnsi"/>
                <w:color w:val="000000" w:themeColor="text1"/>
                <w:sz w:val="20"/>
                <w:szCs w:val="20"/>
                <w:lang w:val="ro-MD"/>
              </w:rPr>
              <w:t>678 000</w:t>
            </w:r>
          </w:p>
        </w:tc>
        <w:tc>
          <w:tcPr>
            <w:tcW w:w="380" w:type="dxa"/>
            <w:shd w:val="clear" w:color="auto" w:fill="auto"/>
          </w:tcPr>
          <w:p w14:paraId="50F5BBA9" w14:textId="50D13B61" w:rsidR="0073075C" w:rsidRPr="00E33BAB" w:rsidRDefault="00413D0E" w:rsidP="00F9051A">
            <w:pPr>
              <w:jc w:val="center"/>
              <w:rPr>
                <w:rFonts w:asciiTheme="majorHAnsi" w:eastAsia="Times New Roman" w:hAnsiTheme="majorHAnsi" w:cstheme="majorHAnsi"/>
                <w:b/>
                <w:color w:val="000000" w:themeColor="text1"/>
                <w:sz w:val="18"/>
                <w:szCs w:val="20"/>
                <w:lang w:val="ro-MD"/>
              </w:rPr>
            </w:pPr>
            <w:r w:rsidRPr="00E33BAB">
              <w:rPr>
                <w:rFonts w:asciiTheme="majorHAnsi" w:eastAsia="Times New Roman" w:hAnsiTheme="majorHAnsi" w:cstheme="majorHAnsi"/>
                <w:b/>
                <w:color w:val="000000" w:themeColor="text1"/>
                <w:sz w:val="18"/>
                <w:szCs w:val="20"/>
                <w:lang w:val="ro-MD"/>
              </w:rPr>
              <w:t>V</w:t>
            </w:r>
          </w:p>
        </w:tc>
        <w:tc>
          <w:tcPr>
            <w:tcW w:w="302" w:type="dxa"/>
            <w:shd w:val="clear" w:color="auto" w:fill="auto"/>
          </w:tcPr>
          <w:p w14:paraId="7E2D2453" w14:textId="77777777" w:rsidR="0073075C" w:rsidRPr="00E33BAB" w:rsidRDefault="0073075C" w:rsidP="00F9051A">
            <w:pPr>
              <w:jc w:val="both"/>
              <w:rPr>
                <w:rFonts w:asciiTheme="majorHAnsi" w:eastAsia="Times New Roman" w:hAnsiTheme="majorHAnsi" w:cstheme="majorHAnsi"/>
                <w:b/>
                <w:color w:val="000000" w:themeColor="text1"/>
                <w:sz w:val="18"/>
                <w:szCs w:val="20"/>
                <w:lang w:val="ro-MD"/>
              </w:rPr>
            </w:pPr>
          </w:p>
        </w:tc>
        <w:tc>
          <w:tcPr>
            <w:tcW w:w="360" w:type="dxa"/>
            <w:shd w:val="clear" w:color="auto" w:fill="auto"/>
          </w:tcPr>
          <w:p w14:paraId="24D778F8" w14:textId="77777777" w:rsidR="0073075C" w:rsidRPr="00E33BAB" w:rsidRDefault="0073075C" w:rsidP="00F9051A">
            <w:pPr>
              <w:jc w:val="both"/>
              <w:rPr>
                <w:rFonts w:asciiTheme="majorHAnsi" w:eastAsia="Times New Roman" w:hAnsiTheme="majorHAnsi" w:cstheme="majorHAnsi"/>
                <w:b/>
                <w:color w:val="000000" w:themeColor="text1"/>
                <w:sz w:val="18"/>
                <w:szCs w:val="20"/>
                <w:lang w:val="ro-MD"/>
              </w:rPr>
            </w:pPr>
          </w:p>
        </w:tc>
        <w:tc>
          <w:tcPr>
            <w:tcW w:w="360" w:type="dxa"/>
            <w:shd w:val="clear" w:color="auto" w:fill="auto"/>
          </w:tcPr>
          <w:p w14:paraId="79487C76" w14:textId="77777777" w:rsidR="0073075C" w:rsidRPr="00E33BAB" w:rsidRDefault="0073075C" w:rsidP="00F9051A">
            <w:pPr>
              <w:jc w:val="both"/>
              <w:rPr>
                <w:rFonts w:asciiTheme="majorHAnsi" w:eastAsia="Times New Roman" w:hAnsiTheme="majorHAnsi" w:cstheme="majorHAnsi"/>
                <w:b/>
                <w:color w:val="000000" w:themeColor="text1"/>
                <w:sz w:val="18"/>
                <w:szCs w:val="20"/>
                <w:lang w:val="ro-MD"/>
              </w:rPr>
            </w:pPr>
          </w:p>
        </w:tc>
        <w:tc>
          <w:tcPr>
            <w:tcW w:w="360" w:type="dxa"/>
            <w:shd w:val="clear" w:color="auto" w:fill="auto"/>
          </w:tcPr>
          <w:p w14:paraId="6CDBA7CF" w14:textId="77777777" w:rsidR="0073075C" w:rsidRPr="00E33BAB" w:rsidRDefault="0073075C" w:rsidP="00F9051A">
            <w:pPr>
              <w:jc w:val="both"/>
              <w:rPr>
                <w:rFonts w:asciiTheme="majorHAnsi" w:eastAsia="Times New Roman" w:hAnsiTheme="majorHAnsi" w:cstheme="majorHAnsi"/>
                <w:b/>
                <w:color w:val="000000" w:themeColor="text1"/>
                <w:sz w:val="18"/>
                <w:szCs w:val="20"/>
                <w:lang w:val="ro-MD"/>
              </w:rPr>
            </w:pPr>
          </w:p>
        </w:tc>
        <w:tc>
          <w:tcPr>
            <w:tcW w:w="364" w:type="dxa"/>
            <w:shd w:val="clear" w:color="auto" w:fill="auto"/>
          </w:tcPr>
          <w:p w14:paraId="41C1B499" w14:textId="77777777" w:rsidR="0073075C" w:rsidRPr="00E33BAB" w:rsidRDefault="0073075C" w:rsidP="00F9051A">
            <w:pPr>
              <w:jc w:val="both"/>
              <w:rPr>
                <w:rFonts w:asciiTheme="majorHAnsi" w:eastAsia="Times New Roman" w:hAnsiTheme="majorHAnsi" w:cstheme="majorHAnsi"/>
                <w:color w:val="000000" w:themeColor="text1"/>
                <w:sz w:val="20"/>
                <w:szCs w:val="20"/>
                <w:lang w:val="ro-MD"/>
              </w:rPr>
            </w:pPr>
          </w:p>
        </w:tc>
        <w:tc>
          <w:tcPr>
            <w:tcW w:w="2156" w:type="dxa"/>
            <w:shd w:val="clear" w:color="auto" w:fill="auto"/>
          </w:tcPr>
          <w:p w14:paraId="4C26713C" w14:textId="0B375207" w:rsidR="0073075C" w:rsidRPr="00E33BAB" w:rsidRDefault="0073075C" w:rsidP="00F9051A">
            <w:pPr>
              <w:jc w:val="both"/>
              <w:rPr>
                <w:rFonts w:asciiTheme="majorHAnsi" w:eastAsia="Times New Roman" w:hAnsiTheme="majorHAnsi" w:cstheme="majorHAnsi"/>
                <w:color w:val="000000" w:themeColor="text1"/>
                <w:sz w:val="20"/>
                <w:szCs w:val="20"/>
                <w:lang w:val="ro-MD"/>
              </w:rPr>
            </w:pPr>
            <w:r w:rsidRPr="00E33BAB">
              <w:rPr>
                <w:rFonts w:asciiTheme="majorHAnsi" w:eastAsia="Times New Roman" w:hAnsiTheme="majorHAnsi" w:cstheme="majorHAnsi"/>
                <w:color w:val="000000" w:themeColor="text1"/>
                <w:sz w:val="20"/>
                <w:szCs w:val="20"/>
                <w:lang w:val="ro-MD"/>
              </w:rPr>
              <w:t>A fost debursat</w:t>
            </w:r>
          </w:p>
        </w:tc>
      </w:tr>
      <w:tr w:rsidR="0073075C" w:rsidRPr="00E33BAB" w14:paraId="5A7DBA02" w14:textId="77777777" w:rsidTr="00BD7925">
        <w:tc>
          <w:tcPr>
            <w:tcW w:w="4495" w:type="dxa"/>
            <w:tcBorders>
              <w:top w:val="single" w:sz="6" w:space="0" w:color="000000"/>
              <w:left w:val="single" w:sz="6" w:space="0" w:color="000000"/>
              <w:bottom w:val="single" w:sz="6" w:space="0" w:color="000000"/>
              <w:right w:val="single" w:sz="6" w:space="0" w:color="000000"/>
            </w:tcBorders>
            <w:shd w:val="clear" w:color="auto" w:fill="auto"/>
          </w:tcPr>
          <w:p w14:paraId="61E64A28" w14:textId="543B61B3" w:rsidR="0073075C" w:rsidRPr="00E33BAB" w:rsidRDefault="00E4401F" w:rsidP="00F9051A">
            <w:pPr>
              <w:tabs>
                <w:tab w:val="left" w:pos="1080"/>
              </w:tabs>
              <w:contextualSpacing/>
              <w:jc w:val="both"/>
              <w:rPr>
                <w:rFonts w:asciiTheme="majorHAnsi" w:hAnsiTheme="majorHAnsi" w:cstheme="majorHAnsi"/>
                <w:sz w:val="20"/>
                <w:szCs w:val="20"/>
                <w:lang w:val="ro-MD"/>
              </w:rPr>
            </w:pPr>
            <w:r w:rsidRPr="00E33BAB">
              <w:rPr>
                <w:rFonts w:asciiTheme="majorHAnsi" w:hAnsiTheme="majorHAnsi" w:cstheme="majorHAnsi"/>
                <w:sz w:val="20"/>
                <w:szCs w:val="20"/>
                <w:lang w:val="ro-MD"/>
              </w:rPr>
              <w:t xml:space="preserve">DLI 11: </w:t>
            </w:r>
            <w:r w:rsidR="0073075C" w:rsidRPr="00E33BAB">
              <w:rPr>
                <w:rFonts w:asciiTheme="majorHAnsi" w:hAnsiTheme="majorHAnsi" w:cstheme="majorHAnsi"/>
                <w:sz w:val="20"/>
                <w:szCs w:val="20"/>
                <w:lang w:val="ro-MD"/>
              </w:rPr>
              <w:t xml:space="preserve">Integrarea lecțiilor învățate în campaniile de comunicare privind schimbarea comportamentului populației și evaluarea gradului de pregătire pentru vaccin </w:t>
            </w:r>
          </w:p>
        </w:tc>
        <w:tc>
          <w:tcPr>
            <w:tcW w:w="1028" w:type="dxa"/>
            <w:shd w:val="clear" w:color="auto" w:fill="auto"/>
          </w:tcPr>
          <w:p w14:paraId="5AB7CDB3" w14:textId="5D46B4A0" w:rsidR="0073075C" w:rsidRPr="00E33BAB" w:rsidRDefault="00CA6A00" w:rsidP="00F9051A">
            <w:pPr>
              <w:tabs>
                <w:tab w:val="left" w:pos="1080"/>
              </w:tabs>
              <w:contextualSpacing/>
              <w:jc w:val="center"/>
              <w:rPr>
                <w:rFonts w:asciiTheme="majorHAnsi" w:hAnsiTheme="majorHAnsi" w:cstheme="majorHAnsi"/>
                <w:color w:val="000000" w:themeColor="text1"/>
                <w:sz w:val="20"/>
                <w:szCs w:val="20"/>
                <w:lang w:val="ro-MD"/>
              </w:rPr>
            </w:pPr>
            <w:r w:rsidRPr="00E33BAB">
              <w:rPr>
                <w:rFonts w:asciiTheme="majorHAnsi" w:hAnsiTheme="majorHAnsi" w:cstheme="majorHAnsi"/>
                <w:color w:val="000000" w:themeColor="text1"/>
                <w:sz w:val="20"/>
                <w:szCs w:val="20"/>
                <w:lang w:val="ro-MD"/>
              </w:rPr>
              <w:t>3297000</w:t>
            </w:r>
          </w:p>
        </w:tc>
        <w:tc>
          <w:tcPr>
            <w:tcW w:w="380" w:type="dxa"/>
            <w:shd w:val="clear" w:color="auto" w:fill="auto"/>
          </w:tcPr>
          <w:p w14:paraId="585B3ED1" w14:textId="77777777" w:rsidR="0073075C" w:rsidRPr="00E33BAB" w:rsidRDefault="0073075C" w:rsidP="00F9051A">
            <w:pPr>
              <w:jc w:val="center"/>
              <w:rPr>
                <w:rFonts w:asciiTheme="majorHAnsi" w:eastAsia="Times New Roman" w:hAnsiTheme="majorHAnsi" w:cstheme="majorHAnsi"/>
                <w:color w:val="000000" w:themeColor="text1"/>
                <w:sz w:val="20"/>
                <w:szCs w:val="20"/>
                <w:lang w:val="ro-MD"/>
              </w:rPr>
            </w:pPr>
          </w:p>
        </w:tc>
        <w:tc>
          <w:tcPr>
            <w:tcW w:w="302" w:type="dxa"/>
            <w:shd w:val="clear" w:color="auto" w:fill="auto"/>
          </w:tcPr>
          <w:p w14:paraId="3F85BC41" w14:textId="77777777" w:rsidR="0073075C" w:rsidRPr="00E33BAB" w:rsidRDefault="0073075C" w:rsidP="00F9051A">
            <w:pPr>
              <w:jc w:val="both"/>
              <w:rPr>
                <w:rFonts w:asciiTheme="majorHAnsi" w:eastAsia="Times New Roman" w:hAnsiTheme="majorHAnsi" w:cstheme="majorHAnsi"/>
                <w:color w:val="000000" w:themeColor="text1"/>
                <w:sz w:val="20"/>
                <w:szCs w:val="20"/>
                <w:lang w:val="ro-MD"/>
              </w:rPr>
            </w:pPr>
          </w:p>
        </w:tc>
        <w:tc>
          <w:tcPr>
            <w:tcW w:w="360" w:type="dxa"/>
            <w:shd w:val="clear" w:color="auto" w:fill="auto"/>
          </w:tcPr>
          <w:p w14:paraId="0893EBC6" w14:textId="77777777" w:rsidR="0073075C" w:rsidRPr="00E33BAB" w:rsidRDefault="0073075C" w:rsidP="00F9051A">
            <w:pPr>
              <w:jc w:val="both"/>
              <w:rPr>
                <w:rFonts w:asciiTheme="majorHAnsi" w:eastAsia="Times New Roman" w:hAnsiTheme="majorHAnsi" w:cstheme="majorHAnsi"/>
                <w:color w:val="000000" w:themeColor="text1"/>
                <w:sz w:val="20"/>
                <w:szCs w:val="20"/>
                <w:lang w:val="ro-MD"/>
              </w:rPr>
            </w:pPr>
          </w:p>
        </w:tc>
        <w:tc>
          <w:tcPr>
            <w:tcW w:w="360" w:type="dxa"/>
            <w:shd w:val="clear" w:color="auto" w:fill="auto"/>
          </w:tcPr>
          <w:p w14:paraId="2DC8BC75" w14:textId="77777777" w:rsidR="0073075C" w:rsidRPr="00E33BAB" w:rsidRDefault="0073075C" w:rsidP="00F9051A">
            <w:pPr>
              <w:jc w:val="both"/>
              <w:rPr>
                <w:rFonts w:asciiTheme="majorHAnsi" w:eastAsia="Times New Roman" w:hAnsiTheme="majorHAnsi" w:cstheme="majorHAnsi"/>
                <w:color w:val="000000" w:themeColor="text1"/>
                <w:sz w:val="20"/>
                <w:szCs w:val="20"/>
                <w:lang w:val="ro-MD"/>
              </w:rPr>
            </w:pPr>
          </w:p>
        </w:tc>
        <w:tc>
          <w:tcPr>
            <w:tcW w:w="360" w:type="dxa"/>
            <w:shd w:val="clear" w:color="auto" w:fill="auto"/>
          </w:tcPr>
          <w:p w14:paraId="08F2B0D2" w14:textId="77777777" w:rsidR="0073075C" w:rsidRPr="00E33BAB" w:rsidRDefault="0073075C" w:rsidP="00F9051A">
            <w:pPr>
              <w:jc w:val="both"/>
              <w:rPr>
                <w:rFonts w:asciiTheme="majorHAnsi" w:eastAsia="Times New Roman" w:hAnsiTheme="majorHAnsi" w:cstheme="majorHAnsi"/>
                <w:color w:val="000000" w:themeColor="text1"/>
                <w:sz w:val="20"/>
                <w:szCs w:val="20"/>
                <w:lang w:val="ro-MD"/>
              </w:rPr>
            </w:pPr>
          </w:p>
        </w:tc>
        <w:tc>
          <w:tcPr>
            <w:tcW w:w="364" w:type="dxa"/>
            <w:shd w:val="clear" w:color="auto" w:fill="auto"/>
          </w:tcPr>
          <w:p w14:paraId="6176135F" w14:textId="77777777" w:rsidR="0073075C" w:rsidRPr="00E33BAB" w:rsidRDefault="0073075C" w:rsidP="00F9051A">
            <w:pPr>
              <w:jc w:val="both"/>
              <w:rPr>
                <w:rFonts w:asciiTheme="majorHAnsi" w:eastAsia="Times New Roman" w:hAnsiTheme="majorHAnsi" w:cstheme="majorHAnsi"/>
                <w:color w:val="000000" w:themeColor="text1"/>
                <w:sz w:val="20"/>
                <w:szCs w:val="20"/>
                <w:lang w:val="ro-MD"/>
              </w:rPr>
            </w:pPr>
          </w:p>
        </w:tc>
        <w:tc>
          <w:tcPr>
            <w:tcW w:w="2156" w:type="dxa"/>
            <w:shd w:val="clear" w:color="auto" w:fill="auto"/>
          </w:tcPr>
          <w:p w14:paraId="09D20E5D" w14:textId="76BB1643" w:rsidR="0073075C" w:rsidRPr="00E33BAB" w:rsidRDefault="0073075C" w:rsidP="00F9051A">
            <w:pPr>
              <w:jc w:val="both"/>
              <w:rPr>
                <w:rFonts w:asciiTheme="majorHAnsi" w:eastAsia="Times New Roman" w:hAnsiTheme="majorHAnsi" w:cstheme="majorHAnsi"/>
                <w:color w:val="000000" w:themeColor="text1"/>
                <w:sz w:val="20"/>
                <w:szCs w:val="20"/>
                <w:lang w:val="ro-MD"/>
              </w:rPr>
            </w:pPr>
            <w:r w:rsidRPr="00E33BAB">
              <w:rPr>
                <w:rFonts w:asciiTheme="majorHAnsi" w:eastAsia="Times New Roman" w:hAnsiTheme="majorHAnsi" w:cstheme="majorHAnsi"/>
                <w:color w:val="000000" w:themeColor="text1"/>
                <w:sz w:val="20"/>
                <w:szCs w:val="20"/>
                <w:lang w:val="ro-MD"/>
              </w:rPr>
              <w:t>Introdus în anul 2020, urmare</w:t>
            </w:r>
            <w:r w:rsidR="00AF1159">
              <w:rPr>
                <w:rFonts w:asciiTheme="majorHAnsi" w:eastAsia="Times New Roman" w:hAnsiTheme="majorHAnsi" w:cstheme="majorHAnsi"/>
                <w:color w:val="000000" w:themeColor="text1"/>
                <w:sz w:val="20"/>
                <w:szCs w:val="20"/>
                <w:lang w:val="ro-MD"/>
              </w:rPr>
              <w:t xml:space="preserve"> </w:t>
            </w:r>
            <w:r w:rsidRPr="00E33BAB">
              <w:rPr>
                <w:rFonts w:asciiTheme="majorHAnsi" w:eastAsia="Times New Roman" w:hAnsiTheme="majorHAnsi" w:cstheme="majorHAnsi"/>
                <w:color w:val="000000" w:themeColor="text1"/>
                <w:sz w:val="20"/>
                <w:szCs w:val="20"/>
                <w:lang w:val="ro-MD"/>
              </w:rPr>
              <w:t>situației pandemice</w:t>
            </w:r>
          </w:p>
        </w:tc>
      </w:tr>
    </w:tbl>
    <w:p w14:paraId="3567227E" w14:textId="1CD73402" w:rsidR="00330B0C" w:rsidRPr="00E33BAB" w:rsidRDefault="00330B0C" w:rsidP="00330B0C">
      <w:pPr>
        <w:spacing w:after="0"/>
        <w:jc w:val="both"/>
        <w:rPr>
          <w:rFonts w:asciiTheme="majorHAnsi" w:hAnsiTheme="majorHAnsi" w:cstheme="majorHAnsi"/>
          <w:b/>
          <w:i/>
          <w:sz w:val="16"/>
          <w:szCs w:val="16"/>
          <w:lang w:val="ro-MD"/>
        </w:rPr>
      </w:pPr>
      <w:r w:rsidRPr="00D5496A">
        <w:rPr>
          <w:rFonts w:asciiTheme="majorHAnsi" w:hAnsiTheme="majorHAnsi" w:cstheme="majorHAnsi"/>
          <w:b/>
          <w:i/>
          <w:sz w:val="16"/>
          <w:szCs w:val="16"/>
          <w:lang w:val="ro-MD"/>
        </w:rPr>
        <w:t>Surs</w:t>
      </w:r>
      <w:r w:rsidR="00AF1159">
        <w:rPr>
          <w:rFonts w:asciiTheme="majorHAnsi" w:hAnsiTheme="majorHAnsi" w:cstheme="majorHAnsi"/>
          <w:b/>
          <w:i/>
          <w:sz w:val="16"/>
          <w:szCs w:val="16"/>
          <w:lang w:val="ro-MD"/>
        </w:rPr>
        <w:t>ă</w:t>
      </w:r>
      <w:r w:rsidRPr="00E33BAB">
        <w:rPr>
          <w:rFonts w:asciiTheme="majorHAnsi" w:hAnsiTheme="majorHAnsi" w:cstheme="majorHAnsi"/>
          <w:i/>
          <w:sz w:val="16"/>
          <w:szCs w:val="16"/>
          <w:lang w:val="ro-MD"/>
        </w:rPr>
        <w:t>:</w:t>
      </w:r>
      <w:r w:rsidRPr="00E33BAB">
        <w:rPr>
          <w:sz w:val="16"/>
          <w:szCs w:val="16"/>
          <w:lang w:val="ro-MD"/>
        </w:rPr>
        <w:t xml:space="preserve"> </w:t>
      </w:r>
      <w:r w:rsidRPr="00E33BAB">
        <w:rPr>
          <w:rFonts w:asciiTheme="majorHAnsi" w:hAnsiTheme="majorHAnsi" w:cstheme="majorHAnsi"/>
          <w:i/>
          <w:sz w:val="16"/>
          <w:szCs w:val="16"/>
          <w:lang w:val="ro-MD"/>
        </w:rPr>
        <w:t>Informație privind implementarea</w:t>
      </w:r>
      <w:r w:rsidRPr="00E33BAB">
        <w:rPr>
          <w:i/>
          <w:sz w:val="16"/>
          <w:szCs w:val="16"/>
          <w:lang w:val="ro-MD"/>
        </w:rPr>
        <w:t xml:space="preserve"> </w:t>
      </w:r>
      <w:r w:rsidRPr="00E33BAB">
        <w:rPr>
          <w:rFonts w:asciiTheme="majorHAnsi" w:hAnsiTheme="majorHAnsi" w:cstheme="majorHAnsi"/>
          <w:i/>
          <w:sz w:val="16"/>
          <w:szCs w:val="16"/>
          <w:lang w:val="ro-MD"/>
        </w:rPr>
        <w:t xml:space="preserve">Acordului de finanțare „Modernizarea sectorului sănătății în Republica Moldova”. Indicatorii specifici legați de debursare și cotele </w:t>
      </w:r>
      <w:r w:rsidR="00AF1159" w:rsidRPr="00E33BAB">
        <w:rPr>
          <w:rFonts w:asciiTheme="majorHAnsi" w:hAnsiTheme="majorHAnsi" w:cstheme="majorHAnsi"/>
          <w:i/>
          <w:sz w:val="16"/>
          <w:szCs w:val="16"/>
          <w:lang w:val="ro-MD"/>
        </w:rPr>
        <w:t xml:space="preserve">de finanțare </w:t>
      </w:r>
      <w:r w:rsidRPr="00E33BAB">
        <w:rPr>
          <w:rFonts w:asciiTheme="majorHAnsi" w:hAnsiTheme="majorHAnsi" w:cstheme="majorHAnsi"/>
          <w:i/>
          <w:sz w:val="16"/>
          <w:szCs w:val="16"/>
          <w:lang w:val="ro-MD"/>
        </w:rPr>
        <w:t>alocate.</w:t>
      </w:r>
    </w:p>
    <w:p w14:paraId="50A31ADB" w14:textId="77777777" w:rsidR="00330B0C" w:rsidRPr="00E33BAB" w:rsidRDefault="00330B0C" w:rsidP="00330B0C">
      <w:pPr>
        <w:spacing w:after="0" w:line="276" w:lineRule="auto"/>
        <w:jc w:val="both"/>
        <w:rPr>
          <w:rFonts w:asciiTheme="majorHAnsi" w:eastAsia="Times New Roman" w:hAnsiTheme="majorHAnsi" w:cstheme="majorHAnsi"/>
          <w:sz w:val="24"/>
          <w:szCs w:val="24"/>
          <w:lang w:val="ro-MD"/>
        </w:rPr>
      </w:pPr>
    </w:p>
    <w:p w14:paraId="36B760C3" w14:textId="4D8F5598" w:rsidR="00230836" w:rsidRPr="00E33BAB" w:rsidRDefault="00330B0C" w:rsidP="00230836">
      <w:pPr>
        <w:spacing w:after="0" w:line="276" w:lineRule="auto"/>
        <w:jc w:val="both"/>
        <w:rPr>
          <w:rFonts w:asciiTheme="majorHAnsi" w:hAnsiTheme="majorHAnsi" w:cstheme="majorHAnsi"/>
          <w:sz w:val="24"/>
          <w:szCs w:val="24"/>
          <w:lang w:val="ro-MD"/>
        </w:rPr>
      </w:pPr>
      <w:r w:rsidRPr="00E33BAB">
        <w:rPr>
          <w:rFonts w:asciiTheme="majorHAnsi" w:hAnsiTheme="majorHAnsi" w:cstheme="majorHAnsi"/>
          <w:sz w:val="24"/>
          <w:szCs w:val="24"/>
          <w:lang w:val="ro-MD"/>
        </w:rPr>
        <w:t>Se menționează că</w:t>
      </w:r>
      <w:r w:rsidR="00820B3E">
        <w:rPr>
          <w:rFonts w:asciiTheme="majorHAnsi" w:hAnsiTheme="majorHAnsi" w:cstheme="majorHAnsi"/>
          <w:sz w:val="24"/>
          <w:szCs w:val="24"/>
          <w:lang w:val="ro-MD"/>
        </w:rPr>
        <w:t>,</w:t>
      </w:r>
      <w:r w:rsidRPr="00E33BAB">
        <w:rPr>
          <w:rFonts w:asciiTheme="majorHAnsi" w:hAnsiTheme="majorHAnsi" w:cstheme="majorHAnsi"/>
          <w:sz w:val="24"/>
          <w:szCs w:val="24"/>
          <w:lang w:val="ro-MD"/>
        </w:rPr>
        <w:t xml:space="preserve"> pentru a reflecta sprijinul suplimentar acordat pentru gestionarea pandemiei COVID-19, obiectivul de dezvoltare a programului (ODP) va fi revizuit </w:t>
      </w:r>
      <w:r w:rsidR="00820B3E">
        <w:rPr>
          <w:rFonts w:asciiTheme="majorHAnsi" w:hAnsiTheme="majorHAnsi" w:cstheme="majorHAnsi"/>
          <w:sz w:val="24"/>
          <w:szCs w:val="24"/>
          <w:lang w:val="ro-MD"/>
        </w:rPr>
        <w:t>și va avea</w:t>
      </w:r>
      <w:r w:rsidRPr="00E33BAB">
        <w:rPr>
          <w:rFonts w:asciiTheme="majorHAnsi" w:hAnsiTheme="majorHAnsi" w:cstheme="majorHAnsi"/>
          <w:sz w:val="24"/>
          <w:szCs w:val="24"/>
          <w:lang w:val="ro-MD"/>
        </w:rPr>
        <w:t xml:space="preserve"> următorul conținut: „ODP este de a contribui la reducerea riscurilor</w:t>
      </w:r>
      <w:r w:rsidR="00820B3E">
        <w:rPr>
          <w:rFonts w:asciiTheme="majorHAnsi" w:hAnsiTheme="majorHAnsi" w:cstheme="majorHAnsi"/>
          <w:sz w:val="24"/>
          <w:szCs w:val="24"/>
          <w:lang w:val="ro-MD"/>
        </w:rPr>
        <w:t>-</w:t>
      </w:r>
      <w:r w:rsidRPr="00E33BAB">
        <w:rPr>
          <w:rFonts w:asciiTheme="majorHAnsi" w:hAnsiTheme="majorHAnsi" w:cstheme="majorHAnsi"/>
          <w:sz w:val="24"/>
          <w:szCs w:val="24"/>
          <w:lang w:val="ro-MD"/>
        </w:rPr>
        <w:t xml:space="preserve">cheie pentru bolile netransmisibile </w:t>
      </w:r>
      <w:r w:rsidRPr="00E33BAB">
        <w:rPr>
          <w:rFonts w:asciiTheme="majorHAnsi" w:hAnsiTheme="majorHAnsi" w:cstheme="majorHAnsi"/>
          <w:b/>
          <w:i/>
          <w:sz w:val="24"/>
          <w:szCs w:val="24"/>
          <w:u w:val="single"/>
          <w:lang w:val="ro-MD"/>
        </w:rPr>
        <w:t>și infecțioase, inclusiv COVID-19</w:t>
      </w:r>
      <w:r w:rsidRPr="00E33BAB">
        <w:rPr>
          <w:rFonts w:asciiTheme="majorHAnsi" w:hAnsiTheme="majorHAnsi" w:cstheme="majorHAnsi"/>
          <w:sz w:val="24"/>
          <w:szCs w:val="24"/>
          <w:lang w:val="ro-MD"/>
        </w:rPr>
        <w:t xml:space="preserve">, și de a îmbunătăți eficiența serviciilor de </w:t>
      </w:r>
      <w:r w:rsidR="00230836">
        <w:rPr>
          <w:rFonts w:asciiTheme="majorHAnsi" w:hAnsiTheme="majorHAnsi" w:cstheme="majorHAnsi"/>
          <w:sz w:val="24"/>
          <w:szCs w:val="24"/>
          <w:lang w:val="ro-MD"/>
        </w:rPr>
        <w:t>sănătate în Republica Moldova”.</w:t>
      </w:r>
    </w:p>
    <w:p w14:paraId="0052952E" w14:textId="7A43F588" w:rsidR="005538DC" w:rsidRPr="00E33BAB" w:rsidRDefault="005538DC" w:rsidP="009749E5">
      <w:pPr>
        <w:pStyle w:val="Heading1"/>
        <w:jc w:val="left"/>
        <w:rPr>
          <w:rFonts w:asciiTheme="majorHAnsi" w:hAnsiTheme="majorHAnsi" w:cstheme="majorHAnsi"/>
          <w:b w:val="0"/>
          <w:sz w:val="28"/>
          <w:szCs w:val="28"/>
        </w:rPr>
      </w:pPr>
      <w:r w:rsidRPr="00E33BAB">
        <w:rPr>
          <w:rFonts w:asciiTheme="majorHAnsi" w:hAnsiTheme="majorHAnsi" w:cstheme="majorHAnsi"/>
          <w:sz w:val="28"/>
          <w:szCs w:val="28"/>
        </w:rPr>
        <w:t>RECOMANDĂRI</w:t>
      </w:r>
    </w:p>
    <w:p w14:paraId="05ABC2AB" w14:textId="0B7B74D0" w:rsidR="009749E5" w:rsidRPr="00E33BAB" w:rsidRDefault="009749E5" w:rsidP="007F2F45">
      <w:pPr>
        <w:jc w:val="both"/>
        <w:rPr>
          <w:rFonts w:asciiTheme="majorHAnsi" w:hAnsiTheme="majorHAnsi" w:cstheme="majorHAnsi"/>
          <w:b/>
          <w:sz w:val="24"/>
          <w:szCs w:val="24"/>
          <w:u w:val="single"/>
          <w:lang w:val="ro-MD"/>
        </w:rPr>
      </w:pPr>
      <w:r w:rsidRPr="00E33BAB">
        <w:rPr>
          <w:rFonts w:asciiTheme="majorHAnsi" w:hAnsiTheme="majorHAnsi" w:cstheme="majorHAnsi"/>
          <w:b/>
          <w:sz w:val="24"/>
          <w:szCs w:val="24"/>
          <w:u w:val="single"/>
          <w:lang w:val="ro-MD"/>
        </w:rPr>
        <w:t>Ministerul Sănătății, Muncii și Protecție Sociale</w:t>
      </w:r>
      <w:r w:rsidR="00820B3E">
        <w:rPr>
          <w:rFonts w:asciiTheme="majorHAnsi" w:hAnsiTheme="majorHAnsi" w:cstheme="majorHAnsi"/>
          <w:b/>
          <w:sz w:val="24"/>
          <w:szCs w:val="24"/>
          <w:u w:val="single"/>
          <w:lang w:val="ro-MD"/>
        </w:rPr>
        <w:t>,</w:t>
      </w:r>
      <w:r w:rsidRPr="00E33BAB">
        <w:rPr>
          <w:rFonts w:asciiTheme="majorHAnsi" w:hAnsiTheme="majorHAnsi" w:cstheme="majorHAnsi"/>
          <w:b/>
          <w:sz w:val="24"/>
          <w:szCs w:val="24"/>
          <w:u w:val="single"/>
          <w:lang w:val="ro-MD"/>
        </w:rPr>
        <w:t xml:space="preserve"> </w:t>
      </w:r>
      <w:r w:rsidR="00820B3E">
        <w:rPr>
          <w:rFonts w:asciiTheme="majorHAnsi" w:hAnsiTheme="majorHAnsi" w:cstheme="majorHAnsi"/>
          <w:b/>
          <w:sz w:val="24"/>
          <w:szCs w:val="24"/>
          <w:u w:val="single"/>
          <w:lang w:val="ro-MD"/>
        </w:rPr>
        <w:t>în</w:t>
      </w:r>
      <w:r w:rsidRPr="00E33BAB">
        <w:rPr>
          <w:rFonts w:asciiTheme="majorHAnsi" w:hAnsiTheme="majorHAnsi" w:cstheme="majorHAnsi"/>
          <w:b/>
          <w:sz w:val="24"/>
          <w:szCs w:val="24"/>
          <w:u w:val="single"/>
          <w:lang w:val="ro-MD"/>
        </w:rPr>
        <w:t xml:space="preserve"> comun cu Compania Națională de Asigurări în Medicină:</w:t>
      </w:r>
    </w:p>
    <w:p w14:paraId="6FBE08F6" w14:textId="0F0362ED" w:rsidR="005538DC" w:rsidRPr="00230836" w:rsidRDefault="009749E5" w:rsidP="00230836">
      <w:pPr>
        <w:tabs>
          <w:tab w:val="left" w:pos="1080"/>
        </w:tabs>
        <w:spacing w:after="0" w:line="276" w:lineRule="auto"/>
        <w:contextualSpacing/>
        <w:jc w:val="both"/>
        <w:rPr>
          <w:rFonts w:asciiTheme="majorHAnsi" w:hAnsiTheme="majorHAnsi" w:cstheme="majorHAnsi"/>
          <w:sz w:val="24"/>
          <w:szCs w:val="24"/>
          <w:lang w:val="ro-MD"/>
        </w:rPr>
      </w:pPr>
      <w:r w:rsidRPr="00E33BAB">
        <w:rPr>
          <w:rFonts w:asciiTheme="majorHAnsi" w:hAnsiTheme="majorHAnsi" w:cstheme="majorHAnsi"/>
          <w:i/>
          <w:sz w:val="24"/>
          <w:szCs w:val="24"/>
          <w:lang w:val="ro-MD"/>
        </w:rPr>
        <w:t>Să asigurare</w:t>
      </w:r>
      <w:r w:rsidR="005538DC" w:rsidRPr="00E33BAB">
        <w:rPr>
          <w:rFonts w:asciiTheme="majorHAnsi" w:hAnsiTheme="majorHAnsi" w:cstheme="majorHAnsi"/>
          <w:i/>
          <w:sz w:val="24"/>
          <w:szCs w:val="24"/>
          <w:lang w:val="ro-MD"/>
        </w:rPr>
        <w:t xml:space="preserve"> analiz</w:t>
      </w:r>
      <w:r w:rsidRPr="00E33BAB">
        <w:rPr>
          <w:rFonts w:asciiTheme="majorHAnsi" w:hAnsiTheme="majorHAnsi" w:cstheme="majorHAnsi"/>
          <w:i/>
          <w:sz w:val="24"/>
          <w:szCs w:val="24"/>
          <w:lang w:val="ro-MD"/>
        </w:rPr>
        <w:t xml:space="preserve">a </w:t>
      </w:r>
      <w:r w:rsidR="005538DC" w:rsidRPr="00E33BAB">
        <w:rPr>
          <w:rFonts w:asciiTheme="majorHAnsi" w:hAnsiTheme="majorHAnsi" w:cstheme="majorHAnsi"/>
          <w:i/>
          <w:sz w:val="24"/>
          <w:szCs w:val="24"/>
          <w:lang w:val="ro-MD"/>
        </w:rPr>
        <w:t>ș</w:t>
      </w:r>
      <w:r w:rsidRPr="00E33BAB">
        <w:rPr>
          <w:rFonts w:asciiTheme="majorHAnsi" w:hAnsiTheme="majorHAnsi" w:cstheme="majorHAnsi"/>
          <w:i/>
          <w:sz w:val="24"/>
          <w:szCs w:val="24"/>
          <w:lang w:val="ro-MD"/>
        </w:rPr>
        <w:t>i monitorizarea</w:t>
      </w:r>
      <w:r w:rsidR="005538DC" w:rsidRPr="00E33BAB">
        <w:rPr>
          <w:rFonts w:asciiTheme="majorHAnsi" w:hAnsiTheme="majorHAnsi" w:cstheme="majorHAnsi"/>
          <w:i/>
          <w:sz w:val="24"/>
          <w:szCs w:val="24"/>
          <w:lang w:val="ro-MD"/>
        </w:rPr>
        <w:t xml:space="preserve"> atingerii indicatorilor privind realizarea activităților la </w:t>
      </w:r>
      <w:r w:rsidR="00B2201F" w:rsidRPr="00E33BAB">
        <w:rPr>
          <w:rFonts w:asciiTheme="majorHAnsi" w:hAnsiTheme="majorHAnsi" w:cstheme="majorHAnsi"/>
          <w:i/>
          <w:sz w:val="24"/>
          <w:szCs w:val="24"/>
          <w:lang w:val="ro-MD"/>
        </w:rPr>
        <w:t>cinci</w:t>
      </w:r>
      <w:r w:rsidR="005538DC" w:rsidRPr="00E33BAB">
        <w:rPr>
          <w:rFonts w:asciiTheme="majorHAnsi" w:hAnsiTheme="majorHAnsi" w:cstheme="majorHAnsi"/>
          <w:i/>
          <w:sz w:val="24"/>
          <w:szCs w:val="24"/>
          <w:lang w:val="ro-MD"/>
        </w:rPr>
        <w:t xml:space="preserve"> indicatori </w:t>
      </w:r>
      <w:r w:rsidR="005538DC" w:rsidRPr="008F60A2">
        <w:rPr>
          <w:rFonts w:asciiTheme="majorHAnsi" w:hAnsiTheme="majorHAnsi" w:cstheme="majorHAnsi"/>
          <w:i/>
          <w:sz w:val="24"/>
          <w:szCs w:val="24"/>
          <w:lang w:val="ro-MD"/>
        </w:rPr>
        <w:t>(</w:t>
      </w:r>
      <w:r w:rsidR="00230836" w:rsidRPr="008F60A2">
        <w:rPr>
          <w:rFonts w:asciiTheme="majorHAnsi" w:hAnsiTheme="majorHAnsi" w:cstheme="majorHAnsi"/>
          <w:i/>
          <w:sz w:val="24"/>
          <w:szCs w:val="24"/>
          <w:lang w:val="ro-MD"/>
        </w:rPr>
        <w:t xml:space="preserve">ILD 1: Toate țigările importate și </w:t>
      </w:r>
      <w:r w:rsidR="00820B3E">
        <w:rPr>
          <w:rFonts w:asciiTheme="majorHAnsi" w:hAnsiTheme="majorHAnsi" w:cstheme="majorHAnsi"/>
          <w:i/>
          <w:sz w:val="24"/>
          <w:szCs w:val="24"/>
          <w:lang w:val="ro-MD"/>
        </w:rPr>
        <w:t xml:space="preserve">cele </w:t>
      </w:r>
      <w:r w:rsidR="00230836" w:rsidRPr="008F60A2">
        <w:rPr>
          <w:rFonts w:asciiTheme="majorHAnsi" w:hAnsiTheme="majorHAnsi" w:cstheme="majorHAnsi"/>
          <w:i/>
          <w:sz w:val="24"/>
          <w:szCs w:val="24"/>
          <w:lang w:val="ro-MD"/>
        </w:rPr>
        <w:t xml:space="preserve">produse </w:t>
      </w:r>
      <w:r w:rsidR="00D17300">
        <w:rPr>
          <w:rFonts w:asciiTheme="majorHAnsi" w:hAnsiTheme="majorHAnsi" w:cstheme="majorHAnsi"/>
          <w:i/>
          <w:sz w:val="24"/>
          <w:szCs w:val="24"/>
          <w:lang w:val="ro-MD"/>
        </w:rPr>
        <w:t xml:space="preserve">la nivel </w:t>
      </w:r>
      <w:r w:rsidR="00230836" w:rsidRPr="008F60A2">
        <w:rPr>
          <w:rFonts w:asciiTheme="majorHAnsi" w:hAnsiTheme="majorHAnsi" w:cstheme="majorHAnsi"/>
          <w:i/>
          <w:sz w:val="24"/>
          <w:szCs w:val="24"/>
          <w:lang w:val="ro-MD"/>
        </w:rPr>
        <w:t xml:space="preserve">local, </w:t>
      </w:r>
      <w:r w:rsidR="00D17300">
        <w:rPr>
          <w:rFonts w:asciiTheme="majorHAnsi" w:hAnsiTheme="majorHAnsi" w:cstheme="majorHAnsi"/>
          <w:i/>
          <w:sz w:val="24"/>
          <w:szCs w:val="24"/>
          <w:lang w:val="ro-MD"/>
        </w:rPr>
        <w:t>prezente</w:t>
      </w:r>
      <w:r w:rsidR="00230836" w:rsidRPr="008F60A2">
        <w:rPr>
          <w:rFonts w:asciiTheme="majorHAnsi" w:hAnsiTheme="majorHAnsi" w:cstheme="majorHAnsi"/>
          <w:i/>
          <w:sz w:val="24"/>
          <w:szCs w:val="24"/>
          <w:lang w:val="ro-MD"/>
        </w:rPr>
        <w:t xml:space="preserve"> pe piață, sunt în conformitate cu </w:t>
      </w:r>
      <w:r w:rsidR="00D17300">
        <w:rPr>
          <w:rFonts w:asciiTheme="majorHAnsi" w:hAnsiTheme="majorHAnsi" w:cstheme="majorHAnsi"/>
          <w:i/>
          <w:sz w:val="24"/>
          <w:szCs w:val="24"/>
          <w:lang w:val="ro-MD"/>
        </w:rPr>
        <w:t>R</w:t>
      </w:r>
      <w:r w:rsidR="00230836" w:rsidRPr="008F60A2">
        <w:rPr>
          <w:rFonts w:asciiTheme="majorHAnsi" w:hAnsiTheme="majorHAnsi" w:cstheme="majorHAnsi"/>
          <w:i/>
          <w:sz w:val="24"/>
          <w:szCs w:val="24"/>
          <w:lang w:val="ro-MD"/>
        </w:rPr>
        <w:t>eg</w:t>
      </w:r>
      <w:r w:rsidR="00D17300">
        <w:rPr>
          <w:rFonts w:asciiTheme="majorHAnsi" w:hAnsiTheme="majorHAnsi" w:cstheme="majorHAnsi"/>
          <w:i/>
          <w:sz w:val="24"/>
          <w:szCs w:val="24"/>
          <w:lang w:val="ro-MD"/>
        </w:rPr>
        <w:t>ulamentul</w:t>
      </w:r>
      <w:r w:rsidR="00230836" w:rsidRPr="008F60A2">
        <w:rPr>
          <w:rFonts w:asciiTheme="majorHAnsi" w:hAnsiTheme="majorHAnsi" w:cstheme="majorHAnsi"/>
          <w:i/>
          <w:sz w:val="24"/>
          <w:szCs w:val="24"/>
          <w:lang w:val="ro-MD"/>
        </w:rPr>
        <w:t xml:space="preserve"> privind etichetarea produselor d</w:t>
      </w:r>
      <w:r w:rsidR="00037F7E">
        <w:rPr>
          <w:rFonts w:asciiTheme="majorHAnsi" w:hAnsiTheme="majorHAnsi" w:cstheme="majorHAnsi"/>
          <w:i/>
          <w:sz w:val="24"/>
          <w:szCs w:val="24"/>
          <w:lang w:val="ro-MD"/>
        </w:rPr>
        <w:t xml:space="preserve">in </w:t>
      </w:r>
      <w:r w:rsidR="00230836" w:rsidRPr="008F60A2">
        <w:rPr>
          <w:rFonts w:asciiTheme="majorHAnsi" w:hAnsiTheme="majorHAnsi" w:cstheme="majorHAnsi"/>
          <w:i/>
          <w:sz w:val="24"/>
          <w:szCs w:val="24"/>
          <w:lang w:val="ro-MD"/>
        </w:rPr>
        <w:t xml:space="preserve"> tutun; ILD 2: Creșterea numărului de persoane cu boli cardiovasculare (BCV) care beneficiază de medicamente compensate pentru tratamentul BCV; ILD 7</w:t>
      </w:r>
      <w:r w:rsidR="00820B3E">
        <w:rPr>
          <w:rFonts w:asciiTheme="majorHAnsi" w:hAnsiTheme="majorHAnsi" w:cstheme="majorHAnsi"/>
          <w:i/>
          <w:sz w:val="24"/>
          <w:szCs w:val="24"/>
          <w:lang w:val="ro-MD"/>
        </w:rPr>
        <w:t>:</w:t>
      </w:r>
      <w:r w:rsidR="00230836" w:rsidRPr="008F60A2">
        <w:rPr>
          <w:rFonts w:asciiTheme="majorHAnsi" w:hAnsiTheme="majorHAnsi" w:cstheme="majorHAnsi"/>
          <w:i/>
          <w:sz w:val="24"/>
          <w:szCs w:val="24"/>
          <w:lang w:val="ro-MD"/>
        </w:rPr>
        <w:t xml:space="preserve"> Conceperea și pilotarea stimulentelor bazate pe performanță pentru toate spitalele; ILD 9</w:t>
      </w:r>
      <w:r w:rsidR="00820B3E">
        <w:rPr>
          <w:rFonts w:asciiTheme="majorHAnsi" w:hAnsiTheme="majorHAnsi" w:cstheme="majorHAnsi"/>
          <w:i/>
          <w:sz w:val="24"/>
          <w:szCs w:val="24"/>
          <w:lang w:val="ro-MD"/>
        </w:rPr>
        <w:t>:</w:t>
      </w:r>
      <w:r w:rsidR="00230836" w:rsidRPr="008F60A2">
        <w:rPr>
          <w:rFonts w:asciiTheme="majorHAnsi" w:hAnsiTheme="majorHAnsi" w:cstheme="majorHAnsi"/>
          <w:i/>
          <w:sz w:val="24"/>
          <w:szCs w:val="24"/>
          <w:lang w:val="ro-MD"/>
        </w:rPr>
        <w:t xml:space="preserve"> Consolidarea spitalelor departamentale aflate </w:t>
      </w:r>
      <w:r w:rsidR="00820B3E">
        <w:rPr>
          <w:rFonts w:asciiTheme="majorHAnsi" w:hAnsiTheme="majorHAnsi" w:cstheme="majorHAnsi"/>
          <w:i/>
          <w:sz w:val="24"/>
          <w:szCs w:val="24"/>
          <w:lang w:val="ro-MD"/>
        </w:rPr>
        <w:t>în</w:t>
      </w:r>
      <w:r w:rsidR="00230836" w:rsidRPr="008F60A2">
        <w:rPr>
          <w:rFonts w:asciiTheme="majorHAnsi" w:hAnsiTheme="majorHAnsi" w:cstheme="majorHAnsi"/>
          <w:i/>
          <w:sz w:val="24"/>
          <w:szCs w:val="24"/>
          <w:lang w:val="ro-MD"/>
        </w:rPr>
        <w:t xml:space="preserve"> administrarea MSMPS; ILD 11</w:t>
      </w:r>
      <w:r w:rsidR="00820B3E">
        <w:rPr>
          <w:rFonts w:asciiTheme="majorHAnsi" w:hAnsiTheme="majorHAnsi" w:cstheme="majorHAnsi"/>
          <w:i/>
          <w:sz w:val="24"/>
          <w:szCs w:val="24"/>
          <w:lang w:val="ro-MD"/>
        </w:rPr>
        <w:t xml:space="preserve">: </w:t>
      </w:r>
      <w:r w:rsidR="00230836" w:rsidRPr="008F60A2">
        <w:rPr>
          <w:rFonts w:asciiTheme="majorHAnsi" w:hAnsiTheme="majorHAnsi" w:cstheme="majorHAnsi"/>
          <w:i/>
          <w:sz w:val="24"/>
          <w:szCs w:val="24"/>
          <w:lang w:val="ro-MD"/>
        </w:rPr>
        <w:t xml:space="preserve"> Integrarea lecțiilor învățate în campaniile de comunicare privind schimbarea comportamentului populației și evaluarea gradului de pregătire pentru vaccin</w:t>
      </w:r>
      <w:r w:rsidR="005538DC" w:rsidRPr="008F60A2">
        <w:rPr>
          <w:rFonts w:asciiTheme="majorHAnsi" w:hAnsiTheme="majorHAnsi" w:cstheme="majorHAnsi"/>
          <w:i/>
          <w:sz w:val="24"/>
          <w:szCs w:val="24"/>
          <w:lang w:val="ro-MD"/>
        </w:rPr>
        <w:t>)</w:t>
      </w:r>
      <w:r w:rsidR="005538DC" w:rsidRPr="00E33BAB">
        <w:rPr>
          <w:rFonts w:asciiTheme="majorHAnsi" w:hAnsiTheme="majorHAnsi" w:cstheme="majorHAnsi"/>
          <w:i/>
          <w:sz w:val="24"/>
          <w:szCs w:val="24"/>
          <w:lang w:val="ro-MD"/>
        </w:rPr>
        <w:t xml:space="preserve">, ceea ce va servi </w:t>
      </w:r>
      <w:r w:rsidR="00820B3E">
        <w:rPr>
          <w:rFonts w:asciiTheme="majorHAnsi" w:hAnsiTheme="majorHAnsi" w:cstheme="majorHAnsi"/>
          <w:i/>
          <w:sz w:val="24"/>
          <w:szCs w:val="24"/>
          <w:lang w:val="ro-MD"/>
        </w:rPr>
        <w:t xml:space="preserve">ca </w:t>
      </w:r>
      <w:r w:rsidR="005538DC" w:rsidRPr="00E33BAB">
        <w:rPr>
          <w:rFonts w:asciiTheme="majorHAnsi" w:hAnsiTheme="majorHAnsi" w:cstheme="majorHAnsi"/>
          <w:i/>
          <w:sz w:val="24"/>
          <w:szCs w:val="24"/>
          <w:lang w:val="ro-MD"/>
        </w:rPr>
        <w:t>temei pentru debursarea mijloacelor financiare.</w:t>
      </w:r>
    </w:p>
    <w:p w14:paraId="24FD2F60" w14:textId="69B4D22F" w:rsidR="00B517C3" w:rsidRPr="00E33BAB" w:rsidRDefault="00B517C3" w:rsidP="007F2F45">
      <w:pPr>
        <w:jc w:val="both"/>
        <w:rPr>
          <w:rFonts w:asciiTheme="majorHAnsi" w:eastAsia="Times New Roman" w:hAnsiTheme="majorHAnsi" w:cstheme="majorHAnsi"/>
          <w:bCs/>
          <w:color w:val="000000" w:themeColor="text1"/>
          <w:sz w:val="24"/>
          <w:szCs w:val="24"/>
          <w:lang w:val="ro-MD"/>
        </w:rPr>
      </w:pPr>
      <w:r w:rsidRPr="00E33BAB">
        <w:rPr>
          <w:rFonts w:asciiTheme="majorHAnsi" w:hAnsiTheme="majorHAnsi" w:cstheme="majorHAnsi"/>
          <w:b/>
          <w:sz w:val="24"/>
          <w:szCs w:val="24"/>
          <w:u w:val="single"/>
          <w:lang w:val="ro-MD"/>
        </w:rPr>
        <w:t>Ministerul Sănătății, Muncii și Protecție</w:t>
      </w:r>
      <w:r w:rsidR="007B0EC9" w:rsidRPr="00E33BAB">
        <w:rPr>
          <w:rFonts w:asciiTheme="majorHAnsi" w:hAnsiTheme="majorHAnsi" w:cstheme="majorHAnsi"/>
          <w:b/>
          <w:sz w:val="24"/>
          <w:szCs w:val="24"/>
          <w:u w:val="single"/>
          <w:lang w:val="ro-MD"/>
        </w:rPr>
        <w:t>i Sociale</w:t>
      </w:r>
      <w:r w:rsidRPr="00E33BAB">
        <w:rPr>
          <w:rFonts w:asciiTheme="majorHAnsi" w:hAnsiTheme="majorHAnsi" w:cstheme="majorHAnsi"/>
          <w:b/>
          <w:sz w:val="24"/>
          <w:szCs w:val="24"/>
          <w:u w:val="single"/>
          <w:lang w:val="ro-MD"/>
        </w:rPr>
        <w:t>:</w:t>
      </w:r>
    </w:p>
    <w:p w14:paraId="7C70F6A3" w14:textId="46DA59D6" w:rsidR="00B517C3" w:rsidRPr="00E33BAB" w:rsidRDefault="007B0EC9" w:rsidP="007F2F45">
      <w:pPr>
        <w:jc w:val="both"/>
        <w:rPr>
          <w:rFonts w:asciiTheme="majorHAnsi" w:hAnsiTheme="majorHAnsi" w:cstheme="majorHAnsi"/>
          <w:i/>
          <w:sz w:val="24"/>
          <w:szCs w:val="24"/>
          <w:lang w:val="ro-MD"/>
        </w:rPr>
      </w:pPr>
      <w:r w:rsidRPr="00E33BAB">
        <w:rPr>
          <w:rFonts w:asciiTheme="majorHAnsi" w:eastAsia="Times New Roman" w:hAnsiTheme="majorHAnsi" w:cstheme="majorHAnsi"/>
          <w:bCs/>
          <w:i/>
          <w:color w:val="000000" w:themeColor="text1"/>
          <w:sz w:val="24"/>
          <w:szCs w:val="24"/>
          <w:lang w:val="ro-MD"/>
        </w:rPr>
        <w:t xml:space="preserve">Să asigure gestionarea mijloacelor financiare </w:t>
      </w:r>
      <w:r w:rsidR="000170A9" w:rsidRPr="00E33BAB">
        <w:rPr>
          <w:rFonts w:asciiTheme="majorHAnsi" w:eastAsia="Times New Roman" w:hAnsiTheme="majorHAnsi" w:cstheme="majorHAnsi"/>
          <w:bCs/>
          <w:i/>
          <w:color w:val="000000" w:themeColor="text1"/>
          <w:sz w:val="24"/>
          <w:szCs w:val="24"/>
          <w:lang w:val="ro-MD"/>
        </w:rPr>
        <w:t>utilizate</w:t>
      </w:r>
      <w:r w:rsidRPr="00E33BAB">
        <w:rPr>
          <w:rFonts w:asciiTheme="majorHAnsi" w:eastAsia="Times New Roman" w:hAnsiTheme="majorHAnsi" w:cstheme="majorHAnsi"/>
          <w:bCs/>
          <w:i/>
          <w:color w:val="000000" w:themeColor="text1"/>
          <w:sz w:val="24"/>
          <w:szCs w:val="24"/>
          <w:lang w:val="ro-MD"/>
        </w:rPr>
        <w:t xml:space="preserve"> în cadrul Proiectului de Asistență </w:t>
      </w:r>
      <w:r w:rsidR="00413D67" w:rsidRPr="00E33BAB">
        <w:rPr>
          <w:rFonts w:asciiTheme="majorHAnsi" w:eastAsia="Times New Roman" w:hAnsiTheme="majorHAnsi" w:cstheme="majorHAnsi"/>
          <w:bCs/>
          <w:i/>
          <w:color w:val="000000" w:themeColor="text1"/>
          <w:sz w:val="24"/>
          <w:szCs w:val="24"/>
          <w:lang w:val="ro-MD"/>
        </w:rPr>
        <w:t>T</w:t>
      </w:r>
      <w:r w:rsidRPr="00E33BAB">
        <w:rPr>
          <w:rFonts w:asciiTheme="majorHAnsi" w:eastAsia="Times New Roman" w:hAnsiTheme="majorHAnsi" w:cstheme="majorHAnsi"/>
          <w:bCs/>
          <w:i/>
          <w:color w:val="000000" w:themeColor="text1"/>
          <w:sz w:val="24"/>
          <w:szCs w:val="24"/>
          <w:lang w:val="ro-MD"/>
        </w:rPr>
        <w:t>ehnică</w:t>
      </w:r>
      <w:r w:rsidR="00A704FE">
        <w:rPr>
          <w:rFonts w:asciiTheme="majorHAnsi" w:eastAsia="Times New Roman" w:hAnsiTheme="majorHAnsi" w:cstheme="majorHAnsi"/>
          <w:bCs/>
          <w:i/>
          <w:color w:val="000000" w:themeColor="text1"/>
          <w:sz w:val="24"/>
          <w:szCs w:val="24"/>
          <w:lang w:val="ro-MD"/>
        </w:rPr>
        <w:t xml:space="preserve">, </w:t>
      </w:r>
      <w:r w:rsidRPr="00E33BAB">
        <w:rPr>
          <w:rFonts w:asciiTheme="majorHAnsi" w:eastAsia="Times New Roman" w:hAnsiTheme="majorHAnsi" w:cstheme="majorHAnsi"/>
          <w:bCs/>
          <w:i/>
          <w:color w:val="000000" w:themeColor="text1"/>
          <w:sz w:val="24"/>
          <w:szCs w:val="24"/>
          <w:lang w:val="ro-MD"/>
        </w:rPr>
        <w:t xml:space="preserve">  </w:t>
      </w:r>
      <w:r w:rsidR="00413D67" w:rsidRPr="00E33BAB">
        <w:rPr>
          <w:rFonts w:asciiTheme="majorHAnsi" w:eastAsia="Times New Roman" w:hAnsiTheme="majorHAnsi" w:cstheme="majorHAnsi"/>
          <w:bCs/>
          <w:i/>
          <w:color w:val="000000" w:themeColor="text1"/>
          <w:sz w:val="24"/>
          <w:szCs w:val="24"/>
          <w:lang w:val="ro-MD"/>
        </w:rPr>
        <w:t>cu respectarea</w:t>
      </w:r>
      <w:r w:rsidRPr="00E33BAB">
        <w:rPr>
          <w:rFonts w:asciiTheme="majorHAnsi" w:eastAsia="Times New Roman" w:hAnsiTheme="majorHAnsi" w:cstheme="majorHAnsi"/>
          <w:bCs/>
          <w:i/>
          <w:color w:val="000000" w:themeColor="text1"/>
          <w:sz w:val="24"/>
          <w:szCs w:val="24"/>
          <w:lang w:val="ro-MD"/>
        </w:rPr>
        <w:t xml:space="preserve"> principiil</w:t>
      </w:r>
      <w:r w:rsidR="00413D67" w:rsidRPr="00E33BAB">
        <w:rPr>
          <w:rFonts w:asciiTheme="majorHAnsi" w:eastAsia="Times New Roman" w:hAnsiTheme="majorHAnsi" w:cstheme="majorHAnsi"/>
          <w:bCs/>
          <w:i/>
          <w:color w:val="000000" w:themeColor="text1"/>
          <w:sz w:val="24"/>
          <w:szCs w:val="24"/>
          <w:lang w:val="ro-MD"/>
        </w:rPr>
        <w:t>or</w:t>
      </w:r>
      <w:r w:rsidRPr="00E33BAB">
        <w:rPr>
          <w:rFonts w:asciiTheme="majorHAnsi" w:eastAsia="Times New Roman" w:hAnsiTheme="majorHAnsi" w:cstheme="majorHAnsi"/>
          <w:bCs/>
          <w:i/>
          <w:color w:val="000000" w:themeColor="text1"/>
          <w:sz w:val="24"/>
          <w:szCs w:val="24"/>
          <w:lang w:val="ro-MD"/>
        </w:rPr>
        <w:t xml:space="preserve"> bunei guvernări</w:t>
      </w:r>
      <w:r w:rsidR="00413D67" w:rsidRPr="00E33BAB">
        <w:rPr>
          <w:rFonts w:asciiTheme="majorHAnsi" w:eastAsia="Times New Roman" w:hAnsiTheme="majorHAnsi" w:cstheme="majorHAnsi"/>
          <w:bCs/>
          <w:color w:val="000000" w:themeColor="text1"/>
          <w:sz w:val="24"/>
          <w:szCs w:val="24"/>
          <w:lang w:val="ro-MD"/>
        </w:rPr>
        <w:t>.</w:t>
      </w:r>
    </w:p>
    <w:p w14:paraId="73B7084A" w14:textId="41E2DBA6" w:rsidR="001A455D" w:rsidRPr="00E33BAB" w:rsidRDefault="00C75E87" w:rsidP="009749E5">
      <w:pPr>
        <w:pStyle w:val="Heading1"/>
        <w:ind w:left="0" w:firstLine="0"/>
        <w:jc w:val="both"/>
        <w:rPr>
          <w:rFonts w:asciiTheme="majorHAnsi" w:hAnsiTheme="majorHAnsi" w:cstheme="majorHAnsi"/>
          <w:sz w:val="28"/>
          <w:szCs w:val="28"/>
        </w:rPr>
      </w:pPr>
      <w:r w:rsidRPr="00E33BAB">
        <w:rPr>
          <w:rFonts w:asciiTheme="majorHAnsi" w:hAnsiTheme="majorHAnsi" w:cstheme="majorHAnsi"/>
          <w:sz w:val="28"/>
          <w:szCs w:val="28"/>
        </w:rPr>
        <w:t>R</w:t>
      </w:r>
      <w:r w:rsidR="00AE03C9" w:rsidRPr="00E33BAB">
        <w:rPr>
          <w:rFonts w:asciiTheme="majorHAnsi" w:hAnsiTheme="majorHAnsi" w:cstheme="majorHAnsi"/>
          <w:sz w:val="28"/>
          <w:szCs w:val="28"/>
        </w:rPr>
        <w:t xml:space="preserve">ESPONSABILITĂȚILE </w:t>
      </w:r>
      <w:bookmarkEnd w:id="10"/>
      <w:r w:rsidR="009749E5" w:rsidRPr="00E33BAB">
        <w:rPr>
          <w:rFonts w:asciiTheme="majorHAnsi" w:hAnsiTheme="majorHAnsi" w:cstheme="majorHAnsi"/>
          <w:sz w:val="28"/>
          <w:szCs w:val="28"/>
        </w:rPr>
        <w:t xml:space="preserve">CELOR ÎNSĂRCINAȚI CU GUVERNANȚA PENTRU SITUAȚIILE </w:t>
      </w:r>
      <w:r w:rsidR="00174302" w:rsidRPr="00E33BAB">
        <w:rPr>
          <w:rFonts w:asciiTheme="majorHAnsi" w:hAnsiTheme="majorHAnsi" w:cstheme="majorHAnsi"/>
          <w:sz w:val="28"/>
          <w:szCs w:val="28"/>
        </w:rPr>
        <w:t>FINANCIARE</w:t>
      </w:r>
    </w:p>
    <w:p w14:paraId="5148D1BA" w14:textId="7EB8315C" w:rsidR="00143141" w:rsidRPr="00E33BAB" w:rsidRDefault="00143141" w:rsidP="007F2F45">
      <w:pPr>
        <w:tabs>
          <w:tab w:val="left" w:pos="709"/>
        </w:tabs>
        <w:spacing w:line="276" w:lineRule="auto"/>
        <w:jc w:val="both"/>
        <w:rPr>
          <w:rFonts w:asciiTheme="majorHAnsi" w:hAnsiTheme="majorHAnsi" w:cstheme="majorHAnsi"/>
          <w:sz w:val="24"/>
          <w:szCs w:val="24"/>
          <w:lang w:val="ro-MD"/>
        </w:rPr>
      </w:pPr>
      <w:r w:rsidRPr="00E33BAB">
        <w:rPr>
          <w:rFonts w:asciiTheme="majorHAnsi" w:hAnsiTheme="majorHAnsi" w:cstheme="majorHAnsi"/>
          <w:i/>
          <w:sz w:val="24"/>
          <w:szCs w:val="24"/>
          <w:lang w:val="ro-MD"/>
        </w:rPr>
        <w:t xml:space="preserve">Managementul Ministerului Sănătății, Muncii și Protecției Sociale </w:t>
      </w:r>
      <w:r w:rsidRPr="00E33BAB">
        <w:rPr>
          <w:rFonts w:asciiTheme="majorHAnsi" w:hAnsiTheme="majorHAnsi" w:cstheme="majorHAnsi"/>
          <w:sz w:val="24"/>
          <w:szCs w:val="24"/>
          <w:lang w:val="ro-MD"/>
        </w:rPr>
        <w:t>este responsabil de monitorizarea și evaluarea progresului Proiectului, inclusiv de elaborarea situațiilor financiare ale acestuia. Totodată, este responsabil de perfectarea și prezentarea fidelă a situațiilor financiare conform cerințelor de raportare ale Băncii Mondiale, precum și ale Ministerului Finanțelor. De rând cu acestea, managementul autorității publice centrale este responsabil de implementarea sistemului de  control intern managerial, care trebuie să asigure întocmirea situațiilor financiare ce nu conțin denaturări semnificative</w:t>
      </w:r>
      <w:r w:rsidR="00A704FE">
        <w:rPr>
          <w:rFonts w:asciiTheme="majorHAnsi" w:hAnsiTheme="majorHAnsi" w:cstheme="majorHAnsi"/>
          <w:sz w:val="24"/>
          <w:szCs w:val="24"/>
          <w:lang w:val="ro-MD"/>
        </w:rPr>
        <w:t>,</w:t>
      </w:r>
      <w:r w:rsidRPr="00E33BAB">
        <w:rPr>
          <w:rFonts w:asciiTheme="majorHAnsi" w:hAnsiTheme="majorHAnsi" w:cstheme="majorHAnsi"/>
          <w:sz w:val="24"/>
          <w:szCs w:val="24"/>
          <w:lang w:val="ro-MD"/>
        </w:rPr>
        <w:t xml:space="preserve"> cauzate de fraudă sau de eroare.</w:t>
      </w:r>
      <w:r w:rsidRPr="00E33BAB">
        <w:rPr>
          <w:rFonts w:asciiTheme="majorHAnsi" w:hAnsiTheme="majorHAnsi" w:cstheme="majorHAnsi"/>
          <w:sz w:val="24"/>
          <w:szCs w:val="24"/>
          <w:lang w:val="ro-MD"/>
        </w:rPr>
        <w:tab/>
      </w:r>
    </w:p>
    <w:p w14:paraId="2A0564D9" w14:textId="22B51234" w:rsidR="00945841" w:rsidRPr="00E33BAB" w:rsidRDefault="00143141" w:rsidP="00143141">
      <w:pPr>
        <w:tabs>
          <w:tab w:val="left" w:pos="709"/>
        </w:tabs>
        <w:spacing w:after="0" w:line="276" w:lineRule="auto"/>
        <w:jc w:val="both"/>
        <w:rPr>
          <w:rFonts w:asciiTheme="majorHAnsi" w:eastAsia="Times New Roman" w:hAnsiTheme="majorHAnsi" w:cstheme="majorHAnsi"/>
          <w:sz w:val="24"/>
          <w:szCs w:val="24"/>
          <w:lang w:val="ro-MD"/>
        </w:rPr>
      </w:pPr>
      <w:r w:rsidRPr="00E33BAB">
        <w:rPr>
          <w:rFonts w:asciiTheme="majorHAnsi" w:eastAsia="Times New Roman" w:hAnsiTheme="majorHAnsi" w:cstheme="majorHAnsi"/>
          <w:i/>
          <w:sz w:val="24"/>
          <w:szCs w:val="24"/>
          <w:lang w:val="ro-MD"/>
        </w:rPr>
        <w:lastRenderedPageBreak/>
        <w:t>Rolul managementului Ministerului Sănătății, Muncii și Protecției Sociale, în calitate de administrator de buget în domeniul finanțelor publice</w:t>
      </w:r>
      <w:r w:rsidR="00742B36" w:rsidRPr="00E33BAB">
        <w:rPr>
          <w:rStyle w:val="FootnoteReference"/>
          <w:rFonts w:asciiTheme="majorHAnsi" w:eastAsia="Times New Roman" w:hAnsiTheme="majorHAnsi" w:cstheme="majorHAnsi"/>
          <w:i/>
          <w:sz w:val="24"/>
          <w:szCs w:val="24"/>
          <w:lang w:val="ro-MD"/>
        </w:rPr>
        <w:footnoteReference w:id="23"/>
      </w:r>
      <w:r w:rsidR="00A704FE">
        <w:rPr>
          <w:rFonts w:asciiTheme="majorHAnsi" w:eastAsia="Times New Roman" w:hAnsiTheme="majorHAnsi" w:cstheme="majorHAnsi"/>
          <w:i/>
          <w:sz w:val="24"/>
          <w:szCs w:val="24"/>
          <w:lang w:val="ro-MD"/>
        </w:rPr>
        <w:t>,</w:t>
      </w:r>
      <w:r w:rsidRPr="00E33BAB">
        <w:rPr>
          <w:rFonts w:asciiTheme="majorHAnsi" w:eastAsia="Times New Roman" w:hAnsiTheme="majorHAnsi" w:cstheme="majorHAnsi"/>
          <w:sz w:val="24"/>
          <w:szCs w:val="24"/>
          <w:lang w:val="ro-MD"/>
        </w:rPr>
        <w:t xml:space="preserve"> </w:t>
      </w:r>
      <w:r w:rsidR="00742B36" w:rsidRPr="00E33BAB">
        <w:rPr>
          <w:rFonts w:asciiTheme="majorHAnsi" w:eastAsia="Times New Roman" w:hAnsiTheme="majorHAnsi" w:cstheme="majorHAnsi"/>
          <w:sz w:val="24"/>
          <w:szCs w:val="24"/>
          <w:lang w:val="ro-MD"/>
        </w:rPr>
        <w:t>constă în</w:t>
      </w:r>
      <w:r w:rsidRPr="00E33BAB">
        <w:rPr>
          <w:rFonts w:asciiTheme="majorHAnsi" w:eastAsia="Times New Roman" w:hAnsiTheme="majorHAnsi" w:cstheme="majorHAnsi"/>
          <w:sz w:val="24"/>
          <w:szCs w:val="24"/>
          <w:lang w:val="ro-MD"/>
        </w:rPr>
        <w:t xml:space="preserve"> elaborarea și prezentarea propunerilor de buget; repartizarea limitelor de alocații bugetare conform clasificației bugetare; asumarea angajamentelor bugetare și efectuarea cheltuielilor în scopurile și în limitele alocațiilor bugetare; implementarea și raportarea programelor în conformitate cu obiectivele și indicatorii de performanță asumați; asigurarea gestionării alocațiilor bugetare și administrarea patrimoniului public, în conformitate cu principiile bunei guvernări; publicarea bugetelor și rapoartelor privind executarea acestora, inclusiv privind performanța în cadrul programelor; exercitarea altor competențe și responsabilități prevăzute de legislație.</w:t>
      </w:r>
    </w:p>
    <w:p w14:paraId="55586ADA" w14:textId="77777777" w:rsidR="00B218A8" w:rsidRPr="00E33BAB" w:rsidRDefault="00B218A8" w:rsidP="00143141">
      <w:pPr>
        <w:tabs>
          <w:tab w:val="left" w:pos="709"/>
        </w:tabs>
        <w:spacing w:after="0" w:line="276" w:lineRule="auto"/>
        <w:jc w:val="both"/>
        <w:rPr>
          <w:rFonts w:asciiTheme="majorHAnsi" w:eastAsia="Times New Roman" w:hAnsiTheme="majorHAnsi" w:cstheme="majorHAnsi"/>
          <w:sz w:val="24"/>
          <w:szCs w:val="24"/>
          <w:lang w:val="ro-MD"/>
        </w:rPr>
      </w:pPr>
    </w:p>
    <w:p w14:paraId="3DEEA2B1" w14:textId="117C662F" w:rsidR="00C75E87" w:rsidRPr="00E33BAB" w:rsidRDefault="00C75E87" w:rsidP="008F60A2">
      <w:pPr>
        <w:pStyle w:val="Heading1"/>
        <w:ind w:left="0" w:firstLine="0"/>
        <w:jc w:val="left"/>
        <w:rPr>
          <w:rFonts w:asciiTheme="majorHAnsi" w:hAnsiTheme="majorHAnsi" w:cstheme="majorHAnsi"/>
          <w:sz w:val="28"/>
          <w:szCs w:val="28"/>
        </w:rPr>
      </w:pPr>
      <w:bookmarkStart w:id="14" w:name="_Toc35000690"/>
      <w:r w:rsidRPr="00E33BAB">
        <w:rPr>
          <w:rFonts w:asciiTheme="majorHAnsi" w:hAnsiTheme="majorHAnsi" w:cstheme="majorHAnsi"/>
          <w:sz w:val="28"/>
          <w:szCs w:val="28"/>
        </w:rPr>
        <w:t>R</w:t>
      </w:r>
      <w:r w:rsidR="00AE03C9" w:rsidRPr="00E33BAB">
        <w:rPr>
          <w:rFonts w:asciiTheme="majorHAnsi" w:hAnsiTheme="majorHAnsi" w:cstheme="majorHAnsi"/>
          <w:sz w:val="28"/>
          <w:szCs w:val="28"/>
        </w:rPr>
        <w:t>ESPONSABILITĂȚILE AUDITORULUI ÎNTR-UN AUDIT AL RAPOARTELOR</w:t>
      </w:r>
      <w:bookmarkEnd w:id="14"/>
      <w:r w:rsidR="005538DC" w:rsidRPr="00E33BAB">
        <w:rPr>
          <w:rFonts w:asciiTheme="majorHAnsi" w:hAnsiTheme="majorHAnsi" w:cstheme="majorHAnsi"/>
          <w:sz w:val="28"/>
          <w:szCs w:val="28"/>
        </w:rPr>
        <w:t xml:space="preserve"> </w:t>
      </w:r>
      <w:r w:rsidR="008C540E" w:rsidRPr="00E33BAB">
        <w:rPr>
          <w:rFonts w:asciiTheme="majorHAnsi" w:hAnsiTheme="majorHAnsi" w:cstheme="majorHAnsi"/>
          <w:sz w:val="28"/>
          <w:szCs w:val="28"/>
        </w:rPr>
        <w:t>FINACIARE</w:t>
      </w:r>
    </w:p>
    <w:p w14:paraId="3F02C134" w14:textId="57076C94" w:rsidR="00B51BAB" w:rsidRPr="00E33BAB" w:rsidRDefault="00B51BAB" w:rsidP="007F2F45">
      <w:pPr>
        <w:autoSpaceDE w:val="0"/>
        <w:autoSpaceDN w:val="0"/>
        <w:adjustRightInd w:val="0"/>
        <w:spacing w:line="276" w:lineRule="auto"/>
        <w:ind w:right="-23"/>
        <w:jc w:val="both"/>
        <w:rPr>
          <w:rFonts w:asciiTheme="majorHAnsi" w:hAnsiTheme="majorHAnsi" w:cstheme="majorHAnsi"/>
          <w:sz w:val="24"/>
          <w:szCs w:val="24"/>
          <w:lang w:val="ro-MD"/>
        </w:rPr>
      </w:pPr>
      <w:r w:rsidRPr="00E33BAB">
        <w:rPr>
          <w:rFonts w:asciiTheme="majorHAnsi" w:hAnsiTheme="majorHAnsi" w:cstheme="majorHAnsi"/>
          <w:sz w:val="24"/>
          <w:szCs w:val="24"/>
          <w:lang w:val="ro-MD"/>
        </w:rPr>
        <w:t>Responsabilitatea noastră este de a planifica și a realiza misiunea de audit, cu obținerea probelor suficiente și adecvate în vederea susținerii bazei pentru opinia de audit. Obiectivele noastre sunt: obținerea unei asigurări rezonabile că rapoartele financiare</w:t>
      </w:r>
      <w:r w:rsidR="00261C90" w:rsidRPr="00E33BAB">
        <w:rPr>
          <w:rFonts w:asciiTheme="majorHAnsi" w:hAnsiTheme="majorHAnsi" w:cstheme="majorHAnsi"/>
          <w:sz w:val="24"/>
          <w:szCs w:val="24"/>
          <w:lang w:val="ro-MD"/>
        </w:rPr>
        <w:t xml:space="preserve"> </w:t>
      </w:r>
      <w:r w:rsidRPr="00E33BAB">
        <w:rPr>
          <w:rFonts w:asciiTheme="majorHAnsi" w:hAnsiTheme="majorHAnsi" w:cstheme="majorHAnsi"/>
          <w:sz w:val="24"/>
          <w:szCs w:val="24"/>
          <w:lang w:val="ro-MD"/>
        </w:rPr>
        <w:t>nu sunt afectate de denaturări semnificative, cauzate de fraude sau erori, precum și emiterea unei opinii.</w:t>
      </w:r>
    </w:p>
    <w:p w14:paraId="30E001AE" w14:textId="6DE2F4DC" w:rsidR="00B51BAB" w:rsidRPr="00E33BAB" w:rsidRDefault="00B51BAB" w:rsidP="007F2F45">
      <w:pPr>
        <w:autoSpaceDE w:val="0"/>
        <w:autoSpaceDN w:val="0"/>
        <w:adjustRightInd w:val="0"/>
        <w:spacing w:line="276" w:lineRule="auto"/>
        <w:ind w:right="-23"/>
        <w:jc w:val="both"/>
        <w:rPr>
          <w:rFonts w:asciiTheme="majorHAnsi" w:hAnsiTheme="majorHAnsi" w:cstheme="majorHAnsi"/>
          <w:sz w:val="24"/>
          <w:szCs w:val="24"/>
          <w:lang w:val="ro-MD"/>
        </w:rPr>
      </w:pPr>
      <w:r w:rsidRPr="00E33BAB">
        <w:rPr>
          <w:rFonts w:asciiTheme="majorHAnsi" w:hAnsiTheme="majorHAnsi" w:cstheme="majorHAnsi"/>
          <w:sz w:val="24"/>
          <w:szCs w:val="24"/>
          <w:lang w:val="ro-MD"/>
        </w:rPr>
        <w:t xml:space="preserve">Asigurarea rezonabilă este un nivel ridicat de asigurare, dar nu este o garanție că un audit efectuat în conformitate cu Standardele Internaționale va detecta întotdeauna o denaturare semnificativă atunci când ea există. Denaturările pot fi </w:t>
      </w:r>
      <w:r w:rsidR="00261955" w:rsidRPr="00E33BAB">
        <w:rPr>
          <w:rFonts w:asciiTheme="majorHAnsi" w:hAnsiTheme="majorHAnsi" w:cstheme="majorHAnsi"/>
          <w:sz w:val="24"/>
          <w:szCs w:val="24"/>
          <w:lang w:val="ro-MD"/>
        </w:rPr>
        <w:t xml:space="preserve">ca </w:t>
      </w:r>
      <w:r w:rsidRPr="00E33BAB">
        <w:rPr>
          <w:rFonts w:asciiTheme="majorHAnsi" w:hAnsiTheme="majorHAnsi" w:cstheme="majorHAnsi"/>
          <w:sz w:val="24"/>
          <w:szCs w:val="24"/>
          <w:lang w:val="ro-MD"/>
        </w:rPr>
        <w:t xml:space="preserve">urmare a fraudelor sau erorilor. Totodată, denaturările pot fi considerate semnificative dacă, în mod individual sau în ansamblu, pot influența deciziile economice ale utilizatorilor acestor rapoarte financiare consolidate. </w:t>
      </w:r>
    </w:p>
    <w:p w14:paraId="047B7F87" w14:textId="15AEAB10" w:rsidR="00B51BAB" w:rsidRPr="00E33BAB" w:rsidRDefault="00B51BAB" w:rsidP="00930B4E">
      <w:pPr>
        <w:autoSpaceDE w:val="0"/>
        <w:autoSpaceDN w:val="0"/>
        <w:adjustRightInd w:val="0"/>
        <w:spacing w:after="0" w:line="276" w:lineRule="auto"/>
        <w:ind w:right="-23"/>
        <w:jc w:val="both"/>
        <w:rPr>
          <w:rFonts w:asciiTheme="majorHAnsi" w:hAnsiTheme="majorHAnsi" w:cstheme="majorHAnsi"/>
          <w:sz w:val="24"/>
          <w:szCs w:val="24"/>
          <w:lang w:val="ro-MD"/>
        </w:rPr>
      </w:pPr>
      <w:r w:rsidRPr="00E33BAB">
        <w:rPr>
          <w:rFonts w:asciiTheme="majorHAnsi" w:hAnsiTheme="majorHAnsi" w:cstheme="majorHAnsi"/>
          <w:sz w:val="24"/>
          <w:szCs w:val="24"/>
          <w:lang w:val="ro-MD"/>
        </w:rPr>
        <w:t>O descriere suplimentară a responsabilităților auditorului într-un audit al rapoartelor financ</w:t>
      </w:r>
      <w:r w:rsidR="00CE217F" w:rsidRPr="00E33BAB">
        <w:rPr>
          <w:rFonts w:asciiTheme="majorHAnsi" w:hAnsiTheme="majorHAnsi" w:cstheme="majorHAnsi"/>
          <w:sz w:val="24"/>
          <w:szCs w:val="24"/>
          <w:lang w:val="ro-MD"/>
        </w:rPr>
        <w:t>iare este plasată pe site-ul Curții de Conturi, la adresa:</w:t>
      </w:r>
      <w:r w:rsidR="00CE217F" w:rsidRPr="00E33BAB">
        <w:rPr>
          <w:rFonts w:asciiTheme="majorHAnsi" w:hAnsiTheme="majorHAnsi" w:cstheme="majorHAnsi"/>
          <w:i/>
          <w:sz w:val="24"/>
          <w:szCs w:val="24"/>
          <w:lang w:val="ro-MD"/>
        </w:rPr>
        <w:t xml:space="preserve"> </w:t>
      </w:r>
      <w:hyperlink r:id="rId11" w:history="1">
        <w:r w:rsidR="00CE217F" w:rsidRPr="00E33BAB">
          <w:rPr>
            <w:rStyle w:val="Hyperlink"/>
            <w:rFonts w:asciiTheme="majorHAnsi" w:hAnsiTheme="majorHAnsi" w:cstheme="majorHAnsi"/>
            <w:i/>
            <w:sz w:val="24"/>
            <w:szCs w:val="24"/>
            <w:lang w:val="ro-MD"/>
          </w:rPr>
          <w:t>http://www.ccrm.md/activitatea-curtii-de-conturi-1-25</w:t>
        </w:r>
      </w:hyperlink>
      <w:r w:rsidRPr="00E33BAB">
        <w:rPr>
          <w:rFonts w:asciiTheme="majorHAnsi" w:hAnsiTheme="majorHAnsi" w:cstheme="majorHAnsi"/>
          <w:i/>
          <w:sz w:val="24"/>
          <w:szCs w:val="24"/>
          <w:lang w:val="ro-MD"/>
        </w:rPr>
        <w:t>.</w:t>
      </w:r>
      <w:r w:rsidRPr="00E33BAB">
        <w:rPr>
          <w:rFonts w:asciiTheme="majorHAnsi" w:hAnsiTheme="majorHAnsi" w:cstheme="majorHAnsi"/>
          <w:sz w:val="24"/>
          <w:szCs w:val="24"/>
          <w:lang w:val="ro-MD"/>
        </w:rPr>
        <w:t xml:space="preserve"> Această descriere face parte din Raportul nostru de audit.</w:t>
      </w:r>
    </w:p>
    <w:p w14:paraId="21E87EF2" w14:textId="77777777" w:rsidR="001A455D" w:rsidRPr="00E33BAB" w:rsidRDefault="001A455D" w:rsidP="00930B4E">
      <w:pPr>
        <w:spacing w:after="0" w:line="276" w:lineRule="auto"/>
        <w:rPr>
          <w:rFonts w:asciiTheme="majorHAnsi" w:hAnsiTheme="majorHAnsi" w:cstheme="majorHAnsi"/>
          <w:b/>
          <w:color w:val="000000" w:themeColor="text1"/>
          <w:sz w:val="24"/>
          <w:szCs w:val="24"/>
          <w:lang w:val="ro-MD"/>
        </w:rPr>
      </w:pPr>
    </w:p>
    <w:p w14:paraId="0776B320" w14:textId="77777777" w:rsidR="00652D50" w:rsidRPr="00E33BAB" w:rsidRDefault="00652D50" w:rsidP="00930B4E">
      <w:pPr>
        <w:spacing w:after="0" w:line="276" w:lineRule="auto"/>
        <w:jc w:val="both"/>
        <w:rPr>
          <w:rFonts w:asciiTheme="majorHAnsi" w:hAnsiTheme="majorHAnsi" w:cstheme="majorHAnsi"/>
          <w:b/>
          <w:bCs/>
          <w:iCs/>
          <w:sz w:val="24"/>
          <w:szCs w:val="24"/>
          <w:lang w:val="ro-MD"/>
        </w:rPr>
      </w:pPr>
      <w:r w:rsidRPr="00E33BAB">
        <w:rPr>
          <w:rFonts w:asciiTheme="majorHAnsi" w:hAnsiTheme="majorHAnsi" w:cstheme="majorHAnsi"/>
          <w:b/>
          <w:bCs/>
          <w:iCs/>
          <w:sz w:val="24"/>
          <w:szCs w:val="24"/>
          <w:lang w:val="ro-MD"/>
        </w:rPr>
        <w:t>Echipa de audit:</w:t>
      </w:r>
    </w:p>
    <w:p w14:paraId="6FC27D1B" w14:textId="18D08A23" w:rsidR="00652D50" w:rsidRPr="00E33BAB" w:rsidRDefault="009419FE" w:rsidP="00930B4E">
      <w:pPr>
        <w:tabs>
          <w:tab w:val="left" w:pos="1080"/>
        </w:tabs>
        <w:spacing w:after="0" w:line="276" w:lineRule="auto"/>
        <w:contextualSpacing/>
        <w:jc w:val="both"/>
        <w:rPr>
          <w:rFonts w:asciiTheme="majorHAnsi" w:hAnsiTheme="majorHAnsi" w:cstheme="majorHAnsi"/>
          <w:bCs/>
          <w:iCs/>
          <w:sz w:val="24"/>
          <w:szCs w:val="24"/>
          <w:lang w:val="ro-MD"/>
        </w:rPr>
      </w:pPr>
      <w:r>
        <w:rPr>
          <w:rFonts w:asciiTheme="majorHAnsi" w:hAnsiTheme="majorHAnsi" w:cstheme="majorHAnsi"/>
          <w:bCs/>
          <w:iCs/>
          <w:sz w:val="24"/>
          <w:szCs w:val="24"/>
          <w:lang w:val="ro-MD"/>
        </w:rPr>
        <w:t>ș</w:t>
      </w:r>
      <w:r w:rsidR="00652D50" w:rsidRPr="00E33BAB">
        <w:rPr>
          <w:rFonts w:asciiTheme="majorHAnsi" w:hAnsiTheme="majorHAnsi" w:cstheme="majorHAnsi"/>
          <w:bCs/>
          <w:iCs/>
          <w:sz w:val="24"/>
          <w:szCs w:val="24"/>
          <w:lang w:val="ro-MD"/>
        </w:rPr>
        <w:t xml:space="preserve">eful echipei de audit, </w:t>
      </w:r>
    </w:p>
    <w:p w14:paraId="316C5185" w14:textId="03B5DB5F" w:rsidR="00652D50" w:rsidRPr="00E33BAB" w:rsidRDefault="009419FE" w:rsidP="00930B4E">
      <w:pPr>
        <w:tabs>
          <w:tab w:val="left" w:pos="1080"/>
        </w:tabs>
        <w:spacing w:after="0" w:line="276" w:lineRule="auto"/>
        <w:contextualSpacing/>
        <w:jc w:val="both"/>
        <w:rPr>
          <w:rFonts w:asciiTheme="majorHAnsi" w:hAnsiTheme="majorHAnsi" w:cstheme="majorHAnsi"/>
          <w:sz w:val="24"/>
          <w:szCs w:val="24"/>
          <w:lang w:val="ro-MD"/>
        </w:rPr>
      </w:pPr>
      <w:r>
        <w:rPr>
          <w:rFonts w:asciiTheme="majorHAnsi" w:hAnsiTheme="majorHAnsi" w:cstheme="majorHAnsi"/>
          <w:sz w:val="24"/>
          <w:szCs w:val="24"/>
          <w:lang w:val="ro-MD"/>
        </w:rPr>
        <w:t>a</w:t>
      </w:r>
      <w:r w:rsidR="00895E82" w:rsidRPr="00E33BAB">
        <w:rPr>
          <w:rFonts w:asciiTheme="majorHAnsi" w:hAnsiTheme="majorHAnsi" w:cstheme="majorHAnsi"/>
          <w:sz w:val="24"/>
          <w:szCs w:val="24"/>
          <w:lang w:val="ro-MD"/>
        </w:rPr>
        <w:t>uditor public principal</w:t>
      </w:r>
      <w:r w:rsidR="005E19F1" w:rsidRPr="00E33BAB">
        <w:rPr>
          <w:rFonts w:asciiTheme="majorHAnsi" w:hAnsiTheme="majorHAnsi" w:cstheme="majorHAnsi"/>
          <w:sz w:val="24"/>
          <w:szCs w:val="24"/>
          <w:lang w:val="ro-MD"/>
        </w:rPr>
        <w:tab/>
      </w:r>
      <w:r w:rsidR="005E19F1" w:rsidRPr="00E33BAB">
        <w:rPr>
          <w:rFonts w:asciiTheme="majorHAnsi" w:hAnsiTheme="majorHAnsi" w:cstheme="majorHAnsi"/>
          <w:sz w:val="24"/>
          <w:szCs w:val="24"/>
          <w:lang w:val="ro-MD"/>
        </w:rPr>
        <w:tab/>
      </w:r>
      <w:r w:rsidR="005E19F1" w:rsidRPr="00E33BAB">
        <w:rPr>
          <w:rFonts w:asciiTheme="majorHAnsi" w:hAnsiTheme="majorHAnsi" w:cstheme="majorHAnsi"/>
          <w:sz w:val="24"/>
          <w:szCs w:val="24"/>
          <w:lang w:val="ro-MD"/>
        </w:rPr>
        <w:tab/>
      </w:r>
      <w:r w:rsidR="00652D50" w:rsidRPr="00E33BAB">
        <w:rPr>
          <w:rFonts w:asciiTheme="majorHAnsi" w:hAnsiTheme="majorHAnsi" w:cstheme="majorHAnsi"/>
          <w:sz w:val="24"/>
          <w:szCs w:val="24"/>
          <w:lang w:val="ro-MD"/>
        </w:rPr>
        <w:tab/>
      </w:r>
      <w:r w:rsidR="00652D50" w:rsidRPr="00E33BAB">
        <w:rPr>
          <w:rFonts w:asciiTheme="majorHAnsi" w:hAnsiTheme="majorHAnsi" w:cstheme="majorHAnsi"/>
          <w:sz w:val="24"/>
          <w:szCs w:val="24"/>
          <w:lang w:val="ro-MD"/>
        </w:rPr>
        <w:tab/>
      </w:r>
      <w:r w:rsidR="00895E82" w:rsidRPr="00E33BAB">
        <w:rPr>
          <w:rFonts w:asciiTheme="majorHAnsi" w:hAnsiTheme="majorHAnsi" w:cstheme="majorHAnsi"/>
          <w:sz w:val="24"/>
          <w:szCs w:val="24"/>
          <w:lang w:val="ro-MD"/>
        </w:rPr>
        <w:t xml:space="preserve">                         Anastasia Danilcova</w:t>
      </w:r>
    </w:p>
    <w:p w14:paraId="78C91945" w14:textId="77777777" w:rsidR="00F61F5F" w:rsidRPr="00E33BAB" w:rsidRDefault="00F61F5F" w:rsidP="00930B4E">
      <w:pPr>
        <w:tabs>
          <w:tab w:val="left" w:pos="1080"/>
        </w:tabs>
        <w:spacing w:after="0" w:line="276" w:lineRule="auto"/>
        <w:contextualSpacing/>
        <w:jc w:val="both"/>
        <w:rPr>
          <w:rFonts w:asciiTheme="majorHAnsi" w:hAnsiTheme="majorHAnsi" w:cstheme="majorHAnsi"/>
          <w:sz w:val="24"/>
          <w:szCs w:val="24"/>
          <w:lang w:val="ro-MD"/>
        </w:rPr>
      </w:pPr>
    </w:p>
    <w:p w14:paraId="23801F6E" w14:textId="040553B1" w:rsidR="00652D50" w:rsidRPr="00E33BAB" w:rsidRDefault="00652D50" w:rsidP="00930B4E">
      <w:pPr>
        <w:tabs>
          <w:tab w:val="left" w:pos="1080"/>
        </w:tabs>
        <w:spacing w:after="0" w:line="276" w:lineRule="auto"/>
        <w:contextualSpacing/>
        <w:jc w:val="both"/>
        <w:rPr>
          <w:rFonts w:asciiTheme="majorHAnsi" w:hAnsiTheme="majorHAnsi" w:cstheme="majorHAnsi"/>
          <w:sz w:val="24"/>
          <w:szCs w:val="24"/>
          <w:lang w:val="ro-MD"/>
        </w:rPr>
      </w:pPr>
      <w:r w:rsidRPr="00E33BAB">
        <w:rPr>
          <w:rFonts w:asciiTheme="majorHAnsi" w:hAnsiTheme="majorHAnsi" w:cstheme="majorHAnsi"/>
          <w:sz w:val="24"/>
          <w:szCs w:val="24"/>
          <w:lang w:val="ro-MD"/>
        </w:rPr>
        <w:tab/>
        <w:t xml:space="preserve"> </w:t>
      </w:r>
    </w:p>
    <w:p w14:paraId="054276B6" w14:textId="04A2C4F3" w:rsidR="00652D50" w:rsidRPr="00E33BAB" w:rsidRDefault="009419FE" w:rsidP="00930B4E">
      <w:pPr>
        <w:tabs>
          <w:tab w:val="left" w:pos="1080"/>
        </w:tabs>
        <w:spacing w:after="0" w:line="276" w:lineRule="auto"/>
        <w:contextualSpacing/>
        <w:jc w:val="both"/>
        <w:rPr>
          <w:rFonts w:asciiTheme="majorHAnsi" w:hAnsiTheme="majorHAnsi" w:cstheme="majorHAnsi"/>
          <w:sz w:val="24"/>
          <w:szCs w:val="24"/>
          <w:lang w:val="ro-MD"/>
        </w:rPr>
      </w:pPr>
      <w:r>
        <w:rPr>
          <w:rFonts w:asciiTheme="majorHAnsi" w:hAnsiTheme="majorHAnsi" w:cstheme="majorHAnsi"/>
          <w:sz w:val="24"/>
          <w:szCs w:val="24"/>
          <w:lang w:val="ro-MD"/>
        </w:rPr>
        <w:t>a</w:t>
      </w:r>
      <w:r w:rsidR="00652D50" w:rsidRPr="00E33BAB">
        <w:rPr>
          <w:rFonts w:asciiTheme="majorHAnsi" w:hAnsiTheme="majorHAnsi" w:cstheme="majorHAnsi"/>
          <w:sz w:val="24"/>
          <w:szCs w:val="24"/>
          <w:lang w:val="ro-MD"/>
        </w:rPr>
        <w:t>uditor public superior</w:t>
      </w:r>
      <w:r w:rsidR="00652D50" w:rsidRPr="00E33BAB">
        <w:rPr>
          <w:rFonts w:asciiTheme="majorHAnsi" w:hAnsiTheme="majorHAnsi" w:cstheme="majorHAnsi"/>
          <w:sz w:val="24"/>
          <w:szCs w:val="24"/>
          <w:lang w:val="ro-MD"/>
        </w:rPr>
        <w:tab/>
      </w:r>
      <w:r w:rsidR="00652D50" w:rsidRPr="00E33BAB">
        <w:rPr>
          <w:rFonts w:asciiTheme="majorHAnsi" w:hAnsiTheme="majorHAnsi" w:cstheme="majorHAnsi"/>
          <w:sz w:val="24"/>
          <w:szCs w:val="24"/>
          <w:lang w:val="ro-MD"/>
        </w:rPr>
        <w:tab/>
      </w:r>
      <w:r w:rsidR="00652D50" w:rsidRPr="00E33BAB">
        <w:rPr>
          <w:rFonts w:asciiTheme="majorHAnsi" w:hAnsiTheme="majorHAnsi" w:cstheme="majorHAnsi"/>
          <w:sz w:val="24"/>
          <w:szCs w:val="24"/>
          <w:lang w:val="ro-MD"/>
        </w:rPr>
        <w:tab/>
      </w:r>
      <w:r w:rsidR="00652D50" w:rsidRPr="00E33BAB">
        <w:rPr>
          <w:rFonts w:asciiTheme="majorHAnsi" w:hAnsiTheme="majorHAnsi" w:cstheme="majorHAnsi"/>
          <w:sz w:val="24"/>
          <w:szCs w:val="24"/>
          <w:lang w:val="ro-MD"/>
        </w:rPr>
        <w:tab/>
      </w:r>
      <w:r w:rsidR="00652D50" w:rsidRPr="00E33BAB">
        <w:rPr>
          <w:rFonts w:asciiTheme="majorHAnsi" w:hAnsiTheme="majorHAnsi" w:cstheme="majorHAnsi"/>
          <w:sz w:val="24"/>
          <w:szCs w:val="24"/>
          <w:lang w:val="ro-MD"/>
        </w:rPr>
        <w:tab/>
      </w:r>
      <w:r w:rsidR="00652D50" w:rsidRPr="00E33BAB">
        <w:rPr>
          <w:rFonts w:asciiTheme="majorHAnsi" w:hAnsiTheme="majorHAnsi" w:cstheme="majorHAnsi"/>
          <w:sz w:val="24"/>
          <w:szCs w:val="24"/>
          <w:lang w:val="ro-MD"/>
        </w:rPr>
        <w:tab/>
      </w:r>
      <w:r w:rsidR="00652D50" w:rsidRPr="00E33BAB">
        <w:rPr>
          <w:rFonts w:asciiTheme="majorHAnsi" w:hAnsiTheme="majorHAnsi" w:cstheme="majorHAnsi"/>
          <w:sz w:val="24"/>
          <w:szCs w:val="24"/>
          <w:lang w:val="ro-MD"/>
        </w:rPr>
        <w:tab/>
        <w:t>Elena Mirciu</w:t>
      </w:r>
    </w:p>
    <w:p w14:paraId="61D0DCFC" w14:textId="4F8D3945" w:rsidR="00652D50" w:rsidRPr="00E33BAB" w:rsidRDefault="009419FE" w:rsidP="00930B4E">
      <w:pPr>
        <w:tabs>
          <w:tab w:val="left" w:pos="1080"/>
        </w:tabs>
        <w:spacing w:after="0" w:line="276" w:lineRule="auto"/>
        <w:contextualSpacing/>
        <w:jc w:val="both"/>
        <w:rPr>
          <w:rFonts w:asciiTheme="majorHAnsi" w:hAnsiTheme="majorHAnsi" w:cstheme="majorHAnsi"/>
          <w:sz w:val="24"/>
          <w:szCs w:val="24"/>
          <w:lang w:val="ro-MD"/>
        </w:rPr>
      </w:pPr>
      <w:r>
        <w:rPr>
          <w:rFonts w:asciiTheme="majorHAnsi" w:hAnsiTheme="majorHAnsi" w:cstheme="majorHAnsi"/>
          <w:sz w:val="24"/>
          <w:szCs w:val="24"/>
          <w:lang w:val="ro-MD"/>
        </w:rPr>
        <w:t>a</w:t>
      </w:r>
      <w:r w:rsidR="00652D50" w:rsidRPr="00E33BAB">
        <w:rPr>
          <w:rFonts w:asciiTheme="majorHAnsi" w:hAnsiTheme="majorHAnsi" w:cstheme="majorHAnsi"/>
          <w:sz w:val="24"/>
          <w:szCs w:val="24"/>
          <w:lang w:val="ro-MD"/>
        </w:rPr>
        <w:t>uditor public</w:t>
      </w:r>
      <w:r w:rsidR="00652D50" w:rsidRPr="00E33BAB">
        <w:rPr>
          <w:rFonts w:asciiTheme="majorHAnsi" w:hAnsiTheme="majorHAnsi" w:cstheme="majorHAnsi"/>
          <w:sz w:val="24"/>
          <w:szCs w:val="24"/>
          <w:lang w:val="ro-MD"/>
        </w:rPr>
        <w:tab/>
      </w:r>
      <w:r w:rsidR="00652D50" w:rsidRPr="00E33BAB">
        <w:rPr>
          <w:rFonts w:asciiTheme="majorHAnsi" w:hAnsiTheme="majorHAnsi" w:cstheme="majorHAnsi"/>
          <w:sz w:val="24"/>
          <w:szCs w:val="24"/>
          <w:lang w:val="ro-MD"/>
        </w:rPr>
        <w:tab/>
      </w:r>
      <w:r w:rsidR="00652D50" w:rsidRPr="00E33BAB">
        <w:rPr>
          <w:rFonts w:asciiTheme="majorHAnsi" w:hAnsiTheme="majorHAnsi" w:cstheme="majorHAnsi"/>
          <w:sz w:val="24"/>
          <w:szCs w:val="24"/>
          <w:lang w:val="ro-MD"/>
        </w:rPr>
        <w:tab/>
      </w:r>
      <w:r w:rsidR="00652D50" w:rsidRPr="00E33BAB">
        <w:rPr>
          <w:rFonts w:asciiTheme="majorHAnsi" w:hAnsiTheme="majorHAnsi" w:cstheme="majorHAnsi"/>
          <w:sz w:val="24"/>
          <w:szCs w:val="24"/>
          <w:lang w:val="ro-MD"/>
        </w:rPr>
        <w:tab/>
      </w:r>
      <w:r w:rsidR="00652D50" w:rsidRPr="00E33BAB">
        <w:rPr>
          <w:rFonts w:asciiTheme="majorHAnsi" w:hAnsiTheme="majorHAnsi" w:cstheme="majorHAnsi"/>
          <w:sz w:val="24"/>
          <w:szCs w:val="24"/>
          <w:lang w:val="ro-MD"/>
        </w:rPr>
        <w:tab/>
      </w:r>
      <w:r w:rsidR="00652D50" w:rsidRPr="00E33BAB">
        <w:rPr>
          <w:rFonts w:asciiTheme="majorHAnsi" w:hAnsiTheme="majorHAnsi" w:cstheme="majorHAnsi"/>
          <w:sz w:val="24"/>
          <w:szCs w:val="24"/>
          <w:lang w:val="ro-MD"/>
        </w:rPr>
        <w:tab/>
      </w:r>
      <w:r w:rsidR="00652D50" w:rsidRPr="00E33BAB">
        <w:rPr>
          <w:rFonts w:asciiTheme="majorHAnsi" w:hAnsiTheme="majorHAnsi" w:cstheme="majorHAnsi"/>
          <w:sz w:val="24"/>
          <w:szCs w:val="24"/>
          <w:lang w:val="ro-MD"/>
        </w:rPr>
        <w:tab/>
      </w:r>
      <w:r w:rsidR="00652D50" w:rsidRPr="00E33BAB">
        <w:rPr>
          <w:rFonts w:asciiTheme="majorHAnsi" w:hAnsiTheme="majorHAnsi" w:cstheme="majorHAnsi"/>
          <w:sz w:val="24"/>
          <w:szCs w:val="24"/>
          <w:lang w:val="ro-MD"/>
        </w:rPr>
        <w:tab/>
      </w:r>
      <w:r w:rsidR="00652D50" w:rsidRPr="00E33BAB">
        <w:rPr>
          <w:rFonts w:asciiTheme="majorHAnsi" w:hAnsiTheme="majorHAnsi" w:cstheme="majorHAnsi"/>
          <w:sz w:val="24"/>
          <w:szCs w:val="24"/>
          <w:lang w:val="ro-MD"/>
        </w:rPr>
        <w:tab/>
        <w:t>Ana Miron</w:t>
      </w:r>
    </w:p>
    <w:p w14:paraId="24BAAA95" w14:textId="77777777" w:rsidR="00652D50" w:rsidRPr="00E33BAB" w:rsidRDefault="00652D50" w:rsidP="00930B4E">
      <w:pPr>
        <w:spacing w:after="0" w:line="276" w:lineRule="auto"/>
        <w:rPr>
          <w:rFonts w:asciiTheme="majorHAnsi" w:hAnsiTheme="majorHAnsi" w:cstheme="majorHAnsi"/>
          <w:b/>
          <w:bCs/>
          <w:iCs/>
          <w:sz w:val="24"/>
          <w:szCs w:val="24"/>
          <w:lang w:val="ro-MD"/>
        </w:rPr>
      </w:pPr>
    </w:p>
    <w:p w14:paraId="282ED359" w14:textId="77777777" w:rsidR="00652D50" w:rsidRPr="00E33BAB" w:rsidRDefault="00652D50" w:rsidP="00930B4E">
      <w:pPr>
        <w:spacing w:after="0" w:line="276" w:lineRule="auto"/>
        <w:rPr>
          <w:rFonts w:asciiTheme="majorHAnsi" w:hAnsiTheme="majorHAnsi" w:cstheme="majorHAnsi"/>
          <w:b/>
          <w:bCs/>
          <w:iCs/>
          <w:sz w:val="24"/>
          <w:szCs w:val="24"/>
          <w:lang w:val="ro-MD"/>
        </w:rPr>
      </w:pPr>
      <w:r w:rsidRPr="00E33BAB">
        <w:rPr>
          <w:rFonts w:asciiTheme="majorHAnsi" w:hAnsiTheme="majorHAnsi" w:cstheme="majorHAnsi"/>
          <w:b/>
          <w:bCs/>
          <w:iCs/>
          <w:sz w:val="24"/>
          <w:szCs w:val="24"/>
          <w:lang w:val="ro-MD"/>
        </w:rPr>
        <w:t xml:space="preserve">Responsabil de monitorizarea și asigurarea calității auditului: </w:t>
      </w:r>
    </w:p>
    <w:p w14:paraId="30CA45E6" w14:textId="23D54567" w:rsidR="0087760E" w:rsidRPr="00E33BAB" w:rsidRDefault="009419FE" w:rsidP="00856C81">
      <w:pPr>
        <w:tabs>
          <w:tab w:val="left" w:pos="1080"/>
        </w:tabs>
        <w:spacing w:after="0" w:line="276" w:lineRule="auto"/>
        <w:contextualSpacing/>
        <w:jc w:val="both"/>
        <w:rPr>
          <w:rFonts w:asciiTheme="majorHAnsi" w:hAnsiTheme="majorHAnsi" w:cstheme="majorHAnsi"/>
          <w:sz w:val="24"/>
          <w:szCs w:val="24"/>
          <w:lang w:val="ro-MD"/>
        </w:rPr>
      </w:pPr>
      <w:r>
        <w:rPr>
          <w:rFonts w:asciiTheme="majorHAnsi" w:hAnsiTheme="majorHAnsi" w:cstheme="majorHAnsi"/>
          <w:sz w:val="24"/>
          <w:szCs w:val="24"/>
          <w:lang w:val="ro-MD"/>
        </w:rPr>
        <w:t>ș</w:t>
      </w:r>
      <w:r w:rsidR="00652D50" w:rsidRPr="00E33BAB">
        <w:rPr>
          <w:rFonts w:asciiTheme="majorHAnsi" w:hAnsiTheme="majorHAnsi" w:cstheme="majorHAnsi"/>
          <w:sz w:val="24"/>
          <w:szCs w:val="24"/>
          <w:lang w:val="ro-MD"/>
        </w:rPr>
        <w:t>eful Direcției generale de audit II</w:t>
      </w:r>
      <w:r w:rsidR="00652D50" w:rsidRPr="00E33BAB">
        <w:rPr>
          <w:rFonts w:asciiTheme="majorHAnsi" w:hAnsiTheme="majorHAnsi" w:cstheme="majorHAnsi"/>
          <w:sz w:val="24"/>
          <w:szCs w:val="24"/>
          <w:lang w:val="ro-MD"/>
        </w:rPr>
        <w:tab/>
      </w:r>
      <w:r w:rsidR="00652D50" w:rsidRPr="00E33BAB">
        <w:rPr>
          <w:rFonts w:asciiTheme="majorHAnsi" w:hAnsiTheme="majorHAnsi" w:cstheme="majorHAnsi"/>
          <w:sz w:val="24"/>
          <w:szCs w:val="24"/>
          <w:lang w:val="ro-MD"/>
        </w:rPr>
        <w:tab/>
      </w:r>
      <w:r w:rsidR="00652D50" w:rsidRPr="00E33BAB">
        <w:rPr>
          <w:rFonts w:asciiTheme="majorHAnsi" w:hAnsiTheme="majorHAnsi" w:cstheme="majorHAnsi"/>
          <w:sz w:val="24"/>
          <w:szCs w:val="24"/>
          <w:lang w:val="ro-MD"/>
        </w:rPr>
        <w:tab/>
      </w:r>
      <w:r w:rsidR="00652D50" w:rsidRPr="00E33BAB">
        <w:rPr>
          <w:rFonts w:asciiTheme="majorHAnsi" w:hAnsiTheme="majorHAnsi" w:cstheme="majorHAnsi"/>
          <w:sz w:val="24"/>
          <w:szCs w:val="24"/>
          <w:lang w:val="ro-MD"/>
        </w:rPr>
        <w:tab/>
      </w:r>
      <w:r w:rsidR="00652D50" w:rsidRPr="00E33BAB">
        <w:rPr>
          <w:rFonts w:asciiTheme="majorHAnsi" w:hAnsiTheme="majorHAnsi" w:cstheme="majorHAnsi"/>
          <w:sz w:val="24"/>
          <w:szCs w:val="24"/>
          <w:lang w:val="ro-MD"/>
        </w:rPr>
        <w:tab/>
      </w:r>
      <w:r w:rsidR="00652D50" w:rsidRPr="00E33BAB">
        <w:rPr>
          <w:rFonts w:asciiTheme="majorHAnsi" w:hAnsiTheme="majorHAnsi" w:cstheme="majorHAnsi"/>
          <w:sz w:val="24"/>
          <w:szCs w:val="24"/>
          <w:lang w:val="ro-MD"/>
        </w:rPr>
        <w:tab/>
        <w:t>Sofia Ciuvalschi</w:t>
      </w:r>
      <w:r w:rsidR="00EE50E1" w:rsidRPr="00E33BAB">
        <w:rPr>
          <w:rFonts w:asciiTheme="majorHAnsi" w:hAnsiTheme="majorHAnsi" w:cstheme="majorHAnsi"/>
          <w:sz w:val="24"/>
          <w:szCs w:val="24"/>
          <w:lang w:val="ro-MD"/>
        </w:rPr>
        <w:t xml:space="preserve"> </w:t>
      </w:r>
    </w:p>
    <w:p w14:paraId="23033D52" w14:textId="71DBD71D" w:rsidR="00C32938" w:rsidRPr="00E33BAB" w:rsidRDefault="00C32938" w:rsidP="00FE2C3F">
      <w:pPr>
        <w:spacing w:after="0" w:line="240" w:lineRule="auto"/>
        <w:rPr>
          <w:rFonts w:ascii="Calibri Light" w:eastAsia="Times New Roman" w:hAnsi="Calibri Light" w:cs="Calibri Light"/>
          <w:b/>
          <w:bCs/>
          <w:color w:val="000000"/>
          <w:sz w:val="20"/>
          <w:szCs w:val="20"/>
          <w:lang w:val="ro-MD"/>
        </w:rPr>
      </w:pPr>
    </w:p>
    <w:p w14:paraId="43921359" w14:textId="77777777" w:rsidR="00895E82" w:rsidRPr="00E33BAB" w:rsidRDefault="00895E82" w:rsidP="00FE2C3F">
      <w:pPr>
        <w:spacing w:after="0" w:line="240" w:lineRule="auto"/>
        <w:rPr>
          <w:rFonts w:ascii="Calibri Light" w:eastAsia="Times New Roman" w:hAnsi="Calibri Light" w:cs="Calibri Light"/>
          <w:b/>
          <w:bCs/>
          <w:color w:val="000000"/>
          <w:sz w:val="20"/>
          <w:szCs w:val="20"/>
          <w:lang w:val="ro-MD"/>
        </w:rPr>
      </w:pPr>
    </w:p>
    <w:p w14:paraId="09DB4D3B" w14:textId="47D44EDE" w:rsidR="00895E82" w:rsidRPr="00E33BAB" w:rsidRDefault="009419FE" w:rsidP="00895E82">
      <w:pPr>
        <w:tabs>
          <w:tab w:val="left" w:pos="1080"/>
        </w:tabs>
        <w:spacing w:after="0" w:line="276" w:lineRule="auto"/>
        <w:contextualSpacing/>
        <w:jc w:val="both"/>
        <w:rPr>
          <w:rFonts w:asciiTheme="majorHAnsi" w:hAnsiTheme="majorHAnsi" w:cstheme="majorHAnsi"/>
          <w:sz w:val="24"/>
          <w:szCs w:val="24"/>
          <w:lang w:val="ro-MD"/>
        </w:rPr>
      </w:pPr>
      <w:r>
        <w:rPr>
          <w:rFonts w:asciiTheme="majorHAnsi" w:hAnsiTheme="majorHAnsi" w:cstheme="majorHAnsi"/>
          <w:sz w:val="24"/>
          <w:szCs w:val="24"/>
          <w:lang w:val="ro-MD"/>
        </w:rPr>
        <w:t>ș</w:t>
      </w:r>
      <w:r w:rsidR="00895E82" w:rsidRPr="00E33BAB">
        <w:rPr>
          <w:rFonts w:asciiTheme="majorHAnsi" w:hAnsiTheme="majorHAnsi" w:cstheme="majorHAnsi"/>
          <w:sz w:val="24"/>
          <w:szCs w:val="24"/>
          <w:lang w:val="ro-MD"/>
        </w:rPr>
        <w:t>ef</w:t>
      </w:r>
      <w:r>
        <w:rPr>
          <w:rFonts w:asciiTheme="majorHAnsi" w:hAnsiTheme="majorHAnsi" w:cstheme="majorHAnsi"/>
          <w:sz w:val="24"/>
          <w:szCs w:val="24"/>
          <w:lang w:val="ro-MD"/>
        </w:rPr>
        <w:t>ul</w:t>
      </w:r>
      <w:r w:rsidR="00895E82" w:rsidRPr="00E33BAB">
        <w:rPr>
          <w:rFonts w:asciiTheme="majorHAnsi" w:hAnsiTheme="majorHAnsi" w:cstheme="majorHAnsi"/>
          <w:sz w:val="24"/>
          <w:szCs w:val="24"/>
          <w:lang w:val="ro-MD"/>
        </w:rPr>
        <w:t xml:space="preserve"> interimar al Direcției de audit I </w:t>
      </w:r>
    </w:p>
    <w:p w14:paraId="19D862F5" w14:textId="29A14551" w:rsidR="00A74781" w:rsidRPr="00E33BAB" w:rsidRDefault="009419FE" w:rsidP="00895E82">
      <w:pPr>
        <w:spacing w:after="0" w:line="240" w:lineRule="auto"/>
        <w:rPr>
          <w:rFonts w:ascii="Calibri Light" w:eastAsia="Times New Roman" w:hAnsi="Calibri Light" w:cs="Calibri Light"/>
          <w:b/>
          <w:bCs/>
          <w:color w:val="000000"/>
          <w:sz w:val="20"/>
          <w:szCs w:val="20"/>
          <w:lang w:val="ro-MD"/>
        </w:rPr>
      </w:pPr>
      <w:r>
        <w:rPr>
          <w:rFonts w:asciiTheme="majorHAnsi" w:hAnsiTheme="majorHAnsi" w:cstheme="majorHAnsi"/>
          <w:sz w:val="24"/>
          <w:szCs w:val="24"/>
          <w:lang w:val="ro-MD"/>
        </w:rPr>
        <w:t>di</w:t>
      </w:r>
      <w:r w:rsidR="00895E82" w:rsidRPr="00E33BAB">
        <w:rPr>
          <w:rFonts w:asciiTheme="majorHAnsi" w:hAnsiTheme="majorHAnsi" w:cstheme="majorHAnsi"/>
          <w:sz w:val="24"/>
          <w:szCs w:val="24"/>
          <w:lang w:val="ro-MD"/>
        </w:rPr>
        <w:t>n cadrul Direcției generale de audit II</w:t>
      </w:r>
      <w:r w:rsidR="00895E82" w:rsidRPr="00E33BAB">
        <w:rPr>
          <w:rFonts w:asciiTheme="majorHAnsi" w:hAnsiTheme="majorHAnsi" w:cstheme="majorHAnsi"/>
          <w:sz w:val="24"/>
          <w:szCs w:val="24"/>
          <w:lang w:val="ro-MD"/>
        </w:rPr>
        <w:tab/>
      </w:r>
      <w:r w:rsidR="00895E82" w:rsidRPr="00E33BAB">
        <w:rPr>
          <w:rFonts w:asciiTheme="majorHAnsi" w:hAnsiTheme="majorHAnsi" w:cstheme="majorHAnsi"/>
          <w:sz w:val="24"/>
          <w:szCs w:val="24"/>
          <w:lang w:val="ro-MD"/>
        </w:rPr>
        <w:tab/>
      </w:r>
      <w:r w:rsidR="00895E82" w:rsidRPr="00E33BAB">
        <w:rPr>
          <w:rFonts w:asciiTheme="majorHAnsi" w:hAnsiTheme="majorHAnsi" w:cstheme="majorHAnsi"/>
          <w:sz w:val="24"/>
          <w:szCs w:val="24"/>
          <w:lang w:val="ro-MD"/>
        </w:rPr>
        <w:tab/>
      </w:r>
      <w:r w:rsidR="00895E82" w:rsidRPr="00E33BAB">
        <w:rPr>
          <w:rFonts w:asciiTheme="majorHAnsi" w:hAnsiTheme="majorHAnsi" w:cstheme="majorHAnsi"/>
          <w:sz w:val="24"/>
          <w:szCs w:val="24"/>
          <w:lang w:val="ro-MD"/>
        </w:rPr>
        <w:tab/>
      </w:r>
      <w:r w:rsidR="00895E82" w:rsidRPr="00E33BAB">
        <w:rPr>
          <w:rFonts w:asciiTheme="majorHAnsi" w:hAnsiTheme="majorHAnsi" w:cstheme="majorHAnsi"/>
          <w:sz w:val="24"/>
          <w:szCs w:val="24"/>
          <w:lang w:val="ro-MD"/>
        </w:rPr>
        <w:tab/>
        <w:t>Irina Rogaciov</w:t>
      </w:r>
      <w:r w:rsidR="00895E82" w:rsidRPr="00E33BAB">
        <w:rPr>
          <w:rFonts w:ascii="Calibri Light" w:eastAsia="Times New Roman" w:hAnsi="Calibri Light" w:cs="Calibri Light"/>
          <w:b/>
          <w:bCs/>
          <w:color w:val="000000"/>
          <w:sz w:val="20"/>
          <w:szCs w:val="20"/>
          <w:lang w:val="ro-MD"/>
        </w:rPr>
        <w:t xml:space="preserve"> </w:t>
      </w:r>
      <w:r w:rsidR="00A74781" w:rsidRPr="00E33BAB">
        <w:rPr>
          <w:rFonts w:ascii="Calibri Light" w:eastAsia="Times New Roman" w:hAnsi="Calibri Light" w:cs="Calibri Light"/>
          <w:b/>
          <w:bCs/>
          <w:color w:val="000000"/>
          <w:sz w:val="20"/>
          <w:szCs w:val="20"/>
          <w:lang w:val="ro-MD"/>
        </w:rPr>
        <w:br w:type="page"/>
      </w:r>
    </w:p>
    <w:p w14:paraId="5889694D" w14:textId="78E19B61" w:rsidR="006127E1" w:rsidRPr="00E33BAB" w:rsidRDefault="006127E1" w:rsidP="006127E1">
      <w:pPr>
        <w:pStyle w:val="NormalWeb"/>
        <w:tabs>
          <w:tab w:val="left" w:pos="162"/>
        </w:tabs>
        <w:spacing w:line="276" w:lineRule="auto"/>
        <w:ind w:left="567" w:firstLine="0"/>
        <w:jc w:val="right"/>
        <w:outlineLvl w:val="1"/>
        <w:rPr>
          <w:rFonts w:asciiTheme="majorHAnsi" w:hAnsiTheme="majorHAnsi" w:cstheme="majorHAnsi"/>
          <w:b/>
          <w:lang w:val="ro-MD"/>
        </w:rPr>
        <w:sectPr w:rsidR="006127E1" w:rsidRPr="00E33BAB" w:rsidSect="00C03806">
          <w:headerReference w:type="default" r:id="rId12"/>
          <w:footerReference w:type="default" r:id="rId13"/>
          <w:pgSz w:w="11909" w:h="16834" w:code="9"/>
          <w:pgMar w:top="709" w:right="851" w:bottom="851" w:left="1701" w:header="709" w:footer="709" w:gutter="0"/>
          <w:cols w:space="708"/>
          <w:titlePg/>
          <w:docGrid w:linePitch="360"/>
        </w:sectPr>
      </w:pPr>
    </w:p>
    <w:p w14:paraId="5972B86F" w14:textId="36B8D339" w:rsidR="00FB2043" w:rsidRPr="00D5496A" w:rsidRDefault="00FB2043" w:rsidP="00FB2043">
      <w:pPr>
        <w:keepNext/>
        <w:keepLines/>
        <w:spacing w:before="240" w:after="0"/>
        <w:jc w:val="right"/>
        <w:outlineLvl w:val="0"/>
        <w:rPr>
          <w:rFonts w:asciiTheme="majorHAnsi" w:eastAsiaTheme="majorEastAsia" w:hAnsiTheme="majorHAnsi" w:cstheme="majorHAnsi"/>
          <w:b/>
          <w:sz w:val="24"/>
          <w:szCs w:val="24"/>
          <w:lang w:val="ro-MD"/>
        </w:rPr>
      </w:pPr>
      <w:r w:rsidRPr="00D5496A">
        <w:rPr>
          <w:rFonts w:asciiTheme="majorHAnsi" w:eastAsiaTheme="majorEastAsia" w:hAnsiTheme="majorHAnsi" w:cstheme="majorHAnsi"/>
          <w:b/>
          <w:sz w:val="24"/>
          <w:szCs w:val="24"/>
          <w:lang w:val="ro-MD"/>
        </w:rPr>
        <w:lastRenderedPageBreak/>
        <w:t>Anexa nr.1</w:t>
      </w:r>
    </w:p>
    <w:p w14:paraId="211A525E" w14:textId="77777777" w:rsidR="00FB2043" w:rsidRPr="00E33BAB" w:rsidRDefault="00FB2043" w:rsidP="00FB2043">
      <w:pPr>
        <w:tabs>
          <w:tab w:val="left" w:pos="993"/>
        </w:tabs>
        <w:spacing w:after="0" w:line="276" w:lineRule="auto"/>
        <w:jc w:val="center"/>
        <w:rPr>
          <w:rFonts w:asciiTheme="majorHAnsi" w:hAnsiTheme="majorHAnsi" w:cstheme="majorHAnsi"/>
          <w:b/>
          <w:i/>
          <w:sz w:val="24"/>
          <w:szCs w:val="24"/>
          <w:lang w:val="ro-MD"/>
        </w:rPr>
      </w:pPr>
      <w:r w:rsidRPr="00E33BAB">
        <w:rPr>
          <w:rFonts w:asciiTheme="majorHAnsi" w:hAnsiTheme="majorHAnsi" w:cstheme="majorHAnsi"/>
          <w:b/>
          <w:i/>
          <w:sz w:val="24"/>
          <w:szCs w:val="24"/>
          <w:lang w:val="ro-MD"/>
        </w:rPr>
        <w:t xml:space="preserve">Acțiunile stabilite în Acordul de finanțare „Modernizarea sectorului sănătății în Republica Moldova”. </w:t>
      </w:r>
    </w:p>
    <w:p w14:paraId="09D6A409" w14:textId="77777777" w:rsidR="00FB2043" w:rsidRPr="00E33BAB" w:rsidRDefault="00FB2043" w:rsidP="00FB2043">
      <w:pPr>
        <w:tabs>
          <w:tab w:val="left" w:pos="993"/>
        </w:tabs>
        <w:spacing w:after="0" w:line="276" w:lineRule="auto"/>
        <w:jc w:val="center"/>
        <w:rPr>
          <w:rFonts w:asciiTheme="majorHAnsi" w:hAnsiTheme="majorHAnsi" w:cstheme="majorHAnsi"/>
          <w:b/>
          <w:i/>
          <w:sz w:val="24"/>
          <w:szCs w:val="24"/>
          <w:lang w:val="ro-MD"/>
        </w:rPr>
      </w:pPr>
      <w:r w:rsidRPr="00E33BAB">
        <w:rPr>
          <w:rFonts w:asciiTheme="majorHAnsi" w:hAnsiTheme="majorHAnsi" w:cstheme="majorHAnsi"/>
          <w:b/>
          <w:i/>
          <w:sz w:val="24"/>
          <w:szCs w:val="24"/>
          <w:lang w:val="ro-MD"/>
        </w:rPr>
        <w:t>Indicatorii specifici legați de debursare și cotele alocate de finanțare</w:t>
      </w:r>
    </w:p>
    <w:p w14:paraId="0A5FB67A" w14:textId="77777777" w:rsidR="00FB2043" w:rsidRPr="00E33BAB" w:rsidRDefault="00FB2043" w:rsidP="00FB2043">
      <w:pPr>
        <w:spacing w:after="0"/>
        <w:jc w:val="both"/>
        <w:rPr>
          <w:rFonts w:asciiTheme="majorHAnsi" w:hAnsiTheme="majorHAnsi" w:cstheme="majorHAnsi"/>
          <w:b/>
          <w:i/>
          <w:color w:val="FF0000"/>
          <w:sz w:val="24"/>
          <w:szCs w:val="24"/>
          <w:lang w:val="ro-MD"/>
        </w:rPr>
      </w:pPr>
    </w:p>
    <w:tbl>
      <w:tblPr>
        <w:tblStyle w:val="TableGrid1"/>
        <w:tblW w:w="15168" w:type="dxa"/>
        <w:tblInd w:w="-856" w:type="dxa"/>
        <w:tblLayout w:type="fixed"/>
        <w:tblLook w:val="04A0" w:firstRow="1" w:lastRow="0" w:firstColumn="1" w:lastColumn="0" w:noHBand="0" w:noVBand="1"/>
      </w:tblPr>
      <w:tblGrid>
        <w:gridCol w:w="1656"/>
        <w:gridCol w:w="3448"/>
        <w:gridCol w:w="3402"/>
        <w:gridCol w:w="1054"/>
        <w:gridCol w:w="547"/>
        <w:gridCol w:w="498"/>
        <w:gridCol w:w="498"/>
        <w:gridCol w:w="498"/>
        <w:gridCol w:w="498"/>
        <w:gridCol w:w="498"/>
        <w:gridCol w:w="450"/>
        <w:gridCol w:w="426"/>
        <w:gridCol w:w="432"/>
        <w:gridCol w:w="425"/>
        <w:gridCol w:w="413"/>
        <w:gridCol w:w="425"/>
      </w:tblGrid>
      <w:tr w:rsidR="002F3339" w:rsidRPr="00E33BAB" w14:paraId="028E9F2A" w14:textId="22113042" w:rsidTr="002F3339">
        <w:tc>
          <w:tcPr>
            <w:tcW w:w="1656" w:type="dxa"/>
            <w:vMerge w:val="restart"/>
            <w:tcBorders>
              <w:top w:val="single" w:sz="4" w:space="0" w:color="auto"/>
              <w:left w:val="single" w:sz="4" w:space="0" w:color="auto"/>
              <w:bottom w:val="single" w:sz="4" w:space="0" w:color="auto"/>
              <w:right w:val="single" w:sz="4" w:space="0" w:color="auto"/>
            </w:tcBorders>
            <w:hideMark/>
          </w:tcPr>
          <w:p w14:paraId="14E82B8F" w14:textId="77777777" w:rsidR="002F3339" w:rsidRPr="00E33BAB" w:rsidRDefault="002F3339">
            <w:pPr>
              <w:tabs>
                <w:tab w:val="left" w:pos="-720"/>
              </w:tabs>
              <w:suppressAutoHyphens/>
              <w:jc w:val="center"/>
              <w:rPr>
                <w:rFonts w:asciiTheme="majorHAnsi" w:eastAsia="Times New Roman" w:hAnsiTheme="majorHAnsi" w:cstheme="majorHAnsi"/>
                <w:b/>
                <w:sz w:val="18"/>
                <w:szCs w:val="18"/>
                <w:lang w:val="ro-MD"/>
              </w:rPr>
            </w:pPr>
            <w:r w:rsidRPr="00E33BAB">
              <w:rPr>
                <w:rFonts w:asciiTheme="majorHAnsi" w:eastAsia="Times New Roman" w:hAnsiTheme="majorHAnsi" w:cstheme="majorHAnsi"/>
                <w:b/>
                <w:sz w:val="18"/>
                <w:szCs w:val="18"/>
                <w:lang w:val="ro-MD"/>
              </w:rPr>
              <w:t>Categoria pentru Program</w:t>
            </w:r>
          </w:p>
          <w:p w14:paraId="29DBBA22" w14:textId="77777777" w:rsidR="002F3339" w:rsidRPr="00E33BAB" w:rsidRDefault="002F3339">
            <w:pPr>
              <w:jc w:val="center"/>
              <w:rPr>
                <w:rFonts w:asciiTheme="majorHAnsi" w:eastAsia="Times New Roman" w:hAnsiTheme="majorHAnsi" w:cstheme="majorHAnsi"/>
                <w:b/>
                <w:sz w:val="18"/>
                <w:szCs w:val="18"/>
                <w:lang w:val="ro-MD"/>
              </w:rPr>
            </w:pPr>
            <w:r w:rsidRPr="00E33BAB">
              <w:rPr>
                <w:rFonts w:asciiTheme="majorHAnsi" w:eastAsia="Times New Roman" w:hAnsiTheme="majorHAnsi" w:cstheme="majorHAnsi"/>
                <w:b/>
                <w:sz w:val="18"/>
                <w:szCs w:val="18"/>
                <w:lang w:val="ro-MD"/>
              </w:rPr>
              <w:t>(inclusiv Indicatorul aferent debursării, după caz)</w:t>
            </w:r>
          </w:p>
        </w:tc>
        <w:tc>
          <w:tcPr>
            <w:tcW w:w="3448" w:type="dxa"/>
            <w:vMerge w:val="restart"/>
            <w:tcBorders>
              <w:top w:val="single" w:sz="4" w:space="0" w:color="auto"/>
              <w:left w:val="single" w:sz="4" w:space="0" w:color="auto"/>
              <w:bottom w:val="single" w:sz="4" w:space="0" w:color="auto"/>
              <w:right w:val="single" w:sz="4" w:space="0" w:color="auto"/>
            </w:tcBorders>
          </w:tcPr>
          <w:p w14:paraId="6D807221" w14:textId="77777777" w:rsidR="002F3339" w:rsidRPr="00E33BAB" w:rsidRDefault="002F3339">
            <w:pPr>
              <w:jc w:val="center"/>
              <w:rPr>
                <w:rFonts w:asciiTheme="majorHAnsi" w:hAnsiTheme="majorHAnsi" w:cstheme="majorHAnsi"/>
                <w:b/>
                <w:sz w:val="18"/>
                <w:szCs w:val="18"/>
                <w:lang w:val="ro-MD"/>
              </w:rPr>
            </w:pPr>
          </w:p>
          <w:p w14:paraId="73A75CA3" w14:textId="77777777" w:rsidR="002F3339" w:rsidRPr="00E33BAB" w:rsidRDefault="002F3339">
            <w:pPr>
              <w:jc w:val="center"/>
              <w:rPr>
                <w:rFonts w:asciiTheme="majorHAnsi" w:hAnsiTheme="majorHAnsi" w:cstheme="majorHAnsi"/>
                <w:b/>
                <w:sz w:val="18"/>
                <w:szCs w:val="18"/>
                <w:lang w:val="ro-MD"/>
              </w:rPr>
            </w:pPr>
          </w:p>
          <w:p w14:paraId="7699D4C5" w14:textId="77777777" w:rsidR="002F3339" w:rsidRPr="00E33BAB" w:rsidRDefault="002F3339">
            <w:pPr>
              <w:jc w:val="center"/>
              <w:rPr>
                <w:rFonts w:asciiTheme="majorHAnsi" w:hAnsiTheme="majorHAnsi" w:cstheme="majorHAnsi"/>
                <w:b/>
                <w:sz w:val="18"/>
                <w:szCs w:val="18"/>
                <w:lang w:val="ro-MD"/>
              </w:rPr>
            </w:pPr>
          </w:p>
          <w:p w14:paraId="068477A4" w14:textId="77777777" w:rsidR="002F3339" w:rsidRPr="00E33BAB" w:rsidRDefault="002F3339">
            <w:pPr>
              <w:jc w:val="center"/>
              <w:rPr>
                <w:rFonts w:asciiTheme="majorHAnsi" w:hAnsiTheme="majorHAnsi" w:cstheme="majorHAnsi"/>
                <w:b/>
                <w:sz w:val="18"/>
                <w:szCs w:val="18"/>
                <w:lang w:val="ro-MD"/>
              </w:rPr>
            </w:pPr>
            <w:r w:rsidRPr="00E33BAB">
              <w:rPr>
                <w:rFonts w:asciiTheme="majorHAnsi" w:hAnsiTheme="majorHAnsi" w:cstheme="majorHAnsi"/>
                <w:b/>
                <w:sz w:val="18"/>
                <w:szCs w:val="18"/>
                <w:lang w:val="ro-MD"/>
              </w:rPr>
              <w:t>Rezultatul legat de debursare (după caz)</w:t>
            </w:r>
          </w:p>
        </w:tc>
        <w:tc>
          <w:tcPr>
            <w:tcW w:w="3402" w:type="dxa"/>
            <w:vMerge w:val="restart"/>
            <w:tcBorders>
              <w:top w:val="single" w:sz="4" w:space="0" w:color="auto"/>
              <w:left w:val="single" w:sz="4" w:space="0" w:color="auto"/>
              <w:bottom w:val="single" w:sz="4" w:space="0" w:color="auto"/>
              <w:right w:val="single" w:sz="4" w:space="0" w:color="auto"/>
            </w:tcBorders>
          </w:tcPr>
          <w:p w14:paraId="22EE7B9D" w14:textId="77777777" w:rsidR="002F3339" w:rsidRPr="00E33BAB" w:rsidRDefault="002F3339">
            <w:pPr>
              <w:tabs>
                <w:tab w:val="left" w:pos="-720"/>
              </w:tabs>
              <w:suppressAutoHyphens/>
              <w:jc w:val="center"/>
              <w:rPr>
                <w:rFonts w:asciiTheme="majorHAnsi" w:eastAsia="Times New Roman" w:hAnsiTheme="majorHAnsi" w:cstheme="majorHAnsi"/>
                <w:b/>
                <w:sz w:val="18"/>
                <w:szCs w:val="18"/>
                <w:lang w:val="ro-MD"/>
              </w:rPr>
            </w:pPr>
          </w:p>
          <w:p w14:paraId="3208EFE2" w14:textId="77777777" w:rsidR="002F3339" w:rsidRPr="00E33BAB" w:rsidRDefault="002F3339">
            <w:pPr>
              <w:tabs>
                <w:tab w:val="left" w:pos="-720"/>
              </w:tabs>
              <w:suppressAutoHyphens/>
              <w:jc w:val="center"/>
              <w:rPr>
                <w:rFonts w:asciiTheme="majorHAnsi" w:eastAsia="Times New Roman" w:hAnsiTheme="majorHAnsi" w:cstheme="majorHAnsi"/>
                <w:b/>
                <w:sz w:val="18"/>
                <w:szCs w:val="18"/>
                <w:lang w:val="ro-MD"/>
              </w:rPr>
            </w:pPr>
          </w:p>
          <w:p w14:paraId="1BE76D46" w14:textId="77777777" w:rsidR="002F3339" w:rsidRPr="00E33BAB" w:rsidRDefault="002F3339">
            <w:pPr>
              <w:tabs>
                <w:tab w:val="left" w:pos="-720"/>
              </w:tabs>
              <w:suppressAutoHyphens/>
              <w:jc w:val="center"/>
              <w:rPr>
                <w:rFonts w:asciiTheme="majorHAnsi" w:eastAsia="Times New Roman" w:hAnsiTheme="majorHAnsi" w:cstheme="majorHAnsi"/>
                <w:b/>
                <w:sz w:val="18"/>
                <w:szCs w:val="18"/>
                <w:lang w:val="ro-MD"/>
              </w:rPr>
            </w:pPr>
          </w:p>
          <w:p w14:paraId="1857C470" w14:textId="77777777" w:rsidR="002F3339" w:rsidRPr="00E33BAB" w:rsidRDefault="002F3339">
            <w:pPr>
              <w:jc w:val="center"/>
              <w:rPr>
                <w:rFonts w:asciiTheme="majorHAnsi" w:hAnsiTheme="majorHAnsi" w:cstheme="majorHAnsi"/>
                <w:b/>
                <w:sz w:val="18"/>
                <w:szCs w:val="18"/>
                <w:lang w:val="ro-MD"/>
              </w:rPr>
            </w:pPr>
            <w:r w:rsidRPr="00E33BAB">
              <w:rPr>
                <w:rFonts w:asciiTheme="majorHAnsi" w:eastAsia="Times New Roman" w:hAnsiTheme="majorHAnsi" w:cstheme="majorHAnsi"/>
                <w:b/>
                <w:sz w:val="18"/>
                <w:szCs w:val="18"/>
                <w:lang w:val="ro-MD"/>
              </w:rPr>
              <w:t xml:space="preserve">Suma finanțării Programului </w:t>
            </w:r>
            <w:r w:rsidRPr="00E33BAB">
              <w:rPr>
                <w:rFonts w:asciiTheme="majorHAnsi" w:hAnsiTheme="majorHAnsi" w:cstheme="majorHAnsi"/>
                <w:b/>
                <w:sz w:val="18"/>
                <w:szCs w:val="18"/>
                <w:lang w:val="ro-MD"/>
              </w:rPr>
              <w:t>(exprimată în DST)</w:t>
            </w:r>
          </w:p>
        </w:tc>
        <w:tc>
          <w:tcPr>
            <w:tcW w:w="1054" w:type="dxa"/>
            <w:vMerge w:val="restart"/>
            <w:tcBorders>
              <w:top w:val="single" w:sz="4" w:space="0" w:color="auto"/>
              <w:left w:val="single" w:sz="4" w:space="0" w:color="auto"/>
              <w:bottom w:val="single" w:sz="4" w:space="0" w:color="auto"/>
              <w:right w:val="single" w:sz="4" w:space="0" w:color="auto"/>
            </w:tcBorders>
          </w:tcPr>
          <w:p w14:paraId="7A17C464" w14:textId="77777777" w:rsidR="002F3339" w:rsidRPr="00E33BAB" w:rsidRDefault="002F3339">
            <w:pPr>
              <w:jc w:val="center"/>
              <w:rPr>
                <w:rFonts w:asciiTheme="majorHAnsi" w:hAnsiTheme="majorHAnsi" w:cstheme="majorHAnsi"/>
                <w:sz w:val="18"/>
                <w:szCs w:val="18"/>
                <w:lang w:val="ro-MD"/>
              </w:rPr>
            </w:pPr>
          </w:p>
          <w:p w14:paraId="7CD62A02" w14:textId="77777777" w:rsidR="002F3339" w:rsidRPr="00E33BAB" w:rsidRDefault="002F3339">
            <w:pPr>
              <w:jc w:val="center"/>
              <w:rPr>
                <w:rFonts w:asciiTheme="majorHAnsi" w:hAnsiTheme="majorHAnsi" w:cstheme="majorHAnsi"/>
                <w:sz w:val="18"/>
                <w:szCs w:val="18"/>
                <w:lang w:val="ro-MD"/>
              </w:rPr>
            </w:pPr>
            <w:r w:rsidRPr="00E33BAB">
              <w:rPr>
                <w:rFonts w:asciiTheme="majorHAnsi" w:hAnsiTheme="majorHAnsi" w:cstheme="majorHAnsi"/>
                <w:sz w:val="18"/>
                <w:szCs w:val="18"/>
                <w:lang w:val="ro-MD"/>
              </w:rPr>
              <w:t>Suma maximă alocată, total DST</w:t>
            </w:r>
          </w:p>
        </w:tc>
        <w:tc>
          <w:tcPr>
            <w:tcW w:w="1045" w:type="dxa"/>
            <w:gridSpan w:val="2"/>
            <w:tcBorders>
              <w:top w:val="single" w:sz="4" w:space="0" w:color="auto"/>
              <w:left w:val="single" w:sz="4" w:space="0" w:color="auto"/>
              <w:bottom w:val="single" w:sz="4" w:space="0" w:color="auto"/>
              <w:right w:val="single" w:sz="4" w:space="0" w:color="auto"/>
            </w:tcBorders>
            <w:hideMark/>
          </w:tcPr>
          <w:p w14:paraId="3F168E54" w14:textId="77777777" w:rsidR="002F3339" w:rsidRPr="00E33BAB" w:rsidRDefault="002F3339">
            <w:pPr>
              <w:jc w:val="center"/>
              <w:rPr>
                <w:rFonts w:asciiTheme="majorHAnsi" w:hAnsiTheme="majorHAnsi" w:cstheme="majorHAnsi"/>
                <w:sz w:val="18"/>
                <w:szCs w:val="18"/>
                <w:lang w:val="ro-MD"/>
              </w:rPr>
            </w:pPr>
            <w:r w:rsidRPr="00E33BAB">
              <w:rPr>
                <w:rFonts w:asciiTheme="majorHAnsi" w:hAnsiTheme="majorHAnsi" w:cstheme="majorHAnsi"/>
                <w:sz w:val="18"/>
                <w:szCs w:val="18"/>
                <w:lang w:val="ro-MD"/>
              </w:rPr>
              <w:t>2015</w:t>
            </w:r>
          </w:p>
        </w:tc>
        <w:tc>
          <w:tcPr>
            <w:tcW w:w="996" w:type="dxa"/>
            <w:gridSpan w:val="2"/>
            <w:tcBorders>
              <w:top w:val="single" w:sz="4" w:space="0" w:color="auto"/>
              <w:left w:val="single" w:sz="4" w:space="0" w:color="auto"/>
              <w:bottom w:val="single" w:sz="4" w:space="0" w:color="auto"/>
              <w:right w:val="single" w:sz="4" w:space="0" w:color="auto"/>
            </w:tcBorders>
            <w:hideMark/>
          </w:tcPr>
          <w:p w14:paraId="5F5F133E" w14:textId="77777777" w:rsidR="002F3339" w:rsidRPr="00E33BAB" w:rsidRDefault="002F3339">
            <w:pPr>
              <w:jc w:val="center"/>
              <w:rPr>
                <w:rFonts w:asciiTheme="majorHAnsi" w:hAnsiTheme="majorHAnsi" w:cstheme="majorHAnsi"/>
                <w:sz w:val="18"/>
                <w:szCs w:val="18"/>
                <w:lang w:val="ro-MD"/>
              </w:rPr>
            </w:pPr>
            <w:r w:rsidRPr="00E33BAB">
              <w:rPr>
                <w:rFonts w:asciiTheme="majorHAnsi" w:hAnsiTheme="majorHAnsi" w:cstheme="majorHAnsi"/>
                <w:sz w:val="18"/>
                <w:szCs w:val="18"/>
                <w:lang w:val="ro-MD"/>
              </w:rPr>
              <w:t>2016</w:t>
            </w:r>
          </w:p>
        </w:tc>
        <w:tc>
          <w:tcPr>
            <w:tcW w:w="996" w:type="dxa"/>
            <w:gridSpan w:val="2"/>
            <w:tcBorders>
              <w:top w:val="single" w:sz="4" w:space="0" w:color="auto"/>
              <w:left w:val="single" w:sz="4" w:space="0" w:color="auto"/>
              <w:bottom w:val="single" w:sz="4" w:space="0" w:color="auto"/>
              <w:right w:val="single" w:sz="4" w:space="0" w:color="auto"/>
            </w:tcBorders>
            <w:hideMark/>
          </w:tcPr>
          <w:p w14:paraId="5D720C7C" w14:textId="77777777" w:rsidR="002F3339" w:rsidRPr="00E33BAB" w:rsidRDefault="002F3339">
            <w:pPr>
              <w:jc w:val="center"/>
              <w:rPr>
                <w:rFonts w:asciiTheme="majorHAnsi" w:hAnsiTheme="majorHAnsi" w:cstheme="majorHAnsi"/>
                <w:sz w:val="18"/>
                <w:szCs w:val="18"/>
                <w:lang w:val="ro-MD"/>
              </w:rPr>
            </w:pPr>
            <w:r w:rsidRPr="00E33BAB">
              <w:rPr>
                <w:rFonts w:asciiTheme="majorHAnsi" w:hAnsiTheme="majorHAnsi" w:cstheme="majorHAnsi"/>
                <w:sz w:val="18"/>
                <w:szCs w:val="18"/>
                <w:lang w:val="ro-MD"/>
              </w:rPr>
              <w:t>2017</w:t>
            </w:r>
          </w:p>
        </w:tc>
        <w:tc>
          <w:tcPr>
            <w:tcW w:w="876" w:type="dxa"/>
            <w:gridSpan w:val="2"/>
            <w:tcBorders>
              <w:top w:val="single" w:sz="4" w:space="0" w:color="auto"/>
              <w:left w:val="single" w:sz="4" w:space="0" w:color="auto"/>
              <w:bottom w:val="single" w:sz="4" w:space="0" w:color="auto"/>
              <w:right w:val="single" w:sz="4" w:space="0" w:color="auto"/>
            </w:tcBorders>
            <w:hideMark/>
          </w:tcPr>
          <w:p w14:paraId="7B55DE84" w14:textId="77777777" w:rsidR="002F3339" w:rsidRPr="00E33BAB" w:rsidRDefault="002F3339">
            <w:pPr>
              <w:jc w:val="center"/>
              <w:rPr>
                <w:rFonts w:asciiTheme="majorHAnsi" w:hAnsiTheme="majorHAnsi" w:cstheme="majorHAnsi"/>
                <w:sz w:val="18"/>
                <w:szCs w:val="18"/>
                <w:lang w:val="ro-MD"/>
              </w:rPr>
            </w:pPr>
            <w:r w:rsidRPr="00E33BAB">
              <w:rPr>
                <w:rFonts w:asciiTheme="majorHAnsi" w:hAnsiTheme="majorHAnsi" w:cstheme="majorHAnsi"/>
                <w:sz w:val="18"/>
                <w:szCs w:val="18"/>
                <w:lang w:val="ro-MD"/>
              </w:rPr>
              <w:t>2018</w:t>
            </w:r>
          </w:p>
        </w:tc>
        <w:tc>
          <w:tcPr>
            <w:tcW w:w="857" w:type="dxa"/>
            <w:gridSpan w:val="2"/>
            <w:tcBorders>
              <w:top w:val="single" w:sz="4" w:space="0" w:color="auto"/>
              <w:left w:val="single" w:sz="4" w:space="0" w:color="auto"/>
              <w:bottom w:val="single" w:sz="4" w:space="0" w:color="auto"/>
              <w:right w:val="single" w:sz="4" w:space="0" w:color="auto"/>
            </w:tcBorders>
            <w:hideMark/>
          </w:tcPr>
          <w:p w14:paraId="28465641" w14:textId="77777777" w:rsidR="002F3339" w:rsidRPr="00E33BAB" w:rsidRDefault="002F3339">
            <w:pPr>
              <w:jc w:val="center"/>
              <w:rPr>
                <w:rFonts w:asciiTheme="majorHAnsi" w:hAnsiTheme="majorHAnsi" w:cstheme="majorHAnsi"/>
                <w:sz w:val="18"/>
                <w:szCs w:val="18"/>
                <w:lang w:val="ro-MD"/>
              </w:rPr>
            </w:pPr>
            <w:r w:rsidRPr="00E33BAB">
              <w:rPr>
                <w:rFonts w:asciiTheme="majorHAnsi" w:hAnsiTheme="majorHAnsi" w:cstheme="majorHAnsi"/>
                <w:sz w:val="18"/>
                <w:szCs w:val="18"/>
                <w:lang w:val="ro-MD"/>
              </w:rPr>
              <w:t>2019</w:t>
            </w:r>
          </w:p>
        </w:tc>
        <w:tc>
          <w:tcPr>
            <w:tcW w:w="838" w:type="dxa"/>
            <w:gridSpan w:val="2"/>
            <w:tcBorders>
              <w:top w:val="single" w:sz="4" w:space="0" w:color="auto"/>
              <w:left w:val="single" w:sz="4" w:space="0" w:color="auto"/>
              <w:bottom w:val="single" w:sz="4" w:space="0" w:color="auto"/>
              <w:right w:val="single" w:sz="4" w:space="0" w:color="auto"/>
            </w:tcBorders>
            <w:hideMark/>
          </w:tcPr>
          <w:p w14:paraId="08750EE0" w14:textId="60C2E874" w:rsidR="002F3339" w:rsidRPr="00E33BAB" w:rsidRDefault="002F3339">
            <w:pPr>
              <w:jc w:val="center"/>
              <w:rPr>
                <w:rFonts w:asciiTheme="majorHAnsi" w:hAnsiTheme="majorHAnsi" w:cstheme="majorHAnsi"/>
                <w:sz w:val="18"/>
                <w:szCs w:val="18"/>
                <w:lang w:val="ro-MD"/>
              </w:rPr>
            </w:pPr>
            <w:r w:rsidRPr="00E33BAB">
              <w:rPr>
                <w:rFonts w:asciiTheme="majorHAnsi" w:hAnsiTheme="majorHAnsi" w:cstheme="majorHAnsi"/>
                <w:sz w:val="18"/>
                <w:szCs w:val="18"/>
                <w:lang w:val="ro-MD"/>
              </w:rPr>
              <w:t>2020</w:t>
            </w:r>
          </w:p>
        </w:tc>
      </w:tr>
      <w:tr w:rsidR="002F3339" w:rsidRPr="00E33BAB" w14:paraId="65E6C86D" w14:textId="0DC85203" w:rsidTr="002F3339">
        <w:trPr>
          <w:cantSplit/>
          <w:trHeight w:val="1134"/>
        </w:trPr>
        <w:tc>
          <w:tcPr>
            <w:tcW w:w="1656" w:type="dxa"/>
            <w:vMerge/>
            <w:tcBorders>
              <w:top w:val="single" w:sz="4" w:space="0" w:color="auto"/>
              <w:left w:val="single" w:sz="4" w:space="0" w:color="auto"/>
              <w:bottom w:val="single" w:sz="4" w:space="0" w:color="auto"/>
              <w:right w:val="single" w:sz="4" w:space="0" w:color="auto"/>
            </w:tcBorders>
            <w:vAlign w:val="center"/>
            <w:hideMark/>
          </w:tcPr>
          <w:p w14:paraId="347CB1B3" w14:textId="77777777" w:rsidR="002F3339" w:rsidRPr="00E33BAB" w:rsidRDefault="002F3339">
            <w:pPr>
              <w:rPr>
                <w:rFonts w:asciiTheme="majorHAnsi" w:eastAsia="Times New Roman" w:hAnsiTheme="majorHAnsi" w:cstheme="majorHAnsi"/>
                <w:b/>
                <w:sz w:val="18"/>
                <w:szCs w:val="18"/>
                <w:lang w:val="ro-MD"/>
              </w:rPr>
            </w:pPr>
          </w:p>
        </w:tc>
        <w:tc>
          <w:tcPr>
            <w:tcW w:w="3448" w:type="dxa"/>
            <w:vMerge/>
            <w:tcBorders>
              <w:top w:val="single" w:sz="4" w:space="0" w:color="auto"/>
              <w:left w:val="single" w:sz="4" w:space="0" w:color="auto"/>
              <w:bottom w:val="single" w:sz="4" w:space="0" w:color="auto"/>
              <w:right w:val="single" w:sz="4" w:space="0" w:color="auto"/>
            </w:tcBorders>
            <w:vAlign w:val="center"/>
            <w:hideMark/>
          </w:tcPr>
          <w:p w14:paraId="2EB9F6A6" w14:textId="77777777" w:rsidR="002F3339" w:rsidRPr="00E33BAB" w:rsidRDefault="002F3339">
            <w:pPr>
              <w:rPr>
                <w:rFonts w:asciiTheme="majorHAnsi" w:hAnsiTheme="majorHAnsi" w:cstheme="majorHAnsi"/>
                <w:b/>
                <w:sz w:val="18"/>
                <w:szCs w:val="18"/>
                <w:lang w:val="ro-MD"/>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2F3807E3" w14:textId="77777777" w:rsidR="002F3339" w:rsidRPr="00E33BAB" w:rsidRDefault="002F3339">
            <w:pPr>
              <w:rPr>
                <w:rFonts w:asciiTheme="majorHAnsi" w:hAnsiTheme="majorHAnsi" w:cstheme="majorHAnsi"/>
                <w:b/>
                <w:sz w:val="18"/>
                <w:szCs w:val="18"/>
                <w:lang w:val="ro-MD"/>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14:paraId="1393512E" w14:textId="77777777" w:rsidR="002F3339" w:rsidRPr="00E33BAB" w:rsidRDefault="002F3339">
            <w:pPr>
              <w:rPr>
                <w:rFonts w:asciiTheme="majorHAnsi" w:hAnsiTheme="majorHAnsi" w:cstheme="majorHAnsi"/>
                <w:sz w:val="18"/>
                <w:szCs w:val="18"/>
                <w:lang w:val="ro-MD"/>
              </w:rPr>
            </w:pPr>
          </w:p>
        </w:tc>
        <w:tc>
          <w:tcPr>
            <w:tcW w:w="547" w:type="dxa"/>
            <w:tcBorders>
              <w:top w:val="single" w:sz="4" w:space="0" w:color="auto"/>
              <w:left w:val="single" w:sz="4" w:space="0" w:color="auto"/>
              <w:bottom w:val="single" w:sz="4" w:space="0" w:color="auto"/>
              <w:right w:val="single" w:sz="4" w:space="0" w:color="auto"/>
            </w:tcBorders>
            <w:textDirection w:val="btLr"/>
            <w:hideMark/>
          </w:tcPr>
          <w:p w14:paraId="159E10A7" w14:textId="77777777" w:rsidR="002F3339" w:rsidRPr="00E33BAB" w:rsidRDefault="002F3339">
            <w:pPr>
              <w:ind w:left="113" w:right="113"/>
              <w:jc w:val="center"/>
              <w:rPr>
                <w:rFonts w:asciiTheme="majorHAnsi" w:hAnsiTheme="majorHAnsi" w:cstheme="majorHAnsi"/>
                <w:sz w:val="18"/>
                <w:szCs w:val="18"/>
                <w:lang w:val="ro-MD"/>
              </w:rPr>
            </w:pPr>
            <w:r w:rsidRPr="00E33BAB">
              <w:rPr>
                <w:rFonts w:asciiTheme="majorHAnsi" w:hAnsiTheme="majorHAnsi" w:cstheme="majorHAnsi"/>
                <w:sz w:val="18"/>
                <w:szCs w:val="18"/>
                <w:lang w:val="ro-MD"/>
              </w:rPr>
              <w:t>Planificat</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6BF1A052" w14:textId="77777777" w:rsidR="002F3339" w:rsidRPr="00E33BAB" w:rsidRDefault="002F3339">
            <w:pPr>
              <w:ind w:left="113" w:right="113"/>
              <w:jc w:val="center"/>
              <w:rPr>
                <w:rFonts w:asciiTheme="majorHAnsi" w:hAnsiTheme="majorHAnsi" w:cstheme="majorHAnsi"/>
                <w:sz w:val="18"/>
                <w:szCs w:val="18"/>
                <w:lang w:val="ro-MD"/>
              </w:rPr>
            </w:pPr>
            <w:r w:rsidRPr="00E33BAB">
              <w:rPr>
                <w:rFonts w:asciiTheme="majorHAnsi" w:hAnsiTheme="majorHAnsi" w:cstheme="majorHAnsi"/>
                <w:sz w:val="18"/>
                <w:szCs w:val="18"/>
                <w:lang w:val="ro-MD"/>
              </w:rPr>
              <w:t>Executat</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2FA058D6" w14:textId="77777777" w:rsidR="002F3339" w:rsidRPr="00E33BAB" w:rsidRDefault="002F3339">
            <w:pPr>
              <w:ind w:left="113" w:right="113"/>
              <w:jc w:val="center"/>
              <w:rPr>
                <w:rFonts w:asciiTheme="majorHAnsi" w:hAnsiTheme="majorHAnsi" w:cstheme="majorHAnsi"/>
                <w:sz w:val="18"/>
                <w:szCs w:val="18"/>
                <w:lang w:val="ro-MD"/>
              </w:rPr>
            </w:pPr>
            <w:r w:rsidRPr="00E33BAB">
              <w:rPr>
                <w:rFonts w:asciiTheme="majorHAnsi" w:hAnsiTheme="majorHAnsi" w:cstheme="majorHAnsi"/>
                <w:sz w:val="18"/>
                <w:szCs w:val="18"/>
                <w:lang w:val="ro-MD"/>
              </w:rPr>
              <w:t>Planificat</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357CC4B6" w14:textId="77777777" w:rsidR="002F3339" w:rsidRPr="00E33BAB" w:rsidRDefault="002F3339">
            <w:pPr>
              <w:ind w:left="113" w:right="113"/>
              <w:jc w:val="center"/>
              <w:rPr>
                <w:rFonts w:asciiTheme="majorHAnsi" w:hAnsiTheme="majorHAnsi" w:cstheme="majorHAnsi"/>
                <w:sz w:val="18"/>
                <w:szCs w:val="18"/>
                <w:lang w:val="ro-MD"/>
              </w:rPr>
            </w:pPr>
            <w:r w:rsidRPr="00E33BAB">
              <w:rPr>
                <w:rFonts w:asciiTheme="majorHAnsi" w:hAnsiTheme="majorHAnsi" w:cstheme="majorHAnsi"/>
                <w:sz w:val="18"/>
                <w:szCs w:val="18"/>
                <w:lang w:val="ro-MD"/>
              </w:rPr>
              <w:t>Executat</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0E935216" w14:textId="77777777" w:rsidR="002F3339" w:rsidRPr="00E33BAB" w:rsidRDefault="002F3339">
            <w:pPr>
              <w:ind w:left="113" w:right="113"/>
              <w:jc w:val="center"/>
              <w:rPr>
                <w:rFonts w:asciiTheme="majorHAnsi" w:hAnsiTheme="majorHAnsi" w:cstheme="majorHAnsi"/>
                <w:sz w:val="18"/>
                <w:szCs w:val="18"/>
                <w:lang w:val="ro-MD"/>
              </w:rPr>
            </w:pPr>
            <w:r w:rsidRPr="00E33BAB">
              <w:rPr>
                <w:rFonts w:asciiTheme="majorHAnsi" w:hAnsiTheme="majorHAnsi" w:cstheme="majorHAnsi"/>
                <w:sz w:val="18"/>
                <w:szCs w:val="18"/>
                <w:lang w:val="ro-MD"/>
              </w:rPr>
              <w:t>Planificat</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44C0D2E9" w14:textId="77777777" w:rsidR="002F3339" w:rsidRPr="00E33BAB" w:rsidRDefault="002F3339">
            <w:pPr>
              <w:ind w:left="113" w:right="113"/>
              <w:jc w:val="center"/>
              <w:rPr>
                <w:rFonts w:asciiTheme="majorHAnsi" w:hAnsiTheme="majorHAnsi" w:cstheme="majorHAnsi"/>
                <w:sz w:val="18"/>
                <w:szCs w:val="18"/>
                <w:lang w:val="ro-MD"/>
              </w:rPr>
            </w:pPr>
            <w:r w:rsidRPr="00E33BAB">
              <w:rPr>
                <w:rFonts w:asciiTheme="majorHAnsi" w:hAnsiTheme="majorHAnsi" w:cstheme="majorHAnsi"/>
                <w:sz w:val="18"/>
                <w:szCs w:val="18"/>
                <w:lang w:val="ro-MD"/>
              </w:rPr>
              <w:t>Executat</w:t>
            </w:r>
          </w:p>
        </w:tc>
        <w:tc>
          <w:tcPr>
            <w:tcW w:w="450" w:type="dxa"/>
            <w:tcBorders>
              <w:top w:val="single" w:sz="4" w:space="0" w:color="auto"/>
              <w:left w:val="single" w:sz="4" w:space="0" w:color="auto"/>
              <w:bottom w:val="single" w:sz="4" w:space="0" w:color="auto"/>
              <w:right w:val="single" w:sz="4" w:space="0" w:color="auto"/>
            </w:tcBorders>
            <w:textDirection w:val="btLr"/>
            <w:hideMark/>
          </w:tcPr>
          <w:p w14:paraId="346801F9" w14:textId="77777777" w:rsidR="002F3339" w:rsidRPr="00E33BAB" w:rsidRDefault="002F3339">
            <w:pPr>
              <w:ind w:left="113" w:right="113"/>
              <w:jc w:val="center"/>
              <w:rPr>
                <w:rFonts w:asciiTheme="majorHAnsi" w:hAnsiTheme="majorHAnsi" w:cstheme="majorHAnsi"/>
                <w:sz w:val="18"/>
                <w:szCs w:val="18"/>
                <w:lang w:val="ro-MD"/>
              </w:rPr>
            </w:pPr>
            <w:r w:rsidRPr="00E33BAB">
              <w:rPr>
                <w:rFonts w:asciiTheme="majorHAnsi" w:hAnsiTheme="majorHAnsi" w:cstheme="majorHAnsi"/>
                <w:sz w:val="18"/>
                <w:szCs w:val="18"/>
                <w:lang w:val="ro-MD"/>
              </w:rPr>
              <w:t>Planificat</w:t>
            </w:r>
          </w:p>
        </w:tc>
        <w:tc>
          <w:tcPr>
            <w:tcW w:w="426" w:type="dxa"/>
            <w:tcBorders>
              <w:top w:val="single" w:sz="4" w:space="0" w:color="auto"/>
              <w:left w:val="single" w:sz="4" w:space="0" w:color="auto"/>
              <w:bottom w:val="single" w:sz="4" w:space="0" w:color="auto"/>
              <w:right w:val="single" w:sz="4" w:space="0" w:color="auto"/>
            </w:tcBorders>
            <w:textDirection w:val="btLr"/>
            <w:hideMark/>
          </w:tcPr>
          <w:p w14:paraId="15207252" w14:textId="77777777" w:rsidR="002F3339" w:rsidRPr="00E33BAB" w:rsidRDefault="002F3339">
            <w:pPr>
              <w:ind w:left="113" w:right="113"/>
              <w:jc w:val="center"/>
              <w:rPr>
                <w:rFonts w:asciiTheme="majorHAnsi" w:hAnsiTheme="majorHAnsi" w:cstheme="majorHAnsi"/>
                <w:sz w:val="18"/>
                <w:szCs w:val="18"/>
                <w:lang w:val="ro-MD"/>
              </w:rPr>
            </w:pPr>
            <w:r w:rsidRPr="00E33BAB">
              <w:rPr>
                <w:rFonts w:asciiTheme="majorHAnsi" w:hAnsiTheme="majorHAnsi" w:cstheme="majorHAnsi"/>
                <w:sz w:val="18"/>
                <w:szCs w:val="18"/>
                <w:lang w:val="ro-MD"/>
              </w:rPr>
              <w:t>Executat</w:t>
            </w:r>
          </w:p>
        </w:tc>
        <w:tc>
          <w:tcPr>
            <w:tcW w:w="432" w:type="dxa"/>
            <w:tcBorders>
              <w:top w:val="single" w:sz="4" w:space="0" w:color="auto"/>
              <w:left w:val="single" w:sz="4" w:space="0" w:color="auto"/>
              <w:bottom w:val="single" w:sz="4" w:space="0" w:color="auto"/>
              <w:right w:val="single" w:sz="4" w:space="0" w:color="auto"/>
            </w:tcBorders>
            <w:textDirection w:val="btLr"/>
            <w:hideMark/>
          </w:tcPr>
          <w:p w14:paraId="18CE647F" w14:textId="77777777" w:rsidR="002F3339" w:rsidRPr="00E33BAB" w:rsidRDefault="002F3339">
            <w:pPr>
              <w:ind w:left="113" w:right="113"/>
              <w:jc w:val="center"/>
              <w:rPr>
                <w:rFonts w:asciiTheme="majorHAnsi" w:hAnsiTheme="majorHAnsi" w:cstheme="majorHAnsi"/>
                <w:sz w:val="18"/>
                <w:szCs w:val="18"/>
                <w:lang w:val="ro-MD"/>
              </w:rPr>
            </w:pPr>
            <w:r w:rsidRPr="00E33BAB">
              <w:rPr>
                <w:rFonts w:asciiTheme="majorHAnsi" w:hAnsiTheme="majorHAnsi" w:cstheme="majorHAnsi"/>
                <w:sz w:val="18"/>
                <w:szCs w:val="18"/>
                <w:lang w:val="ro-MD"/>
              </w:rPr>
              <w:t>Planificat</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40F21229" w14:textId="77777777" w:rsidR="002F3339" w:rsidRPr="00E33BAB" w:rsidRDefault="002F3339">
            <w:pPr>
              <w:ind w:left="113" w:right="113"/>
              <w:jc w:val="center"/>
              <w:rPr>
                <w:rFonts w:asciiTheme="majorHAnsi" w:hAnsiTheme="majorHAnsi" w:cstheme="majorHAnsi"/>
                <w:sz w:val="18"/>
                <w:szCs w:val="18"/>
                <w:lang w:val="ro-MD"/>
              </w:rPr>
            </w:pPr>
            <w:r w:rsidRPr="00E33BAB">
              <w:rPr>
                <w:rFonts w:asciiTheme="majorHAnsi" w:hAnsiTheme="majorHAnsi" w:cstheme="majorHAnsi"/>
                <w:sz w:val="18"/>
                <w:szCs w:val="18"/>
                <w:lang w:val="ro-MD"/>
              </w:rPr>
              <w:t>Executat</w:t>
            </w:r>
          </w:p>
        </w:tc>
        <w:tc>
          <w:tcPr>
            <w:tcW w:w="413" w:type="dxa"/>
            <w:tcBorders>
              <w:top w:val="single" w:sz="4" w:space="0" w:color="auto"/>
              <w:left w:val="single" w:sz="4" w:space="0" w:color="auto"/>
              <w:bottom w:val="single" w:sz="4" w:space="0" w:color="auto"/>
              <w:right w:val="single" w:sz="4" w:space="0" w:color="auto"/>
            </w:tcBorders>
            <w:textDirection w:val="btLr"/>
            <w:hideMark/>
          </w:tcPr>
          <w:p w14:paraId="21AF8750" w14:textId="77777777" w:rsidR="002F3339" w:rsidRPr="00E33BAB" w:rsidRDefault="002F3339">
            <w:pPr>
              <w:ind w:left="113" w:right="113"/>
              <w:jc w:val="center"/>
              <w:rPr>
                <w:rFonts w:asciiTheme="majorHAnsi" w:hAnsiTheme="majorHAnsi" w:cstheme="majorHAnsi"/>
                <w:sz w:val="18"/>
                <w:szCs w:val="18"/>
                <w:lang w:val="ro-MD"/>
              </w:rPr>
            </w:pPr>
            <w:r w:rsidRPr="00E33BAB">
              <w:rPr>
                <w:rFonts w:asciiTheme="majorHAnsi" w:hAnsiTheme="majorHAnsi" w:cstheme="majorHAnsi"/>
                <w:sz w:val="18"/>
                <w:szCs w:val="18"/>
                <w:lang w:val="ro-MD"/>
              </w:rPr>
              <w:t>Planificat</w:t>
            </w:r>
          </w:p>
        </w:tc>
        <w:tc>
          <w:tcPr>
            <w:tcW w:w="425" w:type="dxa"/>
            <w:tcBorders>
              <w:top w:val="single" w:sz="4" w:space="0" w:color="auto"/>
              <w:left w:val="single" w:sz="4" w:space="0" w:color="auto"/>
              <w:bottom w:val="single" w:sz="4" w:space="0" w:color="auto"/>
              <w:right w:val="single" w:sz="4" w:space="0" w:color="auto"/>
            </w:tcBorders>
            <w:textDirection w:val="btLr"/>
          </w:tcPr>
          <w:p w14:paraId="58FEFE20" w14:textId="32518D3C" w:rsidR="002F3339" w:rsidRPr="00E33BAB" w:rsidRDefault="002F3339">
            <w:pPr>
              <w:ind w:left="113" w:right="113"/>
              <w:jc w:val="center"/>
              <w:rPr>
                <w:rFonts w:asciiTheme="majorHAnsi" w:hAnsiTheme="majorHAnsi" w:cstheme="majorHAnsi"/>
                <w:sz w:val="18"/>
                <w:szCs w:val="18"/>
                <w:lang w:val="ro-MD"/>
              </w:rPr>
            </w:pPr>
            <w:r w:rsidRPr="00E33BAB">
              <w:rPr>
                <w:rFonts w:asciiTheme="majorHAnsi" w:hAnsiTheme="majorHAnsi" w:cstheme="majorHAnsi"/>
                <w:sz w:val="18"/>
                <w:szCs w:val="18"/>
                <w:lang w:val="ro-MD"/>
              </w:rPr>
              <w:t>Executat</w:t>
            </w:r>
          </w:p>
        </w:tc>
      </w:tr>
      <w:tr w:rsidR="002F3339" w:rsidRPr="00E33BAB" w14:paraId="53CDA86A" w14:textId="496804F0" w:rsidTr="002F3339">
        <w:trPr>
          <w:cantSplit/>
          <w:trHeight w:val="1134"/>
        </w:trPr>
        <w:tc>
          <w:tcPr>
            <w:tcW w:w="1656" w:type="dxa"/>
            <w:tcBorders>
              <w:top w:val="single" w:sz="4" w:space="0" w:color="auto"/>
              <w:left w:val="single" w:sz="4" w:space="0" w:color="auto"/>
              <w:bottom w:val="single" w:sz="4" w:space="0" w:color="auto"/>
              <w:right w:val="single" w:sz="4" w:space="0" w:color="auto"/>
            </w:tcBorders>
            <w:hideMark/>
          </w:tcPr>
          <w:p w14:paraId="61A3D88F"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xml:space="preserve"> (1) ILD #1:</w:t>
            </w:r>
          </w:p>
          <w:p w14:paraId="65B7D36B" w14:textId="2AECF012"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Prevalența fumatului la adulți (categoria de vârstă 18-69</w:t>
            </w:r>
            <w:r w:rsidR="009419FE">
              <w:rPr>
                <w:rFonts w:asciiTheme="majorHAnsi" w:eastAsia="Times New Roman" w:hAnsiTheme="majorHAnsi" w:cstheme="majorHAnsi"/>
                <w:sz w:val="18"/>
                <w:szCs w:val="18"/>
                <w:lang w:val="ro-MD"/>
              </w:rPr>
              <w:t xml:space="preserve"> </w:t>
            </w:r>
            <w:r w:rsidRPr="00E33BAB">
              <w:rPr>
                <w:rFonts w:asciiTheme="majorHAnsi" w:eastAsia="Times New Roman" w:hAnsiTheme="majorHAnsi" w:cstheme="majorHAnsi"/>
                <w:sz w:val="18"/>
                <w:szCs w:val="18"/>
                <w:lang w:val="ro-MD"/>
              </w:rPr>
              <w:t xml:space="preserve">ani; a) bărbați;  b) femei </w:t>
            </w:r>
          </w:p>
        </w:tc>
        <w:tc>
          <w:tcPr>
            <w:tcW w:w="3448" w:type="dxa"/>
            <w:tcBorders>
              <w:top w:val="single" w:sz="4" w:space="0" w:color="auto"/>
              <w:left w:val="single" w:sz="4" w:space="0" w:color="auto"/>
              <w:bottom w:val="single" w:sz="4" w:space="0" w:color="auto"/>
              <w:right w:val="single" w:sz="4" w:space="0" w:color="auto"/>
            </w:tcBorders>
            <w:hideMark/>
          </w:tcPr>
          <w:p w14:paraId="5836982C" w14:textId="5EC2AC7E"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ILD #1.1: Începând cu anul 2018, toate țigările importate și</w:t>
            </w:r>
            <w:r w:rsidR="009419FE">
              <w:rPr>
                <w:rFonts w:asciiTheme="majorHAnsi" w:eastAsia="Times New Roman" w:hAnsiTheme="majorHAnsi" w:cstheme="majorHAnsi"/>
                <w:sz w:val="18"/>
                <w:szCs w:val="18"/>
                <w:lang w:val="ro-MD"/>
              </w:rPr>
              <w:t xml:space="preserve"> cele</w:t>
            </w:r>
            <w:r w:rsidRPr="00E33BAB">
              <w:rPr>
                <w:rFonts w:asciiTheme="majorHAnsi" w:eastAsia="Times New Roman" w:hAnsiTheme="majorHAnsi" w:cstheme="majorHAnsi"/>
                <w:sz w:val="18"/>
                <w:szCs w:val="18"/>
                <w:lang w:val="ro-MD"/>
              </w:rPr>
              <w:t xml:space="preserve"> produse la nivel local, prezente pe piață, sunt în conformitate cu Regulamentul privind etichetarea </w:t>
            </w:r>
            <w:r w:rsidR="00037F7E">
              <w:rPr>
                <w:rFonts w:asciiTheme="majorHAnsi" w:eastAsia="Times New Roman" w:hAnsiTheme="majorHAnsi" w:cstheme="majorHAnsi"/>
                <w:sz w:val="18"/>
                <w:szCs w:val="18"/>
                <w:lang w:val="ro-MD"/>
              </w:rPr>
              <w:t xml:space="preserve">produselor din </w:t>
            </w:r>
            <w:r w:rsidRPr="00E33BAB">
              <w:rPr>
                <w:rFonts w:asciiTheme="majorHAnsi" w:eastAsia="Times New Roman" w:hAnsiTheme="majorHAnsi" w:cstheme="majorHAnsi"/>
                <w:sz w:val="18"/>
                <w:szCs w:val="18"/>
                <w:lang w:val="ro-MD"/>
              </w:rPr>
              <w:t>tutun</w:t>
            </w:r>
          </w:p>
          <w:p w14:paraId="4178A3D4"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ILD #1.2: situația inițială/de referință privind fumatul minus 2 puncte procentuale în Anul 4</w:t>
            </w:r>
          </w:p>
        </w:tc>
        <w:tc>
          <w:tcPr>
            <w:tcW w:w="3402" w:type="dxa"/>
            <w:tcBorders>
              <w:top w:val="single" w:sz="4" w:space="0" w:color="auto"/>
              <w:left w:val="single" w:sz="4" w:space="0" w:color="auto"/>
              <w:bottom w:val="single" w:sz="4" w:space="0" w:color="auto"/>
              <w:right w:val="single" w:sz="4" w:space="0" w:color="auto"/>
            </w:tcBorders>
            <w:hideMark/>
          </w:tcPr>
          <w:p w14:paraId="4C31DFAB"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ILD #1.1.: 323,500</w:t>
            </w:r>
          </w:p>
          <w:p w14:paraId="305E934A"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ILD #1.2: 1, 941, 000</w:t>
            </w:r>
          </w:p>
          <w:p w14:paraId="37455480"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ILD 1.2 Alocarea este de 194.100 pentru fiecare reducere de 0.2 puncte procentuale a prevalenței fumatului comparativ cu fazele inițiale, până la nivelul maxim de 1.941.000  DTS</w:t>
            </w:r>
          </w:p>
        </w:tc>
        <w:tc>
          <w:tcPr>
            <w:tcW w:w="1054" w:type="dxa"/>
            <w:tcBorders>
              <w:top w:val="single" w:sz="4" w:space="0" w:color="auto"/>
              <w:left w:val="single" w:sz="4" w:space="0" w:color="auto"/>
              <w:bottom w:val="single" w:sz="4" w:space="0" w:color="auto"/>
              <w:right w:val="single" w:sz="4" w:space="0" w:color="auto"/>
            </w:tcBorders>
            <w:textDirection w:val="btLr"/>
            <w:hideMark/>
          </w:tcPr>
          <w:p w14:paraId="79C78B70"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2 264 500</w:t>
            </w:r>
          </w:p>
        </w:tc>
        <w:tc>
          <w:tcPr>
            <w:tcW w:w="547" w:type="dxa"/>
            <w:tcBorders>
              <w:top w:val="single" w:sz="4" w:space="0" w:color="auto"/>
              <w:left w:val="single" w:sz="4" w:space="0" w:color="auto"/>
              <w:bottom w:val="single" w:sz="4" w:space="0" w:color="auto"/>
              <w:right w:val="single" w:sz="4" w:space="0" w:color="auto"/>
            </w:tcBorders>
            <w:textDirection w:val="btLr"/>
            <w:hideMark/>
          </w:tcPr>
          <w:p w14:paraId="773D38D4"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02BA01A6"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34DDEEAF"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411A7DF4"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305EC3F9"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3E90E220"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50" w:type="dxa"/>
            <w:tcBorders>
              <w:top w:val="single" w:sz="4" w:space="0" w:color="auto"/>
              <w:left w:val="single" w:sz="4" w:space="0" w:color="auto"/>
              <w:bottom w:val="single" w:sz="4" w:space="0" w:color="auto"/>
              <w:right w:val="single" w:sz="4" w:space="0" w:color="auto"/>
            </w:tcBorders>
            <w:textDirection w:val="btLr"/>
            <w:hideMark/>
          </w:tcPr>
          <w:p w14:paraId="573FC814"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26" w:type="dxa"/>
            <w:tcBorders>
              <w:top w:val="single" w:sz="4" w:space="0" w:color="auto"/>
              <w:left w:val="single" w:sz="4" w:space="0" w:color="auto"/>
              <w:bottom w:val="single" w:sz="4" w:space="0" w:color="auto"/>
              <w:right w:val="single" w:sz="4" w:space="0" w:color="auto"/>
            </w:tcBorders>
            <w:textDirection w:val="btLr"/>
            <w:hideMark/>
          </w:tcPr>
          <w:p w14:paraId="44EB9B08"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32" w:type="dxa"/>
            <w:tcBorders>
              <w:top w:val="single" w:sz="4" w:space="0" w:color="auto"/>
              <w:left w:val="single" w:sz="4" w:space="0" w:color="auto"/>
              <w:bottom w:val="single" w:sz="4" w:space="0" w:color="auto"/>
              <w:right w:val="single" w:sz="4" w:space="0" w:color="auto"/>
            </w:tcBorders>
            <w:textDirection w:val="btLr"/>
            <w:hideMark/>
          </w:tcPr>
          <w:p w14:paraId="1DA74DBC"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365DF83E"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13" w:type="dxa"/>
            <w:tcBorders>
              <w:top w:val="single" w:sz="4" w:space="0" w:color="auto"/>
              <w:left w:val="single" w:sz="4" w:space="0" w:color="auto"/>
              <w:bottom w:val="single" w:sz="4" w:space="0" w:color="auto"/>
              <w:right w:val="single" w:sz="4" w:space="0" w:color="auto"/>
            </w:tcBorders>
            <w:textDirection w:val="btLr"/>
            <w:hideMark/>
          </w:tcPr>
          <w:p w14:paraId="4E093F49"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2 264 500</w:t>
            </w:r>
          </w:p>
        </w:tc>
        <w:tc>
          <w:tcPr>
            <w:tcW w:w="425" w:type="dxa"/>
            <w:tcBorders>
              <w:top w:val="single" w:sz="4" w:space="0" w:color="auto"/>
              <w:left w:val="single" w:sz="4" w:space="0" w:color="auto"/>
              <w:bottom w:val="single" w:sz="4" w:space="0" w:color="auto"/>
              <w:right w:val="single" w:sz="4" w:space="0" w:color="auto"/>
            </w:tcBorders>
            <w:textDirection w:val="btLr"/>
          </w:tcPr>
          <w:p w14:paraId="369259EF" w14:textId="6DD32E79"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r>
      <w:tr w:rsidR="002F3339" w:rsidRPr="00E33BAB" w14:paraId="31D17FF7" w14:textId="2790EB22" w:rsidTr="002F3339">
        <w:trPr>
          <w:cantSplit/>
          <w:trHeight w:val="1134"/>
        </w:trPr>
        <w:tc>
          <w:tcPr>
            <w:tcW w:w="1656" w:type="dxa"/>
            <w:tcBorders>
              <w:top w:val="single" w:sz="4" w:space="0" w:color="auto"/>
              <w:left w:val="single" w:sz="4" w:space="0" w:color="auto"/>
              <w:bottom w:val="single" w:sz="4" w:space="0" w:color="auto"/>
              <w:right w:val="single" w:sz="4" w:space="0" w:color="auto"/>
            </w:tcBorders>
            <w:hideMark/>
          </w:tcPr>
          <w:p w14:paraId="13C2BCA2"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(2) ILD#2:</w:t>
            </w:r>
          </w:p>
          <w:p w14:paraId="30CB4953"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xml:space="preserve">Creșterea procentuală a bolnavilor cu afecțiuni cardiovasculare beneficiari de medicamente compensate pentru tratamentul afecțiunilor cardiovasculare  </w:t>
            </w:r>
          </w:p>
        </w:tc>
        <w:tc>
          <w:tcPr>
            <w:tcW w:w="3448" w:type="dxa"/>
            <w:tcBorders>
              <w:top w:val="single" w:sz="4" w:space="0" w:color="auto"/>
              <w:left w:val="single" w:sz="4" w:space="0" w:color="auto"/>
              <w:bottom w:val="single" w:sz="4" w:space="0" w:color="auto"/>
              <w:right w:val="single" w:sz="4" w:space="0" w:color="auto"/>
            </w:tcBorders>
            <w:hideMark/>
          </w:tcPr>
          <w:p w14:paraId="01C8D105"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ILD#2.1: Creșterea cu 5 puncte  procentuale, comparativ cu nivelul de referință, a bolnavilor cu afecțiuni cardiovasculare beneficiari de medicamente compensate pentru tratamentul afecțiunilor cardiovasculare</w:t>
            </w:r>
          </w:p>
          <w:p w14:paraId="10075475" w14:textId="6D604253"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ILD#2.2:  Creșterea cu 10 puncte procentuale, comparativ cu nivelul de referință, a bolnavilor cu afecțiuni cardiovasculare beneficiari de medicamente compensate pentru tratamentul afecțiunilor cardiovasculare</w:t>
            </w:r>
          </w:p>
        </w:tc>
        <w:tc>
          <w:tcPr>
            <w:tcW w:w="3402" w:type="dxa"/>
            <w:tcBorders>
              <w:top w:val="single" w:sz="4" w:space="0" w:color="auto"/>
              <w:left w:val="single" w:sz="4" w:space="0" w:color="auto"/>
              <w:bottom w:val="single" w:sz="4" w:space="0" w:color="auto"/>
              <w:right w:val="single" w:sz="4" w:space="0" w:color="auto"/>
            </w:tcBorders>
          </w:tcPr>
          <w:p w14:paraId="043FC35C"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xml:space="preserve">ILD#2.1: 1,294,000  </w:t>
            </w:r>
          </w:p>
          <w:p w14:paraId="1D36430B"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ILD#2.2: 1, 617, 500</w:t>
            </w:r>
          </w:p>
          <w:p w14:paraId="45B6AD53" w14:textId="2E8BA689"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xml:space="preserve">Alocația ILD este de 291.150 pentru fiecare majorare de 0,1 puncte procentuale a </w:t>
            </w:r>
            <w:r w:rsidR="00F13B13">
              <w:rPr>
                <w:rFonts w:asciiTheme="majorHAnsi" w:eastAsia="Times New Roman" w:hAnsiTheme="majorHAnsi" w:cstheme="majorHAnsi"/>
                <w:sz w:val="18"/>
                <w:szCs w:val="18"/>
                <w:lang w:val="ro-MD"/>
              </w:rPr>
              <w:t>h</w:t>
            </w:r>
            <w:r w:rsidRPr="00F13B13">
              <w:rPr>
                <w:rFonts w:asciiTheme="majorHAnsi" w:eastAsia="Times New Roman" w:hAnsiTheme="majorHAnsi" w:cstheme="majorHAnsi"/>
                <w:sz w:val="18"/>
                <w:szCs w:val="18"/>
                <w:lang w:val="ro-MD"/>
              </w:rPr>
              <w:t xml:space="preserve">ipertensiunii </w:t>
            </w:r>
            <w:r w:rsidR="00F13B13">
              <w:rPr>
                <w:rFonts w:asciiTheme="majorHAnsi" w:eastAsia="Times New Roman" w:hAnsiTheme="majorHAnsi" w:cstheme="majorHAnsi"/>
                <w:sz w:val="18"/>
                <w:szCs w:val="18"/>
                <w:lang w:val="ro-MD"/>
              </w:rPr>
              <w:t>s</w:t>
            </w:r>
            <w:r w:rsidRPr="00F13B13">
              <w:rPr>
                <w:rFonts w:asciiTheme="majorHAnsi" w:eastAsia="Times New Roman" w:hAnsiTheme="majorHAnsi" w:cstheme="majorHAnsi"/>
                <w:sz w:val="18"/>
                <w:szCs w:val="18"/>
                <w:lang w:val="ro-MD"/>
              </w:rPr>
              <w:t xml:space="preserve">ub </w:t>
            </w:r>
            <w:r w:rsidR="00F13B13">
              <w:rPr>
                <w:rFonts w:asciiTheme="majorHAnsi" w:eastAsia="Times New Roman" w:hAnsiTheme="majorHAnsi" w:cstheme="majorHAnsi"/>
                <w:sz w:val="18"/>
                <w:szCs w:val="18"/>
                <w:lang w:val="ro-MD"/>
              </w:rPr>
              <w:t>c</w:t>
            </w:r>
            <w:r w:rsidRPr="00F13B13">
              <w:rPr>
                <w:rFonts w:asciiTheme="majorHAnsi" w:eastAsia="Times New Roman" w:hAnsiTheme="majorHAnsi" w:cstheme="majorHAnsi"/>
                <w:sz w:val="18"/>
                <w:szCs w:val="18"/>
                <w:lang w:val="ro-MD"/>
              </w:rPr>
              <w:t>ontrol față de nivelul</w:t>
            </w:r>
            <w:r w:rsidRPr="00E33BAB">
              <w:rPr>
                <w:rFonts w:asciiTheme="majorHAnsi" w:eastAsia="Times New Roman" w:hAnsiTheme="majorHAnsi" w:cstheme="majorHAnsi"/>
                <w:sz w:val="18"/>
                <w:szCs w:val="18"/>
                <w:lang w:val="ro-MD"/>
              </w:rPr>
              <w:t xml:space="preserve"> de referință, până la nivelul maxim de 2.911.500 DTS</w:t>
            </w:r>
          </w:p>
          <w:p w14:paraId="0C242910"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tc>
        <w:tc>
          <w:tcPr>
            <w:tcW w:w="1054" w:type="dxa"/>
            <w:tcBorders>
              <w:top w:val="single" w:sz="4" w:space="0" w:color="auto"/>
              <w:left w:val="single" w:sz="4" w:space="0" w:color="auto"/>
              <w:bottom w:val="single" w:sz="4" w:space="0" w:color="auto"/>
              <w:right w:val="single" w:sz="4" w:space="0" w:color="auto"/>
            </w:tcBorders>
            <w:textDirection w:val="btLr"/>
            <w:hideMark/>
          </w:tcPr>
          <w:p w14:paraId="62481178"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2 911 500</w:t>
            </w:r>
          </w:p>
        </w:tc>
        <w:tc>
          <w:tcPr>
            <w:tcW w:w="547" w:type="dxa"/>
            <w:tcBorders>
              <w:top w:val="single" w:sz="4" w:space="0" w:color="auto"/>
              <w:left w:val="single" w:sz="4" w:space="0" w:color="auto"/>
              <w:bottom w:val="single" w:sz="4" w:space="0" w:color="auto"/>
              <w:right w:val="single" w:sz="4" w:space="0" w:color="auto"/>
            </w:tcBorders>
            <w:textDirection w:val="btLr"/>
            <w:hideMark/>
          </w:tcPr>
          <w:p w14:paraId="01D30D74"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18B7BAFD"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5B8D36F4"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53822494"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42C217DC"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2B1A2173"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50" w:type="dxa"/>
            <w:tcBorders>
              <w:top w:val="single" w:sz="4" w:space="0" w:color="auto"/>
              <w:left w:val="single" w:sz="4" w:space="0" w:color="auto"/>
              <w:bottom w:val="single" w:sz="4" w:space="0" w:color="auto"/>
              <w:right w:val="single" w:sz="4" w:space="0" w:color="auto"/>
            </w:tcBorders>
            <w:textDirection w:val="btLr"/>
            <w:hideMark/>
          </w:tcPr>
          <w:p w14:paraId="2481FA0B"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26" w:type="dxa"/>
            <w:tcBorders>
              <w:top w:val="single" w:sz="4" w:space="0" w:color="auto"/>
              <w:left w:val="single" w:sz="4" w:space="0" w:color="auto"/>
              <w:bottom w:val="single" w:sz="4" w:space="0" w:color="auto"/>
              <w:right w:val="single" w:sz="4" w:space="0" w:color="auto"/>
            </w:tcBorders>
            <w:textDirection w:val="btLr"/>
            <w:hideMark/>
          </w:tcPr>
          <w:p w14:paraId="2962337E"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32" w:type="dxa"/>
            <w:tcBorders>
              <w:top w:val="single" w:sz="4" w:space="0" w:color="auto"/>
              <w:left w:val="single" w:sz="4" w:space="0" w:color="auto"/>
              <w:bottom w:val="single" w:sz="4" w:space="0" w:color="auto"/>
              <w:right w:val="single" w:sz="4" w:space="0" w:color="auto"/>
            </w:tcBorders>
            <w:textDirection w:val="btLr"/>
            <w:hideMark/>
          </w:tcPr>
          <w:p w14:paraId="375E24CB"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31B6462E"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13" w:type="dxa"/>
            <w:tcBorders>
              <w:top w:val="single" w:sz="4" w:space="0" w:color="auto"/>
              <w:left w:val="single" w:sz="4" w:space="0" w:color="auto"/>
              <w:bottom w:val="single" w:sz="4" w:space="0" w:color="auto"/>
              <w:right w:val="single" w:sz="4" w:space="0" w:color="auto"/>
            </w:tcBorders>
            <w:textDirection w:val="btLr"/>
            <w:hideMark/>
          </w:tcPr>
          <w:p w14:paraId="38AF22A9"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2 911 500</w:t>
            </w:r>
          </w:p>
        </w:tc>
        <w:tc>
          <w:tcPr>
            <w:tcW w:w="425" w:type="dxa"/>
            <w:tcBorders>
              <w:top w:val="single" w:sz="4" w:space="0" w:color="auto"/>
              <w:left w:val="single" w:sz="4" w:space="0" w:color="auto"/>
              <w:bottom w:val="single" w:sz="4" w:space="0" w:color="auto"/>
              <w:right w:val="single" w:sz="4" w:space="0" w:color="auto"/>
            </w:tcBorders>
            <w:textDirection w:val="btLr"/>
          </w:tcPr>
          <w:p w14:paraId="7D9951DD" w14:textId="3ECA577A"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r>
      <w:tr w:rsidR="002F3339" w:rsidRPr="00E33BAB" w14:paraId="03F0D24D" w14:textId="7DE6754E" w:rsidTr="002F3339">
        <w:trPr>
          <w:cantSplit/>
          <w:trHeight w:val="1134"/>
        </w:trPr>
        <w:tc>
          <w:tcPr>
            <w:tcW w:w="1656" w:type="dxa"/>
            <w:tcBorders>
              <w:top w:val="single" w:sz="4" w:space="0" w:color="auto"/>
              <w:left w:val="single" w:sz="4" w:space="0" w:color="auto"/>
              <w:bottom w:val="single" w:sz="4" w:space="0" w:color="auto"/>
              <w:right w:val="single" w:sz="4" w:space="0" w:color="auto"/>
            </w:tcBorders>
            <w:hideMark/>
          </w:tcPr>
          <w:p w14:paraId="4D270703"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(3) ILD #3</w:t>
            </w:r>
          </w:p>
          <w:p w14:paraId="6D44E796" w14:textId="329568A6"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xml:space="preserve">Numărul anual de externări din secțiile de tratament intensiv la 100 </w:t>
            </w:r>
            <w:r w:rsidR="00D17300">
              <w:rPr>
                <w:rFonts w:asciiTheme="majorHAnsi" w:eastAsia="Times New Roman" w:hAnsiTheme="majorHAnsi" w:cstheme="majorHAnsi"/>
                <w:sz w:val="18"/>
                <w:szCs w:val="18"/>
                <w:lang w:val="ro-MD"/>
              </w:rPr>
              <w:t xml:space="preserve">de </w:t>
            </w:r>
            <w:r w:rsidRPr="00E33BAB">
              <w:rPr>
                <w:rFonts w:asciiTheme="majorHAnsi" w:eastAsia="Times New Roman" w:hAnsiTheme="majorHAnsi" w:cstheme="majorHAnsi"/>
                <w:sz w:val="18"/>
                <w:szCs w:val="18"/>
                <w:lang w:val="ro-MD"/>
              </w:rPr>
              <w:t xml:space="preserve">persoane, de la nivelul de bază/de referință de 17,6 </w:t>
            </w:r>
          </w:p>
        </w:tc>
        <w:tc>
          <w:tcPr>
            <w:tcW w:w="3448" w:type="dxa"/>
            <w:tcBorders>
              <w:top w:val="single" w:sz="4" w:space="0" w:color="auto"/>
              <w:left w:val="single" w:sz="4" w:space="0" w:color="auto"/>
              <w:bottom w:val="single" w:sz="4" w:space="0" w:color="auto"/>
              <w:right w:val="single" w:sz="4" w:space="0" w:color="auto"/>
            </w:tcBorders>
          </w:tcPr>
          <w:p w14:paraId="07755C1C"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ILD#3.1: 17 în Anul 1</w:t>
            </w:r>
          </w:p>
          <w:p w14:paraId="3C5B3FF7"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13B1BD80"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ILD#3.2: 16.5 în Anul 2</w:t>
            </w:r>
          </w:p>
          <w:p w14:paraId="24BF9804"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653793FD"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ILD#3.3: 16 în Anul 3</w:t>
            </w:r>
          </w:p>
          <w:p w14:paraId="20353624"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346AC5C4"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ILD#3.4: 15.6 în Anul 4</w:t>
            </w:r>
          </w:p>
          <w:p w14:paraId="7F31BD00"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tc>
        <w:tc>
          <w:tcPr>
            <w:tcW w:w="3402" w:type="dxa"/>
            <w:tcBorders>
              <w:top w:val="single" w:sz="4" w:space="0" w:color="auto"/>
              <w:left w:val="single" w:sz="4" w:space="0" w:color="auto"/>
              <w:bottom w:val="single" w:sz="4" w:space="0" w:color="auto"/>
              <w:right w:val="single" w:sz="4" w:space="0" w:color="auto"/>
            </w:tcBorders>
            <w:hideMark/>
          </w:tcPr>
          <w:p w14:paraId="322CB02C"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xml:space="preserve">ILD#3.1: 582.000 </w:t>
            </w:r>
          </w:p>
          <w:p w14:paraId="776F5588"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ILD#3.2: 485.500</w:t>
            </w:r>
          </w:p>
          <w:p w14:paraId="0531428A"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xml:space="preserve">ILD#3.3: 485.500 </w:t>
            </w:r>
          </w:p>
          <w:p w14:paraId="4DD24C9F"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xml:space="preserve">ILD#3.4: 388.000 </w:t>
            </w:r>
          </w:p>
          <w:p w14:paraId="17D25B36"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Alocarea ILD este de 97.000 pentru fiecare reducere de 0,1 a internărilor anuale pentru tratament intensiv la 100 de persoane, comparativ cu anul precedent, până la un nivel maxim de 1.941.000 DTS</w:t>
            </w:r>
          </w:p>
        </w:tc>
        <w:tc>
          <w:tcPr>
            <w:tcW w:w="1054" w:type="dxa"/>
            <w:tcBorders>
              <w:top w:val="single" w:sz="4" w:space="0" w:color="auto"/>
              <w:left w:val="single" w:sz="4" w:space="0" w:color="auto"/>
              <w:bottom w:val="single" w:sz="4" w:space="0" w:color="auto"/>
              <w:right w:val="single" w:sz="4" w:space="0" w:color="auto"/>
            </w:tcBorders>
            <w:textDirection w:val="btLr"/>
            <w:hideMark/>
          </w:tcPr>
          <w:p w14:paraId="7C01EC39"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1 941 000</w:t>
            </w:r>
          </w:p>
        </w:tc>
        <w:tc>
          <w:tcPr>
            <w:tcW w:w="547" w:type="dxa"/>
            <w:tcBorders>
              <w:top w:val="single" w:sz="4" w:space="0" w:color="auto"/>
              <w:left w:val="single" w:sz="4" w:space="0" w:color="auto"/>
              <w:bottom w:val="single" w:sz="4" w:space="0" w:color="auto"/>
              <w:right w:val="single" w:sz="4" w:space="0" w:color="auto"/>
            </w:tcBorders>
            <w:textDirection w:val="btLr"/>
            <w:hideMark/>
          </w:tcPr>
          <w:p w14:paraId="70D03D17"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7FC49B41"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34850F37"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1 941 000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6FA57B88"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1 941 000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3A810658"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02DD3437"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50" w:type="dxa"/>
            <w:tcBorders>
              <w:top w:val="single" w:sz="4" w:space="0" w:color="auto"/>
              <w:left w:val="single" w:sz="4" w:space="0" w:color="auto"/>
              <w:bottom w:val="single" w:sz="4" w:space="0" w:color="auto"/>
              <w:right w:val="single" w:sz="4" w:space="0" w:color="auto"/>
            </w:tcBorders>
            <w:textDirection w:val="btLr"/>
            <w:hideMark/>
          </w:tcPr>
          <w:p w14:paraId="7B28D813"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26" w:type="dxa"/>
            <w:tcBorders>
              <w:top w:val="single" w:sz="4" w:space="0" w:color="auto"/>
              <w:left w:val="single" w:sz="4" w:space="0" w:color="auto"/>
              <w:bottom w:val="single" w:sz="4" w:space="0" w:color="auto"/>
              <w:right w:val="single" w:sz="4" w:space="0" w:color="auto"/>
            </w:tcBorders>
            <w:textDirection w:val="btLr"/>
            <w:hideMark/>
          </w:tcPr>
          <w:p w14:paraId="68F656A6"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32" w:type="dxa"/>
            <w:tcBorders>
              <w:top w:val="single" w:sz="4" w:space="0" w:color="auto"/>
              <w:left w:val="single" w:sz="4" w:space="0" w:color="auto"/>
              <w:bottom w:val="single" w:sz="4" w:space="0" w:color="auto"/>
              <w:right w:val="single" w:sz="4" w:space="0" w:color="auto"/>
            </w:tcBorders>
            <w:textDirection w:val="btLr"/>
            <w:hideMark/>
          </w:tcPr>
          <w:p w14:paraId="4D6717EA"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070D3E48"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13" w:type="dxa"/>
            <w:tcBorders>
              <w:top w:val="single" w:sz="4" w:space="0" w:color="auto"/>
              <w:left w:val="single" w:sz="4" w:space="0" w:color="auto"/>
              <w:bottom w:val="single" w:sz="4" w:space="0" w:color="auto"/>
              <w:right w:val="single" w:sz="4" w:space="0" w:color="auto"/>
            </w:tcBorders>
            <w:textDirection w:val="btLr"/>
            <w:hideMark/>
          </w:tcPr>
          <w:p w14:paraId="221B1491"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25" w:type="dxa"/>
            <w:tcBorders>
              <w:top w:val="single" w:sz="4" w:space="0" w:color="auto"/>
              <w:left w:val="single" w:sz="4" w:space="0" w:color="auto"/>
              <w:bottom w:val="single" w:sz="4" w:space="0" w:color="auto"/>
              <w:right w:val="single" w:sz="4" w:space="0" w:color="auto"/>
            </w:tcBorders>
            <w:textDirection w:val="btLr"/>
          </w:tcPr>
          <w:p w14:paraId="0D2F3271" w14:textId="31B122EF"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r>
      <w:tr w:rsidR="002F3339" w:rsidRPr="00E33BAB" w14:paraId="74277831" w14:textId="66AECB53" w:rsidTr="002F3339">
        <w:trPr>
          <w:cantSplit/>
          <w:trHeight w:val="1134"/>
        </w:trPr>
        <w:tc>
          <w:tcPr>
            <w:tcW w:w="1656" w:type="dxa"/>
            <w:tcBorders>
              <w:top w:val="single" w:sz="4" w:space="0" w:color="auto"/>
              <w:left w:val="single" w:sz="4" w:space="0" w:color="auto"/>
              <w:bottom w:val="single" w:sz="4" w:space="0" w:color="auto"/>
              <w:right w:val="single" w:sz="4" w:space="0" w:color="auto"/>
            </w:tcBorders>
            <w:hideMark/>
          </w:tcPr>
          <w:p w14:paraId="48C07C5C"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lastRenderedPageBreak/>
              <w:t>(4) ILD #4</w:t>
            </w:r>
          </w:p>
          <w:p w14:paraId="1B6FAB98"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xml:space="preserve">Numărul de paturi în spital pentru tratament intensiv, de la nivelul de bază/referință de 17.586 </w:t>
            </w:r>
          </w:p>
        </w:tc>
        <w:tc>
          <w:tcPr>
            <w:tcW w:w="3448" w:type="dxa"/>
            <w:tcBorders>
              <w:top w:val="single" w:sz="4" w:space="0" w:color="auto"/>
              <w:left w:val="single" w:sz="4" w:space="0" w:color="auto"/>
              <w:bottom w:val="single" w:sz="4" w:space="0" w:color="auto"/>
              <w:right w:val="single" w:sz="4" w:space="0" w:color="auto"/>
            </w:tcBorders>
          </w:tcPr>
          <w:p w14:paraId="2616955A"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ILD#4.1: 17,000 în Anul 1</w:t>
            </w:r>
          </w:p>
          <w:p w14:paraId="4B6C5AD6"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16E5A5FA"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ILD#4.2: 16,500 în Anul 2</w:t>
            </w:r>
          </w:p>
          <w:p w14:paraId="031D2052"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0F6D9B9F"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ILD#4.3: 16,000 în Anul 3</w:t>
            </w:r>
          </w:p>
          <w:p w14:paraId="7AF7CE38"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0FAF38AD"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ILD#4.4: 15,000 în Anul 4</w:t>
            </w:r>
          </w:p>
          <w:p w14:paraId="501E01EA"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tc>
        <w:tc>
          <w:tcPr>
            <w:tcW w:w="3402" w:type="dxa"/>
            <w:tcBorders>
              <w:top w:val="single" w:sz="4" w:space="0" w:color="auto"/>
              <w:left w:val="single" w:sz="4" w:space="0" w:color="auto"/>
              <w:bottom w:val="single" w:sz="4" w:space="0" w:color="auto"/>
              <w:right w:val="single" w:sz="4" w:space="0" w:color="auto"/>
            </w:tcBorders>
          </w:tcPr>
          <w:p w14:paraId="2A3C4946"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ILD#4.1: 689.000</w:t>
            </w:r>
          </w:p>
          <w:p w14:paraId="65D3BF0B"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0755072E"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ILD#4.2: 588.000</w:t>
            </w:r>
          </w:p>
          <w:p w14:paraId="64011EB0"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1A0341DF"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ILD#4.3: 588.000</w:t>
            </w:r>
          </w:p>
          <w:p w14:paraId="0A02CC20"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285D9F60"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ILD#4.4: 1.176.000</w:t>
            </w:r>
          </w:p>
          <w:p w14:paraId="2AB7DEBF"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6AE91A0E"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xml:space="preserve">Alocarea ILD este de 1.200 pentru fiecare reducere a unui pat de spital pentru tratament intensiv, comparativ cu anul precedent, până la nivelul maxim </w:t>
            </w:r>
          </w:p>
          <w:p w14:paraId="0B996EAB"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de 3.041.000 DTS</w:t>
            </w:r>
          </w:p>
        </w:tc>
        <w:tc>
          <w:tcPr>
            <w:tcW w:w="1054" w:type="dxa"/>
            <w:tcBorders>
              <w:top w:val="single" w:sz="4" w:space="0" w:color="auto"/>
              <w:left w:val="single" w:sz="4" w:space="0" w:color="auto"/>
              <w:bottom w:val="single" w:sz="4" w:space="0" w:color="auto"/>
              <w:right w:val="single" w:sz="4" w:space="0" w:color="auto"/>
            </w:tcBorders>
            <w:textDirection w:val="btLr"/>
            <w:hideMark/>
          </w:tcPr>
          <w:p w14:paraId="18375909"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3 041 000</w:t>
            </w:r>
          </w:p>
        </w:tc>
        <w:tc>
          <w:tcPr>
            <w:tcW w:w="547" w:type="dxa"/>
            <w:tcBorders>
              <w:top w:val="single" w:sz="4" w:space="0" w:color="auto"/>
              <w:left w:val="single" w:sz="4" w:space="0" w:color="auto"/>
              <w:bottom w:val="single" w:sz="4" w:space="0" w:color="auto"/>
              <w:right w:val="single" w:sz="4" w:space="0" w:color="auto"/>
            </w:tcBorders>
            <w:textDirection w:val="btLr"/>
            <w:hideMark/>
          </w:tcPr>
          <w:p w14:paraId="1E5F699D"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4D63807B"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7D44BD5B"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3 041 000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5121419F"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3 041 000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03DF4A74"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283807E1"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50" w:type="dxa"/>
            <w:tcBorders>
              <w:top w:val="single" w:sz="4" w:space="0" w:color="auto"/>
              <w:left w:val="single" w:sz="4" w:space="0" w:color="auto"/>
              <w:bottom w:val="single" w:sz="4" w:space="0" w:color="auto"/>
              <w:right w:val="single" w:sz="4" w:space="0" w:color="auto"/>
            </w:tcBorders>
            <w:textDirection w:val="btLr"/>
            <w:hideMark/>
          </w:tcPr>
          <w:p w14:paraId="0892FE03"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26" w:type="dxa"/>
            <w:tcBorders>
              <w:top w:val="single" w:sz="4" w:space="0" w:color="auto"/>
              <w:left w:val="single" w:sz="4" w:space="0" w:color="auto"/>
              <w:bottom w:val="single" w:sz="4" w:space="0" w:color="auto"/>
              <w:right w:val="single" w:sz="4" w:space="0" w:color="auto"/>
            </w:tcBorders>
            <w:textDirection w:val="btLr"/>
            <w:hideMark/>
          </w:tcPr>
          <w:p w14:paraId="0A276035"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32" w:type="dxa"/>
            <w:tcBorders>
              <w:top w:val="single" w:sz="4" w:space="0" w:color="auto"/>
              <w:left w:val="single" w:sz="4" w:space="0" w:color="auto"/>
              <w:bottom w:val="single" w:sz="4" w:space="0" w:color="auto"/>
              <w:right w:val="single" w:sz="4" w:space="0" w:color="auto"/>
            </w:tcBorders>
            <w:textDirection w:val="btLr"/>
            <w:hideMark/>
          </w:tcPr>
          <w:p w14:paraId="23A27DB0"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2BBC97C3"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13" w:type="dxa"/>
            <w:tcBorders>
              <w:top w:val="single" w:sz="4" w:space="0" w:color="auto"/>
              <w:left w:val="single" w:sz="4" w:space="0" w:color="auto"/>
              <w:bottom w:val="single" w:sz="4" w:space="0" w:color="auto"/>
              <w:right w:val="single" w:sz="4" w:space="0" w:color="auto"/>
            </w:tcBorders>
            <w:textDirection w:val="btLr"/>
            <w:hideMark/>
          </w:tcPr>
          <w:p w14:paraId="7D16F0F9"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25" w:type="dxa"/>
            <w:tcBorders>
              <w:top w:val="single" w:sz="4" w:space="0" w:color="auto"/>
              <w:left w:val="single" w:sz="4" w:space="0" w:color="auto"/>
              <w:bottom w:val="single" w:sz="4" w:space="0" w:color="auto"/>
              <w:right w:val="single" w:sz="4" w:space="0" w:color="auto"/>
            </w:tcBorders>
            <w:textDirection w:val="btLr"/>
          </w:tcPr>
          <w:p w14:paraId="5ABB2AC8" w14:textId="1BC67934"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r>
      <w:tr w:rsidR="002F3339" w:rsidRPr="00E33BAB" w14:paraId="0843EFEE" w14:textId="59652F9E" w:rsidTr="002F3339">
        <w:trPr>
          <w:cantSplit/>
          <w:trHeight w:val="1134"/>
        </w:trPr>
        <w:tc>
          <w:tcPr>
            <w:tcW w:w="1656" w:type="dxa"/>
            <w:tcBorders>
              <w:top w:val="single" w:sz="4" w:space="0" w:color="auto"/>
              <w:left w:val="single" w:sz="4" w:space="0" w:color="auto"/>
              <w:bottom w:val="single" w:sz="4" w:space="0" w:color="auto"/>
              <w:right w:val="single" w:sz="4" w:space="0" w:color="auto"/>
            </w:tcBorders>
            <w:hideMark/>
          </w:tcPr>
          <w:p w14:paraId="293AD3D5"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(5) ILD #5</w:t>
            </w:r>
          </w:p>
          <w:p w14:paraId="50DD58BC" w14:textId="3E809888"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Adoptarea unui pachet revizuit de medicamente compensate pentru tratamentul ambulatoriu cu medicamente antihipertensive</w:t>
            </w:r>
          </w:p>
        </w:tc>
        <w:tc>
          <w:tcPr>
            <w:tcW w:w="3448" w:type="dxa"/>
            <w:tcBorders>
              <w:top w:val="single" w:sz="4" w:space="0" w:color="auto"/>
              <w:left w:val="single" w:sz="4" w:space="0" w:color="auto"/>
              <w:bottom w:val="single" w:sz="4" w:space="0" w:color="auto"/>
              <w:right w:val="single" w:sz="4" w:space="0" w:color="auto"/>
            </w:tcBorders>
            <w:hideMark/>
          </w:tcPr>
          <w:p w14:paraId="56A213A4" w14:textId="780C4CDD" w:rsidR="002F3339" w:rsidRPr="00DA7824" w:rsidRDefault="002F3339">
            <w:pPr>
              <w:tabs>
                <w:tab w:val="left" w:pos="-720"/>
              </w:tabs>
              <w:suppressAutoHyphens/>
              <w:jc w:val="both"/>
              <w:rPr>
                <w:rFonts w:asciiTheme="majorHAnsi" w:eastAsia="Times New Roman" w:hAnsiTheme="majorHAnsi" w:cstheme="majorHAnsi"/>
                <w:sz w:val="18"/>
                <w:szCs w:val="18"/>
                <w:lang w:val="ro-MD"/>
              </w:rPr>
            </w:pPr>
            <w:r w:rsidRPr="00DA7824">
              <w:rPr>
                <w:rFonts w:asciiTheme="majorHAnsi" w:eastAsia="Times New Roman" w:hAnsiTheme="majorHAnsi" w:cstheme="majorHAnsi"/>
                <w:sz w:val="18"/>
                <w:szCs w:val="18"/>
                <w:lang w:val="ro-MD"/>
              </w:rPr>
              <w:t>ILD#5.1: Emiterea unui Ordin comun al MS</w:t>
            </w:r>
            <w:r w:rsidR="00DA7824" w:rsidRPr="00DA7824">
              <w:rPr>
                <w:rFonts w:asciiTheme="majorHAnsi" w:eastAsia="Times New Roman" w:hAnsiTheme="majorHAnsi" w:cstheme="majorHAnsi"/>
                <w:sz w:val="18"/>
                <w:szCs w:val="18"/>
                <w:lang w:val="ro-MD"/>
              </w:rPr>
              <w:t>MPS</w:t>
            </w:r>
            <w:r w:rsidRPr="00DA7824">
              <w:rPr>
                <w:rFonts w:asciiTheme="majorHAnsi" w:eastAsia="Times New Roman" w:hAnsiTheme="majorHAnsi" w:cstheme="majorHAnsi"/>
                <w:sz w:val="18"/>
                <w:szCs w:val="18"/>
                <w:lang w:val="ro-MD"/>
              </w:rPr>
              <w:t xml:space="preserve"> şi CNAM privind adoptarea unui pachet revizuit de medicamente compensate, în care rata medie de rambursare pentru medicamentele generice, de prima linie</w:t>
            </w:r>
            <w:r w:rsidR="00634F4E" w:rsidRPr="00DA7824">
              <w:rPr>
                <w:rFonts w:asciiTheme="majorHAnsi" w:eastAsia="Times New Roman" w:hAnsiTheme="majorHAnsi" w:cstheme="majorHAnsi"/>
                <w:sz w:val="18"/>
                <w:szCs w:val="18"/>
                <w:lang w:val="ro-MD"/>
              </w:rPr>
              <w:t>,</w:t>
            </w:r>
            <w:r w:rsidRPr="00DA7824">
              <w:rPr>
                <w:rFonts w:asciiTheme="majorHAnsi" w:eastAsia="Times New Roman" w:hAnsiTheme="majorHAnsi" w:cstheme="majorHAnsi"/>
                <w:sz w:val="18"/>
                <w:szCs w:val="18"/>
                <w:lang w:val="ro-MD"/>
              </w:rPr>
              <w:t xml:space="preserve"> în trei cele mai principale categorii antihipertensive este de cel puțin 70%</w:t>
            </w:r>
          </w:p>
        </w:tc>
        <w:tc>
          <w:tcPr>
            <w:tcW w:w="3402" w:type="dxa"/>
            <w:tcBorders>
              <w:top w:val="single" w:sz="4" w:space="0" w:color="auto"/>
              <w:left w:val="single" w:sz="4" w:space="0" w:color="auto"/>
              <w:bottom w:val="single" w:sz="4" w:space="0" w:color="auto"/>
              <w:right w:val="single" w:sz="4" w:space="0" w:color="auto"/>
            </w:tcBorders>
            <w:hideMark/>
          </w:tcPr>
          <w:p w14:paraId="22D85146"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xml:space="preserve">ILD#5.1: 1.294.000 </w:t>
            </w:r>
          </w:p>
        </w:tc>
        <w:tc>
          <w:tcPr>
            <w:tcW w:w="1054" w:type="dxa"/>
            <w:tcBorders>
              <w:top w:val="single" w:sz="4" w:space="0" w:color="auto"/>
              <w:left w:val="single" w:sz="4" w:space="0" w:color="auto"/>
              <w:bottom w:val="single" w:sz="4" w:space="0" w:color="auto"/>
              <w:right w:val="single" w:sz="4" w:space="0" w:color="auto"/>
            </w:tcBorders>
            <w:textDirection w:val="btLr"/>
            <w:hideMark/>
          </w:tcPr>
          <w:p w14:paraId="5FB2A3F9"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1 294 000</w:t>
            </w:r>
          </w:p>
        </w:tc>
        <w:tc>
          <w:tcPr>
            <w:tcW w:w="547" w:type="dxa"/>
            <w:tcBorders>
              <w:top w:val="single" w:sz="4" w:space="0" w:color="auto"/>
              <w:left w:val="single" w:sz="4" w:space="0" w:color="auto"/>
              <w:bottom w:val="single" w:sz="4" w:space="0" w:color="auto"/>
              <w:right w:val="single" w:sz="4" w:space="0" w:color="auto"/>
            </w:tcBorders>
            <w:textDirection w:val="btLr"/>
            <w:hideMark/>
          </w:tcPr>
          <w:p w14:paraId="6349747A"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1 294 000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1406512D"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1 294 000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5164F18E"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2893B5FF"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45B9B035"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7FA9C069"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50" w:type="dxa"/>
            <w:tcBorders>
              <w:top w:val="single" w:sz="4" w:space="0" w:color="auto"/>
              <w:left w:val="single" w:sz="4" w:space="0" w:color="auto"/>
              <w:bottom w:val="single" w:sz="4" w:space="0" w:color="auto"/>
              <w:right w:val="single" w:sz="4" w:space="0" w:color="auto"/>
            </w:tcBorders>
            <w:textDirection w:val="btLr"/>
            <w:hideMark/>
          </w:tcPr>
          <w:p w14:paraId="2E477036"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26" w:type="dxa"/>
            <w:tcBorders>
              <w:top w:val="single" w:sz="4" w:space="0" w:color="auto"/>
              <w:left w:val="single" w:sz="4" w:space="0" w:color="auto"/>
              <w:bottom w:val="single" w:sz="4" w:space="0" w:color="auto"/>
              <w:right w:val="single" w:sz="4" w:space="0" w:color="auto"/>
            </w:tcBorders>
            <w:textDirection w:val="btLr"/>
            <w:hideMark/>
          </w:tcPr>
          <w:p w14:paraId="05A88909"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32" w:type="dxa"/>
            <w:tcBorders>
              <w:top w:val="single" w:sz="4" w:space="0" w:color="auto"/>
              <w:left w:val="single" w:sz="4" w:space="0" w:color="auto"/>
              <w:bottom w:val="single" w:sz="4" w:space="0" w:color="auto"/>
              <w:right w:val="single" w:sz="4" w:space="0" w:color="auto"/>
            </w:tcBorders>
            <w:textDirection w:val="btLr"/>
            <w:hideMark/>
          </w:tcPr>
          <w:p w14:paraId="2D9DC156"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180EDA62"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13" w:type="dxa"/>
            <w:tcBorders>
              <w:top w:val="single" w:sz="4" w:space="0" w:color="auto"/>
              <w:left w:val="single" w:sz="4" w:space="0" w:color="auto"/>
              <w:bottom w:val="single" w:sz="4" w:space="0" w:color="auto"/>
              <w:right w:val="single" w:sz="4" w:space="0" w:color="auto"/>
            </w:tcBorders>
            <w:textDirection w:val="btLr"/>
            <w:hideMark/>
          </w:tcPr>
          <w:p w14:paraId="0CDCA8C9"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25" w:type="dxa"/>
            <w:tcBorders>
              <w:top w:val="single" w:sz="4" w:space="0" w:color="auto"/>
              <w:left w:val="single" w:sz="4" w:space="0" w:color="auto"/>
              <w:bottom w:val="single" w:sz="4" w:space="0" w:color="auto"/>
              <w:right w:val="single" w:sz="4" w:space="0" w:color="auto"/>
            </w:tcBorders>
            <w:textDirection w:val="btLr"/>
          </w:tcPr>
          <w:p w14:paraId="19E0AEFF" w14:textId="76DBA1E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r>
      <w:tr w:rsidR="002F3339" w:rsidRPr="00E33BAB" w14:paraId="5C594A97" w14:textId="5BA62402" w:rsidTr="002F3339">
        <w:trPr>
          <w:cantSplit/>
          <w:trHeight w:val="1134"/>
        </w:trPr>
        <w:tc>
          <w:tcPr>
            <w:tcW w:w="1656" w:type="dxa"/>
            <w:tcBorders>
              <w:top w:val="single" w:sz="4" w:space="0" w:color="auto"/>
              <w:left w:val="single" w:sz="4" w:space="0" w:color="auto"/>
              <w:bottom w:val="single" w:sz="4" w:space="0" w:color="auto"/>
              <w:right w:val="single" w:sz="4" w:space="0" w:color="auto"/>
            </w:tcBorders>
            <w:hideMark/>
          </w:tcPr>
          <w:p w14:paraId="315826D3"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(6) ILD #6</w:t>
            </w:r>
          </w:p>
          <w:p w14:paraId="1DD62A52"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xml:space="preserve">Revizuirea şi implementarea Schemei de stimulare bazate pe performanță în asistența medicală primară  </w:t>
            </w:r>
          </w:p>
        </w:tc>
        <w:tc>
          <w:tcPr>
            <w:tcW w:w="3448" w:type="dxa"/>
            <w:tcBorders>
              <w:top w:val="single" w:sz="4" w:space="0" w:color="auto"/>
              <w:left w:val="single" w:sz="4" w:space="0" w:color="auto"/>
              <w:bottom w:val="single" w:sz="4" w:space="0" w:color="auto"/>
              <w:right w:val="single" w:sz="4" w:space="0" w:color="auto"/>
            </w:tcBorders>
            <w:hideMark/>
          </w:tcPr>
          <w:p w14:paraId="3C225213"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ILD#6.1: Revizuirea şi adoptarea Schemei revizuite  de stimulare bazate pe performanță în asistența medicală primară într-un mod acceptabil pentru Asociație</w:t>
            </w:r>
          </w:p>
          <w:p w14:paraId="0BB364EB"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ILD#6.2: Toate centrele de asistență medicală primară contractate de către CNAM pe teritoriul Beneficiarului au semnat un acord cu CNAM privind implementarea Schemei revizuite de stimulare bazate pe performanță în Anul 2</w:t>
            </w:r>
          </w:p>
          <w:p w14:paraId="7C333FD1"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xml:space="preserve">ILD#6.3: Revizuirea Schemei de stimulare și a indicatorilor de performanță pentru medicina de familie </w:t>
            </w:r>
          </w:p>
          <w:p w14:paraId="55243AD2"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ILD#6.4: Toate centrele de asistență medicală primară contractate de către CNAM pe teritoriul Beneficiarului au semnat un acord cu CNAM privind implementarea Schemei revizuite de stimulare bazate pe performanță în Anul 4</w:t>
            </w:r>
          </w:p>
        </w:tc>
        <w:tc>
          <w:tcPr>
            <w:tcW w:w="3402" w:type="dxa"/>
            <w:tcBorders>
              <w:top w:val="single" w:sz="4" w:space="0" w:color="auto"/>
              <w:left w:val="single" w:sz="4" w:space="0" w:color="auto"/>
              <w:bottom w:val="single" w:sz="4" w:space="0" w:color="auto"/>
              <w:right w:val="single" w:sz="4" w:space="0" w:color="auto"/>
            </w:tcBorders>
          </w:tcPr>
          <w:p w14:paraId="69F17AE7"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ILD#6.1: 323.500</w:t>
            </w:r>
          </w:p>
          <w:p w14:paraId="7004F058"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0885468D"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7BF035F5"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4952F4AF"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0E81C102"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xml:space="preserve">ILD#6.2: 323.500 </w:t>
            </w:r>
          </w:p>
          <w:p w14:paraId="22D61EA1"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0B61C31C"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4086BAA0"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0BB26179"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55520E29"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47F6255E"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49046542"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ILD#6.3: 323.500</w:t>
            </w:r>
          </w:p>
          <w:p w14:paraId="48AD7436"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41501049"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378DA41A"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4FDD3C48"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ILD#6.4: 323.500</w:t>
            </w:r>
          </w:p>
        </w:tc>
        <w:tc>
          <w:tcPr>
            <w:tcW w:w="1054" w:type="dxa"/>
            <w:tcBorders>
              <w:top w:val="single" w:sz="4" w:space="0" w:color="auto"/>
              <w:left w:val="single" w:sz="4" w:space="0" w:color="auto"/>
              <w:bottom w:val="single" w:sz="4" w:space="0" w:color="auto"/>
              <w:right w:val="single" w:sz="4" w:space="0" w:color="auto"/>
            </w:tcBorders>
            <w:textDirection w:val="btLr"/>
            <w:hideMark/>
          </w:tcPr>
          <w:p w14:paraId="755E70E4"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1 294 00</w:t>
            </w:r>
          </w:p>
        </w:tc>
        <w:tc>
          <w:tcPr>
            <w:tcW w:w="547" w:type="dxa"/>
            <w:tcBorders>
              <w:top w:val="single" w:sz="4" w:space="0" w:color="auto"/>
              <w:left w:val="single" w:sz="4" w:space="0" w:color="auto"/>
              <w:bottom w:val="single" w:sz="4" w:space="0" w:color="auto"/>
              <w:right w:val="single" w:sz="4" w:space="0" w:color="auto"/>
            </w:tcBorders>
            <w:textDirection w:val="btLr"/>
            <w:hideMark/>
          </w:tcPr>
          <w:p w14:paraId="431DD9C2"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6B37B5ED"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534B25C1"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323 500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04F4433F"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323 500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29C46B1B"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6F4DAC85"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50" w:type="dxa"/>
            <w:tcBorders>
              <w:top w:val="single" w:sz="4" w:space="0" w:color="auto"/>
              <w:left w:val="single" w:sz="4" w:space="0" w:color="auto"/>
              <w:bottom w:val="single" w:sz="4" w:space="0" w:color="auto"/>
              <w:right w:val="single" w:sz="4" w:space="0" w:color="auto"/>
            </w:tcBorders>
            <w:textDirection w:val="btLr"/>
            <w:hideMark/>
          </w:tcPr>
          <w:p w14:paraId="11E04F9F"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970 500</w:t>
            </w:r>
          </w:p>
        </w:tc>
        <w:tc>
          <w:tcPr>
            <w:tcW w:w="426" w:type="dxa"/>
            <w:tcBorders>
              <w:top w:val="single" w:sz="4" w:space="0" w:color="auto"/>
              <w:left w:val="single" w:sz="4" w:space="0" w:color="auto"/>
              <w:bottom w:val="single" w:sz="4" w:space="0" w:color="auto"/>
              <w:right w:val="single" w:sz="4" w:space="0" w:color="auto"/>
            </w:tcBorders>
            <w:textDirection w:val="btLr"/>
            <w:hideMark/>
          </w:tcPr>
          <w:p w14:paraId="655B506A"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323 500</w:t>
            </w:r>
          </w:p>
        </w:tc>
        <w:tc>
          <w:tcPr>
            <w:tcW w:w="432" w:type="dxa"/>
            <w:tcBorders>
              <w:top w:val="single" w:sz="4" w:space="0" w:color="auto"/>
              <w:left w:val="single" w:sz="4" w:space="0" w:color="auto"/>
              <w:bottom w:val="single" w:sz="4" w:space="0" w:color="auto"/>
              <w:right w:val="single" w:sz="4" w:space="0" w:color="auto"/>
            </w:tcBorders>
            <w:textDirection w:val="btLr"/>
            <w:hideMark/>
          </w:tcPr>
          <w:p w14:paraId="7B28E18C"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647 000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6A61BF67"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647 000</w:t>
            </w:r>
          </w:p>
        </w:tc>
        <w:tc>
          <w:tcPr>
            <w:tcW w:w="413" w:type="dxa"/>
            <w:tcBorders>
              <w:top w:val="single" w:sz="4" w:space="0" w:color="auto"/>
              <w:left w:val="single" w:sz="4" w:space="0" w:color="auto"/>
              <w:bottom w:val="single" w:sz="4" w:space="0" w:color="auto"/>
              <w:right w:val="single" w:sz="4" w:space="0" w:color="auto"/>
            </w:tcBorders>
            <w:textDirection w:val="btLr"/>
            <w:hideMark/>
          </w:tcPr>
          <w:p w14:paraId="42F8C2E3"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25" w:type="dxa"/>
            <w:tcBorders>
              <w:top w:val="single" w:sz="4" w:space="0" w:color="auto"/>
              <w:left w:val="single" w:sz="4" w:space="0" w:color="auto"/>
              <w:bottom w:val="single" w:sz="4" w:space="0" w:color="auto"/>
              <w:right w:val="single" w:sz="4" w:space="0" w:color="auto"/>
            </w:tcBorders>
            <w:textDirection w:val="btLr"/>
          </w:tcPr>
          <w:p w14:paraId="0FC0437C" w14:textId="413C87DF"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r>
      <w:tr w:rsidR="002F3339" w:rsidRPr="00E33BAB" w14:paraId="10DE0869" w14:textId="5DE9AEF5" w:rsidTr="002F3339">
        <w:trPr>
          <w:cantSplit/>
          <w:trHeight w:val="1134"/>
        </w:trPr>
        <w:tc>
          <w:tcPr>
            <w:tcW w:w="1656" w:type="dxa"/>
            <w:tcBorders>
              <w:top w:val="single" w:sz="4" w:space="0" w:color="auto"/>
              <w:left w:val="single" w:sz="4" w:space="0" w:color="auto"/>
              <w:bottom w:val="single" w:sz="4" w:space="0" w:color="auto"/>
              <w:right w:val="single" w:sz="4" w:space="0" w:color="auto"/>
            </w:tcBorders>
            <w:hideMark/>
          </w:tcPr>
          <w:p w14:paraId="688F71AC"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lastRenderedPageBreak/>
              <w:t>(7) ILD #7</w:t>
            </w:r>
          </w:p>
          <w:p w14:paraId="6208C61F"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xml:space="preserve">Elaborarea, pilotarea, adoptarea şi implementarea Schemei de stimulare bazate pe performanță în spitale  </w:t>
            </w:r>
          </w:p>
        </w:tc>
        <w:tc>
          <w:tcPr>
            <w:tcW w:w="3448" w:type="dxa"/>
            <w:tcBorders>
              <w:top w:val="single" w:sz="4" w:space="0" w:color="auto"/>
              <w:left w:val="single" w:sz="4" w:space="0" w:color="auto"/>
              <w:bottom w:val="single" w:sz="4" w:space="0" w:color="auto"/>
              <w:right w:val="single" w:sz="4" w:space="0" w:color="auto"/>
            </w:tcBorders>
            <w:hideMark/>
          </w:tcPr>
          <w:p w14:paraId="05A59005"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xml:space="preserve">ILD#7.1: Elaborarea Schemei de stimulare bazate pe performanță în spitale </w:t>
            </w:r>
          </w:p>
          <w:p w14:paraId="3B92D3DA"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ILD#7.2: Cel puțin 3 spitale de pe teritoriul Beneficiarului au semnat un acord cu CNAM privind pilotarea Schemei de stimulare bazate pe performanță din Anul 2</w:t>
            </w:r>
          </w:p>
          <w:p w14:paraId="0AD62957" w14:textId="5F1275BF"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ILD#7.3: Raportul acceptabil pentru Asociație</w:t>
            </w:r>
            <w:r w:rsidR="00634F4E">
              <w:rPr>
                <w:rFonts w:asciiTheme="majorHAnsi" w:eastAsia="Times New Roman" w:hAnsiTheme="majorHAnsi" w:cstheme="majorHAnsi"/>
                <w:sz w:val="18"/>
                <w:szCs w:val="18"/>
                <w:lang w:val="ro-MD"/>
              </w:rPr>
              <w:t>,</w:t>
            </w:r>
            <w:r w:rsidRPr="00E33BAB">
              <w:rPr>
                <w:rFonts w:asciiTheme="majorHAnsi" w:eastAsia="Times New Roman" w:hAnsiTheme="majorHAnsi" w:cstheme="majorHAnsi"/>
                <w:sz w:val="18"/>
                <w:szCs w:val="18"/>
                <w:lang w:val="ro-MD"/>
              </w:rPr>
              <w:t xml:space="preserve"> care va include următoarele: (a) o evaluare a pilotării Schemei de stimulare bazate pe performanță în spitalele contractate de CNAM în Anul 2; şi (b) o actualizare a design-lui Schemei de stimulare bazate pe performanță ca urmare a evaluării realizate în Anul 2</w:t>
            </w:r>
          </w:p>
          <w:p w14:paraId="54FCAB99"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ILD#7.4: Aprobarea Schemei revizuite de stimulare bazate pe performanță şi implementarea în toate spitalele multiprofil contractate de către CNAM pe teritoriul Beneficiarului prin intermediul realizării Acordului dintre fiecare spital multiprofil şi CNAM în Anul 4</w:t>
            </w:r>
          </w:p>
        </w:tc>
        <w:tc>
          <w:tcPr>
            <w:tcW w:w="3402" w:type="dxa"/>
            <w:tcBorders>
              <w:top w:val="single" w:sz="4" w:space="0" w:color="auto"/>
              <w:left w:val="single" w:sz="4" w:space="0" w:color="auto"/>
              <w:bottom w:val="single" w:sz="4" w:space="0" w:color="auto"/>
              <w:right w:val="single" w:sz="4" w:space="0" w:color="auto"/>
            </w:tcBorders>
          </w:tcPr>
          <w:p w14:paraId="7C4FE0DF"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xml:space="preserve">ILD#7.1: 323.500 </w:t>
            </w:r>
          </w:p>
          <w:p w14:paraId="1F72D87B"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13E797C4"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36B5ECB5"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xml:space="preserve">ILD#7.2: 323.500 </w:t>
            </w:r>
          </w:p>
          <w:p w14:paraId="7C469F90"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3C643FEA"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6CF4BD5C"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04116BF6"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2B676175"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xml:space="preserve">ILD#7.3: 323.500 </w:t>
            </w:r>
          </w:p>
          <w:p w14:paraId="38129BF9"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3CF66A76"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545F03E3"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5C24FF31"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125EF1F1"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5F7456AF"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0D2E50E4"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44E20216"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2D76D5DE"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xml:space="preserve">ILD#7.4: 323.500 </w:t>
            </w:r>
          </w:p>
        </w:tc>
        <w:tc>
          <w:tcPr>
            <w:tcW w:w="1054" w:type="dxa"/>
            <w:tcBorders>
              <w:top w:val="single" w:sz="4" w:space="0" w:color="auto"/>
              <w:left w:val="single" w:sz="4" w:space="0" w:color="auto"/>
              <w:bottom w:val="single" w:sz="4" w:space="0" w:color="auto"/>
              <w:right w:val="single" w:sz="4" w:space="0" w:color="auto"/>
            </w:tcBorders>
            <w:textDirection w:val="btLr"/>
            <w:hideMark/>
          </w:tcPr>
          <w:p w14:paraId="42F77140"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1 294 00</w:t>
            </w:r>
          </w:p>
        </w:tc>
        <w:tc>
          <w:tcPr>
            <w:tcW w:w="547" w:type="dxa"/>
            <w:tcBorders>
              <w:top w:val="single" w:sz="4" w:space="0" w:color="auto"/>
              <w:left w:val="single" w:sz="4" w:space="0" w:color="auto"/>
              <w:bottom w:val="single" w:sz="4" w:space="0" w:color="auto"/>
              <w:right w:val="single" w:sz="4" w:space="0" w:color="auto"/>
            </w:tcBorders>
            <w:textDirection w:val="btLr"/>
            <w:hideMark/>
          </w:tcPr>
          <w:p w14:paraId="29C088A8"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5A4757CB"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7DFFDA83"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323 500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5B6ED6A3"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323 500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462D1F94"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4C214DFA"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50" w:type="dxa"/>
            <w:tcBorders>
              <w:top w:val="single" w:sz="4" w:space="0" w:color="auto"/>
              <w:left w:val="single" w:sz="4" w:space="0" w:color="auto"/>
              <w:bottom w:val="single" w:sz="4" w:space="0" w:color="auto"/>
              <w:right w:val="single" w:sz="4" w:space="0" w:color="auto"/>
            </w:tcBorders>
            <w:textDirection w:val="btLr"/>
            <w:hideMark/>
          </w:tcPr>
          <w:p w14:paraId="34B94829"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970 500</w:t>
            </w:r>
          </w:p>
        </w:tc>
        <w:tc>
          <w:tcPr>
            <w:tcW w:w="426" w:type="dxa"/>
            <w:tcBorders>
              <w:top w:val="single" w:sz="4" w:space="0" w:color="auto"/>
              <w:left w:val="single" w:sz="4" w:space="0" w:color="auto"/>
              <w:bottom w:val="single" w:sz="4" w:space="0" w:color="auto"/>
              <w:right w:val="single" w:sz="4" w:space="0" w:color="auto"/>
            </w:tcBorders>
            <w:textDirection w:val="btLr"/>
            <w:hideMark/>
          </w:tcPr>
          <w:p w14:paraId="43122CA7"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32" w:type="dxa"/>
            <w:tcBorders>
              <w:top w:val="single" w:sz="4" w:space="0" w:color="auto"/>
              <w:left w:val="single" w:sz="4" w:space="0" w:color="auto"/>
              <w:bottom w:val="single" w:sz="4" w:space="0" w:color="auto"/>
              <w:right w:val="single" w:sz="4" w:space="0" w:color="auto"/>
            </w:tcBorders>
            <w:textDirection w:val="btLr"/>
            <w:hideMark/>
          </w:tcPr>
          <w:p w14:paraId="2B47E1C1"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7FAC6FD8"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13" w:type="dxa"/>
            <w:tcBorders>
              <w:top w:val="single" w:sz="4" w:space="0" w:color="auto"/>
              <w:left w:val="single" w:sz="4" w:space="0" w:color="auto"/>
              <w:bottom w:val="single" w:sz="4" w:space="0" w:color="auto"/>
              <w:right w:val="single" w:sz="4" w:space="0" w:color="auto"/>
            </w:tcBorders>
            <w:textDirection w:val="btLr"/>
            <w:hideMark/>
          </w:tcPr>
          <w:p w14:paraId="154B9D4B"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970 500</w:t>
            </w:r>
          </w:p>
        </w:tc>
        <w:tc>
          <w:tcPr>
            <w:tcW w:w="425" w:type="dxa"/>
            <w:tcBorders>
              <w:top w:val="single" w:sz="4" w:space="0" w:color="auto"/>
              <w:left w:val="single" w:sz="4" w:space="0" w:color="auto"/>
              <w:bottom w:val="single" w:sz="4" w:space="0" w:color="auto"/>
              <w:right w:val="single" w:sz="4" w:space="0" w:color="auto"/>
            </w:tcBorders>
            <w:textDirection w:val="btLr"/>
          </w:tcPr>
          <w:p w14:paraId="68E9CEB5" w14:textId="5D2DD73D"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r>
      <w:tr w:rsidR="002F3339" w:rsidRPr="00E33BAB" w14:paraId="25E16452" w14:textId="6CABF08F" w:rsidTr="002F3339">
        <w:trPr>
          <w:cantSplit/>
          <w:trHeight w:val="1134"/>
        </w:trPr>
        <w:tc>
          <w:tcPr>
            <w:tcW w:w="1656" w:type="dxa"/>
            <w:tcBorders>
              <w:top w:val="single" w:sz="4" w:space="0" w:color="auto"/>
              <w:left w:val="single" w:sz="4" w:space="0" w:color="auto"/>
              <w:bottom w:val="single" w:sz="4" w:space="0" w:color="auto"/>
              <w:right w:val="single" w:sz="4" w:space="0" w:color="auto"/>
            </w:tcBorders>
            <w:hideMark/>
          </w:tcPr>
          <w:p w14:paraId="30F56688"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(8) ILD #8</w:t>
            </w:r>
          </w:p>
          <w:p w14:paraId="516B46B2"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Implementarea şi actualizarea prețurilor DRG pentru achitarea spitalelor publice  pentru asistență acută</w:t>
            </w:r>
          </w:p>
        </w:tc>
        <w:tc>
          <w:tcPr>
            <w:tcW w:w="3448" w:type="dxa"/>
            <w:tcBorders>
              <w:top w:val="single" w:sz="4" w:space="0" w:color="auto"/>
              <w:left w:val="single" w:sz="4" w:space="0" w:color="auto"/>
              <w:bottom w:val="single" w:sz="4" w:space="0" w:color="auto"/>
              <w:right w:val="single" w:sz="4" w:space="0" w:color="auto"/>
            </w:tcBorders>
            <w:hideMark/>
          </w:tcPr>
          <w:p w14:paraId="1B840BF5"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ILD#8.1: Prețurile DRG constituie cel puțin 40% din plata totală efectuată de către CNAM spitalelor publice pentru asistență acută în Anul 1</w:t>
            </w:r>
          </w:p>
          <w:p w14:paraId="33CB820F"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ILD#8.2: Prețurile DRG constituie cel puțin 50% din plata totală efectuată de către CNAM spitalelor publice pentru asistență acută în Anul 2</w:t>
            </w:r>
          </w:p>
          <w:p w14:paraId="21493AF0"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ILD#8.3: Prețurile DRG constituie cel puțin 60% din plata totală efectuată de către CNAM spitalelor publice pentru asistență acută în Anul 3</w:t>
            </w:r>
          </w:p>
          <w:p w14:paraId="1166D997"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ILD#8.4: Pregătirea raportului actualizat privind determinarea prețurilor DRG (în baza grupurilor omogene de bolnavi), utilizând datele pe țară pentru plățile spitalicești în Anul 4</w:t>
            </w:r>
          </w:p>
        </w:tc>
        <w:tc>
          <w:tcPr>
            <w:tcW w:w="3402" w:type="dxa"/>
            <w:tcBorders>
              <w:top w:val="single" w:sz="4" w:space="0" w:color="auto"/>
              <w:left w:val="single" w:sz="4" w:space="0" w:color="auto"/>
              <w:bottom w:val="single" w:sz="4" w:space="0" w:color="auto"/>
              <w:right w:val="single" w:sz="4" w:space="0" w:color="auto"/>
            </w:tcBorders>
          </w:tcPr>
          <w:p w14:paraId="31B62583"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xml:space="preserve">ILD#8.1: 323.500 </w:t>
            </w:r>
          </w:p>
          <w:p w14:paraId="33C9DA26"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61C2A930"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03E177EC"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7BC25845"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xml:space="preserve">ILD#8.2: 323.500 </w:t>
            </w:r>
          </w:p>
          <w:p w14:paraId="69C15077"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3838D9BF"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7806392B"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21CC1D16"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xml:space="preserve">ILD# 8.3: 323.500 </w:t>
            </w:r>
          </w:p>
          <w:p w14:paraId="2E848F36"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2E76E9A1"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22ED8541"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0D1DD832"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xml:space="preserve">ILD#8.4: 323.500 </w:t>
            </w:r>
          </w:p>
        </w:tc>
        <w:tc>
          <w:tcPr>
            <w:tcW w:w="1054" w:type="dxa"/>
            <w:tcBorders>
              <w:top w:val="single" w:sz="4" w:space="0" w:color="auto"/>
              <w:left w:val="single" w:sz="4" w:space="0" w:color="auto"/>
              <w:bottom w:val="single" w:sz="4" w:space="0" w:color="auto"/>
              <w:right w:val="single" w:sz="4" w:space="0" w:color="auto"/>
            </w:tcBorders>
            <w:textDirection w:val="btLr"/>
            <w:hideMark/>
          </w:tcPr>
          <w:p w14:paraId="4CFBB7E0"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1 294 00</w:t>
            </w:r>
          </w:p>
        </w:tc>
        <w:tc>
          <w:tcPr>
            <w:tcW w:w="547" w:type="dxa"/>
            <w:tcBorders>
              <w:top w:val="single" w:sz="4" w:space="0" w:color="auto"/>
              <w:left w:val="single" w:sz="4" w:space="0" w:color="auto"/>
              <w:bottom w:val="single" w:sz="4" w:space="0" w:color="auto"/>
              <w:right w:val="single" w:sz="4" w:space="0" w:color="auto"/>
            </w:tcBorders>
            <w:textDirection w:val="btLr"/>
            <w:hideMark/>
          </w:tcPr>
          <w:p w14:paraId="6FC9F1AD"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314969DE"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686F3267"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0CED8192"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0E9083F3"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970 500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5922C6CF"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970 500</w:t>
            </w:r>
          </w:p>
        </w:tc>
        <w:tc>
          <w:tcPr>
            <w:tcW w:w="450" w:type="dxa"/>
            <w:tcBorders>
              <w:top w:val="single" w:sz="4" w:space="0" w:color="auto"/>
              <w:left w:val="single" w:sz="4" w:space="0" w:color="auto"/>
              <w:bottom w:val="single" w:sz="4" w:space="0" w:color="auto"/>
              <w:right w:val="single" w:sz="4" w:space="0" w:color="auto"/>
            </w:tcBorders>
            <w:textDirection w:val="btLr"/>
            <w:hideMark/>
          </w:tcPr>
          <w:p w14:paraId="2631E29F"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323 500</w:t>
            </w:r>
          </w:p>
        </w:tc>
        <w:tc>
          <w:tcPr>
            <w:tcW w:w="426" w:type="dxa"/>
            <w:tcBorders>
              <w:top w:val="single" w:sz="4" w:space="0" w:color="auto"/>
              <w:left w:val="single" w:sz="4" w:space="0" w:color="auto"/>
              <w:bottom w:val="single" w:sz="4" w:space="0" w:color="auto"/>
              <w:right w:val="single" w:sz="4" w:space="0" w:color="auto"/>
            </w:tcBorders>
            <w:textDirection w:val="btLr"/>
            <w:hideMark/>
          </w:tcPr>
          <w:p w14:paraId="62CFA50F"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32" w:type="dxa"/>
            <w:tcBorders>
              <w:top w:val="single" w:sz="4" w:space="0" w:color="auto"/>
              <w:left w:val="single" w:sz="4" w:space="0" w:color="auto"/>
              <w:bottom w:val="single" w:sz="4" w:space="0" w:color="auto"/>
              <w:right w:val="single" w:sz="4" w:space="0" w:color="auto"/>
            </w:tcBorders>
            <w:textDirection w:val="btLr"/>
            <w:hideMark/>
          </w:tcPr>
          <w:p w14:paraId="52FC0C3C"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323 500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2A6E4732"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323 500</w:t>
            </w:r>
          </w:p>
        </w:tc>
        <w:tc>
          <w:tcPr>
            <w:tcW w:w="413" w:type="dxa"/>
            <w:tcBorders>
              <w:top w:val="single" w:sz="4" w:space="0" w:color="auto"/>
              <w:left w:val="single" w:sz="4" w:space="0" w:color="auto"/>
              <w:bottom w:val="single" w:sz="4" w:space="0" w:color="auto"/>
              <w:right w:val="single" w:sz="4" w:space="0" w:color="auto"/>
            </w:tcBorders>
            <w:textDirection w:val="btLr"/>
            <w:hideMark/>
          </w:tcPr>
          <w:p w14:paraId="63AE0421"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25" w:type="dxa"/>
            <w:tcBorders>
              <w:top w:val="single" w:sz="4" w:space="0" w:color="auto"/>
              <w:left w:val="single" w:sz="4" w:space="0" w:color="auto"/>
              <w:bottom w:val="single" w:sz="4" w:space="0" w:color="auto"/>
              <w:right w:val="single" w:sz="4" w:space="0" w:color="auto"/>
            </w:tcBorders>
            <w:textDirection w:val="btLr"/>
          </w:tcPr>
          <w:p w14:paraId="1B3892FD" w14:textId="05178C6A"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r>
      <w:tr w:rsidR="002F3339" w:rsidRPr="00E33BAB" w14:paraId="68B998AF" w14:textId="646BC342" w:rsidTr="002F3339">
        <w:trPr>
          <w:cantSplit/>
          <w:trHeight w:val="1134"/>
        </w:trPr>
        <w:tc>
          <w:tcPr>
            <w:tcW w:w="1656" w:type="dxa"/>
            <w:tcBorders>
              <w:top w:val="single" w:sz="4" w:space="0" w:color="auto"/>
              <w:left w:val="single" w:sz="4" w:space="0" w:color="auto"/>
              <w:bottom w:val="single" w:sz="4" w:space="0" w:color="auto"/>
              <w:right w:val="single" w:sz="4" w:space="0" w:color="auto"/>
            </w:tcBorders>
          </w:tcPr>
          <w:p w14:paraId="52D25AB4"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lastRenderedPageBreak/>
              <w:t>(9) ILD #9</w:t>
            </w:r>
          </w:p>
          <w:p w14:paraId="6AEE9F14"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xml:space="preserve">Consolidarea spitalelor departamentale din subordinea MSMPS </w:t>
            </w:r>
          </w:p>
          <w:p w14:paraId="5F59AD7D"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tc>
        <w:tc>
          <w:tcPr>
            <w:tcW w:w="3448" w:type="dxa"/>
            <w:tcBorders>
              <w:top w:val="single" w:sz="4" w:space="0" w:color="auto"/>
              <w:left w:val="single" w:sz="4" w:space="0" w:color="auto"/>
              <w:bottom w:val="single" w:sz="4" w:space="0" w:color="auto"/>
              <w:right w:val="single" w:sz="4" w:space="0" w:color="auto"/>
            </w:tcBorders>
            <w:hideMark/>
          </w:tcPr>
          <w:p w14:paraId="0E616B8E"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ILD#9.l: Reorganizarea a trei spitale publice din Chișinău sub management comun</w:t>
            </w:r>
          </w:p>
          <w:p w14:paraId="4A67E394"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xml:space="preserve">ILD#9.2: Studiul de fezabilitate privind optimizarea spitalelor </w:t>
            </w:r>
          </w:p>
          <w:p w14:paraId="0E927910" w14:textId="4F313409"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xml:space="preserve">ILD#9.3: Strategia Națională și Planul </w:t>
            </w:r>
            <w:r w:rsidR="0066425E">
              <w:rPr>
                <w:rFonts w:asciiTheme="majorHAnsi" w:eastAsia="Times New Roman" w:hAnsiTheme="majorHAnsi" w:cstheme="majorHAnsi"/>
                <w:sz w:val="18"/>
                <w:szCs w:val="18"/>
                <w:lang w:val="ro-MD"/>
              </w:rPr>
              <w:t>g</w:t>
            </w:r>
            <w:r w:rsidRPr="00E33BAB">
              <w:rPr>
                <w:rFonts w:asciiTheme="majorHAnsi" w:eastAsia="Times New Roman" w:hAnsiTheme="majorHAnsi" w:cstheme="majorHAnsi"/>
                <w:sz w:val="18"/>
                <w:szCs w:val="18"/>
                <w:lang w:val="ro-MD"/>
              </w:rPr>
              <w:t xml:space="preserve">eneral privind consolidarea și raționalizarea spitalelor, adoptată  </w:t>
            </w:r>
          </w:p>
        </w:tc>
        <w:tc>
          <w:tcPr>
            <w:tcW w:w="3402" w:type="dxa"/>
            <w:tcBorders>
              <w:top w:val="single" w:sz="4" w:space="0" w:color="auto"/>
              <w:left w:val="single" w:sz="4" w:space="0" w:color="auto"/>
              <w:bottom w:val="single" w:sz="4" w:space="0" w:color="auto"/>
              <w:right w:val="single" w:sz="4" w:space="0" w:color="auto"/>
            </w:tcBorders>
          </w:tcPr>
          <w:p w14:paraId="243B1B8D"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ILD#9.1: 517,500</w:t>
            </w:r>
          </w:p>
          <w:p w14:paraId="0A9CC7AB"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3BA49DA0"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353FC6F0"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ILD#9.2: 678,000</w:t>
            </w:r>
          </w:p>
          <w:p w14:paraId="6ABFA76C"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5586C9F4"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ILD#9.3: 678,000</w:t>
            </w:r>
          </w:p>
        </w:tc>
        <w:tc>
          <w:tcPr>
            <w:tcW w:w="1054" w:type="dxa"/>
            <w:tcBorders>
              <w:top w:val="single" w:sz="4" w:space="0" w:color="auto"/>
              <w:left w:val="single" w:sz="4" w:space="0" w:color="auto"/>
              <w:bottom w:val="single" w:sz="4" w:space="0" w:color="auto"/>
              <w:right w:val="single" w:sz="4" w:space="0" w:color="auto"/>
            </w:tcBorders>
            <w:textDirection w:val="btLr"/>
            <w:hideMark/>
          </w:tcPr>
          <w:p w14:paraId="2EFE68D0"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1 873 500</w:t>
            </w:r>
          </w:p>
        </w:tc>
        <w:tc>
          <w:tcPr>
            <w:tcW w:w="547" w:type="dxa"/>
            <w:tcBorders>
              <w:top w:val="single" w:sz="4" w:space="0" w:color="auto"/>
              <w:left w:val="single" w:sz="4" w:space="0" w:color="auto"/>
              <w:bottom w:val="single" w:sz="4" w:space="0" w:color="auto"/>
              <w:right w:val="single" w:sz="4" w:space="0" w:color="auto"/>
            </w:tcBorders>
            <w:textDirection w:val="btLr"/>
            <w:hideMark/>
          </w:tcPr>
          <w:p w14:paraId="7107BEDD"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5132132E"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09169EF6"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404 050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43DCEF46"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404 050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0DD43B35"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21F00D83"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50" w:type="dxa"/>
            <w:tcBorders>
              <w:top w:val="single" w:sz="4" w:space="0" w:color="auto"/>
              <w:left w:val="single" w:sz="4" w:space="0" w:color="auto"/>
              <w:bottom w:val="single" w:sz="4" w:space="0" w:color="auto"/>
              <w:right w:val="single" w:sz="4" w:space="0" w:color="auto"/>
            </w:tcBorders>
            <w:textDirection w:val="btLr"/>
            <w:hideMark/>
          </w:tcPr>
          <w:p w14:paraId="11432958"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26" w:type="dxa"/>
            <w:tcBorders>
              <w:top w:val="single" w:sz="4" w:space="0" w:color="auto"/>
              <w:left w:val="single" w:sz="4" w:space="0" w:color="auto"/>
              <w:bottom w:val="single" w:sz="4" w:space="0" w:color="auto"/>
              <w:right w:val="single" w:sz="4" w:space="0" w:color="auto"/>
            </w:tcBorders>
            <w:textDirection w:val="btLr"/>
            <w:hideMark/>
          </w:tcPr>
          <w:p w14:paraId="5895C4C6"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32" w:type="dxa"/>
            <w:tcBorders>
              <w:top w:val="single" w:sz="4" w:space="0" w:color="auto"/>
              <w:left w:val="single" w:sz="4" w:space="0" w:color="auto"/>
              <w:bottom w:val="single" w:sz="4" w:space="0" w:color="auto"/>
              <w:right w:val="single" w:sz="4" w:space="0" w:color="auto"/>
            </w:tcBorders>
            <w:textDirection w:val="btLr"/>
            <w:hideMark/>
          </w:tcPr>
          <w:p w14:paraId="04AAB56D"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23FED3BE"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13" w:type="dxa"/>
            <w:tcBorders>
              <w:top w:val="single" w:sz="4" w:space="0" w:color="auto"/>
              <w:left w:val="single" w:sz="4" w:space="0" w:color="auto"/>
              <w:bottom w:val="single" w:sz="4" w:space="0" w:color="auto"/>
              <w:right w:val="single" w:sz="4" w:space="0" w:color="auto"/>
            </w:tcBorders>
            <w:textDirection w:val="btLr"/>
            <w:hideMark/>
          </w:tcPr>
          <w:p w14:paraId="020DDBE5"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1 469 450</w:t>
            </w:r>
          </w:p>
        </w:tc>
        <w:tc>
          <w:tcPr>
            <w:tcW w:w="425" w:type="dxa"/>
            <w:tcBorders>
              <w:top w:val="single" w:sz="4" w:space="0" w:color="auto"/>
              <w:left w:val="single" w:sz="4" w:space="0" w:color="auto"/>
              <w:bottom w:val="single" w:sz="4" w:space="0" w:color="auto"/>
              <w:right w:val="single" w:sz="4" w:space="0" w:color="auto"/>
            </w:tcBorders>
            <w:textDirection w:val="btLr"/>
          </w:tcPr>
          <w:p w14:paraId="152EA288" w14:textId="353649EA"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r>
      <w:tr w:rsidR="002F3339" w:rsidRPr="00E33BAB" w14:paraId="20B1B73E" w14:textId="391DEFEF" w:rsidTr="002F3339">
        <w:trPr>
          <w:cantSplit/>
          <w:trHeight w:val="1134"/>
        </w:trPr>
        <w:tc>
          <w:tcPr>
            <w:tcW w:w="1656" w:type="dxa"/>
            <w:tcBorders>
              <w:top w:val="single" w:sz="4" w:space="0" w:color="auto"/>
              <w:left w:val="single" w:sz="4" w:space="0" w:color="auto"/>
              <w:bottom w:val="single" w:sz="4" w:space="0" w:color="auto"/>
              <w:right w:val="single" w:sz="4" w:space="0" w:color="auto"/>
            </w:tcBorders>
            <w:hideMark/>
          </w:tcPr>
          <w:p w14:paraId="33237022"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(10) ILD #10</w:t>
            </w:r>
          </w:p>
          <w:p w14:paraId="71918ACF"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xml:space="preserve">Adoptarea Strategiei Naționale revizuite de Dezvoltare a Sistemului de Sănătate, inclusiv a măsurilor de raționalizare a spitalelor </w:t>
            </w:r>
          </w:p>
        </w:tc>
        <w:tc>
          <w:tcPr>
            <w:tcW w:w="3448" w:type="dxa"/>
            <w:tcBorders>
              <w:top w:val="single" w:sz="4" w:space="0" w:color="auto"/>
              <w:left w:val="single" w:sz="4" w:space="0" w:color="auto"/>
              <w:bottom w:val="single" w:sz="4" w:space="0" w:color="auto"/>
              <w:right w:val="single" w:sz="4" w:space="0" w:color="auto"/>
            </w:tcBorders>
            <w:hideMark/>
          </w:tcPr>
          <w:p w14:paraId="77872BD2"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xml:space="preserve">ILD#10: Adoptarea Strategiei Naționale revizuite de Dezvoltare a Sistemului de Sănătate, care va include măsurile de raționalizare a spitalelor </w:t>
            </w:r>
          </w:p>
        </w:tc>
        <w:tc>
          <w:tcPr>
            <w:tcW w:w="3402" w:type="dxa"/>
            <w:tcBorders>
              <w:top w:val="single" w:sz="4" w:space="0" w:color="auto"/>
              <w:left w:val="single" w:sz="4" w:space="0" w:color="auto"/>
              <w:bottom w:val="single" w:sz="4" w:space="0" w:color="auto"/>
              <w:right w:val="single" w:sz="4" w:space="0" w:color="auto"/>
            </w:tcBorders>
          </w:tcPr>
          <w:p w14:paraId="17A9049D"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xml:space="preserve">ILD#10: 678.000 </w:t>
            </w:r>
          </w:p>
          <w:p w14:paraId="4A22AF1C"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p w14:paraId="2FA4A83A" w14:textId="77777777" w:rsidR="002F3339" w:rsidRPr="00E33BAB" w:rsidRDefault="002F3339">
            <w:pPr>
              <w:tabs>
                <w:tab w:val="left" w:pos="-720"/>
              </w:tabs>
              <w:suppressAutoHyphens/>
              <w:jc w:val="both"/>
              <w:rPr>
                <w:rFonts w:asciiTheme="majorHAnsi" w:eastAsia="Times New Roman" w:hAnsiTheme="majorHAnsi" w:cstheme="majorHAnsi"/>
                <w:sz w:val="18"/>
                <w:szCs w:val="18"/>
                <w:lang w:val="ro-MD"/>
              </w:rPr>
            </w:pPr>
          </w:p>
        </w:tc>
        <w:tc>
          <w:tcPr>
            <w:tcW w:w="1054" w:type="dxa"/>
            <w:tcBorders>
              <w:top w:val="single" w:sz="4" w:space="0" w:color="auto"/>
              <w:left w:val="single" w:sz="4" w:space="0" w:color="auto"/>
              <w:bottom w:val="single" w:sz="4" w:space="0" w:color="auto"/>
              <w:right w:val="single" w:sz="4" w:space="0" w:color="auto"/>
            </w:tcBorders>
            <w:textDirection w:val="btLr"/>
            <w:hideMark/>
          </w:tcPr>
          <w:p w14:paraId="5AD697DA"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678 500</w:t>
            </w:r>
          </w:p>
        </w:tc>
        <w:tc>
          <w:tcPr>
            <w:tcW w:w="547" w:type="dxa"/>
            <w:tcBorders>
              <w:top w:val="single" w:sz="4" w:space="0" w:color="auto"/>
              <w:left w:val="single" w:sz="4" w:space="0" w:color="auto"/>
              <w:bottom w:val="single" w:sz="4" w:space="0" w:color="auto"/>
              <w:right w:val="single" w:sz="4" w:space="0" w:color="auto"/>
            </w:tcBorders>
            <w:textDirection w:val="btLr"/>
            <w:hideMark/>
          </w:tcPr>
          <w:p w14:paraId="758C7DC7"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678 000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29C2379A"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678 000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1ADBCF9C"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7DB86424"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25E6BC6E"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98" w:type="dxa"/>
            <w:tcBorders>
              <w:top w:val="single" w:sz="4" w:space="0" w:color="auto"/>
              <w:left w:val="single" w:sz="4" w:space="0" w:color="auto"/>
              <w:bottom w:val="single" w:sz="4" w:space="0" w:color="auto"/>
              <w:right w:val="single" w:sz="4" w:space="0" w:color="auto"/>
            </w:tcBorders>
            <w:textDirection w:val="btLr"/>
            <w:hideMark/>
          </w:tcPr>
          <w:p w14:paraId="1FD78B79"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50" w:type="dxa"/>
            <w:tcBorders>
              <w:top w:val="single" w:sz="4" w:space="0" w:color="auto"/>
              <w:left w:val="single" w:sz="4" w:space="0" w:color="auto"/>
              <w:bottom w:val="single" w:sz="4" w:space="0" w:color="auto"/>
              <w:right w:val="single" w:sz="4" w:space="0" w:color="auto"/>
            </w:tcBorders>
            <w:textDirection w:val="btLr"/>
            <w:hideMark/>
          </w:tcPr>
          <w:p w14:paraId="2B0E6DAF"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26" w:type="dxa"/>
            <w:tcBorders>
              <w:top w:val="single" w:sz="4" w:space="0" w:color="auto"/>
              <w:left w:val="single" w:sz="4" w:space="0" w:color="auto"/>
              <w:bottom w:val="single" w:sz="4" w:space="0" w:color="auto"/>
              <w:right w:val="single" w:sz="4" w:space="0" w:color="auto"/>
            </w:tcBorders>
            <w:textDirection w:val="btLr"/>
            <w:hideMark/>
          </w:tcPr>
          <w:p w14:paraId="6392AC69"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32" w:type="dxa"/>
            <w:tcBorders>
              <w:top w:val="single" w:sz="4" w:space="0" w:color="auto"/>
              <w:left w:val="single" w:sz="4" w:space="0" w:color="auto"/>
              <w:bottom w:val="single" w:sz="4" w:space="0" w:color="auto"/>
              <w:right w:val="single" w:sz="4" w:space="0" w:color="auto"/>
            </w:tcBorders>
            <w:textDirection w:val="btLr"/>
            <w:hideMark/>
          </w:tcPr>
          <w:p w14:paraId="0CED302F"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025E2E1B"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13" w:type="dxa"/>
            <w:tcBorders>
              <w:top w:val="single" w:sz="4" w:space="0" w:color="auto"/>
              <w:left w:val="single" w:sz="4" w:space="0" w:color="auto"/>
              <w:bottom w:val="single" w:sz="4" w:space="0" w:color="auto"/>
              <w:right w:val="single" w:sz="4" w:space="0" w:color="auto"/>
            </w:tcBorders>
            <w:textDirection w:val="btLr"/>
            <w:hideMark/>
          </w:tcPr>
          <w:p w14:paraId="721B69AB" w14:textId="77777777"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c>
          <w:tcPr>
            <w:tcW w:w="425" w:type="dxa"/>
            <w:tcBorders>
              <w:top w:val="single" w:sz="4" w:space="0" w:color="auto"/>
              <w:left w:val="single" w:sz="4" w:space="0" w:color="auto"/>
              <w:bottom w:val="single" w:sz="4" w:space="0" w:color="auto"/>
              <w:right w:val="single" w:sz="4" w:space="0" w:color="auto"/>
            </w:tcBorders>
            <w:textDirection w:val="btLr"/>
          </w:tcPr>
          <w:p w14:paraId="4C8A63F6" w14:textId="6335BDF4" w:rsidR="002F3339" w:rsidRPr="00E33BAB" w:rsidRDefault="002F3339">
            <w:pPr>
              <w:ind w:left="113" w:right="113"/>
              <w:jc w:val="right"/>
              <w:rPr>
                <w:rFonts w:asciiTheme="majorHAnsi" w:hAnsiTheme="majorHAnsi" w:cstheme="majorHAnsi"/>
                <w:sz w:val="18"/>
                <w:szCs w:val="18"/>
                <w:lang w:val="ro-MD"/>
              </w:rPr>
            </w:pPr>
            <w:r w:rsidRPr="00E33BAB">
              <w:rPr>
                <w:rFonts w:asciiTheme="majorHAnsi" w:hAnsiTheme="majorHAnsi" w:cstheme="majorHAnsi"/>
                <w:sz w:val="18"/>
                <w:szCs w:val="18"/>
                <w:lang w:val="ro-MD"/>
              </w:rPr>
              <w:t>0</w:t>
            </w:r>
          </w:p>
        </w:tc>
      </w:tr>
    </w:tbl>
    <w:p w14:paraId="5CCF8224" w14:textId="2DA60B32" w:rsidR="00FB2043" w:rsidRPr="00E33BAB" w:rsidRDefault="00FB2043" w:rsidP="00FB2043">
      <w:pPr>
        <w:spacing w:after="0"/>
        <w:jc w:val="both"/>
        <w:rPr>
          <w:rFonts w:asciiTheme="majorHAnsi" w:hAnsiTheme="majorHAnsi" w:cstheme="majorHAnsi"/>
          <w:i/>
          <w:sz w:val="16"/>
          <w:szCs w:val="16"/>
          <w:lang w:val="ro-MD"/>
        </w:rPr>
      </w:pPr>
      <w:r w:rsidRPr="00D5496A">
        <w:rPr>
          <w:rFonts w:asciiTheme="majorHAnsi" w:hAnsiTheme="majorHAnsi" w:cstheme="majorHAnsi"/>
          <w:b/>
          <w:i/>
          <w:sz w:val="16"/>
          <w:szCs w:val="16"/>
          <w:lang w:val="ro-MD"/>
        </w:rPr>
        <w:t>Surs</w:t>
      </w:r>
      <w:r w:rsidR="0066425E" w:rsidRPr="00D5496A">
        <w:rPr>
          <w:rFonts w:asciiTheme="majorHAnsi" w:hAnsiTheme="majorHAnsi" w:cstheme="majorHAnsi"/>
          <w:b/>
          <w:i/>
          <w:sz w:val="16"/>
          <w:szCs w:val="16"/>
          <w:lang w:val="ro-MD"/>
        </w:rPr>
        <w:t>ă</w:t>
      </w:r>
      <w:r w:rsidRPr="00E33BAB">
        <w:rPr>
          <w:rFonts w:asciiTheme="majorHAnsi" w:hAnsiTheme="majorHAnsi" w:cstheme="majorHAnsi"/>
          <w:i/>
          <w:sz w:val="16"/>
          <w:szCs w:val="16"/>
          <w:lang w:val="ro-MD"/>
        </w:rPr>
        <w:t>:</w:t>
      </w:r>
      <w:r w:rsidRPr="00E33BAB">
        <w:rPr>
          <w:sz w:val="16"/>
          <w:szCs w:val="16"/>
          <w:lang w:val="ro-MD"/>
        </w:rPr>
        <w:t xml:space="preserve"> </w:t>
      </w:r>
      <w:r w:rsidRPr="00E33BAB">
        <w:rPr>
          <w:rFonts w:asciiTheme="majorHAnsi" w:hAnsiTheme="majorHAnsi" w:cstheme="majorHAnsi"/>
          <w:i/>
          <w:sz w:val="16"/>
          <w:szCs w:val="16"/>
          <w:lang w:val="ro-MD"/>
        </w:rPr>
        <w:t>Informație privind implementarea Acordului de finanțare „Modernizarea sectorului sănătății în Republica Moldova”. Indicatorii specifici legați de debursare și cotele alocate de finanțare</w:t>
      </w:r>
      <w:r w:rsidR="000A7754" w:rsidRPr="00E33BAB">
        <w:rPr>
          <w:rFonts w:asciiTheme="majorHAnsi" w:hAnsiTheme="majorHAnsi" w:cstheme="majorHAnsi"/>
          <w:i/>
          <w:sz w:val="16"/>
          <w:szCs w:val="16"/>
          <w:lang w:val="ro-MD"/>
        </w:rPr>
        <w:t>.</w:t>
      </w:r>
    </w:p>
    <w:p w14:paraId="00A4D9AF" w14:textId="01CE0B05" w:rsidR="00A74781" w:rsidRPr="00E33BAB" w:rsidRDefault="00A74781" w:rsidP="00A74781">
      <w:pPr>
        <w:spacing w:after="0" w:line="276" w:lineRule="auto"/>
        <w:jc w:val="center"/>
        <w:rPr>
          <w:rFonts w:asciiTheme="majorHAnsi" w:hAnsiTheme="majorHAnsi" w:cstheme="majorHAnsi"/>
          <w:b/>
          <w:sz w:val="24"/>
          <w:szCs w:val="24"/>
          <w:lang w:val="ro-MD"/>
        </w:rPr>
      </w:pPr>
    </w:p>
    <w:p w14:paraId="4C799759" w14:textId="71F6C03F" w:rsidR="006127E1" w:rsidRPr="00D5496A" w:rsidRDefault="006127E1" w:rsidP="006127E1">
      <w:pPr>
        <w:keepNext/>
        <w:keepLines/>
        <w:spacing w:before="240" w:after="0"/>
        <w:jc w:val="right"/>
        <w:outlineLvl w:val="0"/>
        <w:rPr>
          <w:rFonts w:asciiTheme="majorHAnsi" w:eastAsiaTheme="majorEastAsia" w:hAnsiTheme="majorHAnsi" w:cstheme="majorHAnsi"/>
          <w:b/>
          <w:sz w:val="24"/>
          <w:szCs w:val="24"/>
          <w:lang w:val="ro-MD"/>
        </w:rPr>
      </w:pPr>
      <w:bookmarkStart w:id="15" w:name="_Toc513122875"/>
      <w:bookmarkStart w:id="16" w:name="_Toc10125924"/>
      <w:r w:rsidRPr="00D5496A">
        <w:rPr>
          <w:rFonts w:asciiTheme="majorHAnsi" w:eastAsiaTheme="majorEastAsia" w:hAnsiTheme="majorHAnsi" w:cstheme="majorHAnsi"/>
          <w:b/>
          <w:sz w:val="24"/>
          <w:szCs w:val="24"/>
          <w:lang w:val="ro-MD"/>
        </w:rPr>
        <w:t>Anexa nr.</w:t>
      </w:r>
      <w:bookmarkEnd w:id="15"/>
      <w:bookmarkEnd w:id="16"/>
      <w:r w:rsidR="00FB2043" w:rsidRPr="00D5496A">
        <w:rPr>
          <w:rFonts w:asciiTheme="majorHAnsi" w:eastAsiaTheme="majorEastAsia" w:hAnsiTheme="majorHAnsi" w:cstheme="majorHAnsi"/>
          <w:b/>
          <w:sz w:val="24"/>
          <w:szCs w:val="24"/>
          <w:lang w:val="ro-MD"/>
        </w:rPr>
        <w:t>2</w:t>
      </w:r>
    </w:p>
    <w:p w14:paraId="6FB01309" w14:textId="16FD4146" w:rsidR="006127E1" w:rsidRPr="00E33BAB" w:rsidRDefault="006127E1" w:rsidP="006127E1">
      <w:pPr>
        <w:tabs>
          <w:tab w:val="left" w:pos="993"/>
        </w:tabs>
        <w:spacing w:after="0" w:line="276" w:lineRule="auto"/>
        <w:jc w:val="center"/>
        <w:rPr>
          <w:rFonts w:asciiTheme="majorHAnsi" w:hAnsiTheme="majorHAnsi" w:cstheme="majorHAnsi"/>
          <w:b/>
          <w:i/>
          <w:sz w:val="24"/>
          <w:szCs w:val="24"/>
          <w:lang w:val="ro-MD"/>
        </w:rPr>
      </w:pPr>
      <w:r w:rsidRPr="00E33BAB">
        <w:rPr>
          <w:rFonts w:asciiTheme="majorHAnsi" w:hAnsiTheme="majorHAnsi" w:cstheme="majorHAnsi"/>
          <w:b/>
          <w:i/>
          <w:sz w:val="24"/>
          <w:szCs w:val="24"/>
          <w:lang w:val="ro-MD"/>
        </w:rPr>
        <w:t>Sursele și utilizarea fondurilor din mijloacele Componentei Asistenț</w:t>
      </w:r>
      <w:r w:rsidR="00AE7F00">
        <w:rPr>
          <w:rFonts w:asciiTheme="majorHAnsi" w:hAnsiTheme="majorHAnsi" w:cstheme="majorHAnsi"/>
          <w:b/>
          <w:i/>
          <w:sz w:val="24"/>
          <w:szCs w:val="24"/>
          <w:lang w:val="ro-MD"/>
        </w:rPr>
        <w:t>a</w:t>
      </w:r>
      <w:r w:rsidRPr="00E33BAB">
        <w:rPr>
          <w:rFonts w:asciiTheme="majorHAnsi" w:hAnsiTheme="majorHAnsi" w:cstheme="majorHAnsi"/>
          <w:b/>
          <w:i/>
          <w:sz w:val="24"/>
          <w:szCs w:val="24"/>
          <w:lang w:val="ro-MD"/>
        </w:rPr>
        <w:t xml:space="preserve"> Tehnică din cadrul</w:t>
      </w:r>
      <w:r w:rsidR="00BF3D3D" w:rsidRPr="00E33BAB">
        <w:rPr>
          <w:rFonts w:asciiTheme="majorHAnsi" w:hAnsiTheme="majorHAnsi" w:cstheme="majorHAnsi"/>
          <w:b/>
          <w:i/>
          <w:sz w:val="24"/>
          <w:szCs w:val="24"/>
          <w:lang w:val="ro-MD"/>
        </w:rPr>
        <w:t xml:space="preserve"> Opera</w:t>
      </w:r>
      <w:r w:rsidR="00245DAF">
        <w:rPr>
          <w:rFonts w:asciiTheme="majorHAnsi" w:hAnsiTheme="majorHAnsi" w:cstheme="majorHAnsi"/>
          <w:b/>
          <w:i/>
          <w:sz w:val="24"/>
          <w:szCs w:val="24"/>
          <w:lang w:val="ro-MD"/>
        </w:rPr>
        <w:t>ț</w:t>
      </w:r>
      <w:r w:rsidR="00BF3D3D" w:rsidRPr="00E33BAB">
        <w:rPr>
          <w:rFonts w:asciiTheme="majorHAnsi" w:hAnsiTheme="majorHAnsi" w:cstheme="majorHAnsi"/>
          <w:b/>
          <w:i/>
          <w:sz w:val="24"/>
          <w:szCs w:val="24"/>
          <w:lang w:val="ro-MD"/>
        </w:rPr>
        <w:t>iunii</w:t>
      </w:r>
      <w:r w:rsidRPr="00E33BAB">
        <w:rPr>
          <w:rFonts w:asciiTheme="majorHAnsi" w:hAnsiTheme="majorHAnsi" w:cstheme="majorHAnsi"/>
          <w:b/>
          <w:i/>
          <w:sz w:val="24"/>
          <w:szCs w:val="24"/>
          <w:lang w:val="ro-MD"/>
        </w:rPr>
        <w:t xml:space="preserve"> „Modernizarea sectorului sănătății în Republica Moldova”, la finele semestrului încheiat la 31 decembrie 2020, </w:t>
      </w:r>
      <w:r w:rsidRPr="00D5496A">
        <w:rPr>
          <w:rFonts w:asciiTheme="majorHAnsi" w:hAnsiTheme="majorHAnsi" w:cstheme="majorHAnsi"/>
          <w:i/>
          <w:sz w:val="24"/>
          <w:szCs w:val="24"/>
          <w:lang w:val="ro-MD"/>
        </w:rPr>
        <w:t>dolari SUA</w:t>
      </w:r>
    </w:p>
    <w:tbl>
      <w:tblPr>
        <w:tblW w:w="5610" w:type="pct"/>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1280"/>
        <w:gridCol w:w="1277"/>
        <w:gridCol w:w="1271"/>
        <w:gridCol w:w="1256"/>
        <w:gridCol w:w="1180"/>
        <w:gridCol w:w="1329"/>
        <w:gridCol w:w="1253"/>
        <w:gridCol w:w="1116"/>
        <w:gridCol w:w="1231"/>
        <w:gridCol w:w="9"/>
        <w:gridCol w:w="1271"/>
      </w:tblGrid>
      <w:tr w:rsidR="006127E1" w:rsidRPr="00E33BAB" w14:paraId="59A45AE9" w14:textId="77777777" w:rsidTr="00785360">
        <w:trPr>
          <w:trHeight w:val="264"/>
        </w:trPr>
        <w:tc>
          <w:tcPr>
            <w:tcW w:w="898" w:type="pct"/>
            <w:vMerge w:val="restart"/>
            <w:shd w:val="clear" w:color="auto" w:fill="auto"/>
            <w:noWrap/>
            <w:vAlign w:val="center"/>
            <w:hideMark/>
          </w:tcPr>
          <w:p w14:paraId="50D73B14"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bCs/>
                <w:sz w:val="18"/>
                <w:szCs w:val="18"/>
                <w:lang w:val="ro-MD"/>
              </w:rPr>
              <w:t xml:space="preserve">Descriere </w:t>
            </w:r>
          </w:p>
        </w:tc>
        <w:tc>
          <w:tcPr>
            <w:tcW w:w="1259" w:type="pct"/>
            <w:gridSpan w:val="3"/>
            <w:shd w:val="clear" w:color="auto" w:fill="auto"/>
            <w:noWrap/>
            <w:vAlign w:val="center"/>
            <w:hideMark/>
          </w:tcPr>
          <w:p w14:paraId="6C023D03"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bCs/>
                <w:sz w:val="18"/>
                <w:szCs w:val="18"/>
                <w:lang w:val="ro-MD"/>
              </w:rPr>
              <w:t>Actual</w:t>
            </w:r>
          </w:p>
        </w:tc>
        <w:tc>
          <w:tcPr>
            <w:tcW w:w="1238" w:type="pct"/>
            <w:gridSpan w:val="3"/>
            <w:shd w:val="clear" w:color="auto" w:fill="auto"/>
            <w:noWrap/>
            <w:vAlign w:val="center"/>
            <w:hideMark/>
          </w:tcPr>
          <w:p w14:paraId="2CEB989F"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bCs/>
                <w:sz w:val="18"/>
                <w:szCs w:val="18"/>
                <w:lang w:val="ro-MD"/>
              </w:rPr>
              <w:t>Planificat</w:t>
            </w:r>
          </w:p>
        </w:tc>
        <w:tc>
          <w:tcPr>
            <w:tcW w:w="1184" w:type="pct"/>
            <w:gridSpan w:val="3"/>
            <w:shd w:val="clear" w:color="auto" w:fill="auto"/>
            <w:noWrap/>
            <w:vAlign w:val="center"/>
            <w:hideMark/>
          </w:tcPr>
          <w:p w14:paraId="654AE167"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bCs/>
                <w:sz w:val="18"/>
                <w:szCs w:val="18"/>
                <w:lang w:val="ro-MD"/>
              </w:rPr>
              <w:t xml:space="preserve">Variație </w:t>
            </w:r>
          </w:p>
        </w:tc>
        <w:tc>
          <w:tcPr>
            <w:tcW w:w="421" w:type="pct"/>
            <w:gridSpan w:val="2"/>
            <w:shd w:val="clear" w:color="auto" w:fill="auto"/>
            <w:noWrap/>
            <w:vAlign w:val="center"/>
            <w:hideMark/>
          </w:tcPr>
          <w:p w14:paraId="04B61DDD"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bCs/>
                <w:sz w:val="18"/>
                <w:szCs w:val="18"/>
                <w:lang w:val="ro-MD"/>
              </w:rPr>
              <w:t>PAD</w:t>
            </w:r>
          </w:p>
        </w:tc>
      </w:tr>
      <w:tr w:rsidR="006127E1" w:rsidRPr="00E33BAB" w14:paraId="6EEA5586" w14:textId="77777777" w:rsidTr="00785360">
        <w:trPr>
          <w:trHeight w:val="516"/>
        </w:trPr>
        <w:tc>
          <w:tcPr>
            <w:tcW w:w="898" w:type="pct"/>
            <w:vMerge/>
            <w:shd w:val="clear" w:color="auto" w:fill="auto"/>
            <w:noWrap/>
            <w:vAlign w:val="center"/>
            <w:hideMark/>
          </w:tcPr>
          <w:p w14:paraId="11407C42"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p>
        </w:tc>
        <w:tc>
          <w:tcPr>
            <w:tcW w:w="421" w:type="pct"/>
            <w:shd w:val="clear" w:color="auto" w:fill="auto"/>
            <w:vAlign w:val="center"/>
            <w:hideMark/>
          </w:tcPr>
          <w:p w14:paraId="71EB9AC2"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bCs/>
                <w:sz w:val="18"/>
                <w:szCs w:val="18"/>
                <w:lang w:val="ro-MD"/>
              </w:rPr>
              <w:t>semestrul curent</w:t>
            </w:r>
          </w:p>
        </w:tc>
        <w:tc>
          <w:tcPr>
            <w:tcW w:w="420" w:type="pct"/>
            <w:shd w:val="clear" w:color="auto" w:fill="auto"/>
            <w:vAlign w:val="center"/>
            <w:hideMark/>
          </w:tcPr>
          <w:p w14:paraId="769CF9D0"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bCs/>
                <w:sz w:val="18"/>
                <w:szCs w:val="18"/>
                <w:lang w:val="ro-MD"/>
              </w:rPr>
              <w:t>de la începutul anului până în prezent</w:t>
            </w:r>
          </w:p>
        </w:tc>
        <w:tc>
          <w:tcPr>
            <w:tcW w:w="418" w:type="pct"/>
            <w:shd w:val="clear" w:color="auto" w:fill="auto"/>
            <w:vAlign w:val="center"/>
            <w:hideMark/>
          </w:tcPr>
          <w:p w14:paraId="7F288BC8" w14:textId="77777777" w:rsidR="006127E1" w:rsidRPr="00E33BAB" w:rsidRDefault="006127E1" w:rsidP="006127E1">
            <w:pPr>
              <w:spacing w:after="0" w:line="240" w:lineRule="auto"/>
              <w:ind w:right="-110"/>
              <w:jc w:val="center"/>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bCs/>
                <w:sz w:val="18"/>
                <w:szCs w:val="18"/>
                <w:lang w:val="ro-MD"/>
              </w:rPr>
              <w:t>cumulativ (total) până în prezent</w:t>
            </w:r>
          </w:p>
        </w:tc>
        <w:tc>
          <w:tcPr>
            <w:tcW w:w="413" w:type="pct"/>
            <w:shd w:val="clear" w:color="auto" w:fill="auto"/>
            <w:vAlign w:val="center"/>
            <w:hideMark/>
          </w:tcPr>
          <w:p w14:paraId="51877529"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bCs/>
                <w:sz w:val="18"/>
                <w:szCs w:val="18"/>
                <w:lang w:val="ro-MD"/>
              </w:rPr>
              <w:t>semestrul curent</w:t>
            </w:r>
          </w:p>
        </w:tc>
        <w:tc>
          <w:tcPr>
            <w:tcW w:w="388" w:type="pct"/>
            <w:shd w:val="clear" w:color="auto" w:fill="auto"/>
            <w:vAlign w:val="center"/>
            <w:hideMark/>
          </w:tcPr>
          <w:p w14:paraId="54A68953"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bCs/>
                <w:sz w:val="18"/>
                <w:szCs w:val="18"/>
                <w:lang w:val="ro-MD"/>
              </w:rPr>
              <w:t>de la începutul anului până în prezent</w:t>
            </w:r>
          </w:p>
        </w:tc>
        <w:tc>
          <w:tcPr>
            <w:tcW w:w="437" w:type="pct"/>
            <w:shd w:val="clear" w:color="auto" w:fill="auto"/>
            <w:vAlign w:val="center"/>
            <w:hideMark/>
          </w:tcPr>
          <w:p w14:paraId="13EF106B" w14:textId="77777777" w:rsidR="006127E1" w:rsidRPr="00E33BAB" w:rsidRDefault="006127E1" w:rsidP="006127E1">
            <w:pPr>
              <w:spacing w:after="0" w:line="240" w:lineRule="auto"/>
              <w:ind w:right="-112"/>
              <w:jc w:val="center"/>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bCs/>
                <w:sz w:val="18"/>
                <w:szCs w:val="18"/>
                <w:lang w:val="ro-MD"/>
              </w:rPr>
              <w:t>cumulativ (total) până în prezent</w:t>
            </w:r>
          </w:p>
        </w:tc>
        <w:tc>
          <w:tcPr>
            <w:tcW w:w="412" w:type="pct"/>
            <w:shd w:val="clear" w:color="auto" w:fill="auto"/>
            <w:vAlign w:val="center"/>
            <w:hideMark/>
          </w:tcPr>
          <w:p w14:paraId="5555957D"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bCs/>
                <w:sz w:val="18"/>
                <w:szCs w:val="18"/>
                <w:lang w:val="ro-MD"/>
              </w:rPr>
              <w:t>semestrul curent</w:t>
            </w:r>
          </w:p>
        </w:tc>
        <w:tc>
          <w:tcPr>
            <w:tcW w:w="367" w:type="pct"/>
            <w:shd w:val="clear" w:color="auto" w:fill="auto"/>
            <w:vAlign w:val="center"/>
            <w:hideMark/>
          </w:tcPr>
          <w:p w14:paraId="4F54B43A"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bCs/>
                <w:sz w:val="18"/>
                <w:szCs w:val="18"/>
                <w:lang w:val="ro-MD"/>
              </w:rPr>
              <w:t>de la începutul anului până în prezent</w:t>
            </w:r>
          </w:p>
        </w:tc>
        <w:tc>
          <w:tcPr>
            <w:tcW w:w="408" w:type="pct"/>
            <w:gridSpan w:val="2"/>
            <w:shd w:val="clear" w:color="auto" w:fill="auto"/>
            <w:vAlign w:val="center"/>
            <w:hideMark/>
          </w:tcPr>
          <w:p w14:paraId="7F92EA69"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bCs/>
                <w:sz w:val="18"/>
                <w:szCs w:val="18"/>
                <w:lang w:val="ro-MD"/>
              </w:rPr>
              <w:t>cumulativ (total) până în prezent</w:t>
            </w:r>
          </w:p>
        </w:tc>
        <w:tc>
          <w:tcPr>
            <w:tcW w:w="418" w:type="pct"/>
            <w:shd w:val="clear" w:color="auto" w:fill="auto"/>
            <w:vAlign w:val="center"/>
            <w:hideMark/>
          </w:tcPr>
          <w:p w14:paraId="4237BA13"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bCs/>
                <w:sz w:val="18"/>
                <w:szCs w:val="18"/>
                <w:lang w:val="ro-MD"/>
              </w:rPr>
              <w:t>durata de viață a Proiectului</w:t>
            </w:r>
          </w:p>
        </w:tc>
      </w:tr>
      <w:tr w:rsidR="006127E1" w:rsidRPr="00E33BAB" w14:paraId="6FF4A1E6" w14:textId="77777777" w:rsidTr="00785360">
        <w:trPr>
          <w:trHeight w:val="264"/>
        </w:trPr>
        <w:tc>
          <w:tcPr>
            <w:tcW w:w="898" w:type="pct"/>
            <w:shd w:val="clear" w:color="auto" w:fill="auto"/>
            <w:noWrap/>
            <w:vAlign w:val="center"/>
            <w:hideMark/>
          </w:tcPr>
          <w:p w14:paraId="2EDFE1BA" w14:textId="77777777" w:rsidR="006127E1" w:rsidRPr="00E33BAB" w:rsidRDefault="006127E1" w:rsidP="006127E1">
            <w:pPr>
              <w:spacing w:after="0" w:line="240" w:lineRule="auto"/>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bCs/>
                <w:sz w:val="18"/>
                <w:szCs w:val="18"/>
                <w:lang w:val="ro-MD"/>
              </w:rPr>
              <w:t>Deschiderea soldurilor de numerar</w:t>
            </w:r>
          </w:p>
        </w:tc>
        <w:tc>
          <w:tcPr>
            <w:tcW w:w="421" w:type="pct"/>
            <w:shd w:val="clear" w:color="auto" w:fill="auto"/>
            <w:noWrap/>
            <w:vAlign w:val="center"/>
            <w:hideMark/>
          </w:tcPr>
          <w:p w14:paraId="5DE373B6" w14:textId="77777777" w:rsidR="006127E1" w:rsidRPr="00E33BAB" w:rsidRDefault="006127E1" w:rsidP="006127E1">
            <w:pPr>
              <w:spacing w:after="0" w:line="240" w:lineRule="auto"/>
              <w:jc w:val="right"/>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w:t>
            </w:r>
          </w:p>
          <w:p w14:paraId="79DAF078" w14:textId="77777777" w:rsidR="006127E1" w:rsidRPr="00E33BAB" w:rsidRDefault="006127E1" w:rsidP="006127E1">
            <w:pPr>
              <w:spacing w:after="0" w:line="240" w:lineRule="auto"/>
              <w:jc w:val="right"/>
              <w:rPr>
                <w:rFonts w:asciiTheme="majorHAnsi" w:eastAsia="Times New Roman" w:hAnsiTheme="majorHAnsi" w:cstheme="majorHAnsi"/>
                <w:sz w:val="18"/>
                <w:szCs w:val="18"/>
                <w:lang w:val="ro-MD"/>
              </w:rPr>
            </w:pPr>
          </w:p>
        </w:tc>
        <w:tc>
          <w:tcPr>
            <w:tcW w:w="420" w:type="pct"/>
            <w:shd w:val="clear" w:color="auto" w:fill="auto"/>
            <w:noWrap/>
            <w:vAlign w:val="center"/>
            <w:hideMark/>
          </w:tcPr>
          <w:p w14:paraId="5F482640" w14:textId="77777777" w:rsidR="006127E1" w:rsidRPr="00E33BAB" w:rsidRDefault="006127E1" w:rsidP="006127E1">
            <w:pPr>
              <w:spacing w:after="0" w:line="240" w:lineRule="auto"/>
              <w:jc w:val="right"/>
              <w:rPr>
                <w:rFonts w:asciiTheme="majorHAnsi" w:eastAsia="Times New Roman" w:hAnsiTheme="majorHAnsi" w:cstheme="majorHAnsi"/>
                <w:sz w:val="18"/>
                <w:szCs w:val="18"/>
                <w:lang w:val="ro-MD"/>
              </w:rPr>
            </w:pPr>
          </w:p>
        </w:tc>
        <w:tc>
          <w:tcPr>
            <w:tcW w:w="418" w:type="pct"/>
            <w:shd w:val="clear" w:color="auto" w:fill="auto"/>
            <w:noWrap/>
            <w:vAlign w:val="center"/>
            <w:hideMark/>
          </w:tcPr>
          <w:p w14:paraId="6DF04C6C" w14:textId="77777777" w:rsidR="006127E1" w:rsidRPr="00E33BAB" w:rsidRDefault="006127E1" w:rsidP="006127E1">
            <w:pPr>
              <w:spacing w:after="0" w:line="240" w:lineRule="auto"/>
              <w:jc w:val="right"/>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w:t>
            </w:r>
          </w:p>
        </w:tc>
        <w:tc>
          <w:tcPr>
            <w:tcW w:w="413" w:type="pct"/>
            <w:shd w:val="clear" w:color="auto" w:fill="auto"/>
            <w:noWrap/>
            <w:vAlign w:val="center"/>
            <w:hideMark/>
          </w:tcPr>
          <w:p w14:paraId="36B0D002" w14:textId="77777777" w:rsidR="006127E1" w:rsidRPr="00E33BAB" w:rsidRDefault="006127E1" w:rsidP="006127E1">
            <w:pPr>
              <w:spacing w:after="0" w:line="240" w:lineRule="auto"/>
              <w:jc w:val="right"/>
              <w:rPr>
                <w:rFonts w:asciiTheme="majorHAnsi" w:eastAsia="Times New Roman" w:hAnsiTheme="majorHAnsi" w:cstheme="majorHAnsi"/>
                <w:sz w:val="18"/>
                <w:szCs w:val="18"/>
                <w:lang w:val="ro-MD"/>
              </w:rPr>
            </w:pPr>
          </w:p>
        </w:tc>
        <w:tc>
          <w:tcPr>
            <w:tcW w:w="388" w:type="pct"/>
            <w:shd w:val="clear" w:color="auto" w:fill="auto"/>
            <w:noWrap/>
            <w:vAlign w:val="center"/>
            <w:hideMark/>
          </w:tcPr>
          <w:p w14:paraId="3828B179" w14:textId="77777777" w:rsidR="006127E1" w:rsidRPr="00E33BAB" w:rsidRDefault="006127E1" w:rsidP="006127E1">
            <w:pPr>
              <w:spacing w:after="0" w:line="240" w:lineRule="auto"/>
              <w:jc w:val="right"/>
              <w:rPr>
                <w:rFonts w:asciiTheme="majorHAnsi" w:eastAsia="Times New Roman" w:hAnsiTheme="majorHAnsi" w:cstheme="majorHAnsi"/>
                <w:sz w:val="18"/>
                <w:szCs w:val="18"/>
                <w:lang w:val="ro-MD"/>
              </w:rPr>
            </w:pPr>
          </w:p>
        </w:tc>
        <w:tc>
          <w:tcPr>
            <w:tcW w:w="437" w:type="pct"/>
            <w:shd w:val="clear" w:color="auto" w:fill="auto"/>
            <w:noWrap/>
            <w:vAlign w:val="center"/>
            <w:hideMark/>
          </w:tcPr>
          <w:p w14:paraId="0C2D3325" w14:textId="77777777" w:rsidR="006127E1" w:rsidRPr="00E33BAB" w:rsidRDefault="006127E1" w:rsidP="006127E1">
            <w:pPr>
              <w:spacing w:after="0" w:line="240" w:lineRule="auto"/>
              <w:jc w:val="right"/>
              <w:rPr>
                <w:rFonts w:asciiTheme="majorHAnsi" w:eastAsia="Times New Roman" w:hAnsiTheme="majorHAnsi" w:cstheme="majorHAnsi"/>
                <w:sz w:val="18"/>
                <w:szCs w:val="18"/>
                <w:lang w:val="ro-MD"/>
              </w:rPr>
            </w:pPr>
          </w:p>
        </w:tc>
        <w:tc>
          <w:tcPr>
            <w:tcW w:w="412" w:type="pct"/>
            <w:shd w:val="clear" w:color="auto" w:fill="auto"/>
            <w:noWrap/>
            <w:vAlign w:val="center"/>
            <w:hideMark/>
          </w:tcPr>
          <w:p w14:paraId="3D0FD128" w14:textId="77777777" w:rsidR="006127E1" w:rsidRPr="00E33BAB" w:rsidRDefault="006127E1" w:rsidP="006127E1">
            <w:pPr>
              <w:spacing w:after="0" w:line="240" w:lineRule="auto"/>
              <w:jc w:val="right"/>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w:t>
            </w:r>
          </w:p>
        </w:tc>
        <w:tc>
          <w:tcPr>
            <w:tcW w:w="367" w:type="pct"/>
            <w:shd w:val="clear" w:color="auto" w:fill="auto"/>
            <w:noWrap/>
            <w:vAlign w:val="center"/>
            <w:hideMark/>
          </w:tcPr>
          <w:p w14:paraId="22D7C6A5" w14:textId="77777777" w:rsidR="006127E1" w:rsidRPr="00E33BAB" w:rsidRDefault="006127E1" w:rsidP="006127E1">
            <w:pPr>
              <w:spacing w:after="0" w:line="240" w:lineRule="auto"/>
              <w:jc w:val="right"/>
              <w:rPr>
                <w:rFonts w:asciiTheme="majorHAnsi" w:eastAsia="Times New Roman" w:hAnsiTheme="majorHAnsi" w:cstheme="majorHAnsi"/>
                <w:sz w:val="18"/>
                <w:szCs w:val="18"/>
                <w:lang w:val="ro-MD"/>
              </w:rPr>
            </w:pPr>
          </w:p>
        </w:tc>
        <w:tc>
          <w:tcPr>
            <w:tcW w:w="408" w:type="pct"/>
            <w:gridSpan w:val="2"/>
            <w:shd w:val="clear" w:color="auto" w:fill="auto"/>
            <w:noWrap/>
            <w:vAlign w:val="center"/>
            <w:hideMark/>
          </w:tcPr>
          <w:p w14:paraId="4AEC7CFC" w14:textId="77777777" w:rsidR="006127E1" w:rsidRPr="00E33BAB" w:rsidRDefault="006127E1" w:rsidP="006127E1">
            <w:pPr>
              <w:spacing w:after="0" w:line="240" w:lineRule="auto"/>
              <w:jc w:val="right"/>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w:t>
            </w:r>
          </w:p>
        </w:tc>
        <w:tc>
          <w:tcPr>
            <w:tcW w:w="418" w:type="pct"/>
            <w:shd w:val="clear" w:color="auto" w:fill="auto"/>
            <w:noWrap/>
            <w:vAlign w:val="center"/>
            <w:hideMark/>
          </w:tcPr>
          <w:p w14:paraId="6D83AF9A" w14:textId="77777777" w:rsidR="006127E1" w:rsidRPr="00E33BAB" w:rsidRDefault="006127E1" w:rsidP="006127E1">
            <w:pPr>
              <w:spacing w:after="0" w:line="240" w:lineRule="auto"/>
              <w:jc w:val="right"/>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w:t>
            </w:r>
          </w:p>
        </w:tc>
      </w:tr>
      <w:tr w:rsidR="006127E1" w:rsidRPr="00E33BAB" w14:paraId="1AE2B4BB" w14:textId="77777777" w:rsidTr="00785360">
        <w:trPr>
          <w:trHeight w:val="264"/>
        </w:trPr>
        <w:tc>
          <w:tcPr>
            <w:tcW w:w="898" w:type="pct"/>
            <w:shd w:val="clear" w:color="auto" w:fill="auto"/>
            <w:noWrap/>
            <w:vAlign w:val="center"/>
            <w:hideMark/>
          </w:tcPr>
          <w:p w14:paraId="16F3F79B" w14:textId="77777777" w:rsidR="006127E1" w:rsidRPr="00E33BAB" w:rsidRDefault="006127E1" w:rsidP="006127E1">
            <w:pPr>
              <w:spacing w:after="0" w:line="240" w:lineRule="auto"/>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xml:space="preserve"> IDA cont desemnat DA-A (în dolari SUA)</w:t>
            </w:r>
          </w:p>
        </w:tc>
        <w:tc>
          <w:tcPr>
            <w:tcW w:w="421" w:type="pct"/>
            <w:shd w:val="clear" w:color="auto" w:fill="auto"/>
            <w:noWrap/>
            <w:vAlign w:val="center"/>
          </w:tcPr>
          <w:p w14:paraId="286EC350"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72 722,74</w:t>
            </w:r>
          </w:p>
        </w:tc>
        <w:tc>
          <w:tcPr>
            <w:tcW w:w="420" w:type="pct"/>
            <w:shd w:val="clear" w:color="auto" w:fill="auto"/>
            <w:noWrap/>
            <w:vAlign w:val="center"/>
          </w:tcPr>
          <w:p w14:paraId="3C478AE9"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127 455,48</w:t>
            </w:r>
          </w:p>
        </w:tc>
        <w:tc>
          <w:tcPr>
            <w:tcW w:w="418" w:type="pct"/>
            <w:shd w:val="clear" w:color="auto" w:fill="auto"/>
            <w:noWrap/>
            <w:vAlign w:val="center"/>
          </w:tcPr>
          <w:p w14:paraId="1FA8E4FD"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13" w:type="pct"/>
            <w:shd w:val="clear" w:color="auto" w:fill="auto"/>
            <w:noWrap/>
            <w:vAlign w:val="center"/>
          </w:tcPr>
          <w:p w14:paraId="2D65774F"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388" w:type="pct"/>
            <w:shd w:val="clear" w:color="auto" w:fill="auto"/>
            <w:noWrap/>
            <w:vAlign w:val="center"/>
          </w:tcPr>
          <w:p w14:paraId="289ECA6C"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37" w:type="pct"/>
            <w:shd w:val="clear" w:color="auto" w:fill="auto"/>
            <w:noWrap/>
            <w:vAlign w:val="center"/>
          </w:tcPr>
          <w:p w14:paraId="6EC857F7"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12" w:type="pct"/>
            <w:shd w:val="clear" w:color="auto" w:fill="auto"/>
            <w:noWrap/>
            <w:vAlign w:val="center"/>
          </w:tcPr>
          <w:p w14:paraId="16E38A8E"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367" w:type="pct"/>
            <w:shd w:val="clear" w:color="auto" w:fill="auto"/>
            <w:noWrap/>
            <w:vAlign w:val="center"/>
          </w:tcPr>
          <w:p w14:paraId="32472BC0"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08" w:type="pct"/>
            <w:gridSpan w:val="2"/>
            <w:shd w:val="clear" w:color="auto" w:fill="auto"/>
            <w:noWrap/>
            <w:vAlign w:val="center"/>
          </w:tcPr>
          <w:p w14:paraId="6F662722"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18" w:type="pct"/>
            <w:shd w:val="clear" w:color="auto" w:fill="auto"/>
            <w:noWrap/>
            <w:vAlign w:val="center"/>
          </w:tcPr>
          <w:p w14:paraId="3CF84102"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r>
      <w:tr w:rsidR="006127E1" w:rsidRPr="00E33BAB" w14:paraId="7B4FC7E8" w14:textId="77777777" w:rsidTr="00785360">
        <w:trPr>
          <w:trHeight w:val="264"/>
        </w:trPr>
        <w:tc>
          <w:tcPr>
            <w:tcW w:w="898" w:type="pct"/>
            <w:shd w:val="clear" w:color="auto" w:fill="auto"/>
            <w:noWrap/>
            <w:vAlign w:val="center"/>
            <w:hideMark/>
          </w:tcPr>
          <w:p w14:paraId="063C3CF5" w14:textId="77777777" w:rsidR="006127E1" w:rsidRPr="00E33BAB" w:rsidRDefault="006127E1" w:rsidP="006127E1">
            <w:pPr>
              <w:spacing w:after="0" w:line="240" w:lineRule="auto"/>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xml:space="preserve"> IDA cont desemnat DA-A (în MDL) </w:t>
            </w:r>
          </w:p>
        </w:tc>
        <w:tc>
          <w:tcPr>
            <w:tcW w:w="421" w:type="pct"/>
            <w:shd w:val="clear" w:color="auto" w:fill="auto"/>
            <w:noWrap/>
            <w:vAlign w:val="center"/>
          </w:tcPr>
          <w:p w14:paraId="4FFB405F"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165,32</w:t>
            </w:r>
          </w:p>
        </w:tc>
        <w:tc>
          <w:tcPr>
            <w:tcW w:w="420" w:type="pct"/>
            <w:shd w:val="clear" w:color="auto" w:fill="auto"/>
            <w:noWrap/>
            <w:vAlign w:val="center"/>
          </w:tcPr>
          <w:p w14:paraId="74E14D48"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0,89</w:t>
            </w:r>
          </w:p>
        </w:tc>
        <w:tc>
          <w:tcPr>
            <w:tcW w:w="418" w:type="pct"/>
            <w:shd w:val="clear" w:color="auto" w:fill="auto"/>
            <w:noWrap/>
            <w:vAlign w:val="center"/>
          </w:tcPr>
          <w:p w14:paraId="025EBC05"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13" w:type="pct"/>
            <w:shd w:val="clear" w:color="auto" w:fill="auto"/>
            <w:noWrap/>
            <w:vAlign w:val="center"/>
          </w:tcPr>
          <w:p w14:paraId="075FBED9"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388" w:type="pct"/>
            <w:shd w:val="clear" w:color="auto" w:fill="auto"/>
            <w:noWrap/>
            <w:vAlign w:val="center"/>
          </w:tcPr>
          <w:p w14:paraId="7F2932B1"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37" w:type="pct"/>
            <w:shd w:val="clear" w:color="auto" w:fill="auto"/>
            <w:noWrap/>
            <w:vAlign w:val="center"/>
          </w:tcPr>
          <w:p w14:paraId="6A8AB968"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12" w:type="pct"/>
            <w:shd w:val="clear" w:color="auto" w:fill="auto"/>
            <w:noWrap/>
            <w:vAlign w:val="center"/>
          </w:tcPr>
          <w:p w14:paraId="66F7CB48"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367" w:type="pct"/>
            <w:shd w:val="clear" w:color="auto" w:fill="auto"/>
            <w:noWrap/>
            <w:vAlign w:val="center"/>
          </w:tcPr>
          <w:p w14:paraId="4B3E76B3"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08" w:type="pct"/>
            <w:gridSpan w:val="2"/>
            <w:shd w:val="clear" w:color="auto" w:fill="auto"/>
            <w:noWrap/>
            <w:vAlign w:val="center"/>
          </w:tcPr>
          <w:p w14:paraId="365CA04C"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18" w:type="pct"/>
            <w:shd w:val="clear" w:color="auto" w:fill="auto"/>
            <w:noWrap/>
            <w:vAlign w:val="center"/>
          </w:tcPr>
          <w:p w14:paraId="1A7E5356"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r>
      <w:tr w:rsidR="006127E1" w:rsidRPr="00E33BAB" w14:paraId="7B8E0E79" w14:textId="77777777" w:rsidTr="00785360">
        <w:trPr>
          <w:trHeight w:val="54"/>
        </w:trPr>
        <w:tc>
          <w:tcPr>
            <w:tcW w:w="898" w:type="pct"/>
            <w:shd w:val="clear" w:color="auto" w:fill="auto"/>
            <w:noWrap/>
            <w:vAlign w:val="center"/>
            <w:hideMark/>
          </w:tcPr>
          <w:p w14:paraId="3EB4FBED" w14:textId="77777777" w:rsidR="006127E1" w:rsidRPr="00E33BAB" w:rsidRDefault="006127E1" w:rsidP="006127E1">
            <w:pPr>
              <w:spacing w:after="0" w:line="240" w:lineRule="auto"/>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bCs/>
                <w:sz w:val="18"/>
                <w:szCs w:val="18"/>
                <w:lang w:val="ro-MD"/>
              </w:rPr>
              <w:t xml:space="preserve"> Total</w:t>
            </w:r>
          </w:p>
        </w:tc>
        <w:tc>
          <w:tcPr>
            <w:tcW w:w="421" w:type="pct"/>
            <w:shd w:val="clear" w:color="auto" w:fill="auto"/>
            <w:noWrap/>
            <w:vAlign w:val="center"/>
          </w:tcPr>
          <w:p w14:paraId="40319B9F"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bCs/>
                <w:sz w:val="18"/>
                <w:szCs w:val="18"/>
                <w:lang w:val="ro-MD"/>
              </w:rPr>
              <w:t>72 888,06</w:t>
            </w:r>
          </w:p>
        </w:tc>
        <w:tc>
          <w:tcPr>
            <w:tcW w:w="420" w:type="pct"/>
            <w:shd w:val="clear" w:color="auto" w:fill="auto"/>
            <w:noWrap/>
            <w:vAlign w:val="center"/>
          </w:tcPr>
          <w:p w14:paraId="4A2C0B83"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bCs/>
                <w:sz w:val="18"/>
                <w:szCs w:val="18"/>
                <w:lang w:val="ro-MD"/>
              </w:rPr>
              <w:t>127 456,63</w:t>
            </w:r>
          </w:p>
        </w:tc>
        <w:tc>
          <w:tcPr>
            <w:tcW w:w="418" w:type="pct"/>
            <w:shd w:val="clear" w:color="auto" w:fill="auto"/>
            <w:noWrap/>
            <w:vAlign w:val="center"/>
          </w:tcPr>
          <w:p w14:paraId="16C277E2"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p>
        </w:tc>
        <w:tc>
          <w:tcPr>
            <w:tcW w:w="413" w:type="pct"/>
            <w:shd w:val="clear" w:color="auto" w:fill="auto"/>
            <w:noWrap/>
            <w:vAlign w:val="center"/>
          </w:tcPr>
          <w:p w14:paraId="3D7DE408"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p>
        </w:tc>
        <w:tc>
          <w:tcPr>
            <w:tcW w:w="388" w:type="pct"/>
            <w:shd w:val="clear" w:color="auto" w:fill="auto"/>
            <w:noWrap/>
            <w:vAlign w:val="center"/>
          </w:tcPr>
          <w:p w14:paraId="21A1D2F6"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37" w:type="pct"/>
            <w:shd w:val="clear" w:color="auto" w:fill="auto"/>
            <w:noWrap/>
            <w:vAlign w:val="center"/>
          </w:tcPr>
          <w:p w14:paraId="5826E8DA"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12" w:type="pct"/>
            <w:shd w:val="clear" w:color="auto" w:fill="auto"/>
            <w:noWrap/>
            <w:vAlign w:val="center"/>
          </w:tcPr>
          <w:p w14:paraId="67BFE9F4"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p>
        </w:tc>
        <w:tc>
          <w:tcPr>
            <w:tcW w:w="367" w:type="pct"/>
            <w:shd w:val="clear" w:color="auto" w:fill="auto"/>
            <w:noWrap/>
            <w:vAlign w:val="center"/>
          </w:tcPr>
          <w:p w14:paraId="487F3205"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p>
        </w:tc>
        <w:tc>
          <w:tcPr>
            <w:tcW w:w="408" w:type="pct"/>
            <w:gridSpan w:val="2"/>
            <w:shd w:val="clear" w:color="auto" w:fill="auto"/>
            <w:noWrap/>
            <w:vAlign w:val="center"/>
          </w:tcPr>
          <w:p w14:paraId="52AED7BC"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p>
        </w:tc>
        <w:tc>
          <w:tcPr>
            <w:tcW w:w="418" w:type="pct"/>
            <w:shd w:val="clear" w:color="auto" w:fill="auto"/>
            <w:noWrap/>
            <w:vAlign w:val="center"/>
          </w:tcPr>
          <w:p w14:paraId="1897330C"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p>
        </w:tc>
      </w:tr>
      <w:tr w:rsidR="006127E1" w:rsidRPr="00E33BAB" w14:paraId="44D1EC3B" w14:textId="77777777" w:rsidTr="00785360">
        <w:trPr>
          <w:trHeight w:val="264"/>
        </w:trPr>
        <w:tc>
          <w:tcPr>
            <w:tcW w:w="898" w:type="pct"/>
            <w:shd w:val="clear" w:color="auto" w:fill="auto"/>
            <w:noWrap/>
            <w:vAlign w:val="center"/>
            <w:hideMark/>
          </w:tcPr>
          <w:p w14:paraId="13CE443A" w14:textId="77777777" w:rsidR="006127E1" w:rsidRPr="00E33BAB" w:rsidRDefault="006127E1" w:rsidP="006127E1">
            <w:pPr>
              <w:spacing w:after="0" w:line="240" w:lineRule="auto"/>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bCs/>
                <w:sz w:val="18"/>
                <w:szCs w:val="18"/>
                <w:lang w:val="ro-MD"/>
              </w:rPr>
              <w:t>Sursele de finanțare</w:t>
            </w:r>
          </w:p>
        </w:tc>
        <w:tc>
          <w:tcPr>
            <w:tcW w:w="421" w:type="pct"/>
            <w:shd w:val="clear" w:color="auto" w:fill="auto"/>
            <w:noWrap/>
            <w:vAlign w:val="center"/>
          </w:tcPr>
          <w:p w14:paraId="6B1C19BE"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20" w:type="pct"/>
            <w:shd w:val="clear" w:color="auto" w:fill="auto"/>
            <w:noWrap/>
            <w:vAlign w:val="center"/>
          </w:tcPr>
          <w:p w14:paraId="30148277"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18" w:type="pct"/>
            <w:shd w:val="clear" w:color="auto" w:fill="auto"/>
            <w:noWrap/>
            <w:vAlign w:val="center"/>
          </w:tcPr>
          <w:p w14:paraId="1DDDCD33"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13" w:type="pct"/>
            <w:shd w:val="clear" w:color="auto" w:fill="auto"/>
            <w:noWrap/>
            <w:vAlign w:val="center"/>
          </w:tcPr>
          <w:p w14:paraId="6115D952"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388" w:type="pct"/>
            <w:shd w:val="clear" w:color="auto" w:fill="auto"/>
            <w:noWrap/>
            <w:vAlign w:val="center"/>
          </w:tcPr>
          <w:p w14:paraId="1E3EF6AF"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37" w:type="pct"/>
            <w:shd w:val="clear" w:color="auto" w:fill="auto"/>
            <w:noWrap/>
            <w:vAlign w:val="center"/>
          </w:tcPr>
          <w:p w14:paraId="708A4D85"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12" w:type="pct"/>
            <w:shd w:val="clear" w:color="auto" w:fill="auto"/>
            <w:noWrap/>
            <w:vAlign w:val="center"/>
          </w:tcPr>
          <w:p w14:paraId="04CCDF21"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367" w:type="pct"/>
            <w:shd w:val="clear" w:color="auto" w:fill="auto"/>
            <w:noWrap/>
            <w:vAlign w:val="center"/>
          </w:tcPr>
          <w:p w14:paraId="4298B98C"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08" w:type="pct"/>
            <w:gridSpan w:val="2"/>
            <w:shd w:val="clear" w:color="auto" w:fill="auto"/>
            <w:noWrap/>
            <w:vAlign w:val="center"/>
          </w:tcPr>
          <w:p w14:paraId="7813116A"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18" w:type="pct"/>
            <w:shd w:val="clear" w:color="auto" w:fill="auto"/>
            <w:noWrap/>
            <w:vAlign w:val="center"/>
          </w:tcPr>
          <w:p w14:paraId="0E8FFC62"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r>
      <w:tr w:rsidR="006127E1" w:rsidRPr="00E33BAB" w14:paraId="7A4DF2BF" w14:textId="77777777" w:rsidTr="00785360">
        <w:trPr>
          <w:trHeight w:val="264"/>
        </w:trPr>
        <w:tc>
          <w:tcPr>
            <w:tcW w:w="898" w:type="pct"/>
            <w:shd w:val="clear" w:color="auto" w:fill="auto"/>
            <w:noWrap/>
            <w:vAlign w:val="center"/>
            <w:hideMark/>
          </w:tcPr>
          <w:p w14:paraId="446068DA" w14:textId="77777777" w:rsidR="006127E1" w:rsidRPr="00E33BAB" w:rsidRDefault="006127E1" w:rsidP="006127E1">
            <w:pPr>
              <w:spacing w:after="0" w:line="240" w:lineRule="auto"/>
              <w:ind w:right="-108"/>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xml:space="preserve"> Aprovizionarea contului desemnat DA-A</w:t>
            </w:r>
          </w:p>
        </w:tc>
        <w:tc>
          <w:tcPr>
            <w:tcW w:w="421" w:type="pct"/>
            <w:shd w:val="clear" w:color="auto" w:fill="auto"/>
            <w:noWrap/>
            <w:vAlign w:val="center"/>
          </w:tcPr>
          <w:p w14:paraId="41A34FBB"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50 000,0</w:t>
            </w:r>
          </w:p>
        </w:tc>
        <w:tc>
          <w:tcPr>
            <w:tcW w:w="420" w:type="pct"/>
            <w:shd w:val="clear" w:color="auto" w:fill="auto"/>
            <w:noWrap/>
            <w:vAlign w:val="center"/>
          </w:tcPr>
          <w:p w14:paraId="31369F49"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50 000,00</w:t>
            </w:r>
          </w:p>
        </w:tc>
        <w:tc>
          <w:tcPr>
            <w:tcW w:w="418" w:type="pct"/>
            <w:shd w:val="clear" w:color="auto" w:fill="auto"/>
            <w:noWrap/>
            <w:vAlign w:val="center"/>
          </w:tcPr>
          <w:p w14:paraId="17899202"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1 330 000,00</w:t>
            </w:r>
          </w:p>
        </w:tc>
        <w:tc>
          <w:tcPr>
            <w:tcW w:w="413" w:type="pct"/>
            <w:shd w:val="clear" w:color="auto" w:fill="auto"/>
            <w:noWrap/>
            <w:vAlign w:val="center"/>
          </w:tcPr>
          <w:p w14:paraId="13B30C14"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388" w:type="pct"/>
            <w:shd w:val="clear" w:color="auto" w:fill="auto"/>
            <w:noWrap/>
            <w:vAlign w:val="center"/>
          </w:tcPr>
          <w:p w14:paraId="56E31B54"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37" w:type="pct"/>
            <w:shd w:val="clear" w:color="auto" w:fill="auto"/>
            <w:noWrap/>
            <w:vAlign w:val="center"/>
          </w:tcPr>
          <w:p w14:paraId="619C4AF8"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12" w:type="pct"/>
            <w:shd w:val="clear" w:color="auto" w:fill="auto"/>
            <w:noWrap/>
            <w:vAlign w:val="center"/>
          </w:tcPr>
          <w:p w14:paraId="43F4E3AF"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367" w:type="pct"/>
            <w:shd w:val="clear" w:color="auto" w:fill="auto"/>
            <w:noWrap/>
            <w:vAlign w:val="center"/>
          </w:tcPr>
          <w:p w14:paraId="24CF9761"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08" w:type="pct"/>
            <w:gridSpan w:val="2"/>
            <w:shd w:val="clear" w:color="auto" w:fill="auto"/>
            <w:noWrap/>
            <w:vAlign w:val="center"/>
          </w:tcPr>
          <w:p w14:paraId="4AEF1FCE"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18" w:type="pct"/>
            <w:shd w:val="clear" w:color="auto" w:fill="auto"/>
            <w:noWrap/>
            <w:vAlign w:val="center"/>
          </w:tcPr>
          <w:p w14:paraId="52A40B2F"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r>
      <w:tr w:rsidR="006127E1" w:rsidRPr="00E33BAB" w14:paraId="1A39BBF5" w14:textId="77777777" w:rsidTr="00785360">
        <w:trPr>
          <w:trHeight w:val="264"/>
        </w:trPr>
        <w:tc>
          <w:tcPr>
            <w:tcW w:w="898" w:type="pct"/>
            <w:shd w:val="clear" w:color="auto" w:fill="auto"/>
            <w:noWrap/>
            <w:vAlign w:val="center"/>
          </w:tcPr>
          <w:p w14:paraId="1B668013" w14:textId="77777777" w:rsidR="006127E1" w:rsidRPr="00E33BAB" w:rsidRDefault="006127E1" w:rsidP="006127E1">
            <w:pPr>
              <w:spacing w:after="0" w:line="240" w:lineRule="auto"/>
              <w:ind w:right="-108"/>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Plăți directe</w:t>
            </w:r>
          </w:p>
        </w:tc>
        <w:tc>
          <w:tcPr>
            <w:tcW w:w="421" w:type="pct"/>
            <w:shd w:val="clear" w:color="auto" w:fill="auto"/>
            <w:noWrap/>
            <w:vAlign w:val="center"/>
          </w:tcPr>
          <w:p w14:paraId="464C27F4"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w:t>
            </w:r>
          </w:p>
        </w:tc>
        <w:tc>
          <w:tcPr>
            <w:tcW w:w="420" w:type="pct"/>
            <w:shd w:val="clear" w:color="auto" w:fill="auto"/>
            <w:noWrap/>
            <w:vAlign w:val="center"/>
          </w:tcPr>
          <w:p w14:paraId="72A58751"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w:t>
            </w:r>
          </w:p>
        </w:tc>
        <w:tc>
          <w:tcPr>
            <w:tcW w:w="418" w:type="pct"/>
            <w:shd w:val="clear" w:color="auto" w:fill="auto"/>
            <w:noWrap/>
            <w:vAlign w:val="center"/>
          </w:tcPr>
          <w:p w14:paraId="534519CC"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384 681,70</w:t>
            </w:r>
          </w:p>
        </w:tc>
        <w:tc>
          <w:tcPr>
            <w:tcW w:w="413" w:type="pct"/>
            <w:shd w:val="clear" w:color="auto" w:fill="auto"/>
            <w:noWrap/>
            <w:vAlign w:val="center"/>
          </w:tcPr>
          <w:p w14:paraId="1CFB8C31"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388" w:type="pct"/>
            <w:shd w:val="clear" w:color="auto" w:fill="auto"/>
            <w:noWrap/>
            <w:vAlign w:val="center"/>
          </w:tcPr>
          <w:p w14:paraId="793DE88C"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37" w:type="pct"/>
            <w:shd w:val="clear" w:color="auto" w:fill="auto"/>
            <w:noWrap/>
            <w:vAlign w:val="center"/>
          </w:tcPr>
          <w:p w14:paraId="570F3E44"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12" w:type="pct"/>
            <w:shd w:val="clear" w:color="auto" w:fill="auto"/>
            <w:noWrap/>
            <w:vAlign w:val="center"/>
          </w:tcPr>
          <w:p w14:paraId="7ED496D5"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367" w:type="pct"/>
            <w:shd w:val="clear" w:color="auto" w:fill="auto"/>
            <w:noWrap/>
            <w:vAlign w:val="center"/>
          </w:tcPr>
          <w:p w14:paraId="3CAB6B4E"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08" w:type="pct"/>
            <w:gridSpan w:val="2"/>
            <w:shd w:val="clear" w:color="auto" w:fill="auto"/>
            <w:noWrap/>
            <w:vAlign w:val="center"/>
          </w:tcPr>
          <w:p w14:paraId="174067FB"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18" w:type="pct"/>
            <w:shd w:val="clear" w:color="auto" w:fill="auto"/>
            <w:noWrap/>
            <w:vAlign w:val="center"/>
          </w:tcPr>
          <w:p w14:paraId="1CE1B717"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r>
      <w:tr w:rsidR="006127E1" w:rsidRPr="00E33BAB" w14:paraId="7E40C037" w14:textId="77777777" w:rsidTr="00785360">
        <w:trPr>
          <w:trHeight w:val="264"/>
        </w:trPr>
        <w:tc>
          <w:tcPr>
            <w:tcW w:w="898" w:type="pct"/>
            <w:shd w:val="clear" w:color="auto" w:fill="auto"/>
            <w:noWrap/>
            <w:vAlign w:val="center"/>
            <w:hideMark/>
          </w:tcPr>
          <w:p w14:paraId="33EC6E3C" w14:textId="77777777" w:rsidR="006127E1" w:rsidRPr="00E33BAB" w:rsidRDefault="006127E1" w:rsidP="006127E1">
            <w:pPr>
              <w:spacing w:after="0" w:line="240" w:lineRule="auto"/>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xml:space="preserve"> Alte surse, în caz că există</w:t>
            </w:r>
          </w:p>
        </w:tc>
        <w:tc>
          <w:tcPr>
            <w:tcW w:w="421" w:type="pct"/>
            <w:shd w:val="clear" w:color="auto" w:fill="auto"/>
            <w:noWrap/>
            <w:vAlign w:val="center"/>
          </w:tcPr>
          <w:p w14:paraId="104DD189"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20" w:type="pct"/>
            <w:shd w:val="clear" w:color="auto" w:fill="auto"/>
            <w:noWrap/>
            <w:vAlign w:val="center"/>
          </w:tcPr>
          <w:p w14:paraId="146C312A"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18" w:type="pct"/>
            <w:shd w:val="clear" w:color="auto" w:fill="auto"/>
            <w:noWrap/>
            <w:vAlign w:val="center"/>
          </w:tcPr>
          <w:p w14:paraId="15A6DB2C"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13" w:type="pct"/>
            <w:shd w:val="clear" w:color="auto" w:fill="auto"/>
            <w:noWrap/>
            <w:vAlign w:val="center"/>
          </w:tcPr>
          <w:p w14:paraId="3D32E254"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388" w:type="pct"/>
            <w:shd w:val="clear" w:color="auto" w:fill="auto"/>
            <w:noWrap/>
            <w:vAlign w:val="center"/>
          </w:tcPr>
          <w:p w14:paraId="642184F5"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37" w:type="pct"/>
            <w:shd w:val="clear" w:color="auto" w:fill="auto"/>
            <w:noWrap/>
            <w:vAlign w:val="center"/>
          </w:tcPr>
          <w:p w14:paraId="74F6A00A"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12" w:type="pct"/>
            <w:shd w:val="clear" w:color="auto" w:fill="auto"/>
            <w:noWrap/>
            <w:vAlign w:val="center"/>
          </w:tcPr>
          <w:p w14:paraId="34669532"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367" w:type="pct"/>
            <w:shd w:val="clear" w:color="auto" w:fill="auto"/>
            <w:noWrap/>
            <w:vAlign w:val="center"/>
          </w:tcPr>
          <w:p w14:paraId="5E7678DA"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08" w:type="pct"/>
            <w:gridSpan w:val="2"/>
            <w:shd w:val="clear" w:color="auto" w:fill="auto"/>
            <w:noWrap/>
            <w:vAlign w:val="center"/>
          </w:tcPr>
          <w:p w14:paraId="02072D4C"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18" w:type="pct"/>
            <w:shd w:val="clear" w:color="auto" w:fill="auto"/>
            <w:noWrap/>
            <w:vAlign w:val="center"/>
          </w:tcPr>
          <w:p w14:paraId="686177E0"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r>
      <w:tr w:rsidR="006127E1" w:rsidRPr="00E33BAB" w14:paraId="608DB37B" w14:textId="77777777" w:rsidTr="00785360">
        <w:trPr>
          <w:trHeight w:val="264"/>
        </w:trPr>
        <w:tc>
          <w:tcPr>
            <w:tcW w:w="898" w:type="pct"/>
            <w:shd w:val="clear" w:color="auto" w:fill="auto"/>
            <w:noWrap/>
            <w:vAlign w:val="center"/>
            <w:hideMark/>
          </w:tcPr>
          <w:p w14:paraId="151AE7C8" w14:textId="77777777" w:rsidR="006127E1" w:rsidRPr="00E33BAB" w:rsidRDefault="006127E1" w:rsidP="006127E1">
            <w:pPr>
              <w:spacing w:after="0" w:line="240" w:lineRule="auto"/>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bCs/>
                <w:sz w:val="18"/>
                <w:szCs w:val="18"/>
                <w:lang w:val="ro-MD"/>
              </w:rPr>
              <w:t xml:space="preserve">  Surse totale </w:t>
            </w:r>
          </w:p>
        </w:tc>
        <w:tc>
          <w:tcPr>
            <w:tcW w:w="421" w:type="pct"/>
            <w:shd w:val="clear" w:color="auto" w:fill="auto"/>
            <w:noWrap/>
            <w:vAlign w:val="center"/>
          </w:tcPr>
          <w:p w14:paraId="443AA96A"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sz w:val="18"/>
                <w:szCs w:val="18"/>
                <w:lang w:val="ro-MD"/>
              </w:rPr>
              <w:t>50 000,00</w:t>
            </w:r>
          </w:p>
        </w:tc>
        <w:tc>
          <w:tcPr>
            <w:tcW w:w="420" w:type="pct"/>
            <w:shd w:val="clear" w:color="auto" w:fill="auto"/>
            <w:noWrap/>
            <w:vAlign w:val="center"/>
          </w:tcPr>
          <w:p w14:paraId="19822578"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sz w:val="18"/>
                <w:szCs w:val="18"/>
                <w:lang w:val="ro-MD"/>
              </w:rPr>
              <w:t>50 000,00</w:t>
            </w:r>
          </w:p>
        </w:tc>
        <w:tc>
          <w:tcPr>
            <w:tcW w:w="418" w:type="pct"/>
            <w:shd w:val="clear" w:color="auto" w:fill="auto"/>
            <w:noWrap/>
            <w:vAlign w:val="center"/>
          </w:tcPr>
          <w:p w14:paraId="30E43DE4"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sz w:val="18"/>
                <w:szCs w:val="18"/>
                <w:lang w:val="ro-MD"/>
              </w:rPr>
              <w:t>1 714 681,70</w:t>
            </w:r>
          </w:p>
        </w:tc>
        <w:tc>
          <w:tcPr>
            <w:tcW w:w="413" w:type="pct"/>
            <w:shd w:val="clear" w:color="auto" w:fill="auto"/>
            <w:noWrap/>
            <w:vAlign w:val="center"/>
          </w:tcPr>
          <w:p w14:paraId="3F2730BD"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p>
        </w:tc>
        <w:tc>
          <w:tcPr>
            <w:tcW w:w="388" w:type="pct"/>
            <w:shd w:val="clear" w:color="auto" w:fill="auto"/>
            <w:noWrap/>
            <w:vAlign w:val="center"/>
          </w:tcPr>
          <w:p w14:paraId="5D85A57D"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37" w:type="pct"/>
            <w:shd w:val="clear" w:color="auto" w:fill="auto"/>
            <w:noWrap/>
            <w:vAlign w:val="center"/>
          </w:tcPr>
          <w:p w14:paraId="6B2A9CA7"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12" w:type="pct"/>
            <w:shd w:val="clear" w:color="auto" w:fill="auto"/>
            <w:noWrap/>
            <w:vAlign w:val="center"/>
          </w:tcPr>
          <w:p w14:paraId="5CC89041"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p>
        </w:tc>
        <w:tc>
          <w:tcPr>
            <w:tcW w:w="367" w:type="pct"/>
            <w:shd w:val="clear" w:color="auto" w:fill="auto"/>
            <w:noWrap/>
            <w:vAlign w:val="center"/>
          </w:tcPr>
          <w:p w14:paraId="1552E283"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p>
        </w:tc>
        <w:tc>
          <w:tcPr>
            <w:tcW w:w="408" w:type="pct"/>
            <w:gridSpan w:val="2"/>
            <w:shd w:val="clear" w:color="auto" w:fill="auto"/>
            <w:noWrap/>
            <w:vAlign w:val="center"/>
          </w:tcPr>
          <w:p w14:paraId="27C8675A"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p>
        </w:tc>
        <w:tc>
          <w:tcPr>
            <w:tcW w:w="418" w:type="pct"/>
            <w:shd w:val="clear" w:color="auto" w:fill="auto"/>
            <w:noWrap/>
            <w:vAlign w:val="center"/>
          </w:tcPr>
          <w:p w14:paraId="4E319E2B"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p>
        </w:tc>
      </w:tr>
      <w:tr w:rsidR="006127E1" w:rsidRPr="00E33BAB" w14:paraId="1ADBAD67" w14:textId="77777777" w:rsidTr="00785360">
        <w:trPr>
          <w:trHeight w:val="264"/>
        </w:trPr>
        <w:tc>
          <w:tcPr>
            <w:tcW w:w="898" w:type="pct"/>
            <w:shd w:val="clear" w:color="auto" w:fill="auto"/>
            <w:noWrap/>
            <w:vAlign w:val="center"/>
            <w:hideMark/>
          </w:tcPr>
          <w:p w14:paraId="372B6A0C" w14:textId="77777777" w:rsidR="006127E1" w:rsidRPr="00E33BAB" w:rsidRDefault="006127E1" w:rsidP="006127E1">
            <w:pPr>
              <w:spacing w:after="0" w:line="240" w:lineRule="auto"/>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bCs/>
                <w:sz w:val="18"/>
                <w:szCs w:val="18"/>
                <w:lang w:val="ro-MD"/>
              </w:rPr>
              <w:lastRenderedPageBreak/>
              <w:t>Utilizarea fondurilor prin categorii</w:t>
            </w:r>
          </w:p>
        </w:tc>
        <w:tc>
          <w:tcPr>
            <w:tcW w:w="421" w:type="pct"/>
            <w:shd w:val="clear" w:color="auto" w:fill="auto"/>
            <w:noWrap/>
            <w:vAlign w:val="center"/>
          </w:tcPr>
          <w:p w14:paraId="17902B93"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20" w:type="pct"/>
            <w:shd w:val="clear" w:color="auto" w:fill="auto"/>
            <w:noWrap/>
            <w:vAlign w:val="center"/>
          </w:tcPr>
          <w:p w14:paraId="10E45862"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18" w:type="pct"/>
            <w:shd w:val="clear" w:color="auto" w:fill="auto"/>
            <w:noWrap/>
            <w:vAlign w:val="center"/>
          </w:tcPr>
          <w:p w14:paraId="231F6100"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13" w:type="pct"/>
            <w:shd w:val="clear" w:color="auto" w:fill="auto"/>
            <w:noWrap/>
            <w:vAlign w:val="center"/>
          </w:tcPr>
          <w:p w14:paraId="05D8F5B9"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388" w:type="pct"/>
            <w:shd w:val="clear" w:color="auto" w:fill="auto"/>
            <w:noWrap/>
            <w:vAlign w:val="center"/>
          </w:tcPr>
          <w:p w14:paraId="6F5780F0"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37" w:type="pct"/>
            <w:shd w:val="clear" w:color="auto" w:fill="auto"/>
            <w:noWrap/>
            <w:vAlign w:val="center"/>
          </w:tcPr>
          <w:p w14:paraId="0AFA6303"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12" w:type="pct"/>
            <w:shd w:val="clear" w:color="auto" w:fill="auto"/>
            <w:noWrap/>
            <w:vAlign w:val="center"/>
          </w:tcPr>
          <w:p w14:paraId="42B52C40"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367" w:type="pct"/>
            <w:shd w:val="clear" w:color="auto" w:fill="auto"/>
            <w:noWrap/>
            <w:vAlign w:val="center"/>
          </w:tcPr>
          <w:p w14:paraId="3B6F7C00"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08" w:type="pct"/>
            <w:gridSpan w:val="2"/>
            <w:shd w:val="clear" w:color="auto" w:fill="auto"/>
            <w:noWrap/>
            <w:vAlign w:val="center"/>
          </w:tcPr>
          <w:p w14:paraId="3EF4E34B"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18" w:type="pct"/>
            <w:shd w:val="clear" w:color="auto" w:fill="auto"/>
            <w:noWrap/>
            <w:vAlign w:val="center"/>
          </w:tcPr>
          <w:p w14:paraId="53C07F2C"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r>
      <w:tr w:rsidR="006127E1" w:rsidRPr="00E33BAB" w14:paraId="5C377335" w14:textId="77777777" w:rsidTr="00785360">
        <w:trPr>
          <w:trHeight w:val="570"/>
        </w:trPr>
        <w:tc>
          <w:tcPr>
            <w:tcW w:w="898" w:type="pct"/>
            <w:shd w:val="clear" w:color="auto" w:fill="auto"/>
            <w:vAlign w:val="center"/>
            <w:hideMark/>
          </w:tcPr>
          <w:p w14:paraId="789809E7" w14:textId="0CBDCA16" w:rsidR="006127E1" w:rsidRPr="00E33BAB" w:rsidRDefault="006127E1" w:rsidP="006127E1">
            <w:pPr>
              <w:spacing w:after="0" w:line="240" w:lineRule="auto"/>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xml:space="preserve"> Bunuri, servicii nonconsultanță, servicii de consultanță (inclusiv audituri), costurile de instruire și de operare</w:t>
            </w:r>
          </w:p>
        </w:tc>
        <w:tc>
          <w:tcPr>
            <w:tcW w:w="421" w:type="pct"/>
            <w:shd w:val="clear" w:color="auto" w:fill="auto"/>
            <w:noWrap/>
          </w:tcPr>
          <w:p w14:paraId="7BC0D9AD" w14:textId="77777777" w:rsidR="006127E1" w:rsidRPr="00E33BAB" w:rsidRDefault="006127E1" w:rsidP="006127E1">
            <w:pPr>
              <w:rPr>
                <w:rFonts w:asciiTheme="majorHAnsi" w:hAnsiTheme="majorHAnsi" w:cstheme="majorHAnsi"/>
                <w:sz w:val="18"/>
                <w:szCs w:val="18"/>
                <w:lang w:val="ro-MD"/>
              </w:rPr>
            </w:pPr>
          </w:p>
          <w:p w14:paraId="306BBE4E"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hAnsiTheme="majorHAnsi" w:cstheme="majorHAnsi"/>
                <w:sz w:val="18"/>
                <w:szCs w:val="18"/>
                <w:lang w:val="ro-MD"/>
              </w:rPr>
              <w:t>74 775,52</w:t>
            </w:r>
          </w:p>
        </w:tc>
        <w:tc>
          <w:tcPr>
            <w:tcW w:w="420" w:type="pct"/>
            <w:shd w:val="clear" w:color="auto" w:fill="auto"/>
            <w:noWrap/>
          </w:tcPr>
          <w:p w14:paraId="307084F0" w14:textId="77777777" w:rsidR="006127E1" w:rsidRPr="00E33BAB" w:rsidRDefault="006127E1" w:rsidP="006127E1">
            <w:pPr>
              <w:rPr>
                <w:rFonts w:asciiTheme="majorHAnsi" w:hAnsiTheme="majorHAnsi" w:cstheme="majorHAnsi"/>
                <w:sz w:val="18"/>
                <w:szCs w:val="18"/>
                <w:lang w:val="ro-MD"/>
              </w:rPr>
            </w:pPr>
          </w:p>
          <w:p w14:paraId="67A8B36B"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hAnsiTheme="majorHAnsi" w:cstheme="majorHAnsi"/>
                <w:sz w:val="18"/>
                <w:szCs w:val="18"/>
                <w:lang w:val="ro-MD"/>
              </w:rPr>
              <w:t>129 344,09</w:t>
            </w:r>
          </w:p>
        </w:tc>
        <w:tc>
          <w:tcPr>
            <w:tcW w:w="418" w:type="pct"/>
            <w:shd w:val="clear" w:color="auto" w:fill="auto"/>
            <w:noWrap/>
          </w:tcPr>
          <w:p w14:paraId="4DF7ED9B" w14:textId="77777777" w:rsidR="006127E1" w:rsidRPr="00E33BAB" w:rsidRDefault="006127E1" w:rsidP="006127E1">
            <w:pPr>
              <w:rPr>
                <w:rFonts w:asciiTheme="majorHAnsi" w:hAnsiTheme="majorHAnsi" w:cstheme="majorHAnsi"/>
                <w:sz w:val="18"/>
                <w:szCs w:val="18"/>
                <w:lang w:val="ro-MD"/>
              </w:rPr>
            </w:pPr>
          </w:p>
          <w:p w14:paraId="3B633611"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hAnsiTheme="majorHAnsi" w:cstheme="majorHAnsi"/>
                <w:sz w:val="18"/>
                <w:szCs w:val="18"/>
                <w:lang w:val="ro-MD"/>
              </w:rPr>
              <w:t>1 666 569,16</w:t>
            </w:r>
          </w:p>
        </w:tc>
        <w:tc>
          <w:tcPr>
            <w:tcW w:w="413" w:type="pct"/>
            <w:shd w:val="clear" w:color="auto" w:fill="auto"/>
            <w:noWrap/>
          </w:tcPr>
          <w:p w14:paraId="681DED16" w14:textId="77777777" w:rsidR="006127E1" w:rsidRPr="00E33BAB" w:rsidRDefault="006127E1" w:rsidP="006127E1">
            <w:pPr>
              <w:rPr>
                <w:rFonts w:asciiTheme="majorHAnsi" w:hAnsiTheme="majorHAnsi" w:cstheme="majorHAnsi"/>
                <w:sz w:val="18"/>
                <w:szCs w:val="18"/>
                <w:lang w:val="ro-MD"/>
              </w:rPr>
            </w:pPr>
          </w:p>
          <w:p w14:paraId="5F1D46B2"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hAnsiTheme="majorHAnsi" w:cstheme="majorHAnsi"/>
                <w:sz w:val="18"/>
                <w:szCs w:val="18"/>
                <w:lang w:val="ro-MD"/>
              </w:rPr>
              <w:t>249 171,75</w:t>
            </w:r>
          </w:p>
        </w:tc>
        <w:tc>
          <w:tcPr>
            <w:tcW w:w="388" w:type="pct"/>
            <w:shd w:val="clear" w:color="auto" w:fill="auto"/>
            <w:noWrap/>
          </w:tcPr>
          <w:p w14:paraId="012E157A" w14:textId="77777777" w:rsidR="006127E1" w:rsidRPr="00E33BAB" w:rsidRDefault="006127E1" w:rsidP="006127E1">
            <w:pPr>
              <w:rPr>
                <w:rFonts w:asciiTheme="majorHAnsi" w:hAnsiTheme="majorHAnsi" w:cstheme="majorHAnsi"/>
                <w:sz w:val="18"/>
                <w:szCs w:val="18"/>
                <w:lang w:val="ro-MD"/>
              </w:rPr>
            </w:pPr>
          </w:p>
          <w:p w14:paraId="5FFA91A1"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hAnsiTheme="majorHAnsi" w:cstheme="majorHAnsi"/>
                <w:sz w:val="18"/>
                <w:szCs w:val="18"/>
                <w:lang w:val="ro-MD"/>
              </w:rPr>
              <w:t>443 774,93</w:t>
            </w:r>
          </w:p>
        </w:tc>
        <w:tc>
          <w:tcPr>
            <w:tcW w:w="437" w:type="pct"/>
            <w:shd w:val="clear" w:color="auto" w:fill="auto"/>
            <w:noWrap/>
          </w:tcPr>
          <w:p w14:paraId="2AB1C30E" w14:textId="77777777" w:rsidR="006127E1" w:rsidRPr="00E33BAB" w:rsidRDefault="006127E1" w:rsidP="006127E1">
            <w:pPr>
              <w:rPr>
                <w:rFonts w:asciiTheme="majorHAnsi" w:hAnsiTheme="majorHAnsi" w:cstheme="majorHAnsi"/>
                <w:sz w:val="18"/>
                <w:szCs w:val="18"/>
                <w:lang w:val="ro-MD"/>
              </w:rPr>
            </w:pPr>
          </w:p>
          <w:p w14:paraId="0094AECE"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hAnsiTheme="majorHAnsi" w:cstheme="majorHAnsi"/>
                <w:sz w:val="18"/>
                <w:szCs w:val="18"/>
                <w:lang w:val="ro-MD"/>
              </w:rPr>
              <w:t>1 981 000,00</w:t>
            </w:r>
          </w:p>
        </w:tc>
        <w:tc>
          <w:tcPr>
            <w:tcW w:w="412" w:type="pct"/>
            <w:shd w:val="clear" w:color="auto" w:fill="auto"/>
            <w:noWrap/>
          </w:tcPr>
          <w:p w14:paraId="6302C995" w14:textId="77777777" w:rsidR="006127E1" w:rsidRPr="00E33BAB" w:rsidRDefault="006127E1" w:rsidP="006127E1">
            <w:pPr>
              <w:rPr>
                <w:rFonts w:asciiTheme="majorHAnsi" w:hAnsiTheme="majorHAnsi" w:cstheme="majorHAnsi"/>
                <w:sz w:val="18"/>
                <w:szCs w:val="18"/>
                <w:lang w:val="ro-MD"/>
              </w:rPr>
            </w:pPr>
          </w:p>
          <w:p w14:paraId="7CFC5489"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hAnsiTheme="majorHAnsi" w:cstheme="majorHAnsi"/>
                <w:sz w:val="18"/>
                <w:szCs w:val="18"/>
                <w:lang w:val="ro-MD"/>
              </w:rPr>
              <w:t>-174 396,23</w:t>
            </w:r>
          </w:p>
        </w:tc>
        <w:tc>
          <w:tcPr>
            <w:tcW w:w="367" w:type="pct"/>
            <w:shd w:val="clear" w:color="auto" w:fill="auto"/>
            <w:noWrap/>
          </w:tcPr>
          <w:p w14:paraId="7743F74A" w14:textId="77777777" w:rsidR="006127E1" w:rsidRPr="00E33BAB" w:rsidRDefault="006127E1" w:rsidP="006127E1">
            <w:pPr>
              <w:rPr>
                <w:rFonts w:asciiTheme="majorHAnsi" w:hAnsiTheme="majorHAnsi" w:cstheme="majorHAnsi"/>
                <w:sz w:val="18"/>
                <w:szCs w:val="18"/>
                <w:lang w:val="ro-MD"/>
              </w:rPr>
            </w:pPr>
          </w:p>
          <w:p w14:paraId="0572C4E7"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hAnsiTheme="majorHAnsi" w:cstheme="majorHAnsi"/>
                <w:sz w:val="18"/>
                <w:szCs w:val="18"/>
                <w:lang w:val="ro-MD"/>
              </w:rPr>
              <w:t>-314 430,84</w:t>
            </w:r>
          </w:p>
        </w:tc>
        <w:tc>
          <w:tcPr>
            <w:tcW w:w="408" w:type="pct"/>
            <w:gridSpan w:val="2"/>
            <w:shd w:val="clear" w:color="auto" w:fill="auto"/>
            <w:noWrap/>
          </w:tcPr>
          <w:p w14:paraId="1EF87E81" w14:textId="77777777" w:rsidR="006127E1" w:rsidRPr="00E33BAB" w:rsidRDefault="006127E1" w:rsidP="006127E1">
            <w:pPr>
              <w:rPr>
                <w:rFonts w:asciiTheme="majorHAnsi" w:hAnsiTheme="majorHAnsi" w:cstheme="majorHAnsi"/>
                <w:sz w:val="18"/>
                <w:szCs w:val="18"/>
                <w:lang w:val="ro-MD"/>
              </w:rPr>
            </w:pPr>
          </w:p>
          <w:p w14:paraId="3E19D143"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hAnsiTheme="majorHAnsi" w:cstheme="majorHAnsi"/>
                <w:sz w:val="18"/>
                <w:szCs w:val="18"/>
                <w:lang w:val="ro-MD"/>
              </w:rPr>
              <w:t>-314 430,84</w:t>
            </w:r>
          </w:p>
        </w:tc>
        <w:tc>
          <w:tcPr>
            <w:tcW w:w="418" w:type="pct"/>
            <w:shd w:val="clear" w:color="auto" w:fill="auto"/>
            <w:noWrap/>
          </w:tcPr>
          <w:p w14:paraId="7F7DCC3B" w14:textId="77777777" w:rsidR="006127E1" w:rsidRPr="00E33BAB" w:rsidRDefault="006127E1" w:rsidP="006127E1">
            <w:pPr>
              <w:rPr>
                <w:rFonts w:asciiTheme="majorHAnsi" w:hAnsiTheme="majorHAnsi" w:cstheme="majorHAnsi"/>
                <w:sz w:val="18"/>
                <w:szCs w:val="18"/>
                <w:lang w:val="ro-MD"/>
              </w:rPr>
            </w:pPr>
          </w:p>
          <w:p w14:paraId="1810EBEC"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hAnsiTheme="majorHAnsi" w:cstheme="majorHAnsi"/>
                <w:sz w:val="18"/>
                <w:szCs w:val="18"/>
                <w:lang w:val="ro-MD"/>
              </w:rPr>
              <w:t>1 981 000,00</w:t>
            </w:r>
          </w:p>
        </w:tc>
      </w:tr>
      <w:tr w:rsidR="006127E1" w:rsidRPr="00E33BAB" w14:paraId="165415E2" w14:textId="77777777" w:rsidTr="00785360">
        <w:trPr>
          <w:trHeight w:val="201"/>
        </w:trPr>
        <w:tc>
          <w:tcPr>
            <w:tcW w:w="898" w:type="pct"/>
            <w:shd w:val="clear" w:color="auto" w:fill="auto"/>
            <w:vAlign w:val="center"/>
          </w:tcPr>
          <w:p w14:paraId="564B941D" w14:textId="77777777" w:rsidR="006127E1" w:rsidRPr="00E33BAB" w:rsidRDefault="006127E1" w:rsidP="006127E1">
            <w:pPr>
              <w:spacing w:after="0" w:line="240" w:lineRule="auto"/>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Finanțare adițională</w:t>
            </w:r>
          </w:p>
        </w:tc>
        <w:tc>
          <w:tcPr>
            <w:tcW w:w="421" w:type="pct"/>
            <w:shd w:val="clear" w:color="auto" w:fill="auto"/>
            <w:noWrap/>
          </w:tcPr>
          <w:p w14:paraId="2C7E10E6"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hAnsiTheme="majorHAnsi" w:cstheme="majorHAnsi"/>
                <w:sz w:val="18"/>
                <w:szCs w:val="18"/>
                <w:lang w:val="ro-MD"/>
              </w:rPr>
              <w:t>0.0</w:t>
            </w:r>
          </w:p>
        </w:tc>
        <w:tc>
          <w:tcPr>
            <w:tcW w:w="420" w:type="pct"/>
            <w:shd w:val="clear" w:color="auto" w:fill="auto"/>
            <w:noWrap/>
          </w:tcPr>
          <w:p w14:paraId="7B5B24C3"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hAnsiTheme="majorHAnsi" w:cstheme="majorHAnsi"/>
                <w:sz w:val="18"/>
                <w:szCs w:val="18"/>
                <w:lang w:val="ro-MD"/>
              </w:rPr>
              <w:t>0.0</w:t>
            </w:r>
          </w:p>
        </w:tc>
        <w:tc>
          <w:tcPr>
            <w:tcW w:w="418" w:type="pct"/>
            <w:shd w:val="clear" w:color="auto" w:fill="auto"/>
            <w:noWrap/>
          </w:tcPr>
          <w:p w14:paraId="729E4B8A"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hAnsiTheme="majorHAnsi" w:cstheme="majorHAnsi"/>
                <w:sz w:val="18"/>
                <w:szCs w:val="18"/>
                <w:lang w:val="ro-MD"/>
              </w:rPr>
              <w:t>0.0</w:t>
            </w:r>
          </w:p>
        </w:tc>
        <w:tc>
          <w:tcPr>
            <w:tcW w:w="413" w:type="pct"/>
            <w:shd w:val="clear" w:color="auto" w:fill="auto"/>
            <w:noWrap/>
          </w:tcPr>
          <w:p w14:paraId="3DC4F354"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hAnsiTheme="majorHAnsi" w:cstheme="majorHAnsi"/>
                <w:sz w:val="18"/>
                <w:szCs w:val="18"/>
                <w:lang w:val="ro-MD"/>
              </w:rPr>
              <w:t>968 540.00</w:t>
            </w:r>
          </w:p>
        </w:tc>
        <w:tc>
          <w:tcPr>
            <w:tcW w:w="388" w:type="pct"/>
            <w:shd w:val="clear" w:color="auto" w:fill="auto"/>
            <w:noWrap/>
          </w:tcPr>
          <w:p w14:paraId="47B7C3A5"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hAnsiTheme="majorHAnsi" w:cstheme="majorHAnsi"/>
                <w:sz w:val="18"/>
                <w:szCs w:val="18"/>
                <w:lang w:val="ro-MD"/>
              </w:rPr>
              <w:t>968 540.00</w:t>
            </w:r>
          </w:p>
        </w:tc>
        <w:tc>
          <w:tcPr>
            <w:tcW w:w="437" w:type="pct"/>
            <w:shd w:val="clear" w:color="auto" w:fill="auto"/>
            <w:noWrap/>
          </w:tcPr>
          <w:p w14:paraId="6FD95A85"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hAnsiTheme="majorHAnsi" w:cstheme="majorHAnsi"/>
                <w:sz w:val="18"/>
                <w:szCs w:val="18"/>
                <w:lang w:val="ro-MD"/>
              </w:rPr>
              <w:t>968 540.00</w:t>
            </w:r>
          </w:p>
        </w:tc>
        <w:tc>
          <w:tcPr>
            <w:tcW w:w="412" w:type="pct"/>
            <w:shd w:val="clear" w:color="auto" w:fill="auto"/>
            <w:noWrap/>
          </w:tcPr>
          <w:p w14:paraId="00728865"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hAnsiTheme="majorHAnsi" w:cstheme="majorHAnsi"/>
                <w:sz w:val="18"/>
                <w:szCs w:val="18"/>
                <w:lang w:val="ro-MD"/>
              </w:rPr>
              <w:t>-968 540.00</w:t>
            </w:r>
          </w:p>
        </w:tc>
        <w:tc>
          <w:tcPr>
            <w:tcW w:w="367" w:type="pct"/>
            <w:shd w:val="clear" w:color="auto" w:fill="auto"/>
            <w:noWrap/>
          </w:tcPr>
          <w:p w14:paraId="44E749B5"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hAnsiTheme="majorHAnsi" w:cstheme="majorHAnsi"/>
                <w:sz w:val="18"/>
                <w:szCs w:val="18"/>
                <w:lang w:val="ro-MD"/>
              </w:rPr>
              <w:t>-968 540.00</w:t>
            </w:r>
          </w:p>
        </w:tc>
        <w:tc>
          <w:tcPr>
            <w:tcW w:w="408" w:type="pct"/>
            <w:gridSpan w:val="2"/>
            <w:shd w:val="clear" w:color="auto" w:fill="auto"/>
            <w:noWrap/>
          </w:tcPr>
          <w:p w14:paraId="78037560"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hAnsiTheme="majorHAnsi" w:cstheme="majorHAnsi"/>
                <w:sz w:val="18"/>
                <w:szCs w:val="18"/>
                <w:lang w:val="ro-MD"/>
              </w:rPr>
              <w:t>-968 540.00</w:t>
            </w:r>
          </w:p>
        </w:tc>
        <w:tc>
          <w:tcPr>
            <w:tcW w:w="418" w:type="pct"/>
            <w:shd w:val="clear" w:color="auto" w:fill="auto"/>
            <w:noWrap/>
          </w:tcPr>
          <w:p w14:paraId="37BADA43"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hAnsiTheme="majorHAnsi" w:cstheme="majorHAnsi"/>
                <w:sz w:val="18"/>
                <w:szCs w:val="18"/>
                <w:lang w:val="ro-MD"/>
              </w:rPr>
              <w:t>968 540,00</w:t>
            </w:r>
          </w:p>
        </w:tc>
      </w:tr>
      <w:tr w:rsidR="006127E1" w:rsidRPr="00E33BAB" w14:paraId="430E7794" w14:textId="77777777" w:rsidTr="00785360">
        <w:trPr>
          <w:trHeight w:val="264"/>
        </w:trPr>
        <w:tc>
          <w:tcPr>
            <w:tcW w:w="898" w:type="pct"/>
            <w:shd w:val="clear" w:color="auto" w:fill="auto"/>
            <w:noWrap/>
            <w:vAlign w:val="center"/>
            <w:hideMark/>
          </w:tcPr>
          <w:p w14:paraId="32D834E7" w14:textId="77777777" w:rsidR="006127E1" w:rsidRPr="00E33BAB" w:rsidRDefault="006127E1" w:rsidP="006127E1">
            <w:pPr>
              <w:spacing w:after="0" w:line="240" w:lineRule="auto"/>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bCs/>
                <w:sz w:val="18"/>
                <w:szCs w:val="18"/>
                <w:lang w:val="ro-MD"/>
              </w:rPr>
              <w:t>Alte finanțări, dacă există</w:t>
            </w:r>
          </w:p>
        </w:tc>
        <w:tc>
          <w:tcPr>
            <w:tcW w:w="421" w:type="pct"/>
            <w:shd w:val="clear" w:color="auto" w:fill="auto"/>
            <w:noWrap/>
            <w:vAlign w:val="center"/>
          </w:tcPr>
          <w:p w14:paraId="2B72456E"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20" w:type="pct"/>
            <w:shd w:val="clear" w:color="auto" w:fill="auto"/>
            <w:noWrap/>
            <w:vAlign w:val="center"/>
          </w:tcPr>
          <w:p w14:paraId="59DE59B0"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18" w:type="pct"/>
            <w:shd w:val="clear" w:color="auto" w:fill="auto"/>
            <w:noWrap/>
            <w:vAlign w:val="center"/>
          </w:tcPr>
          <w:p w14:paraId="42238EC7"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13" w:type="pct"/>
            <w:shd w:val="clear" w:color="auto" w:fill="auto"/>
            <w:noWrap/>
            <w:vAlign w:val="center"/>
          </w:tcPr>
          <w:p w14:paraId="692939F6"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388" w:type="pct"/>
            <w:shd w:val="clear" w:color="auto" w:fill="auto"/>
            <w:noWrap/>
            <w:vAlign w:val="center"/>
          </w:tcPr>
          <w:p w14:paraId="6DA1921E"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37" w:type="pct"/>
            <w:shd w:val="clear" w:color="auto" w:fill="auto"/>
            <w:noWrap/>
            <w:vAlign w:val="center"/>
          </w:tcPr>
          <w:p w14:paraId="6A6F7D7C"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12" w:type="pct"/>
            <w:shd w:val="clear" w:color="auto" w:fill="auto"/>
            <w:noWrap/>
            <w:vAlign w:val="center"/>
          </w:tcPr>
          <w:p w14:paraId="522DF029"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367" w:type="pct"/>
            <w:shd w:val="clear" w:color="auto" w:fill="auto"/>
            <w:noWrap/>
            <w:vAlign w:val="center"/>
          </w:tcPr>
          <w:p w14:paraId="4763473C"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08" w:type="pct"/>
            <w:gridSpan w:val="2"/>
            <w:shd w:val="clear" w:color="auto" w:fill="auto"/>
            <w:noWrap/>
            <w:vAlign w:val="center"/>
          </w:tcPr>
          <w:p w14:paraId="46B0A9AE"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18" w:type="pct"/>
            <w:shd w:val="clear" w:color="auto" w:fill="auto"/>
            <w:noWrap/>
            <w:vAlign w:val="center"/>
          </w:tcPr>
          <w:p w14:paraId="026A4CBC"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r>
      <w:tr w:rsidR="006127E1" w:rsidRPr="00E33BAB" w14:paraId="7B2B2E22" w14:textId="77777777" w:rsidTr="00785360">
        <w:trPr>
          <w:trHeight w:val="264"/>
        </w:trPr>
        <w:tc>
          <w:tcPr>
            <w:tcW w:w="898" w:type="pct"/>
            <w:shd w:val="clear" w:color="auto" w:fill="auto"/>
            <w:noWrap/>
            <w:vAlign w:val="center"/>
            <w:hideMark/>
          </w:tcPr>
          <w:p w14:paraId="1D0E33D9" w14:textId="77777777" w:rsidR="006127E1" w:rsidRPr="00E33BAB" w:rsidRDefault="006127E1" w:rsidP="006127E1">
            <w:pPr>
              <w:spacing w:after="0" w:line="240" w:lineRule="auto"/>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bCs/>
                <w:sz w:val="18"/>
                <w:szCs w:val="18"/>
                <w:lang w:val="ro-MD"/>
              </w:rPr>
              <w:t>Cheltuieli totale pentru Proiect</w:t>
            </w:r>
          </w:p>
        </w:tc>
        <w:tc>
          <w:tcPr>
            <w:tcW w:w="421" w:type="pct"/>
            <w:shd w:val="clear" w:color="auto" w:fill="auto"/>
            <w:noWrap/>
          </w:tcPr>
          <w:p w14:paraId="44E7D676"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r w:rsidRPr="00E33BAB">
              <w:rPr>
                <w:rFonts w:asciiTheme="majorHAnsi" w:hAnsiTheme="majorHAnsi" w:cstheme="majorHAnsi"/>
                <w:sz w:val="18"/>
                <w:szCs w:val="18"/>
                <w:lang w:val="ro-MD"/>
              </w:rPr>
              <w:t>74 775,52</w:t>
            </w:r>
          </w:p>
        </w:tc>
        <w:tc>
          <w:tcPr>
            <w:tcW w:w="420" w:type="pct"/>
            <w:shd w:val="clear" w:color="auto" w:fill="auto"/>
            <w:noWrap/>
          </w:tcPr>
          <w:p w14:paraId="0D1B436A"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r w:rsidRPr="00E33BAB">
              <w:rPr>
                <w:rFonts w:asciiTheme="majorHAnsi" w:hAnsiTheme="majorHAnsi" w:cstheme="majorHAnsi"/>
                <w:sz w:val="18"/>
                <w:szCs w:val="18"/>
                <w:lang w:val="ro-MD"/>
              </w:rPr>
              <w:t>129 344,09</w:t>
            </w:r>
          </w:p>
        </w:tc>
        <w:tc>
          <w:tcPr>
            <w:tcW w:w="418" w:type="pct"/>
            <w:shd w:val="clear" w:color="auto" w:fill="auto"/>
            <w:noWrap/>
          </w:tcPr>
          <w:p w14:paraId="69F5E51D"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r w:rsidRPr="00E33BAB">
              <w:rPr>
                <w:rFonts w:asciiTheme="majorHAnsi" w:hAnsiTheme="majorHAnsi" w:cstheme="majorHAnsi"/>
                <w:sz w:val="18"/>
                <w:szCs w:val="18"/>
                <w:lang w:val="ro-MD"/>
              </w:rPr>
              <w:t>1 666 569,16</w:t>
            </w:r>
          </w:p>
        </w:tc>
        <w:tc>
          <w:tcPr>
            <w:tcW w:w="413" w:type="pct"/>
            <w:shd w:val="clear" w:color="auto" w:fill="auto"/>
            <w:noWrap/>
          </w:tcPr>
          <w:p w14:paraId="19637ECD"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r w:rsidRPr="00E33BAB">
              <w:rPr>
                <w:rFonts w:asciiTheme="majorHAnsi" w:hAnsiTheme="majorHAnsi" w:cstheme="majorHAnsi"/>
                <w:sz w:val="18"/>
                <w:szCs w:val="18"/>
                <w:lang w:val="ro-MD"/>
              </w:rPr>
              <w:t>1 217 711,75</w:t>
            </w:r>
          </w:p>
        </w:tc>
        <w:tc>
          <w:tcPr>
            <w:tcW w:w="388" w:type="pct"/>
            <w:shd w:val="clear" w:color="auto" w:fill="auto"/>
            <w:noWrap/>
          </w:tcPr>
          <w:p w14:paraId="19043C37"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r w:rsidRPr="00E33BAB">
              <w:rPr>
                <w:rFonts w:asciiTheme="majorHAnsi" w:hAnsiTheme="majorHAnsi" w:cstheme="majorHAnsi"/>
                <w:sz w:val="18"/>
                <w:szCs w:val="18"/>
                <w:lang w:val="ro-MD"/>
              </w:rPr>
              <w:t>1 412 314,93</w:t>
            </w:r>
          </w:p>
        </w:tc>
        <w:tc>
          <w:tcPr>
            <w:tcW w:w="437" w:type="pct"/>
            <w:shd w:val="clear" w:color="auto" w:fill="auto"/>
            <w:noWrap/>
          </w:tcPr>
          <w:p w14:paraId="5286D73B"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r w:rsidRPr="00E33BAB">
              <w:rPr>
                <w:rFonts w:asciiTheme="majorHAnsi" w:hAnsiTheme="majorHAnsi" w:cstheme="majorHAnsi"/>
                <w:sz w:val="18"/>
                <w:szCs w:val="18"/>
                <w:lang w:val="ro-MD"/>
              </w:rPr>
              <w:t>2 949 540,00</w:t>
            </w:r>
          </w:p>
        </w:tc>
        <w:tc>
          <w:tcPr>
            <w:tcW w:w="412" w:type="pct"/>
            <w:shd w:val="clear" w:color="auto" w:fill="auto"/>
            <w:noWrap/>
          </w:tcPr>
          <w:p w14:paraId="19FBD6B1"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r w:rsidRPr="00E33BAB">
              <w:rPr>
                <w:rFonts w:asciiTheme="majorHAnsi" w:hAnsiTheme="majorHAnsi" w:cstheme="majorHAnsi"/>
                <w:sz w:val="18"/>
                <w:szCs w:val="18"/>
                <w:lang w:val="ro-MD"/>
              </w:rPr>
              <w:t>-1 142 936,23</w:t>
            </w:r>
          </w:p>
        </w:tc>
        <w:tc>
          <w:tcPr>
            <w:tcW w:w="367" w:type="pct"/>
            <w:shd w:val="clear" w:color="auto" w:fill="auto"/>
            <w:noWrap/>
          </w:tcPr>
          <w:p w14:paraId="6D67F91F" w14:textId="77777777" w:rsidR="006127E1" w:rsidRPr="00E33BAB" w:rsidRDefault="006127E1" w:rsidP="006127E1">
            <w:pPr>
              <w:spacing w:after="0" w:line="240" w:lineRule="auto"/>
              <w:jc w:val="center"/>
              <w:rPr>
                <w:rFonts w:asciiTheme="majorHAnsi" w:eastAsia="Times New Roman" w:hAnsiTheme="majorHAnsi" w:cstheme="majorHAnsi"/>
                <w:b/>
                <w:bCs/>
                <w:sz w:val="16"/>
                <w:szCs w:val="16"/>
                <w:lang w:val="ro-MD"/>
              </w:rPr>
            </w:pPr>
            <w:r w:rsidRPr="00E33BAB">
              <w:rPr>
                <w:rFonts w:asciiTheme="majorHAnsi" w:hAnsiTheme="majorHAnsi" w:cstheme="majorHAnsi"/>
                <w:sz w:val="16"/>
                <w:szCs w:val="16"/>
                <w:lang w:val="ro-MD"/>
              </w:rPr>
              <w:t>-1 282 970,84</w:t>
            </w:r>
          </w:p>
        </w:tc>
        <w:tc>
          <w:tcPr>
            <w:tcW w:w="408" w:type="pct"/>
            <w:gridSpan w:val="2"/>
            <w:shd w:val="clear" w:color="auto" w:fill="auto"/>
            <w:noWrap/>
          </w:tcPr>
          <w:p w14:paraId="48CD1CA3"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r w:rsidRPr="00E33BAB">
              <w:rPr>
                <w:rFonts w:asciiTheme="majorHAnsi" w:hAnsiTheme="majorHAnsi" w:cstheme="majorHAnsi"/>
                <w:sz w:val="18"/>
                <w:szCs w:val="18"/>
                <w:lang w:val="ro-MD"/>
              </w:rPr>
              <w:t>-1 282 970,84</w:t>
            </w:r>
          </w:p>
        </w:tc>
        <w:tc>
          <w:tcPr>
            <w:tcW w:w="418" w:type="pct"/>
            <w:shd w:val="clear" w:color="auto" w:fill="auto"/>
            <w:noWrap/>
          </w:tcPr>
          <w:p w14:paraId="7FD07526"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r w:rsidRPr="00E33BAB">
              <w:rPr>
                <w:rFonts w:asciiTheme="majorHAnsi" w:hAnsiTheme="majorHAnsi" w:cstheme="majorHAnsi"/>
                <w:sz w:val="18"/>
                <w:szCs w:val="18"/>
                <w:lang w:val="ro-MD"/>
              </w:rPr>
              <w:t>2 949 540,00</w:t>
            </w:r>
          </w:p>
        </w:tc>
      </w:tr>
      <w:tr w:rsidR="006127E1" w:rsidRPr="00E33BAB" w14:paraId="1BF66940" w14:textId="77777777" w:rsidTr="00785360">
        <w:trPr>
          <w:trHeight w:val="264"/>
        </w:trPr>
        <w:tc>
          <w:tcPr>
            <w:tcW w:w="898" w:type="pct"/>
            <w:shd w:val="clear" w:color="auto" w:fill="auto"/>
            <w:noWrap/>
            <w:vAlign w:val="center"/>
            <w:hideMark/>
          </w:tcPr>
          <w:p w14:paraId="4295CDF4" w14:textId="77777777" w:rsidR="006127E1" w:rsidRPr="00E33BAB" w:rsidRDefault="006127E1" w:rsidP="006127E1">
            <w:pPr>
              <w:spacing w:after="0" w:line="240" w:lineRule="auto"/>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bCs/>
                <w:sz w:val="18"/>
                <w:szCs w:val="18"/>
                <w:lang w:val="ro-MD"/>
              </w:rPr>
              <w:t>Diferențe de curs valutar</w:t>
            </w:r>
          </w:p>
        </w:tc>
        <w:tc>
          <w:tcPr>
            <w:tcW w:w="421" w:type="pct"/>
            <w:shd w:val="clear" w:color="auto" w:fill="auto"/>
            <w:noWrap/>
            <w:vAlign w:val="center"/>
          </w:tcPr>
          <w:p w14:paraId="080AF05F"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p>
        </w:tc>
        <w:tc>
          <w:tcPr>
            <w:tcW w:w="420" w:type="pct"/>
            <w:shd w:val="clear" w:color="auto" w:fill="auto"/>
            <w:noWrap/>
            <w:vAlign w:val="center"/>
          </w:tcPr>
          <w:p w14:paraId="26B4211D"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p>
        </w:tc>
        <w:tc>
          <w:tcPr>
            <w:tcW w:w="418" w:type="pct"/>
            <w:shd w:val="clear" w:color="auto" w:fill="auto"/>
            <w:noWrap/>
            <w:vAlign w:val="center"/>
          </w:tcPr>
          <w:p w14:paraId="67671CA4"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p>
        </w:tc>
        <w:tc>
          <w:tcPr>
            <w:tcW w:w="413" w:type="pct"/>
            <w:shd w:val="clear" w:color="auto" w:fill="auto"/>
            <w:noWrap/>
            <w:vAlign w:val="center"/>
          </w:tcPr>
          <w:p w14:paraId="79C2A7E0"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p>
        </w:tc>
        <w:tc>
          <w:tcPr>
            <w:tcW w:w="388" w:type="pct"/>
            <w:shd w:val="clear" w:color="auto" w:fill="auto"/>
            <w:noWrap/>
            <w:vAlign w:val="center"/>
          </w:tcPr>
          <w:p w14:paraId="3BAF3695"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37" w:type="pct"/>
            <w:shd w:val="clear" w:color="auto" w:fill="auto"/>
            <w:noWrap/>
            <w:vAlign w:val="center"/>
          </w:tcPr>
          <w:p w14:paraId="4BCDD5DC"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p>
        </w:tc>
        <w:tc>
          <w:tcPr>
            <w:tcW w:w="412" w:type="pct"/>
            <w:shd w:val="clear" w:color="auto" w:fill="auto"/>
            <w:noWrap/>
            <w:vAlign w:val="center"/>
          </w:tcPr>
          <w:p w14:paraId="329229B2"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p>
        </w:tc>
        <w:tc>
          <w:tcPr>
            <w:tcW w:w="367" w:type="pct"/>
            <w:shd w:val="clear" w:color="auto" w:fill="auto"/>
            <w:noWrap/>
            <w:vAlign w:val="center"/>
          </w:tcPr>
          <w:p w14:paraId="2C566429"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p>
        </w:tc>
        <w:tc>
          <w:tcPr>
            <w:tcW w:w="408" w:type="pct"/>
            <w:gridSpan w:val="2"/>
            <w:shd w:val="clear" w:color="auto" w:fill="auto"/>
            <w:noWrap/>
            <w:vAlign w:val="center"/>
          </w:tcPr>
          <w:p w14:paraId="094D5236"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p>
        </w:tc>
        <w:tc>
          <w:tcPr>
            <w:tcW w:w="418" w:type="pct"/>
            <w:shd w:val="clear" w:color="auto" w:fill="auto"/>
            <w:noWrap/>
            <w:vAlign w:val="center"/>
          </w:tcPr>
          <w:p w14:paraId="7657A8DF"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r>
      <w:tr w:rsidR="006127E1" w:rsidRPr="00E33BAB" w14:paraId="5F4D3ABB" w14:textId="77777777" w:rsidTr="00785360">
        <w:trPr>
          <w:trHeight w:val="264"/>
        </w:trPr>
        <w:tc>
          <w:tcPr>
            <w:tcW w:w="898" w:type="pct"/>
            <w:shd w:val="clear" w:color="auto" w:fill="auto"/>
            <w:noWrap/>
            <w:vAlign w:val="center"/>
            <w:hideMark/>
          </w:tcPr>
          <w:p w14:paraId="57308800" w14:textId="77777777" w:rsidR="006127E1" w:rsidRPr="00E33BAB" w:rsidRDefault="006127E1" w:rsidP="006127E1">
            <w:pPr>
              <w:spacing w:after="0" w:line="240" w:lineRule="auto"/>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xml:space="preserve"> Diferențe de curs valutar</w:t>
            </w:r>
          </w:p>
        </w:tc>
        <w:tc>
          <w:tcPr>
            <w:tcW w:w="421" w:type="pct"/>
            <w:shd w:val="clear" w:color="auto" w:fill="auto"/>
            <w:noWrap/>
            <w:vAlign w:val="center"/>
          </w:tcPr>
          <w:p w14:paraId="7BDE5A56"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20" w:type="pct"/>
            <w:shd w:val="clear" w:color="auto" w:fill="auto"/>
            <w:noWrap/>
            <w:vAlign w:val="center"/>
          </w:tcPr>
          <w:p w14:paraId="1C3C9C7E"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18" w:type="pct"/>
            <w:shd w:val="clear" w:color="auto" w:fill="auto"/>
            <w:noWrap/>
            <w:vAlign w:val="center"/>
          </w:tcPr>
          <w:p w14:paraId="5C4C3C01"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13" w:type="pct"/>
            <w:shd w:val="clear" w:color="auto" w:fill="auto"/>
            <w:noWrap/>
            <w:vAlign w:val="center"/>
          </w:tcPr>
          <w:p w14:paraId="73A6CEF9"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388" w:type="pct"/>
            <w:shd w:val="clear" w:color="auto" w:fill="auto"/>
            <w:noWrap/>
            <w:vAlign w:val="center"/>
          </w:tcPr>
          <w:p w14:paraId="615F13C7"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37" w:type="pct"/>
            <w:shd w:val="clear" w:color="auto" w:fill="auto"/>
            <w:noWrap/>
            <w:vAlign w:val="center"/>
          </w:tcPr>
          <w:p w14:paraId="178693BC"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12" w:type="pct"/>
            <w:shd w:val="clear" w:color="auto" w:fill="auto"/>
            <w:noWrap/>
            <w:vAlign w:val="center"/>
          </w:tcPr>
          <w:p w14:paraId="20DE4FFE"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367" w:type="pct"/>
            <w:shd w:val="clear" w:color="auto" w:fill="auto"/>
            <w:noWrap/>
            <w:vAlign w:val="center"/>
          </w:tcPr>
          <w:p w14:paraId="0BAF7BB3"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08" w:type="pct"/>
            <w:gridSpan w:val="2"/>
            <w:shd w:val="clear" w:color="auto" w:fill="auto"/>
            <w:noWrap/>
            <w:vAlign w:val="center"/>
          </w:tcPr>
          <w:p w14:paraId="66292CE2"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18" w:type="pct"/>
            <w:shd w:val="clear" w:color="auto" w:fill="auto"/>
            <w:noWrap/>
            <w:vAlign w:val="center"/>
          </w:tcPr>
          <w:p w14:paraId="54ABD668"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r>
      <w:tr w:rsidR="006127E1" w:rsidRPr="00E33BAB" w14:paraId="2802BA67" w14:textId="77777777" w:rsidTr="00785360">
        <w:trPr>
          <w:trHeight w:val="264"/>
        </w:trPr>
        <w:tc>
          <w:tcPr>
            <w:tcW w:w="898" w:type="pct"/>
            <w:shd w:val="clear" w:color="auto" w:fill="auto"/>
            <w:noWrap/>
            <w:vAlign w:val="center"/>
            <w:hideMark/>
          </w:tcPr>
          <w:p w14:paraId="30D307CE" w14:textId="77777777" w:rsidR="006127E1" w:rsidRPr="00E33BAB" w:rsidRDefault="006127E1" w:rsidP="006127E1">
            <w:pPr>
              <w:spacing w:after="0" w:line="240" w:lineRule="auto"/>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bCs/>
                <w:sz w:val="18"/>
                <w:szCs w:val="18"/>
                <w:lang w:val="ro-MD"/>
              </w:rPr>
              <w:t xml:space="preserve">Închiderea soldurilor de numerar </w:t>
            </w:r>
          </w:p>
        </w:tc>
        <w:tc>
          <w:tcPr>
            <w:tcW w:w="421" w:type="pct"/>
            <w:shd w:val="clear" w:color="auto" w:fill="auto"/>
            <w:noWrap/>
            <w:vAlign w:val="center"/>
          </w:tcPr>
          <w:p w14:paraId="2ADF2495"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20" w:type="pct"/>
            <w:shd w:val="clear" w:color="auto" w:fill="auto"/>
            <w:noWrap/>
            <w:vAlign w:val="center"/>
          </w:tcPr>
          <w:p w14:paraId="4D8B2B30"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18" w:type="pct"/>
            <w:shd w:val="clear" w:color="auto" w:fill="auto"/>
            <w:noWrap/>
            <w:vAlign w:val="center"/>
          </w:tcPr>
          <w:p w14:paraId="6F04C014"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13" w:type="pct"/>
            <w:shd w:val="clear" w:color="auto" w:fill="auto"/>
            <w:noWrap/>
            <w:vAlign w:val="center"/>
          </w:tcPr>
          <w:p w14:paraId="2449B1D5"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388" w:type="pct"/>
            <w:shd w:val="clear" w:color="auto" w:fill="auto"/>
            <w:noWrap/>
            <w:vAlign w:val="center"/>
          </w:tcPr>
          <w:p w14:paraId="3A3807E1"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37" w:type="pct"/>
            <w:shd w:val="clear" w:color="auto" w:fill="auto"/>
            <w:noWrap/>
            <w:vAlign w:val="center"/>
          </w:tcPr>
          <w:p w14:paraId="129311DE"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12" w:type="pct"/>
            <w:shd w:val="clear" w:color="auto" w:fill="auto"/>
            <w:noWrap/>
            <w:vAlign w:val="center"/>
          </w:tcPr>
          <w:p w14:paraId="2F211DEF"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367" w:type="pct"/>
            <w:shd w:val="clear" w:color="auto" w:fill="auto"/>
            <w:noWrap/>
            <w:vAlign w:val="center"/>
          </w:tcPr>
          <w:p w14:paraId="24861AB7"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08" w:type="pct"/>
            <w:gridSpan w:val="2"/>
            <w:shd w:val="clear" w:color="auto" w:fill="auto"/>
            <w:noWrap/>
            <w:vAlign w:val="center"/>
          </w:tcPr>
          <w:p w14:paraId="47BB9D7F"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18" w:type="pct"/>
            <w:shd w:val="clear" w:color="auto" w:fill="auto"/>
            <w:noWrap/>
            <w:vAlign w:val="center"/>
          </w:tcPr>
          <w:p w14:paraId="0395E1C3"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r>
      <w:tr w:rsidR="006127E1" w:rsidRPr="00E33BAB" w14:paraId="101851F1" w14:textId="77777777" w:rsidTr="00785360">
        <w:trPr>
          <w:trHeight w:val="264"/>
        </w:trPr>
        <w:tc>
          <w:tcPr>
            <w:tcW w:w="898" w:type="pct"/>
            <w:shd w:val="clear" w:color="auto" w:fill="auto"/>
            <w:noWrap/>
            <w:vAlign w:val="center"/>
            <w:hideMark/>
          </w:tcPr>
          <w:p w14:paraId="0BB5BC9D" w14:textId="77777777" w:rsidR="006127E1" w:rsidRPr="00E33BAB" w:rsidRDefault="006127E1" w:rsidP="006127E1">
            <w:pPr>
              <w:spacing w:after="0" w:line="240" w:lineRule="auto"/>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xml:space="preserve"> Cont desemnat DA-B (în dolari SUA)</w:t>
            </w:r>
          </w:p>
        </w:tc>
        <w:tc>
          <w:tcPr>
            <w:tcW w:w="421" w:type="pct"/>
            <w:shd w:val="clear" w:color="auto" w:fill="auto"/>
            <w:noWrap/>
          </w:tcPr>
          <w:p w14:paraId="5611998B"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hAnsiTheme="majorHAnsi" w:cstheme="majorHAnsi"/>
                <w:sz w:val="18"/>
                <w:szCs w:val="18"/>
                <w:lang w:val="ro-MD"/>
              </w:rPr>
              <w:t>48 111,74</w:t>
            </w:r>
          </w:p>
        </w:tc>
        <w:tc>
          <w:tcPr>
            <w:tcW w:w="420" w:type="pct"/>
            <w:shd w:val="clear" w:color="auto" w:fill="auto"/>
            <w:noWrap/>
          </w:tcPr>
          <w:p w14:paraId="7C3C4069"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hAnsiTheme="majorHAnsi" w:cstheme="majorHAnsi"/>
                <w:sz w:val="18"/>
                <w:szCs w:val="18"/>
                <w:lang w:val="ro-MD"/>
              </w:rPr>
              <w:t>48 111,74</w:t>
            </w:r>
          </w:p>
        </w:tc>
        <w:tc>
          <w:tcPr>
            <w:tcW w:w="418" w:type="pct"/>
            <w:shd w:val="clear" w:color="auto" w:fill="auto"/>
            <w:noWrap/>
          </w:tcPr>
          <w:p w14:paraId="2E7FF0F6"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hAnsiTheme="majorHAnsi" w:cstheme="majorHAnsi"/>
                <w:sz w:val="18"/>
                <w:szCs w:val="18"/>
                <w:lang w:val="ro-MD"/>
              </w:rPr>
              <w:t>48 111,74</w:t>
            </w:r>
          </w:p>
        </w:tc>
        <w:tc>
          <w:tcPr>
            <w:tcW w:w="413" w:type="pct"/>
            <w:shd w:val="clear" w:color="auto" w:fill="auto"/>
            <w:noWrap/>
            <w:vAlign w:val="center"/>
          </w:tcPr>
          <w:p w14:paraId="7D4BC7BC"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388" w:type="pct"/>
            <w:shd w:val="clear" w:color="auto" w:fill="auto"/>
            <w:noWrap/>
            <w:vAlign w:val="center"/>
          </w:tcPr>
          <w:p w14:paraId="5F3A643E"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37" w:type="pct"/>
            <w:shd w:val="clear" w:color="auto" w:fill="auto"/>
            <w:noWrap/>
            <w:vAlign w:val="center"/>
          </w:tcPr>
          <w:p w14:paraId="5E247C8F"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12" w:type="pct"/>
            <w:shd w:val="clear" w:color="auto" w:fill="auto"/>
            <w:noWrap/>
            <w:vAlign w:val="center"/>
          </w:tcPr>
          <w:p w14:paraId="38CB5237"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367" w:type="pct"/>
            <w:shd w:val="clear" w:color="auto" w:fill="auto"/>
            <w:noWrap/>
            <w:vAlign w:val="center"/>
          </w:tcPr>
          <w:p w14:paraId="6B1DE0C5"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08" w:type="pct"/>
            <w:gridSpan w:val="2"/>
            <w:shd w:val="clear" w:color="auto" w:fill="auto"/>
            <w:noWrap/>
            <w:vAlign w:val="center"/>
          </w:tcPr>
          <w:p w14:paraId="7444C8C5"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18" w:type="pct"/>
            <w:shd w:val="clear" w:color="auto" w:fill="auto"/>
            <w:noWrap/>
            <w:vAlign w:val="center"/>
          </w:tcPr>
          <w:p w14:paraId="0DD71A4A"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r>
      <w:tr w:rsidR="006127E1" w:rsidRPr="00E33BAB" w14:paraId="11A45DBA" w14:textId="77777777" w:rsidTr="00785360">
        <w:trPr>
          <w:trHeight w:val="264"/>
        </w:trPr>
        <w:tc>
          <w:tcPr>
            <w:tcW w:w="898" w:type="pct"/>
            <w:shd w:val="clear" w:color="auto" w:fill="auto"/>
            <w:noWrap/>
            <w:vAlign w:val="center"/>
            <w:hideMark/>
          </w:tcPr>
          <w:p w14:paraId="100C41DA" w14:textId="77777777" w:rsidR="006127E1" w:rsidRPr="00E33BAB" w:rsidRDefault="006127E1" w:rsidP="006127E1">
            <w:pPr>
              <w:spacing w:after="0" w:line="240" w:lineRule="auto"/>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xml:space="preserve"> Cont desemnat DA-B (în MDL)</w:t>
            </w:r>
          </w:p>
        </w:tc>
        <w:tc>
          <w:tcPr>
            <w:tcW w:w="421" w:type="pct"/>
            <w:shd w:val="clear" w:color="auto" w:fill="auto"/>
            <w:noWrap/>
          </w:tcPr>
          <w:p w14:paraId="4146FD9F"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hAnsiTheme="majorHAnsi" w:cstheme="majorHAnsi"/>
                <w:sz w:val="18"/>
                <w:szCs w:val="18"/>
                <w:lang w:val="ro-MD"/>
              </w:rPr>
              <w:t>0,80</w:t>
            </w:r>
          </w:p>
        </w:tc>
        <w:tc>
          <w:tcPr>
            <w:tcW w:w="420" w:type="pct"/>
            <w:shd w:val="clear" w:color="auto" w:fill="auto"/>
            <w:noWrap/>
          </w:tcPr>
          <w:p w14:paraId="5B7C83CB"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hAnsiTheme="majorHAnsi" w:cstheme="majorHAnsi"/>
                <w:sz w:val="18"/>
                <w:szCs w:val="18"/>
                <w:lang w:val="ro-MD"/>
              </w:rPr>
              <w:t>0,80</w:t>
            </w:r>
          </w:p>
        </w:tc>
        <w:tc>
          <w:tcPr>
            <w:tcW w:w="418" w:type="pct"/>
            <w:shd w:val="clear" w:color="auto" w:fill="auto"/>
            <w:noWrap/>
          </w:tcPr>
          <w:p w14:paraId="52D8E414"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hAnsiTheme="majorHAnsi" w:cstheme="majorHAnsi"/>
                <w:sz w:val="18"/>
                <w:szCs w:val="18"/>
                <w:lang w:val="ro-MD"/>
              </w:rPr>
              <w:t>0,80</w:t>
            </w:r>
          </w:p>
        </w:tc>
        <w:tc>
          <w:tcPr>
            <w:tcW w:w="413" w:type="pct"/>
            <w:shd w:val="clear" w:color="auto" w:fill="auto"/>
            <w:noWrap/>
            <w:vAlign w:val="center"/>
          </w:tcPr>
          <w:p w14:paraId="65B2AB3B"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388" w:type="pct"/>
            <w:shd w:val="clear" w:color="auto" w:fill="auto"/>
            <w:noWrap/>
            <w:vAlign w:val="center"/>
          </w:tcPr>
          <w:p w14:paraId="125FD9B7"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37" w:type="pct"/>
            <w:shd w:val="clear" w:color="auto" w:fill="auto"/>
            <w:noWrap/>
            <w:vAlign w:val="center"/>
          </w:tcPr>
          <w:p w14:paraId="02300ED0"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12" w:type="pct"/>
            <w:shd w:val="clear" w:color="auto" w:fill="auto"/>
            <w:noWrap/>
            <w:vAlign w:val="center"/>
          </w:tcPr>
          <w:p w14:paraId="08B4E010"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367" w:type="pct"/>
            <w:shd w:val="clear" w:color="auto" w:fill="auto"/>
            <w:noWrap/>
            <w:vAlign w:val="center"/>
          </w:tcPr>
          <w:p w14:paraId="1E047685"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08" w:type="pct"/>
            <w:gridSpan w:val="2"/>
            <w:shd w:val="clear" w:color="auto" w:fill="auto"/>
            <w:noWrap/>
            <w:vAlign w:val="center"/>
          </w:tcPr>
          <w:p w14:paraId="2C439956"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c>
          <w:tcPr>
            <w:tcW w:w="418" w:type="pct"/>
            <w:shd w:val="clear" w:color="auto" w:fill="auto"/>
            <w:noWrap/>
            <w:vAlign w:val="center"/>
          </w:tcPr>
          <w:p w14:paraId="385E3858" w14:textId="77777777" w:rsidR="006127E1" w:rsidRPr="00E33BAB" w:rsidRDefault="006127E1" w:rsidP="006127E1">
            <w:pPr>
              <w:spacing w:after="0" w:line="240" w:lineRule="auto"/>
              <w:jc w:val="center"/>
              <w:rPr>
                <w:rFonts w:asciiTheme="majorHAnsi" w:eastAsia="Times New Roman" w:hAnsiTheme="majorHAnsi" w:cstheme="majorHAnsi"/>
                <w:sz w:val="18"/>
                <w:szCs w:val="18"/>
                <w:lang w:val="ro-MD"/>
              </w:rPr>
            </w:pPr>
          </w:p>
        </w:tc>
      </w:tr>
      <w:tr w:rsidR="006127E1" w:rsidRPr="00E33BAB" w14:paraId="44C4076F" w14:textId="77777777" w:rsidTr="00785360">
        <w:trPr>
          <w:trHeight w:val="276"/>
        </w:trPr>
        <w:tc>
          <w:tcPr>
            <w:tcW w:w="898" w:type="pct"/>
            <w:shd w:val="clear" w:color="auto" w:fill="auto"/>
            <w:noWrap/>
            <w:vAlign w:val="center"/>
            <w:hideMark/>
          </w:tcPr>
          <w:p w14:paraId="69AC6AF4" w14:textId="77777777" w:rsidR="006127E1" w:rsidRPr="00E33BAB" w:rsidRDefault="006127E1" w:rsidP="006127E1">
            <w:pPr>
              <w:spacing w:after="0" w:line="240" w:lineRule="auto"/>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bCs/>
                <w:sz w:val="18"/>
                <w:szCs w:val="18"/>
                <w:lang w:val="ro-MD"/>
              </w:rPr>
              <w:t xml:space="preserve"> Total</w:t>
            </w:r>
          </w:p>
        </w:tc>
        <w:tc>
          <w:tcPr>
            <w:tcW w:w="421" w:type="pct"/>
            <w:shd w:val="clear" w:color="auto" w:fill="auto"/>
            <w:noWrap/>
          </w:tcPr>
          <w:p w14:paraId="1690104C"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r w:rsidRPr="00E33BAB">
              <w:rPr>
                <w:rFonts w:asciiTheme="majorHAnsi" w:hAnsiTheme="majorHAnsi" w:cstheme="majorHAnsi"/>
                <w:sz w:val="18"/>
                <w:szCs w:val="18"/>
                <w:lang w:val="ro-MD"/>
              </w:rPr>
              <w:t>48 112,54</w:t>
            </w:r>
          </w:p>
        </w:tc>
        <w:tc>
          <w:tcPr>
            <w:tcW w:w="420" w:type="pct"/>
            <w:shd w:val="clear" w:color="auto" w:fill="auto"/>
            <w:noWrap/>
          </w:tcPr>
          <w:p w14:paraId="2FCDFE8A"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r w:rsidRPr="00E33BAB">
              <w:rPr>
                <w:rFonts w:asciiTheme="majorHAnsi" w:hAnsiTheme="majorHAnsi" w:cstheme="majorHAnsi"/>
                <w:sz w:val="18"/>
                <w:szCs w:val="18"/>
                <w:lang w:val="ro-MD"/>
              </w:rPr>
              <w:t>48 112,54</w:t>
            </w:r>
          </w:p>
        </w:tc>
        <w:tc>
          <w:tcPr>
            <w:tcW w:w="418" w:type="pct"/>
            <w:shd w:val="clear" w:color="auto" w:fill="auto"/>
            <w:noWrap/>
          </w:tcPr>
          <w:p w14:paraId="0CAAC030"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r w:rsidRPr="00E33BAB">
              <w:rPr>
                <w:rFonts w:asciiTheme="majorHAnsi" w:hAnsiTheme="majorHAnsi" w:cstheme="majorHAnsi"/>
                <w:sz w:val="18"/>
                <w:szCs w:val="18"/>
                <w:lang w:val="ro-MD"/>
              </w:rPr>
              <w:t>48 112,54</w:t>
            </w:r>
          </w:p>
        </w:tc>
        <w:tc>
          <w:tcPr>
            <w:tcW w:w="413" w:type="pct"/>
            <w:shd w:val="clear" w:color="auto" w:fill="auto"/>
            <w:noWrap/>
          </w:tcPr>
          <w:p w14:paraId="0D9BB2EE"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r w:rsidRPr="00E33BAB">
              <w:rPr>
                <w:rFonts w:asciiTheme="majorHAnsi" w:hAnsiTheme="majorHAnsi" w:cstheme="majorHAnsi"/>
                <w:sz w:val="18"/>
                <w:szCs w:val="18"/>
                <w:lang w:val="ro-MD"/>
              </w:rPr>
              <w:t>1 217 711,75</w:t>
            </w:r>
          </w:p>
        </w:tc>
        <w:tc>
          <w:tcPr>
            <w:tcW w:w="388" w:type="pct"/>
            <w:shd w:val="clear" w:color="auto" w:fill="auto"/>
            <w:noWrap/>
          </w:tcPr>
          <w:p w14:paraId="292BFE7F"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r w:rsidRPr="00E33BAB">
              <w:rPr>
                <w:rFonts w:asciiTheme="majorHAnsi" w:hAnsiTheme="majorHAnsi" w:cstheme="majorHAnsi"/>
                <w:sz w:val="18"/>
                <w:szCs w:val="18"/>
                <w:lang w:val="ro-MD"/>
              </w:rPr>
              <w:t>1 412 314,93</w:t>
            </w:r>
          </w:p>
        </w:tc>
        <w:tc>
          <w:tcPr>
            <w:tcW w:w="437" w:type="pct"/>
            <w:shd w:val="clear" w:color="auto" w:fill="auto"/>
            <w:noWrap/>
          </w:tcPr>
          <w:p w14:paraId="17CF2428"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r w:rsidRPr="00E33BAB">
              <w:rPr>
                <w:rFonts w:asciiTheme="majorHAnsi" w:hAnsiTheme="majorHAnsi" w:cstheme="majorHAnsi"/>
                <w:sz w:val="18"/>
                <w:szCs w:val="18"/>
                <w:lang w:val="ro-MD"/>
              </w:rPr>
              <w:t>2 949 540,00</w:t>
            </w:r>
          </w:p>
        </w:tc>
        <w:tc>
          <w:tcPr>
            <w:tcW w:w="412" w:type="pct"/>
            <w:shd w:val="clear" w:color="auto" w:fill="auto"/>
            <w:noWrap/>
          </w:tcPr>
          <w:p w14:paraId="00AADA18"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r w:rsidRPr="00E33BAB">
              <w:rPr>
                <w:rFonts w:asciiTheme="majorHAnsi" w:hAnsiTheme="majorHAnsi" w:cstheme="majorHAnsi"/>
                <w:sz w:val="18"/>
                <w:szCs w:val="18"/>
                <w:lang w:val="ro-MD"/>
              </w:rPr>
              <w:t>-1 142 936,23</w:t>
            </w:r>
          </w:p>
        </w:tc>
        <w:tc>
          <w:tcPr>
            <w:tcW w:w="367" w:type="pct"/>
            <w:shd w:val="clear" w:color="auto" w:fill="auto"/>
            <w:noWrap/>
          </w:tcPr>
          <w:p w14:paraId="357D69BD" w14:textId="77777777" w:rsidR="006127E1" w:rsidRPr="00E33BAB" w:rsidRDefault="006127E1" w:rsidP="006127E1">
            <w:pPr>
              <w:spacing w:after="0" w:line="240" w:lineRule="auto"/>
              <w:jc w:val="center"/>
              <w:rPr>
                <w:rFonts w:asciiTheme="majorHAnsi" w:eastAsia="Times New Roman" w:hAnsiTheme="majorHAnsi" w:cstheme="majorHAnsi"/>
                <w:b/>
                <w:bCs/>
                <w:sz w:val="16"/>
                <w:szCs w:val="16"/>
                <w:lang w:val="ro-MD"/>
              </w:rPr>
            </w:pPr>
            <w:r w:rsidRPr="00E33BAB">
              <w:rPr>
                <w:rFonts w:asciiTheme="majorHAnsi" w:hAnsiTheme="majorHAnsi" w:cstheme="majorHAnsi"/>
                <w:sz w:val="16"/>
                <w:szCs w:val="16"/>
                <w:lang w:val="ro-MD"/>
              </w:rPr>
              <w:t>-1 282 970,84</w:t>
            </w:r>
          </w:p>
        </w:tc>
        <w:tc>
          <w:tcPr>
            <w:tcW w:w="408" w:type="pct"/>
            <w:gridSpan w:val="2"/>
            <w:shd w:val="clear" w:color="auto" w:fill="auto"/>
            <w:noWrap/>
          </w:tcPr>
          <w:p w14:paraId="274E5925"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r w:rsidRPr="00E33BAB">
              <w:rPr>
                <w:rFonts w:asciiTheme="majorHAnsi" w:hAnsiTheme="majorHAnsi" w:cstheme="majorHAnsi"/>
                <w:sz w:val="18"/>
                <w:szCs w:val="18"/>
                <w:lang w:val="ro-MD"/>
              </w:rPr>
              <w:t>-1 282 970,84</w:t>
            </w:r>
          </w:p>
        </w:tc>
        <w:tc>
          <w:tcPr>
            <w:tcW w:w="418" w:type="pct"/>
            <w:shd w:val="clear" w:color="auto" w:fill="auto"/>
            <w:noWrap/>
          </w:tcPr>
          <w:p w14:paraId="03BEAB73" w14:textId="77777777" w:rsidR="006127E1" w:rsidRPr="00E33BAB" w:rsidRDefault="006127E1" w:rsidP="006127E1">
            <w:pPr>
              <w:spacing w:after="0" w:line="240" w:lineRule="auto"/>
              <w:ind w:right="-86"/>
              <w:jc w:val="center"/>
              <w:rPr>
                <w:rFonts w:asciiTheme="majorHAnsi" w:eastAsia="Times New Roman" w:hAnsiTheme="majorHAnsi" w:cstheme="majorHAnsi"/>
                <w:b/>
                <w:bCs/>
                <w:sz w:val="18"/>
                <w:szCs w:val="18"/>
                <w:lang w:val="ro-MD"/>
              </w:rPr>
            </w:pPr>
            <w:r w:rsidRPr="00E33BAB">
              <w:rPr>
                <w:rFonts w:asciiTheme="majorHAnsi" w:hAnsiTheme="majorHAnsi" w:cstheme="majorHAnsi"/>
                <w:sz w:val="18"/>
                <w:szCs w:val="18"/>
                <w:lang w:val="ro-MD"/>
              </w:rPr>
              <w:t>2 949 540,00</w:t>
            </w:r>
          </w:p>
        </w:tc>
      </w:tr>
    </w:tbl>
    <w:p w14:paraId="4B938A2F" w14:textId="27F0679C" w:rsidR="006127E1" w:rsidRPr="00E33BAB" w:rsidRDefault="006127E1" w:rsidP="006127E1">
      <w:pPr>
        <w:tabs>
          <w:tab w:val="left" w:pos="6196"/>
        </w:tabs>
        <w:spacing w:after="0"/>
        <w:rPr>
          <w:rFonts w:asciiTheme="majorHAnsi" w:hAnsiTheme="majorHAnsi" w:cstheme="majorHAnsi"/>
          <w:i/>
          <w:sz w:val="20"/>
          <w:szCs w:val="20"/>
          <w:lang w:val="ro-MD"/>
        </w:rPr>
      </w:pPr>
      <w:r w:rsidRPr="00E33BAB">
        <w:rPr>
          <w:rFonts w:asciiTheme="majorHAnsi" w:hAnsiTheme="majorHAnsi" w:cstheme="majorHAnsi"/>
          <w:b/>
          <w:i/>
          <w:sz w:val="20"/>
          <w:szCs w:val="20"/>
          <w:lang w:val="ro-MD"/>
        </w:rPr>
        <w:t>Surs</w:t>
      </w:r>
      <w:r w:rsidR="00245DAF">
        <w:rPr>
          <w:rFonts w:asciiTheme="majorHAnsi" w:hAnsiTheme="majorHAnsi" w:cstheme="majorHAnsi"/>
          <w:b/>
          <w:i/>
          <w:sz w:val="20"/>
          <w:szCs w:val="20"/>
          <w:lang w:val="ro-MD"/>
        </w:rPr>
        <w:t>ă</w:t>
      </w:r>
      <w:r w:rsidRPr="00E33BAB">
        <w:rPr>
          <w:rFonts w:asciiTheme="majorHAnsi" w:hAnsiTheme="majorHAnsi" w:cstheme="majorHAnsi"/>
          <w:i/>
          <w:sz w:val="20"/>
          <w:szCs w:val="20"/>
          <w:lang w:val="ro-MD"/>
        </w:rPr>
        <w:t>: Rapoarte</w:t>
      </w:r>
      <w:r w:rsidR="00245DAF">
        <w:rPr>
          <w:rFonts w:asciiTheme="majorHAnsi" w:hAnsiTheme="majorHAnsi" w:cstheme="majorHAnsi"/>
          <w:i/>
          <w:sz w:val="20"/>
          <w:szCs w:val="20"/>
          <w:lang w:val="ro-MD"/>
        </w:rPr>
        <w:t>le</w:t>
      </w:r>
      <w:r w:rsidRPr="00E33BAB">
        <w:rPr>
          <w:rFonts w:asciiTheme="majorHAnsi" w:hAnsiTheme="majorHAnsi" w:cstheme="majorHAnsi"/>
          <w:i/>
          <w:sz w:val="20"/>
          <w:szCs w:val="20"/>
          <w:lang w:val="ro-MD"/>
        </w:rPr>
        <w:t xml:space="preserve"> privind Component</w:t>
      </w:r>
      <w:r w:rsidR="00245DAF">
        <w:rPr>
          <w:rFonts w:asciiTheme="majorHAnsi" w:hAnsiTheme="majorHAnsi" w:cstheme="majorHAnsi"/>
          <w:i/>
          <w:sz w:val="20"/>
          <w:szCs w:val="20"/>
          <w:lang w:val="ro-MD"/>
        </w:rPr>
        <w:t>a</w:t>
      </w:r>
      <w:r w:rsidRPr="00E33BAB">
        <w:rPr>
          <w:rFonts w:asciiTheme="majorHAnsi" w:hAnsiTheme="majorHAnsi" w:cstheme="majorHAnsi"/>
          <w:i/>
          <w:sz w:val="20"/>
          <w:szCs w:val="20"/>
          <w:lang w:val="ro-MD"/>
        </w:rPr>
        <w:t xml:space="preserve"> de Asistență Tehnică din cadrul </w:t>
      </w:r>
      <w:r w:rsidR="002F26E2" w:rsidRPr="00E33BAB">
        <w:rPr>
          <w:rFonts w:asciiTheme="majorHAnsi" w:hAnsiTheme="majorHAnsi" w:cstheme="majorHAnsi"/>
          <w:i/>
          <w:sz w:val="20"/>
          <w:szCs w:val="20"/>
          <w:lang w:val="ro-MD"/>
        </w:rPr>
        <w:t>Operațiunii</w:t>
      </w:r>
      <w:r w:rsidRPr="00E33BAB">
        <w:rPr>
          <w:rFonts w:asciiTheme="majorHAnsi" w:hAnsiTheme="majorHAnsi" w:cstheme="majorHAnsi"/>
          <w:i/>
          <w:sz w:val="20"/>
          <w:szCs w:val="20"/>
          <w:lang w:val="ro-MD"/>
        </w:rPr>
        <w:t xml:space="preserve"> „Modernizarea sectorului sănătății în Republica Moldova”</w:t>
      </w:r>
      <w:bookmarkStart w:id="17" w:name="_Toc513122876"/>
      <w:bookmarkStart w:id="18" w:name="_Toc10125925"/>
      <w:r w:rsidR="00245DAF">
        <w:rPr>
          <w:rFonts w:asciiTheme="majorHAnsi" w:hAnsiTheme="majorHAnsi" w:cstheme="majorHAnsi"/>
          <w:i/>
          <w:sz w:val="20"/>
          <w:szCs w:val="20"/>
          <w:lang w:val="ro-MD"/>
        </w:rPr>
        <w:t>.</w:t>
      </w:r>
    </w:p>
    <w:p w14:paraId="76291AB1" w14:textId="50BA7C0D" w:rsidR="006127E1" w:rsidRPr="00D5496A" w:rsidRDefault="006127E1" w:rsidP="006127E1">
      <w:pPr>
        <w:keepNext/>
        <w:keepLines/>
        <w:spacing w:before="240" w:after="0"/>
        <w:jc w:val="right"/>
        <w:outlineLvl w:val="0"/>
        <w:rPr>
          <w:rFonts w:asciiTheme="majorHAnsi" w:eastAsiaTheme="majorEastAsia" w:hAnsiTheme="majorHAnsi" w:cstheme="majorHAnsi"/>
          <w:b/>
          <w:sz w:val="24"/>
          <w:szCs w:val="24"/>
          <w:lang w:val="ro-MD"/>
        </w:rPr>
      </w:pPr>
      <w:r w:rsidRPr="00D5496A">
        <w:rPr>
          <w:rFonts w:asciiTheme="majorHAnsi" w:eastAsiaTheme="majorEastAsia" w:hAnsiTheme="majorHAnsi" w:cstheme="majorHAnsi"/>
          <w:b/>
          <w:sz w:val="24"/>
          <w:szCs w:val="24"/>
          <w:lang w:val="ro-MD"/>
        </w:rPr>
        <w:t>Anexa nr.</w:t>
      </w:r>
      <w:bookmarkEnd w:id="17"/>
      <w:bookmarkEnd w:id="18"/>
      <w:r w:rsidR="00FB2043" w:rsidRPr="00D5496A">
        <w:rPr>
          <w:rFonts w:asciiTheme="majorHAnsi" w:eastAsiaTheme="majorEastAsia" w:hAnsiTheme="majorHAnsi" w:cstheme="majorHAnsi"/>
          <w:b/>
          <w:sz w:val="24"/>
          <w:szCs w:val="24"/>
          <w:lang w:val="ro-MD"/>
        </w:rPr>
        <w:t>3</w:t>
      </w:r>
    </w:p>
    <w:p w14:paraId="21F1EE8A" w14:textId="6219D007" w:rsidR="006127E1" w:rsidRPr="00E33BAB" w:rsidRDefault="006127E1" w:rsidP="006127E1">
      <w:pPr>
        <w:spacing w:after="0"/>
        <w:jc w:val="center"/>
        <w:rPr>
          <w:rFonts w:asciiTheme="majorHAnsi" w:hAnsiTheme="majorHAnsi" w:cstheme="majorHAnsi"/>
          <w:b/>
          <w:i/>
          <w:sz w:val="24"/>
          <w:szCs w:val="24"/>
          <w:lang w:val="ro-MD"/>
        </w:rPr>
      </w:pPr>
      <w:r w:rsidRPr="00E33BAB">
        <w:rPr>
          <w:rFonts w:asciiTheme="majorHAnsi" w:hAnsiTheme="majorHAnsi" w:cstheme="majorHAnsi"/>
          <w:b/>
          <w:i/>
          <w:sz w:val="24"/>
          <w:szCs w:val="24"/>
          <w:lang w:val="ro-MD"/>
        </w:rPr>
        <w:t xml:space="preserve">Raportul privind executarea cheltuielilor din mijloacele Proiectului de Asistență Tehnică din cadrul </w:t>
      </w:r>
      <w:r w:rsidR="002F26E2" w:rsidRPr="00E33BAB">
        <w:rPr>
          <w:rFonts w:asciiTheme="majorHAnsi" w:hAnsiTheme="majorHAnsi" w:cstheme="majorHAnsi"/>
          <w:b/>
          <w:i/>
          <w:sz w:val="24"/>
          <w:szCs w:val="24"/>
          <w:lang w:val="ro-MD"/>
        </w:rPr>
        <w:t>Operațiunii</w:t>
      </w:r>
      <w:r w:rsidRPr="00E33BAB">
        <w:rPr>
          <w:rFonts w:asciiTheme="majorHAnsi" w:hAnsiTheme="majorHAnsi" w:cstheme="majorHAnsi"/>
          <w:b/>
          <w:i/>
          <w:sz w:val="24"/>
          <w:szCs w:val="24"/>
          <w:lang w:val="ro-MD"/>
        </w:rPr>
        <w:t xml:space="preserve"> „Modernizarea sectorului sănătății în Republica Moldova”, la </w:t>
      </w:r>
      <w:r w:rsidR="002F26E2" w:rsidRPr="00E33BAB">
        <w:rPr>
          <w:rFonts w:asciiTheme="majorHAnsi" w:hAnsiTheme="majorHAnsi" w:cstheme="majorHAnsi"/>
          <w:b/>
          <w:i/>
          <w:sz w:val="24"/>
          <w:szCs w:val="24"/>
          <w:lang w:val="ro-MD"/>
        </w:rPr>
        <w:t>situația</w:t>
      </w:r>
      <w:r w:rsidR="00245DAF">
        <w:rPr>
          <w:rFonts w:asciiTheme="majorHAnsi" w:hAnsiTheme="majorHAnsi" w:cstheme="majorHAnsi"/>
          <w:b/>
          <w:i/>
          <w:sz w:val="24"/>
          <w:szCs w:val="24"/>
          <w:lang w:val="ro-MD"/>
        </w:rPr>
        <w:t xml:space="preserve"> din</w:t>
      </w:r>
      <w:r w:rsidR="002F26E2" w:rsidRPr="00E33BAB">
        <w:rPr>
          <w:rFonts w:asciiTheme="majorHAnsi" w:hAnsiTheme="majorHAnsi" w:cstheme="majorHAnsi"/>
          <w:b/>
          <w:i/>
          <w:sz w:val="24"/>
          <w:szCs w:val="24"/>
          <w:lang w:val="ro-MD"/>
        </w:rPr>
        <w:t xml:space="preserve"> </w:t>
      </w:r>
      <w:r w:rsidRPr="00E33BAB">
        <w:rPr>
          <w:rFonts w:asciiTheme="majorHAnsi" w:hAnsiTheme="majorHAnsi" w:cstheme="majorHAnsi"/>
          <w:b/>
          <w:i/>
          <w:sz w:val="24"/>
          <w:szCs w:val="24"/>
          <w:lang w:val="ro-MD"/>
        </w:rPr>
        <w:t xml:space="preserve">31 decembrie 2020, </w:t>
      </w:r>
      <w:r w:rsidRPr="00D5496A">
        <w:rPr>
          <w:rFonts w:asciiTheme="majorHAnsi" w:hAnsiTheme="majorHAnsi" w:cstheme="majorHAnsi"/>
          <w:i/>
          <w:sz w:val="24"/>
          <w:szCs w:val="24"/>
          <w:lang w:val="ro-MD"/>
        </w:rPr>
        <w:t>dolari SUA</w:t>
      </w:r>
    </w:p>
    <w:tbl>
      <w:tblPr>
        <w:tblW w:w="14736" w:type="dxa"/>
        <w:tblInd w:w="-725" w:type="dxa"/>
        <w:tblLook w:val="04A0" w:firstRow="1" w:lastRow="0" w:firstColumn="1" w:lastColumn="0" w:noHBand="0" w:noVBand="1"/>
      </w:tblPr>
      <w:tblGrid>
        <w:gridCol w:w="3414"/>
        <w:gridCol w:w="1559"/>
        <w:gridCol w:w="1701"/>
        <w:gridCol w:w="1559"/>
        <w:gridCol w:w="1701"/>
        <w:gridCol w:w="1701"/>
        <w:gridCol w:w="1843"/>
        <w:gridCol w:w="1258"/>
      </w:tblGrid>
      <w:tr w:rsidR="006127E1" w:rsidRPr="00E33BAB" w14:paraId="1C66CE1E" w14:textId="77777777" w:rsidTr="00F37D59">
        <w:trPr>
          <w:trHeight w:val="264"/>
        </w:trPr>
        <w:tc>
          <w:tcPr>
            <w:tcW w:w="34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8EFE2" w14:textId="77777777" w:rsidR="006127E1" w:rsidRPr="00E33BAB" w:rsidRDefault="006127E1" w:rsidP="006127E1">
            <w:pPr>
              <w:spacing w:after="0" w:line="240" w:lineRule="auto"/>
              <w:ind w:hanging="18"/>
              <w:jc w:val="center"/>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bCs/>
                <w:sz w:val="18"/>
                <w:szCs w:val="18"/>
                <w:lang w:val="ro-MD"/>
              </w:rPr>
              <w:t>Componenta, subcomponenta și activitatea Proiectului</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F7A371"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bCs/>
                <w:sz w:val="18"/>
                <w:szCs w:val="18"/>
                <w:lang w:val="ro-MD"/>
              </w:rPr>
              <w:t>Actual executat</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4606F0"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bCs/>
                <w:sz w:val="18"/>
                <w:szCs w:val="18"/>
                <w:lang w:val="ro-MD"/>
              </w:rPr>
              <w:t xml:space="preserve">Planificat </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84D358"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bCs/>
                <w:sz w:val="18"/>
                <w:szCs w:val="18"/>
                <w:lang w:val="ro-MD"/>
              </w:rPr>
              <w:t>Variație</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15ACAC9D" w14:textId="77777777" w:rsidR="006127E1" w:rsidRPr="00E33BAB" w:rsidRDefault="006127E1" w:rsidP="006127E1">
            <w:pPr>
              <w:spacing w:after="0" w:line="240" w:lineRule="auto"/>
              <w:jc w:val="center"/>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bCs/>
                <w:sz w:val="18"/>
                <w:szCs w:val="18"/>
                <w:lang w:val="ro-MD"/>
              </w:rPr>
              <w:t>PAD</w:t>
            </w:r>
          </w:p>
        </w:tc>
      </w:tr>
      <w:tr w:rsidR="00F37D59" w:rsidRPr="00E33BAB" w14:paraId="175EEC45" w14:textId="77777777" w:rsidTr="00F37D59">
        <w:trPr>
          <w:trHeight w:val="452"/>
        </w:trPr>
        <w:tc>
          <w:tcPr>
            <w:tcW w:w="3414" w:type="dxa"/>
            <w:vMerge/>
            <w:tcBorders>
              <w:top w:val="single" w:sz="4" w:space="0" w:color="auto"/>
              <w:left w:val="single" w:sz="4" w:space="0" w:color="auto"/>
              <w:bottom w:val="single" w:sz="4" w:space="0" w:color="auto"/>
              <w:right w:val="single" w:sz="4" w:space="0" w:color="auto"/>
            </w:tcBorders>
            <w:vAlign w:val="center"/>
            <w:hideMark/>
          </w:tcPr>
          <w:p w14:paraId="2EFE0887" w14:textId="77777777" w:rsidR="00F37D59" w:rsidRPr="00E33BAB" w:rsidRDefault="00F37D59" w:rsidP="008B6F44">
            <w:pPr>
              <w:spacing w:after="0" w:line="240" w:lineRule="auto"/>
              <w:jc w:val="center"/>
              <w:rPr>
                <w:rFonts w:asciiTheme="majorHAnsi" w:eastAsia="Times New Roman" w:hAnsiTheme="majorHAnsi" w:cstheme="majorHAnsi"/>
                <w:b/>
                <w:bCs/>
                <w:sz w:val="18"/>
                <w:szCs w:val="18"/>
                <w:lang w:val="ro-MD"/>
              </w:rPr>
            </w:pPr>
          </w:p>
        </w:tc>
        <w:tc>
          <w:tcPr>
            <w:tcW w:w="1559" w:type="dxa"/>
            <w:tcBorders>
              <w:top w:val="nil"/>
              <w:left w:val="nil"/>
              <w:bottom w:val="single" w:sz="4" w:space="0" w:color="auto"/>
              <w:right w:val="single" w:sz="4" w:space="0" w:color="auto"/>
            </w:tcBorders>
            <w:shd w:val="clear" w:color="auto" w:fill="auto"/>
            <w:vAlign w:val="center"/>
          </w:tcPr>
          <w:p w14:paraId="43A4D408" w14:textId="694F591A" w:rsidR="00F37D59" w:rsidRPr="00E33BAB" w:rsidRDefault="00F37D59" w:rsidP="008B6F44">
            <w:pPr>
              <w:spacing w:after="0" w:line="240" w:lineRule="auto"/>
              <w:jc w:val="center"/>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bCs/>
                <w:sz w:val="18"/>
                <w:szCs w:val="18"/>
                <w:lang w:val="ro-MD"/>
              </w:rPr>
              <w:t>de la 01.01.2020</w:t>
            </w:r>
            <w:r w:rsidR="00245DAF">
              <w:rPr>
                <w:rFonts w:asciiTheme="majorHAnsi" w:eastAsia="Times New Roman" w:hAnsiTheme="majorHAnsi" w:cstheme="majorHAnsi"/>
                <w:b/>
                <w:bCs/>
                <w:sz w:val="18"/>
                <w:szCs w:val="18"/>
                <w:lang w:val="ro-MD"/>
              </w:rPr>
              <w:t xml:space="preserve"> </w:t>
            </w:r>
            <w:r w:rsidRPr="00E33BAB">
              <w:rPr>
                <w:rFonts w:asciiTheme="majorHAnsi" w:eastAsia="Times New Roman" w:hAnsiTheme="majorHAnsi" w:cstheme="majorHAnsi"/>
                <w:b/>
                <w:bCs/>
                <w:sz w:val="18"/>
                <w:szCs w:val="18"/>
                <w:lang w:val="ro-MD"/>
              </w:rPr>
              <w:t>- 31.12.2020</w:t>
            </w:r>
          </w:p>
        </w:tc>
        <w:tc>
          <w:tcPr>
            <w:tcW w:w="1701" w:type="dxa"/>
            <w:tcBorders>
              <w:top w:val="nil"/>
              <w:left w:val="nil"/>
              <w:bottom w:val="single" w:sz="4" w:space="0" w:color="auto"/>
              <w:right w:val="single" w:sz="4" w:space="0" w:color="auto"/>
            </w:tcBorders>
            <w:shd w:val="clear" w:color="auto" w:fill="auto"/>
            <w:vAlign w:val="center"/>
            <w:hideMark/>
          </w:tcPr>
          <w:p w14:paraId="256705E2" w14:textId="52DCDC9D" w:rsidR="00F37D59" w:rsidRPr="00E33BAB" w:rsidRDefault="00F37D59" w:rsidP="008B6F44">
            <w:pPr>
              <w:spacing w:after="0" w:line="240" w:lineRule="auto"/>
              <w:jc w:val="center"/>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bCs/>
                <w:sz w:val="18"/>
                <w:szCs w:val="18"/>
                <w:lang w:val="ro-MD"/>
              </w:rPr>
              <w:t>cumulativ (total)  până la 31.12.2020</w:t>
            </w:r>
          </w:p>
        </w:tc>
        <w:tc>
          <w:tcPr>
            <w:tcW w:w="1559" w:type="dxa"/>
            <w:tcBorders>
              <w:top w:val="nil"/>
              <w:left w:val="nil"/>
              <w:bottom w:val="single" w:sz="4" w:space="0" w:color="auto"/>
              <w:right w:val="single" w:sz="4" w:space="0" w:color="auto"/>
            </w:tcBorders>
            <w:shd w:val="clear" w:color="auto" w:fill="auto"/>
            <w:vAlign w:val="center"/>
          </w:tcPr>
          <w:p w14:paraId="0EBCBBB2" w14:textId="17CE9787" w:rsidR="00F37D59" w:rsidRPr="00E33BAB" w:rsidRDefault="00F37D59" w:rsidP="008B6F44">
            <w:pPr>
              <w:spacing w:after="0" w:line="240" w:lineRule="auto"/>
              <w:jc w:val="center"/>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bCs/>
                <w:sz w:val="18"/>
                <w:szCs w:val="18"/>
                <w:lang w:val="ro-MD"/>
              </w:rPr>
              <w:t>de la 01.01.2020</w:t>
            </w:r>
            <w:r w:rsidR="00245DAF">
              <w:rPr>
                <w:rFonts w:asciiTheme="majorHAnsi" w:eastAsia="Times New Roman" w:hAnsiTheme="majorHAnsi" w:cstheme="majorHAnsi"/>
                <w:b/>
                <w:bCs/>
                <w:sz w:val="18"/>
                <w:szCs w:val="18"/>
                <w:lang w:val="ro-MD"/>
              </w:rPr>
              <w:t xml:space="preserve"> </w:t>
            </w:r>
            <w:r w:rsidRPr="00E33BAB">
              <w:rPr>
                <w:rFonts w:asciiTheme="majorHAnsi" w:eastAsia="Times New Roman" w:hAnsiTheme="majorHAnsi" w:cstheme="majorHAnsi"/>
                <w:b/>
                <w:bCs/>
                <w:sz w:val="18"/>
                <w:szCs w:val="18"/>
                <w:lang w:val="ro-MD"/>
              </w:rPr>
              <w:t>- 31.12.2020</w:t>
            </w:r>
          </w:p>
        </w:tc>
        <w:tc>
          <w:tcPr>
            <w:tcW w:w="1701" w:type="dxa"/>
            <w:tcBorders>
              <w:top w:val="nil"/>
              <w:left w:val="nil"/>
              <w:bottom w:val="single" w:sz="4" w:space="0" w:color="auto"/>
              <w:right w:val="single" w:sz="4" w:space="0" w:color="auto"/>
            </w:tcBorders>
            <w:shd w:val="clear" w:color="auto" w:fill="auto"/>
            <w:vAlign w:val="center"/>
            <w:hideMark/>
          </w:tcPr>
          <w:p w14:paraId="797959ED" w14:textId="4EDD7A4F" w:rsidR="00F37D59" w:rsidRPr="00E33BAB" w:rsidRDefault="00F37D59" w:rsidP="008B6F44">
            <w:pPr>
              <w:spacing w:after="0" w:line="240" w:lineRule="auto"/>
              <w:jc w:val="center"/>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bCs/>
                <w:sz w:val="18"/>
                <w:szCs w:val="18"/>
                <w:lang w:val="ro-MD"/>
              </w:rPr>
              <w:t>cumulativ (total)  până la 31.12.2020</w:t>
            </w:r>
          </w:p>
        </w:tc>
        <w:tc>
          <w:tcPr>
            <w:tcW w:w="1701" w:type="dxa"/>
            <w:tcBorders>
              <w:top w:val="nil"/>
              <w:left w:val="nil"/>
              <w:bottom w:val="single" w:sz="4" w:space="0" w:color="auto"/>
              <w:right w:val="single" w:sz="4" w:space="0" w:color="auto"/>
            </w:tcBorders>
            <w:shd w:val="clear" w:color="auto" w:fill="auto"/>
            <w:vAlign w:val="center"/>
          </w:tcPr>
          <w:p w14:paraId="0CF8D48C" w14:textId="235C2D0D" w:rsidR="00F37D59" w:rsidRPr="00E33BAB" w:rsidRDefault="00F37D59" w:rsidP="008B6F44">
            <w:pPr>
              <w:spacing w:after="0" w:line="240" w:lineRule="auto"/>
              <w:jc w:val="center"/>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bCs/>
                <w:sz w:val="18"/>
                <w:szCs w:val="18"/>
                <w:lang w:val="ro-MD"/>
              </w:rPr>
              <w:t>de la 01.01.2020</w:t>
            </w:r>
            <w:r w:rsidR="00245DAF">
              <w:rPr>
                <w:rFonts w:asciiTheme="majorHAnsi" w:eastAsia="Times New Roman" w:hAnsiTheme="majorHAnsi" w:cstheme="majorHAnsi"/>
                <w:b/>
                <w:bCs/>
                <w:sz w:val="18"/>
                <w:szCs w:val="18"/>
                <w:lang w:val="ro-MD"/>
              </w:rPr>
              <w:t xml:space="preserve"> </w:t>
            </w:r>
            <w:r w:rsidRPr="00E33BAB">
              <w:rPr>
                <w:rFonts w:asciiTheme="majorHAnsi" w:eastAsia="Times New Roman" w:hAnsiTheme="majorHAnsi" w:cstheme="majorHAnsi"/>
                <w:b/>
                <w:bCs/>
                <w:sz w:val="18"/>
                <w:szCs w:val="18"/>
                <w:lang w:val="ro-MD"/>
              </w:rPr>
              <w:t>- 31.12.2020</w:t>
            </w:r>
          </w:p>
        </w:tc>
        <w:tc>
          <w:tcPr>
            <w:tcW w:w="1843" w:type="dxa"/>
            <w:tcBorders>
              <w:top w:val="nil"/>
              <w:left w:val="nil"/>
              <w:bottom w:val="single" w:sz="4" w:space="0" w:color="auto"/>
              <w:right w:val="single" w:sz="4" w:space="0" w:color="auto"/>
            </w:tcBorders>
            <w:shd w:val="clear" w:color="auto" w:fill="auto"/>
            <w:vAlign w:val="center"/>
            <w:hideMark/>
          </w:tcPr>
          <w:p w14:paraId="40FEC43E" w14:textId="774E3951" w:rsidR="00F37D59" w:rsidRPr="00E33BAB" w:rsidRDefault="00F37D59" w:rsidP="008B6F44">
            <w:pPr>
              <w:spacing w:after="0" w:line="240" w:lineRule="auto"/>
              <w:jc w:val="center"/>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bCs/>
                <w:sz w:val="18"/>
                <w:szCs w:val="18"/>
                <w:lang w:val="ro-MD"/>
              </w:rPr>
              <w:t>cumulativ (total)  până la 31.12.2020</w:t>
            </w:r>
          </w:p>
        </w:tc>
        <w:tc>
          <w:tcPr>
            <w:tcW w:w="1258" w:type="dxa"/>
            <w:tcBorders>
              <w:top w:val="nil"/>
              <w:left w:val="nil"/>
              <w:bottom w:val="single" w:sz="4" w:space="0" w:color="auto"/>
              <w:right w:val="single" w:sz="4" w:space="0" w:color="auto"/>
            </w:tcBorders>
            <w:shd w:val="clear" w:color="auto" w:fill="auto"/>
            <w:vAlign w:val="center"/>
            <w:hideMark/>
          </w:tcPr>
          <w:p w14:paraId="08BB6002" w14:textId="598BFA41" w:rsidR="00F37D59" w:rsidRPr="00E33BAB" w:rsidRDefault="00F37D59" w:rsidP="008B6F44">
            <w:pPr>
              <w:spacing w:after="0" w:line="240" w:lineRule="auto"/>
              <w:jc w:val="center"/>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bCs/>
                <w:sz w:val="18"/>
                <w:szCs w:val="18"/>
                <w:lang w:val="ro-MD"/>
              </w:rPr>
              <w:t xml:space="preserve">durata de viață a </w:t>
            </w:r>
            <w:r w:rsidR="00245DAF">
              <w:rPr>
                <w:rFonts w:asciiTheme="majorHAnsi" w:eastAsia="Times New Roman" w:hAnsiTheme="majorHAnsi" w:cstheme="majorHAnsi"/>
                <w:b/>
                <w:bCs/>
                <w:sz w:val="18"/>
                <w:szCs w:val="18"/>
                <w:lang w:val="ro-MD"/>
              </w:rPr>
              <w:t>P</w:t>
            </w:r>
            <w:r w:rsidRPr="00E33BAB">
              <w:rPr>
                <w:rFonts w:asciiTheme="majorHAnsi" w:eastAsia="Times New Roman" w:hAnsiTheme="majorHAnsi" w:cstheme="majorHAnsi"/>
                <w:b/>
                <w:bCs/>
                <w:sz w:val="18"/>
                <w:szCs w:val="18"/>
                <w:lang w:val="ro-MD"/>
              </w:rPr>
              <w:t>roiectului</w:t>
            </w:r>
          </w:p>
        </w:tc>
      </w:tr>
      <w:tr w:rsidR="00F37D59" w:rsidRPr="00E33BAB" w14:paraId="6DAC3B97" w14:textId="77777777" w:rsidTr="00F37D59">
        <w:trPr>
          <w:trHeight w:val="190"/>
        </w:trPr>
        <w:tc>
          <w:tcPr>
            <w:tcW w:w="3414" w:type="dxa"/>
            <w:tcBorders>
              <w:top w:val="nil"/>
              <w:left w:val="single" w:sz="4" w:space="0" w:color="auto"/>
              <w:bottom w:val="single" w:sz="4" w:space="0" w:color="auto"/>
              <w:right w:val="single" w:sz="4" w:space="0" w:color="auto"/>
            </w:tcBorders>
            <w:shd w:val="clear" w:color="auto" w:fill="auto"/>
            <w:noWrap/>
            <w:vAlign w:val="center"/>
            <w:hideMark/>
          </w:tcPr>
          <w:p w14:paraId="2F9AC7BE" w14:textId="77777777" w:rsidR="00F37D59" w:rsidRPr="00E33BAB" w:rsidRDefault="00F37D59" w:rsidP="006127E1">
            <w:pPr>
              <w:spacing w:after="0" w:line="276" w:lineRule="auto"/>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bCs/>
                <w:sz w:val="18"/>
                <w:szCs w:val="18"/>
                <w:lang w:val="ro-MD"/>
              </w:rPr>
              <w:t>1. Componenta privind asistența tehnică</w:t>
            </w:r>
          </w:p>
        </w:tc>
        <w:tc>
          <w:tcPr>
            <w:tcW w:w="1559" w:type="dxa"/>
            <w:tcBorders>
              <w:top w:val="nil"/>
              <w:left w:val="nil"/>
              <w:bottom w:val="single" w:sz="4" w:space="0" w:color="auto"/>
              <w:right w:val="single" w:sz="4" w:space="0" w:color="auto"/>
            </w:tcBorders>
            <w:shd w:val="clear" w:color="auto" w:fill="auto"/>
            <w:noWrap/>
            <w:vAlign w:val="center"/>
          </w:tcPr>
          <w:p w14:paraId="380AAD43" w14:textId="77777777" w:rsidR="00F37D59" w:rsidRPr="00E33BAB" w:rsidRDefault="00F37D59" w:rsidP="006127E1">
            <w:pPr>
              <w:spacing w:after="0" w:line="240" w:lineRule="auto"/>
              <w:jc w:val="right"/>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w:t>
            </w:r>
          </w:p>
        </w:tc>
        <w:tc>
          <w:tcPr>
            <w:tcW w:w="1701" w:type="dxa"/>
            <w:tcBorders>
              <w:top w:val="nil"/>
              <w:left w:val="nil"/>
              <w:bottom w:val="single" w:sz="4" w:space="0" w:color="auto"/>
              <w:right w:val="single" w:sz="4" w:space="0" w:color="auto"/>
            </w:tcBorders>
            <w:shd w:val="clear" w:color="auto" w:fill="auto"/>
            <w:noWrap/>
            <w:vAlign w:val="center"/>
            <w:hideMark/>
          </w:tcPr>
          <w:p w14:paraId="0CA5B790" w14:textId="77777777" w:rsidR="00F37D59" w:rsidRPr="00E33BAB" w:rsidRDefault="00F37D59" w:rsidP="006127E1">
            <w:pPr>
              <w:spacing w:after="0" w:line="240" w:lineRule="auto"/>
              <w:jc w:val="right"/>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w:t>
            </w:r>
          </w:p>
        </w:tc>
        <w:tc>
          <w:tcPr>
            <w:tcW w:w="1559" w:type="dxa"/>
            <w:tcBorders>
              <w:top w:val="nil"/>
              <w:left w:val="nil"/>
              <w:bottom w:val="single" w:sz="4" w:space="0" w:color="auto"/>
              <w:right w:val="single" w:sz="4" w:space="0" w:color="auto"/>
            </w:tcBorders>
            <w:shd w:val="clear" w:color="auto" w:fill="auto"/>
            <w:noWrap/>
            <w:vAlign w:val="center"/>
          </w:tcPr>
          <w:p w14:paraId="5D520631" w14:textId="77777777" w:rsidR="00F37D59" w:rsidRPr="00E33BAB" w:rsidRDefault="00F37D59" w:rsidP="006127E1">
            <w:pPr>
              <w:spacing w:after="0" w:line="240" w:lineRule="auto"/>
              <w:jc w:val="right"/>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w:t>
            </w:r>
          </w:p>
        </w:tc>
        <w:tc>
          <w:tcPr>
            <w:tcW w:w="1701" w:type="dxa"/>
            <w:tcBorders>
              <w:top w:val="nil"/>
              <w:left w:val="nil"/>
              <w:bottom w:val="single" w:sz="4" w:space="0" w:color="auto"/>
              <w:right w:val="single" w:sz="4" w:space="0" w:color="auto"/>
            </w:tcBorders>
            <w:shd w:val="clear" w:color="auto" w:fill="auto"/>
            <w:noWrap/>
            <w:vAlign w:val="center"/>
            <w:hideMark/>
          </w:tcPr>
          <w:p w14:paraId="2EC45E4B" w14:textId="77777777" w:rsidR="00F37D59" w:rsidRPr="00E33BAB" w:rsidRDefault="00F37D59" w:rsidP="006127E1">
            <w:pPr>
              <w:spacing w:after="0" w:line="240" w:lineRule="auto"/>
              <w:jc w:val="right"/>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w:t>
            </w:r>
          </w:p>
        </w:tc>
        <w:tc>
          <w:tcPr>
            <w:tcW w:w="1701" w:type="dxa"/>
            <w:tcBorders>
              <w:top w:val="nil"/>
              <w:left w:val="nil"/>
              <w:bottom w:val="single" w:sz="4" w:space="0" w:color="auto"/>
              <w:right w:val="single" w:sz="4" w:space="0" w:color="auto"/>
            </w:tcBorders>
            <w:shd w:val="clear" w:color="auto" w:fill="auto"/>
            <w:noWrap/>
            <w:vAlign w:val="center"/>
          </w:tcPr>
          <w:p w14:paraId="5708469B" w14:textId="77777777" w:rsidR="00F37D59" w:rsidRPr="00E33BAB" w:rsidRDefault="00F37D59" w:rsidP="006127E1">
            <w:pPr>
              <w:spacing w:after="0" w:line="240" w:lineRule="auto"/>
              <w:jc w:val="right"/>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w:t>
            </w:r>
          </w:p>
        </w:tc>
        <w:tc>
          <w:tcPr>
            <w:tcW w:w="1843" w:type="dxa"/>
            <w:tcBorders>
              <w:top w:val="nil"/>
              <w:left w:val="nil"/>
              <w:bottom w:val="single" w:sz="4" w:space="0" w:color="auto"/>
              <w:right w:val="single" w:sz="4" w:space="0" w:color="auto"/>
            </w:tcBorders>
            <w:shd w:val="clear" w:color="auto" w:fill="auto"/>
            <w:noWrap/>
            <w:vAlign w:val="center"/>
            <w:hideMark/>
          </w:tcPr>
          <w:p w14:paraId="73899627" w14:textId="77777777" w:rsidR="00F37D59" w:rsidRPr="00E33BAB" w:rsidRDefault="00F37D59" w:rsidP="006127E1">
            <w:pPr>
              <w:spacing w:after="0" w:line="240" w:lineRule="auto"/>
              <w:jc w:val="right"/>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w:t>
            </w:r>
          </w:p>
        </w:tc>
        <w:tc>
          <w:tcPr>
            <w:tcW w:w="1258" w:type="dxa"/>
            <w:tcBorders>
              <w:top w:val="nil"/>
              <w:left w:val="nil"/>
              <w:bottom w:val="single" w:sz="4" w:space="0" w:color="auto"/>
              <w:right w:val="single" w:sz="4" w:space="0" w:color="auto"/>
            </w:tcBorders>
            <w:shd w:val="clear" w:color="auto" w:fill="auto"/>
            <w:noWrap/>
            <w:vAlign w:val="center"/>
            <w:hideMark/>
          </w:tcPr>
          <w:p w14:paraId="00523AF3" w14:textId="77777777" w:rsidR="00F37D59" w:rsidRPr="00E33BAB" w:rsidRDefault="00F37D59" w:rsidP="006127E1">
            <w:pPr>
              <w:spacing w:after="0" w:line="240" w:lineRule="auto"/>
              <w:jc w:val="right"/>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w:t>
            </w:r>
          </w:p>
        </w:tc>
      </w:tr>
      <w:tr w:rsidR="00F37D59" w:rsidRPr="00E33BAB" w14:paraId="5340762E" w14:textId="77777777" w:rsidTr="00F37D59">
        <w:trPr>
          <w:trHeight w:val="236"/>
        </w:trPr>
        <w:tc>
          <w:tcPr>
            <w:tcW w:w="3414" w:type="dxa"/>
            <w:tcBorders>
              <w:top w:val="nil"/>
              <w:left w:val="single" w:sz="4" w:space="0" w:color="auto"/>
              <w:bottom w:val="single" w:sz="4" w:space="0" w:color="auto"/>
              <w:right w:val="single" w:sz="4" w:space="0" w:color="auto"/>
            </w:tcBorders>
            <w:shd w:val="clear" w:color="auto" w:fill="auto"/>
            <w:noWrap/>
            <w:vAlign w:val="center"/>
            <w:hideMark/>
          </w:tcPr>
          <w:p w14:paraId="0376FC5B" w14:textId="77777777" w:rsidR="00F37D59" w:rsidRPr="00E33BAB" w:rsidRDefault="00F37D59" w:rsidP="006127E1">
            <w:pPr>
              <w:spacing w:after="0" w:line="276" w:lineRule="auto"/>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bCs/>
                <w:sz w:val="18"/>
                <w:szCs w:val="18"/>
                <w:lang w:val="ro-MD"/>
              </w:rPr>
              <w:t>1.</w:t>
            </w:r>
            <w:r w:rsidRPr="00E33BAB">
              <w:rPr>
                <w:rFonts w:asciiTheme="majorHAnsi" w:hAnsiTheme="majorHAnsi" w:cstheme="majorHAnsi"/>
                <w:sz w:val="18"/>
                <w:szCs w:val="18"/>
                <w:lang w:val="ro-MD"/>
              </w:rPr>
              <w:t xml:space="preserve"> </w:t>
            </w:r>
            <w:r w:rsidRPr="00E33BAB">
              <w:rPr>
                <w:rFonts w:asciiTheme="majorHAnsi" w:eastAsia="Times New Roman" w:hAnsiTheme="majorHAnsi" w:cstheme="majorHAnsi"/>
                <w:b/>
                <w:bCs/>
                <w:sz w:val="18"/>
                <w:szCs w:val="18"/>
                <w:lang w:val="ro-MD"/>
              </w:rPr>
              <w:t>Activitățile privind asistența tehnică</w:t>
            </w:r>
          </w:p>
        </w:tc>
        <w:tc>
          <w:tcPr>
            <w:tcW w:w="1559" w:type="dxa"/>
            <w:tcBorders>
              <w:top w:val="nil"/>
              <w:left w:val="nil"/>
              <w:bottom w:val="single" w:sz="4" w:space="0" w:color="auto"/>
              <w:right w:val="single" w:sz="4" w:space="0" w:color="auto"/>
            </w:tcBorders>
            <w:shd w:val="clear" w:color="auto" w:fill="auto"/>
            <w:noWrap/>
            <w:vAlign w:val="center"/>
          </w:tcPr>
          <w:p w14:paraId="732D5993" w14:textId="77777777" w:rsidR="00F37D59" w:rsidRPr="00E33BAB" w:rsidRDefault="00F37D59" w:rsidP="006127E1">
            <w:pPr>
              <w:spacing w:after="0" w:line="240" w:lineRule="auto"/>
              <w:jc w:val="right"/>
              <w:rPr>
                <w:rFonts w:asciiTheme="majorHAnsi" w:eastAsia="Times New Roman" w:hAnsiTheme="majorHAnsi" w:cstheme="majorHAnsi"/>
                <w:sz w:val="18"/>
                <w:szCs w:val="18"/>
                <w:lang w:val="ro-MD"/>
              </w:rPr>
            </w:pPr>
          </w:p>
        </w:tc>
        <w:tc>
          <w:tcPr>
            <w:tcW w:w="1701" w:type="dxa"/>
            <w:tcBorders>
              <w:top w:val="nil"/>
              <w:left w:val="nil"/>
              <w:bottom w:val="single" w:sz="4" w:space="0" w:color="auto"/>
              <w:right w:val="single" w:sz="4" w:space="0" w:color="auto"/>
            </w:tcBorders>
            <w:shd w:val="clear" w:color="auto" w:fill="auto"/>
            <w:noWrap/>
            <w:vAlign w:val="center"/>
          </w:tcPr>
          <w:p w14:paraId="2DD24993" w14:textId="77777777" w:rsidR="00F37D59" w:rsidRPr="00E33BAB" w:rsidRDefault="00F37D59" w:rsidP="006127E1">
            <w:pPr>
              <w:spacing w:after="0" w:line="240" w:lineRule="auto"/>
              <w:jc w:val="right"/>
              <w:rPr>
                <w:rFonts w:asciiTheme="majorHAnsi" w:eastAsia="Times New Roman" w:hAnsiTheme="majorHAnsi" w:cstheme="majorHAnsi"/>
                <w:sz w:val="18"/>
                <w:szCs w:val="18"/>
                <w:lang w:val="ro-MD"/>
              </w:rPr>
            </w:pPr>
          </w:p>
        </w:tc>
        <w:tc>
          <w:tcPr>
            <w:tcW w:w="1559" w:type="dxa"/>
            <w:tcBorders>
              <w:top w:val="nil"/>
              <w:left w:val="nil"/>
              <w:bottom w:val="single" w:sz="4" w:space="0" w:color="auto"/>
              <w:right w:val="single" w:sz="4" w:space="0" w:color="auto"/>
            </w:tcBorders>
            <w:shd w:val="clear" w:color="auto" w:fill="auto"/>
            <w:noWrap/>
            <w:vAlign w:val="center"/>
          </w:tcPr>
          <w:p w14:paraId="53288137" w14:textId="77777777" w:rsidR="00F37D59" w:rsidRPr="00E33BAB" w:rsidRDefault="00F37D59" w:rsidP="006127E1">
            <w:pPr>
              <w:spacing w:after="0" w:line="240" w:lineRule="auto"/>
              <w:jc w:val="right"/>
              <w:rPr>
                <w:rFonts w:asciiTheme="majorHAnsi" w:eastAsia="Times New Roman" w:hAnsiTheme="majorHAnsi" w:cstheme="majorHAnsi"/>
                <w:sz w:val="18"/>
                <w:szCs w:val="18"/>
                <w:lang w:val="ro-MD"/>
              </w:rPr>
            </w:pPr>
          </w:p>
        </w:tc>
        <w:tc>
          <w:tcPr>
            <w:tcW w:w="1701" w:type="dxa"/>
            <w:tcBorders>
              <w:top w:val="nil"/>
              <w:left w:val="nil"/>
              <w:bottom w:val="single" w:sz="4" w:space="0" w:color="auto"/>
              <w:right w:val="single" w:sz="4" w:space="0" w:color="auto"/>
            </w:tcBorders>
            <w:shd w:val="clear" w:color="auto" w:fill="auto"/>
            <w:noWrap/>
            <w:vAlign w:val="center"/>
          </w:tcPr>
          <w:p w14:paraId="53F1F904" w14:textId="77777777" w:rsidR="00F37D59" w:rsidRPr="00E33BAB" w:rsidRDefault="00F37D59" w:rsidP="006127E1">
            <w:pPr>
              <w:spacing w:after="0" w:line="240" w:lineRule="auto"/>
              <w:jc w:val="right"/>
              <w:rPr>
                <w:rFonts w:asciiTheme="majorHAnsi" w:eastAsia="Times New Roman" w:hAnsiTheme="majorHAnsi" w:cstheme="majorHAnsi"/>
                <w:sz w:val="18"/>
                <w:szCs w:val="18"/>
                <w:lang w:val="ro-MD"/>
              </w:rPr>
            </w:pPr>
          </w:p>
        </w:tc>
        <w:tc>
          <w:tcPr>
            <w:tcW w:w="1701" w:type="dxa"/>
            <w:tcBorders>
              <w:top w:val="nil"/>
              <w:left w:val="nil"/>
              <w:bottom w:val="single" w:sz="4" w:space="0" w:color="auto"/>
              <w:right w:val="single" w:sz="4" w:space="0" w:color="auto"/>
            </w:tcBorders>
            <w:shd w:val="clear" w:color="auto" w:fill="auto"/>
            <w:noWrap/>
            <w:vAlign w:val="center"/>
          </w:tcPr>
          <w:p w14:paraId="42A1F9A2" w14:textId="77777777" w:rsidR="00F37D59" w:rsidRPr="00E33BAB" w:rsidRDefault="00F37D59" w:rsidP="006127E1">
            <w:pPr>
              <w:spacing w:after="0" w:line="240" w:lineRule="auto"/>
              <w:jc w:val="right"/>
              <w:rPr>
                <w:rFonts w:asciiTheme="majorHAnsi" w:eastAsia="Times New Roman" w:hAnsiTheme="majorHAnsi" w:cstheme="majorHAnsi"/>
                <w:sz w:val="18"/>
                <w:szCs w:val="18"/>
                <w:lang w:val="ro-MD"/>
              </w:rPr>
            </w:pPr>
          </w:p>
        </w:tc>
        <w:tc>
          <w:tcPr>
            <w:tcW w:w="1843" w:type="dxa"/>
            <w:tcBorders>
              <w:top w:val="nil"/>
              <w:left w:val="nil"/>
              <w:bottom w:val="single" w:sz="4" w:space="0" w:color="auto"/>
              <w:right w:val="single" w:sz="4" w:space="0" w:color="auto"/>
            </w:tcBorders>
            <w:shd w:val="clear" w:color="auto" w:fill="auto"/>
            <w:noWrap/>
            <w:vAlign w:val="center"/>
          </w:tcPr>
          <w:p w14:paraId="5AF29F0E" w14:textId="77777777" w:rsidR="00F37D59" w:rsidRPr="00E33BAB" w:rsidRDefault="00F37D59" w:rsidP="006127E1">
            <w:pPr>
              <w:spacing w:after="0" w:line="240" w:lineRule="auto"/>
              <w:jc w:val="right"/>
              <w:rPr>
                <w:rFonts w:asciiTheme="majorHAnsi" w:eastAsia="Times New Roman" w:hAnsiTheme="majorHAnsi" w:cstheme="majorHAnsi"/>
                <w:sz w:val="18"/>
                <w:szCs w:val="18"/>
                <w:lang w:val="ro-MD"/>
              </w:rPr>
            </w:pPr>
          </w:p>
        </w:tc>
        <w:tc>
          <w:tcPr>
            <w:tcW w:w="1258" w:type="dxa"/>
            <w:tcBorders>
              <w:top w:val="nil"/>
              <w:left w:val="nil"/>
              <w:bottom w:val="single" w:sz="4" w:space="0" w:color="auto"/>
              <w:right w:val="single" w:sz="4" w:space="0" w:color="auto"/>
            </w:tcBorders>
            <w:shd w:val="clear" w:color="auto" w:fill="auto"/>
            <w:noWrap/>
            <w:vAlign w:val="center"/>
          </w:tcPr>
          <w:p w14:paraId="28CCC8CF" w14:textId="77777777" w:rsidR="00F37D59" w:rsidRPr="00E33BAB" w:rsidRDefault="00F37D59" w:rsidP="006127E1">
            <w:pPr>
              <w:spacing w:after="0" w:line="240" w:lineRule="auto"/>
              <w:jc w:val="right"/>
              <w:rPr>
                <w:rFonts w:asciiTheme="majorHAnsi" w:eastAsia="Times New Roman" w:hAnsiTheme="majorHAnsi" w:cstheme="majorHAnsi"/>
                <w:sz w:val="18"/>
                <w:szCs w:val="18"/>
                <w:lang w:val="ro-MD"/>
              </w:rPr>
            </w:pPr>
          </w:p>
        </w:tc>
      </w:tr>
      <w:tr w:rsidR="00F37D59" w:rsidRPr="00E33BAB" w14:paraId="38AA8D2B" w14:textId="77777777" w:rsidTr="00F37D59">
        <w:trPr>
          <w:trHeight w:val="475"/>
        </w:trPr>
        <w:tc>
          <w:tcPr>
            <w:tcW w:w="3414" w:type="dxa"/>
            <w:tcBorders>
              <w:top w:val="nil"/>
              <w:left w:val="single" w:sz="4" w:space="0" w:color="auto"/>
              <w:bottom w:val="single" w:sz="4" w:space="0" w:color="auto"/>
              <w:right w:val="single" w:sz="4" w:space="0" w:color="auto"/>
            </w:tcBorders>
            <w:shd w:val="clear" w:color="auto" w:fill="auto"/>
            <w:vAlign w:val="center"/>
            <w:hideMark/>
          </w:tcPr>
          <w:p w14:paraId="6B029967" w14:textId="77777777" w:rsidR="00F37D59" w:rsidRPr="00E33BAB" w:rsidRDefault="00F37D59" w:rsidP="006127E1">
            <w:pPr>
              <w:spacing w:after="0" w:line="276" w:lineRule="auto"/>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xml:space="preserve">1.1.1. Asistență tehnică  pentru realizarea unui mecanism de plăți DRG printr-un exercițiu de costuri DRG bazat pe date naționale </w:t>
            </w:r>
          </w:p>
        </w:tc>
        <w:tc>
          <w:tcPr>
            <w:tcW w:w="1559" w:type="dxa"/>
            <w:tcBorders>
              <w:top w:val="nil"/>
              <w:left w:val="nil"/>
              <w:bottom w:val="single" w:sz="4" w:space="0" w:color="auto"/>
              <w:right w:val="single" w:sz="4" w:space="0" w:color="auto"/>
            </w:tcBorders>
            <w:shd w:val="clear" w:color="auto" w:fill="auto"/>
            <w:noWrap/>
            <w:vAlign w:val="center"/>
          </w:tcPr>
          <w:p w14:paraId="3F1B312C"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0,00</w:t>
            </w:r>
          </w:p>
        </w:tc>
        <w:tc>
          <w:tcPr>
            <w:tcW w:w="1701" w:type="dxa"/>
            <w:tcBorders>
              <w:top w:val="nil"/>
              <w:left w:val="nil"/>
              <w:bottom w:val="single" w:sz="4" w:space="0" w:color="auto"/>
              <w:right w:val="single" w:sz="4" w:space="0" w:color="auto"/>
            </w:tcBorders>
            <w:shd w:val="clear" w:color="auto" w:fill="auto"/>
            <w:noWrap/>
            <w:vAlign w:val="center"/>
          </w:tcPr>
          <w:p w14:paraId="113A49D7"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376 049,00</w:t>
            </w:r>
          </w:p>
        </w:tc>
        <w:tc>
          <w:tcPr>
            <w:tcW w:w="1559" w:type="dxa"/>
            <w:tcBorders>
              <w:top w:val="nil"/>
              <w:left w:val="nil"/>
              <w:bottom w:val="single" w:sz="4" w:space="0" w:color="auto"/>
              <w:right w:val="single" w:sz="4" w:space="0" w:color="auto"/>
            </w:tcBorders>
            <w:shd w:val="clear" w:color="auto" w:fill="auto"/>
            <w:noWrap/>
            <w:vAlign w:val="center"/>
          </w:tcPr>
          <w:p w14:paraId="2DCD7579"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0,00</w:t>
            </w:r>
          </w:p>
        </w:tc>
        <w:tc>
          <w:tcPr>
            <w:tcW w:w="1701" w:type="dxa"/>
            <w:tcBorders>
              <w:top w:val="nil"/>
              <w:left w:val="nil"/>
              <w:bottom w:val="single" w:sz="4" w:space="0" w:color="auto"/>
              <w:right w:val="single" w:sz="4" w:space="0" w:color="auto"/>
            </w:tcBorders>
            <w:shd w:val="clear" w:color="auto" w:fill="auto"/>
            <w:noWrap/>
            <w:vAlign w:val="center"/>
          </w:tcPr>
          <w:p w14:paraId="3E205B87"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376 049,00</w:t>
            </w:r>
          </w:p>
        </w:tc>
        <w:tc>
          <w:tcPr>
            <w:tcW w:w="1701" w:type="dxa"/>
            <w:tcBorders>
              <w:top w:val="nil"/>
              <w:left w:val="nil"/>
              <w:bottom w:val="single" w:sz="4" w:space="0" w:color="auto"/>
              <w:right w:val="single" w:sz="4" w:space="0" w:color="auto"/>
            </w:tcBorders>
            <w:shd w:val="clear" w:color="auto" w:fill="auto"/>
            <w:noWrap/>
            <w:vAlign w:val="center"/>
          </w:tcPr>
          <w:p w14:paraId="6F8D7D97"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0,00</w:t>
            </w:r>
          </w:p>
        </w:tc>
        <w:tc>
          <w:tcPr>
            <w:tcW w:w="1843" w:type="dxa"/>
            <w:tcBorders>
              <w:top w:val="nil"/>
              <w:left w:val="nil"/>
              <w:bottom w:val="single" w:sz="4" w:space="0" w:color="auto"/>
              <w:right w:val="single" w:sz="4" w:space="0" w:color="auto"/>
            </w:tcBorders>
            <w:shd w:val="clear" w:color="auto" w:fill="auto"/>
            <w:noWrap/>
            <w:vAlign w:val="center"/>
          </w:tcPr>
          <w:p w14:paraId="2217F1A2"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0,00</w:t>
            </w:r>
          </w:p>
        </w:tc>
        <w:tc>
          <w:tcPr>
            <w:tcW w:w="1258" w:type="dxa"/>
            <w:tcBorders>
              <w:top w:val="nil"/>
              <w:left w:val="nil"/>
              <w:bottom w:val="single" w:sz="4" w:space="0" w:color="auto"/>
              <w:right w:val="single" w:sz="4" w:space="0" w:color="auto"/>
            </w:tcBorders>
            <w:shd w:val="clear" w:color="auto" w:fill="auto"/>
            <w:noWrap/>
            <w:vAlign w:val="center"/>
          </w:tcPr>
          <w:p w14:paraId="0B9D9D5C"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376 049,00</w:t>
            </w:r>
          </w:p>
        </w:tc>
      </w:tr>
      <w:tr w:rsidR="00F37D59" w:rsidRPr="00E33BAB" w14:paraId="3A005DE4" w14:textId="77777777" w:rsidTr="00F37D59">
        <w:trPr>
          <w:trHeight w:val="655"/>
        </w:trPr>
        <w:tc>
          <w:tcPr>
            <w:tcW w:w="3414" w:type="dxa"/>
            <w:tcBorders>
              <w:top w:val="nil"/>
              <w:left w:val="single" w:sz="4" w:space="0" w:color="auto"/>
              <w:bottom w:val="single" w:sz="4" w:space="0" w:color="auto"/>
              <w:right w:val="single" w:sz="4" w:space="0" w:color="auto"/>
            </w:tcBorders>
            <w:shd w:val="clear" w:color="auto" w:fill="auto"/>
            <w:vAlign w:val="center"/>
            <w:hideMark/>
          </w:tcPr>
          <w:p w14:paraId="01F66DB0" w14:textId="77777777" w:rsidR="00F37D59" w:rsidRPr="00E33BAB" w:rsidRDefault="00F37D59" w:rsidP="006127E1">
            <w:pPr>
              <w:spacing w:after="0" w:line="276" w:lineRule="auto"/>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1.1.2.a) Asistență tehnică  pentru proiectarea unei scheme de stimulare bazate pe performanță pentru îmbunătățirea calității și eficienței în spitalele contractate de CNAM</w:t>
            </w:r>
          </w:p>
        </w:tc>
        <w:tc>
          <w:tcPr>
            <w:tcW w:w="1559" w:type="dxa"/>
            <w:tcBorders>
              <w:top w:val="nil"/>
              <w:left w:val="nil"/>
              <w:bottom w:val="single" w:sz="4" w:space="0" w:color="auto"/>
              <w:right w:val="single" w:sz="4" w:space="0" w:color="auto"/>
            </w:tcBorders>
            <w:shd w:val="clear" w:color="auto" w:fill="auto"/>
            <w:noWrap/>
            <w:vAlign w:val="center"/>
          </w:tcPr>
          <w:p w14:paraId="0E99ECC4"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0,00</w:t>
            </w:r>
          </w:p>
        </w:tc>
        <w:tc>
          <w:tcPr>
            <w:tcW w:w="1701" w:type="dxa"/>
            <w:tcBorders>
              <w:top w:val="nil"/>
              <w:left w:val="nil"/>
              <w:bottom w:val="single" w:sz="4" w:space="0" w:color="auto"/>
              <w:right w:val="single" w:sz="4" w:space="0" w:color="auto"/>
            </w:tcBorders>
            <w:shd w:val="clear" w:color="auto" w:fill="auto"/>
            <w:noWrap/>
            <w:vAlign w:val="center"/>
          </w:tcPr>
          <w:p w14:paraId="421CDB44"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196 100,00</w:t>
            </w:r>
          </w:p>
        </w:tc>
        <w:tc>
          <w:tcPr>
            <w:tcW w:w="1559" w:type="dxa"/>
            <w:tcBorders>
              <w:top w:val="nil"/>
              <w:left w:val="nil"/>
              <w:bottom w:val="single" w:sz="4" w:space="0" w:color="auto"/>
              <w:right w:val="single" w:sz="4" w:space="0" w:color="auto"/>
            </w:tcBorders>
            <w:shd w:val="clear" w:color="auto" w:fill="auto"/>
            <w:noWrap/>
            <w:vAlign w:val="center"/>
          </w:tcPr>
          <w:p w14:paraId="7B10C71F"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0,00</w:t>
            </w:r>
          </w:p>
        </w:tc>
        <w:tc>
          <w:tcPr>
            <w:tcW w:w="1701" w:type="dxa"/>
            <w:tcBorders>
              <w:top w:val="nil"/>
              <w:left w:val="nil"/>
              <w:bottom w:val="single" w:sz="4" w:space="0" w:color="auto"/>
              <w:right w:val="single" w:sz="4" w:space="0" w:color="auto"/>
            </w:tcBorders>
            <w:shd w:val="clear" w:color="auto" w:fill="auto"/>
            <w:noWrap/>
            <w:vAlign w:val="center"/>
          </w:tcPr>
          <w:p w14:paraId="4DB3D710"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196 100,00</w:t>
            </w:r>
          </w:p>
        </w:tc>
        <w:tc>
          <w:tcPr>
            <w:tcW w:w="1701" w:type="dxa"/>
            <w:tcBorders>
              <w:top w:val="nil"/>
              <w:left w:val="nil"/>
              <w:bottom w:val="single" w:sz="4" w:space="0" w:color="auto"/>
              <w:right w:val="single" w:sz="4" w:space="0" w:color="auto"/>
            </w:tcBorders>
            <w:shd w:val="clear" w:color="auto" w:fill="auto"/>
            <w:noWrap/>
            <w:vAlign w:val="center"/>
          </w:tcPr>
          <w:p w14:paraId="652EFC5F"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0,00</w:t>
            </w:r>
          </w:p>
        </w:tc>
        <w:tc>
          <w:tcPr>
            <w:tcW w:w="1843" w:type="dxa"/>
            <w:tcBorders>
              <w:top w:val="nil"/>
              <w:left w:val="nil"/>
              <w:bottom w:val="single" w:sz="4" w:space="0" w:color="auto"/>
              <w:right w:val="single" w:sz="4" w:space="0" w:color="auto"/>
            </w:tcBorders>
            <w:shd w:val="clear" w:color="auto" w:fill="auto"/>
            <w:noWrap/>
            <w:vAlign w:val="center"/>
          </w:tcPr>
          <w:p w14:paraId="5694B12F"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0,00</w:t>
            </w:r>
          </w:p>
        </w:tc>
        <w:tc>
          <w:tcPr>
            <w:tcW w:w="1258" w:type="dxa"/>
            <w:tcBorders>
              <w:top w:val="nil"/>
              <w:left w:val="nil"/>
              <w:bottom w:val="single" w:sz="4" w:space="0" w:color="auto"/>
              <w:right w:val="single" w:sz="4" w:space="0" w:color="auto"/>
            </w:tcBorders>
            <w:shd w:val="clear" w:color="auto" w:fill="auto"/>
            <w:noWrap/>
            <w:vAlign w:val="center"/>
          </w:tcPr>
          <w:p w14:paraId="215E4EC3"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196 100,00</w:t>
            </w:r>
          </w:p>
        </w:tc>
      </w:tr>
      <w:tr w:rsidR="00F37D59" w:rsidRPr="00E33BAB" w14:paraId="4D22D7C0" w14:textId="77777777" w:rsidTr="00F37D59">
        <w:trPr>
          <w:trHeight w:val="786"/>
        </w:trPr>
        <w:tc>
          <w:tcPr>
            <w:tcW w:w="3414" w:type="dxa"/>
            <w:tcBorders>
              <w:top w:val="nil"/>
              <w:left w:val="single" w:sz="4" w:space="0" w:color="auto"/>
              <w:bottom w:val="single" w:sz="4" w:space="0" w:color="auto"/>
              <w:right w:val="single" w:sz="4" w:space="0" w:color="auto"/>
            </w:tcBorders>
            <w:shd w:val="clear" w:color="auto" w:fill="auto"/>
            <w:vAlign w:val="center"/>
            <w:hideMark/>
          </w:tcPr>
          <w:p w14:paraId="3B1EBF82" w14:textId="77777777" w:rsidR="00F37D59" w:rsidRPr="00E33BAB" w:rsidRDefault="00F37D59" w:rsidP="006127E1">
            <w:pPr>
              <w:spacing w:after="0" w:line="276" w:lineRule="auto"/>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1.1.2.b) Asistență tehnică locală pentru pilotarea și revizuirea</w:t>
            </w:r>
            <w:r w:rsidRPr="00E33BAB">
              <w:rPr>
                <w:rFonts w:asciiTheme="majorHAnsi" w:hAnsiTheme="majorHAnsi" w:cstheme="majorHAnsi"/>
                <w:sz w:val="18"/>
                <w:szCs w:val="18"/>
                <w:lang w:val="ro-MD"/>
              </w:rPr>
              <w:t xml:space="preserve"> </w:t>
            </w:r>
            <w:r w:rsidRPr="00E33BAB">
              <w:rPr>
                <w:rFonts w:asciiTheme="majorHAnsi" w:eastAsia="Times New Roman" w:hAnsiTheme="majorHAnsi" w:cstheme="majorHAnsi"/>
                <w:sz w:val="18"/>
                <w:szCs w:val="18"/>
                <w:lang w:val="ro-MD"/>
              </w:rPr>
              <w:t>noului sistem de stimulare bazat pe performanță al spitalelor</w:t>
            </w:r>
          </w:p>
        </w:tc>
        <w:tc>
          <w:tcPr>
            <w:tcW w:w="1559" w:type="dxa"/>
            <w:tcBorders>
              <w:top w:val="nil"/>
              <w:left w:val="nil"/>
              <w:bottom w:val="single" w:sz="4" w:space="0" w:color="auto"/>
              <w:right w:val="single" w:sz="4" w:space="0" w:color="auto"/>
            </w:tcBorders>
            <w:shd w:val="clear" w:color="auto" w:fill="auto"/>
            <w:noWrap/>
            <w:vAlign w:val="center"/>
          </w:tcPr>
          <w:p w14:paraId="5E7419CC"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0,00</w:t>
            </w:r>
          </w:p>
        </w:tc>
        <w:tc>
          <w:tcPr>
            <w:tcW w:w="1701" w:type="dxa"/>
            <w:tcBorders>
              <w:top w:val="nil"/>
              <w:left w:val="nil"/>
              <w:bottom w:val="single" w:sz="4" w:space="0" w:color="auto"/>
              <w:right w:val="single" w:sz="4" w:space="0" w:color="auto"/>
            </w:tcBorders>
            <w:shd w:val="clear" w:color="auto" w:fill="auto"/>
            <w:noWrap/>
            <w:vAlign w:val="center"/>
          </w:tcPr>
          <w:p w14:paraId="270EA19E"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16 999,72</w:t>
            </w:r>
          </w:p>
        </w:tc>
        <w:tc>
          <w:tcPr>
            <w:tcW w:w="1559" w:type="dxa"/>
            <w:tcBorders>
              <w:top w:val="nil"/>
              <w:left w:val="nil"/>
              <w:bottom w:val="single" w:sz="4" w:space="0" w:color="auto"/>
              <w:right w:val="single" w:sz="4" w:space="0" w:color="auto"/>
            </w:tcBorders>
            <w:shd w:val="clear" w:color="auto" w:fill="auto"/>
            <w:noWrap/>
            <w:vAlign w:val="center"/>
          </w:tcPr>
          <w:p w14:paraId="79A48AFE"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0,00</w:t>
            </w:r>
          </w:p>
        </w:tc>
        <w:tc>
          <w:tcPr>
            <w:tcW w:w="1701" w:type="dxa"/>
            <w:tcBorders>
              <w:top w:val="nil"/>
              <w:left w:val="nil"/>
              <w:bottom w:val="single" w:sz="4" w:space="0" w:color="auto"/>
              <w:right w:val="single" w:sz="4" w:space="0" w:color="auto"/>
            </w:tcBorders>
            <w:shd w:val="clear" w:color="auto" w:fill="auto"/>
            <w:noWrap/>
            <w:vAlign w:val="center"/>
          </w:tcPr>
          <w:p w14:paraId="387530D4"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16 99,72</w:t>
            </w:r>
          </w:p>
        </w:tc>
        <w:tc>
          <w:tcPr>
            <w:tcW w:w="1701" w:type="dxa"/>
            <w:tcBorders>
              <w:top w:val="nil"/>
              <w:left w:val="nil"/>
              <w:bottom w:val="single" w:sz="4" w:space="0" w:color="auto"/>
              <w:right w:val="single" w:sz="4" w:space="0" w:color="auto"/>
            </w:tcBorders>
            <w:shd w:val="clear" w:color="auto" w:fill="auto"/>
            <w:noWrap/>
            <w:vAlign w:val="center"/>
          </w:tcPr>
          <w:p w14:paraId="411906F0"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0,00</w:t>
            </w:r>
          </w:p>
        </w:tc>
        <w:tc>
          <w:tcPr>
            <w:tcW w:w="1843" w:type="dxa"/>
            <w:tcBorders>
              <w:top w:val="nil"/>
              <w:left w:val="nil"/>
              <w:bottom w:val="single" w:sz="4" w:space="0" w:color="auto"/>
              <w:right w:val="single" w:sz="4" w:space="0" w:color="auto"/>
            </w:tcBorders>
            <w:shd w:val="clear" w:color="auto" w:fill="auto"/>
            <w:noWrap/>
            <w:vAlign w:val="center"/>
          </w:tcPr>
          <w:p w14:paraId="782C0D69"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0,00</w:t>
            </w:r>
          </w:p>
        </w:tc>
        <w:tc>
          <w:tcPr>
            <w:tcW w:w="1258" w:type="dxa"/>
            <w:tcBorders>
              <w:top w:val="nil"/>
              <w:left w:val="nil"/>
              <w:bottom w:val="single" w:sz="4" w:space="0" w:color="auto"/>
              <w:right w:val="single" w:sz="4" w:space="0" w:color="auto"/>
            </w:tcBorders>
            <w:shd w:val="clear" w:color="auto" w:fill="auto"/>
            <w:noWrap/>
            <w:vAlign w:val="center"/>
          </w:tcPr>
          <w:p w14:paraId="4D0B7F63"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17 000,00</w:t>
            </w:r>
          </w:p>
        </w:tc>
      </w:tr>
      <w:tr w:rsidR="00F37D59" w:rsidRPr="00E33BAB" w14:paraId="794248B0" w14:textId="77777777" w:rsidTr="00F37D59">
        <w:trPr>
          <w:trHeight w:val="549"/>
        </w:trPr>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14:paraId="4CBBB1F9" w14:textId="77777777" w:rsidR="00F37D59" w:rsidRPr="00E33BAB" w:rsidRDefault="00F37D59" w:rsidP="006127E1">
            <w:pPr>
              <w:spacing w:after="0" w:line="276" w:lineRule="auto"/>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lastRenderedPageBreak/>
              <w:t>1.1.2.c) Elaborarea P4P IT module</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E02F701"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2CAD13B"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7E0888E"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45 000,00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BE39F3B"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45 000,00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B4E4AA3"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-45 000,00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5923DBD"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-45 000,00</w:t>
            </w:r>
          </w:p>
        </w:tc>
        <w:tc>
          <w:tcPr>
            <w:tcW w:w="1258" w:type="dxa"/>
            <w:tcBorders>
              <w:top w:val="single" w:sz="4" w:space="0" w:color="auto"/>
              <w:left w:val="nil"/>
              <w:bottom w:val="single" w:sz="4" w:space="0" w:color="auto"/>
              <w:right w:val="single" w:sz="4" w:space="0" w:color="auto"/>
            </w:tcBorders>
            <w:shd w:val="clear" w:color="auto" w:fill="auto"/>
            <w:noWrap/>
            <w:vAlign w:val="center"/>
          </w:tcPr>
          <w:p w14:paraId="26572C11"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45 000,00</w:t>
            </w:r>
          </w:p>
        </w:tc>
      </w:tr>
      <w:tr w:rsidR="00F37D59" w:rsidRPr="00E33BAB" w14:paraId="6DD62F5B" w14:textId="77777777" w:rsidTr="00F37D59">
        <w:trPr>
          <w:trHeight w:val="386"/>
        </w:trPr>
        <w:tc>
          <w:tcPr>
            <w:tcW w:w="3414" w:type="dxa"/>
            <w:tcBorders>
              <w:top w:val="nil"/>
              <w:left w:val="single" w:sz="4" w:space="0" w:color="auto"/>
              <w:bottom w:val="single" w:sz="4" w:space="0" w:color="auto"/>
              <w:right w:val="single" w:sz="4" w:space="0" w:color="auto"/>
            </w:tcBorders>
            <w:shd w:val="clear" w:color="auto" w:fill="auto"/>
            <w:vAlign w:val="center"/>
            <w:hideMark/>
          </w:tcPr>
          <w:p w14:paraId="7EEB70D5" w14:textId="77777777" w:rsidR="00F37D59" w:rsidRPr="00E33BAB" w:rsidRDefault="00F37D59" w:rsidP="006127E1">
            <w:pPr>
              <w:spacing w:after="0" w:line="276" w:lineRule="auto"/>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xml:space="preserve">1.1.3. Asistență tehnică pentru restructurarea proceselor de afaceri și a fluxurilor de lucru pentru Spitalul universitar </w:t>
            </w:r>
          </w:p>
        </w:tc>
        <w:tc>
          <w:tcPr>
            <w:tcW w:w="1559" w:type="dxa"/>
            <w:tcBorders>
              <w:top w:val="nil"/>
              <w:left w:val="nil"/>
              <w:bottom w:val="single" w:sz="4" w:space="0" w:color="auto"/>
              <w:right w:val="single" w:sz="4" w:space="0" w:color="auto"/>
            </w:tcBorders>
            <w:shd w:val="clear" w:color="auto" w:fill="auto"/>
            <w:noWrap/>
            <w:vAlign w:val="center"/>
          </w:tcPr>
          <w:p w14:paraId="2F966138"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0,00</w:t>
            </w:r>
          </w:p>
        </w:tc>
        <w:tc>
          <w:tcPr>
            <w:tcW w:w="1701" w:type="dxa"/>
            <w:tcBorders>
              <w:top w:val="nil"/>
              <w:left w:val="nil"/>
              <w:bottom w:val="single" w:sz="4" w:space="0" w:color="auto"/>
              <w:right w:val="single" w:sz="4" w:space="0" w:color="auto"/>
            </w:tcBorders>
            <w:shd w:val="clear" w:color="auto" w:fill="auto"/>
            <w:noWrap/>
            <w:vAlign w:val="center"/>
          </w:tcPr>
          <w:p w14:paraId="371C751D"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56 259,50</w:t>
            </w:r>
          </w:p>
        </w:tc>
        <w:tc>
          <w:tcPr>
            <w:tcW w:w="1559" w:type="dxa"/>
            <w:tcBorders>
              <w:top w:val="nil"/>
              <w:left w:val="nil"/>
              <w:bottom w:val="single" w:sz="4" w:space="0" w:color="auto"/>
              <w:right w:val="single" w:sz="4" w:space="0" w:color="auto"/>
            </w:tcBorders>
            <w:shd w:val="clear" w:color="auto" w:fill="auto"/>
            <w:noWrap/>
            <w:vAlign w:val="center"/>
          </w:tcPr>
          <w:p w14:paraId="10EC76A3"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56 259,50</w:t>
            </w:r>
          </w:p>
        </w:tc>
        <w:tc>
          <w:tcPr>
            <w:tcW w:w="1701" w:type="dxa"/>
            <w:tcBorders>
              <w:top w:val="nil"/>
              <w:left w:val="nil"/>
              <w:bottom w:val="single" w:sz="4" w:space="0" w:color="auto"/>
              <w:right w:val="single" w:sz="4" w:space="0" w:color="auto"/>
            </w:tcBorders>
            <w:shd w:val="clear" w:color="auto" w:fill="auto"/>
            <w:noWrap/>
            <w:vAlign w:val="center"/>
          </w:tcPr>
          <w:p w14:paraId="5A8FFB18"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112 519,00</w:t>
            </w:r>
          </w:p>
        </w:tc>
        <w:tc>
          <w:tcPr>
            <w:tcW w:w="1701" w:type="dxa"/>
            <w:tcBorders>
              <w:top w:val="nil"/>
              <w:left w:val="nil"/>
              <w:bottom w:val="single" w:sz="4" w:space="0" w:color="auto"/>
              <w:right w:val="single" w:sz="4" w:space="0" w:color="auto"/>
            </w:tcBorders>
            <w:shd w:val="clear" w:color="auto" w:fill="auto"/>
            <w:noWrap/>
            <w:vAlign w:val="center"/>
          </w:tcPr>
          <w:p w14:paraId="0DC75819"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-56 259,50</w:t>
            </w:r>
          </w:p>
        </w:tc>
        <w:tc>
          <w:tcPr>
            <w:tcW w:w="1843" w:type="dxa"/>
            <w:tcBorders>
              <w:top w:val="nil"/>
              <w:left w:val="nil"/>
              <w:bottom w:val="single" w:sz="4" w:space="0" w:color="auto"/>
              <w:right w:val="single" w:sz="4" w:space="0" w:color="auto"/>
            </w:tcBorders>
            <w:shd w:val="clear" w:color="auto" w:fill="auto"/>
            <w:noWrap/>
            <w:vAlign w:val="center"/>
          </w:tcPr>
          <w:p w14:paraId="338B7353"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-56 259,50</w:t>
            </w:r>
          </w:p>
        </w:tc>
        <w:tc>
          <w:tcPr>
            <w:tcW w:w="1258" w:type="dxa"/>
            <w:tcBorders>
              <w:top w:val="nil"/>
              <w:left w:val="nil"/>
              <w:bottom w:val="single" w:sz="4" w:space="0" w:color="auto"/>
              <w:right w:val="single" w:sz="4" w:space="0" w:color="auto"/>
            </w:tcBorders>
            <w:shd w:val="clear" w:color="auto" w:fill="auto"/>
            <w:noWrap/>
            <w:vAlign w:val="center"/>
          </w:tcPr>
          <w:p w14:paraId="07D4127E"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112 519,00</w:t>
            </w:r>
          </w:p>
        </w:tc>
      </w:tr>
      <w:tr w:rsidR="00F37D59" w:rsidRPr="00E33BAB" w14:paraId="4CC4C865" w14:textId="77777777" w:rsidTr="00F37D59">
        <w:trPr>
          <w:trHeight w:val="477"/>
        </w:trPr>
        <w:tc>
          <w:tcPr>
            <w:tcW w:w="3414" w:type="dxa"/>
            <w:tcBorders>
              <w:top w:val="nil"/>
              <w:left w:val="single" w:sz="4" w:space="0" w:color="auto"/>
              <w:bottom w:val="single" w:sz="4" w:space="0" w:color="auto"/>
              <w:right w:val="single" w:sz="4" w:space="0" w:color="auto"/>
            </w:tcBorders>
            <w:shd w:val="clear" w:color="auto" w:fill="auto"/>
            <w:vAlign w:val="center"/>
            <w:hideMark/>
          </w:tcPr>
          <w:p w14:paraId="4CE3B01E" w14:textId="77777777" w:rsidR="00F37D59" w:rsidRPr="00E33BAB" w:rsidRDefault="00F37D59" w:rsidP="006127E1">
            <w:pPr>
              <w:spacing w:after="0" w:line="276" w:lineRule="auto"/>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 xml:space="preserve">1.1.4. Asistență tehnică pentru efectuarea verificării tehnice a conformității ILD / ILD 1 și ILD / ILD 2, ancheta STEPS </w:t>
            </w:r>
          </w:p>
        </w:tc>
        <w:tc>
          <w:tcPr>
            <w:tcW w:w="1559" w:type="dxa"/>
            <w:tcBorders>
              <w:top w:val="nil"/>
              <w:left w:val="nil"/>
              <w:bottom w:val="single" w:sz="4" w:space="0" w:color="auto"/>
              <w:right w:val="single" w:sz="4" w:space="0" w:color="auto"/>
            </w:tcBorders>
            <w:shd w:val="clear" w:color="auto" w:fill="auto"/>
            <w:noWrap/>
            <w:vAlign w:val="center"/>
          </w:tcPr>
          <w:p w14:paraId="4AA01351"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0,00</w:t>
            </w:r>
          </w:p>
        </w:tc>
        <w:tc>
          <w:tcPr>
            <w:tcW w:w="1701" w:type="dxa"/>
            <w:tcBorders>
              <w:top w:val="nil"/>
              <w:left w:val="nil"/>
              <w:bottom w:val="single" w:sz="4" w:space="0" w:color="auto"/>
              <w:right w:val="single" w:sz="4" w:space="0" w:color="auto"/>
            </w:tcBorders>
            <w:shd w:val="clear" w:color="auto" w:fill="auto"/>
            <w:noWrap/>
            <w:vAlign w:val="center"/>
          </w:tcPr>
          <w:p w14:paraId="7A11DC2B"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271 867,00</w:t>
            </w:r>
          </w:p>
        </w:tc>
        <w:tc>
          <w:tcPr>
            <w:tcW w:w="1559" w:type="dxa"/>
            <w:tcBorders>
              <w:top w:val="nil"/>
              <w:left w:val="nil"/>
              <w:bottom w:val="single" w:sz="4" w:space="0" w:color="auto"/>
              <w:right w:val="single" w:sz="4" w:space="0" w:color="auto"/>
            </w:tcBorders>
            <w:shd w:val="clear" w:color="auto" w:fill="auto"/>
            <w:noWrap/>
            <w:vAlign w:val="center"/>
          </w:tcPr>
          <w:p w14:paraId="006E4E3A"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0,00</w:t>
            </w:r>
          </w:p>
        </w:tc>
        <w:tc>
          <w:tcPr>
            <w:tcW w:w="1701" w:type="dxa"/>
            <w:tcBorders>
              <w:top w:val="nil"/>
              <w:left w:val="nil"/>
              <w:bottom w:val="single" w:sz="4" w:space="0" w:color="auto"/>
              <w:right w:val="single" w:sz="4" w:space="0" w:color="auto"/>
            </w:tcBorders>
            <w:shd w:val="clear" w:color="auto" w:fill="auto"/>
            <w:noWrap/>
            <w:vAlign w:val="center"/>
          </w:tcPr>
          <w:p w14:paraId="22BBBAC6"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271 867,00</w:t>
            </w:r>
          </w:p>
        </w:tc>
        <w:tc>
          <w:tcPr>
            <w:tcW w:w="1701" w:type="dxa"/>
            <w:tcBorders>
              <w:top w:val="nil"/>
              <w:left w:val="nil"/>
              <w:bottom w:val="single" w:sz="4" w:space="0" w:color="auto"/>
              <w:right w:val="single" w:sz="4" w:space="0" w:color="auto"/>
            </w:tcBorders>
            <w:shd w:val="clear" w:color="auto" w:fill="auto"/>
            <w:noWrap/>
            <w:vAlign w:val="center"/>
          </w:tcPr>
          <w:p w14:paraId="693AA9F8"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0,00</w:t>
            </w:r>
          </w:p>
        </w:tc>
        <w:tc>
          <w:tcPr>
            <w:tcW w:w="1843" w:type="dxa"/>
            <w:tcBorders>
              <w:top w:val="nil"/>
              <w:left w:val="nil"/>
              <w:bottom w:val="single" w:sz="4" w:space="0" w:color="auto"/>
              <w:right w:val="single" w:sz="4" w:space="0" w:color="auto"/>
            </w:tcBorders>
            <w:shd w:val="clear" w:color="auto" w:fill="auto"/>
            <w:noWrap/>
            <w:vAlign w:val="center"/>
          </w:tcPr>
          <w:p w14:paraId="0A976D18"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0,00</w:t>
            </w:r>
          </w:p>
        </w:tc>
        <w:tc>
          <w:tcPr>
            <w:tcW w:w="1258" w:type="dxa"/>
            <w:tcBorders>
              <w:top w:val="nil"/>
              <w:left w:val="nil"/>
              <w:bottom w:val="single" w:sz="4" w:space="0" w:color="auto"/>
              <w:right w:val="single" w:sz="4" w:space="0" w:color="auto"/>
            </w:tcBorders>
            <w:shd w:val="clear" w:color="auto" w:fill="auto"/>
            <w:noWrap/>
            <w:vAlign w:val="center"/>
          </w:tcPr>
          <w:p w14:paraId="6E40F35A"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271 867,00</w:t>
            </w:r>
          </w:p>
        </w:tc>
      </w:tr>
      <w:tr w:rsidR="00F37D59" w:rsidRPr="00E33BAB" w14:paraId="0BC2E134" w14:textId="77777777" w:rsidTr="00F37D59">
        <w:trPr>
          <w:trHeight w:val="435"/>
        </w:trPr>
        <w:tc>
          <w:tcPr>
            <w:tcW w:w="3414" w:type="dxa"/>
            <w:tcBorders>
              <w:top w:val="nil"/>
              <w:left w:val="single" w:sz="4" w:space="0" w:color="auto"/>
              <w:bottom w:val="single" w:sz="4" w:space="0" w:color="auto"/>
              <w:right w:val="single" w:sz="4" w:space="0" w:color="auto"/>
            </w:tcBorders>
            <w:shd w:val="clear" w:color="auto" w:fill="auto"/>
            <w:vAlign w:val="center"/>
            <w:hideMark/>
          </w:tcPr>
          <w:p w14:paraId="3448988B" w14:textId="77777777" w:rsidR="00F37D59" w:rsidRPr="00E33BAB" w:rsidRDefault="00F37D59" w:rsidP="006127E1">
            <w:pPr>
              <w:spacing w:after="0" w:line="276" w:lineRule="auto"/>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1.1.5. Asistență tehnică pentru elaborarea unui manual privind calitatea îngrijirii și revizuirea sistemului de salarizare pentru performanța în asistența medicală primară</w:t>
            </w:r>
          </w:p>
        </w:tc>
        <w:tc>
          <w:tcPr>
            <w:tcW w:w="1559" w:type="dxa"/>
            <w:tcBorders>
              <w:top w:val="nil"/>
              <w:left w:val="nil"/>
              <w:bottom w:val="single" w:sz="4" w:space="0" w:color="auto"/>
              <w:right w:val="single" w:sz="4" w:space="0" w:color="auto"/>
            </w:tcBorders>
            <w:shd w:val="clear" w:color="auto" w:fill="auto"/>
            <w:noWrap/>
            <w:vAlign w:val="center"/>
          </w:tcPr>
          <w:p w14:paraId="01CBF527"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0,00</w:t>
            </w:r>
          </w:p>
        </w:tc>
        <w:tc>
          <w:tcPr>
            <w:tcW w:w="1701" w:type="dxa"/>
            <w:tcBorders>
              <w:top w:val="nil"/>
              <w:left w:val="nil"/>
              <w:bottom w:val="single" w:sz="4" w:space="0" w:color="auto"/>
              <w:right w:val="single" w:sz="4" w:space="0" w:color="auto"/>
            </w:tcBorders>
            <w:shd w:val="clear" w:color="auto" w:fill="auto"/>
            <w:noWrap/>
            <w:vAlign w:val="center"/>
          </w:tcPr>
          <w:p w14:paraId="088891D1"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87 550,00</w:t>
            </w:r>
          </w:p>
        </w:tc>
        <w:tc>
          <w:tcPr>
            <w:tcW w:w="1559" w:type="dxa"/>
            <w:tcBorders>
              <w:top w:val="nil"/>
              <w:left w:val="nil"/>
              <w:bottom w:val="single" w:sz="4" w:space="0" w:color="auto"/>
              <w:right w:val="single" w:sz="4" w:space="0" w:color="auto"/>
            </w:tcBorders>
            <w:shd w:val="clear" w:color="auto" w:fill="auto"/>
            <w:noWrap/>
            <w:vAlign w:val="center"/>
          </w:tcPr>
          <w:p w14:paraId="39F66CE0"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0,00</w:t>
            </w:r>
          </w:p>
        </w:tc>
        <w:tc>
          <w:tcPr>
            <w:tcW w:w="1701" w:type="dxa"/>
            <w:tcBorders>
              <w:top w:val="nil"/>
              <w:left w:val="nil"/>
              <w:bottom w:val="single" w:sz="4" w:space="0" w:color="auto"/>
              <w:right w:val="single" w:sz="4" w:space="0" w:color="auto"/>
            </w:tcBorders>
            <w:shd w:val="clear" w:color="auto" w:fill="auto"/>
            <w:noWrap/>
            <w:vAlign w:val="center"/>
          </w:tcPr>
          <w:p w14:paraId="3DBB9D2D"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87 550,00</w:t>
            </w:r>
          </w:p>
        </w:tc>
        <w:tc>
          <w:tcPr>
            <w:tcW w:w="1701" w:type="dxa"/>
            <w:tcBorders>
              <w:top w:val="nil"/>
              <w:left w:val="nil"/>
              <w:bottom w:val="single" w:sz="4" w:space="0" w:color="auto"/>
              <w:right w:val="single" w:sz="4" w:space="0" w:color="auto"/>
            </w:tcBorders>
            <w:shd w:val="clear" w:color="auto" w:fill="auto"/>
            <w:noWrap/>
            <w:vAlign w:val="center"/>
          </w:tcPr>
          <w:p w14:paraId="74CC04B5"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0,00</w:t>
            </w:r>
          </w:p>
        </w:tc>
        <w:tc>
          <w:tcPr>
            <w:tcW w:w="1843" w:type="dxa"/>
            <w:tcBorders>
              <w:top w:val="nil"/>
              <w:left w:val="nil"/>
              <w:bottom w:val="single" w:sz="4" w:space="0" w:color="auto"/>
              <w:right w:val="single" w:sz="4" w:space="0" w:color="auto"/>
            </w:tcBorders>
            <w:shd w:val="clear" w:color="auto" w:fill="auto"/>
            <w:noWrap/>
            <w:vAlign w:val="center"/>
          </w:tcPr>
          <w:p w14:paraId="51DD7C81"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0,00</w:t>
            </w:r>
          </w:p>
        </w:tc>
        <w:tc>
          <w:tcPr>
            <w:tcW w:w="1258" w:type="dxa"/>
            <w:tcBorders>
              <w:top w:val="nil"/>
              <w:left w:val="nil"/>
              <w:bottom w:val="single" w:sz="4" w:space="0" w:color="auto"/>
              <w:right w:val="single" w:sz="4" w:space="0" w:color="auto"/>
            </w:tcBorders>
            <w:shd w:val="clear" w:color="auto" w:fill="auto"/>
            <w:noWrap/>
            <w:vAlign w:val="center"/>
          </w:tcPr>
          <w:p w14:paraId="38FE384E"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87 550,00</w:t>
            </w:r>
          </w:p>
        </w:tc>
      </w:tr>
      <w:tr w:rsidR="00F37D59" w:rsidRPr="00E33BAB" w14:paraId="0E0C36D9" w14:textId="77777777" w:rsidTr="00F37D59">
        <w:trPr>
          <w:trHeight w:val="312"/>
        </w:trPr>
        <w:tc>
          <w:tcPr>
            <w:tcW w:w="3414" w:type="dxa"/>
            <w:tcBorders>
              <w:top w:val="nil"/>
              <w:left w:val="single" w:sz="4" w:space="0" w:color="auto"/>
              <w:bottom w:val="single" w:sz="4" w:space="0" w:color="auto"/>
              <w:right w:val="single" w:sz="4" w:space="0" w:color="auto"/>
            </w:tcBorders>
            <w:shd w:val="clear" w:color="auto" w:fill="auto"/>
            <w:vAlign w:val="center"/>
            <w:hideMark/>
          </w:tcPr>
          <w:p w14:paraId="4E464BB3" w14:textId="77777777" w:rsidR="00F37D59" w:rsidRPr="00E33BAB" w:rsidRDefault="00F37D59" w:rsidP="006127E1">
            <w:pPr>
              <w:spacing w:after="0" w:line="276" w:lineRule="auto"/>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1.1.6. Vizite de studiu și instruiri</w:t>
            </w:r>
          </w:p>
        </w:tc>
        <w:tc>
          <w:tcPr>
            <w:tcW w:w="1559" w:type="dxa"/>
            <w:tcBorders>
              <w:top w:val="nil"/>
              <w:left w:val="nil"/>
              <w:bottom w:val="single" w:sz="4" w:space="0" w:color="auto"/>
              <w:right w:val="single" w:sz="4" w:space="0" w:color="auto"/>
            </w:tcBorders>
            <w:shd w:val="clear" w:color="auto" w:fill="auto"/>
            <w:noWrap/>
            <w:vAlign w:val="center"/>
          </w:tcPr>
          <w:p w14:paraId="2DE5BBD8"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49,26</w:t>
            </w:r>
          </w:p>
        </w:tc>
        <w:tc>
          <w:tcPr>
            <w:tcW w:w="1701" w:type="dxa"/>
            <w:tcBorders>
              <w:top w:val="nil"/>
              <w:left w:val="nil"/>
              <w:bottom w:val="single" w:sz="4" w:space="0" w:color="auto"/>
              <w:right w:val="single" w:sz="4" w:space="0" w:color="auto"/>
            </w:tcBorders>
            <w:shd w:val="clear" w:color="auto" w:fill="auto"/>
            <w:noWrap/>
            <w:vAlign w:val="center"/>
          </w:tcPr>
          <w:p w14:paraId="616420B6"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43 158,35</w:t>
            </w:r>
          </w:p>
        </w:tc>
        <w:tc>
          <w:tcPr>
            <w:tcW w:w="1559" w:type="dxa"/>
            <w:tcBorders>
              <w:top w:val="nil"/>
              <w:left w:val="nil"/>
              <w:bottom w:val="single" w:sz="4" w:space="0" w:color="auto"/>
              <w:right w:val="single" w:sz="4" w:space="0" w:color="auto"/>
            </w:tcBorders>
            <w:shd w:val="clear" w:color="auto" w:fill="auto"/>
            <w:noWrap/>
            <w:vAlign w:val="center"/>
          </w:tcPr>
          <w:p w14:paraId="35395686"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52 335,04</w:t>
            </w:r>
          </w:p>
        </w:tc>
        <w:tc>
          <w:tcPr>
            <w:tcW w:w="1701" w:type="dxa"/>
            <w:tcBorders>
              <w:top w:val="nil"/>
              <w:left w:val="nil"/>
              <w:bottom w:val="single" w:sz="4" w:space="0" w:color="auto"/>
              <w:right w:val="single" w:sz="4" w:space="0" w:color="auto"/>
            </w:tcBorders>
            <w:shd w:val="clear" w:color="auto" w:fill="auto"/>
            <w:noWrap/>
            <w:vAlign w:val="center"/>
          </w:tcPr>
          <w:p w14:paraId="73B9264C"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95 444,13</w:t>
            </w:r>
          </w:p>
        </w:tc>
        <w:tc>
          <w:tcPr>
            <w:tcW w:w="1701" w:type="dxa"/>
            <w:tcBorders>
              <w:top w:val="nil"/>
              <w:left w:val="nil"/>
              <w:bottom w:val="single" w:sz="4" w:space="0" w:color="auto"/>
              <w:right w:val="single" w:sz="4" w:space="0" w:color="auto"/>
            </w:tcBorders>
            <w:shd w:val="clear" w:color="auto" w:fill="auto"/>
            <w:noWrap/>
            <w:vAlign w:val="center"/>
          </w:tcPr>
          <w:p w14:paraId="777D5D72"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-52 285,78</w:t>
            </w:r>
          </w:p>
        </w:tc>
        <w:tc>
          <w:tcPr>
            <w:tcW w:w="1843" w:type="dxa"/>
            <w:tcBorders>
              <w:top w:val="nil"/>
              <w:left w:val="nil"/>
              <w:bottom w:val="single" w:sz="4" w:space="0" w:color="auto"/>
              <w:right w:val="single" w:sz="4" w:space="0" w:color="auto"/>
            </w:tcBorders>
            <w:shd w:val="clear" w:color="auto" w:fill="auto"/>
            <w:noWrap/>
            <w:vAlign w:val="center"/>
          </w:tcPr>
          <w:p w14:paraId="1F76E13E"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-52 285,78</w:t>
            </w:r>
          </w:p>
        </w:tc>
        <w:tc>
          <w:tcPr>
            <w:tcW w:w="1258" w:type="dxa"/>
            <w:tcBorders>
              <w:top w:val="nil"/>
              <w:left w:val="nil"/>
              <w:bottom w:val="single" w:sz="4" w:space="0" w:color="auto"/>
              <w:right w:val="single" w:sz="4" w:space="0" w:color="auto"/>
            </w:tcBorders>
            <w:shd w:val="clear" w:color="auto" w:fill="auto"/>
            <w:noWrap/>
            <w:vAlign w:val="center"/>
          </w:tcPr>
          <w:p w14:paraId="2EABC0B2"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100 000,00</w:t>
            </w:r>
          </w:p>
        </w:tc>
      </w:tr>
      <w:tr w:rsidR="00F37D59" w:rsidRPr="00E33BAB" w14:paraId="1332CACA" w14:textId="77777777" w:rsidTr="00F37D59">
        <w:trPr>
          <w:trHeight w:val="312"/>
        </w:trPr>
        <w:tc>
          <w:tcPr>
            <w:tcW w:w="3414" w:type="dxa"/>
            <w:tcBorders>
              <w:top w:val="nil"/>
              <w:left w:val="single" w:sz="4" w:space="0" w:color="auto"/>
              <w:bottom w:val="single" w:sz="4" w:space="0" w:color="auto"/>
              <w:right w:val="single" w:sz="4" w:space="0" w:color="auto"/>
            </w:tcBorders>
            <w:shd w:val="clear" w:color="auto" w:fill="auto"/>
            <w:vAlign w:val="center"/>
            <w:hideMark/>
          </w:tcPr>
          <w:p w14:paraId="05A0CF91" w14:textId="77777777" w:rsidR="00F37D59" w:rsidRPr="00E33BAB" w:rsidRDefault="00F37D59" w:rsidP="006127E1">
            <w:pPr>
              <w:spacing w:after="0" w:line="276" w:lineRule="auto"/>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1.1.7. Campanii de comunicare</w:t>
            </w:r>
          </w:p>
        </w:tc>
        <w:tc>
          <w:tcPr>
            <w:tcW w:w="1559" w:type="dxa"/>
            <w:tcBorders>
              <w:top w:val="nil"/>
              <w:left w:val="nil"/>
              <w:bottom w:val="single" w:sz="4" w:space="0" w:color="auto"/>
              <w:right w:val="single" w:sz="4" w:space="0" w:color="auto"/>
            </w:tcBorders>
            <w:shd w:val="clear" w:color="auto" w:fill="auto"/>
            <w:noWrap/>
            <w:vAlign w:val="center"/>
          </w:tcPr>
          <w:p w14:paraId="2A84E9BE"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0,00</w:t>
            </w:r>
          </w:p>
        </w:tc>
        <w:tc>
          <w:tcPr>
            <w:tcW w:w="1701" w:type="dxa"/>
            <w:tcBorders>
              <w:top w:val="nil"/>
              <w:left w:val="nil"/>
              <w:bottom w:val="single" w:sz="4" w:space="0" w:color="auto"/>
              <w:right w:val="single" w:sz="4" w:space="0" w:color="auto"/>
            </w:tcBorders>
            <w:shd w:val="clear" w:color="auto" w:fill="auto"/>
            <w:noWrap/>
            <w:vAlign w:val="center"/>
          </w:tcPr>
          <w:p w14:paraId="4807F0E5"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103 800,00</w:t>
            </w:r>
          </w:p>
        </w:tc>
        <w:tc>
          <w:tcPr>
            <w:tcW w:w="1559" w:type="dxa"/>
            <w:tcBorders>
              <w:top w:val="nil"/>
              <w:left w:val="nil"/>
              <w:bottom w:val="single" w:sz="4" w:space="0" w:color="auto"/>
              <w:right w:val="single" w:sz="4" w:space="0" w:color="auto"/>
            </w:tcBorders>
            <w:shd w:val="clear" w:color="auto" w:fill="auto"/>
            <w:noWrap/>
            <w:vAlign w:val="center"/>
          </w:tcPr>
          <w:p w14:paraId="7562DA8F"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0,00</w:t>
            </w:r>
          </w:p>
        </w:tc>
        <w:tc>
          <w:tcPr>
            <w:tcW w:w="1701" w:type="dxa"/>
            <w:tcBorders>
              <w:top w:val="nil"/>
              <w:left w:val="nil"/>
              <w:bottom w:val="single" w:sz="4" w:space="0" w:color="auto"/>
              <w:right w:val="single" w:sz="4" w:space="0" w:color="auto"/>
            </w:tcBorders>
            <w:shd w:val="clear" w:color="auto" w:fill="auto"/>
            <w:noWrap/>
            <w:vAlign w:val="center"/>
          </w:tcPr>
          <w:p w14:paraId="6C67980F"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103 800,00</w:t>
            </w:r>
          </w:p>
        </w:tc>
        <w:tc>
          <w:tcPr>
            <w:tcW w:w="1701" w:type="dxa"/>
            <w:tcBorders>
              <w:top w:val="nil"/>
              <w:left w:val="nil"/>
              <w:bottom w:val="single" w:sz="4" w:space="0" w:color="auto"/>
              <w:right w:val="single" w:sz="4" w:space="0" w:color="auto"/>
            </w:tcBorders>
            <w:shd w:val="clear" w:color="auto" w:fill="auto"/>
            <w:noWrap/>
            <w:vAlign w:val="center"/>
          </w:tcPr>
          <w:p w14:paraId="2ED54A40"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0,00</w:t>
            </w:r>
          </w:p>
        </w:tc>
        <w:tc>
          <w:tcPr>
            <w:tcW w:w="1843" w:type="dxa"/>
            <w:tcBorders>
              <w:top w:val="nil"/>
              <w:left w:val="nil"/>
              <w:bottom w:val="single" w:sz="4" w:space="0" w:color="auto"/>
              <w:right w:val="single" w:sz="4" w:space="0" w:color="auto"/>
            </w:tcBorders>
            <w:shd w:val="clear" w:color="auto" w:fill="auto"/>
            <w:noWrap/>
            <w:vAlign w:val="center"/>
          </w:tcPr>
          <w:p w14:paraId="478E4839"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0,00</w:t>
            </w:r>
          </w:p>
        </w:tc>
        <w:tc>
          <w:tcPr>
            <w:tcW w:w="1258" w:type="dxa"/>
            <w:tcBorders>
              <w:top w:val="nil"/>
              <w:left w:val="nil"/>
              <w:bottom w:val="single" w:sz="4" w:space="0" w:color="auto"/>
              <w:right w:val="single" w:sz="4" w:space="0" w:color="auto"/>
            </w:tcBorders>
            <w:shd w:val="clear" w:color="auto" w:fill="auto"/>
            <w:noWrap/>
            <w:vAlign w:val="center"/>
          </w:tcPr>
          <w:p w14:paraId="38759DC8"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103 800,00</w:t>
            </w:r>
          </w:p>
        </w:tc>
      </w:tr>
      <w:tr w:rsidR="00F37D59" w:rsidRPr="00E33BAB" w14:paraId="4C7446E9" w14:textId="77777777" w:rsidTr="00F37D59">
        <w:trPr>
          <w:trHeight w:val="312"/>
        </w:trPr>
        <w:tc>
          <w:tcPr>
            <w:tcW w:w="3414" w:type="dxa"/>
            <w:tcBorders>
              <w:top w:val="nil"/>
              <w:left w:val="single" w:sz="4" w:space="0" w:color="auto"/>
              <w:bottom w:val="single" w:sz="4" w:space="0" w:color="auto"/>
              <w:right w:val="single" w:sz="4" w:space="0" w:color="auto"/>
            </w:tcBorders>
            <w:shd w:val="clear" w:color="auto" w:fill="auto"/>
            <w:vAlign w:val="center"/>
            <w:hideMark/>
          </w:tcPr>
          <w:p w14:paraId="1E9A65A7" w14:textId="77777777" w:rsidR="00F37D59" w:rsidRPr="00E33BAB" w:rsidRDefault="00F37D59" w:rsidP="006127E1">
            <w:pPr>
              <w:spacing w:after="0" w:line="276" w:lineRule="auto"/>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1.1.8. Statistica bugetului gospodăriilor casnice –  Modulul de sănătate</w:t>
            </w:r>
          </w:p>
        </w:tc>
        <w:tc>
          <w:tcPr>
            <w:tcW w:w="1559" w:type="dxa"/>
            <w:tcBorders>
              <w:top w:val="nil"/>
              <w:left w:val="nil"/>
              <w:bottom w:val="single" w:sz="4" w:space="0" w:color="auto"/>
              <w:right w:val="single" w:sz="4" w:space="0" w:color="auto"/>
            </w:tcBorders>
            <w:shd w:val="clear" w:color="auto" w:fill="auto"/>
            <w:noWrap/>
            <w:vAlign w:val="center"/>
          </w:tcPr>
          <w:p w14:paraId="6FD9DFDC"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0,00</w:t>
            </w:r>
          </w:p>
        </w:tc>
        <w:tc>
          <w:tcPr>
            <w:tcW w:w="1701" w:type="dxa"/>
            <w:tcBorders>
              <w:top w:val="nil"/>
              <w:left w:val="nil"/>
              <w:bottom w:val="single" w:sz="4" w:space="0" w:color="auto"/>
              <w:right w:val="single" w:sz="4" w:space="0" w:color="auto"/>
            </w:tcBorders>
            <w:shd w:val="clear" w:color="auto" w:fill="auto"/>
            <w:noWrap/>
            <w:vAlign w:val="center"/>
          </w:tcPr>
          <w:p w14:paraId="146DFF19"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22 655,59</w:t>
            </w:r>
          </w:p>
        </w:tc>
        <w:tc>
          <w:tcPr>
            <w:tcW w:w="1559" w:type="dxa"/>
            <w:tcBorders>
              <w:top w:val="nil"/>
              <w:left w:val="nil"/>
              <w:bottom w:val="single" w:sz="4" w:space="0" w:color="auto"/>
              <w:right w:val="single" w:sz="4" w:space="0" w:color="auto"/>
            </w:tcBorders>
            <w:shd w:val="clear" w:color="auto" w:fill="auto"/>
            <w:noWrap/>
            <w:vAlign w:val="center"/>
          </w:tcPr>
          <w:p w14:paraId="64094534"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26 000,00</w:t>
            </w:r>
          </w:p>
        </w:tc>
        <w:tc>
          <w:tcPr>
            <w:tcW w:w="1701" w:type="dxa"/>
            <w:tcBorders>
              <w:top w:val="nil"/>
              <w:left w:val="nil"/>
              <w:bottom w:val="single" w:sz="4" w:space="0" w:color="auto"/>
              <w:right w:val="single" w:sz="4" w:space="0" w:color="auto"/>
            </w:tcBorders>
            <w:shd w:val="clear" w:color="auto" w:fill="auto"/>
            <w:noWrap/>
            <w:vAlign w:val="center"/>
          </w:tcPr>
          <w:p w14:paraId="52B0BDF9"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48 655,59</w:t>
            </w:r>
          </w:p>
        </w:tc>
        <w:tc>
          <w:tcPr>
            <w:tcW w:w="1701" w:type="dxa"/>
            <w:tcBorders>
              <w:top w:val="nil"/>
              <w:left w:val="nil"/>
              <w:bottom w:val="single" w:sz="4" w:space="0" w:color="auto"/>
              <w:right w:val="single" w:sz="4" w:space="0" w:color="auto"/>
            </w:tcBorders>
            <w:shd w:val="clear" w:color="auto" w:fill="auto"/>
            <w:noWrap/>
            <w:vAlign w:val="center"/>
          </w:tcPr>
          <w:p w14:paraId="5884CBAB"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-26 000,00</w:t>
            </w:r>
          </w:p>
        </w:tc>
        <w:tc>
          <w:tcPr>
            <w:tcW w:w="1843" w:type="dxa"/>
            <w:tcBorders>
              <w:top w:val="nil"/>
              <w:left w:val="nil"/>
              <w:bottom w:val="single" w:sz="4" w:space="0" w:color="auto"/>
              <w:right w:val="single" w:sz="4" w:space="0" w:color="auto"/>
            </w:tcBorders>
            <w:shd w:val="clear" w:color="auto" w:fill="auto"/>
            <w:noWrap/>
            <w:vAlign w:val="center"/>
          </w:tcPr>
          <w:p w14:paraId="7986568E"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-26 000,00</w:t>
            </w:r>
          </w:p>
        </w:tc>
        <w:tc>
          <w:tcPr>
            <w:tcW w:w="1258" w:type="dxa"/>
            <w:tcBorders>
              <w:top w:val="nil"/>
              <w:left w:val="nil"/>
              <w:bottom w:val="single" w:sz="4" w:space="0" w:color="auto"/>
              <w:right w:val="single" w:sz="4" w:space="0" w:color="auto"/>
            </w:tcBorders>
            <w:shd w:val="clear" w:color="auto" w:fill="auto"/>
            <w:noWrap/>
            <w:vAlign w:val="center"/>
          </w:tcPr>
          <w:p w14:paraId="31B373F5"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62 000,00</w:t>
            </w:r>
          </w:p>
        </w:tc>
      </w:tr>
      <w:tr w:rsidR="00F37D59" w:rsidRPr="00E33BAB" w14:paraId="29AEF171" w14:textId="77777777" w:rsidTr="00F37D59">
        <w:trPr>
          <w:trHeight w:val="613"/>
        </w:trPr>
        <w:tc>
          <w:tcPr>
            <w:tcW w:w="3414" w:type="dxa"/>
            <w:tcBorders>
              <w:top w:val="nil"/>
              <w:left w:val="single" w:sz="4" w:space="0" w:color="auto"/>
              <w:bottom w:val="single" w:sz="4" w:space="0" w:color="auto"/>
              <w:right w:val="single" w:sz="4" w:space="0" w:color="auto"/>
            </w:tcBorders>
            <w:shd w:val="clear" w:color="auto" w:fill="auto"/>
            <w:vAlign w:val="center"/>
            <w:hideMark/>
          </w:tcPr>
          <w:p w14:paraId="23D1285F" w14:textId="77777777" w:rsidR="00F37D59" w:rsidRPr="00E33BAB" w:rsidRDefault="00F37D59" w:rsidP="006127E1">
            <w:pPr>
              <w:spacing w:after="0" w:line="276" w:lineRule="auto"/>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1.1.9. Asistență tehnică pentru evaluarea Sistemului Informațional Automatizat „Asistența Medicală Primară (AIS PHC)</w:t>
            </w:r>
          </w:p>
        </w:tc>
        <w:tc>
          <w:tcPr>
            <w:tcW w:w="1559" w:type="dxa"/>
            <w:tcBorders>
              <w:top w:val="nil"/>
              <w:left w:val="nil"/>
              <w:bottom w:val="single" w:sz="4" w:space="0" w:color="auto"/>
              <w:right w:val="single" w:sz="4" w:space="0" w:color="auto"/>
            </w:tcBorders>
            <w:shd w:val="clear" w:color="auto" w:fill="auto"/>
            <w:noWrap/>
            <w:vAlign w:val="center"/>
          </w:tcPr>
          <w:p w14:paraId="56BCE4FE"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0,00</w:t>
            </w:r>
          </w:p>
        </w:tc>
        <w:tc>
          <w:tcPr>
            <w:tcW w:w="1701" w:type="dxa"/>
            <w:tcBorders>
              <w:top w:val="nil"/>
              <w:left w:val="nil"/>
              <w:bottom w:val="single" w:sz="4" w:space="0" w:color="auto"/>
              <w:right w:val="single" w:sz="4" w:space="0" w:color="auto"/>
            </w:tcBorders>
            <w:shd w:val="clear" w:color="auto" w:fill="auto"/>
            <w:noWrap/>
            <w:vAlign w:val="center"/>
          </w:tcPr>
          <w:p w14:paraId="27A9CCA6"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27 203,13</w:t>
            </w:r>
          </w:p>
        </w:tc>
        <w:tc>
          <w:tcPr>
            <w:tcW w:w="1559" w:type="dxa"/>
            <w:tcBorders>
              <w:top w:val="nil"/>
              <w:left w:val="nil"/>
              <w:bottom w:val="single" w:sz="4" w:space="0" w:color="auto"/>
              <w:right w:val="single" w:sz="4" w:space="0" w:color="auto"/>
            </w:tcBorders>
            <w:shd w:val="clear" w:color="auto" w:fill="auto"/>
            <w:noWrap/>
            <w:vAlign w:val="center"/>
          </w:tcPr>
          <w:p w14:paraId="4575796F"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0,00</w:t>
            </w:r>
          </w:p>
        </w:tc>
        <w:tc>
          <w:tcPr>
            <w:tcW w:w="1701" w:type="dxa"/>
            <w:tcBorders>
              <w:top w:val="nil"/>
              <w:left w:val="nil"/>
              <w:bottom w:val="single" w:sz="4" w:space="0" w:color="auto"/>
              <w:right w:val="single" w:sz="4" w:space="0" w:color="auto"/>
            </w:tcBorders>
            <w:shd w:val="clear" w:color="auto" w:fill="auto"/>
            <w:noWrap/>
            <w:vAlign w:val="center"/>
          </w:tcPr>
          <w:p w14:paraId="46C06181"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27 203,13</w:t>
            </w:r>
          </w:p>
        </w:tc>
        <w:tc>
          <w:tcPr>
            <w:tcW w:w="1701" w:type="dxa"/>
            <w:tcBorders>
              <w:top w:val="nil"/>
              <w:left w:val="nil"/>
              <w:bottom w:val="single" w:sz="4" w:space="0" w:color="auto"/>
              <w:right w:val="single" w:sz="4" w:space="0" w:color="auto"/>
            </w:tcBorders>
            <w:shd w:val="clear" w:color="auto" w:fill="auto"/>
            <w:noWrap/>
            <w:vAlign w:val="center"/>
          </w:tcPr>
          <w:p w14:paraId="2F52F5B4"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0,00</w:t>
            </w:r>
          </w:p>
        </w:tc>
        <w:tc>
          <w:tcPr>
            <w:tcW w:w="1843" w:type="dxa"/>
            <w:tcBorders>
              <w:top w:val="nil"/>
              <w:left w:val="nil"/>
              <w:bottom w:val="single" w:sz="4" w:space="0" w:color="auto"/>
              <w:right w:val="single" w:sz="4" w:space="0" w:color="auto"/>
            </w:tcBorders>
            <w:shd w:val="clear" w:color="auto" w:fill="auto"/>
            <w:noWrap/>
            <w:vAlign w:val="center"/>
          </w:tcPr>
          <w:p w14:paraId="1CA8C70B"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0,00</w:t>
            </w:r>
          </w:p>
        </w:tc>
        <w:tc>
          <w:tcPr>
            <w:tcW w:w="1258" w:type="dxa"/>
            <w:tcBorders>
              <w:top w:val="nil"/>
              <w:left w:val="nil"/>
              <w:bottom w:val="single" w:sz="4" w:space="0" w:color="auto"/>
              <w:right w:val="single" w:sz="4" w:space="0" w:color="auto"/>
            </w:tcBorders>
            <w:shd w:val="clear" w:color="auto" w:fill="auto"/>
            <w:noWrap/>
            <w:vAlign w:val="center"/>
          </w:tcPr>
          <w:p w14:paraId="11E8C3DF"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27 210,00</w:t>
            </w:r>
          </w:p>
        </w:tc>
      </w:tr>
      <w:tr w:rsidR="00F37D59" w:rsidRPr="00E33BAB" w14:paraId="69E0AAD0" w14:textId="77777777" w:rsidTr="00F37D59">
        <w:trPr>
          <w:trHeight w:val="556"/>
        </w:trPr>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14:paraId="37715511" w14:textId="77777777" w:rsidR="00F37D59" w:rsidRPr="00E33BAB" w:rsidRDefault="00F37D59" w:rsidP="006127E1">
            <w:pPr>
              <w:spacing w:after="0" w:line="276" w:lineRule="auto"/>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1.1.9.a) Coordonator de Proiect AIS PHC</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64FC417"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D2296D3"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7 658,14</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4EF091D"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13D69D0"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7 658,14</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910490A"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0CEDBC6"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0,00</w:t>
            </w:r>
          </w:p>
        </w:tc>
        <w:tc>
          <w:tcPr>
            <w:tcW w:w="1258" w:type="dxa"/>
            <w:tcBorders>
              <w:top w:val="single" w:sz="4" w:space="0" w:color="auto"/>
              <w:left w:val="nil"/>
              <w:bottom w:val="single" w:sz="4" w:space="0" w:color="auto"/>
              <w:right w:val="single" w:sz="4" w:space="0" w:color="auto"/>
            </w:tcBorders>
            <w:shd w:val="clear" w:color="auto" w:fill="auto"/>
            <w:noWrap/>
            <w:vAlign w:val="center"/>
          </w:tcPr>
          <w:p w14:paraId="7AD21E48"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7 658,14</w:t>
            </w:r>
          </w:p>
        </w:tc>
      </w:tr>
      <w:tr w:rsidR="00F37D59" w:rsidRPr="00E33BAB" w14:paraId="4A53E4B6" w14:textId="77777777" w:rsidTr="00F37D59">
        <w:trPr>
          <w:trHeight w:val="540"/>
        </w:trPr>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14:paraId="6B05D4BD" w14:textId="77777777" w:rsidR="00F37D59" w:rsidRPr="00E33BAB" w:rsidRDefault="00F37D59" w:rsidP="006127E1">
            <w:pPr>
              <w:spacing w:after="0" w:line="276" w:lineRule="auto"/>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1.1.9.b) Coordonator de Proiect AIS PHC</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763C849"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47 527,42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A075CB4"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103 321,77</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641B8B5"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52 000,00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257CCCD"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107 794,35</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952DC37"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-4 472,58</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AD70697"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-4 472,58</w:t>
            </w:r>
          </w:p>
        </w:tc>
        <w:tc>
          <w:tcPr>
            <w:tcW w:w="1258" w:type="dxa"/>
            <w:tcBorders>
              <w:top w:val="single" w:sz="4" w:space="0" w:color="auto"/>
              <w:left w:val="nil"/>
              <w:bottom w:val="single" w:sz="4" w:space="0" w:color="auto"/>
              <w:right w:val="single" w:sz="4" w:space="0" w:color="auto"/>
            </w:tcBorders>
            <w:shd w:val="clear" w:color="auto" w:fill="auto"/>
            <w:noWrap/>
            <w:vAlign w:val="center"/>
          </w:tcPr>
          <w:p w14:paraId="0624BC2E"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115 000,00</w:t>
            </w:r>
          </w:p>
        </w:tc>
      </w:tr>
      <w:tr w:rsidR="00F37D59" w:rsidRPr="00E33BAB" w14:paraId="4A47FC47" w14:textId="77777777" w:rsidTr="00F37D59">
        <w:trPr>
          <w:trHeight w:val="1046"/>
        </w:trPr>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14:paraId="0F79F635" w14:textId="77777777" w:rsidR="00F37D59" w:rsidRPr="00E33BAB" w:rsidRDefault="00F37D59" w:rsidP="006127E1">
            <w:pPr>
              <w:spacing w:after="0" w:line="276" w:lineRule="auto"/>
              <w:jc w:val="both"/>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1.1.10 Asistență tehnică internațională pentru revizuirea și actualizarea costurilor necesare investiției în infrastructura spitalelor din Republica Moldova</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EBC61F5"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C06CD78"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82 198,08</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1EC9204" w14:textId="098B59A2" w:rsidR="00F37D59" w:rsidRPr="00E33BAB" w:rsidRDefault="00F37D59" w:rsidP="00F37D59">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BAA6FCE"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82 198,08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5A3D770"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98CE191"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0,00</w:t>
            </w:r>
          </w:p>
        </w:tc>
        <w:tc>
          <w:tcPr>
            <w:tcW w:w="1258" w:type="dxa"/>
            <w:tcBorders>
              <w:top w:val="single" w:sz="4" w:space="0" w:color="auto"/>
              <w:left w:val="nil"/>
              <w:bottom w:val="single" w:sz="4" w:space="0" w:color="auto"/>
              <w:right w:val="single" w:sz="4" w:space="0" w:color="auto"/>
            </w:tcBorders>
            <w:shd w:val="clear" w:color="auto" w:fill="auto"/>
            <w:noWrap/>
            <w:vAlign w:val="center"/>
          </w:tcPr>
          <w:p w14:paraId="0CB65783"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84 000,00</w:t>
            </w:r>
          </w:p>
        </w:tc>
      </w:tr>
      <w:tr w:rsidR="00F37D59" w:rsidRPr="00E33BAB" w14:paraId="456F8D85" w14:textId="77777777" w:rsidTr="00F37D59">
        <w:trPr>
          <w:trHeight w:val="456"/>
        </w:trPr>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14:paraId="46A618C4" w14:textId="77777777" w:rsidR="00F37D59" w:rsidRPr="00DA7824" w:rsidRDefault="00F37D59" w:rsidP="006127E1">
            <w:pPr>
              <w:spacing w:after="0" w:line="276" w:lineRule="auto"/>
              <w:jc w:val="both"/>
              <w:rPr>
                <w:rFonts w:asciiTheme="majorHAnsi" w:eastAsia="Times New Roman" w:hAnsiTheme="majorHAnsi" w:cstheme="majorHAnsi"/>
                <w:sz w:val="18"/>
                <w:szCs w:val="18"/>
                <w:lang w:val="ro-MD"/>
              </w:rPr>
            </w:pPr>
            <w:r w:rsidRPr="00DA7824">
              <w:rPr>
                <w:rFonts w:asciiTheme="majorHAnsi" w:eastAsia="Times New Roman" w:hAnsiTheme="majorHAnsi" w:cstheme="majorHAnsi"/>
                <w:sz w:val="18"/>
                <w:szCs w:val="18"/>
                <w:lang w:val="ro-MD"/>
              </w:rPr>
              <w:t>1.1.11 Asistenta tehnica pentru verificarea DLI 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0BC44FC"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38 450,00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1AF44CD"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38 450,00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1390CF8" w14:textId="41FA56F8" w:rsidR="00F37D59" w:rsidRPr="00E33BAB" w:rsidRDefault="00F37D59" w:rsidP="00F37D59">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61 915,00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4B38878"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61 915,00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D9D195F"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-23 465,00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EE350F7"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-23 465,00</w:t>
            </w:r>
          </w:p>
        </w:tc>
        <w:tc>
          <w:tcPr>
            <w:tcW w:w="1258" w:type="dxa"/>
            <w:tcBorders>
              <w:top w:val="single" w:sz="4" w:space="0" w:color="auto"/>
              <w:left w:val="nil"/>
              <w:bottom w:val="single" w:sz="4" w:space="0" w:color="auto"/>
              <w:right w:val="single" w:sz="4" w:space="0" w:color="auto"/>
            </w:tcBorders>
            <w:shd w:val="clear" w:color="auto" w:fill="auto"/>
            <w:noWrap/>
            <w:vAlign w:val="center"/>
          </w:tcPr>
          <w:p w14:paraId="31A5EC86"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35 000,00</w:t>
            </w:r>
          </w:p>
        </w:tc>
      </w:tr>
      <w:tr w:rsidR="00F37D59" w:rsidRPr="00E33BAB" w14:paraId="4AF29916" w14:textId="77777777" w:rsidTr="00F37D59">
        <w:trPr>
          <w:trHeight w:val="147"/>
        </w:trPr>
        <w:tc>
          <w:tcPr>
            <w:tcW w:w="3414" w:type="dxa"/>
            <w:tcBorders>
              <w:top w:val="nil"/>
              <w:left w:val="single" w:sz="4" w:space="0" w:color="auto"/>
              <w:bottom w:val="single" w:sz="4" w:space="0" w:color="auto"/>
              <w:right w:val="single" w:sz="4" w:space="0" w:color="auto"/>
            </w:tcBorders>
            <w:shd w:val="clear" w:color="auto" w:fill="auto"/>
            <w:noWrap/>
            <w:vAlign w:val="center"/>
            <w:hideMark/>
          </w:tcPr>
          <w:p w14:paraId="63951409" w14:textId="77777777" w:rsidR="00F37D59" w:rsidRPr="00DA7824" w:rsidRDefault="00F37D59" w:rsidP="006127E1">
            <w:pPr>
              <w:spacing w:after="0" w:line="276" w:lineRule="auto"/>
              <w:rPr>
                <w:rFonts w:asciiTheme="majorHAnsi" w:eastAsia="Times New Roman" w:hAnsiTheme="majorHAnsi" w:cstheme="majorHAnsi"/>
                <w:b/>
                <w:bCs/>
                <w:sz w:val="18"/>
                <w:szCs w:val="18"/>
                <w:lang w:val="ro-MD"/>
              </w:rPr>
            </w:pPr>
            <w:r w:rsidRPr="00DA7824">
              <w:rPr>
                <w:rFonts w:asciiTheme="majorHAnsi" w:eastAsia="Times New Roman" w:hAnsiTheme="majorHAnsi" w:cstheme="majorHAnsi"/>
                <w:b/>
                <w:bCs/>
                <w:sz w:val="18"/>
                <w:szCs w:val="18"/>
                <w:lang w:val="ro-MD"/>
              </w:rPr>
              <w:t xml:space="preserve">Activități subtotale de asistență tehnică </w:t>
            </w:r>
          </w:p>
        </w:tc>
        <w:tc>
          <w:tcPr>
            <w:tcW w:w="1559" w:type="dxa"/>
            <w:tcBorders>
              <w:top w:val="nil"/>
              <w:left w:val="nil"/>
              <w:bottom w:val="single" w:sz="4" w:space="0" w:color="auto"/>
              <w:right w:val="single" w:sz="4" w:space="0" w:color="auto"/>
            </w:tcBorders>
            <w:shd w:val="clear" w:color="auto" w:fill="auto"/>
            <w:noWrap/>
            <w:vAlign w:val="center"/>
          </w:tcPr>
          <w:p w14:paraId="39D539BA" w14:textId="77777777" w:rsidR="00F37D59" w:rsidRPr="00E33BAB" w:rsidRDefault="00F37D59" w:rsidP="006127E1">
            <w:pPr>
              <w:spacing w:after="0" w:line="240" w:lineRule="auto"/>
              <w:jc w:val="center"/>
              <w:rPr>
                <w:rFonts w:asciiTheme="majorHAnsi" w:eastAsia="Times New Roman" w:hAnsiTheme="majorHAnsi" w:cstheme="majorHAnsi"/>
                <w:b/>
                <w:sz w:val="18"/>
                <w:szCs w:val="18"/>
                <w:lang w:val="ro-MD"/>
              </w:rPr>
            </w:pPr>
            <w:r w:rsidRPr="00E33BAB">
              <w:rPr>
                <w:rFonts w:asciiTheme="majorHAnsi" w:eastAsia="Times New Roman" w:hAnsiTheme="majorHAnsi" w:cstheme="majorHAnsi"/>
                <w:b/>
                <w:sz w:val="18"/>
                <w:szCs w:val="18"/>
                <w:lang w:val="ro-MD"/>
              </w:rPr>
              <w:t>86 026,68</w:t>
            </w:r>
          </w:p>
        </w:tc>
        <w:tc>
          <w:tcPr>
            <w:tcW w:w="1701" w:type="dxa"/>
            <w:tcBorders>
              <w:top w:val="nil"/>
              <w:left w:val="nil"/>
              <w:bottom w:val="single" w:sz="4" w:space="0" w:color="auto"/>
              <w:right w:val="single" w:sz="4" w:space="0" w:color="auto"/>
            </w:tcBorders>
            <w:shd w:val="clear" w:color="auto" w:fill="auto"/>
            <w:noWrap/>
            <w:vAlign w:val="center"/>
          </w:tcPr>
          <w:p w14:paraId="4414747B" w14:textId="77777777" w:rsidR="00F37D59" w:rsidRPr="00E33BAB" w:rsidRDefault="00F37D59" w:rsidP="006127E1">
            <w:pPr>
              <w:spacing w:after="0" w:line="240" w:lineRule="auto"/>
              <w:jc w:val="center"/>
              <w:rPr>
                <w:rFonts w:asciiTheme="majorHAnsi" w:eastAsia="Times New Roman" w:hAnsiTheme="majorHAnsi" w:cstheme="majorHAnsi"/>
                <w:b/>
                <w:sz w:val="16"/>
                <w:szCs w:val="16"/>
                <w:lang w:val="ro-MD"/>
              </w:rPr>
            </w:pPr>
            <w:r w:rsidRPr="00E33BAB">
              <w:rPr>
                <w:rFonts w:asciiTheme="majorHAnsi" w:eastAsia="Times New Roman" w:hAnsiTheme="majorHAnsi" w:cstheme="majorHAnsi"/>
                <w:b/>
                <w:sz w:val="16"/>
                <w:szCs w:val="16"/>
                <w:lang w:val="ro-MD"/>
              </w:rPr>
              <w:t>1 433 270,28</w:t>
            </w:r>
          </w:p>
        </w:tc>
        <w:tc>
          <w:tcPr>
            <w:tcW w:w="1559" w:type="dxa"/>
            <w:tcBorders>
              <w:top w:val="nil"/>
              <w:left w:val="nil"/>
              <w:bottom w:val="single" w:sz="4" w:space="0" w:color="auto"/>
              <w:right w:val="single" w:sz="4" w:space="0" w:color="auto"/>
            </w:tcBorders>
            <w:shd w:val="clear" w:color="auto" w:fill="auto"/>
            <w:noWrap/>
            <w:vAlign w:val="center"/>
          </w:tcPr>
          <w:p w14:paraId="31014376" w14:textId="77777777" w:rsidR="00F37D59" w:rsidRPr="00E33BAB" w:rsidRDefault="00F37D59" w:rsidP="006127E1">
            <w:pPr>
              <w:spacing w:after="0" w:line="240" w:lineRule="auto"/>
              <w:jc w:val="center"/>
              <w:rPr>
                <w:rFonts w:asciiTheme="majorHAnsi" w:eastAsia="Times New Roman" w:hAnsiTheme="majorHAnsi" w:cstheme="majorHAnsi"/>
                <w:b/>
                <w:sz w:val="18"/>
                <w:szCs w:val="18"/>
                <w:lang w:val="ro-MD"/>
              </w:rPr>
            </w:pPr>
            <w:r w:rsidRPr="00E33BAB">
              <w:rPr>
                <w:rFonts w:asciiTheme="majorHAnsi" w:eastAsia="Times New Roman" w:hAnsiTheme="majorHAnsi" w:cstheme="majorHAnsi"/>
                <w:b/>
                <w:sz w:val="18"/>
                <w:szCs w:val="18"/>
                <w:lang w:val="ro-MD"/>
              </w:rPr>
              <w:t>293 509,54</w:t>
            </w:r>
          </w:p>
        </w:tc>
        <w:tc>
          <w:tcPr>
            <w:tcW w:w="1701" w:type="dxa"/>
            <w:tcBorders>
              <w:top w:val="nil"/>
              <w:left w:val="nil"/>
              <w:bottom w:val="single" w:sz="4" w:space="0" w:color="auto"/>
              <w:right w:val="single" w:sz="4" w:space="0" w:color="auto"/>
            </w:tcBorders>
            <w:shd w:val="clear" w:color="auto" w:fill="auto"/>
            <w:noWrap/>
            <w:vAlign w:val="center"/>
          </w:tcPr>
          <w:p w14:paraId="1885CC14" w14:textId="77777777" w:rsidR="00F37D59" w:rsidRPr="00E33BAB" w:rsidRDefault="00F37D59" w:rsidP="006127E1">
            <w:pPr>
              <w:spacing w:after="0" w:line="240" w:lineRule="auto"/>
              <w:jc w:val="center"/>
              <w:rPr>
                <w:rFonts w:asciiTheme="majorHAnsi" w:eastAsia="Times New Roman" w:hAnsiTheme="majorHAnsi" w:cstheme="majorHAnsi"/>
                <w:b/>
                <w:sz w:val="18"/>
                <w:szCs w:val="18"/>
                <w:lang w:val="ro-MD"/>
              </w:rPr>
            </w:pPr>
            <w:r w:rsidRPr="00E33BAB">
              <w:rPr>
                <w:rFonts w:asciiTheme="majorHAnsi" w:eastAsia="Times New Roman" w:hAnsiTheme="majorHAnsi" w:cstheme="majorHAnsi"/>
                <w:b/>
                <w:sz w:val="18"/>
                <w:szCs w:val="18"/>
                <w:lang w:val="ro-MD"/>
              </w:rPr>
              <w:t>1 640 753,14</w:t>
            </w:r>
          </w:p>
        </w:tc>
        <w:tc>
          <w:tcPr>
            <w:tcW w:w="1701" w:type="dxa"/>
            <w:tcBorders>
              <w:top w:val="nil"/>
              <w:left w:val="nil"/>
              <w:bottom w:val="single" w:sz="4" w:space="0" w:color="auto"/>
              <w:right w:val="single" w:sz="4" w:space="0" w:color="auto"/>
            </w:tcBorders>
            <w:shd w:val="clear" w:color="auto" w:fill="auto"/>
            <w:noWrap/>
            <w:vAlign w:val="center"/>
          </w:tcPr>
          <w:p w14:paraId="021473A3" w14:textId="77777777" w:rsidR="00F37D59" w:rsidRPr="00E33BAB" w:rsidRDefault="00F37D59" w:rsidP="006127E1">
            <w:pPr>
              <w:spacing w:after="0" w:line="240" w:lineRule="auto"/>
              <w:jc w:val="center"/>
              <w:rPr>
                <w:rFonts w:asciiTheme="majorHAnsi" w:eastAsia="Times New Roman" w:hAnsiTheme="majorHAnsi" w:cstheme="majorHAnsi"/>
                <w:b/>
                <w:sz w:val="18"/>
                <w:szCs w:val="18"/>
                <w:lang w:val="ro-MD"/>
              </w:rPr>
            </w:pPr>
            <w:r w:rsidRPr="00E33BAB">
              <w:rPr>
                <w:rFonts w:asciiTheme="majorHAnsi" w:eastAsia="Times New Roman" w:hAnsiTheme="majorHAnsi" w:cstheme="majorHAnsi"/>
                <w:b/>
                <w:sz w:val="18"/>
                <w:szCs w:val="18"/>
                <w:lang w:val="ro-MD"/>
              </w:rPr>
              <w:t>-207 482,86</w:t>
            </w:r>
          </w:p>
        </w:tc>
        <w:tc>
          <w:tcPr>
            <w:tcW w:w="1843" w:type="dxa"/>
            <w:tcBorders>
              <w:top w:val="nil"/>
              <w:left w:val="nil"/>
              <w:bottom w:val="single" w:sz="4" w:space="0" w:color="auto"/>
              <w:right w:val="single" w:sz="4" w:space="0" w:color="auto"/>
            </w:tcBorders>
            <w:shd w:val="clear" w:color="auto" w:fill="auto"/>
            <w:noWrap/>
            <w:vAlign w:val="center"/>
          </w:tcPr>
          <w:p w14:paraId="65A4ED02" w14:textId="77777777" w:rsidR="00F37D59" w:rsidRPr="00E33BAB" w:rsidRDefault="00F37D59" w:rsidP="006127E1">
            <w:pPr>
              <w:spacing w:after="0" w:line="240" w:lineRule="auto"/>
              <w:jc w:val="center"/>
              <w:rPr>
                <w:rFonts w:asciiTheme="majorHAnsi" w:eastAsia="Times New Roman" w:hAnsiTheme="majorHAnsi" w:cstheme="majorHAnsi"/>
                <w:b/>
                <w:sz w:val="18"/>
                <w:szCs w:val="18"/>
                <w:lang w:val="ro-MD"/>
              </w:rPr>
            </w:pPr>
            <w:r w:rsidRPr="00E33BAB">
              <w:rPr>
                <w:rFonts w:asciiTheme="majorHAnsi" w:eastAsia="Times New Roman" w:hAnsiTheme="majorHAnsi" w:cstheme="majorHAnsi"/>
                <w:b/>
                <w:sz w:val="18"/>
                <w:szCs w:val="18"/>
                <w:lang w:val="ro-MD"/>
              </w:rPr>
              <w:t>-207 482.86</w:t>
            </w:r>
          </w:p>
        </w:tc>
        <w:tc>
          <w:tcPr>
            <w:tcW w:w="1258" w:type="dxa"/>
            <w:tcBorders>
              <w:top w:val="nil"/>
              <w:left w:val="nil"/>
              <w:bottom w:val="single" w:sz="4" w:space="0" w:color="auto"/>
              <w:right w:val="single" w:sz="4" w:space="0" w:color="auto"/>
            </w:tcBorders>
            <w:shd w:val="clear" w:color="auto" w:fill="auto"/>
            <w:noWrap/>
            <w:vAlign w:val="center"/>
          </w:tcPr>
          <w:p w14:paraId="032559CC" w14:textId="77777777" w:rsidR="00F37D59" w:rsidRPr="00E33BAB" w:rsidRDefault="00F37D59" w:rsidP="006127E1">
            <w:pPr>
              <w:spacing w:after="0" w:line="240" w:lineRule="auto"/>
              <w:jc w:val="center"/>
              <w:rPr>
                <w:rFonts w:asciiTheme="majorHAnsi" w:eastAsia="Times New Roman" w:hAnsiTheme="majorHAnsi" w:cstheme="majorHAnsi"/>
                <w:b/>
                <w:sz w:val="18"/>
                <w:szCs w:val="18"/>
                <w:lang w:val="ro-MD"/>
              </w:rPr>
            </w:pPr>
            <w:r w:rsidRPr="00E33BAB">
              <w:rPr>
                <w:rFonts w:asciiTheme="majorHAnsi" w:eastAsia="Times New Roman" w:hAnsiTheme="majorHAnsi" w:cstheme="majorHAnsi"/>
                <w:b/>
                <w:sz w:val="18"/>
                <w:szCs w:val="18"/>
                <w:lang w:val="ro-MD"/>
              </w:rPr>
              <w:t>1 640 753,14</w:t>
            </w:r>
          </w:p>
        </w:tc>
      </w:tr>
      <w:tr w:rsidR="00F37D59" w:rsidRPr="00E33BAB" w14:paraId="7493CDE1" w14:textId="77777777" w:rsidTr="00F37D59">
        <w:trPr>
          <w:trHeight w:val="194"/>
        </w:trPr>
        <w:tc>
          <w:tcPr>
            <w:tcW w:w="3414" w:type="dxa"/>
            <w:tcBorders>
              <w:top w:val="nil"/>
              <w:left w:val="single" w:sz="4" w:space="0" w:color="auto"/>
              <w:bottom w:val="single" w:sz="4" w:space="0" w:color="auto"/>
              <w:right w:val="single" w:sz="4" w:space="0" w:color="auto"/>
            </w:tcBorders>
            <w:shd w:val="clear" w:color="auto" w:fill="auto"/>
            <w:noWrap/>
            <w:vAlign w:val="center"/>
            <w:hideMark/>
          </w:tcPr>
          <w:p w14:paraId="57E7C0C0" w14:textId="77777777" w:rsidR="00F37D59" w:rsidRPr="00DA7824" w:rsidRDefault="00F37D59" w:rsidP="006127E1">
            <w:pPr>
              <w:spacing w:after="0" w:line="276" w:lineRule="auto"/>
              <w:rPr>
                <w:rFonts w:asciiTheme="majorHAnsi" w:eastAsia="Times New Roman" w:hAnsiTheme="majorHAnsi" w:cstheme="majorHAnsi"/>
                <w:b/>
                <w:bCs/>
                <w:sz w:val="18"/>
                <w:szCs w:val="18"/>
                <w:lang w:val="ro-MD"/>
              </w:rPr>
            </w:pPr>
            <w:r w:rsidRPr="00DA7824">
              <w:rPr>
                <w:rFonts w:asciiTheme="majorHAnsi" w:eastAsia="Times New Roman" w:hAnsiTheme="majorHAnsi" w:cstheme="majorHAnsi"/>
                <w:b/>
                <w:bCs/>
                <w:sz w:val="18"/>
                <w:szCs w:val="18"/>
                <w:lang w:val="ro-MD"/>
              </w:rPr>
              <w:t>1.2 Sprijin instituțional</w:t>
            </w:r>
          </w:p>
        </w:tc>
        <w:tc>
          <w:tcPr>
            <w:tcW w:w="1559" w:type="dxa"/>
            <w:tcBorders>
              <w:top w:val="nil"/>
              <w:left w:val="nil"/>
              <w:bottom w:val="single" w:sz="4" w:space="0" w:color="auto"/>
              <w:right w:val="single" w:sz="4" w:space="0" w:color="auto"/>
            </w:tcBorders>
            <w:shd w:val="clear" w:color="auto" w:fill="auto"/>
            <w:noWrap/>
            <w:vAlign w:val="center"/>
          </w:tcPr>
          <w:p w14:paraId="08CDA4C6"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p>
        </w:tc>
        <w:tc>
          <w:tcPr>
            <w:tcW w:w="1701" w:type="dxa"/>
            <w:tcBorders>
              <w:top w:val="nil"/>
              <w:left w:val="nil"/>
              <w:bottom w:val="single" w:sz="4" w:space="0" w:color="auto"/>
              <w:right w:val="single" w:sz="4" w:space="0" w:color="auto"/>
            </w:tcBorders>
            <w:shd w:val="clear" w:color="auto" w:fill="auto"/>
            <w:noWrap/>
            <w:vAlign w:val="center"/>
          </w:tcPr>
          <w:p w14:paraId="54370649"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p>
        </w:tc>
        <w:tc>
          <w:tcPr>
            <w:tcW w:w="1559" w:type="dxa"/>
            <w:tcBorders>
              <w:top w:val="nil"/>
              <w:left w:val="nil"/>
              <w:bottom w:val="single" w:sz="4" w:space="0" w:color="auto"/>
              <w:right w:val="single" w:sz="4" w:space="0" w:color="auto"/>
            </w:tcBorders>
            <w:shd w:val="clear" w:color="auto" w:fill="auto"/>
            <w:noWrap/>
            <w:vAlign w:val="center"/>
          </w:tcPr>
          <w:p w14:paraId="3695ADFA"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p>
        </w:tc>
        <w:tc>
          <w:tcPr>
            <w:tcW w:w="1701" w:type="dxa"/>
            <w:tcBorders>
              <w:top w:val="nil"/>
              <w:left w:val="nil"/>
              <w:bottom w:val="single" w:sz="4" w:space="0" w:color="auto"/>
              <w:right w:val="single" w:sz="4" w:space="0" w:color="auto"/>
            </w:tcBorders>
            <w:shd w:val="clear" w:color="auto" w:fill="auto"/>
            <w:noWrap/>
            <w:vAlign w:val="center"/>
          </w:tcPr>
          <w:p w14:paraId="27402FBB"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p>
        </w:tc>
        <w:tc>
          <w:tcPr>
            <w:tcW w:w="1701" w:type="dxa"/>
            <w:tcBorders>
              <w:top w:val="nil"/>
              <w:left w:val="nil"/>
              <w:bottom w:val="single" w:sz="4" w:space="0" w:color="auto"/>
              <w:right w:val="single" w:sz="4" w:space="0" w:color="auto"/>
            </w:tcBorders>
            <w:shd w:val="clear" w:color="auto" w:fill="auto"/>
            <w:noWrap/>
            <w:vAlign w:val="center"/>
          </w:tcPr>
          <w:p w14:paraId="4C5588B5"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p>
        </w:tc>
        <w:tc>
          <w:tcPr>
            <w:tcW w:w="1843" w:type="dxa"/>
            <w:tcBorders>
              <w:top w:val="nil"/>
              <w:left w:val="nil"/>
              <w:bottom w:val="single" w:sz="4" w:space="0" w:color="auto"/>
              <w:right w:val="single" w:sz="4" w:space="0" w:color="auto"/>
            </w:tcBorders>
            <w:shd w:val="clear" w:color="auto" w:fill="auto"/>
            <w:noWrap/>
            <w:vAlign w:val="center"/>
          </w:tcPr>
          <w:p w14:paraId="086A7454"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p>
        </w:tc>
        <w:tc>
          <w:tcPr>
            <w:tcW w:w="1258" w:type="dxa"/>
            <w:tcBorders>
              <w:top w:val="nil"/>
              <w:left w:val="nil"/>
              <w:bottom w:val="single" w:sz="4" w:space="0" w:color="auto"/>
              <w:right w:val="single" w:sz="4" w:space="0" w:color="auto"/>
            </w:tcBorders>
            <w:shd w:val="clear" w:color="auto" w:fill="auto"/>
            <w:noWrap/>
            <w:vAlign w:val="center"/>
          </w:tcPr>
          <w:p w14:paraId="76FD758E"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p>
        </w:tc>
      </w:tr>
      <w:tr w:rsidR="00F37D59" w:rsidRPr="00E33BAB" w14:paraId="604839BC" w14:textId="77777777" w:rsidTr="00F37D59">
        <w:trPr>
          <w:trHeight w:val="312"/>
        </w:trPr>
        <w:tc>
          <w:tcPr>
            <w:tcW w:w="3414" w:type="dxa"/>
            <w:tcBorders>
              <w:top w:val="nil"/>
              <w:left w:val="single" w:sz="4" w:space="0" w:color="auto"/>
              <w:bottom w:val="single" w:sz="4" w:space="0" w:color="auto"/>
              <w:right w:val="single" w:sz="4" w:space="0" w:color="auto"/>
            </w:tcBorders>
            <w:shd w:val="clear" w:color="auto" w:fill="auto"/>
            <w:noWrap/>
            <w:vAlign w:val="center"/>
            <w:hideMark/>
          </w:tcPr>
          <w:p w14:paraId="654E3655" w14:textId="77777777" w:rsidR="00F37D59" w:rsidRPr="00DA7824" w:rsidRDefault="00F37D59" w:rsidP="006127E1">
            <w:pPr>
              <w:spacing w:after="0" w:line="276" w:lineRule="auto"/>
              <w:jc w:val="both"/>
              <w:rPr>
                <w:rFonts w:asciiTheme="majorHAnsi" w:eastAsia="Times New Roman" w:hAnsiTheme="majorHAnsi" w:cstheme="majorHAnsi"/>
                <w:sz w:val="18"/>
                <w:szCs w:val="18"/>
                <w:lang w:val="ro-MD"/>
              </w:rPr>
            </w:pPr>
            <w:r w:rsidRPr="00DA7824">
              <w:rPr>
                <w:rFonts w:asciiTheme="majorHAnsi" w:eastAsia="Times New Roman" w:hAnsiTheme="majorHAnsi" w:cstheme="majorHAnsi"/>
                <w:sz w:val="18"/>
                <w:szCs w:val="18"/>
                <w:lang w:val="ro-MD"/>
              </w:rPr>
              <w:t>1.2.1 Echipa de implementare a MSMPS (Coordonator și Consultant FM)</w:t>
            </w:r>
          </w:p>
        </w:tc>
        <w:tc>
          <w:tcPr>
            <w:tcW w:w="1559" w:type="dxa"/>
            <w:tcBorders>
              <w:top w:val="nil"/>
              <w:left w:val="nil"/>
              <w:bottom w:val="single" w:sz="4" w:space="0" w:color="auto"/>
              <w:right w:val="single" w:sz="4" w:space="0" w:color="auto"/>
            </w:tcBorders>
            <w:shd w:val="clear" w:color="auto" w:fill="auto"/>
            <w:noWrap/>
            <w:vAlign w:val="center"/>
          </w:tcPr>
          <w:p w14:paraId="56FA8F18"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31 677,44</w:t>
            </w:r>
          </w:p>
        </w:tc>
        <w:tc>
          <w:tcPr>
            <w:tcW w:w="1701" w:type="dxa"/>
            <w:tcBorders>
              <w:top w:val="nil"/>
              <w:left w:val="nil"/>
              <w:bottom w:val="single" w:sz="4" w:space="0" w:color="auto"/>
              <w:right w:val="single" w:sz="4" w:space="0" w:color="auto"/>
            </w:tcBorders>
            <w:shd w:val="clear" w:color="auto" w:fill="auto"/>
            <w:noWrap/>
            <w:vAlign w:val="center"/>
          </w:tcPr>
          <w:p w14:paraId="655070CC"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160 438,90</w:t>
            </w:r>
          </w:p>
        </w:tc>
        <w:tc>
          <w:tcPr>
            <w:tcW w:w="1559" w:type="dxa"/>
            <w:tcBorders>
              <w:top w:val="nil"/>
              <w:left w:val="nil"/>
              <w:bottom w:val="single" w:sz="4" w:space="0" w:color="auto"/>
              <w:right w:val="single" w:sz="4" w:space="0" w:color="auto"/>
            </w:tcBorders>
            <w:shd w:val="clear" w:color="auto" w:fill="auto"/>
            <w:noWrap/>
            <w:vAlign w:val="center"/>
          </w:tcPr>
          <w:p w14:paraId="6AE1E8C0"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50 000,00</w:t>
            </w:r>
          </w:p>
        </w:tc>
        <w:tc>
          <w:tcPr>
            <w:tcW w:w="1701" w:type="dxa"/>
            <w:tcBorders>
              <w:top w:val="nil"/>
              <w:left w:val="nil"/>
              <w:bottom w:val="single" w:sz="4" w:space="0" w:color="auto"/>
              <w:right w:val="single" w:sz="4" w:space="0" w:color="auto"/>
            </w:tcBorders>
            <w:shd w:val="clear" w:color="auto" w:fill="auto"/>
            <w:noWrap/>
            <w:vAlign w:val="center"/>
          </w:tcPr>
          <w:p w14:paraId="77AAEDCE"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178 761,46</w:t>
            </w:r>
          </w:p>
        </w:tc>
        <w:tc>
          <w:tcPr>
            <w:tcW w:w="1701" w:type="dxa"/>
            <w:tcBorders>
              <w:top w:val="nil"/>
              <w:left w:val="nil"/>
              <w:bottom w:val="single" w:sz="4" w:space="0" w:color="auto"/>
              <w:right w:val="single" w:sz="4" w:space="0" w:color="auto"/>
            </w:tcBorders>
            <w:shd w:val="clear" w:color="auto" w:fill="auto"/>
            <w:noWrap/>
            <w:vAlign w:val="center"/>
          </w:tcPr>
          <w:p w14:paraId="7581F22C"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-18 322,56</w:t>
            </w:r>
          </w:p>
        </w:tc>
        <w:tc>
          <w:tcPr>
            <w:tcW w:w="1843" w:type="dxa"/>
            <w:tcBorders>
              <w:top w:val="nil"/>
              <w:left w:val="nil"/>
              <w:bottom w:val="single" w:sz="4" w:space="0" w:color="auto"/>
              <w:right w:val="single" w:sz="4" w:space="0" w:color="auto"/>
            </w:tcBorders>
            <w:shd w:val="clear" w:color="auto" w:fill="auto"/>
            <w:noWrap/>
            <w:vAlign w:val="center"/>
          </w:tcPr>
          <w:p w14:paraId="15346E1C"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-18 322,56</w:t>
            </w:r>
          </w:p>
        </w:tc>
        <w:tc>
          <w:tcPr>
            <w:tcW w:w="1258" w:type="dxa"/>
            <w:tcBorders>
              <w:top w:val="nil"/>
              <w:left w:val="nil"/>
              <w:bottom w:val="single" w:sz="4" w:space="0" w:color="auto"/>
              <w:right w:val="single" w:sz="4" w:space="0" w:color="auto"/>
            </w:tcBorders>
            <w:shd w:val="clear" w:color="auto" w:fill="auto"/>
            <w:noWrap/>
            <w:vAlign w:val="center"/>
          </w:tcPr>
          <w:p w14:paraId="1770DFD9"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172 000,00</w:t>
            </w:r>
          </w:p>
        </w:tc>
      </w:tr>
      <w:tr w:rsidR="00F37D59" w:rsidRPr="00E33BAB" w14:paraId="0E81B950" w14:textId="77777777" w:rsidTr="00F37D59">
        <w:trPr>
          <w:trHeight w:val="189"/>
        </w:trPr>
        <w:tc>
          <w:tcPr>
            <w:tcW w:w="3414" w:type="dxa"/>
            <w:tcBorders>
              <w:top w:val="nil"/>
              <w:left w:val="single" w:sz="4" w:space="0" w:color="auto"/>
              <w:bottom w:val="single" w:sz="4" w:space="0" w:color="auto"/>
              <w:right w:val="single" w:sz="4" w:space="0" w:color="auto"/>
            </w:tcBorders>
            <w:shd w:val="clear" w:color="auto" w:fill="auto"/>
            <w:noWrap/>
            <w:vAlign w:val="center"/>
            <w:hideMark/>
          </w:tcPr>
          <w:p w14:paraId="4DDBBA16" w14:textId="77777777" w:rsidR="00F37D59" w:rsidRPr="00DA7824" w:rsidRDefault="00F37D59" w:rsidP="006127E1">
            <w:pPr>
              <w:spacing w:after="0" w:line="276" w:lineRule="auto"/>
              <w:rPr>
                <w:rFonts w:asciiTheme="majorHAnsi" w:eastAsia="Times New Roman" w:hAnsiTheme="majorHAnsi" w:cstheme="majorHAnsi"/>
                <w:sz w:val="18"/>
                <w:szCs w:val="18"/>
                <w:lang w:val="ro-MD"/>
              </w:rPr>
            </w:pPr>
            <w:r w:rsidRPr="00DA7824">
              <w:rPr>
                <w:rFonts w:asciiTheme="majorHAnsi" w:eastAsia="Times New Roman" w:hAnsiTheme="majorHAnsi" w:cstheme="majorHAnsi"/>
                <w:sz w:val="18"/>
                <w:szCs w:val="18"/>
                <w:lang w:val="ro-MD"/>
              </w:rPr>
              <w:t>1.2.2 Consultant de achiziții</w:t>
            </w:r>
          </w:p>
        </w:tc>
        <w:tc>
          <w:tcPr>
            <w:tcW w:w="1559" w:type="dxa"/>
            <w:tcBorders>
              <w:top w:val="nil"/>
              <w:left w:val="nil"/>
              <w:bottom w:val="single" w:sz="4" w:space="0" w:color="auto"/>
              <w:right w:val="single" w:sz="4" w:space="0" w:color="auto"/>
            </w:tcBorders>
            <w:shd w:val="clear" w:color="auto" w:fill="auto"/>
            <w:noWrap/>
            <w:vAlign w:val="center"/>
          </w:tcPr>
          <w:p w14:paraId="76C687E2"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9 492,61</w:t>
            </w:r>
          </w:p>
        </w:tc>
        <w:tc>
          <w:tcPr>
            <w:tcW w:w="1701" w:type="dxa"/>
            <w:tcBorders>
              <w:top w:val="nil"/>
              <w:left w:val="nil"/>
              <w:bottom w:val="single" w:sz="4" w:space="0" w:color="auto"/>
              <w:right w:val="single" w:sz="4" w:space="0" w:color="auto"/>
            </w:tcBorders>
            <w:shd w:val="clear" w:color="auto" w:fill="auto"/>
            <w:noWrap/>
            <w:vAlign w:val="center"/>
          </w:tcPr>
          <w:p w14:paraId="3957D872"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60 029,72</w:t>
            </w:r>
          </w:p>
        </w:tc>
        <w:tc>
          <w:tcPr>
            <w:tcW w:w="1559" w:type="dxa"/>
            <w:tcBorders>
              <w:top w:val="nil"/>
              <w:left w:val="nil"/>
              <w:bottom w:val="single" w:sz="4" w:space="0" w:color="auto"/>
              <w:right w:val="single" w:sz="4" w:space="0" w:color="auto"/>
            </w:tcBorders>
            <w:shd w:val="clear" w:color="auto" w:fill="auto"/>
            <w:noWrap/>
            <w:vAlign w:val="center"/>
          </w:tcPr>
          <w:p w14:paraId="7022EBCC"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20 000,00</w:t>
            </w:r>
          </w:p>
        </w:tc>
        <w:tc>
          <w:tcPr>
            <w:tcW w:w="1701" w:type="dxa"/>
            <w:tcBorders>
              <w:top w:val="nil"/>
              <w:left w:val="nil"/>
              <w:bottom w:val="single" w:sz="4" w:space="0" w:color="auto"/>
              <w:right w:val="single" w:sz="4" w:space="0" w:color="auto"/>
            </w:tcBorders>
            <w:shd w:val="clear" w:color="auto" w:fill="auto"/>
            <w:noWrap/>
            <w:vAlign w:val="center"/>
          </w:tcPr>
          <w:p w14:paraId="06BCEFD1"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70 537,11</w:t>
            </w:r>
          </w:p>
        </w:tc>
        <w:tc>
          <w:tcPr>
            <w:tcW w:w="1701" w:type="dxa"/>
            <w:tcBorders>
              <w:top w:val="nil"/>
              <w:left w:val="nil"/>
              <w:bottom w:val="single" w:sz="4" w:space="0" w:color="auto"/>
              <w:right w:val="single" w:sz="4" w:space="0" w:color="auto"/>
            </w:tcBorders>
            <w:shd w:val="clear" w:color="auto" w:fill="auto"/>
            <w:noWrap/>
            <w:vAlign w:val="center"/>
          </w:tcPr>
          <w:p w14:paraId="1B88AEBF"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-10 507,39</w:t>
            </w:r>
          </w:p>
        </w:tc>
        <w:tc>
          <w:tcPr>
            <w:tcW w:w="1843" w:type="dxa"/>
            <w:tcBorders>
              <w:top w:val="nil"/>
              <w:left w:val="nil"/>
              <w:bottom w:val="single" w:sz="4" w:space="0" w:color="auto"/>
              <w:right w:val="single" w:sz="4" w:space="0" w:color="auto"/>
            </w:tcBorders>
            <w:shd w:val="clear" w:color="auto" w:fill="auto"/>
            <w:noWrap/>
            <w:vAlign w:val="center"/>
          </w:tcPr>
          <w:p w14:paraId="65A497FF"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-10 507,39</w:t>
            </w:r>
          </w:p>
        </w:tc>
        <w:tc>
          <w:tcPr>
            <w:tcW w:w="1258" w:type="dxa"/>
            <w:tcBorders>
              <w:top w:val="nil"/>
              <w:left w:val="nil"/>
              <w:bottom w:val="single" w:sz="4" w:space="0" w:color="auto"/>
              <w:right w:val="single" w:sz="4" w:space="0" w:color="auto"/>
            </w:tcBorders>
            <w:shd w:val="clear" w:color="auto" w:fill="auto"/>
            <w:noWrap/>
            <w:vAlign w:val="center"/>
          </w:tcPr>
          <w:p w14:paraId="7667FDD5"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70 000,00</w:t>
            </w:r>
          </w:p>
        </w:tc>
      </w:tr>
      <w:tr w:rsidR="00F37D59" w:rsidRPr="00E33BAB" w14:paraId="0EFF4100" w14:textId="77777777" w:rsidTr="00F37D59">
        <w:trPr>
          <w:trHeight w:val="236"/>
        </w:trPr>
        <w:tc>
          <w:tcPr>
            <w:tcW w:w="3414" w:type="dxa"/>
            <w:tcBorders>
              <w:top w:val="nil"/>
              <w:left w:val="single" w:sz="4" w:space="0" w:color="auto"/>
              <w:bottom w:val="single" w:sz="4" w:space="0" w:color="auto"/>
              <w:right w:val="single" w:sz="4" w:space="0" w:color="auto"/>
            </w:tcBorders>
            <w:shd w:val="clear" w:color="auto" w:fill="auto"/>
            <w:noWrap/>
            <w:vAlign w:val="center"/>
            <w:hideMark/>
          </w:tcPr>
          <w:p w14:paraId="21AED8F4" w14:textId="77777777" w:rsidR="00F37D59" w:rsidRPr="00DA7824" w:rsidRDefault="00F37D59" w:rsidP="006127E1">
            <w:pPr>
              <w:spacing w:after="0" w:line="276" w:lineRule="auto"/>
              <w:rPr>
                <w:rFonts w:asciiTheme="majorHAnsi" w:eastAsia="Times New Roman" w:hAnsiTheme="majorHAnsi" w:cstheme="majorHAnsi"/>
                <w:sz w:val="18"/>
                <w:szCs w:val="18"/>
                <w:lang w:val="ro-MD"/>
              </w:rPr>
            </w:pPr>
            <w:r w:rsidRPr="00DA7824">
              <w:rPr>
                <w:rFonts w:asciiTheme="majorHAnsi" w:eastAsia="Times New Roman" w:hAnsiTheme="majorHAnsi" w:cstheme="majorHAnsi"/>
                <w:sz w:val="18"/>
                <w:szCs w:val="18"/>
                <w:lang w:val="ro-MD"/>
              </w:rPr>
              <w:t>1.2.3 Costuri de operare (inclusiv comunicare)</w:t>
            </w:r>
          </w:p>
        </w:tc>
        <w:tc>
          <w:tcPr>
            <w:tcW w:w="1559" w:type="dxa"/>
            <w:tcBorders>
              <w:top w:val="nil"/>
              <w:left w:val="nil"/>
              <w:bottom w:val="single" w:sz="4" w:space="0" w:color="auto"/>
              <w:right w:val="single" w:sz="4" w:space="0" w:color="auto"/>
            </w:tcBorders>
            <w:shd w:val="clear" w:color="auto" w:fill="auto"/>
            <w:noWrap/>
            <w:vAlign w:val="center"/>
          </w:tcPr>
          <w:p w14:paraId="7D5E2A97"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2 147,36</w:t>
            </w:r>
          </w:p>
        </w:tc>
        <w:tc>
          <w:tcPr>
            <w:tcW w:w="1701" w:type="dxa"/>
            <w:tcBorders>
              <w:top w:val="nil"/>
              <w:left w:val="nil"/>
              <w:bottom w:val="single" w:sz="4" w:space="0" w:color="auto"/>
              <w:right w:val="single" w:sz="4" w:space="0" w:color="auto"/>
            </w:tcBorders>
            <w:shd w:val="clear" w:color="auto" w:fill="auto"/>
            <w:noWrap/>
            <w:vAlign w:val="center"/>
          </w:tcPr>
          <w:p w14:paraId="2094E53C"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12 830,26</w:t>
            </w:r>
          </w:p>
        </w:tc>
        <w:tc>
          <w:tcPr>
            <w:tcW w:w="1559" w:type="dxa"/>
            <w:tcBorders>
              <w:top w:val="nil"/>
              <w:left w:val="nil"/>
              <w:bottom w:val="single" w:sz="4" w:space="0" w:color="auto"/>
              <w:right w:val="single" w:sz="4" w:space="0" w:color="auto"/>
            </w:tcBorders>
            <w:shd w:val="clear" w:color="auto" w:fill="auto"/>
            <w:noWrap/>
            <w:vAlign w:val="center"/>
          </w:tcPr>
          <w:p w14:paraId="0787E57C"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61 505,39</w:t>
            </w:r>
          </w:p>
        </w:tc>
        <w:tc>
          <w:tcPr>
            <w:tcW w:w="1701" w:type="dxa"/>
            <w:tcBorders>
              <w:top w:val="nil"/>
              <w:left w:val="nil"/>
              <w:bottom w:val="single" w:sz="4" w:space="0" w:color="auto"/>
              <w:right w:val="single" w:sz="4" w:space="0" w:color="auto"/>
            </w:tcBorders>
            <w:shd w:val="clear" w:color="auto" w:fill="auto"/>
            <w:noWrap/>
            <w:vAlign w:val="center"/>
          </w:tcPr>
          <w:p w14:paraId="037B78C7"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72 188,29</w:t>
            </w:r>
          </w:p>
        </w:tc>
        <w:tc>
          <w:tcPr>
            <w:tcW w:w="1701" w:type="dxa"/>
            <w:tcBorders>
              <w:top w:val="nil"/>
              <w:left w:val="nil"/>
              <w:bottom w:val="single" w:sz="4" w:space="0" w:color="auto"/>
              <w:right w:val="single" w:sz="4" w:space="0" w:color="auto"/>
            </w:tcBorders>
            <w:shd w:val="clear" w:color="auto" w:fill="auto"/>
            <w:noWrap/>
            <w:vAlign w:val="center"/>
          </w:tcPr>
          <w:p w14:paraId="34B8C22E"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-59 358,03</w:t>
            </w:r>
          </w:p>
        </w:tc>
        <w:tc>
          <w:tcPr>
            <w:tcW w:w="1843" w:type="dxa"/>
            <w:tcBorders>
              <w:top w:val="nil"/>
              <w:left w:val="nil"/>
              <w:bottom w:val="single" w:sz="4" w:space="0" w:color="auto"/>
              <w:right w:val="single" w:sz="4" w:space="0" w:color="auto"/>
            </w:tcBorders>
            <w:shd w:val="clear" w:color="auto" w:fill="auto"/>
            <w:noWrap/>
            <w:vAlign w:val="center"/>
          </w:tcPr>
          <w:p w14:paraId="2EFE2931"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-59 358,03</w:t>
            </w:r>
          </w:p>
        </w:tc>
        <w:tc>
          <w:tcPr>
            <w:tcW w:w="1258" w:type="dxa"/>
            <w:tcBorders>
              <w:top w:val="nil"/>
              <w:left w:val="nil"/>
              <w:bottom w:val="single" w:sz="4" w:space="0" w:color="auto"/>
              <w:right w:val="single" w:sz="4" w:space="0" w:color="auto"/>
            </w:tcBorders>
            <w:shd w:val="clear" w:color="auto" w:fill="auto"/>
            <w:noWrap/>
            <w:vAlign w:val="center"/>
          </w:tcPr>
          <w:p w14:paraId="677F0567"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79 486,86</w:t>
            </w:r>
          </w:p>
        </w:tc>
      </w:tr>
      <w:tr w:rsidR="00F37D59" w:rsidRPr="00E33BAB" w14:paraId="45618260" w14:textId="77777777" w:rsidTr="00F37D59">
        <w:trPr>
          <w:trHeight w:val="268"/>
        </w:trPr>
        <w:tc>
          <w:tcPr>
            <w:tcW w:w="3414" w:type="dxa"/>
            <w:tcBorders>
              <w:top w:val="nil"/>
              <w:left w:val="single" w:sz="4" w:space="0" w:color="auto"/>
              <w:bottom w:val="single" w:sz="4" w:space="0" w:color="auto"/>
              <w:right w:val="single" w:sz="4" w:space="0" w:color="auto"/>
            </w:tcBorders>
            <w:shd w:val="clear" w:color="auto" w:fill="auto"/>
            <w:noWrap/>
            <w:vAlign w:val="center"/>
            <w:hideMark/>
          </w:tcPr>
          <w:p w14:paraId="716D44C9" w14:textId="77777777" w:rsidR="00F37D59" w:rsidRPr="00E33BAB" w:rsidRDefault="00F37D59" w:rsidP="006127E1">
            <w:pPr>
              <w:spacing w:after="0" w:line="276" w:lineRule="auto"/>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1.2.4 Auditul financiar anual</w:t>
            </w:r>
          </w:p>
        </w:tc>
        <w:tc>
          <w:tcPr>
            <w:tcW w:w="1559" w:type="dxa"/>
            <w:tcBorders>
              <w:top w:val="nil"/>
              <w:left w:val="nil"/>
              <w:bottom w:val="single" w:sz="4" w:space="0" w:color="auto"/>
              <w:right w:val="single" w:sz="4" w:space="0" w:color="auto"/>
            </w:tcBorders>
            <w:shd w:val="clear" w:color="auto" w:fill="auto"/>
            <w:noWrap/>
            <w:vAlign w:val="center"/>
          </w:tcPr>
          <w:p w14:paraId="533047DE"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0,00</w:t>
            </w:r>
          </w:p>
        </w:tc>
        <w:tc>
          <w:tcPr>
            <w:tcW w:w="1701" w:type="dxa"/>
            <w:tcBorders>
              <w:top w:val="nil"/>
              <w:left w:val="nil"/>
              <w:bottom w:val="single" w:sz="4" w:space="0" w:color="auto"/>
              <w:right w:val="single" w:sz="4" w:space="0" w:color="auto"/>
            </w:tcBorders>
            <w:shd w:val="clear" w:color="auto" w:fill="auto"/>
            <w:noWrap/>
            <w:vAlign w:val="center"/>
          </w:tcPr>
          <w:p w14:paraId="7E41FE17"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0,00</w:t>
            </w:r>
          </w:p>
        </w:tc>
        <w:tc>
          <w:tcPr>
            <w:tcW w:w="1559" w:type="dxa"/>
            <w:tcBorders>
              <w:top w:val="nil"/>
              <w:left w:val="nil"/>
              <w:bottom w:val="single" w:sz="4" w:space="0" w:color="auto"/>
              <w:right w:val="single" w:sz="4" w:space="0" w:color="auto"/>
            </w:tcBorders>
            <w:shd w:val="clear" w:color="auto" w:fill="auto"/>
            <w:noWrap/>
            <w:vAlign w:val="center"/>
          </w:tcPr>
          <w:p w14:paraId="3BDCE907"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18 760,00</w:t>
            </w:r>
          </w:p>
        </w:tc>
        <w:tc>
          <w:tcPr>
            <w:tcW w:w="1701" w:type="dxa"/>
            <w:tcBorders>
              <w:top w:val="nil"/>
              <w:left w:val="nil"/>
              <w:bottom w:val="single" w:sz="4" w:space="0" w:color="auto"/>
              <w:right w:val="single" w:sz="4" w:space="0" w:color="auto"/>
            </w:tcBorders>
            <w:shd w:val="clear" w:color="auto" w:fill="auto"/>
            <w:noWrap/>
            <w:vAlign w:val="center"/>
          </w:tcPr>
          <w:p w14:paraId="24E47AAD"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18 760,00</w:t>
            </w:r>
          </w:p>
        </w:tc>
        <w:tc>
          <w:tcPr>
            <w:tcW w:w="1701" w:type="dxa"/>
            <w:tcBorders>
              <w:top w:val="nil"/>
              <w:left w:val="nil"/>
              <w:bottom w:val="single" w:sz="4" w:space="0" w:color="auto"/>
              <w:right w:val="single" w:sz="4" w:space="0" w:color="auto"/>
            </w:tcBorders>
            <w:shd w:val="clear" w:color="auto" w:fill="auto"/>
            <w:noWrap/>
            <w:vAlign w:val="center"/>
          </w:tcPr>
          <w:p w14:paraId="60F51933"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-18 760,00</w:t>
            </w:r>
          </w:p>
        </w:tc>
        <w:tc>
          <w:tcPr>
            <w:tcW w:w="1843" w:type="dxa"/>
            <w:tcBorders>
              <w:top w:val="nil"/>
              <w:left w:val="nil"/>
              <w:bottom w:val="single" w:sz="4" w:space="0" w:color="auto"/>
              <w:right w:val="single" w:sz="4" w:space="0" w:color="auto"/>
            </w:tcBorders>
            <w:shd w:val="clear" w:color="auto" w:fill="auto"/>
            <w:noWrap/>
            <w:vAlign w:val="center"/>
          </w:tcPr>
          <w:p w14:paraId="35D4A773"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-18 760,00</w:t>
            </w:r>
          </w:p>
        </w:tc>
        <w:tc>
          <w:tcPr>
            <w:tcW w:w="1258" w:type="dxa"/>
            <w:tcBorders>
              <w:top w:val="nil"/>
              <w:left w:val="nil"/>
              <w:bottom w:val="single" w:sz="4" w:space="0" w:color="auto"/>
              <w:right w:val="single" w:sz="4" w:space="0" w:color="auto"/>
            </w:tcBorders>
            <w:shd w:val="clear" w:color="auto" w:fill="auto"/>
            <w:noWrap/>
            <w:vAlign w:val="center"/>
          </w:tcPr>
          <w:p w14:paraId="3A28AC29"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18 760,00</w:t>
            </w:r>
          </w:p>
        </w:tc>
      </w:tr>
      <w:tr w:rsidR="00F37D59" w:rsidRPr="00E33BAB" w14:paraId="008C69F3" w14:textId="77777777" w:rsidTr="00F37D59">
        <w:trPr>
          <w:trHeight w:val="529"/>
        </w:trPr>
        <w:tc>
          <w:tcPr>
            <w:tcW w:w="3414" w:type="dxa"/>
            <w:tcBorders>
              <w:top w:val="nil"/>
              <w:left w:val="single" w:sz="4" w:space="0" w:color="auto"/>
              <w:bottom w:val="single" w:sz="4" w:space="0" w:color="auto"/>
              <w:right w:val="single" w:sz="4" w:space="0" w:color="auto"/>
            </w:tcBorders>
            <w:shd w:val="clear" w:color="auto" w:fill="auto"/>
            <w:vAlign w:val="center"/>
            <w:hideMark/>
          </w:tcPr>
          <w:p w14:paraId="225375F5" w14:textId="5E222FF6" w:rsidR="00F37D59" w:rsidRPr="00E33BAB" w:rsidRDefault="00F37D59" w:rsidP="006127E1">
            <w:pPr>
              <w:spacing w:after="0" w:line="276" w:lineRule="auto"/>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bCs/>
                <w:sz w:val="18"/>
                <w:szCs w:val="18"/>
                <w:lang w:val="ro-MD"/>
              </w:rPr>
              <w:lastRenderedPageBreak/>
              <w:t>Subtotalul suportului instituțional</w:t>
            </w:r>
          </w:p>
        </w:tc>
        <w:tc>
          <w:tcPr>
            <w:tcW w:w="1559" w:type="dxa"/>
            <w:tcBorders>
              <w:top w:val="nil"/>
              <w:left w:val="nil"/>
              <w:bottom w:val="single" w:sz="4" w:space="0" w:color="auto"/>
              <w:right w:val="single" w:sz="4" w:space="0" w:color="auto"/>
            </w:tcBorders>
            <w:shd w:val="clear" w:color="auto" w:fill="auto"/>
            <w:noWrap/>
            <w:vAlign w:val="center"/>
          </w:tcPr>
          <w:p w14:paraId="2F490D40" w14:textId="77777777" w:rsidR="00F37D59" w:rsidRPr="00E33BAB" w:rsidRDefault="00F37D59" w:rsidP="006127E1">
            <w:pPr>
              <w:spacing w:after="0" w:line="240" w:lineRule="auto"/>
              <w:jc w:val="center"/>
              <w:rPr>
                <w:rFonts w:asciiTheme="majorHAnsi" w:eastAsia="Times New Roman" w:hAnsiTheme="majorHAnsi" w:cstheme="majorHAnsi"/>
                <w:b/>
                <w:sz w:val="18"/>
                <w:szCs w:val="18"/>
                <w:lang w:val="ro-MD"/>
              </w:rPr>
            </w:pPr>
            <w:r w:rsidRPr="00E33BAB">
              <w:rPr>
                <w:rFonts w:asciiTheme="majorHAnsi" w:eastAsia="Times New Roman" w:hAnsiTheme="majorHAnsi" w:cstheme="majorHAnsi"/>
                <w:b/>
                <w:sz w:val="18"/>
                <w:szCs w:val="18"/>
                <w:lang w:val="ro-MD"/>
              </w:rPr>
              <w:t>43 317,41</w:t>
            </w:r>
          </w:p>
        </w:tc>
        <w:tc>
          <w:tcPr>
            <w:tcW w:w="1701" w:type="dxa"/>
            <w:tcBorders>
              <w:top w:val="nil"/>
              <w:left w:val="nil"/>
              <w:bottom w:val="single" w:sz="4" w:space="0" w:color="auto"/>
              <w:right w:val="single" w:sz="4" w:space="0" w:color="auto"/>
            </w:tcBorders>
            <w:shd w:val="clear" w:color="auto" w:fill="auto"/>
            <w:noWrap/>
            <w:vAlign w:val="center"/>
          </w:tcPr>
          <w:p w14:paraId="208E284B" w14:textId="77777777" w:rsidR="00F37D59" w:rsidRPr="00E33BAB" w:rsidRDefault="00F37D59" w:rsidP="006127E1">
            <w:pPr>
              <w:spacing w:after="0" w:line="240" w:lineRule="auto"/>
              <w:jc w:val="center"/>
              <w:rPr>
                <w:rFonts w:asciiTheme="majorHAnsi" w:eastAsia="Times New Roman" w:hAnsiTheme="majorHAnsi" w:cstheme="majorHAnsi"/>
                <w:b/>
                <w:sz w:val="18"/>
                <w:szCs w:val="18"/>
                <w:lang w:val="ro-MD"/>
              </w:rPr>
            </w:pPr>
            <w:r w:rsidRPr="00E33BAB">
              <w:rPr>
                <w:rFonts w:asciiTheme="majorHAnsi" w:eastAsia="Times New Roman" w:hAnsiTheme="majorHAnsi" w:cstheme="majorHAnsi"/>
                <w:b/>
                <w:sz w:val="18"/>
                <w:szCs w:val="18"/>
                <w:lang w:val="ro-MD"/>
              </w:rPr>
              <w:t>233 298,88</w:t>
            </w:r>
          </w:p>
        </w:tc>
        <w:tc>
          <w:tcPr>
            <w:tcW w:w="1559" w:type="dxa"/>
            <w:tcBorders>
              <w:top w:val="nil"/>
              <w:left w:val="nil"/>
              <w:bottom w:val="single" w:sz="4" w:space="0" w:color="auto"/>
              <w:right w:val="single" w:sz="4" w:space="0" w:color="auto"/>
            </w:tcBorders>
            <w:shd w:val="clear" w:color="auto" w:fill="auto"/>
            <w:noWrap/>
            <w:vAlign w:val="center"/>
          </w:tcPr>
          <w:p w14:paraId="5E15A68E" w14:textId="77777777" w:rsidR="00F37D59" w:rsidRPr="00E33BAB" w:rsidRDefault="00F37D59" w:rsidP="006127E1">
            <w:pPr>
              <w:spacing w:after="0" w:line="240" w:lineRule="auto"/>
              <w:jc w:val="center"/>
              <w:rPr>
                <w:rFonts w:asciiTheme="majorHAnsi" w:eastAsia="Times New Roman" w:hAnsiTheme="majorHAnsi" w:cstheme="majorHAnsi"/>
                <w:b/>
                <w:sz w:val="18"/>
                <w:szCs w:val="18"/>
                <w:lang w:val="ro-MD"/>
              </w:rPr>
            </w:pPr>
            <w:r w:rsidRPr="00E33BAB">
              <w:rPr>
                <w:rFonts w:asciiTheme="majorHAnsi" w:eastAsia="Times New Roman" w:hAnsiTheme="majorHAnsi" w:cstheme="majorHAnsi"/>
                <w:b/>
                <w:sz w:val="18"/>
                <w:szCs w:val="18"/>
                <w:lang w:val="ro-MD"/>
              </w:rPr>
              <w:t>150 265,39</w:t>
            </w:r>
          </w:p>
        </w:tc>
        <w:tc>
          <w:tcPr>
            <w:tcW w:w="1701" w:type="dxa"/>
            <w:tcBorders>
              <w:top w:val="nil"/>
              <w:left w:val="nil"/>
              <w:bottom w:val="single" w:sz="4" w:space="0" w:color="auto"/>
              <w:right w:val="single" w:sz="4" w:space="0" w:color="auto"/>
            </w:tcBorders>
            <w:shd w:val="clear" w:color="auto" w:fill="auto"/>
            <w:noWrap/>
            <w:vAlign w:val="center"/>
          </w:tcPr>
          <w:p w14:paraId="7FA3812E" w14:textId="77777777" w:rsidR="00F37D59" w:rsidRPr="00E33BAB" w:rsidRDefault="00F37D59" w:rsidP="006127E1">
            <w:pPr>
              <w:spacing w:after="0" w:line="240" w:lineRule="auto"/>
              <w:jc w:val="center"/>
              <w:rPr>
                <w:rFonts w:asciiTheme="majorHAnsi" w:eastAsia="Times New Roman" w:hAnsiTheme="majorHAnsi" w:cstheme="majorHAnsi"/>
                <w:b/>
                <w:sz w:val="18"/>
                <w:szCs w:val="18"/>
                <w:lang w:val="ro-MD"/>
              </w:rPr>
            </w:pPr>
            <w:r w:rsidRPr="00E33BAB">
              <w:rPr>
                <w:rFonts w:asciiTheme="majorHAnsi" w:eastAsia="Times New Roman" w:hAnsiTheme="majorHAnsi" w:cstheme="majorHAnsi"/>
                <w:b/>
                <w:sz w:val="18"/>
                <w:szCs w:val="18"/>
                <w:lang w:val="ro-MD"/>
              </w:rPr>
              <w:t>340 246,86</w:t>
            </w:r>
          </w:p>
        </w:tc>
        <w:tc>
          <w:tcPr>
            <w:tcW w:w="1701" w:type="dxa"/>
            <w:tcBorders>
              <w:top w:val="nil"/>
              <w:left w:val="nil"/>
              <w:bottom w:val="single" w:sz="4" w:space="0" w:color="auto"/>
              <w:right w:val="single" w:sz="4" w:space="0" w:color="auto"/>
            </w:tcBorders>
            <w:shd w:val="clear" w:color="auto" w:fill="auto"/>
            <w:noWrap/>
            <w:vAlign w:val="center"/>
          </w:tcPr>
          <w:p w14:paraId="10ED8A9F" w14:textId="77777777" w:rsidR="00F37D59" w:rsidRPr="00E33BAB" w:rsidRDefault="00F37D59" w:rsidP="006127E1">
            <w:pPr>
              <w:spacing w:after="0" w:line="240" w:lineRule="auto"/>
              <w:jc w:val="center"/>
              <w:rPr>
                <w:rFonts w:asciiTheme="majorHAnsi" w:eastAsia="Times New Roman" w:hAnsiTheme="majorHAnsi" w:cstheme="majorHAnsi"/>
                <w:b/>
                <w:sz w:val="18"/>
                <w:szCs w:val="18"/>
                <w:lang w:val="ro-MD"/>
              </w:rPr>
            </w:pPr>
            <w:r w:rsidRPr="00E33BAB">
              <w:rPr>
                <w:rFonts w:asciiTheme="majorHAnsi" w:eastAsia="Times New Roman" w:hAnsiTheme="majorHAnsi" w:cstheme="majorHAnsi"/>
                <w:b/>
                <w:sz w:val="18"/>
                <w:szCs w:val="18"/>
                <w:lang w:val="ro-MD"/>
              </w:rPr>
              <w:t>-106 947,98</w:t>
            </w:r>
          </w:p>
        </w:tc>
        <w:tc>
          <w:tcPr>
            <w:tcW w:w="1843" w:type="dxa"/>
            <w:tcBorders>
              <w:top w:val="nil"/>
              <w:left w:val="nil"/>
              <w:bottom w:val="single" w:sz="4" w:space="0" w:color="auto"/>
              <w:right w:val="single" w:sz="4" w:space="0" w:color="auto"/>
            </w:tcBorders>
            <w:shd w:val="clear" w:color="auto" w:fill="auto"/>
            <w:noWrap/>
            <w:vAlign w:val="center"/>
          </w:tcPr>
          <w:p w14:paraId="03EBB0A9" w14:textId="77777777" w:rsidR="00F37D59" w:rsidRPr="00E33BAB" w:rsidRDefault="00F37D59" w:rsidP="006127E1">
            <w:pPr>
              <w:spacing w:after="0" w:line="240" w:lineRule="auto"/>
              <w:jc w:val="center"/>
              <w:rPr>
                <w:rFonts w:asciiTheme="majorHAnsi" w:eastAsia="Times New Roman" w:hAnsiTheme="majorHAnsi" w:cstheme="majorHAnsi"/>
                <w:b/>
                <w:sz w:val="18"/>
                <w:szCs w:val="18"/>
                <w:lang w:val="ro-MD"/>
              </w:rPr>
            </w:pPr>
            <w:r w:rsidRPr="00E33BAB">
              <w:rPr>
                <w:rFonts w:asciiTheme="majorHAnsi" w:eastAsia="Times New Roman" w:hAnsiTheme="majorHAnsi" w:cstheme="majorHAnsi"/>
                <w:b/>
                <w:sz w:val="18"/>
                <w:szCs w:val="18"/>
                <w:lang w:val="ro-MD"/>
              </w:rPr>
              <w:t>-106 947,98</w:t>
            </w:r>
          </w:p>
        </w:tc>
        <w:tc>
          <w:tcPr>
            <w:tcW w:w="1258" w:type="dxa"/>
            <w:tcBorders>
              <w:top w:val="nil"/>
              <w:left w:val="nil"/>
              <w:bottom w:val="single" w:sz="4" w:space="0" w:color="auto"/>
              <w:right w:val="single" w:sz="4" w:space="0" w:color="auto"/>
            </w:tcBorders>
            <w:shd w:val="clear" w:color="auto" w:fill="auto"/>
            <w:noWrap/>
            <w:vAlign w:val="center"/>
          </w:tcPr>
          <w:p w14:paraId="03E4EE08" w14:textId="77777777" w:rsidR="00F37D59" w:rsidRPr="00E33BAB" w:rsidRDefault="00F37D59" w:rsidP="006127E1">
            <w:pPr>
              <w:spacing w:after="0" w:line="240" w:lineRule="auto"/>
              <w:jc w:val="center"/>
              <w:rPr>
                <w:rFonts w:asciiTheme="majorHAnsi" w:eastAsia="Times New Roman" w:hAnsiTheme="majorHAnsi" w:cstheme="majorHAnsi"/>
                <w:b/>
                <w:sz w:val="18"/>
                <w:szCs w:val="18"/>
                <w:lang w:val="ro-MD"/>
              </w:rPr>
            </w:pPr>
            <w:r w:rsidRPr="00E33BAB">
              <w:rPr>
                <w:rFonts w:asciiTheme="majorHAnsi" w:eastAsia="Times New Roman" w:hAnsiTheme="majorHAnsi" w:cstheme="majorHAnsi"/>
                <w:b/>
                <w:sz w:val="18"/>
                <w:szCs w:val="18"/>
                <w:lang w:val="ro-MD"/>
              </w:rPr>
              <w:t>340 246,86</w:t>
            </w:r>
          </w:p>
        </w:tc>
      </w:tr>
      <w:tr w:rsidR="00F37D59" w:rsidRPr="00E33BAB" w14:paraId="212C562E" w14:textId="77777777" w:rsidTr="00F37D59">
        <w:trPr>
          <w:trHeight w:val="475"/>
        </w:trPr>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14:paraId="25C935DE" w14:textId="3E9B8E61" w:rsidR="00F37D59" w:rsidRPr="00E33BAB" w:rsidRDefault="00F37D59" w:rsidP="006127E1">
            <w:pPr>
              <w:spacing w:after="0" w:line="276" w:lineRule="auto"/>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bCs/>
                <w:sz w:val="18"/>
                <w:szCs w:val="18"/>
                <w:lang w:val="ro-MD"/>
              </w:rPr>
              <w:t>2. Finanțare adițional</w:t>
            </w:r>
            <w:r w:rsidR="00AE7F00">
              <w:rPr>
                <w:rFonts w:asciiTheme="majorHAnsi" w:eastAsia="Times New Roman" w:hAnsiTheme="majorHAnsi" w:cstheme="majorHAnsi"/>
                <w:b/>
                <w:bCs/>
                <w:sz w:val="18"/>
                <w:szCs w:val="18"/>
                <w:lang w:val="ro-MD"/>
              </w:rPr>
              <w:t>ă</w:t>
            </w:r>
            <w:r w:rsidRPr="00E33BAB">
              <w:rPr>
                <w:rFonts w:asciiTheme="majorHAnsi" w:eastAsia="Times New Roman" w:hAnsiTheme="majorHAnsi" w:cstheme="majorHAnsi"/>
                <w:b/>
                <w:bCs/>
                <w:sz w:val="18"/>
                <w:szCs w:val="18"/>
                <w:lang w:val="ro-MD"/>
              </w:rPr>
              <w:t xml:space="preserve"> pentru Componenta de Asisten</w:t>
            </w:r>
            <w:r w:rsidR="00AE7F00">
              <w:rPr>
                <w:rFonts w:asciiTheme="majorHAnsi" w:eastAsia="Times New Roman" w:hAnsiTheme="majorHAnsi" w:cstheme="majorHAnsi"/>
                <w:b/>
                <w:bCs/>
                <w:sz w:val="18"/>
                <w:szCs w:val="18"/>
                <w:lang w:val="ro-MD"/>
              </w:rPr>
              <w:t>ță</w:t>
            </w:r>
            <w:r w:rsidRPr="00E33BAB">
              <w:rPr>
                <w:rFonts w:asciiTheme="majorHAnsi" w:eastAsia="Times New Roman" w:hAnsiTheme="majorHAnsi" w:cstheme="majorHAnsi"/>
                <w:b/>
                <w:bCs/>
                <w:sz w:val="18"/>
                <w:szCs w:val="18"/>
                <w:lang w:val="ro-MD"/>
              </w:rPr>
              <w:t xml:space="preserve"> Tehnic</w:t>
            </w:r>
            <w:r w:rsidR="00AE7F00">
              <w:rPr>
                <w:rFonts w:asciiTheme="majorHAnsi" w:eastAsia="Times New Roman" w:hAnsiTheme="majorHAnsi" w:cstheme="majorHAnsi"/>
                <w:b/>
                <w:bCs/>
                <w:sz w:val="18"/>
                <w:szCs w:val="18"/>
                <w:lang w:val="ro-MD"/>
              </w:rPr>
              <w:t>ă</w:t>
            </w:r>
            <w:r w:rsidRPr="00E33BAB">
              <w:rPr>
                <w:rFonts w:asciiTheme="majorHAnsi" w:eastAsia="Times New Roman" w:hAnsiTheme="majorHAnsi" w:cstheme="majorHAnsi"/>
                <w:b/>
                <w:bCs/>
                <w:sz w:val="18"/>
                <w:szCs w:val="18"/>
                <w:lang w:val="ro-MD"/>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2D259B8" w14:textId="77777777" w:rsidR="00F37D59" w:rsidRPr="00E33BAB" w:rsidRDefault="00F37D59" w:rsidP="006127E1">
            <w:pPr>
              <w:spacing w:after="0" w:line="240" w:lineRule="auto"/>
              <w:jc w:val="center"/>
              <w:rPr>
                <w:rFonts w:asciiTheme="majorHAnsi" w:eastAsia="Times New Roman" w:hAnsiTheme="majorHAnsi" w:cstheme="majorHAnsi"/>
                <w:b/>
                <w:sz w:val="18"/>
                <w:szCs w:val="18"/>
                <w:lang w:val="ro-MD"/>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AC8AAA5" w14:textId="77777777" w:rsidR="00F37D59" w:rsidRPr="00E33BAB" w:rsidRDefault="00F37D59" w:rsidP="006127E1">
            <w:pPr>
              <w:spacing w:after="0" w:line="240" w:lineRule="auto"/>
              <w:jc w:val="center"/>
              <w:rPr>
                <w:rFonts w:asciiTheme="majorHAnsi" w:eastAsia="Times New Roman" w:hAnsiTheme="majorHAnsi" w:cstheme="majorHAnsi"/>
                <w:b/>
                <w:sz w:val="18"/>
                <w:szCs w:val="18"/>
                <w:lang w:val="ro-MD"/>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B6FA0E6" w14:textId="77777777" w:rsidR="00F37D59" w:rsidRPr="00E33BAB" w:rsidRDefault="00F37D59" w:rsidP="006127E1">
            <w:pPr>
              <w:spacing w:after="0" w:line="240" w:lineRule="auto"/>
              <w:jc w:val="center"/>
              <w:rPr>
                <w:rFonts w:asciiTheme="majorHAnsi" w:eastAsia="Times New Roman" w:hAnsiTheme="majorHAnsi" w:cstheme="majorHAnsi"/>
                <w:b/>
                <w:sz w:val="18"/>
                <w:szCs w:val="18"/>
                <w:lang w:val="ro-MD"/>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47C65B5" w14:textId="77777777" w:rsidR="00F37D59" w:rsidRPr="00E33BAB" w:rsidRDefault="00F37D59" w:rsidP="006127E1">
            <w:pPr>
              <w:spacing w:after="0" w:line="240" w:lineRule="auto"/>
              <w:jc w:val="center"/>
              <w:rPr>
                <w:rFonts w:asciiTheme="majorHAnsi" w:eastAsia="Times New Roman" w:hAnsiTheme="majorHAnsi" w:cstheme="majorHAnsi"/>
                <w:b/>
                <w:sz w:val="18"/>
                <w:szCs w:val="18"/>
                <w:lang w:val="ro-MD"/>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BB39F3B" w14:textId="77777777" w:rsidR="00F37D59" w:rsidRPr="00E33BAB" w:rsidRDefault="00F37D59" w:rsidP="006127E1">
            <w:pPr>
              <w:spacing w:after="0" w:line="240" w:lineRule="auto"/>
              <w:jc w:val="center"/>
              <w:rPr>
                <w:rFonts w:asciiTheme="majorHAnsi" w:eastAsia="Times New Roman" w:hAnsiTheme="majorHAnsi" w:cstheme="majorHAnsi"/>
                <w:b/>
                <w:sz w:val="18"/>
                <w:szCs w:val="18"/>
                <w:lang w:val="ro-MD"/>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4F07AF0" w14:textId="77777777" w:rsidR="00F37D59" w:rsidRPr="00E33BAB" w:rsidRDefault="00F37D59" w:rsidP="006127E1">
            <w:pPr>
              <w:spacing w:after="0" w:line="240" w:lineRule="auto"/>
              <w:jc w:val="center"/>
              <w:rPr>
                <w:rFonts w:asciiTheme="majorHAnsi" w:eastAsia="Times New Roman" w:hAnsiTheme="majorHAnsi" w:cstheme="majorHAnsi"/>
                <w:b/>
                <w:sz w:val="18"/>
                <w:szCs w:val="18"/>
                <w:lang w:val="ro-MD"/>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14:paraId="48A94797" w14:textId="77777777" w:rsidR="00F37D59" w:rsidRPr="00E33BAB" w:rsidRDefault="00F37D59" w:rsidP="006127E1">
            <w:pPr>
              <w:spacing w:after="0" w:line="240" w:lineRule="auto"/>
              <w:jc w:val="center"/>
              <w:rPr>
                <w:rFonts w:asciiTheme="majorHAnsi" w:eastAsia="Times New Roman" w:hAnsiTheme="majorHAnsi" w:cstheme="majorHAnsi"/>
                <w:b/>
                <w:sz w:val="18"/>
                <w:szCs w:val="18"/>
                <w:lang w:val="ro-MD"/>
              </w:rPr>
            </w:pPr>
          </w:p>
        </w:tc>
      </w:tr>
      <w:tr w:rsidR="00F37D59" w:rsidRPr="00E33BAB" w14:paraId="1A1C411D" w14:textId="77777777" w:rsidTr="00F37D59">
        <w:trPr>
          <w:trHeight w:val="246"/>
        </w:trPr>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14:paraId="3CF2F2E2" w14:textId="2053A628" w:rsidR="00F37D59" w:rsidRPr="00E33BAB" w:rsidRDefault="00F37D59" w:rsidP="006127E1">
            <w:pPr>
              <w:spacing w:after="0" w:line="276" w:lineRule="auto"/>
              <w:rPr>
                <w:rFonts w:asciiTheme="majorHAnsi" w:eastAsia="Times New Roman" w:hAnsiTheme="majorHAnsi" w:cstheme="majorHAnsi"/>
                <w:bCs/>
                <w:sz w:val="18"/>
                <w:szCs w:val="18"/>
                <w:lang w:val="ro-MD"/>
              </w:rPr>
            </w:pPr>
            <w:r w:rsidRPr="00E33BAB">
              <w:rPr>
                <w:rFonts w:asciiTheme="majorHAnsi" w:eastAsia="Times New Roman" w:hAnsiTheme="majorHAnsi" w:cstheme="majorHAnsi"/>
                <w:bCs/>
                <w:sz w:val="18"/>
                <w:szCs w:val="18"/>
                <w:lang w:val="ro-MD"/>
              </w:rPr>
              <w:t xml:space="preserve">2.1 Servicii de consultanță IT pentru </w:t>
            </w:r>
            <w:r w:rsidR="00AE7F00">
              <w:rPr>
                <w:rFonts w:asciiTheme="majorHAnsi" w:eastAsia="Times New Roman" w:hAnsiTheme="majorHAnsi" w:cstheme="majorHAnsi"/>
                <w:bCs/>
                <w:sz w:val="18"/>
                <w:szCs w:val="18"/>
                <w:lang w:val="ro-MD"/>
              </w:rPr>
              <w:t>d</w:t>
            </w:r>
            <w:r w:rsidRPr="00E33BAB">
              <w:rPr>
                <w:rFonts w:asciiTheme="majorHAnsi" w:eastAsia="Times New Roman" w:hAnsiTheme="majorHAnsi" w:cstheme="majorHAnsi"/>
                <w:bCs/>
                <w:sz w:val="18"/>
                <w:szCs w:val="18"/>
                <w:lang w:val="ro-MD"/>
              </w:rPr>
              <w:t>ezvoltarea funcționalităților suplimentare a</w:t>
            </w:r>
            <w:r w:rsidR="00AE7F00">
              <w:rPr>
                <w:rFonts w:asciiTheme="majorHAnsi" w:eastAsia="Times New Roman" w:hAnsiTheme="majorHAnsi" w:cstheme="majorHAnsi"/>
                <w:bCs/>
                <w:sz w:val="18"/>
                <w:szCs w:val="18"/>
                <w:lang w:val="ro-MD"/>
              </w:rPr>
              <w:t>le</w:t>
            </w:r>
            <w:r w:rsidRPr="00E33BAB">
              <w:rPr>
                <w:rFonts w:asciiTheme="majorHAnsi" w:eastAsia="Times New Roman" w:hAnsiTheme="majorHAnsi" w:cstheme="majorHAnsi"/>
                <w:bCs/>
                <w:sz w:val="18"/>
                <w:szCs w:val="18"/>
                <w:lang w:val="ro-MD"/>
              </w:rPr>
              <w:t xml:space="preserve"> Sistemului Informațional Automatizat Asistența Medicală Primară (SIA AMP) și </w:t>
            </w:r>
            <w:r w:rsidR="00AE7F00">
              <w:rPr>
                <w:rFonts w:asciiTheme="majorHAnsi" w:eastAsia="Times New Roman" w:hAnsiTheme="majorHAnsi" w:cstheme="majorHAnsi"/>
                <w:bCs/>
                <w:sz w:val="18"/>
                <w:szCs w:val="18"/>
                <w:lang w:val="ro-MD"/>
              </w:rPr>
              <w:t xml:space="preserve">ale </w:t>
            </w:r>
            <w:r w:rsidRPr="00E33BAB">
              <w:rPr>
                <w:rFonts w:asciiTheme="majorHAnsi" w:eastAsia="Times New Roman" w:hAnsiTheme="majorHAnsi" w:cstheme="majorHAnsi"/>
                <w:bCs/>
                <w:sz w:val="18"/>
                <w:szCs w:val="18"/>
                <w:lang w:val="ro-MD"/>
              </w:rPr>
              <w:t>Sistemu</w:t>
            </w:r>
            <w:r w:rsidR="00AE7F00">
              <w:rPr>
                <w:rFonts w:asciiTheme="majorHAnsi" w:eastAsia="Times New Roman" w:hAnsiTheme="majorHAnsi" w:cstheme="majorHAnsi"/>
                <w:bCs/>
                <w:sz w:val="18"/>
                <w:szCs w:val="18"/>
                <w:lang w:val="ro-MD"/>
              </w:rPr>
              <w:t>lui</w:t>
            </w:r>
            <w:r w:rsidRPr="00E33BAB">
              <w:rPr>
                <w:rFonts w:asciiTheme="majorHAnsi" w:eastAsia="Times New Roman" w:hAnsiTheme="majorHAnsi" w:cstheme="majorHAnsi"/>
                <w:bCs/>
                <w:sz w:val="18"/>
                <w:szCs w:val="18"/>
                <w:lang w:val="ro-MD"/>
              </w:rPr>
              <w:t xml:space="preserve"> </w:t>
            </w:r>
            <w:r w:rsidRPr="00DA7824">
              <w:rPr>
                <w:rFonts w:asciiTheme="majorHAnsi" w:eastAsia="Times New Roman" w:hAnsiTheme="majorHAnsi" w:cstheme="majorHAnsi"/>
                <w:bCs/>
                <w:sz w:val="18"/>
                <w:szCs w:val="18"/>
                <w:lang w:val="ro-MD"/>
              </w:rPr>
              <w:t>Informațional Automatizat Asistența Medicală Spitalicească (SIA AMS) și interoperabilitatea acest</w:t>
            </w:r>
            <w:r w:rsidR="00AE7F00" w:rsidRPr="00DA7824">
              <w:rPr>
                <w:rFonts w:asciiTheme="majorHAnsi" w:eastAsia="Times New Roman" w:hAnsiTheme="majorHAnsi" w:cstheme="majorHAnsi"/>
                <w:bCs/>
                <w:sz w:val="18"/>
                <w:szCs w:val="18"/>
                <w:lang w:val="ro-MD"/>
              </w:rPr>
              <w:t>ora</w:t>
            </w:r>
            <w:r w:rsidRPr="00DA7824">
              <w:rPr>
                <w:rFonts w:asciiTheme="majorHAnsi" w:eastAsia="Times New Roman" w:hAnsiTheme="majorHAnsi" w:cstheme="majorHAnsi"/>
                <w:bCs/>
                <w:sz w:val="18"/>
                <w:szCs w:val="18"/>
                <w:lang w:val="ro-MD"/>
              </w:rPr>
              <w:t xml:space="preserve"> cu alte sisteme informaționale</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1C894B0"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6FCE832"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51598C3"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899 540,00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8922DD6"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899 540,00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7C06595"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-899 540,00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B0602EF"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-899 540,00</w:t>
            </w:r>
          </w:p>
        </w:tc>
        <w:tc>
          <w:tcPr>
            <w:tcW w:w="1258" w:type="dxa"/>
            <w:tcBorders>
              <w:top w:val="single" w:sz="4" w:space="0" w:color="auto"/>
              <w:left w:val="nil"/>
              <w:bottom w:val="single" w:sz="4" w:space="0" w:color="auto"/>
              <w:right w:val="single" w:sz="4" w:space="0" w:color="auto"/>
            </w:tcBorders>
            <w:shd w:val="clear" w:color="auto" w:fill="auto"/>
            <w:noWrap/>
            <w:vAlign w:val="center"/>
          </w:tcPr>
          <w:p w14:paraId="10AB63B1"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899 540,00</w:t>
            </w:r>
          </w:p>
        </w:tc>
      </w:tr>
      <w:tr w:rsidR="00F37D59" w:rsidRPr="00E33BAB" w14:paraId="4B411CC4" w14:textId="77777777" w:rsidTr="00F37D59">
        <w:trPr>
          <w:trHeight w:val="326"/>
        </w:trPr>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14:paraId="5568F049" w14:textId="34C13B6D" w:rsidR="00F37D59" w:rsidRPr="00E33BAB" w:rsidRDefault="00F37D59" w:rsidP="006127E1">
            <w:pPr>
              <w:spacing w:after="0" w:line="276" w:lineRule="auto"/>
              <w:rPr>
                <w:rFonts w:asciiTheme="majorHAnsi" w:eastAsia="Times New Roman" w:hAnsiTheme="majorHAnsi" w:cstheme="majorHAnsi"/>
                <w:bCs/>
                <w:sz w:val="18"/>
                <w:szCs w:val="18"/>
                <w:lang w:val="ro-MD"/>
              </w:rPr>
            </w:pPr>
            <w:r w:rsidRPr="00E33BAB">
              <w:rPr>
                <w:rFonts w:asciiTheme="majorHAnsi" w:eastAsia="Times New Roman" w:hAnsiTheme="majorHAnsi" w:cstheme="majorHAnsi"/>
                <w:bCs/>
                <w:sz w:val="18"/>
                <w:szCs w:val="18"/>
                <w:lang w:val="ro-MD"/>
              </w:rPr>
              <w:t xml:space="preserve">2.2 Elaborarea </w:t>
            </w:r>
            <w:r w:rsidR="00AE7F00">
              <w:rPr>
                <w:rFonts w:asciiTheme="majorHAnsi" w:eastAsia="Times New Roman" w:hAnsiTheme="majorHAnsi" w:cstheme="majorHAnsi"/>
                <w:bCs/>
                <w:sz w:val="18"/>
                <w:szCs w:val="18"/>
                <w:lang w:val="ro-MD"/>
              </w:rPr>
              <w:t>S</w:t>
            </w:r>
            <w:r w:rsidRPr="00E33BAB">
              <w:rPr>
                <w:rFonts w:asciiTheme="majorHAnsi" w:eastAsia="Times New Roman" w:hAnsiTheme="majorHAnsi" w:cstheme="majorHAnsi"/>
                <w:bCs/>
                <w:sz w:val="18"/>
                <w:szCs w:val="18"/>
                <w:lang w:val="ro-MD"/>
              </w:rPr>
              <w:t>trategiei de comunicare pentru an</w:t>
            </w:r>
            <w:r w:rsidR="00AE7F00">
              <w:rPr>
                <w:rFonts w:asciiTheme="majorHAnsi" w:eastAsia="Times New Roman" w:hAnsiTheme="majorHAnsi" w:cstheme="majorHAnsi"/>
                <w:bCs/>
                <w:sz w:val="18"/>
                <w:szCs w:val="18"/>
                <w:lang w:val="ro-MD"/>
              </w:rPr>
              <w:t>ii</w:t>
            </w:r>
            <w:r w:rsidRPr="00E33BAB">
              <w:rPr>
                <w:rFonts w:asciiTheme="majorHAnsi" w:eastAsia="Times New Roman" w:hAnsiTheme="majorHAnsi" w:cstheme="majorHAnsi"/>
                <w:bCs/>
                <w:sz w:val="18"/>
                <w:szCs w:val="18"/>
                <w:lang w:val="ro-MD"/>
              </w:rPr>
              <w:t xml:space="preserve"> 2021 - 2023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C90A96C"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0,00</w:t>
            </w:r>
          </w:p>
          <w:p w14:paraId="124F989B" w14:textId="5E57BD4F"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29E3AD8"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F26D7F7"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69 000,00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0380980"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69 000,00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D61FCCB"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-69 000,00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32BF446"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-69 000,00</w:t>
            </w:r>
          </w:p>
        </w:tc>
        <w:tc>
          <w:tcPr>
            <w:tcW w:w="1258" w:type="dxa"/>
            <w:tcBorders>
              <w:top w:val="single" w:sz="4" w:space="0" w:color="auto"/>
              <w:left w:val="nil"/>
              <w:bottom w:val="single" w:sz="4" w:space="0" w:color="auto"/>
              <w:right w:val="single" w:sz="4" w:space="0" w:color="auto"/>
            </w:tcBorders>
            <w:shd w:val="clear" w:color="auto" w:fill="auto"/>
            <w:noWrap/>
            <w:vAlign w:val="center"/>
          </w:tcPr>
          <w:p w14:paraId="28471D70" w14:textId="77777777" w:rsidR="00F37D59" w:rsidRPr="00E33BAB" w:rsidRDefault="00F37D59" w:rsidP="006127E1">
            <w:pPr>
              <w:spacing w:after="0" w:line="240" w:lineRule="auto"/>
              <w:jc w:val="center"/>
              <w:rPr>
                <w:rFonts w:asciiTheme="majorHAnsi" w:eastAsia="Times New Roman" w:hAnsiTheme="majorHAnsi" w:cstheme="majorHAnsi"/>
                <w:sz w:val="18"/>
                <w:szCs w:val="18"/>
                <w:lang w:val="ro-MD"/>
              </w:rPr>
            </w:pPr>
            <w:r w:rsidRPr="00E33BAB">
              <w:rPr>
                <w:rFonts w:asciiTheme="majorHAnsi" w:eastAsia="Times New Roman" w:hAnsiTheme="majorHAnsi" w:cstheme="majorHAnsi"/>
                <w:sz w:val="18"/>
                <w:szCs w:val="18"/>
                <w:lang w:val="ro-MD"/>
              </w:rPr>
              <w:t>69 000,00</w:t>
            </w:r>
          </w:p>
        </w:tc>
      </w:tr>
      <w:tr w:rsidR="00F37D59" w:rsidRPr="00E33BAB" w14:paraId="37445CBA" w14:textId="77777777" w:rsidTr="00F37D59">
        <w:trPr>
          <w:trHeight w:val="421"/>
        </w:trPr>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14:paraId="1BF96532" w14:textId="6032004D" w:rsidR="00F37D59" w:rsidRPr="00E33BAB" w:rsidRDefault="00F37D59" w:rsidP="006127E1">
            <w:pPr>
              <w:spacing w:after="0" w:line="276" w:lineRule="auto"/>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bCs/>
                <w:sz w:val="18"/>
                <w:szCs w:val="18"/>
                <w:lang w:val="ro-MD"/>
              </w:rPr>
              <w:t>Subtotal finanțare adi</w:t>
            </w:r>
            <w:r w:rsidR="00AE7F00">
              <w:rPr>
                <w:rFonts w:asciiTheme="majorHAnsi" w:eastAsia="Times New Roman" w:hAnsiTheme="majorHAnsi" w:cstheme="majorHAnsi"/>
                <w:b/>
                <w:bCs/>
                <w:sz w:val="18"/>
                <w:szCs w:val="18"/>
                <w:lang w:val="ro-MD"/>
              </w:rPr>
              <w:t>ț</w:t>
            </w:r>
            <w:r w:rsidRPr="00E33BAB">
              <w:rPr>
                <w:rFonts w:asciiTheme="majorHAnsi" w:eastAsia="Times New Roman" w:hAnsiTheme="majorHAnsi" w:cstheme="majorHAnsi"/>
                <w:b/>
                <w:bCs/>
                <w:sz w:val="18"/>
                <w:szCs w:val="18"/>
                <w:lang w:val="ro-MD"/>
              </w:rPr>
              <w:t>ional</w:t>
            </w:r>
            <w:r w:rsidR="00AE7F00">
              <w:rPr>
                <w:rFonts w:asciiTheme="majorHAnsi" w:eastAsia="Times New Roman" w:hAnsiTheme="majorHAnsi" w:cstheme="majorHAnsi"/>
                <w:b/>
                <w:bCs/>
                <w:sz w:val="18"/>
                <w:szCs w:val="18"/>
                <w:lang w:val="ro-MD"/>
              </w:rPr>
              <w:t>ă</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97272C2" w14:textId="77777777" w:rsidR="00F37D59" w:rsidRPr="00E33BAB" w:rsidRDefault="00F37D59" w:rsidP="006127E1">
            <w:pPr>
              <w:spacing w:after="0" w:line="240" w:lineRule="auto"/>
              <w:jc w:val="center"/>
              <w:rPr>
                <w:rFonts w:asciiTheme="majorHAnsi" w:eastAsia="Times New Roman" w:hAnsiTheme="majorHAnsi" w:cstheme="majorHAnsi"/>
                <w:b/>
                <w:sz w:val="18"/>
                <w:szCs w:val="18"/>
                <w:lang w:val="ro-MD"/>
              </w:rPr>
            </w:pPr>
            <w:r w:rsidRPr="00E33BAB">
              <w:rPr>
                <w:rFonts w:asciiTheme="majorHAnsi" w:eastAsia="Times New Roman" w:hAnsiTheme="majorHAnsi" w:cstheme="majorHAnsi"/>
                <w:b/>
                <w:sz w:val="18"/>
                <w:szCs w:val="18"/>
                <w:lang w:val="ro-MD"/>
              </w:rPr>
              <w:t>0,00</w:t>
            </w:r>
          </w:p>
          <w:p w14:paraId="62FFD54A" w14:textId="61EA6C3A" w:rsidR="00F37D59" w:rsidRPr="00E33BAB" w:rsidRDefault="00F37D59" w:rsidP="006127E1">
            <w:pPr>
              <w:spacing w:after="0" w:line="240" w:lineRule="auto"/>
              <w:jc w:val="center"/>
              <w:rPr>
                <w:rFonts w:asciiTheme="majorHAnsi" w:eastAsia="Times New Roman" w:hAnsiTheme="majorHAnsi" w:cstheme="majorHAnsi"/>
                <w:b/>
                <w:sz w:val="18"/>
                <w:szCs w:val="18"/>
                <w:lang w:val="ro-MD"/>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BA66D39" w14:textId="77777777" w:rsidR="00F37D59" w:rsidRPr="00E33BAB" w:rsidRDefault="00F37D59" w:rsidP="006127E1">
            <w:pPr>
              <w:spacing w:after="0" w:line="240" w:lineRule="auto"/>
              <w:jc w:val="center"/>
              <w:rPr>
                <w:rFonts w:asciiTheme="majorHAnsi" w:eastAsia="Times New Roman" w:hAnsiTheme="majorHAnsi" w:cstheme="majorHAnsi"/>
                <w:b/>
                <w:sz w:val="18"/>
                <w:szCs w:val="18"/>
                <w:lang w:val="ro-MD"/>
              </w:rPr>
            </w:pPr>
            <w:r w:rsidRPr="00E33BAB">
              <w:rPr>
                <w:rFonts w:asciiTheme="majorHAnsi" w:eastAsia="Times New Roman" w:hAnsiTheme="majorHAnsi" w:cstheme="majorHAnsi"/>
                <w:b/>
                <w:sz w:val="18"/>
                <w:szCs w:val="18"/>
                <w:lang w:val="ro-MD"/>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2B91A00" w14:textId="77777777" w:rsidR="00F37D59" w:rsidRPr="00E33BAB" w:rsidRDefault="00F37D59" w:rsidP="006127E1">
            <w:pPr>
              <w:spacing w:after="0" w:line="240" w:lineRule="auto"/>
              <w:jc w:val="center"/>
              <w:rPr>
                <w:rFonts w:asciiTheme="majorHAnsi" w:eastAsia="Times New Roman" w:hAnsiTheme="majorHAnsi" w:cstheme="majorHAnsi"/>
                <w:b/>
                <w:sz w:val="18"/>
                <w:szCs w:val="18"/>
                <w:lang w:val="ro-MD"/>
              </w:rPr>
            </w:pPr>
            <w:r w:rsidRPr="00E33BAB">
              <w:rPr>
                <w:rFonts w:asciiTheme="majorHAnsi" w:eastAsia="Times New Roman" w:hAnsiTheme="majorHAnsi" w:cstheme="majorHAnsi"/>
                <w:b/>
                <w:sz w:val="18"/>
                <w:szCs w:val="18"/>
                <w:lang w:val="ro-MD"/>
              </w:rPr>
              <w:t>968 540,00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22756A1" w14:textId="77777777" w:rsidR="00F37D59" w:rsidRPr="00E33BAB" w:rsidRDefault="00F37D59" w:rsidP="006127E1">
            <w:pPr>
              <w:spacing w:after="0" w:line="240" w:lineRule="auto"/>
              <w:jc w:val="center"/>
              <w:rPr>
                <w:rFonts w:asciiTheme="majorHAnsi" w:eastAsia="Times New Roman" w:hAnsiTheme="majorHAnsi" w:cstheme="majorHAnsi"/>
                <w:b/>
                <w:sz w:val="18"/>
                <w:szCs w:val="18"/>
                <w:lang w:val="ro-MD"/>
              </w:rPr>
            </w:pPr>
            <w:r w:rsidRPr="00E33BAB">
              <w:rPr>
                <w:rFonts w:asciiTheme="majorHAnsi" w:eastAsia="Times New Roman" w:hAnsiTheme="majorHAnsi" w:cstheme="majorHAnsi"/>
                <w:b/>
                <w:sz w:val="18"/>
                <w:szCs w:val="18"/>
                <w:lang w:val="ro-MD"/>
              </w:rPr>
              <w:t>968 540,00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9B443D0" w14:textId="77777777" w:rsidR="00F37D59" w:rsidRPr="00E33BAB" w:rsidRDefault="00F37D59" w:rsidP="006127E1">
            <w:pPr>
              <w:spacing w:after="0" w:line="240" w:lineRule="auto"/>
              <w:jc w:val="center"/>
              <w:rPr>
                <w:rFonts w:asciiTheme="majorHAnsi" w:eastAsia="Times New Roman" w:hAnsiTheme="majorHAnsi" w:cstheme="majorHAnsi"/>
                <w:b/>
                <w:sz w:val="18"/>
                <w:szCs w:val="18"/>
                <w:lang w:val="ro-MD"/>
              </w:rPr>
            </w:pPr>
            <w:r w:rsidRPr="00E33BAB">
              <w:rPr>
                <w:rFonts w:asciiTheme="majorHAnsi" w:eastAsia="Times New Roman" w:hAnsiTheme="majorHAnsi" w:cstheme="majorHAnsi"/>
                <w:b/>
                <w:sz w:val="18"/>
                <w:szCs w:val="18"/>
                <w:lang w:val="ro-MD"/>
              </w:rPr>
              <w:t>-968 540,00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39A360A" w14:textId="77777777" w:rsidR="00F37D59" w:rsidRPr="00E33BAB" w:rsidRDefault="00F37D59" w:rsidP="006127E1">
            <w:pPr>
              <w:spacing w:after="0" w:line="240" w:lineRule="auto"/>
              <w:jc w:val="center"/>
              <w:rPr>
                <w:rFonts w:asciiTheme="majorHAnsi" w:eastAsia="Times New Roman" w:hAnsiTheme="majorHAnsi" w:cstheme="majorHAnsi"/>
                <w:b/>
                <w:sz w:val="18"/>
                <w:szCs w:val="18"/>
                <w:lang w:val="ro-MD"/>
              </w:rPr>
            </w:pPr>
            <w:r w:rsidRPr="00E33BAB">
              <w:rPr>
                <w:rFonts w:asciiTheme="majorHAnsi" w:eastAsia="Times New Roman" w:hAnsiTheme="majorHAnsi" w:cstheme="majorHAnsi"/>
                <w:b/>
                <w:sz w:val="18"/>
                <w:szCs w:val="18"/>
                <w:lang w:val="ro-MD"/>
              </w:rPr>
              <w:t>-968 540,00</w:t>
            </w:r>
          </w:p>
        </w:tc>
        <w:tc>
          <w:tcPr>
            <w:tcW w:w="1258" w:type="dxa"/>
            <w:tcBorders>
              <w:top w:val="single" w:sz="4" w:space="0" w:color="auto"/>
              <w:left w:val="nil"/>
              <w:bottom w:val="single" w:sz="4" w:space="0" w:color="auto"/>
              <w:right w:val="single" w:sz="4" w:space="0" w:color="auto"/>
            </w:tcBorders>
            <w:shd w:val="clear" w:color="auto" w:fill="auto"/>
            <w:noWrap/>
            <w:vAlign w:val="center"/>
          </w:tcPr>
          <w:p w14:paraId="3E17EF4E" w14:textId="77777777" w:rsidR="00F37D59" w:rsidRPr="00E33BAB" w:rsidRDefault="00F37D59" w:rsidP="006127E1">
            <w:pPr>
              <w:spacing w:after="0" w:line="240" w:lineRule="auto"/>
              <w:jc w:val="center"/>
              <w:rPr>
                <w:rFonts w:asciiTheme="majorHAnsi" w:eastAsia="Times New Roman" w:hAnsiTheme="majorHAnsi" w:cstheme="majorHAnsi"/>
                <w:b/>
                <w:sz w:val="18"/>
                <w:szCs w:val="18"/>
                <w:lang w:val="ro-MD"/>
              </w:rPr>
            </w:pPr>
            <w:r w:rsidRPr="00E33BAB">
              <w:rPr>
                <w:rFonts w:asciiTheme="majorHAnsi" w:eastAsia="Times New Roman" w:hAnsiTheme="majorHAnsi" w:cstheme="majorHAnsi"/>
                <w:b/>
                <w:sz w:val="18"/>
                <w:szCs w:val="18"/>
                <w:lang w:val="ro-MD"/>
              </w:rPr>
              <w:t>968 540,00</w:t>
            </w:r>
          </w:p>
        </w:tc>
      </w:tr>
      <w:tr w:rsidR="00F37D59" w:rsidRPr="00E33BAB" w14:paraId="12B1720B" w14:textId="77777777" w:rsidTr="00F37D59">
        <w:trPr>
          <w:trHeight w:val="120"/>
        </w:trPr>
        <w:tc>
          <w:tcPr>
            <w:tcW w:w="3414" w:type="dxa"/>
            <w:tcBorders>
              <w:top w:val="nil"/>
              <w:left w:val="single" w:sz="4" w:space="0" w:color="auto"/>
              <w:bottom w:val="single" w:sz="4" w:space="0" w:color="auto"/>
              <w:right w:val="single" w:sz="4" w:space="0" w:color="auto"/>
            </w:tcBorders>
            <w:shd w:val="clear" w:color="auto" w:fill="auto"/>
            <w:noWrap/>
            <w:vAlign w:val="center"/>
            <w:hideMark/>
          </w:tcPr>
          <w:p w14:paraId="033872DE" w14:textId="16D27A9A" w:rsidR="00F37D59" w:rsidRPr="00E33BAB" w:rsidRDefault="00F37D59" w:rsidP="006127E1">
            <w:pPr>
              <w:spacing w:after="0" w:line="276" w:lineRule="auto"/>
              <w:rPr>
                <w:rFonts w:asciiTheme="majorHAnsi" w:eastAsia="Times New Roman" w:hAnsiTheme="majorHAnsi" w:cstheme="majorHAnsi"/>
                <w:b/>
                <w:bCs/>
                <w:sz w:val="18"/>
                <w:szCs w:val="18"/>
                <w:lang w:val="ro-MD"/>
              </w:rPr>
            </w:pPr>
            <w:r w:rsidRPr="00E33BAB">
              <w:rPr>
                <w:rFonts w:asciiTheme="majorHAnsi" w:eastAsia="Times New Roman" w:hAnsiTheme="majorHAnsi" w:cstheme="majorHAnsi"/>
                <w:b/>
                <w:bCs/>
                <w:sz w:val="18"/>
                <w:szCs w:val="18"/>
                <w:lang w:val="ro-MD"/>
              </w:rPr>
              <w:t>Total</w:t>
            </w:r>
          </w:p>
        </w:tc>
        <w:tc>
          <w:tcPr>
            <w:tcW w:w="1559" w:type="dxa"/>
            <w:tcBorders>
              <w:top w:val="nil"/>
              <w:left w:val="nil"/>
              <w:bottom w:val="single" w:sz="4" w:space="0" w:color="auto"/>
              <w:right w:val="single" w:sz="4" w:space="0" w:color="auto"/>
            </w:tcBorders>
            <w:shd w:val="clear" w:color="auto" w:fill="auto"/>
            <w:noWrap/>
            <w:vAlign w:val="center"/>
          </w:tcPr>
          <w:p w14:paraId="0CFC6F3A" w14:textId="77777777" w:rsidR="00F37D59" w:rsidRPr="00E33BAB" w:rsidRDefault="00F37D59" w:rsidP="006127E1">
            <w:pPr>
              <w:spacing w:after="0" w:line="240" w:lineRule="auto"/>
              <w:jc w:val="center"/>
              <w:rPr>
                <w:rFonts w:asciiTheme="majorHAnsi" w:eastAsia="Times New Roman" w:hAnsiTheme="majorHAnsi" w:cstheme="majorHAnsi"/>
                <w:b/>
                <w:sz w:val="18"/>
                <w:szCs w:val="18"/>
                <w:lang w:val="ro-MD"/>
              </w:rPr>
            </w:pPr>
            <w:r w:rsidRPr="00E33BAB">
              <w:rPr>
                <w:rFonts w:asciiTheme="majorHAnsi" w:eastAsia="Times New Roman" w:hAnsiTheme="majorHAnsi" w:cstheme="majorHAnsi"/>
                <w:b/>
                <w:sz w:val="18"/>
                <w:szCs w:val="18"/>
                <w:lang w:val="ro-MD"/>
              </w:rPr>
              <w:t>129 344,09</w:t>
            </w:r>
          </w:p>
        </w:tc>
        <w:tc>
          <w:tcPr>
            <w:tcW w:w="1701" w:type="dxa"/>
            <w:tcBorders>
              <w:top w:val="nil"/>
              <w:left w:val="nil"/>
              <w:bottom w:val="single" w:sz="4" w:space="0" w:color="auto"/>
              <w:right w:val="single" w:sz="4" w:space="0" w:color="auto"/>
            </w:tcBorders>
            <w:shd w:val="clear" w:color="auto" w:fill="auto"/>
            <w:noWrap/>
            <w:vAlign w:val="center"/>
          </w:tcPr>
          <w:p w14:paraId="4B43C93B" w14:textId="77777777" w:rsidR="00F37D59" w:rsidRPr="00E33BAB" w:rsidRDefault="00F37D59" w:rsidP="006127E1">
            <w:pPr>
              <w:spacing w:after="0" w:line="240" w:lineRule="auto"/>
              <w:jc w:val="center"/>
              <w:rPr>
                <w:rFonts w:asciiTheme="majorHAnsi" w:eastAsia="Times New Roman" w:hAnsiTheme="majorHAnsi" w:cstheme="majorHAnsi"/>
                <w:b/>
                <w:sz w:val="18"/>
                <w:szCs w:val="18"/>
                <w:lang w:val="ro-MD"/>
              </w:rPr>
            </w:pPr>
            <w:r w:rsidRPr="00E33BAB">
              <w:rPr>
                <w:rFonts w:asciiTheme="majorHAnsi" w:eastAsia="Times New Roman" w:hAnsiTheme="majorHAnsi" w:cstheme="majorHAnsi"/>
                <w:b/>
                <w:sz w:val="18"/>
                <w:szCs w:val="18"/>
                <w:lang w:val="ro-MD"/>
              </w:rPr>
              <w:t>1 666 569,16</w:t>
            </w:r>
          </w:p>
        </w:tc>
        <w:tc>
          <w:tcPr>
            <w:tcW w:w="1559" w:type="dxa"/>
            <w:tcBorders>
              <w:top w:val="nil"/>
              <w:left w:val="nil"/>
              <w:bottom w:val="single" w:sz="4" w:space="0" w:color="auto"/>
              <w:right w:val="single" w:sz="4" w:space="0" w:color="auto"/>
            </w:tcBorders>
            <w:shd w:val="clear" w:color="auto" w:fill="auto"/>
            <w:noWrap/>
            <w:vAlign w:val="center"/>
          </w:tcPr>
          <w:p w14:paraId="42DFA3FE" w14:textId="77777777" w:rsidR="00F37D59" w:rsidRPr="00E33BAB" w:rsidRDefault="00F37D59" w:rsidP="006127E1">
            <w:pPr>
              <w:spacing w:after="0" w:line="240" w:lineRule="auto"/>
              <w:jc w:val="center"/>
              <w:rPr>
                <w:rFonts w:asciiTheme="majorHAnsi" w:eastAsia="Times New Roman" w:hAnsiTheme="majorHAnsi" w:cstheme="majorHAnsi"/>
                <w:b/>
                <w:sz w:val="18"/>
                <w:szCs w:val="18"/>
                <w:lang w:val="ro-MD"/>
              </w:rPr>
            </w:pPr>
            <w:r w:rsidRPr="00E33BAB">
              <w:rPr>
                <w:rFonts w:asciiTheme="majorHAnsi" w:eastAsia="Times New Roman" w:hAnsiTheme="majorHAnsi" w:cstheme="majorHAnsi"/>
                <w:b/>
                <w:sz w:val="18"/>
                <w:szCs w:val="18"/>
                <w:lang w:val="ro-MD"/>
              </w:rPr>
              <w:t>1 412 314,93</w:t>
            </w:r>
          </w:p>
        </w:tc>
        <w:tc>
          <w:tcPr>
            <w:tcW w:w="1701" w:type="dxa"/>
            <w:tcBorders>
              <w:top w:val="nil"/>
              <w:left w:val="nil"/>
              <w:bottom w:val="single" w:sz="4" w:space="0" w:color="auto"/>
              <w:right w:val="single" w:sz="4" w:space="0" w:color="auto"/>
            </w:tcBorders>
            <w:shd w:val="clear" w:color="auto" w:fill="auto"/>
            <w:noWrap/>
            <w:vAlign w:val="center"/>
          </w:tcPr>
          <w:p w14:paraId="18A32131" w14:textId="77777777" w:rsidR="00F37D59" w:rsidRPr="00E33BAB" w:rsidRDefault="00F37D59" w:rsidP="006127E1">
            <w:pPr>
              <w:spacing w:after="0" w:line="240" w:lineRule="auto"/>
              <w:jc w:val="center"/>
              <w:rPr>
                <w:rFonts w:asciiTheme="majorHAnsi" w:eastAsia="Times New Roman" w:hAnsiTheme="majorHAnsi" w:cstheme="majorHAnsi"/>
                <w:b/>
                <w:sz w:val="18"/>
                <w:szCs w:val="18"/>
                <w:lang w:val="ro-MD"/>
              </w:rPr>
            </w:pPr>
            <w:r w:rsidRPr="00E33BAB">
              <w:rPr>
                <w:rFonts w:asciiTheme="majorHAnsi" w:eastAsia="Times New Roman" w:hAnsiTheme="majorHAnsi" w:cstheme="majorHAnsi"/>
                <w:b/>
                <w:sz w:val="18"/>
                <w:szCs w:val="18"/>
                <w:lang w:val="ro-MD"/>
              </w:rPr>
              <w:t>2 949 540,00</w:t>
            </w:r>
          </w:p>
        </w:tc>
        <w:tc>
          <w:tcPr>
            <w:tcW w:w="1701" w:type="dxa"/>
            <w:tcBorders>
              <w:top w:val="nil"/>
              <w:left w:val="nil"/>
              <w:bottom w:val="single" w:sz="4" w:space="0" w:color="auto"/>
              <w:right w:val="single" w:sz="4" w:space="0" w:color="auto"/>
            </w:tcBorders>
            <w:shd w:val="clear" w:color="auto" w:fill="auto"/>
            <w:noWrap/>
            <w:vAlign w:val="center"/>
          </w:tcPr>
          <w:p w14:paraId="54B7D7D4" w14:textId="77777777" w:rsidR="00F37D59" w:rsidRPr="00E33BAB" w:rsidRDefault="00F37D59" w:rsidP="006127E1">
            <w:pPr>
              <w:spacing w:after="0" w:line="240" w:lineRule="auto"/>
              <w:jc w:val="center"/>
              <w:rPr>
                <w:rFonts w:asciiTheme="majorHAnsi" w:eastAsia="Times New Roman" w:hAnsiTheme="majorHAnsi" w:cstheme="majorHAnsi"/>
                <w:b/>
                <w:sz w:val="16"/>
                <w:szCs w:val="16"/>
                <w:lang w:val="ro-MD"/>
              </w:rPr>
            </w:pPr>
            <w:r w:rsidRPr="00E33BAB">
              <w:rPr>
                <w:rFonts w:asciiTheme="majorHAnsi" w:eastAsia="Times New Roman" w:hAnsiTheme="majorHAnsi" w:cstheme="majorHAnsi"/>
                <w:b/>
                <w:sz w:val="16"/>
                <w:szCs w:val="16"/>
                <w:lang w:val="ro-MD"/>
              </w:rPr>
              <w:t>-1 282 970,84</w:t>
            </w:r>
          </w:p>
        </w:tc>
        <w:tc>
          <w:tcPr>
            <w:tcW w:w="1843" w:type="dxa"/>
            <w:tcBorders>
              <w:top w:val="nil"/>
              <w:left w:val="nil"/>
              <w:bottom w:val="single" w:sz="4" w:space="0" w:color="auto"/>
              <w:right w:val="single" w:sz="4" w:space="0" w:color="auto"/>
            </w:tcBorders>
            <w:shd w:val="clear" w:color="auto" w:fill="auto"/>
            <w:noWrap/>
            <w:vAlign w:val="center"/>
          </w:tcPr>
          <w:p w14:paraId="2BDFD5CE" w14:textId="77777777" w:rsidR="00F37D59" w:rsidRPr="00E33BAB" w:rsidRDefault="00F37D59" w:rsidP="006127E1">
            <w:pPr>
              <w:spacing w:after="0" w:line="240" w:lineRule="auto"/>
              <w:jc w:val="center"/>
              <w:rPr>
                <w:rFonts w:asciiTheme="majorHAnsi" w:eastAsia="Times New Roman" w:hAnsiTheme="majorHAnsi" w:cstheme="majorHAnsi"/>
                <w:b/>
                <w:sz w:val="16"/>
                <w:szCs w:val="16"/>
                <w:lang w:val="ro-MD"/>
              </w:rPr>
            </w:pPr>
            <w:r w:rsidRPr="00E33BAB">
              <w:rPr>
                <w:rFonts w:asciiTheme="majorHAnsi" w:eastAsia="Times New Roman" w:hAnsiTheme="majorHAnsi" w:cstheme="majorHAnsi"/>
                <w:b/>
                <w:sz w:val="16"/>
                <w:szCs w:val="16"/>
                <w:lang w:val="ro-MD"/>
              </w:rPr>
              <w:t>-1 282 970,84</w:t>
            </w:r>
          </w:p>
        </w:tc>
        <w:tc>
          <w:tcPr>
            <w:tcW w:w="1258" w:type="dxa"/>
            <w:tcBorders>
              <w:top w:val="nil"/>
              <w:left w:val="nil"/>
              <w:bottom w:val="single" w:sz="4" w:space="0" w:color="auto"/>
              <w:right w:val="single" w:sz="4" w:space="0" w:color="auto"/>
            </w:tcBorders>
            <w:shd w:val="clear" w:color="auto" w:fill="auto"/>
            <w:noWrap/>
            <w:vAlign w:val="center"/>
          </w:tcPr>
          <w:p w14:paraId="451A07FE" w14:textId="77777777" w:rsidR="00F37D59" w:rsidRPr="00E33BAB" w:rsidRDefault="00F37D59" w:rsidP="006127E1">
            <w:pPr>
              <w:spacing w:after="0" w:line="240" w:lineRule="auto"/>
              <w:jc w:val="center"/>
              <w:rPr>
                <w:rFonts w:asciiTheme="majorHAnsi" w:eastAsia="Times New Roman" w:hAnsiTheme="majorHAnsi" w:cstheme="majorHAnsi"/>
                <w:b/>
                <w:sz w:val="18"/>
                <w:szCs w:val="18"/>
                <w:lang w:val="ro-MD"/>
              </w:rPr>
            </w:pPr>
            <w:r w:rsidRPr="00E33BAB">
              <w:rPr>
                <w:rFonts w:asciiTheme="majorHAnsi" w:eastAsia="Times New Roman" w:hAnsiTheme="majorHAnsi" w:cstheme="majorHAnsi"/>
                <w:b/>
                <w:sz w:val="18"/>
                <w:szCs w:val="18"/>
                <w:lang w:val="ro-MD"/>
              </w:rPr>
              <w:t>2 949 540,00</w:t>
            </w:r>
          </w:p>
        </w:tc>
      </w:tr>
    </w:tbl>
    <w:p w14:paraId="4EFBF420" w14:textId="1B6FF696" w:rsidR="006127E1" w:rsidRPr="00E33BAB" w:rsidRDefault="006127E1" w:rsidP="00ED7F39">
      <w:pPr>
        <w:rPr>
          <w:rFonts w:asciiTheme="majorHAnsi" w:eastAsiaTheme="majorEastAsia" w:hAnsiTheme="majorHAnsi" w:cstheme="majorHAnsi"/>
          <w:b/>
          <w:i/>
          <w:sz w:val="24"/>
          <w:szCs w:val="24"/>
          <w:lang w:val="ro-MD"/>
        </w:rPr>
      </w:pPr>
      <w:bookmarkStart w:id="19" w:name="_Toc513122877"/>
      <w:bookmarkStart w:id="20" w:name="_Toc10125926"/>
      <w:bookmarkStart w:id="21" w:name="_Toc481146976"/>
    </w:p>
    <w:p w14:paraId="32D154DB" w14:textId="7EECDB43" w:rsidR="006127E1" w:rsidRPr="00D5496A" w:rsidRDefault="006127E1" w:rsidP="006127E1">
      <w:pPr>
        <w:keepNext/>
        <w:keepLines/>
        <w:spacing w:before="240" w:after="0"/>
        <w:jc w:val="right"/>
        <w:outlineLvl w:val="0"/>
        <w:rPr>
          <w:rFonts w:asciiTheme="majorHAnsi" w:eastAsiaTheme="majorEastAsia" w:hAnsiTheme="majorHAnsi" w:cstheme="majorHAnsi"/>
          <w:b/>
          <w:sz w:val="24"/>
          <w:szCs w:val="24"/>
          <w:lang w:val="ro-MD"/>
        </w:rPr>
      </w:pPr>
      <w:r w:rsidRPr="00D5496A">
        <w:rPr>
          <w:rFonts w:asciiTheme="majorHAnsi" w:eastAsiaTheme="majorEastAsia" w:hAnsiTheme="majorHAnsi" w:cstheme="majorHAnsi"/>
          <w:b/>
          <w:sz w:val="24"/>
          <w:szCs w:val="24"/>
          <w:lang w:val="ro-MD"/>
        </w:rPr>
        <w:t>Anexa nr.</w:t>
      </w:r>
      <w:bookmarkEnd w:id="19"/>
      <w:bookmarkEnd w:id="20"/>
      <w:r w:rsidR="00FB2043" w:rsidRPr="00D5496A">
        <w:rPr>
          <w:rFonts w:asciiTheme="majorHAnsi" w:eastAsiaTheme="majorEastAsia" w:hAnsiTheme="majorHAnsi" w:cstheme="majorHAnsi"/>
          <w:b/>
          <w:sz w:val="24"/>
          <w:szCs w:val="24"/>
          <w:lang w:val="ro-MD"/>
        </w:rPr>
        <w:t>4</w:t>
      </w:r>
    </w:p>
    <w:p w14:paraId="23B1183F" w14:textId="05FE5194" w:rsidR="006127E1" w:rsidRPr="00D5496A" w:rsidRDefault="006127E1" w:rsidP="006127E1">
      <w:pPr>
        <w:spacing w:after="0"/>
        <w:jc w:val="center"/>
        <w:rPr>
          <w:rFonts w:asciiTheme="majorHAnsi" w:hAnsiTheme="majorHAnsi" w:cstheme="majorHAnsi"/>
          <w:i/>
          <w:sz w:val="24"/>
          <w:szCs w:val="24"/>
          <w:lang w:val="ro-MD"/>
        </w:rPr>
      </w:pPr>
      <w:r w:rsidRPr="00E33BAB">
        <w:rPr>
          <w:rFonts w:asciiTheme="majorHAnsi" w:hAnsiTheme="majorHAnsi" w:cstheme="majorHAnsi"/>
          <w:b/>
          <w:i/>
          <w:sz w:val="24"/>
          <w:szCs w:val="24"/>
          <w:lang w:val="ro-MD"/>
        </w:rPr>
        <w:t>Declarația de contabilitate DA-A aferentă Componentei Asistenț</w:t>
      </w:r>
      <w:r w:rsidR="00AE7F00">
        <w:rPr>
          <w:rFonts w:asciiTheme="majorHAnsi" w:hAnsiTheme="majorHAnsi" w:cstheme="majorHAnsi"/>
          <w:b/>
          <w:i/>
          <w:sz w:val="24"/>
          <w:szCs w:val="24"/>
          <w:lang w:val="ro-MD"/>
        </w:rPr>
        <w:t>a</w:t>
      </w:r>
      <w:r w:rsidRPr="00E33BAB">
        <w:rPr>
          <w:rFonts w:asciiTheme="majorHAnsi" w:hAnsiTheme="majorHAnsi" w:cstheme="majorHAnsi"/>
          <w:b/>
          <w:i/>
          <w:sz w:val="24"/>
          <w:szCs w:val="24"/>
          <w:lang w:val="ro-MD"/>
        </w:rPr>
        <w:t xml:space="preserve"> Tehnică din cadrul </w:t>
      </w:r>
      <w:r w:rsidR="002F26E2" w:rsidRPr="00E33BAB">
        <w:rPr>
          <w:rFonts w:asciiTheme="majorHAnsi" w:hAnsiTheme="majorHAnsi" w:cstheme="majorHAnsi"/>
          <w:b/>
          <w:i/>
          <w:sz w:val="24"/>
          <w:szCs w:val="24"/>
          <w:lang w:val="ro-MD"/>
        </w:rPr>
        <w:t xml:space="preserve">Operațiunii </w:t>
      </w:r>
      <w:r w:rsidRPr="00E33BAB">
        <w:rPr>
          <w:rFonts w:asciiTheme="majorHAnsi" w:hAnsiTheme="majorHAnsi" w:cstheme="majorHAnsi"/>
          <w:b/>
          <w:i/>
          <w:sz w:val="24"/>
          <w:szCs w:val="24"/>
          <w:lang w:val="ro-MD"/>
        </w:rPr>
        <w:t>„Modernizarea sectorului sănătății în Republica Moldova”,</w:t>
      </w:r>
      <w:bookmarkEnd w:id="21"/>
      <w:r w:rsidRPr="00E33BAB">
        <w:rPr>
          <w:rFonts w:asciiTheme="majorHAnsi" w:hAnsiTheme="majorHAnsi" w:cstheme="majorHAnsi"/>
          <w:b/>
          <w:i/>
          <w:sz w:val="24"/>
          <w:szCs w:val="24"/>
          <w:lang w:val="ro-MD"/>
        </w:rPr>
        <w:t xml:space="preserve"> în anii 2017-2020, </w:t>
      </w:r>
      <w:r w:rsidRPr="00D5496A">
        <w:rPr>
          <w:rFonts w:asciiTheme="majorHAnsi" w:hAnsiTheme="majorHAnsi" w:cstheme="majorHAnsi"/>
          <w:i/>
          <w:sz w:val="24"/>
          <w:szCs w:val="24"/>
          <w:lang w:val="ro-MD"/>
        </w:rPr>
        <w:t>dolari SUA</w:t>
      </w:r>
    </w:p>
    <w:p w14:paraId="5BFBF5B0" w14:textId="77777777" w:rsidR="006127E1" w:rsidRPr="00E33BAB" w:rsidRDefault="006127E1" w:rsidP="006127E1">
      <w:pPr>
        <w:spacing w:after="0"/>
        <w:jc w:val="center"/>
        <w:rPr>
          <w:rFonts w:asciiTheme="majorHAnsi" w:hAnsiTheme="majorHAnsi" w:cstheme="majorHAnsi"/>
          <w:b/>
          <w:i/>
          <w:sz w:val="24"/>
          <w:szCs w:val="24"/>
          <w:lang w:val="ro-MD"/>
        </w:rPr>
      </w:pPr>
    </w:p>
    <w:tbl>
      <w:tblPr>
        <w:tblW w:w="12445"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814"/>
        <w:gridCol w:w="1701"/>
        <w:gridCol w:w="1418"/>
        <w:gridCol w:w="1275"/>
      </w:tblGrid>
      <w:tr w:rsidR="006127E1" w:rsidRPr="00E33BAB" w14:paraId="677A21BC" w14:textId="77777777" w:rsidTr="00785360">
        <w:trPr>
          <w:trHeight w:val="264"/>
        </w:trPr>
        <w:tc>
          <w:tcPr>
            <w:tcW w:w="6237" w:type="dxa"/>
            <w:shd w:val="clear" w:color="auto" w:fill="auto"/>
            <w:noWrap/>
            <w:vAlign w:val="center"/>
          </w:tcPr>
          <w:p w14:paraId="6C0D41BE" w14:textId="77777777" w:rsidR="006127E1" w:rsidRPr="00E33BAB" w:rsidRDefault="006127E1" w:rsidP="006127E1">
            <w:pPr>
              <w:spacing w:after="0" w:line="240" w:lineRule="auto"/>
              <w:jc w:val="center"/>
              <w:rPr>
                <w:rFonts w:asciiTheme="majorHAnsi" w:eastAsia="Times New Roman" w:hAnsiTheme="majorHAnsi" w:cstheme="majorHAnsi"/>
                <w:b/>
                <w:sz w:val="20"/>
                <w:szCs w:val="20"/>
                <w:lang w:val="ro-MD"/>
              </w:rPr>
            </w:pPr>
            <w:r w:rsidRPr="00E33BAB">
              <w:rPr>
                <w:rFonts w:asciiTheme="majorHAnsi" w:eastAsia="Times New Roman" w:hAnsiTheme="majorHAnsi" w:cstheme="majorHAnsi"/>
                <w:b/>
                <w:sz w:val="20"/>
                <w:szCs w:val="20"/>
                <w:lang w:val="ro-MD"/>
              </w:rPr>
              <w:t>Anii</w:t>
            </w:r>
          </w:p>
        </w:tc>
        <w:tc>
          <w:tcPr>
            <w:tcW w:w="1814" w:type="dxa"/>
            <w:shd w:val="clear" w:color="auto" w:fill="auto"/>
            <w:noWrap/>
            <w:vAlign w:val="center"/>
          </w:tcPr>
          <w:p w14:paraId="53A009F0" w14:textId="77777777" w:rsidR="006127E1" w:rsidRPr="00E33BAB" w:rsidRDefault="006127E1" w:rsidP="006127E1">
            <w:pPr>
              <w:spacing w:after="0" w:line="240" w:lineRule="auto"/>
              <w:jc w:val="center"/>
              <w:rPr>
                <w:rFonts w:asciiTheme="majorHAnsi" w:eastAsia="Times New Roman" w:hAnsiTheme="majorHAnsi" w:cstheme="majorHAnsi"/>
                <w:b/>
                <w:sz w:val="20"/>
                <w:szCs w:val="20"/>
                <w:lang w:val="ro-MD"/>
              </w:rPr>
            </w:pPr>
            <w:r w:rsidRPr="00E33BAB">
              <w:rPr>
                <w:rFonts w:asciiTheme="majorHAnsi" w:eastAsia="Times New Roman" w:hAnsiTheme="majorHAnsi" w:cstheme="majorHAnsi"/>
                <w:b/>
                <w:sz w:val="20"/>
                <w:szCs w:val="20"/>
                <w:lang w:val="ro-MD"/>
              </w:rPr>
              <w:t>2017</w:t>
            </w:r>
          </w:p>
        </w:tc>
        <w:tc>
          <w:tcPr>
            <w:tcW w:w="1701" w:type="dxa"/>
          </w:tcPr>
          <w:p w14:paraId="3DAA1607" w14:textId="77777777" w:rsidR="006127E1" w:rsidRPr="00E33BAB" w:rsidRDefault="006127E1" w:rsidP="006127E1">
            <w:pPr>
              <w:spacing w:after="0" w:line="240" w:lineRule="auto"/>
              <w:jc w:val="center"/>
              <w:rPr>
                <w:rFonts w:asciiTheme="majorHAnsi" w:eastAsia="Times New Roman" w:hAnsiTheme="majorHAnsi" w:cstheme="majorHAnsi"/>
                <w:b/>
                <w:sz w:val="20"/>
                <w:szCs w:val="20"/>
                <w:lang w:val="ro-MD"/>
              </w:rPr>
            </w:pPr>
            <w:r w:rsidRPr="00E33BAB">
              <w:rPr>
                <w:rFonts w:asciiTheme="majorHAnsi" w:eastAsia="Times New Roman" w:hAnsiTheme="majorHAnsi" w:cstheme="majorHAnsi"/>
                <w:b/>
                <w:sz w:val="20"/>
                <w:szCs w:val="20"/>
                <w:lang w:val="ro-MD"/>
              </w:rPr>
              <w:t>2018</w:t>
            </w:r>
          </w:p>
        </w:tc>
        <w:tc>
          <w:tcPr>
            <w:tcW w:w="1418" w:type="dxa"/>
          </w:tcPr>
          <w:p w14:paraId="411BDC37" w14:textId="77777777" w:rsidR="006127E1" w:rsidRPr="00E33BAB" w:rsidRDefault="006127E1" w:rsidP="006127E1">
            <w:pPr>
              <w:spacing w:after="0" w:line="240" w:lineRule="auto"/>
              <w:jc w:val="center"/>
              <w:rPr>
                <w:rFonts w:asciiTheme="majorHAnsi" w:eastAsia="Times New Roman" w:hAnsiTheme="majorHAnsi" w:cstheme="majorHAnsi"/>
                <w:b/>
                <w:sz w:val="20"/>
                <w:szCs w:val="20"/>
                <w:lang w:val="ro-MD"/>
              </w:rPr>
            </w:pPr>
            <w:r w:rsidRPr="00E33BAB">
              <w:rPr>
                <w:rFonts w:asciiTheme="majorHAnsi" w:eastAsia="Times New Roman" w:hAnsiTheme="majorHAnsi" w:cstheme="majorHAnsi"/>
                <w:b/>
                <w:sz w:val="20"/>
                <w:szCs w:val="20"/>
                <w:lang w:val="ro-MD"/>
              </w:rPr>
              <w:t>2019</w:t>
            </w:r>
          </w:p>
        </w:tc>
        <w:tc>
          <w:tcPr>
            <w:tcW w:w="1275" w:type="dxa"/>
          </w:tcPr>
          <w:p w14:paraId="64DC035E" w14:textId="77777777" w:rsidR="006127E1" w:rsidRPr="00E33BAB" w:rsidRDefault="006127E1" w:rsidP="006127E1">
            <w:pPr>
              <w:spacing w:after="0" w:line="240" w:lineRule="auto"/>
              <w:jc w:val="center"/>
              <w:rPr>
                <w:rFonts w:asciiTheme="majorHAnsi" w:eastAsia="Times New Roman" w:hAnsiTheme="majorHAnsi" w:cstheme="majorHAnsi"/>
                <w:b/>
                <w:sz w:val="20"/>
                <w:szCs w:val="20"/>
                <w:lang w:val="ro-MD"/>
              </w:rPr>
            </w:pPr>
            <w:r w:rsidRPr="00E33BAB">
              <w:rPr>
                <w:rFonts w:asciiTheme="majorHAnsi" w:eastAsia="Times New Roman" w:hAnsiTheme="majorHAnsi" w:cstheme="majorHAnsi"/>
                <w:b/>
                <w:sz w:val="20"/>
                <w:szCs w:val="20"/>
                <w:lang w:val="ro-MD"/>
              </w:rPr>
              <w:t>2020</w:t>
            </w:r>
          </w:p>
        </w:tc>
      </w:tr>
      <w:tr w:rsidR="006127E1" w:rsidRPr="00E33BAB" w14:paraId="4DCC3E18" w14:textId="77777777" w:rsidTr="00785360">
        <w:trPr>
          <w:trHeight w:val="264"/>
        </w:trPr>
        <w:tc>
          <w:tcPr>
            <w:tcW w:w="6237" w:type="dxa"/>
            <w:shd w:val="clear" w:color="auto" w:fill="auto"/>
            <w:noWrap/>
            <w:vAlign w:val="center"/>
            <w:hideMark/>
          </w:tcPr>
          <w:p w14:paraId="536D1B69" w14:textId="77777777" w:rsidR="006127E1" w:rsidRPr="00E33BAB" w:rsidRDefault="006127E1" w:rsidP="006127E1">
            <w:pPr>
              <w:spacing w:after="0" w:line="240" w:lineRule="auto"/>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Soldul raportat din perioada anterioară</w:t>
            </w:r>
          </w:p>
        </w:tc>
        <w:tc>
          <w:tcPr>
            <w:tcW w:w="1814" w:type="dxa"/>
            <w:shd w:val="clear" w:color="auto" w:fill="auto"/>
            <w:noWrap/>
            <w:vAlign w:val="center"/>
            <w:hideMark/>
          </w:tcPr>
          <w:p w14:paraId="1BC17D7D"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147 819,77</w:t>
            </w:r>
          </w:p>
        </w:tc>
        <w:tc>
          <w:tcPr>
            <w:tcW w:w="1701" w:type="dxa"/>
            <w:shd w:val="clear" w:color="auto" w:fill="auto"/>
            <w:vAlign w:val="center"/>
          </w:tcPr>
          <w:p w14:paraId="68F7DEED"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49 697,28</w:t>
            </w:r>
          </w:p>
        </w:tc>
        <w:tc>
          <w:tcPr>
            <w:tcW w:w="1418" w:type="dxa"/>
            <w:shd w:val="clear" w:color="auto" w:fill="auto"/>
            <w:vAlign w:val="center"/>
          </w:tcPr>
          <w:p w14:paraId="083024FC"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97 221,25</w:t>
            </w:r>
          </w:p>
        </w:tc>
        <w:tc>
          <w:tcPr>
            <w:tcW w:w="1275" w:type="dxa"/>
          </w:tcPr>
          <w:p w14:paraId="3A0786D4"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127 456,63</w:t>
            </w:r>
          </w:p>
        </w:tc>
      </w:tr>
      <w:tr w:rsidR="006127E1" w:rsidRPr="00E33BAB" w14:paraId="0179B77E" w14:textId="77777777" w:rsidTr="00785360">
        <w:trPr>
          <w:trHeight w:val="264"/>
        </w:trPr>
        <w:tc>
          <w:tcPr>
            <w:tcW w:w="6237" w:type="dxa"/>
            <w:shd w:val="clear" w:color="auto" w:fill="auto"/>
            <w:noWrap/>
            <w:vAlign w:val="center"/>
            <w:hideMark/>
          </w:tcPr>
          <w:p w14:paraId="2F76F8B5" w14:textId="77777777" w:rsidR="006127E1" w:rsidRPr="00E33BAB" w:rsidRDefault="006127E1" w:rsidP="006127E1">
            <w:pPr>
              <w:spacing w:after="0" w:line="240" w:lineRule="auto"/>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 xml:space="preserve">  (cu excepția elementelor de ajustare)</w:t>
            </w:r>
          </w:p>
        </w:tc>
        <w:tc>
          <w:tcPr>
            <w:tcW w:w="1814" w:type="dxa"/>
            <w:shd w:val="clear" w:color="auto" w:fill="auto"/>
            <w:noWrap/>
            <w:vAlign w:val="center"/>
            <w:hideMark/>
          </w:tcPr>
          <w:p w14:paraId="0230175E"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p>
        </w:tc>
        <w:tc>
          <w:tcPr>
            <w:tcW w:w="1701" w:type="dxa"/>
            <w:shd w:val="clear" w:color="auto" w:fill="auto"/>
            <w:vAlign w:val="center"/>
          </w:tcPr>
          <w:p w14:paraId="09FD1BF0"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p>
        </w:tc>
        <w:tc>
          <w:tcPr>
            <w:tcW w:w="1418" w:type="dxa"/>
            <w:shd w:val="clear" w:color="auto" w:fill="auto"/>
            <w:vAlign w:val="center"/>
          </w:tcPr>
          <w:p w14:paraId="4E256ECD"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p>
        </w:tc>
        <w:tc>
          <w:tcPr>
            <w:tcW w:w="1275" w:type="dxa"/>
          </w:tcPr>
          <w:p w14:paraId="0D188A2E"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p>
        </w:tc>
      </w:tr>
      <w:tr w:rsidR="006127E1" w:rsidRPr="00E33BAB" w14:paraId="5C9E2065" w14:textId="77777777" w:rsidTr="00785360">
        <w:trPr>
          <w:trHeight w:val="253"/>
        </w:trPr>
        <w:tc>
          <w:tcPr>
            <w:tcW w:w="6237" w:type="dxa"/>
            <w:shd w:val="clear" w:color="auto" w:fill="auto"/>
            <w:vAlign w:val="center"/>
            <w:hideMark/>
          </w:tcPr>
          <w:p w14:paraId="358119C4" w14:textId="77777777" w:rsidR="006127E1" w:rsidRPr="00E33BAB" w:rsidRDefault="006127E1" w:rsidP="006127E1">
            <w:pPr>
              <w:spacing w:after="0" w:line="240" w:lineRule="auto"/>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Refinanțarea Băncii Mondiale primită în perioada curentă</w:t>
            </w:r>
          </w:p>
        </w:tc>
        <w:tc>
          <w:tcPr>
            <w:tcW w:w="1814" w:type="dxa"/>
            <w:shd w:val="clear" w:color="auto" w:fill="auto"/>
            <w:noWrap/>
            <w:vAlign w:val="center"/>
            <w:hideMark/>
          </w:tcPr>
          <w:p w14:paraId="34C64880"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340 000,00</w:t>
            </w:r>
          </w:p>
        </w:tc>
        <w:tc>
          <w:tcPr>
            <w:tcW w:w="1701" w:type="dxa"/>
            <w:shd w:val="clear" w:color="auto" w:fill="auto"/>
            <w:vAlign w:val="center"/>
          </w:tcPr>
          <w:p w14:paraId="35D822B4"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390 000,00</w:t>
            </w:r>
          </w:p>
        </w:tc>
        <w:tc>
          <w:tcPr>
            <w:tcW w:w="1418" w:type="dxa"/>
            <w:shd w:val="clear" w:color="auto" w:fill="auto"/>
            <w:vAlign w:val="center"/>
          </w:tcPr>
          <w:p w14:paraId="3FB822D1"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604 681,70</w:t>
            </w:r>
          </w:p>
        </w:tc>
        <w:tc>
          <w:tcPr>
            <w:tcW w:w="1275" w:type="dxa"/>
          </w:tcPr>
          <w:p w14:paraId="161C7416"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50 000,00</w:t>
            </w:r>
          </w:p>
        </w:tc>
      </w:tr>
      <w:tr w:rsidR="006127E1" w:rsidRPr="00E33BAB" w14:paraId="7961A285" w14:textId="77777777" w:rsidTr="00785360">
        <w:trPr>
          <w:trHeight w:val="264"/>
        </w:trPr>
        <w:tc>
          <w:tcPr>
            <w:tcW w:w="6237" w:type="dxa"/>
            <w:shd w:val="clear" w:color="auto" w:fill="auto"/>
            <w:noWrap/>
            <w:vAlign w:val="center"/>
            <w:hideMark/>
          </w:tcPr>
          <w:p w14:paraId="394DA992" w14:textId="77777777" w:rsidR="006127E1" w:rsidRPr="00E33BAB" w:rsidRDefault="006127E1" w:rsidP="006127E1">
            <w:pPr>
              <w:spacing w:after="0" w:line="240" w:lineRule="auto"/>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Dobânda primită pe parcursul perioadei</w:t>
            </w:r>
          </w:p>
        </w:tc>
        <w:tc>
          <w:tcPr>
            <w:tcW w:w="1814" w:type="dxa"/>
            <w:shd w:val="clear" w:color="auto" w:fill="auto"/>
            <w:noWrap/>
            <w:vAlign w:val="center"/>
            <w:hideMark/>
          </w:tcPr>
          <w:p w14:paraId="736F0893"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p>
        </w:tc>
        <w:tc>
          <w:tcPr>
            <w:tcW w:w="1701" w:type="dxa"/>
            <w:shd w:val="clear" w:color="auto" w:fill="auto"/>
            <w:vAlign w:val="center"/>
          </w:tcPr>
          <w:p w14:paraId="05A8D4A2"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p>
        </w:tc>
        <w:tc>
          <w:tcPr>
            <w:tcW w:w="1418" w:type="dxa"/>
            <w:shd w:val="clear" w:color="auto" w:fill="auto"/>
            <w:vAlign w:val="center"/>
          </w:tcPr>
          <w:p w14:paraId="38F20D9D"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p>
        </w:tc>
        <w:tc>
          <w:tcPr>
            <w:tcW w:w="1275" w:type="dxa"/>
          </w:tcPr>
          <w:p w14:paraId="390113CE"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p>
        </w:tc>
      </w:tr>
      <w:tr w:rsidR="006127E1" w:rsidRPr="00E33BAB" w14:paraId="6E0DB602" w14:textId="77777777" w:rsidTr="00785360">
        <w:trPr>
          <w:trHeight w:val="276"/>
        </w:trPr>
        <w:tc>
          <w:tcPr>
            <w:tcW w:w="6237" w:type="dxa"/>
            <w:shd w:val="clear" w:color="auto" w:fill="auto"/>
            <w:noWrap/>
            <w:vAlign w:val="center"/>
            <w:hideMark/>
          </w:tcPr>
          <w:p w14:paraId="31A4BC9B" w14:textId="77777777" w:rsidR="006127E1" w:rsidRPr="00E33BAB" w:rsidRDefault="006127E1" w:rsidP="006127E1">
            <w:pPr>
              <w:spacing w:after="0" w:line="240" w:lineRule="auto"/>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 xml:space="preserve">  Subtotal</w:t>
            </w:r>
          </w:p>
        </w:tc>
        <w:tc>
          <w:tcPr>
            <w:tcW w:w="1814" w:type="dxa"/>
            <w:shd w:val="clear" w:color="auto" w:fill="auto"/>
            <w:noWrap/>
            <w:vAlign w:val="center"/>
            <w:hideMark/>
          </w:tcPr>
          <w:p w14:paraId="17E45C8E" w14:textId="77777777" w:rsidR="006127E1" w:rsidRPr="00E33BAB" w:rsidRDefault="006127E1" w:rsidP="006127E1">
            <w:pPr>
              <w:spacing w:after="0" w:line="240" w:lineRule="auto"/>
              <w:jc w:val="cente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487 819,77</w:t>
            </w:r>
          </w:p>
        </w:tc>
        <w:tc>
          <w:tcPr>
            <w:tcW w:w="1701" w:type="dxa"/>
            <w:shd w:val="clear" w:color="auto" w:fill="auto"/>
            <w:vAlign w:val="center"/>
          </w:tcPr>
          <w:p w14:paraId="2EBF69B0" w14:textId="77777777" w:rsidR="006127E1" w:rsidRPr="00E33BAB" w:rsidRDefault="006127E1" w:rsidP="006127E1">
            <w:pPr>
              <w:spacing w:after="0" w:line="240" w:lineRule="auto"/>
              <w:jc w:val="cente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439 697,28</w:t>
            </w:r>
          </w:p>
        </w:tc>
        <w:tc>
          <w:tcPr>
            <w:tcW w:w="1418" w:type="dxa"/>
            <w:shd w:val="clear" w:color="auto" w:fill="auto"/>
            <w:vAlign w:val="center"/>
          </w:tcPr>
          <w:p w14:paraId="00463DF6" w14:textId="77777777" w:rsidR="006127E1" w:rsidRPr="00E33BAB" w:rsidRDefault="006127E1" w:rsidP="006127E1">
            <w:pPr>
              <w:spacing w:after="0" w:line="240" w:lineRule="auto"/>
              <w:jc w:val="cente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701 902,95</w:t>
            </w:r>
          </w:p>
        </w:tc>
        <w:tc>
          <w:tcPr>
            <w:tcW w:w="1275" w:type="dxa"/>
          </w:tcPr>
          <w:p w14:paraId="21C3C29D" w14:textId="77777777" w:rsidR="006127E1" w:rsidRPr="00E33BAB" w:rsidRDefault="006127E1" w:rsidP="006127E1">
            <w:pPr>
              <w:spacing w:after="0" w:line="240" w:lineRule="auto"/>
              <w:jc w:val="cente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177 456,63</w:t>
            </w:r>
          </w:p>
        </w:tc>
      </w:tr>
      <w:tr w:rsidR="006127E1" w:rsidRPr="00E33BAB" w14:paraId="3175F8E7" w14:textId="77777777" w:rsidTr="00785360">
        <w:trPr>
          <w:trHeight w:val="264"/>
        </w:trPr>
        <w:tc>
          <w:tcPr>
            <w:tcW w:w="6237" w:type="dxa"/>
            <w:shd w:val="clear" w:color="auto" w:fill="auto"/>
            <w:noWrap/>
            <w:vAlign w:val="center"/>
            <w:hideMark/>
          </w:tcPr>
          <w:p w14:paraId="1F0C6310" w14:textId="77777777" w:rsidR="006127E1" w:rsidRPr="00E33BAB" w:rsidRDefault="006127E1" w:rsidP="006127E1">
            <w:pPr>
              <w:spacing w:after="0" w:line="240" w:lineRule="auto"/>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Rambursări pe parcursul perioadei</w:t>
            </w:r>
          </w:p>
        </w:tc>
        <w:tc>
          <w:tcPr>
            <w:tcW w:w="1814" w:type="dxa"/>
            <w:shd w:val="clear" w:color="auto" w:fill="auto"/>
            <w:noWrap/>
            <w:vAlign w:val="center"/>
            <w:hideMark/>
          </w:tcPr>
          <w:p w14:paraId="39412BDD"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p>
        </w:tc>
        <w:tc>
          <w:tcPr>
            <w:tcW w:w="1701" w:type="dxa"/>
            <w:shd w:val="clear" w:color="auto" w:fill="auto"/>
            <w:vAlign w:val="center"/>
          </w:tcPr>
          <w:p w14:paraId="143C88F7"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p>
        </w:tc>
        <w:tc>
          <w:tcPr>
            <w:tcW w:w="1418" w:type="dxa"/>
            <w:shd w:val="clear" w:color="auto" w:fill="auto"/>
            <w:vAlign w:val="center"/>
          </w:tcPr>
          <w:p w14:paraId="715F30BD"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p>
        </w:tc>
        <w:tc>
          <w:tcPr>
            <w:tcW w:w="1275" w:type="dxa"/>
          </w:tcPr>
          <w:p w14:paraId="6BDDA7A9"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p>
        </w:tc>
      </w:tr>
      <w:tr w:rsidR="006127E1" w:rsidRPr="00E33BAB" w14:paraId="3D38B631" w14:textId="77777777" w:rsidTr="00785360">
        <w:trPr>
          <w:trHeight w:val="264"/>
        </w:trPr>
        <w:tc>
          <w:tcPr>
            <w:tcW w:w="6237" w:type="dxa"/>
            <w:shd w:val="clear" w:color="auto" w:fill="auto"/>
            <w:noWrap/>
            <w:vAlign w:val="center"/>
            <w:hideMark/>
          </w:tcPr>
          <w:p w14:paraId="15DA8F29" w14:textId="77777777" w:rsidR="006127E1" w:rsidRPr="00E33BAB" w:rsidRDefault="006127E1" w:rsidP="006127E1">
            <w:pPr>
              <w:spacing w:after="0" w:line="240" w:lineRule="auto"/>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 xml:space="preserve">  Deducție:</w:t>
            </w:r>
          </w:p>
        </w:tc>
        <w:tc>
          <w:tcPr>
            <w:tcW w:w="1814" w:type="dxa"/>
            <w:shd w:val="clear" w:color="auto" w:fill="auto"/>
            <w:noWrap/>
            <w:vAlign w:val="center"/>
            <w:hideMark/>
          </w:tcPr>
          <w:p w14:paraId="7CB2D82E"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p>
        </w:tc>
        <w:tc>
          <w:tcPr>
            <w:tcW w:w="1701" w:type="dxa"/>
            <w:shd w:val="clear" w:color="auto" w:fill="auto"/>
            <w:vAlign w:val="center"/>
          </w:tcPr>
          <w:p w14:paraId="741C5711"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p>
        </w:tc>
        <w:tc>
          <w:tcPr>
            <w:tcW w:w="1418" w:type="dxa"/>
            <w:shd w:val="clear" w:color="auto" w:fill="auto"/>
            <w:vAlign w:val="center"/>
          </w:tcPr>
          <w:p w14:paraId="7E4518D7"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p>
        </w:tc>
        <w:tc>
          <w:tcPr>
            <w:tcW w:w="1275" w:type="dxa"/>
          </w:tcPr>
          <w:p w14:paraId="3BD6DF13"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p>
        </w:tc>
      </w:tr>
      <w:tr w:rsidR="006127E1" w:rsidRPr="00E33BAB" w14:paraId="7039A8B9" w14:textId="77777777" w:rsidTr="00785360">
        <w:trPr>
          <w:trHeight w:val="504"/>
        </w:trPr>
        <w:tc>
          <w:tcPr>
            <w:tcW w:w="6237" w:type="dxa"/>
            <w:shd w:val="clear" w:color="auto" w:fill="auto"/>
            <w:vAlign w:val="center"/>
            <w:hideMark/>
          </w:tcPr>
          <w:p w14:paraId="43B24AEB" w14:textId="77777777" w:rsidR="006127E1" w:rsidRPr="00E33BAB" w:rsidRDefault="006127E1" w:rsidP="006127E1">
            <w:pPr>
              <w:spacing w:after="0" w:line="240" w:lineRule="auto"/>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Suma plătită pentru cheltuieli eligibile suportate pe parcursul perioadei curente</w:t>
            </w:r>
          </w:p>
        </w:tc>
        <w:tc>
          <w:tcPr>
            <w:tcW w:w="1814" w:type="dxa"/>
            <w:shd w:val="clear" w:color="auto" w:fill="auto"/>
            <w:noWrap/>
            <w:vAlign w:val="center"/>
            <w:hideMark/>
          </w:tcPr>
          <w:p w14:paraId="29F10066"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438 122,49</w:t>
            </w:r>
          </w:p>
        </w:tc>
        <w:tc>
          <w:tcPr>
            <w:tcW w:w="1701" w:type="dxa"/>
            <w:shd w:val="clear" w:color="auto" w:fill="auto"/>
            <w:vAlign w:val="center"/>
          </w:tcPr>
          <w:p w14:paraId="1DA91988"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342 476,03</w:t>
            </w:r>
          </w:p>
        </w:tc>
        <w:tc>
          <w:tcPr>
            <w:tcW w:w="1418" w:type="dxa"/>
            <w:shd w:val="clear" w:color="auto" w:fill="auto"/>
            <w:vAlign w:val="center"/>
          </w:tcPr>
          <w:p w14:paraId="7B452D07"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574 446,32</w:t>
            </w:r>
          </w:p>
        </w:tc>
        <w:tc>
          <w:tcPr>
            <w:tcW w:w="1275" w:type="dxa"/>
          </w:tcPr>
          <w:p w14:paraId="27DD4F58"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129 344,09</w:t>
            </w:r>
          </w:p>
        </w:tc>
      </w:tr>
      <w:tr w:rsidR="006127E1" w:rsidRPr="00E33BAB" w14:paraId="4D3E8978" w14:textId="77777777" w:rsidTr="00785360">
        <w:trPr>
          <w:trHeight w:val="276"/>
        </w:trPr>
        <w:tc>
          <w:tcPr>
            <w:tcW w:w="6237" w:type="dxa"/>
            <w:shd w:val="clear" w:color="auto" w:fill="auto"/>
            <w:noWrap/>
            <w:vAlign w:val="center"/>
            <w:hideMark/>
          </w:tcPr>
          <w:p w14:paraId="6F0AC587" w14:textId="77777777" w:rsidR="006127E1" w:rsidRPr="00E33BAB" w:rsidRDefault="006127E1" w:rsidP="006127E1">
            <w:pPr>
              <w:spacing w:after="0" w:line="240" w:lineRule="auto"/>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 xml:space="preserve"> Total înainte de recuperare și ajustare</w:t>
            </w:r>
          </w:p>
        </w:tc>
        <w:tc>
          <w:tcPr>
            <w:tcW w:w="1814" w:type="dxa"/>
            <w:shd w:val="clear" w:color="auto" w:fill="auto"/>
            <w:noWrap/>
            <w:vAlign w:val="center"/>
            <w:hideMark/>
          </w:tcPr>
          <w:p w14:paraId="0B48C3DB" w14:textId="77777777" w:rsidR="006127E1" w:rsidRPr="00E33BAB" w:rsidRDefault="006127E1" w:rsidP="006127E1">
            <w:pPr>
              <w:spacing w:after="0" w:line="240" w:lineRule="auto"/>
              <w:jc w:val="cente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438 122,49</w:t>
            </w:r>
          </w:p>
        </w:tc>
        <w:tc>
          <w:tcPr>
            <w:tcW w:w="1701" w:type="dxa"/>
            <w:shd w:val="clear" w:color="auto" w:fill="auto"/>
            <w:vAlign w:val="center"/>
          </w:tcPr>
          <w:p w14:paraId="018E6D1F" w14:textId="77777777" w:rsidR="006127E1" w:rsidRPr="00E33BAB" w:rsidRDefault="006127E1" w:rsidP="006127E1">
            <w:pPr>
              <w:spacing w:after="0" w:line="240" w:lineRule="auto"/>
              <w:jc w:val="cente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342 476,03</w:t>
            </w:r>
          </w:p>
        </w:tc>
        <w:tc>
          <w:tcPr>
            <w:tcW w:w="1418" w:type="dxa"/>
            <w:shd w:val="clear" w:color="auto" w:fill="auto"/>
            <w:vAlign w:val="center"/>
          </w:tcPr>
          <w:p w14:paraId="4FFCF974" w14:textId="77777777" w:rsidR="006127E1" w:rsidRPr="00E33BAB" w:rsidRDefault="006127E1" w:rsidP="006127E1">
            <w:pPr>
              <w:spacing w:after="0" w:line="240" w:lineRule="auto"/>
              <w:jc w:val="cente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574 446,32</w:t>
            </w:r>
          </w:p>
        </w:tc>
        <w:tc>
          <w:tcPr>
            <w:tcW w:w="1275" w:type="dxa"/>
          </w:tcPr>
          <w:p w14:paraId="36FAC403" w14:textId="77777777" w:rsidR="006127E1" w:rsidRPr="00E33BAB" w:rsidRDefault="006127E1" w:rsidP="006127E1">
            <w:pPr>
              <w:spacing w:after="0" w:line="240" w:lineRule="auto"/>
              <w:jc w:val="cente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129 344,09</w:t>
            </w:r>
          </w:p>
        </w:tc>
      </w:tr>
      <w:tr w:rsidR="006127E1" w:rsidRPr="00E33BAB" w14:paraId="75DEE14C" w14:textId="77777777" w:rsidTr="00785360">
        <w:trPr>
          <w:trHeight w:val="264"/>
        </w:trPr>
        <w:tc>
          <w:tcPr>
            <w:tcW w:w="6237" w:type="dxa"/>
            <w:shd w:val="clear" w:color="auto" w:fill="auto"/>
            <w:noWrap/>
            <w:vAlign w:val="center"/>
            <w:hideMark/>
          </w:tcPr>
          <w:p w14:paraId="732CAD63" w14:textId="77777777" w:rsidR="006127E1" w:rsidRPr="00E33BAB" w:rsidRDefault="006127E1" w:rsidP="006127E1">
            <w:pPr>
              <w:spacing w:after="0" w:line="240" w:lineRule="auto"/>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 xml:space="preserve">  Deducție:</w:t>
            </w:r>
          </w:p>
        </w:tc>
        <w:tc>
          <w:tcPr>
            <w:tcW w:w="1814" w:type="dxa"/>
            <w:shd w:val="clear" w:color="auto" w:fill="auto"/>
            <w:noWrap/>
            <w:vAlign w:val="center"/>
            <w:hideMark/>
          </w:tcPr>
          <w:p w14:paraId="1404A548"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p>
        </w:tc>
        <w:tc>
          <w:tcPr>
            <w:tcW w:w="1701" w:type="dxa"/>
            <w:shd w:val="clear" w:color="auto" w:fill="auto"/>
            <w:vAlign w:val="center"/>
          </w:tcPr>
          <w:p w14:paraId="11456771"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p>
        </w:tc>
        <w:tc>
          <w:tcPr>
            <w:tcW w:w="1418" w:type="dxa"/>
            <w:shd w:val="clear" w:color="auto" w:fill="auto"/>
            <w:vAlign w:val="center"/>
          </w:tcPr>
          <w:p w14:paraId="2E9E1AF1"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p>
        </w:tc>
        <w:tc>
          <w:tcPr>
            <w:tcW w:w="1275" w:type="dxa"/>
          </w:tcPr>
          <w:p w14:paraId="027C4E92"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p>
        </w:tc>
      </w:tr>
      <w:tr w:rsidR="006127E1" w:rsidRPr="00E33BAB" w14:paraId="5449AD9A" w14:textId="77777777" w:rsidTr="00785360">
        <w:trPr>
          <w:trHeight w:val="264"/>
        </w:trPr>
        <w:tc>
          <w:tcPr>
            <w:tcW w:w="6237" w:type="dxa"/>
            <w:shd w:val="clear" w:color="auto" w:fill="auto"/>
            <w:noWrap/>
            <w:vAlign w:val="center"/>
            <w:hideMark/>
          </w:tcPr>
          <w:p w14:paraId="02760B8A" w14:textId="77777777" w:rsidR="006127E1" w:rsidRPr="00E33BAB" w:rsidRDefault="006127E1" w:rsidP="006127E1">
            <w:pPr>
              <w:spacing w:after="0" w:line="240" w:lineRule="auto"/>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Suma recuperată de Banca Mondială</w:t>
            </w:r>
          </w:p>
        </w:tc>
        <w:tc>
          <w:tcPr>
            <w:tcW w:w="1814" w:type="dxa"/>
            <w:shd w:val="clear" w:color="auto" w:fill="auto"/>
            <w:noWrap/>
            <w:vAlign w:val="center"/>
            <w:hideMark/>
          </w:tcPr>
          <w:p w14:paraId="05A558F8"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p>
        </w:tc>
        <w:tc>
          <w:tcPr>
            <w:tcW w:w="1701" w:type="dxa"/>
            <w:shd w:val="clear" w:color="auto" w:fill="auto"/>
            <w:vAlign w:val="center"/>
          </w:tcPr>
          <w:p w14:paraId="3352DF8A"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p>
        </w:tc>
        <w:tc>
          <w:tcPr>
            <w:tcW w:w="1418" w:type="dxa"/>
            <w:shd w:val="clear" w:color="auto" w:fill="auto"/>
            <w:vAlign w:val="center"/>
          </w:tcPr>
          <w:p w14:paraId="0D567982"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p>
        </w:tc>
        <w:tc>
          <w:tcPr>
            <w:tcW w:w="1275" w:type="dxa"/>
          </w:tcPr>
          <w:p w14:paraId="49802649"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p>
        </w:tc>
      </w:tr>
      <w:tr w:rsidR="006127E1" w:rsidRPr="00E33BAB" w14:paraId="78D74A32" w14:textId="77777777" w:rsidTr="00785360">
        <w:trPr>
          <w:trHeight w:val="264"/>
        </w:trPr>
        <w:tc>
          <w:tcPr>
            <w:tcW w:w="6237" w:type="dxa"/>
            <w:shd w:val="clear" w:color="auto" w:fill="auto"/>
            <w:noWrap/>
            <w:vAlign w:val="center"/>
            <w:hideMark/>
          </w:tcPr>
          <w:p w14:paraId="2995BE78" w14:textId="77777777" w:rsidR="006127E1" w:rsidRPr="00E33BAB" w:rsidRDefault="006127E1" w:rsidP="006127E1">
            <w:pPr>
              <w:spacing w:after="0" w:line="240" w:lineRule="auto"/>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lastRenderedPageBreak/>
              <w:t>Ajustări</w:t>
            </w:r>
          </w:p>
        </w:tc>
        <w:tc>
          <w:tcPr>
            <w:tcW w:w="1814" w:type="dxa"/>
            <w:shd w:val="clear" w:color="auto" w:fill="auto"/>
            <w:noWrap/>
            <w:vAlign w:val="center"/>
            <w:hideMark/>
          </w:tcPr>
          <w:p w14:paraId="70B8CD0B"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p>
        </w:tc>
        <w:tc>
          <w:tcPr>
            <w:tcW w:w="1701" w:type="dxa"/>
            <w:shd w:val="clear" w:color="auto" w:fill="auto"/>
            <w:vAlign w:val="center"/>
          </w:tcPr>
          <w:p w14:paraId="7C9F1BD3"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p>
        </w:tc>
        <w:tc>
          <w:tcPr>
            <w:tcW w:w="1418" w:type="dxa"/>
            <w:shd w:val="clear" w:color="auto" w:fill="auto"/>
            <w:vAlign w:val="center"/>
          </w:tcPr>
          <w:p w14:paraId="7EFB5F2A"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p>
        </w:tc>
        <w:tc>
          <w:tcPr>
            <w:tcW w:w="1275" w:type="dxa"/>
          </w:tcPr>
          <w:p w14:paraId="0C7ED5A8"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p>
        </w:tc>
      </w:tr>
      <w:tr w:rsidR="006127E1" w:rsidRPr="00E33BAB" w14:paraId="5496DE8A" w14:textId="77777777" w:rsidTr="00785360">
        <w:trPr>
          <w:trHeight w:val="276"/>
        </w:trPr>
        <w:tc>
          <w:tcPr>
            <w:tcW w:w="6237" w:type="dxa"/>
            <w:shd w:val="clear" w:color="auto" w:fill="auto"/>
            <w:noWrap/>
            <w:vAlign w:val="center"/>
            <w:hideMark/>
          </w:tcPr>
          <w:p w14:paraId="76465AE5" w14:textId="77777777" w:rsidR="006127E1" w:rsidRPr="00E33BAB" w:rsidRDefault="006127E1" w:rsidP="006127E1">
            <w:pPr>
              <w:spacing w:after="0" w:line="240" w:lineRule="auto"/>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Soldul de încheiere</w:t>
            </w:r>
          </w:p>
        </w:tc>
        <w:tc>
          <w:tcPr>
            <w:tcW w:w="1814" w:type="dxa"/>
            <w:shd w:val="clear" w:color="auto" w:fill="auto"/>
            <w:noWrap/>
            <w:vAlign w:val="center"/>
            <w:hideMark/>
          </w:tcPr>
          <w:p w14:paraId="0419F16A" w14:textId="77777777" w:rsidR="006127E1" w:rsidRPr="00E33BAB" w:rsidRDefault="006127E1" w:rsidP="006127E1">
            <w:pPr>
              <w:spacing w:after="0" w:line="240" w:lineRule="auto"/>
              <w:jc w:val="cente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49 697,28</w:t>
            </w:r>
          </w:p>
        </w:tc>
        <w:tc>
          <w:tcPr>
            <w:tcW w:w="1701" w:type="dxa"/>
            <w:shd w:val="clear" w:color="auto" w:fill="auto"/>
            <w:vAlign w:val="center"/>
          </w:tcPr>
          <w:p w14:paraId="724F2A79" w14:textId="77777777" w:rsidR="006127E1" w:rsidRPr="00E33BAB" w:rsidRDefault="006127E1" w:rsidP="006127E1">
            <w:pPr>
              <w:spacing w:after="0" w:line="240" w:lineRule="auto"/>
              <w:jc w:val="cente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97 221,25</w:t>
            </w:r>
          </w:p>
        </w:tc>
        <w:tc>
          <w:tcPr>
            <w:tcW w:w="1418" w:type="dxa"/>
            <w:shd w:val="clear" w:color="auto" w:fill="auto"/>
            <w:vAlign w:val="center"/>
          </w:tcPr>
          <w:p w14:paraId="621D6249" w14:textId="77777777" w:rsidR="006127E1" w:rsidRPr="00E33BAB" w:rsidRDefault="006127E1" w:rsidP="006127E1">
            <w:pPr>
              <w:spacing w:after="0" w:line="240" w:lineRule="auto"/>
              <w:jc w:val="cente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127 456,63</w:t>
            </w:r>
          </w:p>
        </w:tc>
        <w:tc>
          <w:tcPr>
            <w:tcW w:w="1275" w:type="dxa"/>
          </w:tcPr>
          <w:p w14:paraId="1C506DF4" w14:textId="77777777" w:rsidR="006127E1" w:rsidRPr="00E33BAB" w:rsidRDefault="006127E1" w:rsidP="006127E1">
            <w:pPr>
              <w:spacing w:after="0" w:line="240" w:lineRule="auto"/>
              <w:jc w:val="cente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48 112,54</w:t>
            </w:r>
          </w:p>
        </w:tc>
      </w:tr>
      <w:tr w:rsidR="006127E1" w:rsidRPr="00E33BAB" w14:paraId="6D57431C" w14:textId="77777777" w:rsidTr="00785360">
        <w:trPr>
          <w:trHeight w:val="264"/>
        </w:trPr>
        <w:tc>
          <w:tcPr>
            <w:tcW w:w="6237" w:type="dxa"/>
            <w:shd w:val="clear" w:color="auto" w:fill="auto"/>
            <w:noWrap/>
            <w:vAlign w:val="center"/>
            <w:hideMark/>
          </w:tcPr>
          <w:p w14:paraId="3AE4371D" w14:textId="77777777" w:rsidR="006127E1" w:rsidRPr="00E33BAB" w:rsidRDefault="006127E1" w:rsidP="006127E1">
            <w:pPr>
              <w:spacing w:after="0" w:line="240" w:lineRule="auto"/>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Suma privind declarația bancară (în dolari SUA)</w:t>
            </w:r>
          </w:p>
        </w:tc>
        <w:tc>
          <w:tcPr>
            <w:tcW w:w="1814" w:type="dxa"/>
            <w:shd w:val="clear" w:color="auto" w:fill="auto"/>
            <w:noWrap/>
            <w:vAlign w:val="center"/>
            <w:hideMark/>
          </w:tcPr>
          <w:p w14:paraId="60232B59"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49 696,08</w:t>
            </w:r>
          </w:p>
        </w:tc>
        <w:tc>
          <w:tcPr>
            <w:tcW w:w="1701" w:type="dxa"/>
            <w:shd w:val="clear" w:color="auto" w:fill="auto"/>
            <w:vAlign w:val="center"/>
          </w:tcPr>
          <w:p w14:paraId="4042F10A"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97 220,48</w:t>
            </w:r>
          </w:p>
        </w:tc>
        <w:tc>
          <w:tcPr>
            <w:tcW w:w="1418" w:type="dxa"/>
            <w:shd w:val="clear" w:color="auto" w:fill="auto"/>
          </w:tcPr>
          <w:p w14:paraId="6325E233"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r w:rsidRPr="00E33BAB">
              <w:rPr>
                <w:rFonts w:asciiTheme="majorHAnsi" w:hAnsiTheme="majorHAnsi" w:cstheme="majorHAnsi"/>
                <w:sz w:val="20"/>
                <w:szCs w:val="20"/>
                <w:lang w:val="ro-MD"/>
              </w:rPr>
              <w:t>127 455,74</w:t>
            </w:r>
          </w:p>
        </w:tc>
        <w:tc>
          <w:tcPr>
            <w:tcW w:w="1275" w:type="dxa"/>
          </w:tcPr>
          <w:p w14:paraId="3F63A900" w14:textId="77777777" w:rsidR="006127E1" w:rsidRPr="00E33BAB" w:rsidRDefault="006127E1" w:rsidP="006127E1">
            <w:pPr>
              <w:spacing w:after="0" w:line="240" w:lineRule="auto"/>
              <w:jc w:val="center"/>
              <w:rPr>
                <w:rFonts w:asciiTheme="majorHAnsi" w:hAnsiTheme="majorHAnsi" w:cstheme="majorHAnsi"/>
                <w:sz w:val="20"/>
                <w:szCs w:val="20"/>
                <w:lang w:val="ro-MD"/>
              </w:rPr>
            </w:pPr>
            <w:r w:rsidRPr="00E33BAB">
              <w:rPr>
                <w:rFonts w:asciiTheme="majorHAnsi" w:hAnsiTheme="majorHAnsi" w:cstheme="majorHAnsi"/>
                <w:sz w:val="20"/>
                <w:szCs w:val="20"/>
                <w:lang w:val="ro-MD"/>
              </w:rPr>
              <w:t>48 111,74</w:t>
            </w:r>
          </w:p>
        </w:tc>
      </w:tr>
      <w:tr w:rsidR="006127E1" w:rsidRPr="00E33BAB" w14:paraId="24597B6B" w14:textId="77777777" w:rsidTr="00785360">
        <w:trPr>
          <w:trHeight w:val="264"/>
        </w:trPr>
        <w:tc>
          <w:tcPr>
            <w:tcW w:w="6237" w:type="dxa"/>
            <w:shd w:val="clear" w:color="auto" w:fill="auto"/>
            <w:noWrap/>
            <w:vAlign w:val="center"/>
            <w:hideMark/>
          </w:tcPr>
          <w:p w14:paraId="47B66868" w14:textId="77777777" w:rsidR="006127E1" w:rsidRPr="00E33BAB" w:rsidRDefault="006127E1" w:rsidP="006127E1">
            <w:pPr>
              <w:spacing w:after="0" w:line="240" w:lineRule="auto"/>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Suma privind declarația bancară (în MDL)</w:t>
            </w:r>
          </w:p>
        </w:tc>
        <w:tc>
          <w:tcPr>
            <w:tcW w:w="1814" w:type="dxa"/>
            <w:shd w:val="clear" w:color="auto" w:fill="auto"/>
            <w:noWrap/>
            <w:vAlign w:val="center"/>
            <w:hideMark/>
          </w:tcPr>
          <w:p w14:paraId="3BD03287"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1.20</w:t>
            </w:r>
          </w:p>
        </w:tc>
        <w:tc>
          <w:tcPr>
            <w:tcW w:w="1701" w:type="dxa"/>
            <w:shd w:val="clear" w:color="auto" w:fill="auto"/>
            <w:vAlign w:val="center"/>
          </w:tcPr>
          <w:p w14:paraId="3D2F293A"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0,77</w:t>
            </w:r>
          </w:p>
        </w:tc>
        <w:tc>
          <w:tcPr>
            <w:tcW w:w="1418" w:type="dxa"/>
            <w:shd w:val="clear" w:color="auto" w:fill="auto"/>
          </w:tcPr>
          <w:p w14:paraId="554D7B26"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r w:rsidRPr="00E33BAB">
              <w:rPr>
                <w:rFonts w:asciiTheme="majorHAnsi" w:hAnsiTheme="majorHAnsi" w:cstheme="majorHAnsi"/>
                <w:sz w:val="20"/>
                <w:szCs w:val="20"/>
                <w:lang w:val="ro-MD"/>
              </w:rPr>
              <w:t>0,89</w:t>
            </w:r>
          </w:p>
        </w:tc>
        <w:tc>
          <w:tcPr>
            <w:tcW w:w="1275" w:type="dxa"/>
          </w:tcPr>
          <w:p w14:paraId="187A3BEC" w14:textId="77777777" w:rsidR="006127E1" w:rsidRPr="00E33BAB" w:rsidRDefault="006127E1" w:rsidP="006127E1">
            <w:pPr>
              <w:spacing w:after="0" w:line="240" w:lineRule="auto"/>
              <w:jc w:val="center"/>
              <w:rPr>
                <w:rFonts w:asciiTheme="majorHAnsi" w:hAnsiTheme="majorHAnsi" w:cstheme="majorHAnsi"/>
                <w:sz w:val="20"/>
                <w:szCs w:val="20"/>
                <w:lang w:val="ro-MD"/>
              </w:rPr>
            </w:pPr>
            <w:r w:rsidRPr="00E33BAB">
              <w:rPr>
                <w:rFonts w:asciiTheme="majorHAnsi" w:hAnsiTheme="majorHAnsi" w:cstheme="majorHAnsi"/>
                <w:sz w:val="20"/>
                <w:szCs w:val="20"/>
                <w:lang w:val="ro-MD"/>
              </w:rPr>
              <w:t>0.80</w:t>
            </w:r>
          </w:p>
        </w:tc>
      </w:tr>
      <w:tr w:rsidR="006127E1" w:rsidRPr="00E33BAB" w14:paraId="2A9232CC" w14:textId="77777777" w:rsidTr="00785360">
        <w:trPr>
          <w:trHeight w:val="550"/>
        </w:trPr>
        <w:tc>
          <w:tcPr>
            <w:tcW w:w="6237" w:type="dxa"/>
            <w:shd w:val="clear" w:color="auto" w:fill="auto"/>
            <w:noWrap/>
            <w:vAlign w:val="center"/>
            <w:hideMark/>
          </w:tcPr>
          <w:p w14:paraId="17E07192" w14:textId="77777777" w:rsidR="006127E1" w:rsidRPr="00E33BAB" w:rsidRDefault="006127E1" w:rsidP="006127E1">
            <w:pPr>
              <w:spacing w:after="0" w:line="240" w:lineRule="auto"/>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Diferența care trebuie explicată</w:t>
            </w:r>
          </w:p>
          <w:p w14:paraId="18719C46" w14:textId="77777777" w:rsidR="006127E1" w:rsidRPr="00E33BAB" w:rsidRDefault="006127E1" w:rsidP="006127E1">
            <w:pPr>
              <w:spacing w:after="0" w:line="240" w:lineRule="auto"/>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(inclusiv diferențele de curs valutar)</w:t>
            </w:r>
          </w:p>
        </w:tc>
        <w:tc>
          <w:tcPr>
            <w:tcW w:w="1814" w:type="dxa"/>
            <w:shd w:val="clear" w:color="auto" w:fill="auto"/>
            <w:noWrap/>
            <w:vAlign w:val="center"/>
            <w:hideMark/>
          </w:tcPr>
          <w:p w14:paraId="5984DFAD"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p>
          <w:p w14:paraId="5985DD2B"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p>
        </w:tc>
        <w:tc>
          <w:tcPr>
            <w:tcW w:w="1701" w:type="dxa"/>
            <w:shd w:val="clear" w:color="auto" w:fill="auto"/>
            <w:vAlign w:val="center"/>
          </w:tcPr>
          <w:p w14:paraId="7F8294FB"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p>
          <w:p w14:paraId="4F9A63A2"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p>
        </w:tc>
        <w:tc>
          <w:tcPr>
            <w:tcW w:w="1418" w:type="dxa"/>
            <w:shd w:val="clear" w:color="auto" w:fill="auto"/>
            <w:vAlign w:val="center"/>
          </w:tcPr>
          <w:p w14:paraId="70ED20D4"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p>
          <w:p w14:paraId="54116332"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p>
        </w:tc>
        <w:tc>
          <w:tcPr>
            <w:tcW w:w="1275" w:type="dxa"/>
          </w:tcPr>
          <w:p w14:paraId="3A174A82" w14:textId="77777777" w:rsidR="006127E1" w:rsidRPr="00E33BAB" w:rsidRDefault="006127E1" w:rsidP="006127E1">
            <w:pPr>
              <w:spacing w:after="0" w:line="240" w:lineRule="auto"/>
              <w:jc w:val="center"/>
              <w:rPr>
                <w:rFonts w:asciiTheme="majorHAnsi" w:eastAsia="Times New Roman" w:hAnsiTheme="majorHAnsi" w:cstheme="majorHAnsi"/>
                <w:sz w:val="20"/>
                <w:szCs w:val="20"/>
                <w:lang w:val="ro-MD"/>
              </w:rPr>
            </w:pPr>
          </w:p>
        </w:tc>
      </w:tr>
    </w:tbl>
    <w:p w14:paraId="5912BB60" w14:textId="028F965D" w:rsidR="006127E1" w:rsidRPr="00E33BAB" w:rsidRDefault="006127E1" w:rsidP="00ED7F39">
      <w:pPr>
        <w:rPr>
          <w:rFonts w:asciiTheme="majorHAnsi" w:eastAsiaTheme="majorEastAsia" w:hAnsiTheme="majorHAnsi" w:cstheme="majorHAnsi"/>
          <w:i/>
          <w:sz w:val="20"/>
          <w:szCs w:val="20"/>
          <w:lang w:val="ro-MD"/>
        </w:rPr>
      </w:pPr>
      <w:bookmarkStart w:id="22" w:name="_Toc513122878"/>
      <w:bookmarkStart w:id="23" w:name="_Toc10125927"/>
      <w:r w:rsidRPr="00E33BAB">
        <w:rPr>
          <w:rFonts w:asciiTheme="majorHAnsi" w:eastAsiaTheme="majorEastAsia" w:hAnsiTheme="majorHAnsi" w:cstheme="majorHAnsi"/>
          <w:b/>
          <w:i/>
          <w:sz w:val="20"/>
          <w:szCs w:val="20"/>
          <w:lang w:val="ro-MD"/>
        </w:rPr>
        <w:t xml:space="preserve">     </w:t>
      </w:r>
    </w:p>
    <w:p w14:paraId="3EAB268B" w14:textId="1C134B48" w:rsidR="006127E1" w:rsidRPr="00D5496A" w:rsidRDefault="006127E1" w:rsidP="006127E1">
      <w:pPr>
        <w:keepNext/>
        <w:keepLines/>
        <w:spacing w:before="240" w:after="0"/>
        <w:jc w:val="right"/>
        <w:outlineLvl w:val="0"/>
        <w:rPr>
          <w:rFonts w:asciiTheme="majorHAnsi" w:eastAsiaTheme="majorEastAsia" w:hAnsiTheme="majorHAnsi" w:cstheme="majorHAnsi"/>
          <w:b/>
          <w:sz w:val="24"/>
          <w:szCs w:val="24"/>
          <w:lang w:val="ro-MD"/>
        </w:rPr>
      </w:pPr>
      <w:r w:rsidRPr="00D5496A">
        <w:rPr>
          <w:rFonts w:asciiTheme="majorHAnsi" w:eastAsiaTheme="majorEastAsia" w:hAnsiTheme="majorHAnsi" w:cstheme="majorHAnsi"/>
          <w:b/>
          <w:sz w:val="24"/>
          <w:szCs w:val="24"/>
          <w:lang w:val="ro-MD"/>
        </w:rPr>
        <w:t>Anexa nr.</w:t>
      </w:r>
      <w:bookmarkEnd w:id="22"/>
      <w:bookmarkEnd w:id="23"/>
      <w:r w:rsidR="00FB2043" w:rsidRPr="00D5496A">
        <w:rPr>
          <w:rFonts w:asciiTheme="majorHAnsi" w:eastAsiaTheme="majorEastAsia" w:hAnsiTheme="majorHAnsi" w:cstheme="majorHAnsi"/>
          <w:b/>
          <w:sz w:val="24"/>
          <w:szCs w:val="24"/>
          <w:lang w:val="ro-MD"/>
        </w:rPr>
        <w:t>5</w:t>
      </w:r>
    </w:p>
    <w:p w14:paraId="610E701A" w14:textId="42A8D0A0" w:rsidR="006127E1" w:rsidRPr="00D5496A" w:rsidRDefault="006127E1" w:rsidP="006127E1">
      <w:pPr>
        <w:tabs>
          <w:tab w:val="left" w:pos="993"/>
        </w:tabs>
        <w:spacing w:after="0" w:line="276" w:lineRule="auto"/>
        <w:jc w:val="center"/>
        <w:rPr>
          <w:rFonts w:asciiTheme="majorHAnsi" w:hAnsiTheme="majorHAnsi" w:cstheme="majorHAnsi"/>
          <w:i/>
          <w:sz w:val="24"/>
          <w:szCs w:val="24"/>
          <w:lang w:val="ro-MD"/>
        </w:rPr>
      </w:pPr>
      <w:r w:rsidRPr="00E33BAB">
        <w:rPr>
          <w:rFonts w:asciiTheme="majorHAnsi" w:hAnsiTheme="majorHAnsi" w:cstheme="majorHAnsi"/>
          <w:b/>
          <w:i/>
          <w:sz w:val="24"/>
          <w:szCs w:val="24"/>
          <w:lang w:val="ro-MD"/>
        </w:rPr>
        <w:t>Revizuirea progresului fizic al Componentei  Asistenț</w:t>
      </w:r>
      <w:r w:rsidR="00ED5AB3">
        <w:rPr>
          <w:rFonts w:asciiTheme="majorHAnsi" w:hAnsiTheme="majorHAnsi" w:cstheme="majorHAnsi"/>
          <w:b/>
          <w:i/>
          <w:sz w:val="24"/>
          <w:szCs w:val="24"/>
          <w:lang w:val="ro-MD"/>
        </w:rPr>
        <w:t>a</w:t>
      </w:r>
      <w:r w:rsidR="002F26E2" w:rsidRPr="00E33BAB">
        <w:rPr>
          <w:rFonts w:asciiTheme="majorHAnsi" w:hAnsiTheme="majorHAnsi" w:cstheme="majorHAnsi"/>
          <w:b/>
          <w:i/>
          <w:sz w:val="24"/>
          <w:szCs w:val="24"/>
          <w:lang w:val="ro-MD"/>
        </w:rPr>
        <w:t xml:space="preserve"> Tehnică din cadrul Operațiunii</w:t>
      </w:r>
      <w:r w:rsidRPr="00E33BAB">
        <w:rPr>
          <w:rFonts w:asciiTheme="majorHAnsi" w:hAnsiTheme="majorHAnsi" w:cstheme="majorHAnsi"/>
          <w:b/>
          <w:i/>
          <w:sz w:val="24"/>
          <w:szCs w:val="24"/>
          <w:lang w:val="ro-MD"/>
        </w:rPr>
        <w:t xml:space="preserve"> „Modernizarea sectorului sănătății în Republica Moldova”, pentru anii 2017-2020, </w:t>
      </w:r>
      <w:r w:rsidRPr="00D5496A">
        <w:rPr>
          <w:rFonts w:asciiTheme="majorHAnsi" w:hAnsiTheme="majorHAnsi" w:cstheme="majorHAnsi"/>
          <w:i/>
          <w:sz w:val="24"/>
          <w:szCs w:val="24"/>
          <w:lang w:val="ro-MD"/>
        </w:rPr>
        <w:t>dolari SUA</w:t>
      </w:r>
    </w:p>
    <w:p w14:paraId="0D8D0786" w14:textId="7D1F8AB1" w:rsidR="006127E1" w:rsidRPr="00E33BAB" w:rsidRDefault="006127E1" w:rsidP="006127E1">
      <w:pPr>
        <w:tabs>
          <w:tab w:val="left" w:pos="993"/>
        </w:tabs>
        <w:spacing w:after="0" w:line="276" w:lineRule="auto"/>
        <w:rPr>
          <w:rFonts w:asciiTheme="majorHAnsi" w:hAnsiTheme="majorHAnsi" w:cstheme="majorHAnsi"/>
          <w:b/>
          <w:i/>
          <w:sz w:val="24"/>
          <w:szCs w:val="24"/>
          <w:lang w:val="ro-MD"/>
        </w:rPr>
      </w:pPr>
    </w:p>
    <w:tbl>
      <w:tblPr>
        <w:tblStyle w:val="TableGrid1"/>
        <w:tblW w:w="14599" w:type="dxa"/>
        <w:tblInd w:w="-431" w:type="dxa"/>
        <w:tblLook w:val="04A0" w:firstRow="1" w:lastRow="0" w:firstColumn="1" w:lastColumn="0" w:noHBand="0" w:noVBand="1"/>
      </w:tblPr>
      <w:tblGrid>
        <w:gridCol w:w="4909"/>
        <w:gridCol w:w="1559"/>
        <w:gridCol w:w="1417"/>
        <w:gridCol w:w="1560"/>
        <w:gridCol w:w="1559"/>
        <w:gridCol w:w="992"/>
        <w:gridCol w:w="851"/>
        <w:gridCol w:w="992"/>
        <w:gridCol w:w="760"/>
      </w:tblGrid>
      <w:tr w:rsidR="006127E1" w:rsidRPr="00E33BAB" w14:paraId="2955F2E4" w14:textId="77777777" w:rsidTr="006127E1">
        <w:trPr>
          <w:trHeight w:val="179"/>
        </w:trPr>
        <w:tc>
          <w:tcPr>
            <w:tcW w:w="4909" w:type="dxa"/>
            <w:vMerge w:val="restart"/>
            <w:noWrap/>
            <w:hideMark/>
          </w:tcPr>
          <w:p w14:paraId="08169BBE" w14:textId="77777777" w:rsidR="006127E1" w:rsidRPr="00E33BAB" w:rsidRDefault="006127E1" w:rsidP="00785360">
            <w:pPr>
              <w:jc w:val="cente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Componenta</w:t>
            </w:r>
          </w:p>
        </w:tc>
        <w:tc>
          <w:tcPr>
            <w:tcW w:w="4536" w:type="dxa"/>
            <w:gridSpan w:val="3"/>
          </w:tcPr>
          <w:p w14:paraId="66618098" w14:textId="77777777" w:rsidR="006127E1" w:rsidRPr="00E33BAB" w:rsidRDefault="006127E1" w:rsidP="00785360">
            <w:pPr>
              <w:jc w:val="cente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Cheltuieli cumulative</w:t>
            </w:r>
          </w:p>
        </w:tc>
        <w:tc>
          <w:tcPr>
            <w:tcW w:w="1559" w:type="dxa"/>
          </w:tcPr>
          <w:p w14:paraId="458F2661" w14:textId="77777777" w:rsidR="006127E1" w:rsidRPr="00E33BAB" w:rsidRDefault="006127E1" w:rsidP="00785360">
            <w:pPr>
              <w:jc w:val="center"/>
              <w:rPr>
                <w:rFonts w:asciiTheme="majorHAnsi" w:eastAsia="Times New Roman" w:hAnsiTheme="majorHAnsi" w:cstheme="majorHAnsi"/>
                <w:b/>
                <w:bCs/>
                <w:sz w:val="20"/>
                <w:szCs w:val="20"/>
                <w:lang w:val="ro-MD"/>
              </w:rPr>
            </w:pPr>
          </w:p>
        </w:tc>
        <w:tc>
          <w:tcPr>
            <w:tcW w:w="3595" w:type="dxa"/>
            <w:gridSpan w:val="4"/>
            <w:noWrap/>
            <w:hideMark/>
          </w:tcPr>
          <w:p w14:paraId="1FC024F1" w14:textId="77777777" w:rsidR="006127E1" w:rsidRPr="00E33BAB" w:rsidRDefault="006127E1" w:rsidP="00785360">
            <w:pPr>
              <w:jc w:val="cente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 din costul total planificat</w:t>
            </w:r>
          </w:p>
        </w:tc>
      </w:tr>
      <w:tr w:rsidR="006127E1" w:rsidRPr="00E33BAB" w14:paraId="34924A8C" w14:textId="77777777" w:rsidTr="006127E1">
        <w:trPr>
          <w:trHeight w:val="179"/>
        </w:trPr>
        <w:tc>
          <w:tcPr>
            <w:tcW w:w="4909" w:type="dxa"/>
            <w:vMerge/>
            <w:noWrap/>
          </w:tcPr>
          <w:p w14:paraId="6153D74A" w14:textId="77777777" w:rsidR="006127E1" w:rsidRPr="00E33BAB" w:rsidRDefault="006127E1" w:rsidP="00785360">
            <w:pPr>
              <w:jc w:val="center"/>
              <w:rPr>
                <w:rFonts w:asciiTheme="majorHAnsi" w:eastAsia="Times New Roman" w:hAnsiTheme="majorHAnsi" w:cstheme="majorHAnsi"/>
                <w:b/>
                <w:bCs/>
                <w:sz w:val="20"/>
                <w:szCs w:val="20"/>
                <w:lang w:val="ro-MD"/>
              </w:rPr>
            </w:pPr>
          </w:p>
        </w:tc>
        <w:tc>
          <w:tcPr>
            <w:tcW w:w="1559" w:type="dxa"/>
          </w:tcPr>
          <w:p w14:paraId="68771024" w14:textId="77777777" w:rsidR="006127E1" w:rsidRPr="00E33BAB" w:rsidRDefault="006127E1" w:rsidP="00785360">
            <w:pPr>
              <w:jc w:val="cente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2017</w:t>
            </w:r>
          </w:p>
        </w:tc>
        <w:tc>
          <w:tcPr>
            <w:tcW w:w="1417" w:type="dxa"/>
          </w:tcPr>
          <w:p w14:paraId="3AB32240" w14:textId="77777777" w:rsidR="006127E1" w:rsidRPr="00E33BAB" w:rsidRDefault="006127E1" w:rsidP="00785360">
            <w:pPr>
              <w:jc w:val="cente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2018</w:t>
            </w:r>
          </w:p>
        </w:tc>
        <w:tc>
          <w:tcPr>
            <w:tcW w:w="1560" w:type="dxa"/>
          </w:tcPr>
          <w:p w14:paraId="0535BDAE" w14:textId="77777777" w:rsidR="006127E1" w:rsidRPr="00E33BAB" w:rsidRDefault="006127E1" w:rsidP="00785360">
            <w:pPr>
              <w:jc w:val="cente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2019</w:t>
            </w:r>
          </w:p>
        </w:tc>
        <w:tc>
          <w:tcPr>
            <w:tcW w:w="1559" w:type="dxa"/>
          </w:tcPr>
          <w:p w14:paraId="79BA7A2C" w14:textId="77777777" w:rsidR="006127E1" w:rsidRPr="00E33BAB" w:rsidRDefault="006127E1" w:rsidP="00785360">
            <w:pPr>
              <w:jc w:val="cente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2020</w:t>
            </w:r>
          </w:p>
        </w:tc>
        <w:tc>
          <w:tcPr>
            <w:tcW w:w="992" w:type="dxa"/>
            <w:noWrap/>
          </w:tcPr>
          <w:p w14:paraId="01EDF282" w14:textId="77777777" w:rsidR="006127E1" w:rsidRPr="00E33BAB" w:rsidRDefault="006127E1" w:rsidP="00785360">
            <w:pPr>
              <w:jc w:val="cente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2017</w:t>
            </w:r>
          </w:p>
        </w:tc>
        <w:tc>
          <w:tcPr>
            <w:tcW w:w="851" w:type="dxa"/>
          </w:tcPr>
          <w:p w14:paraId="207D16E8" w14:textId="77777777" w:rsidR="006127E1" w:rsidRPr="00E33BAB" w:rsidRDefault="006127E1" w:rsidP="00785360">
            <w:pPr>
              <w:jc w:val="cente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2018</w:t>
            </w:r>
          </w:p>
        </w:tc>
        <w:tc>
          <w:tcPr>
            <w:tcW w:w="992" w:type="dxa"/>
          </w:tcPr>
          <w:p w14:paraId="79E4862A" w14:textId="77777777" w:rsidR="006127E1" w:rsidRPr="00E33BAB" w:rsidRDefault="006127E1" w:rsidP="00785360">
            <w:pPr>
              <w:jc w:val="cente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2019</w:t>
            </w:r>
          </w:p>
        </w:tc>
        <w:tc>
          <w:tcPr>
            <w:tcW w:w="760" w:type="dxa"/>
          </w:tcPr>
          <w:p w14:paraId="4EFBFFD4" w14:textId="77777777" w:rsidR="006127E1" w:rsidRPr="00E33BAB" w:rsidRDefault="006127E1" w:rsidP="00785360">
            <w:pPr>
              <w:jc w:val="cente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2020</w:t>
            </w:r>
          </w:p>
        </w:tc>
      </w:tr>
      <w:tr w:rsidR="006127E1" w:rsidRPr="00E33BAB" w14:paraId="7193F073" w14:textId="77777777" w:rsidTr="006127E1">
        <w:trPr>
          <w:trHeight w:val="54"/>
        </w:trPr>
        <w:tc>
          <w:tcPr>
            <w:tcW w:w="4909" w:type="dxa"/>
            <w:noWrap/>
            <w:hideMark/>
          </w:tcPr>
          <w:p w14:paraId="6B42B13A" w14:textId="77777777" w:rsidR="006127E1" w:rsidRPr="00E33BAB" w:rsidRDefault="006127E1" w:rsidP="00785360">
            <w:pP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1. Componenta de asistență tehnică</w:t>
            </w:r>
          </w:p>
        </w:tc>
        <w:tc>
          <w:tcPr>
            <w:tcW w:w="1559" w:type="dxa"/>
            <w:noWrap/>
            <w:hideMark/>
          </w:tcPr>
          <w:p w14:paraId="7895EC23" w14:textId="77777777" w:rsidR="006127E1" w:rsidRPr="00E33BAB" w:rsidRDefault="006127E1" w:rsidP="00785360">
            <w:pPr>
              <w:jc w:val="center"/>
              <w:rPr>
                <w:rFonts w:asciiTheme="majorHAnsi" w:eastAsia="Times New Roman" w:hAnsiTheme="majorHAnsi" w:cstheme="majorHAnsi"/>
                <w:sz w:val="20"/>
                <w:szCs w:val="20"/>
                <w:lang w:val="ro-MD"/>
              </w:rPr>
            </w:pPr>
          </w:p>
        </w:tc>
        <w:tc>
          <w:tcPr>
            <w:tcW w:w="1417" w:type="dxa"/>
          </w:tcPr>
          <w:p w14:paraId="2A90F47A" w14:textId="77777777" w:rsidR="006127E1" w:rsidRPr="00E33BAB" w:rsidRDefault="006127E1" w:rsidP="00785360">
            <w:pPr>
              <w:jc w:val="center"/>
              <w:rPr>
                <w:rFonts w:asciiTheme="majorHAnsi" w:eastAsia="Times New Roman" w:hAnsiTheme="majorHAnsi" w:cstheme="majorHAnsi"/>
                <w:sz w:val="20"/>
                <w:szCs w:val="20"/>
                <w:lang w:val="ro-MD"/>
              </w:rPr>
            </w:pPr>
          </w:p>
        </w:tc>
        <w:tc>
          <w:tcPr>
            <w:tcW w:w="1560" w:type="dxa"/>
          </w:tcPr>
          <w:p w14:paraId="15FFA63E" w14:textId="77777777" w:rsidR="006127E1" w:rsidRPr="00E33BAB" w:rsidRDefault="006127E1" w:rsidP="00785360">
            <w:pPr>
              <w:jc w:val="center"/>
              <w:rPr>
                <w:rFonts w:asciiTheme="majorHAnsi" w:eastAsia="Times New Roman" w:hAnsiTheme="majorHAnsi" w:cstheme="majorHAnsi"/>
                <w:sz w:val="20"/>
                <w:szCs w:val="20"/>
                <w:lang w:val="ro-MD"/>
              </w:rPr>
            </w:pPr>
          </w:p>
        </w:tc>
        <w:tc>
          <w:tcPr>
            <w:tcW w:w="1559" w:type="dxa"/>
          </w:tcPr>
          <w:p w14:paraId="0B995BAA" w14:textId="77777777" w:rsidR="006127E1" w:rsidRPr="00E33BAB" w:rsidRDefault="006127E1" w:rsidP="00785360">
            <w:pPr>
              <w:jc w:val="center"/>
              <w:rPr>
                <w:rFonts w:asciiTheme="majorHAnsi" w:eastAsia="Times New Roman" w:hAnsiTheme="majorHAnsi" w:cstheme="majorHAnsi"/>
                <w:sz w:val="20"/>
                <w:szCs w:val="20"/>
                <w:lang w:val="ro-MD"/>
              </w:rPr>
            </w:pPr>
          </w:p>
        </w:tc>
        <w:tc>
          <w:tcPr>
            <w:tcW w:w="992" w:type="dxa"/>
            <w:noWrap/>
            <w:hideMark/>
          </w:tcPr>
          <w:p w14:paraId="155E32A5" w14:textId="77777777" w:rsidR="006127E1" w:rsidRPr="00E33BAB" w:rsidRDefault="006127E1" w:rsidP="00785360">
            <w:pPr>
              <w:jc w:val="center"/>
              <w:rPr>
                <w:rFonts w:asciiTheme="majorHAnsi" w:eastAsia="Times New Roman" w:hAnsiTheme="majorHAnsi" w:cstheme="majorHAnsi"/>
                <w:sz w:val="20"/>
                <w:szCs w:val="20"/>
                <w:lang w:val="ro-MD"/>
              </w:rPr>
            </w:pPr>
          </w:p>
        </w:tc>
        <w:tc>
          <w:tcPr>
            <w:tcW w:w="851" w:type="dxa"/>
          </w:tcPr>
          <w:p w14:paraId="59C9AC05" w14:textId="77777777" w:rsidR="006127E1" w:rsidRPr="00E33BAB" w:rsidRDefault="006127E1" w:rsidP="00785360">
            <w:pPr>
              <w:jc w:val="center"/>
              <w:rPr>
                <w:rFonts w:asciiTheme="majorHAnsi" w:eastAsia="Times New Roman" w:hAnsiTheme="majorHAnsi" w:cstheme="majorHAnsi"/>
                <w:sz w:val="20"/>
                <w:szCs w:val="20"/>
                <w:lang w:val="ro-MD"/>
              </w:rPr>
            </w:pPr>
          </w:p>
        </w:tc>
        <w:tc>
          <w:tcPr>
            <w:tcW w:w="992" w:type="dxa"/>
          </w:tcPr>
          <w:p w14:paraId="28D931FB" w14:textId="77777777" w:rsidR="006127E1" w:rsidRPr="00E33BAB" w:rsidRDefault="006127E1" w:rsidP="00785360">
            <w:pPr>
              <w:jc w:val="center"/>
              <w:rPr>
                <w:rFonts w:asciiTheme="majorHAnsi" w:eastAsia="Times New Roman" w:hAnsiTheme="majorHAnsi" w:cstheme="majorHAnsi"/>
                <w:sz w:val="20"/>
                <w:szCs w:val="20"/>
                <w:lang w:val="ro-MD"/>
              </w:rPr>
            </w:pPr>
          </w:p>
        </w:tc>
        <w:tc>
          <w:tcPr>
            <w:tcW w:w="760" w:type="dxa"/>
          </w:tcPr>
          <w:p w14:paraId="2F5F2ED2" w14:textId="77777777" w:rsidR="006127E1" w:rsidRPr="00E33BAB" w:rsidRDefault="006127E1" w:rsidP="00785360">
            <w:pPr>
              <w:jc w:val="center"/>
              <w:rPr>
                <w:rFonts w:asciiTheme="majorHAnsi" w:eastAsia="Times New Roman" w:hAnsiTheme="majorHAnsi" w:cstheme="majorHAnsi"/>
                <w:sz w:val="20"/>
                <w:szCs w:val="20"/>
                <w:lang w:val="ro-MD"/>
              </w:rPr>
            </w:pPr>
          </w:p>
        </w:tc>
      </w:tr>
      <w:tr w:rsidR="006127E1" w:rsidRPr="00E33BAB" w14:paraId="2E01E107" w14:textId="77777777" w:rsidTr="006127E1">
        <w:trPr>
          <w:trHeight w:val="71"/>
        </w:trPr>
        <w:tc>
          <w:tcPr>
            <w:tcW w:w="4909" w:type="dxa"/>
            <w:noWrap/>
            <w:hideMark/>
          </w:tcPr>
          <w:p w14:paraId="537C5487" w14:textId="77777777" w:rsidR="006127E1" w:rsidRPr="00E33BAB" w:rsidRDefault="006127E1" w:rsidP="00785360">
            <w:pP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1.1 Activitățile privind componenta tehnică</w:t>
            </w:r>
          </w:p>
        </w:tc>
        <w:tc>
          <w:tcPr>
            <w:tcW w:w="1559" w:type="dxa"/>
            <w:noWrap/>
            <w:hideMark/>
          </w:tcPr>
          <w:p w14:paraId="63C3967C" w14:textId="77777777" w:rsidR="006127E1" w:rsidRPr="00E33BAB" w:rsidRDefault="006127E1" w:rsidP="00785360">
            <w:pPr>
              <w:jc w:val="center"/>
              <w:rPr>
                <w:rFonts w:asciiTheme="majorHAnsi" w:eastAsia="Times New Roman" w:hAnsiTheme="majorHAnsi" w:cstheme="majorHAnsi"/>
                <w:sz w:val="20"/>
                <w:szCs w:val="20"/>
                <w:lang w:val="ro-MD"/>
              </w:rPr>
            </w:pPr>
          </w:p>
        </w:tc>
        <w:tc>
          <w:tcPr>
            <w:tcW w:w="1417" w:type="dxa"/>
          </w:tcPr>
          <w:p w14:paraId="6170EBE9" w14:textId="77777777" w:rsidR="006127E1" w:rsidRPr="00E33BAB" w:rsidRDefault="006127E1" w:rsidP="00785360">
            <w:pPr>
              <w:jc w:val="center"/>
              <w:rPr>
                <w:rFonts w:asciiTheme="majorHAnsi" w:eastAsia="Times New Roman" w:hAnsiTheme="majorHAnsi" w:cstheme="majorHAnsi"/>
                <w:sz w:val="20"/>
                <w:szCs w:val="20"/>
                <w:lang w:val="ro-MD"/>
              </w:rPr>
            </w:pPr>
          </w:p>
        </w:tc>
        <w:tc>
          <w:tcPr>
            <w:tcW w:w="1560" w:type="dxa"/>
          </w:tcPr>
          <w:p w14:paraId="441733D1" w14:textId="77777777" w:rsidR="006127E1" w:rsidRPr="00E33BAB" w:rsidRDefault="006127E1" w:rsidP="00785360">
            <w:pPr>
              <w:jc w:val="center"/>
              <w:rPr>
                <w:rFonts w:asciiTheme="majorHAnsi" w:eastAsia="Times New Roman" w:hAnsiTheme="majorHAnsi" w:cstheme="majorHAnsi"/>
                <w:sz w:val="20"/>
                <w:szCs w:val="20"/>
                <w:lang w:val="ro-MD"/>
              </w:rPr>
            </w:pPr>
          </w:p>
        </w:tc>
        <w:tc>
          <w:tcPr>
            <w:tcW w:w="1559" w:type="dxa"/>
          </w:tcPr>
          <w:p w14:paraId="492BC187" w14:textId="77777777" w:rsidR="006127E1" w:rsidRPr="00E33BAB" w:rsidRDefault="006127E1" w:rsidP="00785360">
            <w:pPr>
              <w:jc w:val="center"/>
              <w:rPr>
                <w:rFonts w:asciiTheme="majorHAnsi" w:eastAsia="Times New Roman" w:hAnsiTheme="majorHAnsi" w:cstheme="majorHAnsi"/>
                <w:sz w:val="20"/>
                <w:szCs w:val="20"/>
                <w:lang w:val="ro-MD"/>
              </w:rPr>
            </w:pPr>
          </w:p>
        </w:tc>
        <w:tc>
          <w:tcPr>
            <w:tcW w:w="992" w:type="dxa"/>
            <w:noWrap/>
            <w:hideMark/>
          </w:tcPr>
          <w:p w14:paraId="2EAC2166" w14:textId="77777777" w:rsidR="006127E1" w:rsidRPr="00E33BAB" w:rsidRDefault="006127E1" w:rsidP="00785360">
            <w:pPr>
              <w:jc w:val="center"/>
              <w:rPr>
                <w:rFonts w:asciiTheme="majorHAnsi" w:eastAsia="Times New Roman" w:hAnsiTheme="majorHAnsi" w:cstheme="majorHAnsi"/>
                <w:sz w:val="20"/>
                <w:szCs w:val="20"/>
                <w:lang w:val="ro-MD"/>
              </w:rPr>
            </w:pPr>
          </w:p>
        </w:tc>
        <w:tc>
          <w:tcPr>
            <w:tcW w:w="851" w:type="dxa"/>
          </w:tcPr>
          <w:p w14:paraId="1C8A193A" w14:textId="77777777" w:rsidR="006127E1" w:rsidRPr="00E33BAB" w:rsidRDefault="006127E1" w:rsidP="00785360">
            <w:pPr>
              <w:jc w:val="center"/>
              <w:rPr>
                <w:rFonts w:asciiTheme="majorHAnsi" w:eastAsia="Times New Roman" w:hAnsiTheme="majorHAnsi" w:cstheme="majorHAnsi"/>
                <w:sz w:val="20"/>
                <w:szCs w:val="20"/>
                <w:lang w:val="ro-MD"/>
              </w:rPr>
            </w:pPr>
          </w:p>
        </w:tc>
        <w:tc>
          <w:tcPr>
            <w:tcW w:w="992" w:type="dxa"/>
          </w:tcPr>
          <w:p w14:paraId="78F6915F" w14:textId="77777777" w:rsidR="006127E1" w:rsidRPr="00E33BAB" w:rsidRDefault="006127E1" w:rsidP="00785360">
            <w:pPr>
              <w:jc w:val="center"/>
              <w:rPr>
                <w:rFonts w:asciiTheme="majorHAnsi" w:eastAsia="Times New Roman" w:hAnsiTheme="majorHAnsi" w:cstheme="majorHAnsi"/>
                <w:sz w:val="20"/>
                <w:szCs w:val="20"/>
                <w:lang w:val="ro-MD"/>
              </w:rPr>
            </w:pPr>
          </w:p>
        </w:tc>
        <w:tc>
          <w:tcPr>
            <w:tcW w:w="760" w:type="dxa"/>
          </w:tcPr>
          <w:p w14:paraId="2633D868" w14:textId="77777777" w:rsidR="006127E1" w:rsidRPr="00E33BAB" w:rsidRDefault="006127E1" w:rsidP="00785360">
            <w:pPr>
              <w:jc w:val="center"/>
              <w:rPr>
                <w:rFonts w:asciiTheme="majorHAnsi" w:eastAsia="Times New Roman" w:hAnsiTheme="majorHAnsi" w:cstheme="majorHAnsi"/>
                <w:sz w:val="20"/>
                <w:szCs w:val="20"/>
                <w:lang w:val="ro-MD"/>
              </w:rPr>
            </w:pPr>
          </w:p>
        </w:tc>
      </w:tr>
      <w:tr w:rsidR="006127E1" w:rsidRPr="00E33BAB" w14:paraId="76B54C4E" w14:textId="77777777" w:rsidTr="006127E1">
        <w:trPr>
          <w:trHeight w:val="251"/>
        </w:trPr>
        <w:tc>
          <w:tcPr>
            <w:tcW w:w="4909" w:type="dxa"/>
            <w:hideMark/>
          </w:tcPr>
          <w:p w14:paraId="19229BD1" w14:textId="77777777" w:rsidR="006127E1" w:rsidRPr="00E33BAB" w:rsidRDefault="006127E1" w:rsidP="00785360">
            <w:pP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1.1.1. Asistență tehnică pentru realizarea unui mecanism de plăți DRG printr-un exercițiu de costuri DRG bazat pe date naționale</w:t>
            </w:r>
          </w:p>
        </w:tc>
        <w:tc>
          <w:tcPr>
            <w:tcW w:w="1559" w:type="dxa"/>
            <w:noWrap/>
            <w:hideMark/>
          </w:tcPr>
          <w:p w14:paraId="5FC06555"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hAnsiTheme="majorHAnsi" w:cstheme="majorHAnsi"/>
                <w:sz w:val="20"/>
                <w:szCs w:val="20"/>
                <w:lang w:val="ro-MD"/>
              </w:rPr>
              <w:t>52 646,86</w:t>
            </w:r>
          </w:p>
        </w:tc>
        <w:tc>
          <w:tcPr>
            <w:tcW w:w="1417" w:type="dxa"/>
          </w:tcPr>
          <w:p w14:paraId="72FC67DC"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165 461,56</w:t>
            </w:r>
          </w:p>
        </w:tc>
        <w:tc>
          <w:tcPr>
            <w:tcW w:w="1560" w:type="dxa"/>
          </w:tcPr>
          <w:p w14:paraId="58295809"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hAnsiTheme="majorHAnsi" w:cstheme="majorHAnsi"/>
                <w:sz w:val="20"/>
                <w:szCs w:val="20"/>
                <w:lang w:val="ro-MD"/>
              </w:rPr>
              <w:t>376 049,00</w:t>
            </w:r>
          </w:p>
        </w:tc>
        <w:tc>
          <w:tcPr>
            <w:tcW w:w="1559" w:type="dxa"/>
          </w:tcPr>
          <w:p w14:paraId="45232783"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376,049.00</w:t>
            </w:r>
          </w:p>
        </w:tc>
        <w:tc>
          <w:tcPr>
            <w:tcW w:w="992" w:type="dxa"/>
            <w:noWrap/>
            <w:hideMark/>
          </w:tcPr>
          <w:p w14:paraId="70AFA90C"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7%</w:t>
            </w:r>
          </w:p>
        </w:tc>
        <w:tc>
          <w:tcPr>
            <w:tcW w:w="851" w:type="dxa"/>
          </w:tcPr>
          <w:p w14:paraId="1DF5371C"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44%</w:t>
            </w:r>
          </w:p>
        </w:tc>
        <w:tc>
          <w:tcPr>
            <w:tcW w:w="992" w:type="dxa"/>
          </w:tcPr>
          <w:p w14:paraId="634FE97D" w14:textId="77777777" w:rsidR="006127E1" w:rsidRPr="00E33BAB" w:rsidRDefault="006127E1" w:rsidP="00785360">
            <w:pPr>
              <w:jc w:val="center"/>
              <w:rPr>
                <w:rFonts w:asciiTheme="majorHAnsi" w:hAnsiTheme="majorHAnsi" w:cstheme="majorHAnsi"/>
                <w:sz w:val="20"/>
                <w:szCs w:val="20"/>
                <w:lang w:val="ro-MD"/>
              </w:rPr>
            </w:pPr>
            <w:r w:rsidRPr="00E33BAB">
              <w:rPr>
                <w:rFonts w:asciiTheme="majorHAnsi" w:hAnsiTheme="majorHAnsi" w:cstheme="majorHAnsi"/>
                <w:sz w:val="20"/>
                <w:szCs w:val="20"/>
                <w:lang w:val="ro-MD"/>
              </w:rPr>
              <w:t>100%</w:t>
            </w:r>
          </w:p>
        </w:tc>
        <w:tc>
          <w:tcPr>
            <w:tcW w:w="760" w:type="dxa"/>
          </w:tcPr>
          <w:p w14:paraId="0BBD42B8" w14:textId="77777777" w:rsidR="006127E1" w:rsidRPr="00E33BAB" w:rsidRDefault="006127E1" w:rsidP="00785360">
            <w:pPr>
              <w:jc w:val="center"/>
              <w:rPr>
                <w:rFonts w:asciiTheme="majorHAnsi" w:hAnsiTheme="majorHAnsi" w:cstheme="majorHAnsi"/>
                <w:sz w:val="20"/>
                <w:szCs w:val="20"/>
                <w:lang w:val="ro-MD"/>
              </w:rPr>
            </w:pPr>
            <w:r w:rsidRPr="00E33BAB">
              <w:rPr>
                <w:rFonts w:asciiTheme="majorHAnsi" w:hAnsiTheme="majorHAnsi" w:cstheme="majorHAnsi"/>
                <w:sz w:val="20"/>
                <w:szCs w:val="20"/>
                <w:lang w:val="ro-MD"/>
              </w:rPr>
              <w:t>100%</w:t>
            </w:r>
          </w:p>
        </w:tc>
      </w:tr>
      <w:tr w:rsidR="006127E1" w:rsidRPr="00E33BAB" w14:paraId="1889EF0D" w14:textId="77777777" w:rsidTr="006127E1">
        <w:trPr>
          <w:trHeight w:val="421"/>
        </w:trPr>
        <w:tc>
          <w:tcPr>
            <w:tcW w:w="4909" w:type="dxa"/>
            <w:hideMark/>
          </w:tcPr>
          <w:p w14:paraId="243D46C5" w14:textId="77777777" w:rsidR="006127E1" w:rsidRPr="00E33BAB" w:rsidRDefault="006127E1" w:rsidP="00785360">
            <w:pP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1.1.2.a) Asistență tehnică pentru proiectarea unei scheme de stimulare bazate pe performanță pentru îmbunătățirea calității și eficienței în spitalele contractate de CNAM</w:t>
            </w:r>
          </w:p>
        </w:tc>
        <w:tc>
          <w:tcPr>
            <w:tcW w:w="1559" w:type="dxa"/>
            <w:noWrap/>
            <w:hideMark/>
          </w:tcPr>
          <w:p w14:paraId="5DD0C5E9"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hAnsiTheme="majorHAnsi" w:cstheme="majorHAnsi"/>
                <w:sz w:val="20"/>
                <w:szCs w:val="20"/>
                <w:lang w:val="ro-MD"/>
              </w:rPr>
              <w:t>117 660,00</w:t>
            </w:r>
          </w:p>
        </w:tc>
        <w:tc>
          <w:tcPr>
            <w:tcW w:w="1417" w:type="dxa"/>
          </w:tcPr>
          <w:p w14:paraId="2D456D63"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196 100,00</w:t>
            </w:r>
          </w:p>
        </w:tc>
        <w:tc>
          <w:tcPr>
            <w:tcW w:w="1560" w:type="dxa"/>
          </w:tcPr>
          <w:p w14:paraId="5B823E76"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hAnsiTheme="majorHAnsi" w:cstheme="majorHAnsi"/>
                <w:sz w:val="20"/>
                <w:szCs w:val="20"/>
                <w:lang w:val="ro-MD"/>
              </w:rPr>
              <w:t>196 100,00</w:t>
            </w:r>
          </w:p>
        </w:tc>
        <w:tc>
          <w:tcPr>
            <w:tcW w:w="1559" w:type="dxa"/>
          </w:tcPr>
          <w:p w14:paraId="2EA32A5B"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196,100.00</w:t>
            </w:r>
          </w:p>
        </w:tc>
        <w:tc>
          <w:tcPr>
            <w:tcW w:w="992" w:type="dxa"/>
            <w:noWrap/>
            <w:hideMark/>
          </w:tcPr>
          <w:p w14:paraId="449CB7B4"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60%</w:t>
            </w:r>
          </w:p>
        </w:tc>
        <w:tc>
          <w:tcPr>
            <w:tcW w:w="851" w:type="dxa"/>
          </w:tcPr>
          <w:p w14:paraId="4B405BA4"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100%</w:t>
            </w:r>
          </w:p>
        </w:tc>
        <w:tc>
          <w:tcPr>
            <w:tcW w:w="992" w:type="dxa"/>
          </w:tcPr>
          <w:p w14:paraId="7F0887F4" w14:textId="77777777" w:rsidR="006127E1" w:rsidRPr="00E33BAB" w:rsidRDefault="006127E1" w:rsidP="00785360">
            <w:pPr>
              <w:jc w:val="center"/>
              <w:rPr>
                <w:rFonts w:asciiTheme="majorHAnsi" w:hAnsiTheme="majorHAnsi" w:cstheme="majorHAnsi"/>
                <w:sz w:val="20"/>
                <w:szCs w:val="20"/>
                <w:lang w:val="ro-MD"/>
              </w:rPr>
            </w:pPr>
            <w:r w:rsidRPr="00E33BAB">
              <w:rPr>
                <w:rFonts w:asciiTheme="majorHAnsi" w:hAnsiTheme="majorHAnsi" w:cstheme="majorHAnsi"/>
                <w:sz w:val="20"/>
                <w:szCs w:val="20"/>
                <w:lang w:val="ro-MD"/>
              </w:rPr>
              <w:t>100%</w:t>
            </w:r>
          </w:p>
        </w:tc>
        <w:tc>
          <w:tcPr>
            <w:tcW w:w="760" w:type="dxa"/>
          </w:tcPr>
          <w:p w14:paraId="055492A1" w14:textId="77777777" w:rsidR="006127E1" w:rsidRPr="00E33BAB" w:rsidRDefault="006127E1" w:rsidP="00785360">
            <w:pPr>
              <w:jc w:val="center"/>
              <w:rPr>
                <w:rFonts w:asciiTheme="majorHAnsi" w:hAnsiTheme="majorHAnsi" w:cstheme="majorHAnsi"/>
                <w:sz w:val="20"/>
                <w:szCs w:val="20"/>
                <w:lang w:val="ro-MD"/>
              </w:rPr>
            </w:pPr>
            <w:r w:rsidRPr="00E33BAB">
              <w:rPr>
                <w:rFonts w:asciiTheme="majorHAnsi" w:hAnsiTheme="majorHAnsi" w:cstheme="majorHAnsi"/>
                <w:sz w:val="20"/>
                <w:szCs w:val="20"/>
                <w:lang w:val="ro-MD"/>
              </w:rPr>
              <w:t>100%</w:t>
            </w:r>
          </w:p>
        </w:tc>
      </w:tr>
      <w:tr w:rsidR="006127E1" w:rsidRPr="00E33BAB" w14:paraId="61F493D6" w14:textId="77777777" w:rsidTr="006127E1">
        <w:trPr>
          <w:trHeight w:val="116"/>
        </w:trPr>
        <w:tc>
          <w:tcPr>
            <w:tcW w:w="4909" w:type="dxa"/>
            <w:hideMark/>
          </w:tcPr>
          <w:p w14:paraId="7EA480EA" w14:textId="61585534" w:rsidR="006127E1" w:rsidRPr="00E33BAB" w:rsidRDefault="006127E1" w:rsidP="00785360">
            <w:pP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1.1.2.b) Asistență tehnică locală pentru pilotarea și revizuirea noii scheme de stimul</w:t>
            </w:r>
            <w:r w:rsidR="00ED5AB3">
              <w:rPr>
                <w:rFonts w:asciiTheme="majorHAnsi" w:eastAsia="Times New Roman" w:hAnsiTheme="majorHAnsi" w:cstheme="majorHAnsi"/>
                <w:sz w:val="20"/>
                <w:szCs w:val="20"/>
                <w:lang w:val="ro-MD"/>
              </w:rPr>
              <w:t>are</w:t>
            </w:r>
            <w:r w:rsidRPr="00E33BAB">
              <w:rPr>
                <w:rFonts w:asciiTheme="majorHAnsi" w:eastAsia="Times New Roman" w:hAnsiTheme="majorHAnsi" w:cstheme="majorHAnsi"/>
                <w:sz w:val="20"/>
                <w:szCs w:val="20"/>
                <w:lang w:val="ro-MD"/>
              </w:rPr>
              <w:t xml:space="preserve"> bazate pe performanță</w:t>
            </w:r>
          </w:p>
        </w:tc>
        <w:tc>
          <w:tcPr>
            <w:tcW w:w="1559" w:type="dxa"/>
            <w:noWrap/>
            <w:hideMark/>
          </w:tcPr>
          <w:p w14:paraId="07F27DE2"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hAnsiTheme="majorHAnsi" w:cstheme="majorHAnsi"/>
                <w:sz w:val="20"/>
                <w:szCs w:val="20"/>
                <w:lang w:val="ro-MD"/>
              </w:rPr>
              <w:t>16 999,72</w:t>
            </w:r>
          </w:p>
        </w:tc>
        <w:tc>
          <w:tcPr>
            <w:tcW w:w="1417" w:type="dxa"/>
          </w:tcPr>
          <w:p w14:paraId="7CD3F7BA"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16 999,72</w:t>
            </w:r>
          </w:p>
        </w:tc>
        <w:tc>
          <w:tcPr>
            <w:tcW w:w="1560" w:type="dxa"/>
          </w:tcPr>
          <w:p w14:paraId="6AD39659"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hAnsiTheme="majorHAnsi" w:cstheme="majorHAnsi"/>
                <w:sz w:val="20"/>
                <w:szCs w:val="20"/>
                <w:lang w:val="ro-MD"/>
              </w:rPr>
              <w:t>16 999,72</w:t>
            </w:r>
          </w:p>
        </w:tc>
        <w:tc>
          <w:tcPr>
            <w:tcW w:w="1559" w:type="dxa"/>
          </w:tcPr>
          <w:p w14:paraId="523BD73B"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16,999.72</w:t>
            </w:r>
          </w:p>
        </w:tc>
        <w:tc>
          <w:tcPr>
            <w:tcW w:w="992" w:type="dxa"/>
            <w:noWrap/>
            <w:hideMark/>
          </w:tcPr>
          <w:p w14:paraId="5CBCD8DC"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47%</w:t>
            </w:r>
          </w:p>
        </w:tc>
        <w:tc>
          <w:tcPr>
            <w:tcW w:w="851" w:type="dxa"/>
          </w:tcPr>
          <w:p w14:paraId="53D85560"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100%</w:t>
            </w:r>
          </w:p>
        </w:tc>
        <w:tc>
          <w:tcPr>
            <w:tcW w:w="992" w:type="dxa"/>
          </w:tcPr>
          <w:p w14:paraId="2D501B78" w14:textId="77777777" w:rsidR="006127E1" w:rsidRPr="00E33BAB" w:rsidRDefault="006127E1" w:rsidP="00785360">
            <w:pPr>
              <w:jc w:val="center"/>
              <w:rPr>
                <w:rFonts w:asciiTheme="majorHAnsi" w:hAnsiTheme="majorHAnsi" w:cstheme="majorHAnsi"/>
                <w:sz w:val="20"/>
                <w:szCs w:val="20"/>
                <w:lang w:val="ro-MD"/>
              </w:rPr>
            </w:pPr>
            <w:r w:rsidRPr="00E33BAB">
              <w:rPr>
                <w:rFonts w:asciiTheme="majorHAnsi" w:hAnsiTheme="majorHAnsi" w:cstheme="majorHAnsi"/>
                <w:sz w:val="20"/>
                <w:szCs w:val="20"/>
                <w:lang w:val="ro-MD"/>
              </w:rPr>
              <w:t>100%</w:t>
            </w:r>
          </w:p>
        </w:tc>
        <w:tc>
          <w:tcPr>
            <w:tcW w:w="760" w:type="dxa"/>
          </w:tcPr>
          <w:p w14:paraId="753A8B07" w14:textId="77777777" w:rsidR="006127E1" w:rsidRPr="00E33BAB" w:rsidRDefault="006127E1" w:rsidP="00785360">
            <w:pPr>
              <w:jc w:val="center"/>
              <w:rPr>
                <w:rFonts w:asciiTheme="majorHAnsi" w:hAnsiTheme="majorHAnsi" w:cstheme="majorHAnsi"/>
                <w:sz w:val="20"/>
                <w:szCs w:val="20"/>
                <w:lang w:val="ro-MD"/>
              </w:rPr>
            </w:pPr>
            <w:r w:rsidRPr="00E33BAB">
              <w:rPr>
                <w:rFonts w:asciiTheme="majorHAnsi" w:hAnsiTheme="majorHAnsi" w:cstheme="majorHAnsi"/>
                <w:sz w:val="20"/>
                <w:szCs w:val="20"/>
                <w:lang w:val="ro-MD"/>
              </w:rPr>
              <w:t>100%</w:t>
            </w:r>
          </w:p>
        </w:tc>
      </w:tr>
      <w:tr w:rsidR="006127E1" w:rsidRPr="00E33BAB" w14:paraId="5EEA060D" w14:textId="77777777" w:rsidTr="006127E1">
        <w:trPr>
          <w:trHeight w:val="261"/>
        </w:trPr>
        <w:tc>
          <w:tcPr>
            <w:tcW w:w="4909" w:type="dxa"/>
            <w:hideMark/>
          </w:tcPr>
          <w:p w14:paraId="7ED8622A" w14:textId="77777777" w:rsidR="006127E1" w:rsidRPr="00E33BAB" w:rsidRDefault="006127E1" w:rsidP="00785360">
            <w:pP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1.1.3. Asistență tehnică pentru restructurarea proceselor de afaceri și a fluxurilor de lucru pentru Spitalul universitar</w:t>
            </w:r>
          </w:p>
        </w:tc>
        <w:tc>
          <w:tcPr>
            <w:tcW w:w="1559" w:type="dxa"/>
            <w:noWrap/>
            <w:hideMark/>
          </w:tcPr>
          <w:p w14:paraId="4E3AD4E7"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hAnsiTheme="majorHAnsi" w:cstheme="majorHAnsi"/>
                <w:sz w:val="20"/>
                <w:szCs w:val="20"/>
                <w:lang w:val="ro-MD"/>
              </w:rPr>
              <w:t>56 259,50</w:t>
            </w:r>
          </w:p>
        </w:tc>
        <w:tc>
          <w:tcPr>
            <w:tcW w:w="1417" w:type="dxa"/>
          </w:tcPr>
          <w:p w14:paraId="42066E45"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56 259,50</w:t>
            </w:r>
          </w:p>
        </w:tc>
        <w:tc>
          <w:tcPr>
            <w:tcW w:w="1560" w:type="dxa"/>
          </w:tcPr>
          <w:p w14:paraId="0BC12A6E"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hAnsiTheme="majorHAnsi" w:cstheme="majorHAnsi"/>
                <w:sz w:val="20"/>
                <w:szCs w:val="20"/>
                <w:lang w:val="ro-MD"/>
              </w:rPr>
              <w:t>56 259,50</w:t>
            </w:r>
          </w:p>
        </w:tc>
        <w:tc>
          <w:tcPr>
            <w:tcW w:w="1559" w:type="dxa"/>
          </w:tcPr>
          <w:p w14:paraId="0C857DE1"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56,259.50</w:t>
            </w:r>
          </w:p>
        </w:tc>
        <w:tc>
          <w:tcPr>
            <w:tcW w:w="992" w:type="dxa"/>
            <w:noWrap/>
            <w:hideMark/>
          </w:tcPr>
          <w:p w14:paraId="783AD1E3"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50%</w:t>
            </w:r>
          </w:p>
        </w:tc>
        <w:tc>
          <w:tcPr>
            <w:tcW w:w="851" w:type="dxa"/>
          </w:tcPr>
          <w:p w14:paraId="0392F7AA"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50%</w:t>
            </w:r>
          </w:p>
        </w:tc>
        <w:tc>
          <w:tcPr>
            <w:tcW w:w="992" w:type="dxa"/>
          </w:tcPr>
          <w:p w14:paraId="3833F486" w14:textId="77777777" w:rsidR="006127E1" w:rsidRPr="00E33BAB" w:rsidRDefault="006127E1" w:rsidP="00785360">
            <w:pPr>
              <w:jc w:val="center"/>
              <w:rPr>
                <w:rFonts w:asciiTheme="majorHAnsi" w:hAnsiTheme="majorHAnsi" w:cstheme="majorHAnsi"/>
                <w:sz w:val="20"/>
                <w:szCs w:val="20"/>
                <w:lang w:val="ro-MD"/>
              </w:rPr>
            </w:pPr>
            <w:r w:rsidRPr="00E33BAB">
              <w:rPr>
                <w:rFonts w:asciiTheme="majorHAnsi" w:hAnsiTheme="majorHAnsi" w:cstheme="majorHAnsi"/>
                <w:sz w:val="20"/>
                <w:szCs w:val="20"/>
                <w:lang w:val="ro-MD"/>
              </w:rPr>
              <w:t>50%</w:t>
            </w:r>
          </w:p>
        </w:tc>
        <w:tc>
          <w:tcPr>
            <w:tcW w:w="760" w:type="dxa"/>
          </w:tcPr>
          <w:p w14:paraId="3C388243" w14:textId="77777777" w:rsidR="006127E1" w:rsidRPr="00E33BAB" w:rsidRDefault="006127E1" w:rsidP="00785360">
            <w:pPr>
              <w:jc w:val="center"/>
              <w:rPr>
                <w:rFonts w:asciiTheme="majorHAnsi" w:hAnsiTheme="majorHAnsi" w:cstheme="majorHAnsi"/>
                <w:sz w:val="20"/>
                <w:szCs w:val="20"/>
                <w:lang w:val="ro-MD"/>
              </w:rPr>
            </w:pPr>
            <w:r w:rsidRPr="00E33BAB">
              <w:rPr>
                <w:rFonts w:asciiTheme="majorHAnsi" w:hAnsiTheme="majorHAnsi" w:cstheme="majorHAnsi"/>
                <w:sz w:val="20"/>
                <w:szCs w:val="20"/>
                <w:lang w:val="ro-MD"/>
              </w:rPr>
              <w:t>50%</w:t>
            </w:r>
          </w:p>
        </w:tc>
      </w:tr>
      <w:tr w:rsidR="006127E1" w:rsidRPr="00E33BAB" w14:paraId="4C6FA4A2" w14:textId="77777777" w:rsidTr="006127E1">
        <w:trPr>
          <w:trHeight w:val="161"/>
        </w:trPr>
        <w:tc>
          <w:tcPr>
            <w:tcW w:w="4909" w:type="dxa"/>
            <w:hideMark/>
          </w:tcPr>
          <w:p w14:paraId="52F70606" w14:textId="77777777" w:rsidR="006127E1" w:rsidRPr="00E33BAB" w:rsidRDefault="006127E1" w:rsidP="00785360">
            <w:pP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1.1.4.b) Asistență tehnică pentru efectuarea verificării tehnice a conformității ILD / ILD 1 și ILD / ILD 2, ancheta STEPS</w:t>
            </w:r>
          </w:p>
        </w:tc>
        <w:tc>
          <w:tcPr>
            <w:tcW w:w="1559" w:type="dxa"/>
            <w:noWrap/>
            <w:hideMark/>
          </w:tcPr>
          <w:p w14:paraId="69AF0432" w14:textId="77777777" w:rsidR="006127E1" w:rsidRPr="00E33BAB" w:rsidRDefault="006127E1" w:rsidP="00785360">
            <w:pPr>
              <w:jc w:val="center"/>
              <w:rPr>
                <w:rFonts w:asciiTheme="majorHAnsi" w:hAnsiTheme="majorHAnsi" w:cstheme="majorHAnsi"/>
                <w:sz w:val="20"/>
                <w:szCs w:val="20"/>
                <w:lang w:val="ro-MD"/>
              </w:rPr>
            </w:pPr>
            <w:r w:rsidRPr="00E33BAB">
              <w:rPr>
                <w:rFonts w:asciiTheme="majorHAnsi" w:hAnsiTheme="majorHAnsi" w:cstheme="majorHAnsi"/>
                <w:sz w:val="20"/>
                <w:szCs w:val="20"/>
                <w:lang w:val="ro-MD"/>
              </w:rPr>
              <w:t>0,00</w:t>
            </w:r>
          </w:p>
        </w:tc>
        <w:tc>
          <w:tcPr>
            <w:tcW w:w="1417" w:type="dxa"/>
          </w:tcPr>
          <w:p w14:paraId="7A40E134" w14:textId="77777777" w:rsidR="006127E1" w:rsidRPr="00E33BAB" w:rsidRDefault="006127E1" w:rsidP="00785360">
            <w:pPr>
              <w:jc w:val="center"/>
              <w:rPr>
                <w:rFonts w:asciiTheme="majorHAnsi" w:hAnsiTheme="majorHAnsi" w:cstheme="majorHAnsi"/>
                <w:sz w:val="20"/>
                <w:szCs w:val="20"/>
                <w:lang w:val="ro-MD"/>
              </w:rPr>
            </w:pPr>
            <w:r w:rsidRPr="00E33BAB">
              <w:rPr>
                <w:rFonts w:asciiTheme="majorHAnsi" w:hAnsiTheme="majorHAnsi" w:cstheme="majorHAnsi"/>
                <w:sz w:val="20"/>
                <w:szCs w:val="20"/>
                <w:lang w:val="ro-MD"/>
              </w:rPr>
              <w:t>0,0</w:t>
            </w:r>
          </w:p>
        </w:tc>
        <w:tc>
          <w:tcPr>
            <w:tcW w:w="1560" w:type="dxa"/>
          </w:tcPr>
          <w:p w14:paraId="260C8F70"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hAnsiTheme="majorHAnsi" w:cstheme="majorHAnsi"/>
                <w:sz w:val="20"/>
                <w:szCs w:val="20"/>
                <w:lang w:val="ro-MD"/>
              </w:rPr>
              <w:t>271 867,00</w:t>
            </w:r>
          </w:p>
        </w:tc>
        <w:tc>
          <w:tcPr>
            <w:tcW w:w="1559" w:type="dxa"/>
          </w:tcPr>
          <w:p w14:paraId="4AE785CB"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271 867,00</w:t>
            </w:r>
          </w:p>
        </w:tc>
        <w:tc>
          <w:tcPr>
            <w:tcW w:w="992" w:type="dxa"/>
            <w:noWrap/>
            <w:hideMark/>
          </w:tcPr>
          <w:p w14:paraId="2F0488E0"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0%</w:t>
            </w:r>
          </w:p>
        </w:tc>
        <w:tc>
          <w:tcPr>
            <w:tcW w:w="851" w:type="dxa"/>
          </w:tcPr>
          <w:p w14:paraId="5C03C1D4"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0%</w:t>
            </w:r>
          </w:p>
        </w:tc>
        <w:tc>
          <w:tcPr>
            <w:tcW w:w="992" w:type="dxa"/>
          </w:tcPr>
          <w:p w14:paraId="172FD4A9" w14:textId="77777777" w:rsidR="006127E1" w:rsidRPr="00E33BAB" w:rsidRDefault="006127E1" w:rsidP="00785360">
            <w:pPr>
              <w:jc w:val="center"/>
              <w:rPr>
                <w:rFonts w:asciiTheme="majorHAnsi" w:hAnsiTheme="majorHAnsi" w:cstheme="majorHAnsi"/>
                <w:sz w:val="20"/>
                <w:szCs w:val="20"/>
                <w:lang w:val="ro-MD"/>
              </w:rPr>
            </w:pPr>
            <w:r w:rsidRPr="00E33BAB">
              <w:rPr>
                <w:rFonts w:asciiTheme="majorHAnsi" w:hAnsiTheme="majorHAnsi" w:cstheme="majorHAnsi"/>
                <w:sz w:val="20"/>
                <w:szCs w:val="20"/>
                <w:lang w:val="ro-MD"/>
              </w:rPr>
              <w:t>76%</w:t>
            </w:r>
          </w:p>
        </w:tc>
        <w:tc>
          <w:tcPr>
            <w:tcW w:w="760" w:type="dxa"/>
          </w:tcPr>
          <w:p w14:paraId="20FE076D" w14:textId="77777777" w:rsidR="006127E1" w:rsidRPr="00E33BAB" w:rsidRDefault="006127E1" w:rsidP="00785360">
            <w:pPr>
              <w:jc w:val="center"/>
              <w:rPr>
                <w:rFonts w:asciiTheme="majorHAnsi" w:hAnsiTheme="majorHAnsi" w:cstheme="majorHAnsi"/>
                <w:sz w:val="20"/>
                <w:szCs w:val="20"/>
                <w:lang w:val="ro-MD"/>
              </w:rPr>
            </w:pPr>
            <w:r w:rsidRPr="00E33BAB">
              <w:rPr>
                <w:rFonts w:asciiTheme="majorHAnsi" w:hAnsiTheme="majorHAnsi" w:cstheme="majorHAnsi"/>
                <w:sz w:val="20"/>
                <w:szCs w:val="20"/>
                <w:lang w:val="ro-MD"/>
              </w:rPr>
              <w:t>100%</w:t>
            </w:r>
          </w:p>
        </w:tc>
      </w:tr>
      <w:tr w:rsidR="006127E1" w:rsidRPr="00E33BAB" w14:paraId="1453F727" w14:textId="77777777" w:rsidTr="006127E1">
        <w:trPr>
          <w:trHeight w:val="242"/>
        </w:trPr>
        <w:tc>
          <w:tcPr>
            <w:tcW w:w="4909" w:type="dxa"/>
            <w:hideMark/>
          </w:tcPr>
          <w:p w14:paraId="720BB1FE" w14:textId="77777777" w:rsidR="006127E1" w:rsidRPr="00E33BAB" w:rsidRDefault="006127E1" w:rsidP="00785360">
            <w:pP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1.1.5. Asistență tehnică pentru elaborarea unui manual privind calitatea îngrijirii și revizuirea sistemului de salarizare pentru performanță în asistența medicală primară</w:t>
            </w:r>
          </w:p>
        </w:tc>
        <w:tc>
          <w:tcPr>
            <w:tcW w:w="1559" w:type="dxa"/>
            <w:noWrap/>
            <w:hideMark/>
          </w:tcPr>
          <w:p w14:paraId="45B840A1"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hAnsiTheme="majorHAnsi" w:cstheme="majorHAnsi"/>
                <w:sz w:val="20"/>
                <w:szCs w:val="20"/>
                <w:lang w:val="ro-MD"/>
              </w:rPr>
              <w:t>87 550,00</w:t>
            </w:r>
          </w:p>
        </w:tc>
        <w:tc>
          <w:tcPr>
            <w:tcW w:w="1417" w:type="dxa"/>
          </w:tcPr>
          <w:p w14:paraId="489434EF"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87 550,00</w:t>
            </w:r>
          </w:p>
        </w:tc>
        <w:tc>
          <w:tcPr>
            <w:tcW w:w="1560" w:type="dxa"/>
          </w:tcPr>
          <w:p w14:paraId="78BF837F"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hAnsiTheme="majorHAnsi" w:cstheme="majorHAnsi"/>
                <w:sz w:val="20"/>
                <w:szCs w:val="20"/>
                <w:lang w:val="ro-MD"/>
              </w:rPr>
              <w:t>87 550,00</w:t>
            </w:r>
          </w:p>
        </w:tc>
        <w:tc>
          <w:tcPr>
            <w:tcW w:w="1559" w:type="dxa"/>
          </w:tcPr>
          <w:p w14:paraId="662494B2"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87,550.00</w:t>
            </w:r>
          </w:p>
        </w:tc>
        <w:tc>
          <w:tcPr>
            <w:tcW w:w="992" w:type="dxa"/>
            <w:noWrap/>
            <w:hideMark/>
          </w:tcPr>
          <w:p w14:paraId="246970B8"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97%</w:t>
            </w:r>
          </w:p>
        </w:tc>
        <w:tc>
          <w:tcPr>
            <w:tcW w:w="851" w:type="dxa"/>
          </w:tcPr>
          <w:p w14:paraId="7C160693"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100%</w:t>
            </w:r>
          </w:p>
        </w:tc>
        <w:tc>
          <w:tcPr>
            <w:tcW w:w="992" w:type="dxa"/>
          </w:tcPr>
          <w:p w14:paraId="74073D65" w14:textId="77777777" w:rsidR="006127E1" w:rsidRPr="00E33BAB" w:rsidRDefault="006127E1" w:rsidP="00785360">
            <w:pPr>
              <w:jc w:val="center"/>
              <w:rPr>
                <w:rFonts w:asciiTheme="majorHAnsi" w:hAnsiTheme="majorHAnsi" w:cstheme="majorHAnsi"/>
                <w:sz w:val="20"/>
                <w:szCs w:val="20"/>
                <w:lang w:val="ro-MD"/>
              </w:rPr>
            </w:pPr>
            <w:r w:rsidRPr="00E33BAB">
              <w:rPr>
                <w:rFonts w:asciiTheme="majorHAnsi" w:hAnsiTheme="majorHAnsi" w:cstheme="majorHAnsi"/>
                <w:sz w:val="20"/>
                <w:szCs w:val="20"/>
                <w:lang w:val="ro-MD"/>
              </w:rPr>
              <w:t>100%</w:t>
            </w:r>
          </w:p>
        </w:tc>
        <w:tc>
          <w:tcPr>
            <w:tcW w:w="760" w:type="dxa"/>
          </w:tcPr>
          <w:p w14:paraId="54CB3F9B" w14:textId="77777777" w:rsidR="006127E1" w:rsidRPr="00E33BAB" w:rsidRDefault="006127E1" w:rsidP="00785360">
            <w:pPr>
              <w:jc w:val="center"/>
              <w:rPr>
                <w:rFonts w:asciiTheme="majorHAnsi" w:hAnsiTheme="majorHAnsi" w:cstheme="majorHAnsi"/>
                <w:sz w:val="20"/>
                <w:szCs w:val="20"/>
                <w:lang w:val="ro-MD"/>
              </w:rPr>
            </w:pPr>
            <w:r w:rsidRPr="00E33BAB">
              <w:rPr>
                <w:rFonts w:asciiTheme="majorHAnsi" w:hAnsiTheme="majorHAnsi" w:cstheme="majorHAnsi"/>
                <w:sz w:val="20"/>
                <w:szCs w:val="20"/>
                <w:lang w:val="ro-MD"/>
              </w:rPr>
              <w:t>100%</w:t>
            </w:r>
          </w:p>
        </w:tc>
      </w:tr>
      <w:tr w:rsidR="006127E1" w:rsidRPr="00E33BAB" w14:paraId="171A649D" w14:textId="77777777" w:rsidTr="006127E1">
        <w:trPr>
          <w:trHeight w:val="54"/>
        </w:trPr>
        <w:tc>
          <w:tcPr>
            <w:tcW w:w="4909" w:type="dxa"/>
            <w:hideMark/>
          </w:tcPr>
          <w:p w14:paraId="743D3E79" w14:textId="77777777" w:rsidR="006127E1" w:rsidRPr="00E33BAB" w:rsidRDefault="006127E1" w:rsidP="00785360">
            <w:pP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1.1.6. Vizite de studiu și instruiri</w:t>
            </w:r>
          </w:p>
        </w:tc>
        <w:tc>
          <w:tcPr>
            <w:tcW w:w="1559" w:type="dxa"/>
            <w:noWrap/>
            <w:hideMark/>
          </w:tcPr>
          <w:p w14:paraId="6C92A7B5"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hAnsiTheme="majorHAnsi" w:cstheme="majorHAnsi"/>
                <w:sz w:val="20"/>
                <w:szCs w:val="20"/>
                <w:lang w:val="ro-MD"/>
              </w:rPr>
              <w:t>20 162,69</w:t>
            </w:r>
          </w:p>
        </w:tc>
        <w:tc>
          <w:tcPr>
            <w:tcW w:w="1417" w:type="dxa"/>
          </w:tcPr>
          <w:p w14:paraId="5138BF6B"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38 154,13</w:t>
            </w:r>
          </w:p>
        </w:tc>
        <w:tc>
          <w:tcPr>
            <w:tcW w:w="1560" w:type="dxa"/>
          </w:tcPr>
          <w:p w14:paraId="09143EAC"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hAnsiTheme="majorHAnsi" w:cstheme="majorHAnsi"/>
                <w:sz w:val="20"/>
                <w:szCs w:val="20"/>
                <w:lang w:val="ro-MD"/>
              </w:rPr>
              <w:t>43 109,09</w:t>
            </w:r>
          </w:p>
        </w:tc>
        <w:tc>
          <w:tcPr>
            <w:tcW w:w="1559" w:type="dxa"/>
          </w:tcPr>
          <w:p w14:paraId="68B4F4F2"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43,158.35</w:t>
            </w:r>
          </w:p>
        </w:tc>
        <w:tc>
          <w:tcPr>
            <w:tcW w:w="992" w:type="dxa"/>
            <w:noWrap/>
            <w:hideMark/>
          </w:tcPr>
          <w:p w14:paraId="0125C50E"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100%</w:t>
            </w:r>
          </w:p>
        </w:tc>
        <w:tc>
          <w:tcPr>
            <w:tcW w:w="851" w:type="dxa"/>
          </w:tcPr>
          <w:p w14:paraId="21055519"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55%</w:t>
            </w:r>
          </w:p>
        </w:tc>
        <w:tc>
          <w:tcPr>
            <w:tcW w:w="992" w:type="dxa"/>
          </w:tcPr>
          <w:p w14:paraId="649E5D99" w14:textId="77777777" w:rsidR="006127E1" w:rsidRPr="00E33BAB" w:rsidRDefault="006127E1" w:rsidP="00785360">
            <w:pPr>
              <w:jc w:val="center"/>
              <w:rPr>
                <w:rFonts w:asciiTheme="majorHAnsi" w:hAnsiTheme="majorHAnsi" w:cstheme="majorHAnsi"/>
                <w:sz w:val="20"/>
                <w:szCs w:val="20"/>
                <w:lang w:val="ro-MD"/>
              </w:rPr>
            </w:pPr>
            <w:r w:rsidRPr="00E33BAB">
              <w:rPr>
                <w:rFonts w:asciiTheme="majorHAnsi" w:hAnsiTheme="majorHAnsi" w:cstheme="majorHAnsi"/>
                <w:sz w:val="20"/>
                <w:szCs w:val="20"/>
                <w:lang w:val="ro-MD"/>
              </w:rPr>
              <w:t>43%</w:t>
            </w:r>
          </w:p>
        </w:tc>
        <w:tc>
          <w:tcPr>
            <w:tcW w:w="760" w:type="dxa"/>
          </w:tcPr>
          <w:p w14:paraId="2A79A0CB" w14:textId="77777777" w:rsidR="006127E1" w:rsidRPr="00E33BAB" w:rsidRDefault="006127E1" w:rsidP="00785360">
            <w:pPr>
              <w:jc w:val="center"/>
              <w:rPr>
                <w:rFonts w:asciiTheme="majorHAnsi" w:hAnsiTheme="majorHAnsi" w:cstheme="majorHAnsi"/>
                <w:sz w:val="20"/>
                <w:szCs w:val="20"/>
                <w:lang w:val="ro-MD"/>
              </w:rPr>
            </w:pPr>
            <w:r w:rsidRPr="00E33BAB">
              <w:rPr>
                <w:rFonts w:asciiTheme="majorHAnsi" w:hAnsiTheme="majorHAnsi" w:cstheme="majorHAnsi"/>
                <w:sz w:val="20"/>
                <w:szCs w:val="20"/>
                <w:lang w:val="ro-MD"/>
              </w:rPr>
              <w:t>43%</w:t>
            </w:r>
          </w:p>
        </w:tc>
      </w:tr>
      <w:tr w:rsidR="006127E1" w:rsidRPr="00E33BAB" w14:paraId="687989BC" w14:textId="77777777" w:rsidTr="006127E1">
        <w:trPr>
          <w:trHeight w:val="54"/>
        </w:trPr>
        <w:tc>
          <w:tcPr>
            <w:tcW w:w="4909" w:type="dxa"/>
            <w:hideMark/>
          </w:tcPr>
          <w:p w14:paraId="6A929ED8" w14:textId="77777777" w:rsidR="006127E1" w:rsidRPr="00E33BAB" w:rsidRDefault="006127E1" w:rsidP="00785360">
            <w:pP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1.1.7. Campanii de comunicare</w:t>
            </w:r>
          </w:p>
        </w:tc>
        <w:tc>
          <w:tcPr>
            <w:tcW w:w="1559" w:type="dxa"/>
            <w:noWrap/>
            <w:hideMark/>
          </w:tcPr>
          <w:p w14:paraId="15E4AD12"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hAnsiTheme="majorHAnsi" w:cstheme="majorHAnsi"/>
                <w:sz w:val="20"/>
                <w:szCs w:val="20"/>
                <w:lang w:val="ro-MD"/>
              </w:rPr>
              <w:t>103 800,00</w:t>
            </w:r>
          </w:p>
        </w:tc>
        <w:tc>
          <w:tcPr>
            <w:tcW w:w="1417" w:type="dxa"/>
          </w:tcPr>
          <w:p w14:paraId="00D054E6"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103 800,00</w:t>
            </w:r>
          </w:p>
        </w:tc>
        <w:tc>
          <w:tcPr>
            <w:tcW w:w="1560" w:type="dxa"/>
          </w:tcPr>
          <w:p w14:paraId="5355A85C"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hAnsiTheme="majorHAnsi" w:cstheme="majorHAnsi"/>
                <w:sz w:val="20"/>
                <w:szCs w:val="20"/>
                <w:lang w:val="ro-MD"/>
              </w:rPr>
              <w:t>103 800,00</w:t>
            </w:r>
          </w:p>
        </w:tc>
        <w:tc>
          <w:tcPr>
            <w:tcW w:w="1559" w:type="dxa"/>
          </w:tcPr>
          <w:p w14:paraId="1828C318"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103,800.00</w:t>
            </w:r>
          </w:p>
        </w:tc>
        <w:tc>
          <w:tcPr>
            <w:tcW w:w="992" w:type="dxa"/>
            <w:noWrap/>
            <w:hideMark/>
          </w:tcPr>
          <w:p w14:paraId="6ED11D59"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100%</w:t>
            </w:r>
          </w:p>
        </w:tc>
        <w:tc>
          <w:tcPr>
            <w:tcW w:w="851" w:type="dxa"/>
          </w:tcPr>
          <w:p w14:paraId="675FD0EC"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100%</w:t>
            </w:r>
          </w:p>
        </w:tc>
        <w:tc>
          <w:tcPr>
            <w:tcW w:w="992" w:type="dxa"/>
          </w:tcPr>
          <w:p w14:paraId="61DED5A8" w14:textId="77777777" w:rsidR="006127E1" w:rsidRPr="00E33BAB" w:rsidRDefault="006127E1" w:rsidP="00785360">
            <w:pPr>
              <w:jc w:val="center"/>
              <w:rPr>
                <w:rFonts w:asciiTheme="majorHAnsi" w:hAnsiTheme="majorHAnsi" w:cstheme="majorHAnsi"/>
                <w:sz w:val="20"/>
                <w:szCs w:val="20"/>
                <w:lang w:val="ro-MD"/>
              </w:rPr>
            </w:pPr>
            <w:r w:rsidRPr="00E33BAB">
              <w:rPr>
                <w:rFonts w:asciiTheme="majorHAnsi" w:hAnsiTheme="majorHAnsi" w:cstheme="majorHAnsi"/>
                <w:sz w:val="20"/>
                <w:szCs w:val="20"/>
                <w:lang w:val="ro-MD"/>
              </w:rPr>
              <w:t>100%</w:t>
            </w:r>
          </w:p>
        </w:tc>
        <w:tc>
          <w:tcPr>
            <w:tcW w:w="760" w:type="dxa"/>
          </w:tcPr>
          <w:p w14:paraId="3CB78BC3" w14:textId="77777777" w:rsidR="006127E1" w:rsidRPr="00E33BAB" w:rsidRDefault="006127E1" w:rsidP="00785360">
            <w:pPr>
              <w:jc w:val="center"/>
              <w:rPr>
                <w:rFonts w:asciiTheme="majorHAnsi" w:hAnsiTheme="majorHAnsi" w:cstheme="majorHAnsi"/>
                <w:sz w:val="20"/>
                <w:szCs w:val="20"/>
                <w:lang w:val="ro-MD"/>
              </w:rPr>
            </w:pPr>
            <w:r w:rsidRPr="00E33BAB">
              <w:rPr>
                <w:rFonts w:asciiTheme="majorHAnsi" w:hAnsiTheme="majorHAnsi" w:cstheme="majorHAnsi"/>
                <w:sz w:val="20"/>
                <w:szCs w:val="20"/>
                <w:lang w:val="ro-MD"/>
              </w:rPr>
              <w:t>100%</w:t>
            </w:r>
          </w:p>
        </w:tc>
      </w:tr>
      <w:tr w:rsidR="006127E1" w:rsidRPr="00E33BAB" w14:paraId="41D55A8E" w14:textId="77777777" w:rsidTr="006127E1">
        <w:trPr>
          <w:trHeight w:val="264"/>
        </w:trPr>
        <w:tc>
          <w:tcPr>
            <w:tcW w:w="4909" w:type="dxa"/>
            <w:hideMark/>
          </w:tcPr>
          <w:p w14:paraId="19A5DF98" w14:textId="77777777" w:rsidR="006127E1" w:rsidRPr="00E33BAB" w:rsidRDefault="006127E1" w:rsidP="00785360">
            <w:pP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lastRenderedPageBreak/>
              <w:t xml:space="preserve">1.1.8. Statistica bugetului gospodăriilor casnice - Modulul de sănătate </w:t>
            </w:r>
          </w:p>
        </w:tc>
        <w:tc>
          <w:tcPr>
            <w:tcW w:w="1559" w:type="dxa"/>
            <w:noWrap/>
            <w:hideMark/>
          </w:tcPr>
          <w:p w14:paraId="0B7F8C16"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hAnsiTheme="majorHAnsi" w:cstheme="majorHAnsi"/>
                <w:bCs/>
                <w:sz w:val="20"/>
                <w:szCs w:val="20"/>
                <w:lang w:val="ro-MD"/>
              </w:rPr>
              <w:t>22 655,59</w:t>
            </w:r>
          </w:p>
        </w:tc>
        <w:tc>
          <w:tcPr>
            <w:tcW w:w="1417" w:type="dxa"/>
          </w:tcPr>
          <w:p w14:paraId="372DCE82"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22 655,59</w:t>
            </w:r>
          </w:p>
        </w:tc>
        <w:tc>
          <w:tcPr>
            <w:tcW w:w="1560" w:type="dxa"/>
          </w:tcPr>
          <w:p w14:paraId="735812A3"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hAnsiTheme="majorHAnsi" w:cstheme="majorHAnsi"/>
                <w:sz w:val="20"/>
                <w:szCs w:val="20"/>
                <w:lang w:val="ro-MD"/>
              </w:rPr>
              <w:t>22 655,59</w:t>
            </w:r>
          </w:p>
        </w:tc>
        <w:tc>
          <w:tcPr>
            <w:tcW w:w="1559" w:type="dxa"/>
          </w:tcPr>
          <w:p w14:paraId="14CFE703"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22,655.59</w:t>
            </w:r>
          </w:p>
        </w:tc>
        <w:tc>
          <w:tcPr>
            <w:tcW w:w="992" w:type="dxa"/>
            <w:noWrap/>
            <w:hideMark/>
          </w:tcPr>
          <w:p w14:paraId="06DE11DE"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73%</w:t>
            </w:r>
          </w:p>
        </w:tc>
        <w:tc>
          <w:tcPr>
            <w:tcW w:w="851" w:type="dxa"/>
          </w:tcPr>
          <w:p w14:paraId="106038D5"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73%</w:t>
            </w:r>
          </w:p>
        </w:tc>
        <w:tc>
          <w:tcPr>
            <w:tcW w:w="992" w:type="dxa"/>
          </w:tcPr>
          <w:p w14:paraId="56710C48" w14:textId="77777777" w:rsidR="006127E1" w:rsidRPr="00E33BAB" w:rsidRDefault="006127E1" w:rsidP="00785360">
            <w:pPr>
              <w:jc w:val="center"/>
              <w:rPr>
                <w:rFonts w:asciiTheme="majorHAnsi" w:hAnsiTheme="majorHAnsi" w:cstheme="majorHAnsi"/>
                <w:sz w:val="20"/>
                <w:szCs w:val="20"/>
                <w:lang w:val="ro-MD"/>
              </w:rPr>
            </w:pPr>
            <w:r w:rsidRPr="00E33BAB">
              <w:rPr>
                <w:rFonts w:asciiTheme="majorHAnsi" w:hAnsiTheme="majorHAnsi" w:cstheme="majorHAnsi"/>
                <w:sz w:val="20"/>
                <w:szCs w:val="20"/>
                <w:lang w:val="ro-MD"/>
              </w:rPr>
              <w:t>37%</w:t>
            </w:r>
          </w:p>
        </w:tc>
        <w:tc>
          <w:tcPr>
            <w:tcW w:w="760" w:type="dxa"/>
          </w:tcPr>
          <w:p w14:paraId="49F11C3E" w14:textId="77777777" w:rsidR="006127E1" w:rsidRPr="00E33BAB" w:rsidRDefault="006127E1" w:rsidP="00785360">
            <w:pPr>
              <w:jc w:val="center"/>
              <w:rPr>
                <w:rFonts w:asciiTheme="majorHAnsi" w:hAnsiTheme="majorHAnsi" w:cstheme="majorHAnsi"/>
                <w:sz w:val="20"/>
                <w:szCs w:val="20"/>
                <w:lang w:val="ro-MD"/>
              </w:rPr>
            </w:pPr>
            <w:r w:rsidRPr="00E33BAB">
              <w:rPr>
                <w:rFonts w:asciiTheme="majorHAnsi" w:hAnsiTheme="majorHAnsi" w:cstheme="majorHAnsi"/>
                <w:sz w:val="20"/>
                <w:szCs w:val="20"/>
                <w:lang w:val="ro-MD"/>
              </w:rPr>
              <w:t>37%</w:t>
            </w:r>
          </w:p>
        </w:tc>
      </w:tr>
      <w:tr w:rsidR="006127E1" w:rsidRPr="00E33BAB" w14:paraId="5DE8D0F7" w14:textId="77777777" w:rsidTr="006127E1">
        <w:trPr>
          <w:trHeight w:val="268"/>
        </w:trPr>
        <w:tc>
          <w:tcPr>
            <w:tcW w:w="4909" w:type="dxa"/>
            <w:hideMark/>
          </w:tcPr>
          <w:p w14:paraId="30FFBFDF" w14:textId="77777777" w:rsidR="006127E1" w:rsidRPr="00E33BAB" w:rsidRDefault="006127E1" w:rsidP="00785360">
            <w:pP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 xml:space="preserve">1.1.9. Asistență tehnică pentru evaluarea Sistemului Informațional Automatizat „Asistența Medicală Primară” (AIS PHC) </w:t>
            </w:r>
          </w:p>
        </w:tc>
        <w:tc>
          <w:tcPr>
            <w:tcW w:w="1559" w:type="dxa"/>
            <w:noWrap/>
            <w:hideMark/>
          </w:tcPr>
          <w:p w14:paraId="5E709006"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27 203,13</w:t>
            </w:r>
          </w:p>
        </w:tc>
        <w:tc>
          <w:tcPr>
            <w:tcW w:w="1417" w:type="dxa"/>
          </w:tcPr>
          <w:p w14:paraId="1F5210FF"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27 203,13</w:t>
            </w:r>
          </w:p>
        </w:tc>
        <w:tc>
          <w:tcPr>
            <w:tcW w:w="1560" w:type="dxa"/>
          </w:tcPr>
          <w:p w14:paraId="2A62BFCF"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27 203,13</w:t>
            </w:r>
          </w:p>
        </w:tc>
        <w:tc>
          <w:tcPr>
            <w:tcW w:w="1559" w:type="dxa"/>
          </w:tcPr>
          <w:p w14:paraId="29653261"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27,203.13</w:t>
            </w:r>
          </w:p>
        </w:tc>
        <w:tc>
          <w:tcPr>
            <w:tcW w:w="992" w:type="dxa"/>
            <w:noWrap/>
            <w:hideMark/>
          </w:tcPr>
          <w:p w14:paraId="2A4A8656"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100%</w:t>
            </w:r>
          </w:p>
        </w:tc>
        <w:tc>
          <w:tcPr>
            <w:tcW w:w="851" w:type="dxa"/>
          </w:tcPr>
          <w:p w14:paraId="08105595"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100%</w:t>
            </w:r>
          </w:p>
        </w:tc>
        <w:tc>
          <w:tcPr>
            <w:tcW w:w="992" w:type="dxa"/>
          </w:tcPr>
          <w:p w14:paraId="75AFDB6A" w14:textId="77777777" w:rsidR="006127E1" w:rsidRPr="00E33BAB" w:rsidRDefault="006127E1" w:rsidP="00785360">
            <w:pPr>
              <w:jc w:val="center"/>
              <w:rPr>
                <w:rFonts w:asciiTheme="majorHAnsi" w:hAnsiTheme="majorHAnsi" w:cstheme="majorHAnsi"/>
                <w:sz w:val="20"/>
                <w:szCs w:val="20"/>
                <w:lang w:val="ro-MD"/>
              </w:rPr>
            </w:pPr>
            <w:r w:rsidRPr="00E33BAB">
              <w:rPr>
                <w:rFonts w:asciiTheme="majorHAnsi" w:hAnsiTheme="majorHAnsi" w:cstheme="majorHAnsi"/>
                <w:sz w:val="20"/>
                <w:szCs w:val="20"/>
                <w:lang w:val="ro-MD"/>
              </w:rPr>
              <w:t>100%</w:t>
            </w:r>
          </w:p>
        </w:tc>
        <w:tc>
          <w:tcPr>
            <w:tcW w:w="760" w:type="dxa"/>
          </w:tcPr>
          <w:p w14:paraId="76816ABD" w14:textId="77777777" w:rsidR="006127E1" w:rsidRPr="00E33BAB" w:rsidRDefault="006127E1" w:rsidP="00785360">
            <w:pPr>
              <w:jc w:val="center"/>
              <w:rPr>
                <w:rFonts w:asciiTheme="majorHAnsi" w:hAnsiTheme="majorHAnsi" w:cstheme="majorHAnsi"/>
                <w:sz w:val="20"/>
                <w:szCs w:val="20"/>
                <w:lang w:val="ro-MD"/>
              </w:rPr>
            </w:pPr>
            <w:r w:rsidRPr="00E33BAB">
              <w:rPr>
                <w:rFonts w:asciiTheme="majorHAnsi" w:hAnsiTheme="majorHAnsi" w:cstheme="majorHAnsi"/>
                <w:sz w:val="20"/>
                <w:szCs w:val="20"/>
                <w:lang w:val="ro-MD"/>
              </w:rPr>
              <w:t>100%</w:t>
            </w:r>
          </w:p>
        </w:tc>
      </w:tr>
      <w:tr w:rsidR="006127E1" w:rsidRPr="00E33BAB" w14:paraId="180EBCE5" w14:textId="77777777" w:rsidTr="006127E1">
        <w:trPr>
          <w:trHeight w:val="363"/>
        </w:trPr>
        <w:tc>
          <w:tcPr>
            <w:tcW w:w="4909" w:type="dxa"/>
          </w:tcPr>
          <w:p w14:paraId="47A57AC2" w14:textId="77777777" w:rsidR="006127E1" w:rsidRPr="00E33BAB" w:rsidRDefault="006127E1" w:rsidP="00785360">
            <w:pP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 xml:space="preserve">1.1.9.a) Coordonator de Proiect AIS PHC </w:t>
            </w:r>
          </w:p>
          <w:p w14:paraId="326334F3" w14:textId="77777777" w:rsidR="006127E1" w:rsidRPr="00E33BAB" w:rsidRDefault="006127E1" w:rsidP="00785360">
            <w:pPr>
              <w:rPr>
                <w:rFonts w:asciiTheme="majorHAnsi" w:eastAsia="Times New Roman" w:hAnsiTheme="majorHAnsi" w:cstheme="majorHAnsi"/>
                <w:sz w:val="20"/>
                <w:szCs w:val="20"/>
                <w:lang w:val="ro-MD"/>
              </w:rPr>
            </w:pPr>
          </w:p>
        </w:tc>
        <w:tc>
          <w:tcPr>
            <w:tcW w:w="1559" w:type="dxa"/>
            <w:noWrap/>
          </w:tcPr>
          <w:p w14:paraId="22F32B44"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7 658,14</w:t>
            </w:r>
          </w:p>
        </w:tc>
        <w:tc>
          <w:tcPr>
            <w:tcW w:w="1417" w:type="dxa"/>
          </w:tcPr>
          <w:p w14:paraId="65CF9323"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7 658,14</w:t>
            </w:r>
          </w:p>
        </w:tc>
        <w:tc>
          <w:tcPr>
            <w:tcW w:w="1560" w:type="dxa"/>
          </w:tcPr>
          <w:p w14:paraId="674C91D6"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hAnsiTheme="majorHAnsi" w:cstheme="majorHAnsi"/>
                <w:sz w:val="20"/>
                <w:szCs w:val="20"/>
                <w:lang w:val="ro-MD"/>
              </w:rPr>
              <w:t>7 658,14</w:t>
            </w:r>
          </w:p>
        </w:tc>
        <w:tc>
          <w:tcPr>
            <w:tcW w:w="1559" w:type="dxa"/>
          </w:tcPr>
          <w:p w14:paraId="7F839CB3"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7 658,14</w:t>
            </w:r>
          </w:p>
        </w:tc>
        <w:tc>
          <w:tcPr>
            <w:tcW w:w="992" w:type="dxa"/>
            <w:noWrap/>
          </w:tcPr>
          <w:p w14:paraId="771F76AF"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63%</w:t>
            </w:r>
          </w:p>
        </w:tc>
        <w:tc>
          <w:tcPr>
            <w:tcW w:w="851" w:type="dxa"/>
          </w:tcPr>
          <w:p w14:paraId="0D191AED"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100%</w:t>
            </w:r>
          </w:p>
        </w:tc>
        <w:tc>
          <w:tcPr>
            <w:tcW w:w="992" w:type="dxa"/>
          </w:tcPr>
          <w:p w14:paraId="172AB99C" w14:textId="77777777" w:rsidR="006127E1" w:rsidRPr="00E33BAB" w:rsidRDefault="006127E1" w:rsidP="00785360">
            <w:pPr>
              <w:jc w:val="center"/>
              <w:rPr>
                <w:rFonts w:asciiTheme="majorHAnsi" w:hAnsiTheme="majorHAnsi" w:cstheme="majorHAnsi"/>
                <w:sz w:val="20"/>
                <w:szCs w:val="20"/>
                <w:lang w:val="ro-MD"/>
              </w:rPr>
            </w:pPr>
            <w:r w:rsidRPr="00E33BAB">
              <w:rPr>
                <w:rFonts w:asciiTheme="majorHAnsi" w:hAnsiTheme="majorHAnsi" w:cstheme="majorHAnsi"/>
                <w:sz w:val="20"/>
                <w:szCs w:val="20"/>
                <w:lang w:val="ro-MD"/>
              </w:rPr>
              <w:t>100%</w:t>
            </w:r>
          </w:p>
        </w:tc>
        <w:tc>
          <w:tcPr>
            <w:tcW w:w="760" w:type="dxa"/>
          </w:tcPr>
          <w:p w14:paraId="5D1F6266" w14:textId="77777777" w:rsidR="006127E1" w:rsidRPr="00E33BAB" w:rsidRDefault="006127E1" w:rsidP="00785360">
            <w:pPr>
              <w:jc w:val="center"/>
              <w:rPr>
                <w:rFonts w:asciiTheme="majorHAnsi" w:hAnsiTheme="majorHAnsi" w:cstheme="majorHAnsi"/>
                <w:sz w:val="20"/>
                <w:szCs w:val="20"/>
                <w:lang w:val="ro-MD"/>
              </w:rPr>
            </w:pPr>
            <w:r w:rsidRPr="00E33BAB">
              <w:rPr>
                <w:rFonts w:asciiTheme="majorHAnsi" w:hAnsiTheme="majorHAnsi" w:cstheme="majorHAnsi"/>
                <w:sz w:val="20"/>
                <w:szCs w:val="20"/>
                <w:lang w:val="ro-MD"/>
              </w:rPr>
              <w:t>100%</w:t>
            </w:r>
          </w:p>
        </w:tc>
      </w:tr>
      <w:tr w:rsidR="006127E1" w:rsidRPr="00E33BAB" w14:paraId="6596600A" w14:textId="77777777" w:rsidTr="006127E1">
        <w:trPr>
          <w:trHeight w:val="363"/>
        </w:trPr>
        <w:tc>
          <w:tcPr>
            <w:tcW w:w="4909" w:type="dxa"/>
          </w:tcPr>
          <w:p w14:paraId="08716EDE" w14:textId="77777777" w:rsidR="006127E1" w:rsidRPr="00E33BAB" w:rsidRDefault="006127E1" w:rsidP="00785360">
            <w:pP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1.1.9.b) Coordonator de Proiect AIS PHC</w:t>
            </w:r>
          </w:p>
        </w:tc>
        <w:tc>
          <w:tcPr>
            <w:tcW w:w="1559" w:type="dxa"/>
            <w:noWrap/>
          </w:tcPr>
          <w:p w14:paraId="02B6EDAE"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0,00</w:t>
            </w:r>
          </w:p>
        </w:tc>
        <w:tc>
          <w:tcPr>
            <w:tcW w:w="1417" w:type="dxa"/>
          </w:tcPr>
          <w:p w14:paraId="3EC8D413"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12 554,28</w:t>
            </w:r>
          </w:p>
        </w:tc>
        <w:tc>
          <w:tcPr>
            <w:tcW w:w="1560" w:type="dxa"/>
          </w:tcPr>
          <w:p w14:paraId="397CA8A8" w14:textId="77777777" w:rsidR="006127E1" w:rsidRPr="00E33BAB" w:rsidDel="000444D4" w:rsidRDefault="006127E1" w:rsidP="00785360">
            <w:pPr>
              <w:jc w:val="center"/>
              <w:rPr>
                <w:rFonts w:asciiTheme="majorHAnsi" w:hAnsiTheme="majorHAnsi" w:cstheme="majorHAnsi"/>
                <w:sz w:val="20"/>
                <w:szCs w:val="20"/>
                <w:lang w:val="ro-MD"/>
              </w:rPr>
            </w:pPr>
            <w:r w:rsidRPr="00E33BAB">
              <w:rPr>
                <w:rFonts w:asciiTheme="majorHAnsi" w:hAnsiTheme="majorHAnsi" w:cstheme="majorHAnsi"/>
                <w:sz w:val="20"/>
                <w:szCs w:val="20"/>
                <w:lang w:val="ro-MD"/>
              </w:rPr>
              <w:t>55 794,35</w:t>
            </w:r>
          </w:p>
        </w:tc>
        <w:tc>
          <w:tcPr>
            <w:tcW w:w="1559" w:type="dxa"/>
          </w:tcPr>
          <w:p w14:paraId="7E5F1802"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103 321,77</w:t>
            </w:r>
          </w:p>
        </w:tc>
        <w:tc>
          <w:tcPr>
            <w:tcW w:w="992" w:type="dxa"/>
            <w:noWrap/>
          </w:tcPr>
          <w:p w14:paraId="212902E8" w14:textId="77777777" w:rsidR="006127E1" w:rsidRPr="00E33BAB" w:rsidRDefault="006127E1" w:rsidP="00785360">
            <w:pPr>
              <w:jc w:val="center"/>
              <w:rPr>
                <w:rFonts w:asciiTheme="majorHAnsi" w:eastAsia="Times New Roman" w:hAnsiTheme="majorHAnsi" w:cstheme="majorHAnsi"/>
                <w:sz w:val="20"/>
                <w:szCs w:val="20"/>
                <w:lang w:val="ro-MD"/>
              </w:rPr>
            </w:pPr>
          </w:p>
        </w:tc>
        <w:tc>
          <w:tcPr>
            <w:tcW w:w="851" w:type="dxa"/>
          </w:tcPr>
          <w:p w14:paraId="3D6153A0"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50%</w:t>
            </w:r>
          </w:p>
        </w:tc>
        <w:tc>
          <w:tcPr>
            <w:tcW w:w="992" w:type="dxa"/>
          </w:tcPr>
          <w:p w14:paraId="59D1F6B1" w14:textId="77777777" w:rsidR="006127E1" w:rsidRPr="00E33BAB" w:rsidRDefault="006127E1" w:rsidP="00785360">
            <w:pPr>
              <w:jc w:val="center"/>
              <w:rPr>
                <w:rFonts w:asciiTheme="majorHAnsi" w:hAnsiTheme="majorHAnsi" w:cstheme="majorHAnsi"/>
                <w:sz w:val="20"/>
                <w:szCs w:val="20"/>
                <w:lang w:val="ro-MD"/>
              </w:rPr>
            </w:pPr>
            <w:r w:rsidRPr="00E33BAB">
              <w:rPr>
                <w:rFonts w:asciiTheme="majorHAnsi" w:hAnsiTheme="majorHAnsi" w:cstheme="majorHAnsi"/>
                <w:sz w:val="20"/>
                <w:szCs w:val="20"/>
                <w:lang w:val="ro-MD"/>
              </w:rPr>
              <w:t>49%</w:t>
            </w:r>
          </w:p>
        </w:tc>
        <w:tc>
          <w:tcPr>
            <w:tcW w:w="760" w:type="dxa"/>
          </w:tcPr>
          <w:p w14:paraId="66F1CEC6" w14:textId="77777777" w:rsidR="006127E1" w:rsidRPr="00E33BAB" w:rsidRDefault="006127E1" w:rsidP="00785360">
            <w:pPr>
              <w:jc w:val="center"/>
              <w:rPr>
                <w:rFonts w:asciiTheme="majorHAnsi" w:hAnsiTheme="majorHAnsi" w:cstheme="majorHAnsi"/>
                <w:sz w:val="20"/>
                <w:szCs w:val="20"/>
                <w:lang w:val="ro-MD"/>
              </w:rPr>
            </w:pPr>
            <w:r w:rsidRPr="00E33BAB">
              <w:rPr>
                <w:rFonts w:asciiTheme="majorHAnsi" w:hAnsiTheme="majorHAnsi" w:cstheme="majorHAnsi"/>
                <w:sz w:val="20"/>
                <w:szCs w:val="20"/>
                <w:lang w:val="ro-MD"/>
              </w:rPr>
              <w:t>90%</w:t>
            </w:r>
          </w:p>
        </w:tc>
      </w:tr>
      <w:tr w:rsidR="006127E1" w:rsidRPr="00E33BAB" w14:paraId="45E67F24" w14:textId="77777777" w:rsidTr="006127E1">
        <w:trPr>
          <w:trHeight w:val="238"/>
        </w:trPr>
        <w:tc>
          <w:tcPr>
            <w:tcW w:w="4909" w:type="dxa"/>
          </w:tcPr>
          <w:p w14:paraId="54EF3EDE" w14:textId="77777777" w:rsidR="006127E1" w:rsidRPr="00E33BAB" w:rsidRDefault="006127E1" w:rsidP="00785360">
            <w:pP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 xml:space="preserve">1.1.10. Asistență tehnică internațională pentru revizuirea și actualizarea costurilor necesare investiției în infrastructura spitalelor din Republica Moldova </w:t>
            </w:r>
          </w:p>
        </w:tc>
        <w:tc>
          <w:tcPr>
            <w:tcW w:w="1559" w:type="dxa"/>
            <w:noWrap/>
          </w:tcPr>
          <w:p w14:paraId="794B9F50"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8 033,18</w:t>
            </w:r>
          </w:p>
        </w:tc>
        <w:tc>
          <w:tcPr>
            <w:tcW w:w="1417" w:type="dxa"/>
          </w:tcPr>
          <w:p w14:paraId="652BCA01"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82 198,08</w:t>
            </w:r>
          </w:p>
        </w:tc>
        <w:tc>
          <w:tcPr>
            <w:tcW w:w="1560" w:type="dxa"/>
          </w:tcPr>
          <w:p w14:paraId="5BF171A3"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hAnsiTheme="majorHAnsi" w:cstheme="majorHAnsi"/>
                <w:sz w:val="20"/>
                <w:szCs w:val="20"/>
                <w:lang w:val="ro-MD"/>
              </w:rPr>
              <w:t>82 198,08</w:t>
            </w:r>
          </w:p>
        </w:tc>
        <w:tc>
          <w:tcPr>
            <w:tcW w:w="1559" w:type="dxa"/>
          </w:tcPr>
          <w:p w14:paraId="58A15BEC"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82 198,08</w:t>
            </w:r>
          </w:p>
        </w:tc>
        <w:tc>
          <w:tcPr>
            <w:tcW w:w="992" w:type="dxa"/>
            <w:noWrap/>
          </w:tcPr>
          <w:p w14:paraId="4150412E"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23%</w:t>
            </w:r>
          </w:p>
        </w:tc>
        <w:tc>
          <w:tcPr>
            <w:tcW w:w="851" w:type="dxa"/>
          </w:tcPr>
          <w:p w14:paraId="3EE15063"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100</w:t>
            </w:r>
          </w:p>
        </w:tc>
        <w:tc>
          <w:tcPr>
            <w:tcW w:w="992" w:type="dxa"/>
          </w:tcPr>
          <w:p w14:paraId="64D5B52A" w14:textId="77777777" w:rsidR="006127E1" w:rsidRPr="00E33BAB" w:rsidRDefault="006127E1" w:rsidP="00785360">
            <w:pPr>
              <w:jc w:val="center"/>
              <w:rPr>
                <w:rFonts w:asciiTheme="majorHAnsi" w:hAnsiTheme="majorHAnsi" w:cstheme="majorHAnsi"/>
                <w:sz w:val="20"/>
                <w:szCs w:val="20"/>
                <w:lang w:val="ro-MD"/>
              </w:rPr>
            </w:pPr>
            <w:r w:rsidRPr="00E33BAB">
              <w:rPr>
                <w:rFonts w:asciiTheme="majorHAnsi" w:hAnsiTheme="majorHAnsi" w:cstheme="majorHAnsi"/>
                <w:sz w:val="20"/>
                <w:szCs w:val="20"/>
                <w:lang w:val="ro-MD"/>
              </w:rPr>
              <w:t>98%</w:t>
            </w:r>
          </w:p>
        </w:tc>
        <w:tc>
          <w:tcPr>
            <w:tcW w:w="760" w:type="dxa"/>
          </w:tcPr>
          <w:p w14:paraId="7593E5DE" w14:textId="77777777" w:rsidR="006127E1" w:rsidRPr="00E33BAB" w:rsidRDefault="006127E1" w:rsidP="00785360">
            <w:pPr>
              <w:jc w:val="center"/>
              <w:rPr>
                <w:rFonts w:asciiTheme="majorHAnsi" w:hAnsiTheme="majorHAnsi" w:cstheme="majorHAnsi"/>
                <w:sz w:val="20"/>
                <w:szCs w:val="20"/>
                <w:lang w:val="ro-MD"/>
              </w:rPr>
            </w:pPr>
            <w:r w:rsidRPr="00E33BAB">
              <w:rPr>
                <w:rFonts w:asciiTheme="majorHAnsi" w:hAnsiTheme="majorHAnsi" w:cstheme="majorHAnsi"/>
                <w:sz w:val="20"/>
                <w:szCs w:val="20"/>
                <w:lang w:val="ro-MD"/>
              </w:rPr>
              <w:t>98%</w:t>
            </w:r>
          </w:p>
        </w:tc>
      </w:tr>
      <w:tr w:rsidR="006127E1" w:rsidRPr="00E33BAB" w14:paraId="354738A5" w14:textId="77777777" w:rsidTr="006127E1">
        <w:trPr>
          <w:trHeight w:val="351"/>
        </w:trPr>
        <w:tc>
          <w:tcPr>
            <w:tcW w:w="4909" w:type="dxa"/>
          </w:tcPr>
          <w:p w14:paraId="36A86DE8" w14:textId="77777777" w:rsidR="006127E1" w:rsidRPr="00E33BAB" w:rsidRDefault="006127E1" w:rsidP="00785360">
            <w:pP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1.1.11. Asistență tehnică internațională pentru revizuirea și actualizarea echipamentelor și dispozitivelor medicale de cost necesare pentru a investi în sectorul spitalicesc al Republicii Moldova</w:t>
            </w:r>
          </w:p>
        </w:tc>
        <w:tc>
          <w:tcPr>
            <w:tcW w:w="1559" w:type="dxa"/>
            <w:noWrap/>
          </w:tcPr>
          <w:p w14:paraId="768D3159"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0,00</w:t>
            </w:r>
          </w:p>
        </w:tc>
        <w:tc>
          <w:tcPr>
            <w:tcW w:w="1417" w:type="dxa"/>
          </w:tcPr>
          <w:p w14:paraId="21AB1BE5"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0,00</w:t>
            </w:r>
          </w:p>
        </w:tc>
        <w:tc>
          <w:tcPr>
            <w:tcW w:w="1560" w:type="dxa"/>
          </w:tcPr>
          <w:p w14:paraId="3C59DDB5"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hAnsiTheme="majorHAnsi" w:cstheme="majorHAnsi"/>
                <w:sz w:val="20"/>
                <w:szCs w:val="20"/>
                <w:lang w:val="ro-MD"/>
              </w:rPr>
              <w:t>0,00</w:t>
            </w:r>
          </w:p>
        </w:tc>
        <w:tc>
          <w:tcPr>
            <w:tcW w:w="1559" w:type="dxa"/>
          </w:tcPr>
          <w:p w14:paraId="5E9B4776"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38 450,00</w:t>
            </w:r>
          </w:p>
        </w:tc>
        <w:tc>
          <w:tcPr>
            <w:tcW w:w="992" w:type="dxa"/>
            <w:noWrap/>
          </w:tcPr>
          <w:p w14:paraId="06116A7D"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0%</w:t>
            </w:r>
          </w:p>
        </w:tc>
        <w:tc>
          <w:tcPr>
            <w:tcW w:w="851" w:type="dxa"/>
          </w:tcPr>
          <w:p w14:paraId="652EF11C"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0,0</w:t>
            </w:r>
          </w:p>
        </w:tc>
        <w:tc>
          <w:tcPr>
            <w:tcW w:w="992" w:type="dxa"/>
          </w:tcPr>
          <w:p w14:paraId="54E4A5BF" w14:textId="77777777" w:rsidR="006127E1" w:rsidRPr="00E33BAB" w:rsidRDefault="006127E1" w:rsidP="00785360">
            <w:pPr>
              <w:jc w:val="center"/>
              <w:rPr>
                <w:rFonts w:asciiTheme="majorHAnsi" w:hAnsiTheme="majorHAnsi" w:cstheme="majorHAnsi"/>
                <w:sz w:val="20"/>
                <w:szCs w:val="20"/>
                <w:lang w:val="ro-MD"/>
              </w:rPr>
            </w:pPr>
            <w:r w:rsidRPr="00E33BAB">
              <w:rPr>
                <w:rFonts w:asciiTheme="majorHAnsi" w:hAnsiTheme="majorHAnsi" w:cstheme="majorHAnsi"/>
                <w:sz w:val="20"/>
                <w:szCs w:val="20"/>
                <w:lang w:val="ro-MD"/>
              </w:rPr>
              <w:t>0%</w:t>
            </w:r>
          </w:p>
        </w:tc>
        <w:tc>
          <w:tcPr>
            <w:tcW w:w="760" w:type="dxa"/>
          </w:tcPr>
          <w:p w14:paraId="62B783C6" w14:textId="77777777" w:rsidR="006127E1" w:rsidRPr="00E33BAB" w:rsidRDefault="006127E1" w:rsidP="00785360">
            <w:pPr>
              <w:jc w:val="center"/>
              <w:rPr>
                <w:rFonts w:asciiTheme="majorHAnsi" w:hAnsiTheme="majorHAnsi" w:cstheme="majorHAnsi"/>
                <w:sz w:val="20"/>
                <w:szCs w:val="20"/>
                <w:lang w:val="ro-MD"/>
              </w:rPr>
            </w:pPr>
            <w:r w:rsidRPr="00E33BAB">
              <w:rPr>
                <w:rFonts w:asciiTheme="majorHAnsi" w:hAnsiTheme="majorHAnsi" w:cstheme="majorHAnsi"/>
                <w:sz w:val="20"/>
                <w:szCs w:val="20"/>
                <w:lang w:val="ro-MD"/>
              </w:rPr>
              <w:t>100%</w:t>
            </w:r>
          </w:p>
        </w:tc>
      </w:tr>
      <w:tr w:rsidR="006127E1" w:rsidRPr="00E33BAB" w14:paraId="15B26CED" w14:textId="77777777" w:rsidTr="006127E1">
        <w:trPr>
          <w:trHeight w:val="264"/>
        </w:trPr>
        <w:tc>
          <w:tcPr>
            <w:tcW w:w="4909" w:type="dxa"/>
            <w:noWrap/>
            <w:hideMark/>
          </w:tcPr>
          <w:p w14:paraId="0854D322" w14:textId="77777777" w:rsidR="006127E1" w:rsidRPr="00E33BAB" w:rsidRDefault="006127E1" w:rsidP="00785360">
            <w:pP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 xml:space="preserve">Activități subtotale de asistență tehnică </w:t>
            </w:r>
          </w:p>
        </w:tc>
        <w:tc>
          <w:tcPr>
            <w:tcW w:w="1559" w:type="dxa"/>
            <w:noWrap/>
            <w:hideMark/>
          </w:tcPr>
          <w:p w14:paraId="393473E1" w14:textId="77777777" w:rsidR="006127E1" w:rsidRPr="00E33BAB" w:rsidRDefault="006127E1" w:rsidP="00785360">
            <w:pPr>
              <w:jc w:val="center"/>
              <w:rPr>
                <w:rFonts w:asciiTheme="majorHAnsi" w:hAnsiTheme="majorHAnsi" w:cstheme="majorHAnsi"/>
                <w:b/>
                <w:sz w:val="20"/>
                <w:szCs w:val="20"/>
                <w:lang w:val="ro-MD"/>
              </w:rPr>
            </w:pPr>
            <w:r w:rsidRPr="00E33BAB">
              <w:rPr>
                <w:rFonts w:asciiTheme="majorHAnsi" w:hAnsiTheme="majorHAnsi" w:cstheme="majorHAnsi"/>
                <w:b/>
                <w:sz w:val="20"/>
                <w:szCs w:val="20"/>
                <w:lang w:val="ro-MD"/>
              </w:rPr>
              <w:t>520 628,81</w:t>
            </w:r>
          </w:p>
        </w:tc>
        <w:tc>
          <w:tcPr>
            <w:tcW w:w="1417" w:type="dxa"/>
          </w:tcPr>
          <w:p w14:paraId="2C4E3EE1" w14:textId="77777777" w:rsidR="006127E1" w:rsidRPr="00E33BAB" w:rsidRDefault="006127E1" w:rsidP="00785360">
            <w:pPr>
              <w:jc w:val="center"/>
              <w:rPr>
                <w:rFonts w:asciiTheme="majorHAnsi" w:hAnsiTheme="majorHAnsi" w:cstheme="majorHAnsi"/>
                <w:b/>
                <w:sz w:val="20"/>
                <w:szCs w:val="20"/>
                <w:lang w:val="ro-MD"/>
              </w:rPr>
            </w:pPr>
            <w:r w:rsidRPr="00E33BAB">
              <w:rPr>
                <w:rFonts w:asciiTheme="majorHAnsi" w:hAnsiTheme="majorHAnsi" w:cstheme="majorHAnsi"/>
                <w:b/>
                <w:sz w:val="20"/>
                <w:szCs w:val="20"/>
                <w:lang w:val="ro-MD"/>
              </w:rPr>
              <w:t>816 594,14</w:t>
            </w:r>
          </w:p>
        </w:tc>
        <w:tc>
          <w:tcPr>
            <w:tcW w:w="1560" w:type="dxa"/>
          </w:tcPr>
          <w:p w14:paraId="50CF03CC" w14:textId="77777777" w:rsidR="006127E1" w:rsidRPr="00E33BAB" w:rsidRDefault="006127E1" w:rsidP="00785360">
            <w:pPr>
              <w:jc w:val="center"/>
              <w:rPr>
                <w:rFonts w:asciiTheme="majorHAnsi" w:eastAsia="Times New Roman" w:hAnsiTheme="majorHAnsi" w:cstheme="majorHAnsi"/>
                <w:b/>
                <w:bCs/>
                <w:sz w:val="20"/>
                <w:szCs w:val="20"/>
                <w:lang w:val="ro-MD"/>
              </w:rPr>
            </w:pPr>
            <w:r w:rsidRPr="00E33BAB">
              <w:rPr>
                <w:rFonts w:asciiTheme="majorHAnsi" w:hAnsiTheme="majorHAnsi" w:cstheme="majorHAnsi"/>
                <w:b/>
                <w:sz w:val="20"/>
                <w:szCs w:val="20"/>
                <w:lang w:val="ro-MD"/>
              </w:rPr>
              <w:t>1 347 243,00</w:t>
            </w:r>
          </w:p>
        </w:tc>
        <w:tc>
          <w:tcPr>
            <w:tcW w:w="1559" w:type="dxa"/>
          </w:tcPr>
          <w:p w14:paraId="30D17C95" w14:textId="77777777" w:rsidR="006127E1" w:rsidRPr="00E33BAB" w:rsidRDefault="006127E1" w:rsidP="00785360">
            <w:pPr>
              <w:jc w:val="cente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1 433 270,28</w:t>
            </w:r>
          </w:p>
        </w:tc>
        <w:tc>
          <w:tcPr>
            <w:tcW w:w="992" w:type="dxa"/>
            <w:noWrap/>
            <w:hideMark/>
          </w:tcPr>
          <w:p w14:paraId="6FA520F0" w14:textId="77777777" w:rsidR="006127E1" w:rsidRPr="00E33BAB" w:rsidRDefault="006127E1" w:rsidP="00785360">
            <w:pPr>
              <w:jc w:val="cente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30%</w:t>
            </w:r>
          </w:p>
        </w:tc>
        <w:tc>
          <w:tcPr>
            <w:tcW w:w="851" w:type="dxa"/>
          </w:tcPr>
          <w:p w14:paraId="2CED9BF6" w14:textId="77777777" w:rsidR="006127E1" w:rsidRPr="00E33BAB" w:rsidRDefault="006127E1" w:rsidP="00785360">
            <w:pPr>
              <w:jc w:val="cente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52,0%</w:t>
            </w:r>
          </w:p>
        </w:tc>
        <w:tc>
          <w:tcPr>
            <w:tcW w:w="992" w:type="dxa"/>
          </w:tcPr>
          <w:p w14:paraId="3285011D" w14:textId="77777777" w:rsidR="006127E1" w:rsidRPr="00E33BAB" w:rsidRDefault="006127E1" w:rsidP="00785360">
            <w:pPr>
              <w:jc w:val="center"/>
              <w:rPr>
                <w:rFonts w:asciiTheme="majorHAnsi" w:hAnsiTheme="majorHAnsi" w:cstheme="majorHAnsi"/>
                <w:b/>
                <w:sz w:val="20"/>
                <w:szCs w:val="20"/>
                <w:lang w:val="ro-MD"/>
              </w:rPr>
            </w:pPr>
            <w:r w:rsidRPr="00E33BAB">
              <w:rPr>
                <w:rFonts w:asciiTheme="majorHAnsi" w:hAnsiTheme="majorHAnsi" w:cstheme="majorHAnsi"/>
                <w:b/>
                <w:sz w:val="20"/>
                <w:szCs w:val="20"/>
                <w:lang w:val="ro-MD"/>
              </w:rPr>
              <w:t>82%</w:t>
            </w:r>
          </w:p>
        </w:tc>
        <w:tc>
          <w:tcPr>
            <w:tcW w:w="760" w:type="dxa"/>
          </w:tcPr>
          <w:p w14:paraId="338879B9" w14:textId="77777777" w:rsidR="006127E1" w:rsidRPr="00E33BAB" w:rsidRDefault="006127E1" w:rsidP="00785360">
            <w:pPr>
              <w:jc w:val="center"/>
              <w:rPr>
                <w:rFonts w:asciiTheme="majorHAnsi" w:hAnsiTheme="majorHAnsi" w:cstheme="majorHAnsi"/>
                <w:b/>
                <w:sz w:val="20"/>
                <w:szCs w:val="20"/>
                <w:lang w:val="ro-MD"/>
              </w:rPr>
            </w:pPr>
            <w:r w:rsidRPr="00E33BAB">
              <w:rPr>
                <w:rFonts w:asciiTheme="majorHAnsi" w:hAnsiTheme="majorHAnsi" w:cstheme="majorHAnsi"/>
                <w:b/>
                <w:sz w:val="20"/>
                <w:szCs w:val="20"/>
                <w:lang w:val="ro-MD"/>
              </w:rPr>
              <w:t>84%</w:t>
            </w:r>
          </w:p>
        </w:tc>
      </w:tr>
      <w:tr w:rsidR="006127E1" w:rsidRPr="00E33BAB" w14:paraId="56778F22" w14:textId="77777777" w:rsidTr="006127E1">
        <w:trPr>
          <w:trHeight w:val="264"/>
        </w:trPr>
        <w:tc>
          <w:tcPr>
            <w:tcW w:w="4909" w:type="dxa"/>
            <w:noWrap/>
            <w:hideMark/>
          </w:tcPr>
          <w:p w14:paraId="790974D8" w14:textId="77777777" w:rsidR="006127E1" w:rsidRPr="00E33BAB" w:rsidRDefault="006127E1" w:rsidP="00785360">
            <w:pP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 xml:space="preserve">1.2 Sprijin instituțional </w:t>
            </w:r>
          </w:p>
        </w:tc>
        <w:tc>
          <w:tcPr>
            <w:tcW w:w="1559" w:type="dxa"/>
            <w:noWrap/>
            <w:hideMark/>
          </w:tcPr>
          <w:p w14:paraId="7AD47DDF" w14:textId="77777777" w:rsidR="006127E1" w:rsidRPr="00E33BAB" w:rsidRDefault="006127E1" w:rsidP="00785360">
            <w:pPr>
              <w:jc w:val="center"/>
              <w:rPr>
                <w:rFonts w:asciiTheme="majorHAnsi" w:eastAsia="Times New Roman" w:hAnsiTheme="majorHAnsi" w:cstheme="majorHAnsi"/>
                <w:b/>
                <w:bCs/>
                <w:sz w:val="20"/>
                <w:szCs w:val="20"/>
                <w:lang w:val="ro-MD"/>
              </w:rPr>
            </w:pPr>
          </w:p>
        </w:tc>
        <w:tc>
          <w:tcPr>
            <w:tcW w:w="1417" w:type="dxa"/>
          </w:tcPr>
          <w:p w14:paraId="44EDDA82" w14:textId="77777777" w:rsidR="006127E1" w:rsidRPr="00E33BAB" w:rsidRDefault="006127E1" w:rsidP="00785360">
            <w:pPr>
              <w:jc w:val="center"/>
              <w:rPr>
                <w:rFonts w:asciiTheme="majorHAnsi" w:eastAsia="Times New Roman" w:hAnsiTheme="majorHAnsi" w:cstheme="majorHAnsi"/>
                <w:b/>
                <w:bCs/>
                <w:sz w:val="20"/>
                <w:szCs w:val="20"/>
                <w:lang w:val="ro-MD"/>
              </w:rPr>
            </w:pPr>
          </w:p>
        </w:tc>
        <w:tc>
          <w:tcPr>
            <w:tcW w:w="1560" w:type="dxa"/>
          </w:tcPr>
          <w:p w14:paraId="73E488DC" w14:textId="77777777" w:rsidR="006127E1" w:rsidRPr="00E33BAB" w:rsidRDefault="006127E1" w:rsidP="00785360">
            <w:pPr>
              <w:jc w:val="center"/>
              <w:rPr>
                <w:rFonts w:asciiTheme="majorHAnsi" w:eastAsia="Times New Roman" w:hAnsiTheme="majorHAnsi" w:cstheme="majorHAnsi"/>
                <w:sz w:val="20"/>
                <w:szCs w:val="20"/>
                <w:lang w:val="ro-MD"/>
              </w:rPr>
            </w:pPr>
          </w:p>
        </w:tc>
        <w:tc>
          <w:tcPr>
            <w:tcW w:w="1559" w:type="dxa"/>
          </w:tcPr>
          <w:p w14:paraId="216365BF" w14:textId="77777777" w:rsidR="006127E1" w:rsidRPr="00E33BAB" w:rsidRDefault="006127E1" w:rsidP="00785360">
            <w:pPr>
              <w:jc w:val="center"/>
              <w:rPr>
                <w:rFonts w:asciiTheme="majorHAnsi" w:eastAsia="Times New Roman" w:hAnsiTheme="majorHAnsi" w:cstheme="majorHAnsi"/>
                <w:sz w:val="20"/>
                <w:szCs w:val="20"/>
                <w:lang w:val="ro-MD"/>
              </w:rPr>
            </w:pPr>
          </w:p>
        </w:tc>
        <w:tc>
          <w:tcPr>
            <w:tcW w:w="992" w:type="dxa"/>
            <w:noWrap/>
            <w:hideMark/>
          </w:tcPr>
          <w:p w14:paraId="7D4313BE" w14:textId="77777777" w:rsidR="006127E1" w:rsidRPr="00E33BAB" w:rsidRDefault="006127E1" w:rsidP="00785360">
            <w:pPr>
              <w:jc w:val="center"/>
              <w:rPr>
                <w:rFonts w:asciiTheme="majorHAnsi" w:eastAsia="Times New Roman" w:hAnsiTheme="majorHAnsi" w:cstheme="majorHAnsi"/>
                <w:sz w:val="20"/>
                <w:szCs w:val="20"/>
                <w:lang w:val="ro-MD"/>
              </w:rPr>
            </w:pPr>
          </w:p>
        </w:tc>
        <w:tc>
          <w:tcPr>
            <w:tcW w:w="851" w:type="dxa"/>
          </w:tcPr>
          <w:p w14:paraId="11596B8B" w14:textId="77777777" w:rsidR="006127E1" w:rsidRPr="00E33BAB" w:rsidRDefault="006127E1" w:rsidP="00785360">
            <w:pPr>
              <w:jc w:val="center"/>
              <w:rPr>
                <w:rFonts w:asciiTheme="majorHAnsi" w:eastAsia="Times New Roman" w:hAnsiTheme="majorHAnsi" w:cstheme="majorHAnsi"/>
                <w:sz w:val="20"/>
                <w:szCs w:val="20"/>
                <w:lang w:val="ro-MD"/>
              </w:rPr>
            </w:pPr>
          </w:p>
        </w:tc>
        <w:tc>
          <w:tcPr>
            <w:tcW w:w="992" w:type="dxa"/>
          </w:tcPr>
          <w:p w14:paraId="2E7F6F5D" w14:textId="77777777" w:rsidR="006127E1" w:rsidRPr="00E33BAB" w:rsidRDefault="006127E1" w:rsidP="00785360">
            <w:pPr>
              <w:jc w:val="center"/>
              <w:rPr>
                <w:rFonts w:asciiTheme="majorHAnsi" w:hAnsiTheme="majorHAnsi" w:cstheme="majorHAnsi"/>
                <w:sz w:val="20"/>
                <w:szCs w:val="20"/>
                <w:lang w:val="ro-MD"/>
              </w:rPr>
            </w:pPr>
          </w:p>
        </w:tc>
        <w:tc>
          <w:tcPr>
            <w:tcW w:w="760" w:type="dxa"/>
          </w:tcPr>
          <w:p w14:paraId="69E021A4" w14:textId="77777777" w:rsidR="006127E1" w:rsidRPr="00E33BAB" w:rsidRDefault="006127E1" w:rsidP="00785360">
            <w:pPr>
              <w:jc w:val="center"/>
              <w:rPr>
                <w:rFonts w:asciiTheme="majorHAnsi" w:hAnsiTheme="majorHAnsi" w:cstheme="majorHAnsi"/>
                <w:sz w:val="20"/>
                <w:szCs w:val="20"/>
                <w:lang w:val="ro-MD"/>
              </w:rPr>
            </w:pPr>
          </w:p>
        </w:tc>
      </w:tr>
      <w:tr w:rsidR="006127E1" w:rsidRPr="00E33BAB" w14:paraId="65DD0DC7" w14:textId="77777777" w:rsidTr="006127E1">
        <w:trPr>
          <w:trHeight w:val="264"/>
        </w:trPr>
        <w:tc>
          <w:tcPr>
            <w:tcW w:w="4909" w:type="dxa"/>
            <w:noWrap/>
            <w:hideMark/>
          </w:tcPr>
          <w:p w14:paraId="43BADD2C" w14:textId="77777777" w:rsidR="006127E1" w:rsidRPr="00E33BAB" w:rsidRDefault="006127E1" w:rsidP="00785360">
            <w:pP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1.2.1. Echipa de implementare a MSMPS (Coordonator și Consultant FM)</w:t>
            </w:r>
          </w:p>
        </w:tc>
        <w:tc>
          <w:tcPr>
            <w:tcW w:w="1559" w:type="dxa"/>
            <w:noWrap/>
            <w:hideMark/>
          </w:tcPr>
          <w:p w14:paraId="72C3C84F"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hAnsiTheme="majorHAnsi" w:cstheme="majorHAnsi"/>
                <w:sz w:val="20"/>
                <w:szCs w:val="20"/>
                <w:lang w:val="ro-MD"/>
              </w:rPr>
              <w:t>67 120,24</w:t>
            </w:r>
          </w:p>
        </w:tc>
        <w:tc>
          <w:tcPr>
            <w:tcW w:w="1417" w:type="dxa"/>
          </w:tcPr>
          <w:p w14:paraId="5BE86B0B"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97 468,24</w:t>
            </w:r>
          </w:p>
        </w:tc>
        <w:tc>
          <w:tcPr>
            <w:tcW w:w="1560" w:type="dxa"/>
          </w:tcPr>
          <w:p w14:paraId="7E5F7802"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hAnsiTheme="majorHAnsi" w:cstheme="majorHAnsi"/>
                <w:sz w:val="20"/>
                <w:szCs w:val="20"/>
                <w:lang w:val="ro-MD"/>
              </w:rPr>
              <w:t>128 761,46</w:t>
            </w:r>
          </w:p>
        </w:tc>
        <w:tc>
          <w:tcPr>
            <w:tcW w:w="1559" w:type="dxa"/>
          </w:tcPr>
          <w:p w14:paraId="2F8BDDF6"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160 438,90</w:t>
            </w:r>
          </w:p>
        </w:tc>
        <w:tc>
          <w:tcPr>
            <w:tcW w:w="992" w:type="dxa"/>
            <w:noWrap/>
            <w:hideMark/>
          </w:tcPr>
          <w:p w14:paraId="23CEFC50"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73%</w:t>
            </w:r>
          </w:p>
        </w:tc>
        <w:tc>
          <w:tcPr>
            <w:tcW w:w="851" w:type="dxa"/>
          </w:tcPr>
          <w:p w14:paraId="56B249A6"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70%</w:t>
            </w:r>
          </w:p>
        </w:tc>
        <w:tc>
          <w:tcPr>
            <w:tcW w:w="992" w:type="dxa"/>
          </w:tcPr>
          <w:p w14:paraId="10C0552D" w14:textId="77777777" w:rsidR="006127E1" w:rsidRPr="00E33BAB" w:rsidRDefault="006127E1" w:rsidP="00785360">
            <w:pPr>
              <w:jc w:val="center"/>
              <w:rPr>
                <w:rFonts w:asciiTheme="majorHAnsi" w:hAnsiTheme="majorHAnsi" w:cstheme="majorHAnsi"/>
                <w:sz w:val="20"/>
                <w:szCs w:val="20"/>
                <w:lang w:val="ro-MD"/>
              </w:rPr>
            </w:pPr>
            <w:r w:rsidRPr="00E33BAB">
              <w:rPr>
                <w:rFonts w:asciiTheme="majorHAnsi" w:hAnsiTheme="majorHAnsi" w:cstheme="majorHAnsi"/>
                <w:sz w:val="20"/>
                <w:szCs w:val="20"/>
                <w:lang w:val="ro-MD"/>
              </w:rPr>
              <w:t>74%</w:t>
            </w:r>
          </w:p>
        </w:tc>
        <w:tc>
          <w:tcPr>
            <w:tcW w:w="760" w:type="dxa"/>
          </w:tcPr>
          <w:p w14:paraId="3D905A18" w14:textId="77777777" w:rsidR="006127E1" w:rsidRPr="00E33BAB" w:rsidRDefault="006127E1" w:rsidP="00785360">
            <w:pPr>
              <w:jc w:val="center"/>
              <w:rPr>
                <w:rFonts w:asciiTheme="majorHAnsi" w:hAnsiTheme="majorHAnsi" w:cstheme="majorHAnsi"/>
                <w:sz w:val="20"/>
                <w:szCs w:val="20"/>
                <w:lang w:val="ro-MD"/>
              </w:rPr>
            </w:pPr>
            <w:r w:rsidRPr="00E33BAB">
              <w:rPr>
                <w:rFonts w:asciiTheme="majorHAnsi" w:hAnsiTheme="majorHAnsi" w:cstheme="majorHAnsi"/>
                <w:sz w:val="20"/>
                <w:szCs w:val="20"/>
                <w:lang w:val="ro-MD"/>
              </w:rPr>
              <w:t>93%</w:t>
            </w:r>
          </w:p>
        </w:tc>
      </w:tr>
      <w:tr w:rsidR="006127E1" w:rsidRPr="00E33BAB" w14:paraId="2CEB47D4" w14:textId="77777777" w:rsidTr="006127E1">
        <w:trPr>
          <w:trHeight w:val="264"/>
        </w:trPr>
        <w:tc>
          <w:tcPr>
            <w:tcW w:w="4909" w:type="dxa"/>
            <w:noWrap/>
            <w:hideMark/>
          </w:tcPr>
          <w:p w14:paraId="6C667AEF" w14:textId="77777777" w:rsidR="006127E1" w:rsidRPr="00E33BAB" w:rsidRDefault="006127E1" w:rsidP="00785360">
            <w:pP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 xml:space="preserve">1.2.2. Consultant de achiziții </w:t>
            </w:r>
          </w:p>
        </w:tc>
        <w:tc>
          <w:tcPr>
            <w:tcW w:w="1559" w:type="dxa"/>
            <w:noWrap/>
            <w:hideMark/>
          </w:tcPr>
          <w:p w14:paraId="32871564"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hAnsiTheme="majorHAnsi" w:cstheme="majorHAnsi"/>
                <w:sz w:val="20"/>
                <w:szCs w:val="20"/>
                <w:lang w:val="ro-MD"/>
              </w:rPr>
              <w:t>26 622,01</w:t>
            </w:r>
          </w:p>
        </w:tc>
        <w:tc>
          <w:tcPr>
            <w:tcW w:w="1417" w:type="dxa"/>
          </w:tcPr>
          <w:p w14:paraId="034C6CD5"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38 622,01</w:t>
            </w:r>
          </w:p>
        </w:tc>
        <w:tc>
          <w:tcPr>
            <w:tcW w:w="1560" w:type="dxa"/>
          </w:tcPr>
          <w:p w14:paraId="25F7D024"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hAnsiTheme="majorHAnsi" w:cstheme="majorHAnsi"/>
                <w:sz w:val="20"/>
                <w:szCs w:val="20"/>
                <w:lang w:val="ro-MD"/>
              </w:rPr>
              <w:t>50 537,11</w:t>
            </w:r>
          </w:p>
        </w:tc>
        <w:tc>
          <w:tcPr>
            <w:tcW w:w="1559" w:type="dxa"/>
          </w:tcPr>
          <w:p w14:paraId="2EF8C7BA"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60 029,72</w:t>
            </w:r>
          </w:p>
        </w:tc>
        <w:tc>
          <w:tcPr>
            <w:tcW w:w="992" w:type="dxa"/>
            <w:noWrap/>
            <w:hideMark/>
          </w:tcPr>
          <w:p w14:paraId="19130277"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74%</w:t>
            </w:r>
          </w:p>
        </w:tc>
        <w:tc>
          <w:tcPr>
            <w:tcW w:w="851" w:type="dxa"/>
          </w:tcPr>
          <w:p w14:paraId="0952452F"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72%</w:t>
            </w:r>
          </w:p>
        </w:tc>
        <w:tc>
          <w:tcPr>
            <w:tcW w:w="992" w:type="dxa"/>
          </w:tcPr>
          <w:p w14:paraId="3434C729" w14:textId="77777777" w:rsidR="006127E1" w:rsidRPr="00E33BAB" w:rsidRDefault="006127E1" w:rsidP="00785360">
            <w:pPr>
              <w:jc w:val="center"/>
              <w:rPr>
                <w:rFonts w:asciiTheme="majorHAnsi" w:hAnsiTheme="majorHAnsi" w:cstheme="majorHAnsi"/>
                <w:sz w:val="20"/>
                <w:szCs w:val="20"/>
                <w:lang w:val="ro-MD"/>
              </w:rPr>
            </w:pPr>
            <w:r w:rsidRPr="00E33BAB">
              <w:rPr>
                <w:rFonts w:asciiTheme="majorHAnsi" w:hAnsiTheme="majorHAnsi" w:cstheme="majorHAnsi"/>
                <w:sz w:val="20"/>
                <w:szCs w:val="20"/>
                <w:lang w:val="ro-MD"/>
              </w:rPr>
              <w:t>72%</w:t>
            </w:r>
          </w:p>
        </w:tc>
        <w:tc>
          <w:tcPr>
            <w:tcW w:w="760" w:type="dxa"/>
          </w:tcPr>
          <w:p w14:paraId="67C93460" w14:textId="77777777" w:rsidR="006127E1" w:rsidRPr="00E33BAB" w:rsidRDefault="006127E1" w:rsidP="00785360">
            <w:pPr>
              <w:jc w:val="center"/>
              <w:rPr>
                <w:rFonts w:asciiTheme="majorHAnsi" w:hAnsiTheme="majorHAnsi" w:cstheme="majorHAnsi"/>
                <w:sz w:val="20"/>
                <w:szCs w:val="20"/>
                <w:lang w:val="ro-MD"/>
              </w:rPr>
            </w:pPr>
            <w:r w:rsidRPr="00E33BAB">
              <w:rPr>
                <w:rFonts w:asciiTheme="majorHAnsi" w:hAnsiTheme="majorHAnsi" w:cstheme="majorHAnsi"/>
                <w:sz w:val="20"/>
                <w:szCs w:val="20"/>
                <w:lang w:val="ro-MD"/>
              </w:rPr>
              <w:t>86%</w:t>
            </w:r>
          </w:p>
        </w:tc>
      </w:tr>
      <w:tr w:rsidR="006127E1" w:rsidRPr="00E33BAB" w14:paraId="28C9384E" w14:textId="77777777" w:rsidTr="006127E1">
        <w:trPr>
          <w:trHeight w:val="264"/>
        </w:trPr>
        <w:tc>
          <w:tcPr>
            <w:tcW w:w="4909" w:type="dxa"/>
            <w:noWrap/>
            <w:hideMark/>
          </w:tcPr>
          <w:p w14:paraId="592F5AA5" w14:textId="77777777" w:rsidR="006127E1" w:rsidRPr="00E33BAB" w:rsidRDefault="006127E1" w:rsidP="00785360">
            <w:pP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 xml:space="preserve">1.2.3. Costuri de operare (inclusiv comunicare) </w:t>
            </w:r>
          </w:p>
        </w:tc>
        <w:tc>
          <w:tcPr>
            <w:tcW w:w="1559" w:type="dxa"/>
            <w:noWrap/>
            <w:hideMark/>
          </w:tcPr>
          <w:p w14:paraId="08B5427D"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hAnsiTheme="majorHAnsi" w:cstheme="majorHAnsi"/>
                <w:sz w:val="20"/>
                <w:szCs w:val="20"/>
                <w:lang w:val="ro-MD"/>
              </w:rPr>
              <w:t>5 931,66</w:t>
            </w:r>
          </w:p>
        </w:tc>
        <w:tc>
          <w:tcPr>
            <w:tcW w:w="1417" w:type="dxa"/>
          </w:tcPr>
          <w:p w14:paraId="2CC46105"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10 049,37</w:t>
            </w:r>
          </w:p>
        </w:tc>
        <w:tc>
          <w:tcPr>
            <w:tcW w:w="1560" w:type="dxa"/>
          </w:tcPr>
          <w:p w14:paraId="04CACBB8"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hAnsiTheme="majorHAnsi" w:cstheme="majorHAnsi"/>
                <w:sz w:val="20"/>
                <w:szCs w:val="20"/>
                <w:lang w:val="ro-MD"/>
              </w:rPr>
              <w:t>10 682,90</w:t>
            </w:r>
          </w:p>
        </w:tc>
        <w:tc>
          <w:tcPr>
            <w:tcW w:w="1559" w:type="dxa"/>
          </w:tcPr>
          <w:p w14:paraId="72F60F95"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12 830,26</w:t>
            </w:r>
          </w:p>
        </w:tc>
        <w:tc>
          <w:tcPr>
            <w:tcW w:w="992" w:type="dxa"/>
            <w:noWrap/>
            <w:hideMark/>
          </w:tcPr>
          <w:p w14:paraId="64C0BABE"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29%</w:t>
            </w:r>
          </w:p>
        </w:tc>
        <w:tc>
          <w:tcPr>
            <w:tcW w:w="851" w:type="dxa"/>
          </w:tcPr>
          <w:p w14:paraId="50C8EF5A"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33%</w:t>
            </w:r>
          </w:p>
        </w:tc>
        <w:tc>
          <w:tcPr>
            <w:tcW w:w="992" w:type="dxa"/>
          </w:tcPr>
          <w:p w14:paraId="479331DA" w14:textId="77777777" w:rsidR="006127E1" w:rsidRPr="00E33BAB" w:rsidRDefault="006127E1" w:rsidP="00785360">
            <w:pPr>
              <w:jc w:val="center"/>
              <w:rPr>
                <w:rFonts w:asciiTheme="majorHAnsi" w:hAnsiTheme="majorHAnsi" w:cstheme="majorHAnsi"/>
                <w:sz w:val="20"/>
                <w:szCs w:val="20"/>
                <w:lang w:val="ro-MD"/>
              </w:rPr>
            </w:pPr>
            <w:r w:rsidRPr="00E33BAB">
              <w:rPr>
                <w:rFonts w:asciiTheme="majorHAnsi" w:hAnsiTheme="majorHAnsi" w:cstheme="majorHAnsi"/>
                <w:sz w:val="20"/>
                <w:szCs w:val="20"/>
                <w:lang w:val="ro-MD"/>
              </w:rPr>
              <w:t>14%</w:t>
            </w:r>
          </w:p>
        </w:tc>
        <w:tc>
          <w:tcPr>
            <w:tcW w:w="760" w:type="dxa"/>
          </w:tcPr>
          <w:p w14:paraId="74EC5015" w14:textId="77777777" w:rsidR="006127E1" w:rsidRPr="00E33BAB" w:rsidRDefault="006127E1" w:rsidP="00785360">
            <w:pPr>
              <w:jc w:val="center"/>
              <w:rPr>
                <w:rFonts w:asciiTheme="majorHAnsi" w:hAnsiTheme="majorHAnsi" w:cstheme="majorHAnsi"/>
                <w:sz w:val="20"/>
                <w:szCs w:val="20"/>
                <w:lang w:val="ro-MD"/>
              </w:rPr>
            </w:pPr>
            <w:r w:rsidRPr="00E33BAB">
              <w:rPr>
                <w:rFonts w:asciiTheme="majorHAnsi" w:hAnsiTheme="majorHAnsi" w:cstheme="majorHAnsi"/>
                <w:sz w:val="20"/>
                <w:szCs w:val="20"/>
                <w:lang w:val="ro-MD"/>
              </w:rPr>
              <w:t>16%</w:t>
            </w:r>
          </w:p>
        </w:tc>
      </w:tr>
      <w:tr w:rsidR="006127E1" w:rsidRPr="00E33BAB" w14:paraId="576EDE8D" w14:textId="77777777" w:rsidTr="006127E1">
        <w:trPr>
          <w:trHeight w:val="264"/>
        </w:trPr>
        <w:tc>
          <w:tcPr>
            <w:tcW w:w="4909" w:type="dxa"/>
            <w:noWrap/>
            <w:hideMark/>
          </w:tcPr>
          <w:p w14:paraId="4A81D9C8" w14:textId="77777777" w:rsidR="006127E1" w:rsidRPr="00E33BAB" w:rsidRDefault="006127E1" w:rsidP="00785360">
            <w:pP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 xml:space="preserve">1.2.4. Audit financiar anual </w:t>
            </w:r>
          </w:p>
        </w:tc>
        <w:tc>
          <w:tcPr>
            <w:tcW w:w="1559" w:type="dxa"/>
            <w:noWrap/>
            <w:hideMark/>
          </w:tcPr>
          <w:p w14:paraId="728CB880"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hAnsiTheme="majorHAnsi" w:cstheme="majorHAnsi"/>
                <w:bCs/>
                <w:sz w:val="20"/>
                <w:szCs w:val="20"/>
                <w:lang w:val="ro-MD"/>
              </w:rPr>
              <w:t>0,00</w:t>
            </w:r>
          </w:p>
        </w:tc>
        <w:tc>
          <w:tcPr>
            <w:tcW w:w="1417" w:type="dxa"/>
          </w:tcPr>
          <w:p w14:paraId="1B8F0774"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0,00</w:t>
            </w:r>
          </w:p>
        </w:tc>
        <w:tc>
          <w:tcPr>
            <w:tcW w:w="1560" w:type="dxa"/>
          </w:tcPr>
          <w:p w14:paraId="591DB7D8"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hAnsiTheme="majorHAnsi" w:cstheme="majorHAnsi"/>
                <w:sz w:val="20"/>
                <w:szCs w:val="20"/>
                <w:lang w:val="ro-MD"/>
              </w:rPr>
              <w:t>0,00</w:t>
            </w:r>
          </w:p>
        </w:tc>
        <w:tc>
          <w:tcPr>
            <w:tcW w:w="1559" w:type="dxa"/>
          </w:tcPr>
          <w:p w14:paraId="6422B6FA"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0,00</w:t>
            </w:r>
          </w:p>
        </w:tc>
        <w:tc>
          <w:tcPr>
            <w:tcW w:w="992" w:type="dxa"/>
            <w:noWrap/>
            <w:hideMark/>
          </w:tcPr>
          <w:p w14:paraId="22D28909"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0%</w:t>
            </w:r>
          </w:p>
        </w:tc>
        <w:tc>
          <w:tcPr>
            <w:tcW w:w="851" w:type="dxa"/>
          </w:tcPr>
          <w:p w14:paraId="01DFED8C" w14:textId="77777777" w:rsidR="006127E1" w:rsidRPr="00E33BAB" w:rsidRDefault="006127E1" w:rsidP="00785360">
            <w:pPr>
              <w:jc w:val="center"/>
              <w:rPr>
                <w:rFonts w:asciiTheme="majorHAnsi" w:eastAsia="Times New Roman" w:hAnsiTheme="majorHAnsi" w:cstheme="majorHAnsi"/>
                <w:sz w:val="20"/>
                <w:szCs w:val="20"/>
                <w:lang w:val="ro-MD"/>
              </w:rPr>
            </w:pPr>
            <w:r w:rsidRPr="00E33BAB">
              <w:rPr>
                <w:rFonts w:asciiTheme="majorHAnsi" w:eastAsia="Times New Roman" w:hAnsiTheme="majorHAnsi" w:cstheme="majorHAnsi"/>
                <w:sz w:val="20"/>
                <w:szCs w:val="20"/>
                <w:lang w:val="ro-MD"/>
              </w:rPr>
              <w:t>0%</w:t>
            </w:r>
          </w:p>
        </w:tc>
        <w:tc>
          <w:tcPr>
            <w:tcW w:w="992" w:type="dxa"/>
          </w:tcPr>
          <w:p w14:paraId="06A8CE15" w14:textId="77777777" w:rsidR="006127E1" w:rsidRPr="00E33BAB" w:rsidRDefault="006127E1" w:rsidP="00785360">
            <w:pPr>
              <w:jc w:val="center"/>
              <w:rPr>
                <w:rFonts w:asciiTheme="majorHAnsi" w:hAnsiTheme="majorHAnsi" w:cstheme="majorHAnsi"/>
                <w:sz w:val="20"/>
                <w:szCs w:val="20"/>
                <w:lang w:val="ro-MD"/>
              </w:rPr>
            </w:pPr>
            <w:r w:rsidRPr="00E33BAB">
              <w:rPr>
                <w:rFonts w:asciiTheme="majorHAnsi" w:hAnsiTheme="majorHAnsi" w:cstheme="majorHAnsi"/>
                <w:sz w:val="20"/>
                <w:szCs w:val="20"/>
                <w:lang w:val="ro-MD"/>
              </w:rPr>
              <w:t>0%</w:t>
            </w:r>
          </w:p>
        </w:tc>
        <w:tc>
          <w:tcPr>
            <w:tcW w:w="760" w:type="dxa"/>
          </w:tcPr>
          <w:p w14:paraId="14F6B448" w14:textId="77777777" w:rsidR="006127E1" w:rsidRPr="00E33BAB" w:rsidRDefault="006127E1" w:rsidP="00785360">
            <w:pPr>
              <w:jc w:val="center"/>
              <w:rPr>
                <w:rFonts w:asciiTheme="majorHAnsi" w:hAnsiTheme="majorHAnsi" w:cstheme="majorHAnsi"/>
                <w:sz w:val="20"/>
                <w:szCs w:val="20"/>
                <w:lang w:val="ro-MD"/>
              </w:rPr>
            </w:pPr>
            <w:r w:rsidRPr="00E33BAB">
              <w:rPr>
                <w:rFonts w:asciiTheme="majorHAnsi" w:hAnsiTheme="majorHAnsi" w:cstheme="majorHAnsi"/>
                <w:sz w:val="20"/>
                <w:szCs w:val="20"/>
                <w:lang w:val="ro-MD"/>
              </w:rPr>
              <w:t>0%</w:t>
            </w:r>
          </w:p>
        </w:tc>
      </w:tr>
      <w:tr w:rsidR="006127E1" w:rsidRPr="00E33BAB" w14:paraId="4248CDEF" w14:textId="77777777" w:rsidTr="006127E1">
        <w:trPr>
          <w:trHeight w:val="264"/>
        </w:trPr>
        <w:tc>
          <w:tcPr>
            <w:tcW w:w="4909" w:type="dxa"/>
            <w:hideMark/>
          </w:tcPr>
          <w:p w14:paraId="535C9EDA" w14:textId="77777777" w:rsidR="006127E1" w:rsidRPr="00E33BAB" w:rsidRDefault="006127E1" w:rsidP="00785360">
            <w:pP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 xml:space="preserve">Subtotalul suportului instituțional </w:t>
            </w:r>
          </w:p>
        </w:tc>
        <w:tc>
          <w:tcPr>
            <w:tcW w:w="1559" w:type="dxa"/>
            <w:noWrap/>
            <w:hideMark/>
          </w:tcPr>
          <w:p w14:paraId="2346E844" w14:textId="77777777" w:rsidR="006127E1" w:rsidRPr="00E33BAB" w:rsidRDefault="006127E1" w:rsidP="00785360">
            <w:pPr>
              <w:jc w:val="cente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99 673,91</w:t>
            </w:r>
          </w:p>
        </w:tc>
        <w:tc>
          <w:tcPr>
            <w:tcW w:w="1417" w:type="dxa"/>
          </w:tcPr>
          <w:p w14:paraId="72492EB9" w14:textId="77777777" w:rsidR="006127E1" w:rsidRPr="00E33BAB" w:rsidRDefault="006127E1" w:rsidP="00785360">
            <w:pPr>
              <w:jc w:val="cente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146 184,62</w:t>
            </w:r>
          </w:p>
        </w:tc>
        <w:tc>
          <w:tcPr>
            <w:tcW w:w="1560" w:type="dxa"/>
          </w:tcPr>
          <w:p w14:paraId="7C926DFB" w14:textId="77777777" w:rsidR="006127E1" w:rsidRPr="00E33BAB" w:rsidRDefault="006127E1" w:rsidP="00785360">
            <w:pPr>
              <w:jc w:val="center"/>
              <w:rPr>
                <w:rFonts w:asciiTheme="majorHAnsi" w:eastAsia="Times New Roman" w:hAnsiTheme="majorHAnsi" w:cstheme="majorHAnsi"/>
                <w:b/>
                <w:bCs/>
                <w:sz w:val="20"/>
                <w:szCs w:val="20"/>
                <w:lang w:val="ro-MD"/>
              </w:rPr>
            </w:pPr>
            <w:r w:rsidRPr="00E33BAB">
              <w:rPr>
                <w:rFonts w:asciiTheme="majorHAnsi" w:hAnsiTheme="majorHAnsi" w:cstheme="majorHAnsi"/>
                <w:b/>
                <w:sz w:val="20"/>
                <w:szCs w:val="20"/>
                <w:lang w:val="ro-MD"/>
              </w:rPr>
              <w:t>189 981,47</w:t>
            </w:r>
          </w:p>
        </w:tc>
        <w:tc>
          <w:tcPr>
            <w:tcW w:w="1559" w:type="dxa"/>
          </w:tcPr>
          <w:p w14:paraId="18924347" w14:textId="77777777" w:rsidR="006127E1" w:rsidRPr="00E33BAB" w:rsidRDefault="006127E1" w:rsidP="00785360">
            <w:pPr>
              <w:jc w:val="cente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233 298,88</w:t>
            </w:r>
          </w:p>
        </w:tc>
        <w:tc>
          <w:tcPr>
            <w:tcW w:w="992" w:type="dxa"/>
            <w:noWrap/>
            <w:hideMark/>
          </w:tcPr>
          <w:p w14:paraId="3E2BAF78" w14:textId="77777777" w:rsidR="006127E1" w:rsidRPr="00E33BAB" w:rsidRDefault="006127E1" w:rsidP="00785360">
            <w:pPr>
              <w:jc w:val="cente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59%</w:t>
            </w:r>
          </w:p>
        </w:tc>
        <w:tc>
          <w:tcPr>
            <w:tcW w:w="851" w:type="dxa"/>
          </w:tcPr>
          <w:p w14:paraId="2CF75CAC" w14:textId="77777777" w:rsidR="006127E1" w:rsidRPr="00E33BAB" w:rsidRDefault="006127E1" w:rsidP="00785360">
            <w:pPr>
              <w:jc w:val="cente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60%</w:t>
            </w:r>
          </w:p>
        </w:tc>
        <w:tc>
          <w:tcPr>
            <w:tcW w:w="992" w:type="dxa"/>
          </w:tcPr>
          <w:p w14:paraId="28AAF04D" w14:textId="77777777" w:rsidR="006127E1" w:rsidRPr="00E33BAB" w:rsidRDefault="006127E1" w:rsidP="00785360">
            <w:pPr>
              <w:jc w:val="center"/>
              <w:rPr>
                <w:rFonts w:asciiTheme="majorHAnsi" w:hAnsiTheme="majorHAnsi" w:cstheme="majorHAnsi"/>
                <w:b/>
                <w:sz w:val="20"/>
                <w:szCs w:val="20"/>
                <w:lang w:val="ro-MD"/>
              </w:rPr>
            </w:pPr>
            <w:r w:rsidRPr="00E33BAB">
              <w:rPr>
                <w:rFonts w:asciiTheme="majorHAnsi" w:hAnsiTheme="majorHAnsi" w:cstheme="majorHAnsi"/>
                <w:b/>
                <w:sz w:val="20"/>
                <w:szCs w:val="20"/>
                <w:lang w:val="ro-MD"/>
              </w:rPr>
              <w:t>56%</w:t>
            </w:r>
          </w:p>
        </w:tc>
        <w:tc>
          <w:tcPr>
            <w:tcW w:w="760" w:type="dxa"/>
          </w:tcPr>
          <w:p w14:paraId="40D18E31" w14:textId="77777777" w:rsidR="006127E1" w:rsidRPr="00E33BAB" w:rsidRDefault="006127E1" w:rsidP="00785360">
            <w:pPr>
              <w:jc w:val="center"/>
              <w:rPr>
                <w:rFonts w:asciiTheme="majorHAnsi" w:hAnsiTheme="majorHAnsi" w:cstheme="majorHAnsi"/>
                <w:b/>
                <w:sz w:val="20"/>
                <w:szCs w:val="20"/>
                <w:lang w:val="ro-MD"/>
              </w:rPr>
            </w:pPr>
            <w:r w:rsidRPr="00E33BAB">
              <w:rPr>
                <w:rFonts w:asciiTheme="majorHAnsi" w:hAnsiTheme="majorHAnsi" w:cstheme="majorHAnsi"/>
                <w:b/>
                <w:sz w:val="20"/>
                <w:szCs w:val="20"/>
                <w:lang w:val="ro-MD"/>
              </w:rPr>
              <w:t>69%</w:t>
            </w:r>
          </w:p>
        </w:tc>
      </w:tr>
      <w:tr w:rsidR="006127E1" w:rsidRPr="00E33BAB" w14:paraId="0A5B8633" w14:textId="77777777" w:rsidTr="006127E1">
        <w:trPr>
          <w:trHeight w:val="320"/>
        </w:trPr>
        <w:tc>
          <w:tcPr>
            <w:tcW w:w="4909" w:type="dxa"/>
          </w:tcPr>
          <w:p w14:paraId="7E112562" w14:textId="77777777" w:rsidR="006127E1" w:rsidRPr="00E33BAB" w:rsidRDefault="006127E1" w:rsidP="00785360">
            <w:pP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2. Finanțare adițională pentru componenta de asistență tehnică</w:t>
            </w:r>
          </w:p>
        </w:tc>
        <w:tc>
          <w:tcPr>
            <w:tcW w:w="1559" w:type="dxa"/>
            <w:noWrap/>
          </w:tcPr>
          <w:p w14:paraId="72D41F74" w14:textId="77777777" w:rsidR="006127E1" w:rsidRPr="00E33BAB" w:rsidRDefault="006127E1" w:rsidP="00785360">
            <w:pPr>
              <w:jc w:val="cente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0,00</w:t>
            </w:r>
          </w:p>
        </w:tc>
        <w:tc>
          <w:tcPr>
            <w:tcW w:w="1417" w:type="dxa"/>
          </w:tcPr>
          <w:p w14:paraId="4EC792E9" w14:textId="77777777" w:rsidR="006127E1" w:rsidRPr="00E33BAB" w:rsidRDefault="006127E1" w:rsidP="00785360">
            <w:pPr>
              <w:jc w:val="cente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0.00</w:t>
            </w:r>
          </w:p>
        </w:tc>
        <w:tc>
          <w:tcPr>
            <w:tcW w:w="1560" w:type="dxa"/>
          </w:tcPr>
          <w:p w14:paraId="595BD287" w14:textId="77777777" w:rsidR="006127E1" w:rsidRPr="00E33BAB" w:rsidRDefault="006127E1" w:rsidP="00785360">
            <w:pPr>
              <w:jc w:val="center"/>
              <w:rPr>
                <w:rFonts w:asciiTheme="majorHAnsi" w:hAnsiTheme="majorHAnsi" w:cstheme="majorHAnsi"/>
                <w:b/>
                <w:sz w:val="20"/>
                <w:szCs w:val="20"/>
                <w:lang w:val="ro-MD"/>
              </w:rPr>
            </w:pPr>
            <w:r w:rsidRPr="00E33BAB">
              <w:rPr>
                <w:rFonts w:asciiTheme="majorHAnsi" w:eastAsia="Times New Roman" w:hAnsiTheme="majorHAnsi" w:cstheme="majorHAnsi"/>
                <w:b/>
                <w:bCs/>
                <w:sz w:val="20"/>
                <w:szCs w:val="20"/>
                <w:lang w:val="ro-MD"/>
              </w:rPr>
              <w:t>0,00</w:t>
            </w:r>
          </w:p>
        </w:tc>
        <w:tc>
          <w:tcPr>
            <w:tcW w:w="1559" w:type="dxa"/>
          </w:tcPr>
          <w:p w14:paraId="32A875BC" w14:textId="77777777" w:rsidR="006127E1" w:rsidRPr="00E33BAB" w:rsidRDefault="006127E1" w:rsidP="00785360">
            <w:pPr>
              <w:jc w:val="cente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0,00</w:t>
            </w:r>
          </w:p>
        </w:tc>
        <w:tc>
          <w:tcPr>
            <w:tcW w:w="992" w:type="dxa"/>
            <w:noWrap/>
          </w:tcPr>
          <w:p w14:paraId="03B98E55" w14:textId="77777777" w:rsidR="006127E1" w:rsidRPr="00E33BAB" w:rsidRDefault="006127E1" w:rsidP="00785360">
            <w:pPr>
              <w:jc w:val="cente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0%</w:t>
            </w:r>
          </w:p>
        </w:tc>
        <w:tc>
          <w:tcPr>
            <w:tcW w:w="851" w:type="dxa"/>
          </w:tcPr>
          <w:p w14:paraId="00960EFA" w14:textId="77777777" w:rsidR="006127E1" w:rsidRPr="00E33BAB" w:rsidRDefault="006127E1" w:rsidP="00785360">
            <w:pPr>
              <w:jc w:val="cente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0%</w:t>
            </w:r>
          </w:p>
        </w:tc>
        <w:tc>
          <w:tcPr>
            <w:tcW w:w="992" w:type="dxa"/>
          </w:tcPr>
          <w:p w14:paraId="17C933DC" w14:textId="77777777" w:rsidR="006127E1" w:rsidRPr="00E33BAB" w:rsidRDefault="006127E1" w:rsidP="00785360">
            <w:pPr>
              <w:jc w:val="center"/>
              <w:rPr>
                <w:rFonts w:asciiTheme="majorHAnsi" w:hAnsiTheme="majorHAnsi" w:cstheme="majorHAnsi"/>
                <w:b/>
                <w:sz w:val="20"/>
                <w:szCs w:val="20"/>
                <w:lang w:val="ro-MD"/>
              </w:rPr>
            </w:pPr>
            <w:r w:rsidRPr="00E33BAB">
              <w:rPr>
                <w:rFonts w:asciiTheme="majorHAnsi" w:hAnsiTheme="majorHAnsi" w:cstheme="majorHAnsi"/>
                <w:b/>
                <w:sz w:val="20"/>
                <w:szCs w:val="20"/>
                <w:lang w:val="ro-MD"/>
              </w:rPr>
              <w:t>0%</w:t>
            </w:r>
          </w:p>
        </w:tc>
        <w:tc>
          <w:tcPr>
            <w:tcW w:w="760" w:type="dxa"/>
          </w:tcPr>
          <w:p w14:paraId="1CD74AC1" w14:textId="77777777" w:rsidR="006127E1" w:rsidRPr="00E33BAB" w:rsidRDefault="006127E1" w:rsidP="00785360">
            <w:pPr>
              <w:jc w:val="center"/>
              <w:rPr>
                <w:rFonts w:asciiTheme="majorHAnsi" w:hAnsiTheme="majorHAnsi" w:cstheme="majorHAnsi"/>
                <w:b/>
                <w:sz w:val="20"/>
                <w:szCs w:val="20"/>
                <w:lang w:val="ro-MD"/>
              </w:rPr>
            </w:pPr>
            <w:r w:rsidRPr="00E33BAB">
              <w:rPr>
                <w:rFonts w:asciiTheme="majorHAnsi" w:hAnsiTheme="majorHAnsi" w:cstheme="majorHAnsi"/>
                <w:b/>
                <w:sz w:val="20"/>
                <w:szCs w:val="20"/>
                <w:lang w:val="ro-MD"/>
              </w:rPr>
              <w:t>0%</w:t>
            </w:r>
          </w:p>
        </w:tc>
      </w:tr>
      <w:tr w:rsidR="006127E1" w:rsidRPr="00E33BAB" w14:paraId="76432C08" w14:textId="77777777" w:rsidTr="006127E1">
        <w:trPr>
          <w:trHeight w:val="264"/>
        </w:trPr>
        <w:tc>
          <w:tcPr>
            <w:tcW w:w="4909" w:type="dxa"/>
          </w:tcPr>
          <w:p w14:paraId="74381792" w14:textId="39DB6F7B" w:rsidR="006127E1" w:rsidRPr="00E33BAB" w:rsidRDefault="006127E1" w:rsidP="00785360">
            <w:pP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sz w:val="20"/>
                <w:szCs w:val="20"/>
                <w:lang w:val="ro-MD"/>
              </w:rPr>
              <w:t>2.1 Dezvoltarea funcționalităților suplimentare ale Sistemului Informațional Automatizat „</w:t>
            </w:r>
            <w:r w:rsidRPr="00DA7824">
              <w:rPr>
                <w:rFonts w:asciiTheme="majorHAnsi" w:eastAsia="Times New Roman" w:hAnsiTheme="majorHAnsi" w:cstheme="majorHAnsi"/>
                <w:sz w:val="20"/>
                <w:szCs w:val="20"/>
                <w:lang w:val="ro-MD"/>
              </w:rPr>
              <w:t>Asistenț</w:t>
            </w:r>
            <w:r w:rsidR="00ED5AB3" w:rsidRPr="00DA7824">
              <w:rPr>
                <w:rFonts w:asciiTheme="majorHAnsi" w:eastAsia="Times New Roman" w:hAnsiTheme="majorHAnsi" w:cstheme="majorHAnsi"/>
                <w:sz w:val="20"/>
                <w:szCs w:val="20"/>
                <w:lang w:val="ro-MD"/>
              </w:rPr>
              <w:t>a</w:t>
            </w:r>
            <w:r w:rsidRPr="00DA7824">
              <w:rPr>
                <w:rFonts w:asciiTheme="majorHAnsi" w:eastAsia="Times New Roman" w:hAnsiTheme="majorHAnsi" w:cstheme="majorHAnsi"/>
                <w:sz w:val="20"/>
                <w:szCs w:val="20"/>
                <w:lang w:val="ro-MD"/>
              </w:rPr>
              <w:t xml:space="preserve"> Medicală Primară” (SIA AMP) şi interoperabilității acest</w:t>
            </w:r>
            <w:r w:rsidR="00ED5AB3" w:rsidRPr="00DA7824">
              <w:rPr>
                <w:rFonts w:asciiTheme="majorHAnsi" w:eastAsia="Times New Roman" w:hAnsiTheme="majorHAnsi" w:cstheme="majorHAnsi"/>
                <w:sz w:val="20"/>
                <w:szCs w:val="20"/>
                <w:lang w:val="ro-MD"/>
              </w:rPr>
              <w:t>uia</w:t>
            </w:r>
            <w:r w:rsidRPr="00DA7824">
              <w:rPr>
                <w:rFonts w:asciiTheme="majorHAnsi" w:eastAsia="Times New Roman" w:hAnsiTheme="majorHAnsi" w:cstheme="majorHAnsi"/>
                <w:sz w:val="20"/>
                <w:szCs w:val="20"/>
                <w:lang w:val="ro-MD"/>
              </w:rPr>
              <w:t xml:space="preserve"> cu alte </w:t>
            </w:r>
            <w:r w:rsidR="00ED5AB3" w:rsidRPr="00DA7824">
              <w:rPr>
                <w:rFonts w:asciiTheme="majorHAnsi" w:eastAsia="Times New Roman" w:hAnsiTheme="majorHAnsi" w:cstheme="majorHAnsi"/>
                <w:sz w:val="20"/>
                <w:szCs w:val="20"/>
                <w:lang w:val="ro-MD"/>
              </w:rPr>
              <w:t>s</w:t>
            </w:r>
            <w:r w:rsidRPr="00DA7824">
              <w:rPr>
                <w:rFonts w:asciiTheme="majorHAnsi" w:eastAsia="Times New Roman" w:hAnsiTheme="majorHAnsi" w:cstheme="majorHAnsi"/>
                <w:sz w:val="20"/>
                <w:szCs w:val="20"/>
                <w:lang w:val="ro-MD"/>
              </w:rPr>
              <w:t>isteme informaționale (+ 314 000 dolari SUA achitate</w:t>
            </w:r>
            <w:r w:rsidRPr="00E33BAB">
              <w:rPr>
                <w:rFonts w:asciiTheme="majorHAnsi" w:eastAsia="Times New Roman" w:hAnsiTheme="majorHAnsi" w:cstheme="majorHAnsi"/>
                <w:sz w:val="20"/>
                <w:szCs w:val="20"/>
                <w:lang w:val="ro-MD"/>
              </w:rPr>
              <w:t xml:space="preserve"> de CNAM)</w:t>
            </w:r>
          </w:p>
        </w:tc>
        <w:tc>
          <w:tcPr>
            <w:tcW w:w="1559" w:type="dxa"/>
            <w:noWrap/>
          </w:tcPr>
          <w:p w14:paraId="26ED37B6" w14:textId="77777777" w:rsidR="006127E1" w:rsidRPr="00E33BAB" w:rsidRDefault="006127E1" w:rsidP="00785360">
            <w:pPr>
              <w:jc w:val="center"/>
              <w:rPr>
                <w:rFonts w:asciiTheme="majorHAnsi" w:eastAsia="Times New Roman" w:hAnsiTheme="majorHAnsi" w:cstheme="majorHAnsi"/>
                <w:bCs/>
                <w:sz w:val="20"/>
                <w:szCs w:val="20"/>
                <w:lang w:val="ro-MD"/>
              </w:rPr>
            </w:pPr>
            <w:r w:rsidRPr="00E33BAB">
              <w:rPr>
                <w:rFonts w:asciiTheme="majorHAnsi" w:eastAsia="Times New Roman" w:hAnsiTheme="majorHAnsi" w:cstheme="majorHAnsi"/>
                <w:bCs/>
                <w:sz w:val="20"/>
                <w:szCs w:val="20"/>
                <w:lang w:val="ro-MD"/>
              </w:rPr>
              <w:t>0,00</w:t>
            </w:r>
          </w:p>
        </w:tc>
        <w:tc>
          <w:tcPr>
            <w:tcW w:w="1417" w:type="dxa"/>
          </w:tcPr>
          <w:p w14:paraId="757F0021" w14:textId="77777777" w:rsidR="006127E1" w:rsidRPr="00E33BAB" w:rsidRDefault="006127E1" w:rsidP="00785360">
            <w:pPr>
              <w:jc w:val="center"/>
              <w:rPr>
                <w:rFonts w:asciiTheme="majorHAnsi" w:eastAsia="Times New Roman" w:hAnsiTheme="majorHAnsi" w:cstheme="majorHAnsi"/>
                <w:bCs/>
                <w:sz w:val="20"/>
                <w:szCs w:val="20"/>
                <w:lang w:val="ro-MD"/>
              </w:rPr>
            </w:pPr>
            <w:r w:rsidRPr="00E33BAB">
              <w:rPr>
                <w:rFonts w:asciiTheme="majorHAnsi" w:eastAsia="Times New Roman" w:hAnsiTheme="majorHAnsi" w:cstheme="majorHAnsi"/>
                <w:bCs/>
                <w:sz w:val="20"/>
                <w:szCs w:val="20"/>
                <w:lang w:val="ro-MD"/>
              </w:rPr>
              <w:t>0.00</w:t>
            </w:r>
          </w:p>
        </w:tc>
        <w:tc>
          <w:tcPr>
            <w:tcW w:w="1560" w:type="dxa"/>
          </w:tcPr>
          <w:p w14:paraId="2434E8FA" w14:textId="77777777" w:rsidR="006127E1" w:rsidRPr="00E33BAB" w:rsidRDefault="006127E1" w:rsidP="00785360">
            <w:pPr>
              <w:jc w:val="center"/>
              <w:rPr>
                <w:rFonts w:asciiTheme="majorHAnsi" w:hAnsiTheme="majorHAnsi" w:cstheme="majorHAnsi"/>
                <w:sz w:val="20"/>
                <w:szCs w:val="20"/>
                <w:lang w:val="ro-MD"/>
              </w:rPr>
            </w:pPr>
            <w:r w:rsidRPr="00E33BAB">
              <w:rPr>
                <w:rFonts w:asciiTheme="majorHAnsi" w:eastAsia="Times New Roman" w:hAnsiTheme="majorHAnsi" w:cstheme="majorHAnsi"/>
                <w:bCs/>
                <w:sz w:val="20"/>
                <w:szCs w:val="20"/>
                <w:lang w:val="ro-MD"/>
              </w:rPr>
              <w:t>0,00</w:t>
            </w:r>
          </w:p>
        </w:tc>
        <w:tc>
          <w:tcPr>
            <w:tcW w:w="1559" w:type="dxa"/>
          </w:tcPr>
          <w:p w14:paraId="1CDA8362" w14:textId="77777777" w:rsidR="006127E1" w:rsidRPr="00E33BAB" w:rsidRDefault="006127E1" w:rsidP="00785360">
            <w:pPr>
              <w:jc w:val="center"/>
              <w:rPr>
                <w:rFonts w:asciiTheme="majorHAnsi" w:eastAsia="Times New Roman" w:hAnsiTheme="majorHAnsi" w:cstheme="majorHAnsi"/>
                <w:bCs/>
                <w:sz w:val="20"/>
                <w:szCs w:val="20"/>
                <w:lang w:val="ro-MD"/>
              </w:rPr>
            </w:pPr>
            <w:r w:rsidRPr="00E33BAB">
              <w:rPr>
                <w:rFonts w:asciiTheme="majorHAnsi" w:eastAsia="Times New Roman" w:hAnsiTheme="majorHAnsi" w:cstheme="majorHAnsi"/>
                <w:bCs/>
                <w:sz w:val="20"/>
                <w:szCs w:val="20"/>
                <w:lang w:val="ro-MD"/>
              </w:rPr>
              <w:t>0,00</w:t>
            </w:r>
          </w:p>
        </w:tc>
        <w:tc>
          <w:tcPr>
            <w:tcW w:w="992" w:type="dxa"/>
            <w:noWrap/>
          </w:tcPr>
          <w:p w14:paraId="05EF01CC" w14:textId="77777777" w:rsidR="006127E1" w:rsidRPr="00E33BAB" w:rsidRDefault="006127E1" w:rsidP="00785360">
            <w:pPr>
              <w:jc w:val="center"/>
              <w:rPr>
                <w:rFonts w:asciiTheme="majorHAnsi" w:eastAsia="Times New Roman" w:hAnsiTheme="majorHAnsi" w:cstheme="majorHAnsi"/>
                <w:bCs/>
                <w:sz w:val="20"/>
                <w:szCs w:val="20"/>
                <w:lang w:val="ro-MD"/>
              </w:rPr>
            </w:pPr>
            <w:r w:rsidRPr="00E33BAB">
              <w:rPr>
                <w:rFonts w:asciiTheme="majorHAnsi" w:eastAsia="Times New Roman" w:hAnsiTheme="majorHAnsi" w:cstheme="majorHAnsi"/>
                <w:bCs/>
                <w:sz w:val="20"/>
                <w:szCs w:val="20"/>
                <w:lang w:val="ro-MD"/>
              </w:rPr>
              <w:t>0%</w:t>
            </w:r>
          </w:p>
        </w:tc>
        <w:tc>
          <w:tcPr>
            <w:tcW w:w="851" w:type="dxa"/>
          </w:tcPr>
          <w:p w14:paraId="3D24B59E" w14:textId="77777777" w:rsidR="006127E1" w:rsidRPr="00E33BAB" w:rsidRDefault="006127E1" w:rsidP="00785360">
            <w:pPr>
              <w:jc w:val="center"/>
              <w:rPr>
                <w:rFonts w:asciiTheme="majorHAnsi" w:eastAsia="Times New Roman" w:hAnsiTheme="majorHAnsi" w:cstheme="majorHAnsi"/>
                <w:bCs/>
                <w:sz w:val="20"/>
                <w:szCs w:val="20"/>
                <w:lang w:val="ro-MD"/>
              </w:rPr>
            </w:pPr>
            <w:r w:rsidRPr="00E33BAB">
              <w:rPr>
                <w:rFonts w:asciiTheme="majorHAnsi" w:eastAsia="Times New Roman" w:hAnsiTheme="majorHAnsi" w:cstheme="majorHAnsi"/>
                <w:bCs/>
                <w:sz w:val="20"/>
                <w:szCs w:val="20"/>
                <w:lang w:val="ro-MD"/>
              </w:rPr>
              <w:t>0%</w:t>
            </w:r>
          </w:p>
        </w:tc>
        <w:tc>
          <w:tcPr>
            <w:tcW w:w="992" w:type="dxa"/>
          </w:tcPr>
          <w:p w14:paraId="44584551" w14:textId="77777777" w:rsidR="006127E1" w:rsidRPr="00E33BAB" w:rsidRDefault="006127E1" w:rsidP="00785360">
            <w:pPr>
              <w:jc w:val="center"/>
              <w:rPr>
                <w:rFonts w:asciiTheme="majorHAnsi" w:hAnsiTheme="majorHAnsi" w:cstheme="majorHAnsi"/>
                <w:sz w:val="20"/>
                <w:szCs w:val="20"/>
                <w:lang w:val="ro-MD"/>
              </w:rPr>
            </w:pPr>
            <w:r w:rsidRPr="00E33BAB">
              <w:rPr>
                <w:rFonts w:asciiTheme="majorHAnsi" w:hAnsiTheme="majorHAnsi" w:cstheme="majorHAnsi"/>
                <w:sz w:val="20"/>
                <w:szCs w:val="20"/>
                <w:lang w:val="ro-MD"/>
              </w:rPr>
              <w:t>0%</w:t>
            </w:r>
          </w:p>
        </w:tc>
        <w:tc>
          <w:tcPr>
            <w:tcW w:w="760" w:type="dxa"/>
          </w:tcPr>
          <w:p w14:paraId="096802E1" w14:textId="77777777" w:rsidR="006127E1" w:rsidRPr="00E33BAB" w:rsidRDefault="006127E1" w:rsidP="00785360">
            <w:pPr>
              <w:jc w:val="center"/>
              <w:rPr>
                <w:rFonts w:asciiTheme="majorHAnsi" w:hAnsiTheme="majorHAnsi" w:cstheme="majorHAnsi"/>
                <w:sz w:val="20"/>
                <w:szCs w:val="20"/>
                <w:lang w:val="ro-MD"/>
              </w:rPr>
            </w:pPr>
            <w:r w:rsidRPr="00E33BAB">
              <w:rPr>
                <w:rFonts w:asciiTheme="majorHAnsi" w:hAnsiTheme="majorHAnsi" w:cstheme="majorHAnsi"/>
                <w:sz w:val="20"/>
                <w:szCs w:val="20"/>
                <w:lang w:val="ro-MD"/>
              </w:rPr>
              <w:t>0%</w:t>
            </w:r>
          </w:p>
        </w:tc>
      </w:tr>
      <w:tr w:rsidR="006127E1" w:rsidRPr="00E33BAB" w14:paraId="0BC64CC1" w14:textId="77777777" w:rsidTr="006127E1">
        <w:trPr>
          <w:trHeight w:val="264"/>
        </w:trPr>
        <w:tc>
          <w:tcPr>
            <w:tcW w:w="4909" w:type="dxa"/>
          </w:tcPr>
          <w:p w14:paraId="09FD14E3" w14:textId="122FCA8F" w:rsidR="006127E1" w:rsidRPr="00E33BAB" w:rsidRDefault="006127E1" w:rsidP="00785360">
            <w:pP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sz w:val="20"/>
                <w:szCs w:val="20"/>
                <w:lang w:val="ro-MD"/>
              </w:rPr>
              <w:t xml:space="preserve">2.2 Elaborarea Strategiei de comunicare </w:t>
            </w:r>
            <w:r w:rsidR="00ED5AB3">
              <w:rPr>
                <w:rFonts w:asciiTheme="majorHAnsi" w:eastAsia="Times New Roman" w:hAnsiTheme="majorHAnsi" w:cstheme="majorHAnsi"/>
                <w:sz w:val="20"/>
                <w:szCs w:val="20"/>
                <w:lang w:val="ro-MD"/>
              </w:rPr>
              <w:t xml:space="preserve">pentru anii </w:t>
            </w:r>
            <w:r w:rsidRPr="00E33BAB">
              <w:rPr>
                <w:rFonts w:asciiTheme="majorHAnsi" w:eastAsia="Times New Roman" w:hAnsiTheme="majorHAnsi" w:cstheme="majorHAnsi"/>
                <w:sz w:val="20"/>
                <w:szCs w:val="20"/>
                <w:lang w:val="ro-MD"/>
              </w:rPr>
              <w:t>2021-2023</w:t>
            </w:r>
          </w:p>
        </w:tc>
        <w:tc>
          <w:tcPr>
            <w:tcW w:w="1559" w:type="dxa"/>
            <w:noWrap/>
          </w:tcPr>
          <w:p w14:paraId="4D17042F" w14:textId="77777777" w:rsidR="006127E1" w:rsidRPr="00E33BAB" w:rsidRDefault="006127E1" w:rsidP="00785360">
            <w:pPr>
              <w:jc w:val="center"/>
              <w:rPr>
                <w:rFonts w:asciiTheme="majorHAnsi" w:eastAsia="Times New Roman" w:hAnsiTheme="majorHAnsi" w:cstheme="majorHAnsi"/>
                <w:bCs/>
                <w:sz w:val="20"/>
                <w:szCs w:val="20"/>
                <w:lang w:val="ro-MD"/>
              </w:rPr>
            </w:pPr>
            <w:r w:rsidRPr="00E33BAB">
              <w:rPr>
                <w:rFonts w:asciiTheme="majorHAnsi" w:eastAsia="Times New Roman" w:hAnsiTheme="majorHAnsi" w:cstheme="majorHAnsi"/>
                <w:bCs/>
                <w:sz w:val="20"/>
                <w:szCs w:val="20"/>
                <w:lang w:val="ro-MD"/>
              </w:rPr>
              <w:t>0,00</w:t>
            </w:r>
          </w:p>
        </w:tc>
        <w:tc>
          <w:tcPr>
            <w:tcW w:w="1417" w:type="dxa"/>
          </w:tcPr>
          <w:p w14:paraId="07085000" w14:textId="77777777" w:rsidR="006127E1" w:rsidRPr="00E33BAB" w:rsidRDefault="006127E1" w:rsidP="00785360">
            <w:pPr>
              <w:jc w:val="center"/>
              <w:rPr>
                <w:rFonts w:asciiTheme="majorHAnsi" w:eastAsia="Times New Roman" w:hAnsiTheme="majorHAnsi" w:cstheme="majorHAnsi"/>
                <w:bCs/>
                <w:sz w:val="20"/>
                <w:szCs w:val="20"/>
                <w:lang w:val="ro-MD"/>
              </w:rPr>
            </w:pPr>
            <w:r w:rsidRPr="00E33BAB">
              <w:rPr>
                <w:rFonts w:asciiTheme="majorHAnsi" w:eastAsia="Times New Roman" w:hAnsiTheme="majorHAnsi" w:cstheme="majorHAnsi"/>
                <w:bCs/>
                <w:sz w:val="20"/>
                <w:szCs w:val="20"/>
                <w:lang w:val="ro-MD"/>
              </w:rPr>
              <w:t>0.00</w:t>
            </w:r>
          </w:p>
        </w:tc>
        <w:tc>
          <w:tcPr>
            <w:tcW w:w="1560" w:type="dxa"/>
          </w:tcPr>
          <w:p w14:paraId="64F1CA11" w14:textId="77777777" w:rsidR="006127E1" w:rsidRPr="00E33BAB" w:rsidRDefault="006127E1" w:rsidP="00785360">
            <w:pPr>
              <w:jc w:val="center"/>
              <w:rPr>
                <w:rFonts w:asciiTheme="majorHAnsi" w:hAnsiTheme="majorHAnsi" w:cstheme="majorHAnsi"/>
                <w:sz w:val="20"/>
                <w:szCs w:val="20"/>
                <w:lang w:val="ro-MD"/>
              </w:rPr>
            </w:pPr>
            <w:r w:rsidRPr="00E33BAB">
              <w:rPr>
                <w:rFonts w:asciiTheme="majorHAnsi" w:eastAsia="Times New Roman" w:hAnsiTheme="majorHAnsi" w:cstheme="majorHAnsi"/>
                <w:bCs/>
                <w:sz w:val="20"/>
                <w:szCs w:val="20"/>
                <w:lang w:val="ro-MD"/>
              </w:rPr>
              <w:t>0,00</w:t>
            </w:r>
          </w:p>
        </w:tc>
        <w:tc>
          <w:tcPr>
            <w:tcW w:w="1559" w:type="dxa"/>
          </w:tcPr>
          <w:p w14:paraId="2AE1E59D" w14:textId="77777777" w:rsidR="006127E1" w:rsidRPr="00E33BAB" w:rsidRDefault="006127E1" w:rsidP="00785360">
            <w:pPr>
              <w:jc w:val="center"/>
              <w:rPr>
                <w:rFonts w:asciiTheme="majorHAnsi" w:eastAsia="Times New Roman" w:hAnsiTheme="majorHAnsi" w:cstheme="majorHAnsi"/>
                <w:bCs/>
                <w:sz w:val="20"/>
                <w:szCs w:val="20"/>
                <w:lang w:val="ro-MD"/>
              </w:rPr>
            </w:pPr>
            <w:r w:rsidRPr="00E33BAB">
              <w:rPr>
                <w:rFonts w:asciiTheme="majorHAnsi" w:eastAsia="Times New Roman" w:hAnsiTheme="majorHAnsi" w:cstheme="majorHAnsi"/>
                <w:bCs/>
                <w:sz w:val="20"/>
                <w:szCs w:val="20"/>
                <w:lang w:val="ro-MD"/>
              </w:rPr>
              <w:t>0,00</w:t>
            </w:r>
          </w:p>
        </w:tc>
        <w:tc>
          <w:tcPr>
            <w:tcW w:w="992" w:type="dxa"/>
            <w:noWrap/>
          </w:tcPr>
          <w:p w14:paraId="3732800B" w14:textId="77777777" w:rsidR="006127E1" w:rsidRPr="00E33BAB" w:rsidRDefault="006127E1" w:rsidP="00785360">
            <w:pPr>
              <w:jc w:val="center"/>
              <w:rPr>
                <w:rFonts w:asciiTheme="majorHAnsi" w:eastAsia="Times New Roman" w:hAnsiTheme="majorHAnsi" w:cstheme="majorHAnsi"/>
                <w:bCs/>
                <w:sz w:val="20"/>
                <w:szCs w:val="20"/>
                <w:lang w:val="ro-MD"/>
              </w:rPr>
            </w:pPr>
            <w:r w:rsidRPr="00E33BAB">
              <w:rPr>
                <w:rFonts w:asciiTheme="majorHAnsi" w:eastAsia="Times New Roman" w:hAnsiTheme="majorHAnsi" w:cstheme="majorHAnsi"/>
                <w:bCs/>
                <w:sz w:val="20"/>
                <w:szCs w:val="20"/>
                <w:lang w:val="ro-MD"/>
              </w:rPr>
              <w:t>0%</w:t>
            </w:r>
          </w:p>
        </w:tc>
        <w:tc>
          <w:tcPr>
            <w:tcW w:w="851" w:type="dxa"/>
          </w:tcPr>
          <w:p w14:paraId="2766EED4" w14:textId="77777777" w:rsidR="006127E1" w:rsidRPr="00E33BAB" w:rsidRDefault="006127E1" w:rsidP="00785360">
            <w:pPr>
              <w:jc w:val="center"/>
              <w:rPr>
                <w:rFonts w:asciiTheme="majorHAnsi" w:eastAsia="Times New Roman" w:hAnsiTheme="majorHAnsi" w:cstheme="majorHAnsi"/>
                <w:bCs/>
                <w:sz w:val="20"/>
                <w:szCs w:val="20"/>
                <w:lang w:val="ro-MD"/>
              </w:rPr>
            </w:pPr>
            <w:r w:rsidRPr="00E33BAB">
              <w:rPr>
                <w:rFonts w:asciiTheme="majorHAnsi" w:eastAsia="Times New Roman" w:hAnsiTheme="majorHAnsi" w:cstheme="majorHAnsi"/>
                <w:bCs/>
                <w:sz w:val="20"/>
                <w:szCs w:val="20"/>
                <w:lang w:val="ro-MD"/>
              </w:rPr>
              <w:t>0%</w:t>
            </w:r>
          </w:p>
        </w:tc>
        <w:tc>
          <w:tcPr>
            <w:tcW w:w="992" w:type="dxa"/>
          </w:tcPr>
          <w:p w14:paraId="32E503C6" w14:textId="77777777" w:rsidR="006127E1" w:rsidRPr="00E33BAB" w:rsidRDefault="006127E1" w:rsidP="00785360">
            <w:pPr>
              <w:jc w:val="center"/>
              <w:rPr>
                <w:rFonts w:asciiTheme="majorHAnsi" w:hAnsiTheme="majorHAnsi" w:cstheme="majorHAnsi"/>
                <w:sz w:val="20"/>
                <w:szCs w:val="20"/>
                <w:lang w:val="ro-MD"/>
              </w:rPr>
            </w:pPr>
            <w:r w:rsidRPr="00E33BAB">
              <w:rPr>
                <w:rFonts w:asciiTheme="majorHAnsi" w:hAnsiTheme="majorHAnsi" w:cstheme="majorHAnsi"/>
                <w:sz w:val="20"/>
                <w:szCs w:val="20"/>
                <w:lang w:val="ro-MD"/>
              </w:rPr>
              <w:t>0%</w:t>
            </w:r>
          </w:p>
        </w:tc>
        <w:tc>
          <w:tcPr>
            <w:tcW w:w="760" w:type="dxa"/>
          </w:tcPr>
          <w:p w14:paraId="16CE84B8" w14:textId="77777777" w:rsidR="006127E1" w:rsidRPr="00E33BAB" w:rsidRDefault="006127E1" w:rsidP="00785360">
            <w:pPr>
              <w:jc w:val="center"/>
              <w:rPr>
                <w:rFonts w:asciiTheme="majorHAnsi" w:hAnsiTheme="majorHAnsi" w:cstheme="majorHAnsi"/>
                <w:sz w:val="20"/>
                <w:szCs w:val="20"/>
                <w:lang w:val="ro-MD"/>
              </w:rPr>
            </w:pPr>
            <w:r w:rsidRPr="00E33BAB">
              <w:rPr>
                <w:rFonts w:asciiTheme="majorHAnsi" w:hAnsiTheme="majorHAnsi" w:cstheme="majorHAnsi"/>
                <w:sz w:val="20"/>
                <w:szCs w:val="20"/>
                <w:lang w:val="ro-MD"/>
              </w:rPr>
              <w:t>0%</w:t>
            </w:r>
          </w:p>
        </w:tc>
      </w:tr>
      <w:tr w:rsidR="006127E1" w:rsidRPr="00E33BAB" w14:paraId="36EF80F2" w14:textId="77777777" w:rsidTr="006127E1">
        <w:trPr>
          <w:trHeight w:val="276"/>
        </w:trPr>
        <w:tc>
          <w:tcPr>
            <w:tcW w:w="4909" w:type="dxa"/>
            <w:noWrap/>
            <w:hideMark/>
          </w:tcPr>
          <w:p w14:paraId="517B4DA5" w14:textId="77777777" w:rsidR="006127E1" w:rsidRPr="00E33BAB" w:rsidRDefault="006127E1" w:rsidP="00785360">
            <w:pP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 xml:space="preserve"> Total</w:t>
            </w:r>
          </w:p>
        </w:tc>
        <w:tc>
          <w:tcPr>
            <w:tcW w:w="1559" w:type="dxa"/>
            <w:noWrap/>
            <w:hideMark/>
          </w:tcPr>
          <w:p w14:paraId="025EA25D" w14:textId="77777777" w:rsidR="006127E1" w:rsidRPr="00E33BAB" w:rsidRDefault="006127E1" w:rsidP="00785360">
            <w:pPr>
              <w:jc w:val="center"/>
              <w:rPr>
                <w:rFonts w:asciiTheme="majorHAnsi" w:hAnsiTheme="majorHAnsi" w:cstheme="majorHAnsi"/>
                <w:sz w:val="20"/>
                <w:szCs w:val="20"/>
                <w:lang w:val="ro-MD"/>
              </w:rPr>
            </w:pPr>
            <w:r w:rsidRPr="00E33BAB">
              <w:rPr>
                <w:rFonts w:asciiTheme="majorHAnsi" w:hAnsiTheme="majorHAnsi" w:cstheme="majorHAnsi"/>
                <w:b/>
                <w:bCs/>
                <w:sz w:val="20"/>
                <w:szCs w:val="20"/>
                <w:lang w:val="ro-MD"/>
              </w:rPr>
              <w:t>620 302,72</w:t>
            </w:r>
          </w:p>
        </w:tc>
        <w:tc>
          <w:tcPr>
            <w:tcW w:w="1417" w:type="dxa"/>
          </w:tcPr>
          <w:p w14:paraId="03878116" w14:textId="77777777" w:rsidR="006127E1" w:rsidRPr="00E33BAB" w:rsidRDefault="006127E1" w:rsidP="00785360">
            <w:pPr>
              <w:jc w:val="center"/>
              <w:rPr>
                <w:rFonts w:asciiTheme="majorHAnsi" w:hAnsiTheme="majorHAnsi" w:cstheme="majorHAnsi"/>
                <w:b/>
                <w:sz w:val="20"/>
                <w:szCs w:val="20"/>
                <w:lang w:val="ro-MD"/>
              </w:rPr>
            </w:pPr>
            <w:r w:rsidRPr="00E33BAB">
              <w:rPr>
                <w:rFonts w:asciiTheme="majorHAnsi" w:hAnsiTheme="majorHAnsi" w:cstheme="majorHAnsi"/>
                <w:b/>
                <w:sz w:val="20"/>
                <w:szCs w:val="20"/>
                <w:lang w:val="ro-MD"/>
              </w:rPr>
              <w:t>962 778,75</w:t>
            </w:r>
          </w:p>
        </w:tc>
        <w:tc>
          <w:tcPr>
            <w:tcW w:w="1560" w:type="dxa"/>
          </w:tcPr>
          <w:p w14:paraId="006FDE6C" w14:textId="77777777" w:rsidR="006127E1" w:rsidRPr="00E33BAB" w:rsidRDefault="006127E1" w:rsidP="00785360">
            <w:pPr>
              <w:jc w:val="cente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1 537 225,07</w:t>
            </w:r>
          </w:p>
        </w:tc>
        <w:tc>
          <w:tcPr>
            <w:tcW w:w="1559" w:type="dxa"/>
          </w:tcPr>
          <w:p w14:paraId="5EB48CE5" w14:textId="77777777" w:rsidR="006127E1" w:rsidRPr="00E33BAB" w:rsidRDefault="006127E1" w:rsidP="00785360">
            <w:pPr>
              <w:jc w:val="cente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1 666 569,16</w:t>
            </w:r>
          </w:p>
        </w:tc>
        <w:tc>
          <w:tcPr>
            <w:tcW w:w="992" w:type="dxa"/>
            <w:noWrap/>
            <w:hideMark/>
          </w:tcPr>
          <w:p w14:paraId="4F8E1C90" w14:textId="77777777" w:rsidR="006127E1" w:rsidRPr="00E33BAB" w:rsidRDefault="006127E1" w:rsidP="00785360">
            <w:pPr>
              <w:jc w:val="cente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32%</w:t>
            </w:r>
          </w:p>
        </w:tc>
        <w:tc>
          <w:tcPr>
            <w:tcW w:w="851" w:type="dxa"/>
          </w:tcPr>
          <w:p w14:paraId="19EAA9E4" w14:textId="77777777" w:rsidR="006127E1" w:rsidRPr="00E33BAB" w:rsidRDefault="006127E1" w:rsidP="00785360">
            <w:pPr>
              <w:jc w:val="center"/>
              <w:rPr>
                <w:rFonts w:asciiTheme="majorHAnsi" w:eastAsia="Times New Roman" w:hAnsiTheme="majorHAnsi" w:cstheme="majorHAnsi"/>
                <w:b/>
                <w:bCs/>
                <w:sz w:val="20"/>
                <w:szCs w:val="20"/>
                <w:lang w:val="ro-MD"/>
              </w:rPr>
            </w:pPr>
            <w:r w:rsidRPr="00E33BAB">
              <w:rPr>
                <w:rFonts w:asciiTheme="majorHAnsi" w:eastAsia="Times New Roman" w:hAnsiTheme="majorHAnsi" w:cstheme="majorHAnsi"/>
                <w:b/>
                <w:bCs/>
                <w:sz w:val="20"/>
                <w:szCs w:val="20"/>
                <w:lang w:val="ro-MD"/>
              </w:rPr>
              <w:t>53%</w:t>
            </w:r>
          </w:p>
        </w:tc>
        <w:tc>
          <w:tcPr>
            <w:tcW w:w="992" w:type="dxa"/>
          </w:tcPr>
          <w:p w14:paraId="5A8440AE" w14:textId="77777777" w:rsidR="006127E1" w:rsidRPr="00E33BAB" w:rsidRDefault="006127E1" w:rsidP="00785360">
            <w:pPr>
              <w:jc w:val="center"/>
              <w:rPr>
                <w:rFonts w:asciiTheme="majorHAnsi" w:hAnsiTheme="majorHAnsi" w:cstheme="majorHAnsi"/>
                <w:b/>
                <w:sz w:val="20"/>
                <w:szCs w:val="20"/>
                <w:lang w:val="ro-MD"/>
              </w:rPr>
            </w:pPr>
            <w:r w:rsidRPr="00E33BAB">
              <w:rPr>
                <w:rFonts w:asciiTheme="majorHAnsi" w:hAnsiTheme="majorHAnsi" w:cstheme="majorHAnsi"/>
                <w:b/>
                <w:sz w:val="20"/>
                <w:szCs w:val="20"/>
                <w:lang w:val="ro-MD"/>
              </w:rPr>
              <w:t>52 %</w:t>
            </w:r>
          </w:p>
        </w:tc>
        <w:tc>
          <w:tcPr>
            <w:tcW w:w="760" w:type="dxa"/>
          </w:tcPr>
          <w:p w14:paraId="1EB23D89" w14:textId="77777777" w:rsidR="006127E1" w:rsidRPr="00E33BAB" w:rsidRDefault="006127E1" w:rsidP="00785360">
            <w:pPr>
              <w:jc w:val="center"/>
              <w:rPr>
                <w:rFonts w:asciiTheme="majorHAnsi" w:hAnsiTheme="majorHAnsi" w:cstheme="majorHAnsi"/>
                <w:b/>
                <w:sz w:val="20"/>
                <w:szCs w:val="20"/>
                <w:lang w:val="ro-MD"/>
              </w:rPr>
            </w:pPr>
            <w:r w:rsidRPr="00E33BAB">
              <w:rPr>
                <w:rFonts w:asciiTheme="majorHAnsi" w:hAnsiTheme="majorHAnsi" w:cstheme="majorHAnsi"/>
                <w:b/>
                <w:sz w:val="20"/>
                <w:szCs w:val="20"/>
                <w:lang w:val="ro-MD"/>
              </w:rPr>
              <w:t>56%</w:t>
            </w:r>
          </w:p>
        </w:tc>
      </w:tr>
    </w:tbl>
    <w:p w14:paraId="06AAF265" w14:textId="7D64218C" w:rsidR="006127E1" w:rsidRPr="00E33BAB" w:rsidRDefault="006127E1" w:rsidP="00785360">
      <w:pPr>
        <w:tabs>
          <w:tab w:val="left" w:pos="9380"/>
        </w:tabs>
        <w:rPr>
          <w:rFonts w:asciiTheme="majorHAnsi" w:hAnsiTheme="majorHAnsi" w:cstheme="majorHAnsi"/>
          <w:sz w:val="24"/>
          <w:szCs w:val="24"/>
          <w:lang w:val="ro-MD"/>
        </w:rPr>
        <w:sectPr w:rsidR="006127E1" w:rsidRPr="00E33BAB" w:rsidSect="00785360">
          <w:pgSz w:w="15840" w:h="12240" w:orient="landscape"/>
          <w:pgMar w:top="284" w:right="1140" w:bottom="49" w:left="1140" w:header="720" w:footer="720" w:gutter="0"/>
          <w:cols w:space="720"/>
          <w:docGrid w:linePitch="360"/>
        </w:sectPr>
      </w:pPr>
    </w:p>
    <w:p w14:paraId="3FF1471B" w14:textId="674D1937" w:rsidR="008344C7" w:rsidRPr="00E33BAB" w:rsidRDefault="00FC5332" w:rsidP="0065791C">
      <w:pPr>
        <w:pStyle w:val="Heading1"/>
        <w:numPr>
          <w:ilvl w:val="0"/>
          <w:numId w:val="0"/>
        </w:numPr>
        <w:ind w:left="360" w:hanging="360"/>
        <w:jc w:val="right"/>
        <w:rPr>
          <w:rFonts w:asciiTheme="majorHAnsi" w:hAnsiTheme="majorHAnsi" w:cstheme="majorHAnsi"/>
          <w:b w:val="0"/>
          <w:sz w:val="24"/>
          <w:szCs w:val="24"/>
        </w:rPr>
      </w:pPr>
      <w:bookmarkStart w:id="24" w:name="_Toc10125928"/>
      <w:r w:rsidRPr="00E33BAB">
        <w:rPr>
          <w:rFonts w:asciiTheme="majorHAnsi" w:hAnsiTheme="majorHAnsi" w:cstheme="majorHAnsi"/>
          <w:sz w:val="24"/>
          <w:szCs w:val="24"/>
        </w:rPr>
        <w:lastRenderedPageBreak/>
        <w:t xml:space="preserve">                                                                                                                             </w:t>
      </w:r>
      <w:r w:rsidR="008344C7" w:rsidRPr="00E33BAB">
        <w:rPr>
          <w:rFonts w:asciiTheme="majorHAnsi" w:hAnsiTheme="majorHAnsi" w:cstheme="majorHAnsi"/>
          <w:sz w:val="24"/>
          <w:szCs w:val="24"/>
        </w:rPr>
        <w:t>Anexa nr.</w:t>
      </w:r>
      <w:bookmarkEnd w:id="24"/>
      <w:r w:rsidR="00FB2043" w:rsidRPr="00E33BAB">
        <w:rPr>
          <w:rFonts w:asciiTheme="majorHAnsi" w:hAnsiTheme="majorHAnsi" w:cstheme="majorHAnsi"/>
          <w:sz w:val="24"/>
          <w:szCs w:val="24"/>
        </w:rPr>
        <w:t>6</w:t>
      </w:r>
    </w:p>
    <w:p w14:paraId="0D05F327" w14:textId="325090A9" w:rsidR="009B6EFA" w:rsidRPr="00E33BAB" w:rsidRDefault="008344C7" w:rsidP="008344C7">
      <w:pPr>
        <w:tabs>
          <w:tab w:val="left" w:pos="993"/>
        </w:tabs>
        <w:spacing w:after="0" w:line="276" w:lineRule="auto"/>
        <w:jc w:val="center"/>
        <w:rPr>
          <w:rFonts w:asciiTheme="majorHAnsi" w:hAnsiTheme="majorHAnsi" w:cstheme="majorHAnsi"/>
          <w:b/>
          <w:i/>
          <w:sz w:val="24"/>
          <w:szCs w:val="24"/>
          <w:lang w:val="ro-MD"/>
        </w:rPr>
      </w:pPr>
      <w:r w:rsidRPr="00E33BAB">
        <w:rPr>
          <w:rFonts w:asciiTheme="majorHAnsi" w:hAnsiTheme="majorHAnsi" w:cstheme="majorHAnsi"/>
          <w:b/>
          <w:i/>
          <w:sz w:val="24"/>
          <w:szCs w:val="24"/>
          <w:lang w:val="ro-MD"/>
        </w:rPr>
        <w:t>Acțiunile stabilite în Acordul de finanțare „Modernizarea sectorului sănătății în Republica Moldova”</w:t>
      </w:r>
      <w:r w:rsidR="00ED5AB3">
        <w:rPr>
          <w:rFonts w:asciiTheme="majorHAnsi" w:hAnsiTheme="majorHAnsi" w:cstheme="majorHAnsi"/>
          <w:b/>
          <w:i/>
          <w:sz w:val="24"/>
          <w:szCs w:val="24"/>
          <w:lang w:val="ro-MD"/>
        </w:rPr>
        <w:t>.</w:t>
      </w:r>
      <w:r w:rsidRPr="00E33BAB">
        <w:rPr>
          <w:rFonts w:asciiTheme="majorHAnsi" w:hAnsiTheme="majorHAnsi" w:cstheme="majorHAnsi"/>
          <w:b/>
          <w:i/>
          <w:sz w:val="24"/>
          <w:szCs w:val="24"/>
          <w:lang w:val="ro-MD"/>
        </w:rPr>
        <w:t xml:space="preserve"> Indicatori</w:t>
      </w:r>
      <w:r w:rsidR="00ED5AB3">
        <w:rPr>
          <w:rFonts w:asciiTheme="majorHAnsi" w:hAnsiTheme="majorHAnsi" w:cstheme="majorHAnsi"/>
          <w:b/>
          <w:i/>
          <w:sz w:val="24"/>
          <w:szCs w:val="24"/>
          <w:lang w:val="ro-MD"/>
        </w:rPr>
        <w:t>i</w:t>
      </w:r>
      <w:r w:rsidRPr="00E33BAB">
        <w:rPr>
          <w:rFonts w:asciiTheme="majorHAnsi" w:hAnsiTheme="majorHAnsi" w:cstheme="majorHAnsi"/>
          <w:b/>
          <w:i/>
          <w:sz w:val="24"/>
          <w:szCs w:val="24"/>
          <w:lang w:val="ro-MD"/>
        </w:rPr>
        <w:t xml:space="preserve"> specifici legați de debursare, cotele alocate de finanțare</w:t>
      </w:r>
    </w:p>
    <w:p w14:paraId="384DD3B2" w14:textId="77777777" w:rsidR="009B6EFA" w:rsidRPr="00E33BAB" w:rsidRDefault="009B6EFA" w:rsidP="009B6EFA">
      <w:pPr>
        <w:tabs>
          <w:tab w:val="left" w:pos="1080"/>
        </w:tabs>
        <w:spacing w:after="0" w:line="276" w:lineRule="auto"/>
        <w:contextualSpacing/>
        <w:jc w:val="both"/>
        <w:rPr>
          <w:rFonts w:asciiTheme="majorHAnsi" w:hAnsiTheme="majorHAnsi" w:cstheme="majorHAnsi"/>
          <w:sz w:val="24"/>
          <w:szCs w:val="24"/>
          <w:lang w:val="ro-MD"/>
        </w:rPr>
      </w:pPr>
    </w:p>
    <w:tbl>
      <w:tblPr>
        <w:tblW w:w="9432" w:type="dxa"/>
        <w:tblInd w:w="-37" w:type="dxa"/>
        <w:tblCellMar>
          <w:top w:w="40" w:type="dxa"/>
          <w:left w:w="118" w:type="dxa"/>
          <w:right w:w="36" w:type="dxa"/>
        </w:tblCellMar>
        <w:tblLook w:val="04A0" w:firstRow="1" w:lastRow="0" w:firstColumn="1" w:lastColumn="0" w:noHBand="0" w:noVBand="1"/>
      </w:tblPr>
      <w:tblGrid>
        <w:gridCol w:w="2430"/>
        <w:gridCol w:w="4120"/>
        <w:gridCol w:w="2882"/>
      </w:tblGrid>
      <w:tr w:rsidR="009B6EFA" w:rsidRPr="00E33BAB" w14:paraId="0D6E2C86" w14:textId="77777777" w:rsidTr="00152D68">
        <w:trPr>
          <w:trHeight w:val="844"/>
        </w:trPr>
        <w:tc>
          <w:tcPr>
            <w:tcW w:w="2430" w:type="dxa"/>
            <w:tcBorders>
              <w:top w:val="single" w:sz="6" w:space="0" w:color="000000"/>
              <w:left w:val="single" w:sz="6" w:space="0" w:color="000000"/>
              <w:bottom w:val="single" w:sz="6" w:space="0" w:color="000000"/>
              <w:right w:val="single" w:sz="6" w:space="0" w:color="000000"/>
            </w:tcBorders>
            <w:shd w:val="clear" w:color="auto" w:fill="D9D9D9"/>
          </w:tcPr>
          <w:p w14:paraId="1CBF13CE" w14:textId="22074B2E" w:rsidR="009B6EFA" w:rsidRPr="00DA7824" w:rsidRDefault="009B6EFA" w:rsidP="008344C7">
            <w:pPr>
              <w:tabs>
                <w:tab w:val="left" w:pos="1080"/>
              </w:tabs>
              <w:spacing w:after="0" w:line="276" w:lineRule="auto"/>
              <w:contextualSpacing/>
              <w:jc w:val="center"/>
              <w:rPr>
                <w:rFonts w:asciiTheme="majorHAnsi" w:hAnsiTheme="majorHAnsi" w:cstheme="majorHAnsi"/>
                <w:sz w:val="20"/>
                <w:szCs w:val="20"/>
                <w:lang w:val="ro-MD"/>
              </w:rPr>
            </w:pPr>
            <w:r w:rsidRPr="00DA7824">
              <w:rPr>
                <w:rFonts w:asciiTheme="majorHAnsi" w:hAnsiTheme="majorHAnsi" w:cstheme="majorHAnsi"/>
                <w:b/>
                <w:sz w:val="20"/>
                <w:szCs w:val="20"/>
                <w:lang w:val="ro-MD"/>
              </w:rPr>
              <w:t>Categoria pentru</w:t>
            </w:r>
          </w:p>
          <w:p w14:paraId="69678BE4" w14:textId="0CDBEBF2" w:rsidR="009B6EFA" w:rsidRPr="00DA7824" w:rsidRDefault="009B6EFA" w:rsidP="008344C7">
            <w:pPr>
              <w:tabs>
                <w:tab w:val="left" w:pos="1080"/>
              </w:tabs>
              <w:spacing w:after="0" w:line="276" w:lineRule="auto"/>
              <w:contextualSpacing/>
              <w:jc w:val="center"/>
              <w:rPr>
                <w:rFonts w:asciiTheme="majorHAnsi" w:hAnsiTheme="majorHAnsi" w:cstheme="majorHAnsi"/>
                <w:sz w:val="20"/>
                <w:szCs w:val="20"/>
                <w:lang w:val="ro-MD"/>
              </w:rPr>
            </w:pPr>
            <w:r w:rsidRPr="00DA7824">
              <w:rPr>
                <w:rFonts w:asciiTheme="majorHAnsi" w:hAnsiTheme="majorHAnsi" w:cstheme="majorHAnsi"/>
                <w:b/>
                <w:sz w:val="20"/>
                <w:szCs w:val="20"/>
                <w:lang w:val="ro-MD"/>
              </w:rPr>
              <w:t>Program (inclusiv DLI, după caz)</w:t>
            </w:r>
          </w:p>
        </w:tc>
        <w:tc>
          <w:tcPr>
            <w:tcW w:w="4120" w:type="dxa"/>
            <w:tcBorders>
              <w:top w:val="single" w:sz="6" w:space="0" w:color="000000"/>
              <w:left w:val="single" w:sz="6" w:space="0" w:color="000000"/>
              <w:bottom w:val="single" w:sz="6" w:space="0" w:color="000000"/>
              <w:right w:val="single" w:sz="6" w:space="0" w:color="000000"/>
            </w:tcBorders>
            <w:shd w:val="clear" w:color="auto" w:fill="D9D9D9"/>
          </w:tcPr>
          <w:p w14:paraId="0411B5D0" w14:textId="6BF75A49" w:rsidR="008344C7" w:rsidRPr="00DA7824" w:rsidRDefault="009B6EFA" w:rsidP="008344C7">
            <w:pPr>
              <w:tabs>
                <w:tab w:val="left" w:pos="1080"/>
              </w:tabs>
              <w:spacing w:after="0" w:line="276" w:lineRule="auto"/>
              <w:contextualSpacing/>
              <w:jc w:val="center"/>
              <w:rPr>
                <w:rFonts w:asciiTheme="majorHAnsi" w:hAnsiTheme="majorHAnsi" w:cstheme="majorHAnsi"/>
                <w:b/>
                <w:sz w:val="20"/>
                <w:szCs w:val="20"/>
                <w:lang w:val="ro-MD"/>
              </w:rPr>
            </w:pPr>
            <w:r w:rsidRPr="00DA7824">
              <w:rPr>
                <w:rFonts w:asciiTheme="majorHAnsi" w:hAnsiTheme="majorHAnsi" w:cstheme="majorHAnsi"/>
                <w:b/>
                <w:sz w:val="20"/>
                <w:szCs w:val="20"/>
                <w:lang w:val="ro-MD"/>
              </w:rPr>
              <w:t>Rezultat aferent debursărilor</w:t>
            </w:r>
          </w:p>
          <w:p w14:paraId="446EA3A9" w14:textId="0B4F8547" w:rsidR="009B6EFA" w:rsidRPr="00DA7824" w:rsidRDefault="009B6EFA" w:rsidP="008344C7">
            <w:pPr>
              <w:tabs>
                <w:tab w:val="left" w:pos="1080"/>
              </w:tabs>
              <w:spacing w:after="0" w:line="276" w:lineRule="auto"/>
              <w:contextualSpacing/>
              <w:jc w:val="center"/>
              <w:rPr>
                <w:rFonts w:asciiTheme="majorHAnsi" w:hAnsiTheme="majorHAnsi" w:cstheme="majorHAnsi"/>
                <w:sz w:val="20"/>
                <w:szCs w:val="20"/>
                <w:lang w:val="ro-MD"/>
              </w:rPr>
            </w:pPr>
            <w:r w:rsidRPr="00DA7824">
              <w:rPr>
                <w:rFonts w:asciiTheme="majorHAnsi" w:hAnsiTheme="majorHAnsi" w:cstheme="majorHAnsi"/>
                <w:b/>
                <w:sz w:val="20"/>
                <w:szCs w:val="20"/>
                <w:lang w:val="ro-MD"/>
              </w:rPr>
              <w:t>(după caz)</w:t>
            </w:r>
          </w:p>
        </w:tc>
        <w:tc>
          <w:tcPr>
            <w:tcW w:w="2882" w:type="dxa"/>
            <w:tcBorders>
              <w:top w:val="single" w:sz="6" w:space="0" w:color="000000"/>
              <w:left w:val="single" w:sz="6" w:space="0" w:color="000000"/>
              <w:bottom w:val="single" w:sz="6" w:space="0" w:color="000000"/>
              <w:right w:val="single" w:sz="6" w:space="0" w:color="000000"/>
            </w:tcBorders>
            <w:shd w:val="clear" w:color="auto" w:fill="D9D9D9"/>
          </w:tcPr>
          <w:p w14:paraId="63897192" w14:textId="57CA681A" w:rsidR="009B6EFA" w:rsidRPr="00DA7824" w:rsidRDefault="009B6EFA" w:rsidP="008344C7">
            <w:pPr>
              <w:tabs>
                <w:tab w:val="left" w:pos="1080"/>
              </w:tabs>
              <w:spacing w:after="0" w:line="276" w:lineRule="auto"/>
              <w:contextualSpacing/>
              <w:jc w:val="center"/>
              <w:rPr>
                <w:rFonts w:asciiTheme="majorHAnsi" w:hAnsiTheme="majorHAnsi" w:cstheme="majorHAnsi"/>
                <w:sz w:val="20"/>
                <w:szCs w:val="20"/>
                <w:lang w:val="ro-MD"/>
              </w:rPr>
            </w:pPr>
            <w:r w:rsidRPr="00DA7824">
              <w:rPr>
                <w:rFonts w:asciiTheme="majorHAnsi" w:hAnsiTheme="majorHAnsi" w:cstheme="majorHAnsi"/>
                <w:b/>
                <w:sz w:val="20"/>
                <w:szCs w:val="20"/>
                <w:lang w:val="ro-MD"/>
              </w:rPr>
              <w:t xml:space="preserve">Suma din finanțarea </w:t>
            </w:r>
            <w:r w:rsidR="00ED5AB3" w:rsidRPr="00DA7824">
              <w:rPr>
                <w:rFonts w:asciiTheme="majorHAnsi" w:hAnsiTheme="majorHAnsi" w:cstheme="majorHAnsi"/>
                <w:b/>
                <w:sz w:val="20"/>
                <w:szCs w:val="20"/>
                <w:lang w:val="ro-MD"/>
              </w:rPr>
              <w:t>P</w:t>
            </w:r>
            <w:r w:rsidRPr="00DA7824">
              <w:rPr>
                <w:rFonts w:asciiTheme="majorHAnsi" w:hAnsiTheme="majorHAnsi" w:cstheme="majorHAnsi"/>
                <w:b/>
                <w:sz w:val="20"/>
                <w:szCs w:val="20"/>
                <w:lang w:val="ro-MD"/>
              </w:rPr>
              <w:t>rogramului</w:t>
            </w:r>
            <w:r w:rsidR="00ED5AB3" w:rsidRPr="00DA7824">
              <w:rPr>
                <w:rFonts w:asciiTheme="majorHAnsi" w:hAnsiTheme="majorHAnsi" w:cstheme="majorHAnsi"/>
                <w:b/>
                <w:sz w:val="20"/>
                <w:szCs w:val="20"/>
                <w:lang w:val="ro-MD"/>
              </w:rPr>
              <w:t>,</w:t>
            </w:r>
            <w:r w:rsidRPr="00DA7824">
              <w:rPr>
                <w:rFonts w:asciiTheme="majorHAnsi" w:hAnsiTheme="majorHAnsi" w:cstheme="majorHAnsi"/>
                <w:b/>
                <w:sz w:val="20"/>
                <w:szCs w:val="20"/>
                <w:lang w:val="ro-MD"/>
              </w:rPr>
              <w:t xml:space="preserve"> alocată</w:t>
            </w:r>
          </w:p>
          <w:p w14:paraId="2AD6CC73" w14:textId="3D7215D7" w:rsidR="009B6EFA" w:rsidRPr="00DA7824" w:rsidRDefault="009B6EFA" w:rsidP="008344C7">
            <w:pPr>
              <w:tabs>
                <w:tab w:val="left" w:pos="1080"/>
              </w:tabs>
              <w:spacing w:after="0" w:line="276" w:lineRule="auto"/>
              <w:contextualSpacing/>
              <w:jc w:val="center"/>
              <w:rPr>
                <w:rFonts w:asciiTheme="majorHAnsi" w:hAnsiTheme="majorHAnsi" w:cstheme="majorHAnsi"/>
                <w:sz w:val="20"/>
                <w:szCs w:val="20"/>
                <w:lang w:val="ro-MD"/>
              </w:rPr>
            </w:pPr>
            <w:r w:rsidRPr="00DA7824">
              <w:rPr>
                <w:rFonts w:asciiTheme="majorHAnsi" w:hAnsiTheme="majorHAnsi" w:cstheme="majorHAnsi"/>
                <w:b/>
                <w:sz w:val="20"/>
                <w:szCs w:val="20"/>
                <w:lang w:val="ro-MD"/>
              </w:rPr>
              <w:t>(exprimată în DST)</w:t>
            </w:r>
          </w:p>
        </w:tc>
      </w:tr>
      <w:tr w:rsidR="009B6EFA" w:rsidRPr="00E33BAB" w14:paraId="01793653" w14:textId="77777777" w:rsidTr="00152D68">
        <w:trPr>
          <w:trHeight w:val="1714"/>
        </w:trPr>
        <w:tc>
          <w:tcPr>
            <w:tcW w:w="2430" w:type="dxa"/>
            <w:tcBorders>
              <w:top w:val="single" w:sz="6" w:space="0" w:color="000000"/>
              <w:left w:val="single" w:sz="6" w:space="0" w:color="000000"/>
              <w:bottom w:val="single" w:sz="6" w:space="0" w:color="000000"/>
              <w:right w:val="single" w:sz="6" w:space="0" w:color="000000"/>
            </w:tcBorders>
          </w:tcPr>
          <w:p w14:paraId="56AED4DD" w14:textId="5D5A72A0" w:rsidR="009B6EFA" w:rsidRPr="00DA7824" w:rsidRDefault="008344C7"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(1) DLI 1:  </w:t>
            </w:r>
            <w:r w:rsidR="009B6EFA" w:rsidRPr="00DA7824">
              <w:rPr>
                <w:rFonts w:asciiTheme="majorHAnsi" w:hAnsiTheme="majorHAnsi" w:cstheme="majorHAnsi"/>
                <w:sz w:val="20"/>
                <w:szCs w:val="20"/>
                <w:lang w:val="ro-MD"/>
              </w:rPr>
              <w:t xml:space="preserve">Toate țigările importate și </w:t>
            </w:r>
            <w:r w:rsidR="00ED5AB3" w:rsidRPr="00DA7824">
              <w:rPr>
                <w:rFonts w:asciiTheme="majorHAnsi" w:hAnsiTheme="majorHAnsi" w:cstheme="majorHAnsi"/>
                <w:sz w:val="20"/>
                <w:szCs w:val="20"/>
                <w:lang w:val="ro-MD"/>
              </w:rPr>
              <w:t xml:space="preserve">cele </w:t>
            </w:r>
            <w:r w:rsidR="009B6EFA" w:rsidRPr="00DA7824">
              <w:rPr>
                <w:rFonts w:asciiTheme="majorHAnsi" w:hAnsiTheme="majorHAnsi" w:cstheme="majorHAnsi"/>
                <w:sz w:val="20"/>
                <w:szCs w:val="20"/>
                <w:lang w:val="ro-MD"/>
              </w:rPr>
              <w:t xml:space="preserve">produse </w:t>
            </w:r>
            <w:r w:rsidR="00ED5AB3" w:rsidRPr="00DA7824">
              <w:rPr>
                <w:rFonts w:asciiTheme="majorHAnsi" w:hAnsiTheme="majorHAnsi" w:cstheme="majorHAnsi"/>
                <w:sz w:val="20"/>
                <w:szCs w:val="20"/>
                <w:lang w:val="ro-MD"/>
              </w:rPr>
              <w:t xml:space="preserve">la nivel </w:t>
            </w:r>
            <w:r w:rsidR="009B6EFA" w:rsidRPr="00DA7824">
              <w:rPr>
                <w:rFonts w:asciiTheme="majorHAnsi" w:hAnsiTheme="majorHAnsi" w:cstheme="majorHAnsi"/>
                <w:sz w:val="20"/>
                <w:szCs w:val="20"/>
                <w:lang w:val="ro-MD"/>
              </w:rPr>
              <w:t xml:space="preserve">local, </w:t>
            </w:r>
            <w:r w:rsidR="00ED5AB3" w:rsidRPr="00DA7824">
              <w:rPr>
                <w:rFonts w:asciiTheme="majorHAnsi" w:hAnsiTheme="majorHAnsi" w:cstheme="majorHAnsi"/>
                <w:sz w:val="20"/>
                <w:szCs w:val="20"/>
                <w:lang w:val="ro-MD"/>
              </w:rPr>
              <w:t>prezen</w:t>
            </w:r>
            <w:r w:rsidR="009B6EFA" w:rsidRPr="00DA7824">
              <w:rPr>
                <w:rFonts w:asciiTheme="majorHAnsi" w:hAnsiTheme="majorHAnsi" w:cstheme="majorHAnsi"/>
                <w:sz w:val="20"/>
                <w:szCs w:val="20"/>
                <w:lang w:val="ro-MD"/>
              </w:rPr>
              <w:t xml:space="preserve">te pe piață, sunt în conformitate cu </w:t>
            </w:r>
            <w:r w:rsidR="00ED5AB3" w:rsidRPr="00DA7824">
              <w:rPr>
                <w:rFonts w:asciiTheme="majorHAnsi" w:hAnsiTheme="majorHAnsi" w:cstheme="majorHAnsi"/>
                <w:sz w:val="20"/>
                <w:szCs w:val="20"/>
                <w:lang w:val="ro-MD"/>
              </w:rPr>
              <w:t>R</w:t>
            </w:r>
            <w:r w:rsidR="009B6EFA" w:rsidRPr="00DA7824">
              <w:rPr>
                <w:rFonts w:asciiTheme="majorHAnsi" w:hAnsiTheme="majorHAnsi" w:cstheme="majorHAnsi"/>
                <w:sz w:val="20"/>
                <w:szCs w:val="20"/>
                <w:lang w:val="ro-MD"/>
              </w:rPr>
              <w:t>eglement</w:t>
            </w:r>
            <w:r w:rsidR="00ED5AB3" w:rsidRPr="00DA7824">
              <w:rPr>
                <w:rFonts w:asciiTheme="majorHAnsi" w:hAnsiTheme="majorHAnsi" w:cstheme="majorHAnsi"/>
                <w:sz w:val="20"/>
                <w:szCs w:val="20"/>
                <w:lang w:val="ro-MD"/>
              </w:rPr>
              <w:t>ul</w:t>
            </w:r>
            <w:r w:rsidR="009B6EFA" w:rsidRPr="00DA7824">
              <w:rPr>
                <w:rFonts w:asciiTheme="majorHAnsi" w:hAnsiTheme="majorHAnsi" w:cstheme="majorHAnsi"/>
                <w:sz w:val="20"/>
                <w:szCs w:val="20"/>
                <w:lang w:val="ro-MD"/>
              </w:rPr>
              <w:t xml:space="preserve"> privind etichetarea produselor d</w:t>
            </w:r>
            <w:r w:rsidR="00ED5AB3" w:rsidRPr="00DA7824">
              <w:rPr>
                <w:rFonts w:asciiTheme="majorHAnsi" w:hAnsiTheme="majorHAnsi" w:cstheme="majorHAnsi"/>
                <w:sz w:val="20"/>
                <w:szCs w:val="20"/>
                <w:lang w:val="ro-MD"/>
              </w:rPr>
              <w:t>in</w:t>
            </w:r>
            <w:r w:rsidR="009B6EFA" w:rsidRPr="00DA7824">
              <w:rPr>
                <w:rFonts w:asciiTheme="majorHAnsi" w:hAnsiTheme="majorHAnsi" w:cstheme="majorHAnsi"/>
                <w:sz w:val="20"/>
                <w:szCs w:val="20"/>
                <w:lang w:val="ro-MD"/>
              </w:rPr>
              <w:t xml:space="preserve"> tutun  </w:t>
            </w:r>
          </w:p>
        </w:tc>
        <w:tc>
          <w:tcPr>
            <w:tcW w:w="4120" w:type="dxa"/>
            <w:tcBorders>
              <w:top w:val="single" w:sz="6" w:space="0" w:color="000000"/>
              <w:left w:val="single" w:sz="6" w:space="0" w:color="000000"/>
              <w:bottom w:val="single" w:sz="6" w:space="0" w:color="000000"/>
              <w:right w:val="single" w:sz="6" w:space="0" w:color="000000"/>
            </w:tcBorders>
          </w:tcPr>
          <w:p w14:paraId="0C29075E" w14:textId="14ED7B17" w:rsidR="009B6EFA" w:rsidRPr="00DA7824" w:rsidRDefault="008344C7"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DLR 1.1: Începând cu 2018, toate țigările importate și </w:t>
            </w:r>
            <w:r w:rsidR="00037F7E" w:rsidRPr="00DA7824">
              <w:rPr>
                <w:rFonts w:asciiTheme="majorHAnsi" w:hAnsiTheme="majorHAnsi" w:cstheme="majorHAnsi"/>
                <w:sz w:val="20"/>
                <w:szCs w:val="20"/>
                <w:lang w:val="ro-MD"/>
              </w:rPr>
              <w:t xml:space="preserve">cele </w:t>
            </w:r>
            <w:r w:rsidRPr="00DA7824">
              <w:rPr>
                <w:rFonts w:asciiTheme="majorHAnsi" w:hAnsiTheme="majorHAnsi" w:cstheme="majorHAnsi"/>
                <w:sz w:val="20"/>
                <w:szCs w:val="20"/>
                <w:lang w:val="ro-MD"/>
              </w:rPr>
              <w:t xml:space="preserve">produse </w:t>
            </w:r>
            <w:r w:rsidR="00037F7E" w:rsidRPr="00DA7824">
              <w:rPr>
                <w:rFonts w:asciiTheme="majorHAnsi" w:hAnsiTheme="majorHAnsi" w:cstheme="majorHAnsi"/>
                <w:sz w:val="20"/>
                <w:szCs w:val="20"/>
                <w:lang w:val="ro-MD"/>
              </w:rPr>
              <w:t xml:space="preserve">la nivel </w:t>
            </w:r>
            <w:r w:rsidRPr="00DA7824">
              <w:rPr>
                <w:rFonts w:asciiTheme="majorHAnsi" w:hAnsiTheme="majorHAnsi" w:cstheme="majorHAnsi"/>
                <w:sz w:val="20"/>
                <w:szCs w:val="20"/>
                <w:lang w:val="ro-MD"/>
              </w:rPr>
              <w:t xml:space="preserve">local, </w:t>
            </w:r>
            <w:r w:rsidR="00037F7E" w:rsidRPr="00DA7824">
              <w:rPr>
                <w:rFonts w:asciiTheme="majorHAnsi" w:hAnsiTheme="majorHAnsi" w:cstheme="majorHAnsi"/>
                <w:sz w:val="20"/>
                <w:szCs w:val="20"/>
                <w:lang w:val="ro-MD"/>
              </w:rPr>
              <w:t>prezen</w:t>
            </w:r>
            <w:r w:rsidRPr="00DA7824">
              <w:rPr>
                <w:rFonts w:asciiTheme="majorHAnsi" w:hAnsiTheme="majorHAnsi" w:cstheme="majorHAnsi"/>
                <w:sz w:val="20"/>
                <w:szCs w:val="20"/>
                <w:lang w:val="ro-MD"/>
              </w:rPr>
              <w:t xml:space="preserve">te </w:t>
            </w:r>
            <w:r w:rsidR="009B6EFA" w:rsidRPr="00DA7824">
              <w:rPr>
                <w:rFonts w:asciiTheme="majorHAnsi" w:hAnsiTheme="majorHAnsi" w:cstheme="majorHAnsi"/>
                <w:sz w:val="20"/>
                <w:szCs w:val="20"/>
                <w:lang w:val="ro-MD"/>
              </w:rPr>
              <w:t xml:space="preserve">pe piață, sunt în conformitate cu </w:t>
            </w:r>
            <w:r w:rsidR="00037F7E" w:rsidRPr="00DA7824">
              <w:rPr>
                <w:rFonts w:asciiTheme="majorHAnsi" w:hAnsiTheme="majorHAnsi" w:cstheme="majorHAnsi"/>
                <w:sz w:val="20"/>
                <w:szCs w:val="20"/>
                <w:lang w:val="ro-MD"/>
              </w:rPr>
              <w:t>R</w:t>
            </w:r>
            <w:r w:rsidR="009B6EFA" w:rsidRPr="00DA7824">
              <w:rPr>
                <w:rFonts w:asciiTheme="majorHAnsi" w:hAnsiTheme="majorHAnsi" w:cstheme="majorHAnsi"/>
                <w:sz w:val="20"/>
                <w:szCs w:val="20"/>
                <w:lang w:val="ro-MD"/>
              </w:rPr>
              <w:t>eglement</w:t>
            </w:r>
            <w:r w:rsidR="00037F7E" w:rsidRPr="00DA7824">
              <w:rPr>
                <w:rFonts w:asciiTheme="majorHAnsi" w:hAnsiTheme="majorHAnsi" w:cstheme="majorHAnsi"/>
                <w:sz w:val="20"/>
                <w:szCs w:val="20"/>
                <w:lang w:val="ro-MD"/>
              </w:rPr>
              <w:t>ul</w:t>
            </w:r>
            <w:r w:rsidR="009B6EFA" w:rsidRPr="00DA7824">
              <w:rPr>
                <w:rFonts w:asciiTheme="majorHAnsi" w:hAnsiTheme="majorHAnsi" w:cstheme="majorHAnsi"/>
                <w:sz w:val="20"/>
                <w:szCs w:val="20"/>
                <w:lang w:val="ro-MD"/>
              </w:rPr>
              <w:t xml:space="preserve"> privind etichetarea </w:t>
            </w:r>
          </w:p>
          <w:p w14:paraId="1D0C55E7" w14:textId="7597E40A"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produselor d</w:t>
            </w:r>
            <w:r w:rsidR="00037F7E" w:rsidRPr="00DA7824">
              <w:rPr>
                <w:rFonts w:asciiTheme="majorHAnsi" w:hAnsiTheme="majorHAnsi" w:cstheme="majorHAnsi"/>
                <w:sz w:val="20"/>
                <w:szCs w:val="20"/>
                <w:lang w:val="ro-MD"/>
              </w:rPr>
              <w:t>in</w:t>
            </w:r>
            <w:r w:rsidRPr="00DA7824">
              <w:rPr>
                <w:rFonts w:asciiTheme="majorHAnsi" w:hAnsiTheme="majorHAnsi" w:cstheme="majorHAnsi"/>
                <w:sz w:val="20"/>
                <w:szCs w:val="20"/>
                <w:lang w:val="ro-MD"/>
              </w:rPr>
              <w:t xml:space="preserve"> tutun  </w:t>
            </w:r>
          </w:p>
          <w:p w14:paraId="7D482D98"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 </w:t>
            </w:r>
          </w:p>
        </w:tc>
        <w:tc>
          <w:tcPr>
            <w:tcW w:w="2882" w:type="dxa"/>
            <w:tcBorders>
              <w:top w:val="single" w:sz="6" w:space="0" w:color="000000"/>
              <w:left w:val="single" w:sz="6" w:space="0" w:color="000000"/>
              <w:bottom w:val="single" w:sz="6" w:space="0" w:color="000000"/>
              <w:right w:val="single" w:sz="6" w:space="0" w:color="000000"/>
            </w:tcBorders>
          </w:tcPr>
          <w:p w14:paraId="550A26A4" w14:textId="042867F3" w:rsidR="009B6EFA" w:rsidRPr="00DA7824" w:rsidRDefault="008344C7"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DLR 1.1: 323.500</w:t>
            </w:r>
          </w:p>
        </w:tc>
      </w:tr>
      <w:tr w:rsidR="009B6EFA" w:rsidRPr="00E33BAB" w14:paraId="02EA3DE0" w14:textId="77777777" w:rsidTr="00DA7824">
        <w:trPr>
          <w:trHeight w:val="2830"/>
        </w:trPr>
        <w:tc>
          <w:tcPr>
            <w:tcW w:w="2430" w:type="dxa"/>
            <w:tcBorders>
              <w:top w:val="single" w:sz="6" w:space="0" w:color="000000"/>
              <w:left w:val="single" w:sz="6" w:space="0" w:color="000000"/>
              <w:bottom w:val="single" w:sz="6" w:space="0" w:color="000000"/>
              <w:right w:val="single" w:sz="6" w:space="0" w:color="000000"/>
            </w:tcBorders>
          </w:tcPr>
          <w:p w14:paraId="2225D257"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(2) DLI 2:  </w:t>
            </w:r>
          </w:p>
          <w:p w14:paraId="20031253"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Creșterea numărului de persoane cu boli cardiovasculare (BCV) care beneficiază de medicamente compensate pentru tratamentul BCV  </w:t>
            </w:r>
          </w:p>
        </w:tc>
        <w:tc>
          <w:tcPr>
            <w:tcW w:w="4120" w:type="dxa"/>
            <w:tcBorders>
              <w:top w:val="single" w:sz="6" w:space="0" w:color="000000"/>
              <w:left w:val="single" w:sz="6" w:space="0" w:color="000000"/>
              <w:bottom w:val="single" w:sz="6" w:space="0" w:color="000000"/>
              <w:right w:val="single" w:sz="6" w:space="0" w:color="000000"/>
            </w:tcBorders>
          </w:tcPr>
          <w:p w14:paraId="30E2BA68"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DLR 2.1: Creșterea numărului de persoane cu boli cardiovasculare (BCV) care beneficiază de medicamente compensate pentru tratamentul BCV cu 5 procente față de valorile de referință  </w:t>
            </w:r>
          </w:p>
          <w:p w14:paraId="0515E51D"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 </w:t>
            </w:r>
          </w:p>
          <w:p w14:paraId="340343A5"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DLR 2.2:  Creșterea numărului de persoane cu BCV care beneficiază de medicamente compensate pentru tratamentul BCV cu 10 procente față de valorile de referință </w:t>
            </w:r>
          </w:p>
          <w:p w14:paraId="7C46D250"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 </w:t>
            </w:r>
          </w:p>
        </w:tc>
        <w:tc>
          <w:tcPr>
            <w:tcW w:w="2882" w:type="dxa"/>
            <w:tcBorders>
              <w:top w:val="single" w:sz="6" w:space="0" w:color="000000"/>
              <w:left w:val="single" w:sz="6" w:space="0" w:color="000000"/>
              <w:bottom w:val="single" w:sz="6" w:space="0" w:color="000000"/>
              <w:right w:val="single" w:sz="6" w:space="0" w:color="000000"/>
            </w:tcBorders>
          </w:tcPr>
          <w:p w14:paraId="43FF468E"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DLR 2.1: 1.294.000  </w:t>
            </w:r>
          </w:p>
          <w:p w14:paraId="33427EA4"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 </w:t>
            </w:r>
          </w:p>
          <w:p w14:paraId="1901373E"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 </w:t>
            </w:r>
          </w:p>
          <w:p w14:paraId="5EB0FAF2"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DLR#2.2: 1.617.500  </w:t>
            </w:r>
          </w:p>
          <w:p w14:paraId="4698034F"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 </w:t>
            </w:r>
          </w:p>
          <w:p w14:paraId="50C3CF08" w14:textId="27ECE0FE"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În cadrul acestui DLI, vor fi alocate 29.115 pentru fiecare creștere de 0,1 procente de la valoarea de referință, până la</w:t>
            </w:r>
            <w:r w:rsidR="00037F7E" w:rsidRPr="00DA7824">
              <w:rPr>
                <w:rFonts w:asciiTheme="majorHAnsi" w:hAnsiTheme="majorHAnsi" w:cstheme="majorHAnsi"/>
                <w:sz w:val="20"/>
                <w:szCs w:val="20"/>
                <w:lang w:val="ro-MD"/>
              </w:rPr>
              <w:t xml:space="preserve"> </w:t>
            </w:r>
            <w:r w:rsidRPr="00DA7824">
              <w:rPr>
                <w:rFonts w:asciiTheme="majorHAnsi" w:hAnsiTheme="majorHAnsi" w:cstheme="majorHAnsi"/>
                <w:sz w:val="20"/>
                <w:szCs w:val="20"/>
                <w:lang w:val="ro-MD"/>
              </w:rPr>
              <w:t>valoare</w:t>
            </w:r>
            <w:r w:rsidR="00037F7E" w:rsidRPr="00DA7824">
              <w:rPr>
                <w:rFonts w:asciiTheme="majorHAnsi" w:hAnsiTheme="majorHAnsi" w:cstheme="majorHAnsi"/>
                <w:sz w:val="20"/>
                <w:szCs w:val="20"/>
                <w:lang w:val="ro-MD"/>
              </w:rPr>
              <w:t xml:space="preserve">a </w:t>
            </w:r>
            <w:r w:rsidRPr="00DA7824">
              <w:rPr>
                <w:rFonts w:asciiTheme="majorHAnsi" w:hAnsiTheme="majorHAnsi" w:cstheme="majorHAnsi"/>
                <w:sz w:val="20"/>
                <w:szCs w:val="20"/>
                <w:lang w:val="ro-MD"/>
              </w:rPr>
              <w:t xml:space="preserve"> maximă de 2.911.500. </w:t>
            </w:r>
          </w:p>
        </w:tc>
      </w:tr>
      <w:tr w:rsidR="009B6EFA" w:rsidRPr="00E33BAB" w14:paraId="2497D261" w14:textId="77777777" w:rsidTr="00DA7824">
        <w:trPr>
          <w:trHeight w:val="3353"/>
        </w:trPr>
        <w:tc>
          <w:tcPr>
            <w:tcW w:w="2430" w:type="dxa"/>
            <w:tcBorders>
              <w:top w:val="single" w:sz="6" w:space="0" w:color="000000"/>
              <w:left w:val="single" w:sz="6" w:space="0" w:color="000000"/>
              <w:bottom w:val="single" w:sz="6" w:space="0" w:color="000000"/>
              <w:right w:val="single" w:sz="6" w:space="0" w:color="000000"/>
            </w:tcBorders>
          </w:tcPr>
          <w:p w14:paraId="6F54774A" w14:textId="182BA643"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(3) DLI 3</w:t>
            </w:r>
            <w:r w:rsidR="00F03881" w:rsidRPr="00DA7824">
              <w:rPr>
                <w:rFonts w:asciiTheme="majorHAnsi" w:hAnsiTheme="majorHAnsi" w:cstheme="majorHAnsi"/>
                <w:sz w:val="20"/>
                <w:szCs w:val="20"/>
                <w:lang w:val="ro-MD"/>
              </w:rPr>
              <w:t>:</w:t>
            </w:r>
            <w:r w:rsidRPr="00DA7824">
              <w:rPr>
                <w:rFonts w:asciiTheme="majorHAnsi" w:hAnsiTheme="majorHAnsi" w:cstheme="majorHAnsi"/>
                <w:sz w:val="20"/>
                <w:szCs w:val="20"/>
                <w:lang w:val="ro-MD"/>
              </w:rPr>
              <w:t xml:space="preserve"> </w:t>
            </w:r>
          </w:p>
          <w:p w14:paraId="16714594" w14:textId="458044CB"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Numărul de internări anuale în spitalele de îngrijire acută la 100 </w:t>
            </w:r>
            <w:r w:rsidR="00037F7E" w:rsidRPr="00DA7824">
              <w:rPr>
                <w:rFonts w:asciiTheme="majorHAnsi" w:hAnsiTheme="majorHAnsi" w:cstheme="majorHAnsi"/>
                <w:sz w:val="20"/>
                <w:szCs w:val="20"/>
                <w:lang w:val="ro-MD"/>
              </w:rPr>
              <w:t xml:space="preserve">de </w:t>
            </w:r>
            <w:r w:rsidRPr="00DA7824">
              <w:rPr>
                <w:rFonts w:asciiTheme="majorHAnsi" w:hAnsiTheme="majorHAnsi" w:cstheme="majorHAnsi"/>
                <w:sz w:val="20"/>
                <w:szCs w:val="20"/>
                <w:lang w:val="ro-MD"/>
              </w:rPr>
              <w:t>persoane, pornind de la valoare</w:t>
            </w:r>
            <w:r w:rsidR="00037F7E" w:rsidRPr="00DA7824">
              <w:rPr>
                <w:rFonts w:asciiTheme="majorHAnsi" w:hAnsiTheme="majorHAnsi" w:cstheme="majorHAnsi"/>
                <w:sz w:val="20"/>
                <w:szCs w:val="20"/>
                <w:lang w:val="ro-MD"/>
              </w:rPr>
              <w:t>a</w:t>
            </w:r>
            <w:r w:rsidRPr="00DA7824">
              <w:rPr>
                <w:rFonts w:asciiTheme="majorHAnsi" w:hAnsiTheme="majorHAnsi" w:cstheme="majorHAnsi"/>
                <w:sz w:val="20"/>
                <w:szCs w:val="20"/>
                <w:lang w:val="ro-MD"/>
              </w:rPr>
              <w:t xml:space="preserve"> de referință de </w:t>
            </w:r>
          </w:p>
          <w:p w14:paraId="1286F458"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17,6  </w:t>
            </w:r>
          </w:p>
        </w:tc>
        <w:tc>
          <w:tcPr>
            <w:tcW w:w="4120" w:type="dxa"/>
            <w:tcBorders>
              <w:top w:val="single" w:sz="6" w:space="0" w:color="000000"/>
              <w:left w:val="single" w:sz="6" w:space="0" w:color="000000"/>
              <w:bottom w:val="single" w:sz="6" w:space="0" w:color="000000"/>
              <w:right w:val="single" w:sz="6" w:space="0" w:color="000000"/>
            </w:tcBorders>
          </w:tcPr>
          <w:p w14:paraId="5E588293"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DLR 3.1: 17 în Anul 1 </w:t>
            </w:r>
          </w:p>
          <w:p w14:paraId="04961A7F"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DLR 3.2: 16,5 în Anul 2 </w:t>
            </w:r>
          </w:p>
          <w:p w14:paraId="0D832C7E"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DLR 3.3: 16 în Anul 3  </w:t>
            </w:r>
          </w:p>
          <w:p w14:paraId="7C4E93A5"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DLR 3.4: 15,6 în Anul 4 </w:t>
            </w:r>
          </w:p>
          <w:p w14:paraId="6D8311C8"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 </w:t>
            </w:r>
          </w:p>
        </w:tc>
        <w:tc>
          <w:tcPr>
            <w:tcW w:w="2882" w:type="dxa"/>
            <w:tcBorders>
              <w:top w:val="single" w:sz="6" w:space="0" w:color="000000"/>
              <w:left w:val="single" w:sz="6" w:space="0" w:color="000000"/>
              <w:bottom w:val="single" w:sz="6" w:space="0" w:color="000000"/>
              <w:right w:val="single" w:sz="6" w:space="0" w:color="000000"/>
            </w:tcBorders>
          </w:tcPr>
          <w:p w14:paraId="584E14C6"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DLR 3.1:  582.000  </w:t>
            </w:r>
          </w:p>
          <w:p w14:paraId="467FD828"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DLR 3.2: 485.500  </w:t>
            </w:r>
          </w:p>
          <w:p w14:paraId="31944369"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DLR 3.3: 485.500 </w:t>
            </w:r>
          </w:p>
          <w:p w14:paraId="1FEAD48F"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DLR 3.4: 388.000  </w:t>
            </w:r>
          </w:p>
          <w:p w14:paraId="0EE93B62" w14:textId="64DBF563"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În cadrul acestui DLI, vor fi alocate 97.050 pentru fiecare reducere de 0,1 a numărului internărilor anuale în spitalele de îngrijire acută la 100 </w:t>
            </w:r>
            <w:r w:rsidR="00037F7E" w:rsidRPr="00DA7824">
              <w:rPr>
                <w:rFonts w:asciiTheme="majorHAnsi" w:hAnsiTheme="majorHAnsi" w:cstheme="majorHAnsi"/>
                <w:sz w:val="20"/>
                <w:szCs w:val="20"/>
                <w:lang w:val="ro-MD"/>
              </w:rPr>
              <w:t xml:space="preserve">de </w:t>
            </w:r>
            <w:r w:rsidRPr="00DA7824">
              <w:rPr>
                <w:rFonts w:asciiTheme="majorHAnsi" w:hAnsiTheme="majorHAnsi" w:cstheme="majorHAnsi"/>
                <w:sz w:val="20"/>
                <w:szCs w:val="20"/>
                <w:lang w:val="ro-MD"/>
              </w:rPr>
              <w:t>persoane, comparativ cu anul precedent, până la  valoare</w:t>
            </w:r>
            <w:r w:rsidR="00037F7E" w:rsidRPr="00DA7824">
              <w:rPr>
                <w:rFonts w:asciiTheme="majorHAnsi" w:hAnsiTheme="majorHAnsi" w:cstheme="majorHAnsi"/>
                <w:sz w:val="20"/>
                <w:szCs w:val="20"/>
                <w:lang w:val="ro-MD"/>
              </w:rPr>
              <w:t>a</w:t>
            </w:r>
            <w:r w:rsidRPr="00DA7824">
              <w:rPr>
                <w:rFonts w:asciiTheme="majorHAnsi" w:hAnsiTheme="majorHAnsi" w:cstheme="majorHAnsi"/>
                <w:sz w:val="20"/>
                <w:szCs w:val="20"/>
                <w:lang w:val="ro-MD"/>
              </w:rPr>
              <w:t xml:space="preserve"> maximă de 1.941.000. </w:t>
            </w:r>
          </w:p>
        </w:tc>
      </w:tr>
      <w:tr w:rsidR="009B6EFA" w:rsidRPr="00E33BAB" w14:paraId="36046EF1" w14:textId="77777777" w:rsidTr="00DA7824">
        <w:trPr>
          <w:trHeight w:val="2750"/>
        </w:trPr>
        <w:tc>
          <w:tcPr>
            <w:tcW w:w="2430" w:type="dxa"/>
            <w:tcBorders>
              <w:top w:val="single" w:sz="6" w:space="0" w:color="000000"/>
              <w:left w:val="single" w:sz="6" w:space="0" w:color="000000"/>
              <w:bottom w:val="single" w:sz="6" w:space="0" w:color="000000"/>
              <w:right w:val="single" w:sz="6" w:space="0" w:color="000000"/>
            </w:tcBorders>
          </w:tcPr>
          <w:p w14:paraId="6F6E9A6B" w14:textId="6575FC88"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(4) DLI 4</w:t>
            </w:r>
            <w:r w:rsidR="00F03881" w:rsidRPr="00DA7824">
              <w:rPr>
                <w:rFonts w:asciiTheme="majorHAnsi" w:hAnsiTheme="majorHAnsi" w:cstheme="majorHAnsi"/>
                <w:sz w:val="20"/>
                <w:szCs w:val="20"/>
                <w:lang w:val="ro-MD"/>
              </w:rPr>
              <w:t>:</w:t>
            </w:r>
            <w:r w:rsidRPr="00DA7824">
              <w:rPr>
                <w:rFonts w:asciiTheme="majorHAnsi" w:hAnsiTheme="majorHAnsi" w:cstheme="majorHAnsi"/>
                <w:sz w:val="20"/>
                <w:szCs w:val="20"/>
                <w:lang w:val="ro-MD"/>
              </w:rPr>
              <w:t xml:space="preserve"> </w:t>
            </w:r>
          </w:p>
          <w:p w14:paraId="0126EA25" w14:textId="6561C868"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Numărul de paturi în spitale de îngrijire acută, pornind de la </w:t>
            </w:r>
            <w:r w:rsidR="00037F7E" w:rsidRPr="00DA7824">
              <w:rPr>
                <w:rFonts w:asciiTheme="majorHAnsi" w:hAnsiTheme="majorHAnsi" w:cstheme="majorHAnsi"/>
                <w:sz w:val="20"/>
                <w:szCs w:val="20"/>
                <w:lang w:val="ro-MD"/>
              </w:rPr>
              <w:t xml:space="preserve"> </w:t>
            </w:r>
            <w:r w:rsidRPr="00DA7824">
              <w:rPr>
                <w:rFonts w:asciiTheme="majorHAnsi" w:hAnsiTheme="majorHAnsi" w:cstheme="majorHAnsi"/>
                <w:sz w:val="20"/>
                <w:szCs w:val="20"/>
                <w:lang w:val="ro-MD"/>
              </w:rPr>
              <w:t xml:space="preserve"> valoare</w:t>
            </w:r>
            <w:r w:rsidR="00037F7E" w:rsidRPr="00DA7824">
              <w:rPr>
                <w:rFonts w:asciiTheme="majorHAnsi" w:hAnsiTheme="majorHAnsi" w:cstheme="majorHAnsi"/>
                <w:sz w:val="20"/>
                <w:szCs w:val="20"/>
                <w:lang w:val="ro-MD"/>
              </w:rPr>
              <w:t>a</w:t>
            </w:r>
            <w:r w:rsidRPr="00DA7824">
              <w:rPr>
                <w:rFonts w:asciiTheme="majorHAnsi" w:hAnsiTheme="majorHAnsi" w:cstheme="majorHAnsi"/>
                <w:sz w:val="20"/>
                <w:szCs w:val="20"/>
                <w:lang w:val="ro-MD"/>
              </w:rPr>
              <w:t xml:space="preserve"> de referință de 17.586  </w:t>
            </w:r>
          </w:p>
        </w:tc>
        <w:tc>
          <w:tcPr>
            <w:tcW w:w="4120" w:type="dxa"/>
            <w:tcBorders>
              <w:top w:val="single" w:sz="6" w:space="0" w:color="000000"/>
              <w:left w:val="single" w:sz="6" w:space="0" w:color="000000"/>
              <w:bottom w:val="single" w:sz="6" w:space="0" w:color="000000"/>
              <w:right w:val="single" w:sz="6" w:space="0" w:color="000000"/>
            </w:tcBorders>
          </w:tcPr>
          <w:p w14:paraId="4CF136E0" w14:textId="4365EFB5" w:rsidR="009B6EFA" w:rsidRPr="00DA7824" w:rsidRDefault="009B6EFA" w:rsidP="004029E2">
            <w:pPr>
              <w:pStyle w:val="tt"/>
              <w:jc w:val="left"/>
              <w:rPr>
                <w:rFonts w:asciiTheme="majorHAnsi" w:hAnsiTheme="majorHAnsi" w:cstheme="majorHAnsi"/>
                <w:b w:val="0"/>
                <w:sz w:val="20"/>
                <w:szCs w:val="20"/>
              </w:rPr>
            </w:pPr>
            <w:r w:rsidRPr="00DA7824">
              <w:rPr>
                <w:rFonts w:asciiTheme="majorHAnsi" w:hAnsiTheme="majorHAnsi" w:cstheme="majorHAnsi"/>
                <w:b w:val="0"/>
                <w:sz w:val="20"/>
                <w:szCs w:val="20"/>
              </w:rPr>
              <w:t xml:space="preserve">DLR 4.1: 17.000 în Anul 1 </w:t>
            </w:r>
            <w:r w:rsidR="004029E2" w:rsidRPr="00DA7824">
              <w:rPr>
                <w:rFonts w:asciiTheme="majorHAnsi" w:hAnsiTheme="majorHAnsi" w:cstheme="majorHAnsi"/>
                <w:b w:val="0"/>
                <w:sz w:val="20"/>
                <w:szCs w:val="20"/>
              </w:rPr>
              <w:t xml:space="preserve">                                         </w:t>
            </w:r>
            <w:r w:rsidRPr="00DA7824">
              <w:rPr>
                <w:rFonts w:asciiTheme="majorHAnsi" w:hAnsiTheme="majorHAnsi" w:cstheme="majorHAnsi"/>
                <w:b w:val="0"/>
                <w:sz w:val="20"/>
                <w:szCs w:val="20"/>
              </w:rPr>
              <w:t xml:space="preserve">DLR 4.2: 16.500 în Anul 2 </w:t>
            </w:r>
          </w:p>
          <w:p w14:paraId="5CD31A5F" w14:textId="6DA53EBD" w:rsidR="009B6EFA" w:rsidRPr="00DA7824" w:rsidRDefault="009B6EFA" w:rsidP="004029E2">
            <w:pPr>
              <w:pStyle w:val="tt"/>
              <w:jc w:val="left"/>
              <w:rPr>
                <w:rFonts w:asciiTheme="majorHAnsi" w:hAnsiTheme="majorHAnsi" w:cstheme="majorHAnsi"/>
                <w:b w:val="0"/>
                <w:sz w:val="20"/>
                <w:szCs w:val="20"/>
              </w:rPr>
            </w:pPr>
            <w:r w:rsidRPr="00DA7824">
              <w:rPr>
                <w:rFonts w:asciiTheme="majorHAnsi" w:hAnsiTheme="majorHAnsi" w:cstheme="majorHAnsi"/>
                <w:b w:val="0"/>
                <w:sz w:val="20"/>
                <w:szCs w:val="20"/>
              </w:rPr>
              <w:t xml:space="preserve">DLR 4.3: 16.000 în Anul 3 </w:t>
            </w:r>
            <w:r w:rsidR="004029E2" w:rsidRPr="00DA7824">
              <w:rPr>
                <w:rFonts w:asciiTheme="majorHAnsi" w:hAnsiTheme="majorHAnsi" w:cstheme="majorHAnsi"/>
                <w:b w:val="0"/>
                <w:sz w:val="20"/>
                <w:szCs w:val="20"/>
              </w:rPr>
              <w:t xml:space="preserve">                               </w:t>
            </w:r>
            <w:r w:rsidRPr="00DA7824">
              <w:rPr>
                <w:rFonts w:asciiTheme="majorHAnsi" w:hAnsiTheme="majorHAnsi" w:cstheme="majorHAnsi"/>
                <w:b w:val="0"/>
                <w:sz w:val="20"/>
                <w:szCs w:val="20"/>
              </w:rPr>
              <w:t xml:space="preserve">DLR 4.4: 15.000 în Anul 4 </w:t>
            </w:r>
          </w:p>
          <w:p w14:paraId="29A7A281"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 </w:t>
            </w:r>
          </w:p>
        </w:tc>
        <w:tc>
          <w:tcPr>
            <w:tcW w:w="2882" w:type="dxa"/>
            <w:tcBorders>
              <w:top w:val="single" w:sz="6" w:space="0" w:color="000000"/>
              <w:left w:val="single" w:sz="6" w:space="0" w:color="000000"/>
              <w:bottom w:val="single" w:sz="6" w:space="0" w:color="000000"/>
              <w:right w:val="single" w:sz="6" w:space="0" w:color="000000"/>
            </w:tcBorders>
          </w:tcPr>
          <w:p w14:paraId="1F11E93C"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DLR 4.1: 689.000 </w:t>
            </w:r>
          </w:p>
          <w:p w14:paraId="0D2D6962"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DLR 4.2: 588.000  </w:t>
            </w:r>
          </w:p>
          <w:p w14:paraId="22308C20"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DLR 4.3: 588.000 </w:t>
            </w:r>
          </w:p>
          <w:p w14:paraId="3B7C71F4"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DLR 4.4: 1.176.000 </w:t>
            </w:r>
          </w:p>
          <w:p w14:paraId="302C7EAD" w14:textId="735217C4"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În cadrul acestui DLI, vor fi alocate 1.200 pentru fiecare reducere de un pat de spital de îngrijire acută, comparativ cu anul precedent, până la valoare</w:t>
            </w:r>
            <w:r w:rsidR="00037F7E" w:rsidRPr="00DA7824">
              <w:rPr>
                <w:rFonts w:asciiTheme="majorHAnsi" w:hAnsiTheme="majorHAnsi" w:cstheme="majorHAnsi"/>
                <w:sz w:val="20"/>
                <w:szCs w:val="20"/>
                <w:lang w:val="ro-MD"/>
              </w:rPr>
              <w:t xml:space="preserve">a </w:t>
            </w:r>
            <w:r w:rsidRPr="00DA7824">
              <w:rPr>
                <w:rFonts w:asciiTheme="majorHAnsi" w:hAnsiTheme="majorHAnsi" w:cstheme="majorHAnsi"/>
                <w:sz w:val="20"/>
                <w:szCs w:val="20"/>
                <w:lang w:val="ro-MD"/>
              </w:rPr>
              <w:t xml:space="preserve"> maximă de 3.041.000. </w:t>
            </w:r>
          </w:p>
        </w:tc>
      </w:tr>
      <w:tr w:rsidR="009B6EFA" w:rsidRPr="00E33BAB" w14:paraId="0B1C3202" w14:textId="77777777" w:rsidTr="00DA7824">
        <w:trPr>
          <w:trHeight w:val="502"/>
        </w:trPr>
        <w:tc>
          <w:tcPr>
            <w:tcW w:w="2430" w:type="dxa"/>
            <w:tcBorders>
              <w:top w:val="single" w:sz="6" w:space="0" w:color="000000"/>
              <w:left w:val="single" w:sz="6" w:space="0" w:color="000000"/>
              <w:bottom w:val="single" w:sz="6" w:space="0" w:color="000000"/>
              <w:right w:val="single" w:sz="6" w:space="0" w:color="000000"/>
            </w:tcBorders>
          </w:tcPr>
          <w:p w14:paraId="6320E0F3" w14:textId="0E0F503B"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(5) DLI 5</w:t>
            </w:r>
            <w:r w:rsidR="00F03881" w:rsidRPr="00DA7824">
              <w:rPr>
                <w:rFonts w:asciiTheme="majorHAnsi" w:hAnsiTheme="majorHAnsi" w:cstheme="majorHAnsi"/>
                <w:sz w:val="20"/>
                <w:szCs w:val="20"/>
                <w:lang w:val="ro-MD"/>
              </w:rPr>
              <w:t>:</w:t>
            </w:r>
            <w:r w:rsidRPr="00DA7824">
              <w:rPr>
                <w:rFonts w:asciiTheme="majorHAnsi" w:hAnsiTheme="majorHAnsi" w:cstheme="majorHAnsi"/>
                <w:sz w:val="20"/>
                <w:szCs w:val="20"/>
                <w:lang w:val="ro-MD"/>
              </w:rPr>
              <w:t xml:space="preserve"> </w:t>
            </w:r>
          </w:p>
          <w:p w14:paraId="7F62BC77" w14:textId="2F66C02D"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Aprobarea revizuirii pachetului de beneficii de </w:t>
            </w:r>
            <w:r w:rsidR="0079132F" w:rsidRPr="00DA7824">
              <w:rPr>
                <w:rFonts w:asciiTheme="majorHAnsi" w:hAnsiTheme="majorHAnsi" w:cstheme="majorHAnsi"/>
                <w:sz w:val="20"/>
                <w:szCs w:val="20"/>
                <w:lang w:val="ro-MD"/>
              </w:rPr>
              <w:t xml:space="preserve">ambulatoriu în ceea ce </w:t>
            </w:r>
            <w:r w:rsidR="0079132F" w:rsidRPr="00DA7824">
              <w:rPr>
                <w:rFonts w:asciiTheme="majorHAnsi" w:hAnsiTheme="majorHAnsi" w:cstheme="majorHAnsi"/>
                <w:sz w:val="20"/>
                <w:szCs w:val="20"/>
                <w:lang w:val="ro-MD"/>
              </w:rPr>
              <w:lastRenderedPageBreak/>
              <w:t xml:space="preserve">privește medicamentele antihipertensive   </w:t>
            </w:r>
          </w:p>
        </w:tc>
        <w:tc>
          <w:tcPr>
            <w:tcW w:w="4120" w:type="dxa"/>
            <w:tcBorders>
              <w:top w:val="single" w:sz="6" w:space="0" w:color="000000"/>
              <w:left w:val="single" w:sz="6" w:space="0" w:color="000000"/>
              <w:bottom w:val="single" w:sz="6" w:space="0" w:color="000000"/>
              <w:right w:val="single" w:sz="6" w:space="0" w:color="000000"/>
            </w:tcBorders>
          </w:tcPr>
          <w:p w14:paraId="09E51A8B"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lastRenderedPageBreak/>
              <w:t xml:space="preserve">DLR 5.1: Emiterea unui ordin comun al MSMPS și CNAM privind adoptarea </w:t>
            </w:r>
          </w:p>
          <w:p w14:paraId="3537FCF8" w14:textId="13E74F7F"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revizuirii pachetului de beneficii, în care rata medie de rambursare a </w:t>
            </w:r>
            <w:r w:rsidR="0079132F" w:rsidRPr="00DA7824">
              <w:rPr>
                <w:rFonts w:asciiTheme="majorHAnsi" w:hAnsiTheme="majorHAnsi" w:cstheme="majorHAnsi"/>
                <w:sz w:val="20"/>
                <w:szCs w:val="20"/>
                <w:lang w:val="ro-MD"/>
              </w:rPr>
              <w:t xml:space="preserve">medicamentelor generice, de primă linie din cele trei categorii </w:t>
            </w:r>
            <w:r w:rsidR="0079132F" w:rsidRPr="00DA7824">
              <w:rPr>
                <w:rFonts w:asciiTheme="majorHAnsi" w:hAnsiTheme="majorHAnsi" w:cstheme="majorHAnsi"/>
                <w:sz w:val="20"/>
                <w:szCs w:val="20"/>
                <w:lang w:val="ro-MD"/>
              </w:rPr>
              <w:lastRenderedPageBreak/>
              <w:t xml:space="preserve">principale de medicamente antihipertensive este de cel puțin 70%  </w:t>
            </w:r>
          </w:p>
        </w:tc>
        <w:tc>
          <w:tcPr>
            <w:tcW w:w="2882" w:type="dxa"/>
            <w:tcBorders>
              <w:top w:val="single" w:sz="6" w:space="0" w:color="000000"/>
              <w:left w:val="single" w:sz="6" w:space="0" w:color="000000"/>
              <w:bottom w:val="single" w:sz="6" w:space="0" w:color="000000"/>
              <w:right w:val="single" w:sz="6" w:space="0" w:color="000000"/>
            </w:tcBorders>
          </w:tcPr>
          <w:p w14:paraId="3FF091F5"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lastRenderedPageBreak/>
              <w:t xml:space="preserve">DLR 5.1: 1.294.000 </w:t>
            </w:r>
          </w:p>
        </w:tc>
      </w:tr>
      <w:tr w:rsidR="009B6EFA" w:rsidRPr="00E33BAB" w14:paraId="2B4311D9" w14:textId="77777777" w:rsidTr="00DA7824">
        <w:trPr>
          <w:trHeight w:val="4140"/>
        </w:trPr>
        <w:tc>
          <w:tcPr>
            <w:tcW w:w="2430" w:type="dxa"/>
            <w:tcBorders>
              <w:top w:val="single" w:sz="6" w:space="0" w:color="000000"/>
              <w:left w:val="single" w:sz="6" w:space="0" w:color="000000"/>
              <w:bottom w:val="single" w:sz="6" w:space="0" w:color="000000"/>
              <w:right w:val="single" w:sz="6" w:space="0" w:color="000000"/>
            </w:tcBorders>
          </w:tcPr>
          <w:p w14:paraId="2ECEC2E2" w14:textId="584D101B" w:rsidR="009B6EFA" w:rsidRPr="00DA7824" w:rsidRDefault="0079132F"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 </w:t>
            </w:r>
            <w:r w:rsidR="009B6EFA" w:rsidRPr="00DA7824">
              <w:rPr>
                <w:rFonts w:asciiTheme="majorHAnsi" w:hAnsiTheme="majorHAnsi" w:cstheme="majorHAnsi"/>
                <w:sz w:val="20"/>
                <w:szCs w:val="20"/>
                <w:lang w:val="ro-MD"/>
              </w:rPr>
              <w:t>(6) DLI 6</w:t>
            </w:r>
            <w:r w:rsidR="00F03881" w:rsidRPr="00DA7824">
              <w:rPr>
                <w:rFonts w:asciiTheme="majorHAnsi" w:hAnsiTheme="majorHAnsi" w:cstheme="majorHAnsi"/>
                <w:sz w:val="20"/>
                <w:szCs w:val="20"/>
                <w:lang w:val="ro-MD"/>
              </w:rPr>
              <w:t>:</w:t>
            </w:r>
            <w:r w:rsidR="009B6EFA" w:rsidRPr="00DA7824">
              <w:rPr>
                <w:rFonts w:asciiTheme="majorHAnsi" w:hAnsiTheme="majorHAnsi" w:cstheme="majorHAnsi"/>
                <w:sz w:val="20"/>
                <w:szCs w:val="20"/>
                <w:lang w:val="ro-MD"/>
              </w:rPr>
              <w:t xml:space="preserve"> </w:t>
            </w:r>
          </w:p>
          <w:p w14:paraId="4D1723C7" w14:textId="2BE18A1D"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Revizuirea și punerea în aplicare a </w:t>
            </w:r>
            <w:r w:rsidR="00037F7E" w:rsidRPr="00DA7824">
              <w:rPr>
                <w:rFonts w:asciiTheme="majorHAnsi" w:hAnsiTheme="majorHAnsi" w:cstheme="majorHAnsi"/>
                <w:sz w:val="20"/>
                <w:szCs w:val="20"/>
                <w:lang w:val="ro-MD"/>
              </w:rPr>
              <w:t>S</w:t>
            </w:r>
            <w:r w:rsidRPr="00DA7824">
              <w:rPr>
                <w:rFonts w:asciiTheme="majorHAnsi" w:hAnsiTheme="majorHAnsi" w:cstheme="majorHAnsi"/>
                <w:sz w:val="20"/>
                <w:szCs w:val="20"/>
                <w:lang w:val="ro-MD"/>
              </w:rPr>
              <w:t xml:space="preserve">chemei de stimulare bazate pe performanță în asistența medicală primară   </w:t>
            </w:r>
          </w:p>
        </w:tc>
        <w:tc>
          <w:tcPr>
            <w:tcW w:w="4120" w:type="dxa"/>
            <w:tcBorders>
              <w:top w:val="single" w:sz="6" w:space="0" w:color="000000"/>
              <w:left w:val="single" w:sz="6" w:space="0" w:color="000000"/>
              <w:bottom w:val="single" w:sz="6" w:space="0" w:color="000000"/>
              <w:right w:val="single" w:sz="6" w:space="0" w:color="000000"/>
            </w:tcBorders>
          </w:tcPr>
          <w:p w14:paraId="0BC474AB" w14:textId="067C3F40"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DLR 6.1: Revizuirea și punerea în aplicare a </w:t>
            </w:r>
            <w:r w:rsidR="00037F7E" w:rsidRPr="00DA7824">
              <w:rPr>
                <w:rFonts w:asciiTheme="majorHAnsi" w:hAnsiTheme="majorHAnsi" w:cstheme="majorHAnsi"/>
                <w:sz w:val="20"/>
                <w:szCs w:val="20"/>
                <w:lang w:val="ro-MD"/>
              </w:rPr>
              <w:t>S</w:t>
            </w:r>
            <w:r w:rsidRPr="00DA7824">
              <w:rPr>
                <w:rFonts w:asciiTheme="majorHAnsi" w:hAnsiTheme="majorHAnsi" w:cstheme="majorHAnsi"/>
                <w:sz w:val="20"/>
                <w:szCs w:val="20"/>
                <w:lang w:val="ro-MD"/>
              </w:rPr>
              <w:t xml:space="preserve">chemei de stimulare bazate pe performanță în asistența medicală primară într-o manieră acceptabilă pentru Asociație  </w:t>
            </w:r>
          </w:p>
          <w:p w14:paraId="0ABC82C4" w14:textId="67931D04"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DLR 6.2: Toate centrele de asistență medicală primară contractate de CNAM pe teritoriul Beneficiarului au semnat </w:t>
            </w:r>
            <w:r w:rsidR="00037F7E" w:rsidRPr="00DA7824">
              <w:rPr>
                <w:rFonts w:asciiTheme="majorHAnsi" w:hAnsiTheme="majorHAnsi" w:cstheme="majorHAnsi"/>
                <w:sz w:val="20"/>
                <w:szCs w:val="20"/>
                <w:lang w:val="ro-MD"/>
              </w:rPr>
              <w:t xml:space="preserve">cu CNAM </w:t>
            </w:r>
            <w:r w:rsidRPr="00DA7824">
              <w:rPr>
                <w:rFonts w:asciiTheme="majorHAnsi" w:hAnsiTheme="majorHAnsi" w:cstheme="majorHAnsi"/>
                <w:sz w:val="20"/>
                <w:szCs w:val="20"/>
                <w:lang w:val="ro-MD"/>
              </w:rPr>
              <w:t xml:space="preserve">un acord de implementare a </w:t>
            </w:r>
          </w:p>
          <w:p w14:paraId="7CF146FB"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Schemei de stimulare bazate pe performanță în Anul 2  </w:t>
            </w:r>
          </w:p>
          <w:p w14:paraId="4F3D0AB6" w14:textId="11CD0716"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DLR 6.3: Revizuirea </w:t>
            </w:r>
            <w:r w:rsidR="00037F7E" w:rsidRPr="00DA7824">
              <w:rPr>
                <w:rFonts w:asciiTheme="majorHAnsi" w:hAnsiTheme="majorHAnsi" w:cstheme="majorHAnsi"/>
                <w:sz w:val="20"/>
                <w:szCs w:val="20"/>
                <w:lang w:val="ro-MD"/>
              </w:rPr>
              <w:t>S</w:t>
            </w:r>
            <w:r w:rsidRPr="00DA7824">
              <w:rPr>
                <w:rFonts w:asciiTheme="majorHAnsi" w:hAnsiTheme="majorHAnsi" w:cstheme="majorHAnsi"/>
                <w:sz w:val="20"/>
                <w:szCs w:val="20"/>
                <w:lang w:val="ro-MD"/>
              </w:rPr>
              <w:t xml:space="preserve">chemei de stimulente și a indicatorilor de performanță pentru medicina de familie  </w:t>
            </w:r>
          </w:p>
          <w:p w14:paraId="73D0C7F3"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DLR 6.4: Implementarea contractelor revizuite cu furnizorii de asistență medicală primară  </w:t>
            </w:r>
          </w:p>
        </w:tc>
        <w:tc>
          <w:tcPr>
            <w:tcW w:w="2882" w:type="dxa"/>
            <w:tcBorders>
              <w:top w:val="single" w:sz="6" w:space="0" w:color="000000"/>
              <w:left w:val="single" w:sz="6" w:space="0" w:color="000000"/>
              <w:bottom w:val="single" w:sz="6" w:space="0" w:color="000000"/>
              <w:right w:val="single" w:sz="6" w:space="0" w:color="000000"/>
            </w:tcBorders>
          </w:tcPr>
          <w:p w14:paraId="2B939B55"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DLR 6.1: 323.500 </w:t>
            </w:r>
          </w:p>
          <w:p w14:paraId="58BACEA4"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 </w:t>
            </w:r>
          </w:p>
          <w:p w14:paraId="11963D5A"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 </w:t>
            </w:r>
          </w:p>
          <w:p w14:paraId="66700333" w14:textId="77777777" w:rsidR="004C1407" w:rsidRPr="00DA7824" w:rsidRDefault="004C1407" w:rsidP="009B6EFA">
            <w:pPr>
              <w:tabs>
                <w:tab w:val="left" w:pos="1080"/>
              </w:tabs>
              <w:spacing w:after="0" w:line="276" w:lineRule="auto"/>
              <w:contextualSpacing/>
              <w:jc w:val="both"/>
              <w:rPr>
                <w:rFonts w:asciiTheme="majorHAnsi" w:hAnsiTheme="majorHAnsi" w:cstheme="majorHAnsi"/>
                <w:sz w:val="20"/>
                <w:szCs w:val="20"/>
                <w:lang w:val="ro-MD"/>
              </w:rPr>
            </w:pPr>
          </w:p>
          <w:p w14:paraId="4BBC5C05" w14:textId="773ABBC8"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DLR 6.2: 323.500 </w:t>
            </w:r>
          </w:p>
          <w:p w14:paraId="1422F9BF"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 </w:t>
            </w:r>
          </w:p>
          <w:p w14:paraId="1CD3C445"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 </w:t>
            </w:r>
          </w:p>
          <w:p w14:paraId="031D412B"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 </w:t>
            </w:r>
          </w:p>
          <w:p w14:paraId="2D462253" w14:textId="77777777" w:rsidR="00E5365F" w:rsidRPr="00DA7824" w:rsidRDefault="00E5365F" w:rsidP="009B6EFA">
            <w:pPr>
              <w:tabs>
                <w:tab w:val="left" w:pos="1080"/>
              </w:tabs>
              <w:spacing w:after="0" w:line="276" w:lineRule="auto"/>
              <w:contextualSpacing/>
              <w:jc w:val="both"/>
              <w:rPr>
                <w:rFonts w:asciiTheme="majorHAnsi" w:hAnsiTheme="majorHAnsi" w:cstheme="majorHAnsi"/>
                <w:sz w:val="20"/>
                <w:szCs w:val="20"/>
                <w:lang w:val="ro-MD"/>
              </w:rPr>
            </w:pPr>
          </w:p>
          <w:p w14:paraId="74909F24" w14:textId="77777777" w:rsidR="00E5365F" w:rsidRPr="00DA7824" w:rsidRDefault="00E5365F" w:rsidP="009B6EFA">
            <w:pPr>
              <w:tabs>
                <w:tab w:val="left" w:pos="1080"/>
              </w:tabs>
              <w:spacing w:after="0" w:line="276" w:lineRule="auto"/>
              <w:contextualSpacing/>
              <w:jc w:val="both"/>
              <w:rPr>
                <w:rFonts w:asciiTheme="majorHAnsi" w:hAnsiTheme="majorHAnsi" w:cstheme="majorHAnsi"/>
                <w:sz w:val="20"/>
                <w:szCs w:val="20"/>
                <w:lang w:val="ro-MD"/>
              </w:rPr>
            </w:pPr>
          </w:p>
          <w:p w14:paraId="1459C7A5" w14:textId="59AA47C8"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DLR 6.3: 323.500 </w:t>
            </w:r>
          </w:p>
          <w:p w14:paraId="534CC12F"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 </w:t>
            </w:r>
          </w:p>
          <w:p w14:paraId="429C1A6A"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 </w:t>
            </w:r>
          </w:p>
          <w:p w14:paraId="79AE3563"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DLR 6.4: 323.500 </w:t>
            </w:r>
          </w:p>
        </w:tc>
      </w:tr>
      <w:tr w:rsidR="009B6EFA" w:rsidRPr="00E33BAB" w14:paraId="4BA23D71" w14:textId="77777777" w:rsidTr="00DA7824">
        <w:trPr>
          <w:trHeight w:val="1720"/>
        </w:trPr>
        <w:tc>
          <w:tcPr>
            <w:tcW w:w="2430" w:type="dxa"/>
            <w:tcBorders>
              <w:top w:val="single" w:sz="6" w:space="0" w:color="000000"/>
              <w:left w:val="single" w:sz="6" w:space="0" w:color="000000"/>
              <w:bottom w:val="single" w:sz="6" w:space="0" w:color="000000"/>
              <w:right w:val="single" w:sz="6" w:space="0" w:color="000000"/>
            </w:tcBorders>
          </w:tcPr>
          <w:p w14:paraId="4710877A" w14:textId="7E84A7E4"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(7) DLI 7</w:t>
            </w:r>
            <w:r w:rsidR="00F03881" w:rsidRPr="00DA7824">
              <w:rPr>
                <w:rFonts w:asciiTheme="majorHAnsi" w:hAnsiTheme="majorHAnsi" w:cstheme="majorHAnsi"/>
                <w:sz w:val="20"/>
                <w:szCs w:val="20"/>
                <w:lang w:val="ro-MD"/>
              </w:rPr>
              <w:t>:</w:t>
            </w:r>
            <w:r w:rsidRPr="00DA7824">
              <w:rPr>
                <w:rFonts w:asciiTheme="majorHAnsi" w:hAnsiTheme="majorHAnsi" w:cstheme="majorHAnsi"/>
                <w:sz w:val="20"/>
                <w:szCs w:val="20"/>
                <w:lang w:val="ro-MD"/>
              </w:rPr>
              <w:t xml:space="preserve"> </w:t>
            </w:r>
          </w:p>
          <w:p w14:paraId="602A1E66"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Conceperea și pilotarea stimulentelor bazate pe performanță pentru toate spitalele </w:t>
            </w:r>
          </w:p>
          <w:p w14:paraId="4ADD090B"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 </w:t>
            </w:r>
          </w:p>
        </w:tc>
        <w:tc>
          <w:tcPr>
            <w:tcW w:w="4120" w:type="dxa"/>
            <w:tcBorders>
              <w:top w:val="single" w:sz="6" w:space="0" w:color="000000"/>
              <w:left w:val="single" w:sz="6" w:space="0" w:color="000000"/>
              <w:bottom w:val="single" w:sz="6" w:space="0" w:color="000000"/>
              <w:right w:val="single" w:sz="6" w:space="0" w:color="000000"/>
            </w:tcBorders>
          </w:tcPr>
          <w:p w14:paraId="1CB0CA9B"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DLR 7.1: Conceperea schemei de stimulente pentru spitale </w:t>
            </w:r>
          </w:p>
          <w:p w14:paraId="45596D75" w14:textId="44C3AE7A"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DLR 7.2:  Revizuirea schemei </w:t>
            </w:r>
            <w:r w:rsidR="00F03881" w:rsidRPr="00DA7824">
              <w:rPr>
                <w:rFonts w:asciiTheme="majorHAnsi" w:hAnsiTheme="majorHAnsi" w:cstheme="majorHAnsi"/>
                <w:sz w:val="20"/>
                <w:szCs w:val="20"/>
                <w:lang w:val="ro-MD"/>
              </w:rPr>
              <w:t xml:space="preserve">de </w:t>
            </w:r>
            <w:r w:rsidRPr="00DA7824">
              <w:rPr>
                <w:rFonts w:asciiTheme="majorHAnsi" w:hAnsiTheme="majorHAnsi" w:cstheme="majorHAnsi"/>
                <w:sz w:val="20"/>
                <w:szCs w:val="20"/>
                <w:lang w:val="ro-MD"/>
              </w:rPr>
              <w:t xml:space="preserve">plată pentru performanță </w:t>
            </w:r>
          </w:p>
          <w:p w14:paraId="12C8F07B"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DLR 7.3:  Pilotarea metodologiei revizuite în cel puțin 7 spitale </w:t>
            </w:r>
          </w:p>
        </w:tc>
        <w:tc>
          <w:tcPr>
            <w:tcW w:w="2882" w:type="dxa"/>
            <w:tcBorders>
              <w:top w:val="single" w:sz="6" w:space="0" w:color="000000"/>
              <w:left w:val="single" w:sz="6" w:space="0" w:color="000000"/>
              <w:bottom w:val="single" w:sz="6" w:space="0" w:color="000000"/>
              <w:right w:val="single" w:sz="6" w:space="0" w:color="000000"/>
            </w:tcBorders>
          </w:tcPr>
          <w:p w14:paraId="41BE6365"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DLR 7.1: 323.500 </w:t>
            </w:r>
          </w:p>
          <w:p w14:paraId="3FF7E2D2"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 </w:t>
            </w:r>
          </w:p>
          <w:p w14:paraId="23C576EB"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DLR 7.2: 485.250 </w:t>
            </w:r>
          </w:p>
          <w:p w14:paraId="696FED09"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 </w:t>
            </w:r>
          </w:p>
          <w:p w14:paraId="05E5600B" w14:textId="687A7A2B"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DLR</w:t>
            </w:r>
            <w:r w:rsidR="004029E2" w:rsidRPr="00DA7824">
              <w:rPr>
                <w:rFonts w:asciiTheme="majorHAnsi" w:hAnsiTheme="majorHAnsi" w:cstheme="majorHAnsi"/>
                <w:sz w:val="20"/>
                <w:szCs w:val="20"/>
                <w:lang w:val="ro-MD"/>
              </w:rPr>
              <w:t xml:space="preserve"> </w:t>
            </w:r>
            <w:r w:rsidRPr="00DA7824">
              <w:rPr>
                <w:rFonts w:asciiTheme="majorHAnsi" w:hAnsiTheme="majorHAnsi" w:cstheme="majorHAnsi"/>
                <w:sz w:val="20"/>
                <w:szCs w:val="20"/>
                <w:lang w:val="ro-MD"/>
              </w:rPr>
              <w:t xml:space="preserve">7.3: 485.250 </w:t>
            </w:r>
          </w:p>
        </w:tc>
      </w:tr>
      <w:tr w:rsidR="009B6EFA" w:rsidRPr="00E33BAB" w14:paraId="27F6450F" w14:textId="77777777" w:rsidTr="00DA7824">
        <w:trPr>
          <w:trHeight w:val="3630"/>
        </w:trPr>
        <w:tc>
          <w:tcPr>
            <w:tcW w:w="2430" w:type="dxa"/>
            <w:tcBorders>
              <w:top w:val="single" w:sz="6" w:space="0" w:color="000000"/>
              <w:left w:val="single" w:sz="6" w:space="0" w:color="000000"/>
              <w:bottom w:val="single" w:sz="6" w:space="0" w:color="000000"/>
              <w:right w:val="single" w:sz="6" w:space="0" w:color="000000"/>
            </w:tcBorders>
          </w:tcPr>
          <w:p w14:paraId="2A1C01C7" w14:textId="3AA7F2AD"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(8) DLI 8</w:t>
            </w:r>
            <w:r w:rsidR="00F03881" w:rsidRPr="00DA7824">
              <w:rPr>
                <w:rFonts w:asciiTheme="majorHAnsi" w:hAnsiTheme="majorHAnsi" w:cstheme="majorHAnsi"/>
                <w:sz w:val="20"/>
                <w:szCs w:val="20"/>
                <w:lang w:val="ro-MD"/>
              </w:rPr>
              <w:t>:</w:t>
            </w:r>
            <w:r w:rsidRPr="00DA7824">
              <w:rPr>
                <w:rFonts w:asciiTheme="majorHAnsi" w:hAnsiTheme="majorHAnsi" w:cstheme="majorHAnsi"/>
                <w:sz w:val="20"/>
                <w:szCs w:val="20"/>
                <w:lang w:val="ro-MD"/>
              </w:rPr>
              <w:t xml:space="preserve"> </w:t>
            </w:r>
          </w:p>
          <w:p w14:paraId="0F7CEE16"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Punerea în aplicare și actualizarea prețurilor GOB pentru plățile către spitale publice de îngrijiri </w:t>
            </w:r>
          </w:p>
          <w:p w14:paraId="46C67DB6"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acute  </w:t>
            </w:r>
          </w:p>
        </w:tc>
        <w:tc>
          <w:tcPr>
            <w:tcW w:w="4120" w:type="dxa"/>
            <w:tcBorders>
              <w:top w:val="single" w:sz="6" w:space="0" w:color="000000"/>
              <w:left w:val="single" w:sz="6" w:space="0" w:color="000000"/>
              <w:bottom w:val="single" w:sz="6" w:space="0" w:color="000000"/>
              <w:right w:val="single" w:sz="6" w:space="0" w:color="000000"/>
            </w:tcBorders>
          </w:tcPr>
          <w:p w14:paraId="47D1800A"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DLR 8.1: Prețurile GOB reprezintă cel puțin 40% din plata totală efectuată de către CNAM spitalelor publice de îngrijire acută în Anul 1 </w:t>
            </w:r>
          </w:p>
          <w:p w14:paraId="4B29E011"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DLR 8.2: Prețurile GOB reprezintă cel puțin 50% din plata totală efectuată de către CNAM spitalelor publice de îngrijire acută în Anul 2 </w:t>
            </w:r>
          </w:p>
          <w:p w14:paraId="2085BD40" w14:textId="188CDE5A" w:rsidR="009B6EFA" w:rsidRPr="00DA7824" w:rsidRDefault="000252BE"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DLR</w:t>
            </w:r>
            <w:r w:rsidR="009B6EFA" w:rsidRPr="00DA7824">
              <w:rPr>
                <w:rFonts w:asciiTheme="majorHAnsi" w:hAnsiTheme="majorHAnsi" w:cstheme="majorHAnsi"/>
                <w:sz w:val="20"/>
                <w:szCs w:val="20"/>
                <w:lang w:val="ro-MD"/>
              </w:rPr>
              <w:t xml:space="preserve"> </w:t>
            </w:r>
            <w:r w:rsidRPr="00DA7824">
              <w:rPr>
                <w:rFonts w:asciiTheme="majorHAnsi" w:hAnsiTheme="majorHAnsi" w:cstheme="majorHAnsi"/>
                <w:sz w:val="20"/>
                <w:szCs w:val="20"/>
                <w:lang w:val="ro-MD"/>
              </w:rPr>
              <w:t>8</w:t>
            </w:r>
            <w:r w:rsidR="009B6EFA" w:rsidRPr="00DA7824">
              <w:rPr>
                <w:rFonts w:asciiTheme="majorHAnsi" w:hAnsiTheme="majorHAnsi" w:cstheme="majorHAnsi"/>
                <w:sz w:val="20"/>
                <w:szCs w:val="20"/>
                <w:lang w:val="ro-MD"/>
              </w:rPr>
              <w:t xml:space="preserve">.3: Prețurile GOB reprezintă cel puțin 60% din plata totală efectuată de către CNAM spitalelor publice de îngrijire acută în Anul 3 </w:t>
            </w:r>
          </w:p>
          <w:p w14:paraId="45BA0842" w14:textId="1E6C9560"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DLR 8.4: Pregătirea unui raport actualizat de calculare a costurilor prețurilor GOB</w:t>
            </w:r>
            <w:r w:rsidR="00F03881" w:rsidRPr="00DA7824">
              <w:rPr>
                <w:rFonts w:asciiTheme="majorHAnsi" w:hAnsiTheme="majorHAnsi" w:cstheme="majorHAnsi"/>
                <w:sz w:val="20"/>
                <w:szCs w:val="20"/>
                <w:lang w:val="ro-MD"/>
              </w:rPr>
              <w:t>,</w:t>
            </w:r>
            <w:r w:rsidRPr="00DA7824">
              <w:rPr>
                <w:rFonts w:asciiTheme="majorHAnsi" w:hAnsiTheme="majorHAnsi" w:cstheme="majorHAnsi"/>
                <w:sz w:val="20"/>
                <w:szCs w:val="20"/>
                <w:lang w:val="ro-MD"/>
              </w:rPr>
              <w:t xml:space="preserve"> cu utilizarea datelor din țară pentru plățile efectuate către spitale în Anul 4 </w:t>
            </w:r>
          </w:p>
        </w:tc>
        <w:tc>
          <w:tcPr>
            <w:tcW w:w="2882" w:type="dxa"/>
            <w:tcBorders>
              <w:top w:val="single" w:sz="6" w:space="0" w:color="000000"/>
              <w:left w:val="single" w:sz="6" w:space="0" w:color="000000"/>
              <w:bottom w:val="single" w:sz="6" w:space="0" w:color="000000"/>
              <w:right w:val="single" w:sz="6" w:space="0" w:color="000000"/>
            </w:tcBorders>
          </w:tcPr>
          <w:p w14:paraId="0CDB94CF"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DLR 8.1: 323.500 </w:t>
            </w:r>
          </w:p>
          <w:p w14:paraId="5EE891F4"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 </w:t>
            </w:r>
          </w:p>
          <w:p w14:paraId="1B3425CB"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 </w:t>
            </w:r>
          </w:p>
          <w:p w14:paraId="3A9AA2A8" w14:textId="0A755BD1"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DLR 8.2: 323.500 </w:t>
            </w:r>
          </w:p>
          <w:p w14:paraId="595ECC90"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 </w:t>
            </w:r>
          </w:p>
          <w:p w14:paraId="24DA9FBC"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 </w:t>
            </w:r>
          </w:p>
          <w:p w14:paraId="44134FD1" w14:textId="77777777" w:rsidR="000252BE" w:rsidRPr="00DA7824" w:rsidRDefault="000252BE" w:rsidP="009B6EFA">
            <w:pPr>
              <w:tabs>
                <w:tab w:val="left" w:pos="1080"/>
              </w:tabs>
              <w:spacing w:after="0" w:line="276" w:lineRule="auto"/>
              <w:contextualSpacing/>
              <w:jc w:val="both"/>
              <w:rPr>
                <w:rFonts w:asciiTheme="majorHAnsi" w:hAnsiTheme="majorHAnsi" w:cstheme="majorHAnsi"/>
                <w:sz w:val="20"/>
                <w:szCs w:val="20"/>
                <w:lang w:val="ro-MD"/>
              </w:rPr>
            </w:pPr>
          </w:p>
          <w:p w14:paraId="722EA697" w14:textId="6FB31401"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DLR 8.3: 323.500 </w:t>
            </w:r>
          </w:p>
          <w:p w14:paraId="02B9F103"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 </w:t>
            </w:r>
          </w:p>
          <w:p w14:paraId="325FA0D6"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 </w:t>
            </w:r>
          </w:p>
          <w:p w14:paraId="4C9B9B11" w14:textId="77777777" w:rsidR="000252BE" w:rsidRPr="00DA7824" w:rsidRDefault="000252BE" w:rsidP="009B6EFA">
            <w:pPr>
              <w:tabs>
                <w:tab w:val="left" w:pos="1080"/>
              </w:tabs>
              <w:spacing w:after="0" w:line="276" w:lineRule="auto"/>
              <w:contextualSpacing/>
              <w:jc w:val="both"/>
              <w:rPr>
                <w:rFonts w:asciiTheme="majorHAnsi" w:hAnsiTheme="majorHAnsi" w:cstheme="majorHAnsi"/>
                <w:sz w:val="20"/>
                <w:szCs w:val="20"/>
                <w:lang w:val="ro-MD"/>
              </w:rPr>
            </w:pPr>
          </w:p>
          <w:p w14:paraId="19A9F3AF" w14:textId="1AC682FB"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DLR 8.4: 323.500 </w:t>
            </w:r>
          </w:p>
        </w:tc>
      </w:tr>
      <w:tr w:rsidR="009B6EFA" w:rsidRPr="00E33BAB" w14:paraId="3A84F981" w14:textId="77777777" w:rsidTr="00152D68">
        <w:trPr>
          <w:trHeight w:val="1170"/>
        </w:trPr>
        <w:tc>
          <w:tcPr>
            <w:tcW w:w="2430" w:type="dxa"/>
            <w:tcBorders>
              <w:top w:val="single" w:sz="6" w:space="0" w:color="000000"/>
              <w:left w:val="single" w:sz="6" w:space="0" w:color="000000"/>
              <w:bottom w:val="single" w:sz="6" w:space="0" w:color="000000"/>
              <w:right w:val="single" w:sz="6" w:space="0" w:color="000000"/>
            </w:tcBorders>
          </w:tcPr>
          <w:p w14:paraId="459BAAE3" w14:textId="16B79A44"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(9) DLI 9</w:t>
            </w:r>
            <w:r w:rsidR="00F03881" w:rsidRPr="00DA7824">
              <w:rPr>
                <w:rFonts w:asciiTheme="majorHAnsi" w:hAnsiTheme="majorHAnsi" w:cstheme="majorHAnsi"/>
                <w:sz w:val="20"/>
                <w:szCs w:val="20"/>
                <w:lang w:val="ro-MD"/>
              </w:rPr>
              <w:t>:</w:t>
            </w:r>
            <w:r w:rsidRPr="00DA7824">
              <w:rPr>
                <w:rFonts w:asciiTheme="majorHAnsi" w:hAnsiTheme="majorHAnsi" w:cstheme="majorHAnsi"/>
                <w:sz w:val="20"/>
                <w:szCs w:val="20"/>
                <w:lang w:val="ro-MD"/>
              </w:rPr>
              <w:t xml:space="preserve"> </w:t>
            </w:r>
          </w:p>
          <w:p w14:paraId="7FF7A698" w14:textId="0195884D"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Consolidarea spitalelor departamentale aflate </w:t>
            </w:r>
            <w:r w:rsidR="00F03881" w:rsidRPr="00DA7824">
              <w:rPr>
                <w:rFonts w:asciiTheme="majorHAnsi" w:hAnsiTheme="majorHAnsi" w:cstheme="majorHAnsi"/>
                <w:sz w:val="20"/>
                <w:szCs w:val="20"/>
                <w:lang w:val="ro-MD"/>
              </w:rPr>
              <w:t>în</w:t>
            </w:r>
            <w:r w:rsidRPr="00DA7824">
              <w:rPr>
                <w:rFonts w:asciiTheme="majorHAnsi" w:hAnsiTheme="majorHAnsi" w:cstheme="majorHAnsi"/>
                <w:sz w:val="20"/>
                <w:szCs w:val="20"/>
                <w:lang w:val="ro-MD"/>
              </w:rPr>
              <w:t xml:space="preserve"> administrarea MSMPS </w:t>
            </w:r>
          </w:p>
        </w:tc>
        <w:tc>
          <w:tcPr>
            <w:tcW w:w="4120" w:type="dxa"/>
            <w:tcBorders>
              <w:top w:val="single" w:sz="6" w:space="0" w:color="000000"/>
              <w:left w:val="single" w:sz="6" w:space="0" w:color="000000"/>
              <w:bottom w:val="single" w:sz="6" w:space="0" w:color="000000"/>
              <w:right w:val="single" w:sz="6" w:space="0" w:color="000000"/>
            </w:tcBorders>
          </w:tcPr>
          <w:p w14:paraId="5ABF1725"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DLR 9.1: Trei spitale publice din </w:t>
            </w:r>
          </w:p>
          <w:p w14:paraId="6FE7BF14" w14:textId="609A9304"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Chișinău se află </w:t>
            </w:r>
            <w:r w:rsidR="00F03881" w:rsidRPr="00DA7824">
              <w:rPr>
                <w:rFonts w:asciiTheme="majorHAnsi" w:hAnsiTheme="majorHAnsi" w:cstheme="majorHAnsi"/>
                <w:sz w:val="20"/>
                <w:szCs w:val="20"/>
                <w:lang w:val="ro-MD"/>
              </w:rPr>
              <w:t>în</w:t>
            </w:r>
            <w:r w:rsidRPr="00DA7824">
              <w:rPr>
                <w:rFonts w:asciiTheme="majorHAnsi" w:hAnsiTheme="majorHAnsi" w:cstheme="majorHAnsi"/>
                <w:sz w:val="20"/>
                <w:szCs w:val="20"/>
                <w:lang w:val="ro-MD"/>
              </w:rPr>
              <w:t xml:space="preserve"> administrare comună </w:t>
            </w:r>
          </w:p>
          <w:p w14:paraId="289A5DE6"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 </w:t>
            </w:r>
          </w:p>
        </w:tc>
        <w:tc>
          <w:tcPr>
            <w:tcW w:w="2882" w:type="dxa"/>
            <w:tcBorders>
              <w:top w:val="single" w:sz="6" w:space="0" w:color="000000"/>
              <w:left w:val="single" w:sz="6" w:space="0" w:color="000000"/>
              <w:bottom w:val="single" w:sz="6" w:space="0" w:color="000000"/>
              <w:right w:val="single" w:sz="6" w:space="0" w:color="000000"/>
            </w:tcBorders>
          </w:tcPr>
          <w:p w14:paraId="45110F4E"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DLR 9.1: 517.500 </w:t>
            </w:r>
          </w:p>
        </w:tc>
      </w:tr>
      <w:tr w:rsidR="009B6EFA" w:rsidRPr="00E33BAB" w14:paraId="3F28F9A2" w14:textId="77777777" w:rsidTr="00152D68">
        <w:trPr>
          <w:trHeight w:val="1872"/>
        </w:trPr>
        <w:tc>
          <w:tcPr>
            <w:tcW w:w="2430" w:type="dxa"/>
            <w:tcBorders>
              <w:top w:val="single" w:sz="6" w:space="0" w:color="000000"/>
              <w:left w:val="single" w:sz="6" w:space="0" w:color="000000"/>
              <w:bottom w:val="single" w:sz="6" w:space="0" w:color="000000"/>
              <w:right w:val="single" w:sz="6" w:space="0" w:color="000000"/>
            </w:tcBorders>
          </w:tcPr>
          <w:p w14:paraId="1A649F5C" w14:textId="3A51B310"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(10) DLI 10</w:t>
            </w:r>
            <w:r w:rsidR="00F03881" w:rsidRPr="00DA7824">
              <w:rPr>
                <w:rFonts w:asciiTheme="majorHAnsi" w:hAnsiTheme="majorHAnsi" w:cstheme="majorHAnsi"/>
                <w:sz w:val="20"/>
                <w:szCs w:val="20"/>
                <w:lang w:val="ro-MD"/>
              </w:rPr>
              <w:t>:</w:t>
            </w:r>
            <w:r w:rsidRPr="00DA7824">
              <w:rPr>
                <w:rFonts w:asciiTheme="majorHAnsi" w:hAnsiTheme="majorHAnsi" w:cstheme="majorHAnsi"/>
                <w:sz w:val="20"/>
                <w:szCs w:val="20"/>
                <w:lang w:val="ro-MD"/>
              </w:rPr>
              <w:t xml:space="preserve"> </w:t>
            </w:r>
          </w:p>
          <w:p w14:paraId="21424991" w14:textId="6B893882"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Aprobarea Strategiei </w:t>
            </w:r>
            <w:r w:rsidR="00402627" w:rsidRPr="00DA7824">
              <w:rPr>
                <w:rFonts w:asciiTheme="majorHAnsi" w:hAnsiTheme="majorHAnsi" w:cstheme="majorHAnsi"/>
                <w:sz w:val="20"/>
                <w:szCs w:val="20"/>
                <w:lang w:val="ro-MD"/>
              </w:rPr>
              <w:t>N</w:t>
            </w:r>
            <w:r w:rsidRPr="00DA7824">
              <w:rPr>
                <w:rFonts w:asciiTheme="majorHAnsi" w:hAnsiTheme="majorHAnsi" w:cstheme="majorHAnsi"/>
                <w:sz w:val="20"/>
                <w:szCs w:val="20"/>
                <w:lang w:val="ro-MD"/>
              </w:rPr>
              <w:t xml:space="preserve">aționale </w:t>
            </w:r>
            <w:r w:rsidR="00402627" w:rsidRPr="00DA7824">
              <w:rPr>
                <w:rFonts w:asciiTheme="majorHAnsi" w:hAnsiTheme="majorHAnsi" w:cstheme="majorHAnsi"/>
                <w:sz w:val="20"/>
                <w:szCs w:val="20"/>
                <w:lang w:val="ro-MD"/>
              </w:rPr>
              <w:t xml:space="preserve">revizuite </w:t>
            </w:r>
            <w:r w:rsidRPr="00DA7824">
              <w:rPr>
                <w:rFonts w:asciiTheme="majorHAnsi" w:hAnsiTheme="majorHAnsi" w:cstheme="majorHAnsi"/>
                <w:sz w:val="20"/>
                <w:szCs w:val="20"/>
                <w:lang w:val="ro-MD"/>
              </w:rPr>
              <w:t xml:space="preserve">de </w:t>
            </w:r>
            <w:r w:rsidR="00402627" w:rsidRPr="00DA7824">
              <w:rPr>
                <w:rFonts w:asciiTheme="majorHAnsi" w:hAnsiTheme="majorHAnsi" w:cstheme="majorHAnsi"/>
                <w:sz w:val="20"/>
                <w:szCs w:val="20"/>
                <w:lang w:val="ro-MD"/>
              </w:rPr>
              <w:t>D</w:t>
            </w:r>
            <w:r w:rsidRPr="00DA7824">
              <w:rPr>
                <w:rFonts w:asciiTheme="majorHAnsi" w:hAnsiTheme="majorHAnsi" w:cstheme="majorHAnsi"/>
                <w:sz w:val="20"/>
                <w:szCs w:val="20"/>
                <w:lang w:val="ro-MD"/>
              </w:rPr>
              <w:t xml:space="preserve">ezvoltare a </w:t>
            </w:r>
            <w:r w:rsidR="00402627" w:rsidRPr="00DA7824">
              <w:rPr>
                <w:rFonts w:asciiTheme="majorHAnsi" w:hAnsiTheme="majorHAnsi" w:cstheme="majorHAnsi"/>
                <w:sz w:val="20"/>
                <w:szCs w:val="20"/>
                <w:lang w:val="ro-MD"/>
              </w:rPr>
              <w:t>S</w:t>
            </w:r>
            <w:r w:rsidRPr="00DA7824">
              <w:rPr>
                <w:rFonts w:asciiTheme="majorHAnsi" w:hAnsiTheme="majorHAnsi" w:cstheme="majorHAnsi"/>
                <w:sz w:val="20"/>
                <w:szCs w:val="20"/>
                <w:lang w:val="ro-MD"/>
              </w:rPr>
              <w:t xml:space="preserve">istemului de </w:t>
            </w:r>
            <w:r w:rsidR="00402627" w:rsidRPr="00DA7824">
              <w:rPr>
                <w:rFonts w:asciiTheme="majorHAnsi" w:hAnsiTheme="majorHAnsi" w:cstheme="majorHAnsi"/>
                <w:sz w:val="20"/>
                <w:szCs w:val="20"/>
                <w:lang w:val="ro-MD"/>
              </w:rPr>
              <w:t>S</w:t>
            </w:r>
            <w:r w:rsidRPr="00DA7824">
              <w:rPr>
                <w:rFonts w:asciiTheme="majorHAnsi" w:hAnsiTheme="majorHAnsi" w:cstheme="majorHAnsi"/>
                <w:sz w:val="20"/>
                <w:szCs w:val="20"/>
                <w:lang w:val="ro-MD"/>
              </w:rPr>
              <w:t xml:space="preserve">ănătate, care include măsuri de raționalizare </w:t>
            </w:r>
          </w:p>
          <w:p w14:paraId="070CFB8C"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spitalicească  </w:t>
            </w:r>
          </w:p>
        </w:tc>
        <w:tc>
          <w:tcPr>
            <w:tcW w:w="4120" w:type="dxa"/>
            <w:tcBorders>
              <w:top w:val="single" w:sz="6" w:space="0" w:color="000000"/>
              <w:left w:val="single" w:sz="6" w:space="0" w:color="000000"/>
              <w:bottom w:val="single" w:sz="6" w:space="0" w:color="000000"/>
              <w:right w:val="single" w:sz="6" w:space="0" w:color="000000"/>
            </w:tcBorders>
          </w:tcPr>
          <w:p w14:paraId="181AE25C" w14:textId="26804723" w:rsidR="009B6EFA" w:rsidRPr="00DA7824" w:rsidRDefault="009B6EFA" w:rsidP="00402627">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DLR 10: Aprobarea Strategiei </w:t>
            </w:r>
            <w:r w:rsidR="00402627" w:rsidRPr="00DA7824">
              <w:rPr>
                <w:rFonts w:asciiTheme="majorHAnsi" w:hAnsiTheme="majorHAnsi" w:cstheme="majorHAnsi"/>
                <w:sz w:val="20"/>
                <w:szCs w:val="20"/>
                <w:lang w:val="ro-MD"/>
              </w:rPr>
              <w:t>N</w:t>
            </w:r>
            <w:r w:rsidRPr="00DA7824">
              <w:rPr>
                <w:rFonts w:asciiTheme="majorHAnsi" w:hAnsiTheme="majorHAnsi" w:cstheme="majorHAnsi"/>
                <w:sz w:val="20"/>
                <w:szCs w:val="20"/>
                <w:lang w:val="ro-MD"/>
              </w:rPr>
              <w:t xml:space="preserve">aționale </w:t>
            </w:r>
            <w:r w:rsidR="00402627" w:rsidRPr="00DA7824">
              <w:rPr>
                <w:rFonts w:asciiTheme="majorHAnsi" w:hAnsiTheme="majorHAnsi" w:cstheme="majorHAnsi"/>
                <w:sz w:val="20"/>
                <w:szCs w:val="20"/>
                <w:lang w:val="ro-MD"/>
              </w:rPr>
              <w:t xml:space="preserve">revizuite </w:t>
            </w:r>
            <w:r w:rsidRPr="00DA7824">
              <w:rPr>
                <w:rFonts w:asciiTheme="majorHAnsi" w:hAnsiTheme="majorHAnsi" w:cstheme="majorHAnsi"/>
                <w:sz w:val="20"/>
                <w:szCs w:val="20"/>
                <w:lang w:val="ro-MD"/>
              </w:rPr>
              <w:t xml:space="preserve">de </w:t>
            </w:r>
            <w:r w:rsidR="00402627" w:rsidRPr="00DA7824">
              <w:rPr>
                <w:rFonts w:asciiTheme="majorHAnsi" w:hAnsiTheme="majorHAnsi" w:cstheme="majorHAnsi"/>
                <w:sz w:val="20"/>
                <w:szCs w:val="20"/>
                <w:lang w:val="ro-MD"/>
              </w:rPr>
              <w:t>D</w:t>
            </w:r>
            <w:r w:rsidRPr="00DA7824">
              <w:rPr>
                <w:rFonts w:asciiTheme="majorHAnsi" w:hAnsiTheme="majorHAnsi" w:cstheme="majorHAnsi"/>
                <w:sz w:val="20"/>
                <w:szCs w:val="20"/>
                <w:lang w:val="ro-MD"/>
              </w:rPr>
              <w:t xml:space="preserve">ezvoltare a </w:t>
            </w:r>
            <w:r w:rsidR="00402627" w:rsidRPr="00DA7824">
              <w:rPr>
                <w:rFonts w:asciiTheme="majorHAnsi" w:hAnsiTheme="majorHAnsi" w:cstheme="majorHAnsi"/>
                <w:sz w:val="20"/>
                <w:szCs w:val="20"/>
                <w:lang w:val="ro-MD"/>
              </w:rPr>
              <w:t>S</w:t>
            </w:r>
            <w:r w:rsidRPr="00DA7824">
              <w:rPr>
                <w:rFonts w:asciiTheme="majorHAnsi" w:hAnsiTheme="majorHAnsi" w:cstheme="majorHAnsi"/>
                <w:sz w:val="20"/>
                <w:szCs w:val="20"/>
                <w:lang w:val="ro-MD"/>
              </w:rPr>
              <w:t xml:space="preserve">istemului de </w:t>
            </w:r>
            <w:r w:rsidR="00402627" w:rsidRPr="00DA7824">
              <w:rPr>
                <w:rFonts w:asciiTheme="majorHAnsi" w:hAnsiTheme="majorHAnsi" w:cstheme="majorHAnsi"/>
                <w:sz w:val="20"/>
                <w:szCs w:val="20"/>
                <w:lang w:val="ro-MD"/>
              </w:rPr>
              <w:t>S</w:t>
            </w:r>
            <w:r w:rsidRPr="00DA7824">
              <w:rPr>
                <w:rFonts w:asciiTheme="majorHAnsi" w:hAnsiTheme="majorHAnsi" w:cstheme="majorHAnsi"/>
                <w:sz w:val="20"/>
                <w:szCs w:val="20"/>
                <w:lang w:val="ro-MD"/>
              </w:rPr>
              <w:t>ănătate</w:t>
            </w:r>
            <w:r w:rsidR="00402627" w:rsidRPr="00DA7824">
              <w:rPr>
                <w:rFonts w:asciiTheme="majorHAnsi" w:hAnsiTheme="majorHAnsi" w:cstheme="majorHAnsi"/>
                <w:sz w:val="20"/>
                <w:szCs w:val="20"/>
                <w:lang w:val="ro-MD"/>
              </w:rPr>
              <w:t>,</w:t>
            </w:r>
            <w:r w:rsidRPr="00DA7824">
              <w:rPr>
                <w:rFonts w:asciiTheme="majorHAnsi" w:hAnsiTheme="majorHAnsi" w:cstheme="majorHAnsi"/>
                <w:sz w:val="20"/>
                <w:szCs w:val="20"/>
                <w:lang w:val="ro-MD"/>
              </w:rPr>
              <w:t xml:space="preserve"> care include măsuri de raționalizare spitalicească  </w:t>
            </w:r>
          </w:p>
        </w:tc>
        <w:tc>
          <w:tcPr>
            <w:tcW w:w="2882" w:type="dxa"/>
            <w:tcBorders>
              <w:top w:val="single" w:sz="6" w:space="0" w:color="000000"/>
              <w:left w:val="single" w:sz="6" w:space="0" w:color="000000"/>
              <w:bottom w:val="single" w:sz="6" w:space="0" w:color="000000"/>
              <w:right w:val="single" w:sz="6" w:space="0" w:color="000000"/>
            </w:tcBorders>
          </w:tcPr>
          <w:p w14:paraId="5A6A953F"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DLR 10: 678.000 </w:t>
            </w:r>
          </w:p>
          <w:p w14:paraId="45EC8A12"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 </w:t>
            </w:r>
          </w:p>
          <w:p w14:paraId="1E79BBDE"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 </w:t>
            </w:r>
          </w:p>
        </w:tc>
      </w:tr>
      <w:tr w:rsidR="009B6EFA" w:rsidRPr="00E33BAB" w14:paraId="3C20BC08" w14:textId="77777777" w:rsidTr="00E5365F">
        <w:trPr>
          <w:trHeight w:val="1353"/>
        </w:trPr>
        <w:tc>
          <w:tcPr>
            <w:tcW w:w="2430" w:type="dxa"/>
            <w:tcBorders>
              <w:top w:val="single" w:sz="6" w:space="0" w:color="000000"/>
              <w:left w:val="single" w:sz="6" w:space="0" w:color="000000"/>
              <w:bottom w:val="single" w:sz="6" w:space="0" w:color="000000"/>
              <w:right w:val="single" w:sz="6" w:space="0" w:color="000000"/>
            </w:tcBorders>
          </w:tcPr>
          <w:p w14:paraId="21FD885B" w14:textId="02EBC03A"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lastRenderedPageBreak/>
              <w:t>(11) DLI 11</w:t>
            </w:r>
            <w:r w:rsidR="00F03881" w:rsidRPr="00DA7824">
              <w:rPr>
                <w:rFonts w:asciiTheme="majorHAnsi" w:hAnsiTheme="majorHAnsi" w:cstheme="majorHAnsi"/>
                <w:sz w:val="20"/>
                <w:szCs w:val="20"/>
                <w:lang w:val="ro-MD"/>
              </w:rPr>
              <w:t>:</w:t>
            </w:r>
            <w:r w:rsidRPr="00DA7824">
              <w:rPr>
                <w:rFonts w:asciiTheme="majorHAnsi" w:hAnsiTheme="majorHAnsi" w:cstheme="majorHAnsi"/>
                <w:sz w:val="20"/>
                <w:szCs w:val="20"/>
                <w:lang w:val="ro-MD"/>
              </w:rPr>
              <w:t xml:space="preserve"> </w:t>
            </w:r>
          </w:p>
          <w:p w14:paraId="1664CFFF"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Integrarea lecțiilor învățate în campaniile de comunicare privind schimbarea comportamentului populației și evaluarea gradului de pregătire pentru vaccin </w:t>
            </w:r>
          </w:p>
        </w:tc>
        <w:tc>
          <w:tcPr>
            <w:tcW w:w="4120" w:type="dxa"/>
            <w:tcBorders>
              <w:top w:val="single" w:sz="6" w:space="0" w:color="000000"/>
              <w:left w:val="single" w:sz="6" w:space="0" w:color="000000"/>
              <w:bottom w:val="single" w:sz="6" w:space="0" w:color="000000"/>
              <w:right w:val="single" w:sz="6" w:space="0" w:color="000000"/>
            </w:tcBorders>
          </w:tcPr>
          <w:p w14:paraId="348C214F"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DLR 11.1: Debitorul a desfășurat un studiu de evaluare a cunoștințelor, comportamentelor și atitudinilor persoanelor în legătură cu încetinirea transmiterii COVID-19 </w:t>
            </w:r>
          </w:p>
          <w:p w14:paraId="7EE6ABF6"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DLR 11.2: Debitorul a realizat Evaluarea gradului de pregătire pentru vaccinul </w:t>
            </w:r>
          </w:p>
          <w:p w14:paraId="725FFB85"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COVID-19 </w:t>
            </w:r>
          </w:p>
          <w:p w14:paraId="67410098" w14:textId="03378C03"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DLR 11.3: Debitorul a revizuit Strategia națională de comunicare pentru COVID</w:t>
            </w:r>
            <w:r w:rsidR="00F03881" w:rsidRPr="00DA7824">
              <w:rPr>
                <w:rFonts w:asciiTheme="majorHAnsi" w:hAnsiTheme="majorHAnsi" w:cstheme="majorHAnsi"/>
                <w:sz w:val="20"/>
                <w:szCs w:val="20"/>
                <w:lang w:val="ro-MD"/>
              </w:rPr>
              <w:t>-</w:t>
            </w:r>
            <w:r w:rsidRPr="00DA7824">
              <w:rPr>
                <w:rFonts w:asciiTheme="majorHAnsi" w:hAnsiTheme="majorHAnsi" w:cstheme="majorHAnsi"/>
                <w:sz w:val="20"/>
                <w:szCs w:val="20"/>
                <w:lang w:val="ro-MD"/>
              </w:rPr>
              <w:t xml:space="preserve">19, </w:t>
            </w:r>
            <w:r w:rsidR="00F03881" w:rsidRPr="00DA7824">
              <w:rPr>
                <w:rFonts w:asciiTheme="majorHAnsi" w:hAnsiTheme="majorHAnsi" w:cstheme="majorHAnsi"/>
                <w:sz w:val="20"/>
                <w:szCs w:val="20"/>
                <w:lang w:val="ro-MD"/>
              </w:rPr>
              <w:t>în</w:t>
            </w:r>
            <w:r w:rsidRPr="00DA7824">
              <w:rPr>
                <w:rFonts w:asciiTheme="majorHAnsi" w:hAnsiTheme="majorHAnsi" w:cstheme="majorHAnsi"/>
                <w:sz w:val="20"/>
                <w:szCs w:val="20"/>
                <w:lang w:val="ro-MD"/>
              </w:rPr>
              <w:t xml:space="preserve"> baza rezultatelor studiului și evaluării gradului de pregătire pentru vaccin, și a realizat șase activități din Strategia revizuită privind situația și intervențiile în legătură cu COVID-19 și promovarea respectării igienei personale </w:t>
            </w:r>
          </w:p>
        </w:tc>
        <w:tc>
          <w:tcPr>
            <w:tcW w:w="2882" w:type="dxa"/>
            <w:tcBorders>
              <w:top w:val="single" w:sz="6" w:space="0" w:color="000000"/>
              <w:left w:val="single" w:sz="6" w:space="0" w:color="000000"/>
              <w:bottom w:val="single" w:sz="6" w:space="0" w:color="000000"/>
              <w:right w:val="single" w:sz="6" w:space="0" w:color="000000"/>
            </w:tcBorders>
          </w:tcPr>
          <w:p w14:paraId="43C0BAFC"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DLR 11.1: 1.099.000 </w:t>
            </w:r>
          </w:p>
          <w:p w14:paraId="53D22160"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 </w:t>
            </w:r>
          </w:p>
          <w:p w14:paraId="3F5732D2"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 </w:t>
            </w:r>
          </w:p>
          <w:p w14:paraId="2B92E36C" w14:textId="77777777" w:rsidR="00E5365F" w:rsidRPr="00DA7824" w:rsidRDefault="00E5365F" w:rsidP="009B6EFA">
            <w:pPr>
              <w:tabs>
                <w:tab w:val="left" w:pos="1080"/>
              </w:tabs>
              <w:spacing w:after="0" w:line="276" w:lineRule="auto"/>
              <w:contextualSpacing/>
              <w:jc w:val="both"/>
              <w:rPr>
                <w:rFonts w:asciiTheme="majorHAnsi" w:hAnsiTheme="majorHAnsi" w:cstheme="majorHAnsi"/>
                <w:sz w:val="20"/>
                <w:szCs w:val="20"/>
                <w:lang w:val="ro-MD"/>
              </w:rPr>
            </w:pPr>
          </w:p>
          <w:p w14:paraId="3451555E" w14:textId="77777777" w:rsidR="00E5365F" w:rsidRPr="00DA7824" w:rsidRDefault="00E5365F" w:rsidP="009B6EFA">
            <w:pPr>
              <w:tabs>
                <w:tab w:val="left" w:pos="1080"/>
              </w:tabs>
              <w:spacing w:after="0" w:line="276" w:lineRule="auto"/>
              <w:contextualSpacing/>
              <w:jc w:val="both"/>
              <w:rPr>
                <w:rFonts w:asciiTheme="majorHAnsi" w:hAnsiTheme="majorHAnsi" w:cstheme="majorHAnsi"/>
                <w:sz w:val="20"/>
                <w:szCs w:val="20"/>
                <w:lang w:val="ro-MD"/>
              </w:rPr>
            </w:pPr>
          </w:p>
          <w:p w14:paraId="0F457F0E" w14:textId="0D69F10E"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DLR 11.2: 1.099.000 </w:t>
            </w:r>
          </w:p>
          <w:p w14:paraId="7827EA9D"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 </w:t>
            </w:r>
          </w:p>
          <w:p w14:paraId="2E608185"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 </w:t>
            </w:r>
          </w:p>
          <w:p w14:paraId="4755A827"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DLR 11.3: 1.099.000 </w:t>
            </w:r>
          </w:p>
        </w:tc>
      </w:tr>
      <w:tr w:rsidR="009B6EFA" w:rsidRPr="00E33BAB" w14:paraId="1FAD4A7F" w14:textId="77777777" w:rsidTr="00152D68">
        <w:trPr>
          <w:trHeight w:val="1216"/>
        </w:trPr>
        <w:tc>
          <w:tcPr>
            <w:tcW w:w="2430" w:type="dxa"/>
            <w:tcBorders>
              <w:top w:val="single" w:sz="6" w:space="0" w:color="000000"/>
              <w:left w:val="single" w:sz="6" w:space="0" w:color="000000"/>
              <w:bottom w:val="single" w:sz="6" w:space="0" w:color="000000"/>
              <w:right w:val="single" w:sz="6" w:space="0" w:color="000000"/>
            </w:tcBorders>
          </w:tcPr>
          <w:p w14:paraId="4EDA4CE8" w14:textId="51DF57A9"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(12) Bunuri, lucrări și servicii de consultanță în cadrul Secțiunii I.6</w:t>
            </w:r>
            <w:r w:rsidR="008C782B" w:rsidRPr="00DA7824">
              <w:rPr>
                <w:rFonts w:asciiTheme="majorHAnsi" w:hAnsiTheme="majorHAnsi" w:cstheme="majorHAnsi"/>
                <w:sz w:val="20"/>
                <w:szCs w:val="20"/>
                <w:lang w:val="ro-MD"/>
              </w:rPr>
              <w:t>.</w:t>
            </w:r>
            <w:r w:rsidRPr="00DA7824">
              <w:rPr>
                <w:rFonts w:asciiTheme="majorHAnsi" w:hAnsiTheme="majorHAnsi" w:cstheme="majorHAnsi"/>
                <w:sz w:val="20"/>
                <w:szCs w:val="20"/>
                <w:lang w:val="ro-MD"/>
              </w:rPr>
              <w:t xml:space="preserve"> din Suplimentului 1 la prezentul Acord  </w:t>
            </w:r>
          </w:p>
        </w:tc>
        <w:tc>
          <w:tcPr>
            <w:tcW w:w="4120" w:type="dxa"/>
            <w:tcBorders>
              <w:top w:val="single" w:sz="6" w:space="0" w:color="000000"/>
              <w:left w:val="single" w:sz="6" w:space="0" w:color="000000"/>
              <w:bottom w:val="single" w:sz="6" w:space="0" w:color="000000"/>
              <w:right w:val="single" w:sz="6" w:space="0" w:color="000000"/>
            </w:tcBorders>
          </w:tcPr>
          <w:p w14:paraId="27C53D7E"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 </w:t>
            </w:r>
          </w:p>
          <w:p w14:paraId="54D4E31D"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Nu se aplică </w:t>
            </w:r>
          </w:p>
        </w:tc>
        <w:tc>
          <w:tcPr>
            <w:tcW w:w="2882" w:type="dxa"/>
            <w:tcBorders>
              <w:top w:val="single" w:sz="6" w:space="0" w:color="000000"/>
              <w:left w:val="single" w:sz="6" w:space="0" w:color="000000"/>
              <w:bottom w:val="single" w:sz="6" w:space="0" w:color="000000"/>
              <w:right w:val="single" w:sz="6" w:space="0" w:color="000000"/>
            </w:tcBorders>
          </w:tcPr>
          <w:p w14:paraId="0619AF4C"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       </w:t>
            </w:r>
          </w:p>
          <w:p w14:paraId="2266AF55"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                  714.500 </w:t>
            </w:r>
          </w:p>
          <w:p w14:paraId="5861169C" w14:textId="5D52DFB2"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w:t>
            </w:r>
            <w:r w:rsidR="008C782B" w:rsidRPr="00DA7824">
              <w:rPr>
                <w:rFonts w:asciiTheme="majorHAnsi" w:hAnsiTheme="majorHAnsi" w:cstheme="majorHAnsi"/>
                <w:sz w:val="20"/>
                <w:szCs w:val="20"/>
                <w:lang w:val="ro-MD"/>
              </w:rPr>
              <w:t>f</w:t>
            </w:r>
            <w:r w:rsidRPr="00DA7824">
              <w:rPr>
                <w:rFonts w:asciiTheme="majorHAnsi" w:hAnsiTheme="majorHAnsi" w:cstheme="majorHAnsi"/>
                <w:sz w:val="20"/>
                <w:szCs w:val="20"/>
                <w:lang w:val="ro-MD"/>
              </w:rPr>
              <w:t xml:space="preserve">inanțat 100%) </w:t>
            </w:r>
          </w:p>
        </w:tc>
      </w:tr>
      <w:tr w:rsidR="009B6EFA" w:rsidRPr="00E33BAB" w14:paraId="7F260F34" w14:textId="77777777" w:rsidTr="00152D68">
        <w:trPr>
          <w:trHeight w:val="480"/>
        </w:trPr>
        <w:tc>
          <w:tcPr>
            <w:tcW w:w="2430" w:type="dxa"/>
            <w:tcBorders>
              <w:top w:val="single" w:sz="6" w:space="0" w:color="000000"/>
              <w:left w:val="single" w:sz="6" w:space="0" w:color="000000"/>
              <w:bottom w:val="single" w:sz="6" w:space="0" w:color="000000"/>
              <w:right w:val="single" w:sz="6" w:space="0" w:color="000000"/>
            </w:tcBorders>
            <w:vAlign w:val="center"/>
          </w:tcPr>
          <w:p w14:paraId="560FAC39"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b/>
                <w:sz w:val="20"/>
                <w:szCs w:val="20"/>
                <w:lang w:val="ro-MD"/>
              </w:rPr>
              <w:t xml:space="preserve">SUMA TOTALĂ </w:t>
            </w:r>
          </w:p>
        </w:tc>
        <w:tc>
          <w:tcPr>
            <w:tcW w:w="4120" w:type="dxa"/>
            <w:tcBorders>
              <w:top w:val="single" w:sz="6" w:space="0" w:color="000000"/>
              <w:left w:val="single" w:sz="6" w:space="0" w:color="000000"/>
              <w:bottom w:val="single" w:sz="6" w:space="0" w:color="000000"/>
              <w:right w:val="single" w:sz="6" w:space="0" w:color="000000"/>
            </w:tcBorders>
            <w:vAlign w:val="center"/>
          </w:tcPr>
          <w:p w14:paraId="324EE87D"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 </w:t>
            </w:r>
          </w:p>
        </w:tc>
        <w:tc>
          <w:tcPr>
            <w:tcW w:w="2882" w:type="dxa"/>
            <w:tcBorders>
              <w:top w:val="single" w:sz="6" w:space="0" w:color="000000"/>
              <w:left w:val="single" w:sz="6" w:space="0" w:color="000000"/>
              <w:bottom w:val="single" w:sz="6" w:space="0" w:color="000000"/>
              <w:right w:val="single" w:sz="6" w:space="0" w:color="000000"/>
            </w:tcBorders>
            <w:vAlign w:val="center"/>
          </w:tcPr>
          <w:p w14:paraId="1839DED3" w14:textId="77777777" w:rsidR="009B6EFA" w:rsidRPr="00DA7824" w:rsidRDefault="009B6EFA" w:rsidP="009B6EFA">
            <w:pPr>
              <w:tabs>
                <w:tab w:val="left" w:pos="1080"/>
              </w:tabs>
              <w:spacing w:after="0"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u w:val="double"/>
                <w:lang w:val="ro-MD"/>
              </w:rPr>
              <w:t>18.600.000</w:t>
            </w:r>
            <w:r w:rsidRPr="00DA7824">
              <w:rPr>
                <w:rFonts w:asciiTheme="majorHAnsi" w:hAnsiTheme="majorHAnsi" w:cstheme="majorHAnsi"/>
                <w:sz w:val="20"/>
                <w:szCs w:val="20"/>
                <w:lang w:val="ro-MD"/>
              </w:rPr>
              <w:t xml:space="preserve"> </w:t>
            </w:r>
          </w:p>
        </w:tc>
      </w:tr>
    </w:tbl>
    <w:p w14:paraId="43E1531F" w14:textId="468EAD63" w:rsidR="00E17901" w:rsidRPr="00E33BAB" w:rsidRDefault="00E17901" w:rsidP="00785360">
      <w:pPr>
        <w:tabs>
          <w:tab w:val="left" w:pos="1080"/>
        </w:tabs>
        <w:spacing w:after="0" w:line="276" w:lineRule="auto"/>
        <w:contextualSpacing/>
        <w:jc w:val="both"/>
        <w:rPr>
          <w:rFonts w:asciiTheme="majorHAnsi" w:hAnsiTheme="majorHAnsi" w:cstheme="majorHAnsi"/>
          <w:sz w:val="24"/>
          <w:szCs w:val="24"/>
          <w:lang w:val="ro-MD"/>
        </w:rPr>
      </w:pPr>
    </w:p>
    <w:p w14:paraId="5345C535" w14:textId="13DE2849" w:rsidR="00152D68" w:rsidRPr="00D5496A" w:rsidRDefault="00152D68" w:rsidP="00152D68">
      <w:pPr>
        <w:keepNext/>
        <w:keepLines/>
        <w:spacing w:before="240" w:after="0"/>
        <w:jc w:val="right"/>
        <w:outlineLvl w:val="0"/>
        <w:rPr>
          <w:rFonts w:asciiTheme="majorHAnsi" w:eastAsiaTheme="majorEastAsia" w:hAnsiTheme="majorHAnsi" w:cstheme="majorHAnsi"/>
          <w:b/>
          <w:sz w:val="24"/>
          <w:szCs w:val="24"/>
          <w:lang w:val="ro-MD"/>
        </w:rPr>
      </w:pPr>
      <w:r w:rsidRPr="00D5496A">
        <w:rPr>
          <w:rFonts w:asciiTheme="majorHAnsi" w:eastAsiaTheme="majorEastAsia" w:hAnsiTheme="majorHAnsi" w:cstheme="majorHAnsi"/>
          <w:b/>
          <w:sz w:val="24"/>
          <w:szCs w:val="24"/>
          <w:lang w:val="ro-MD"/>
        </w:rPr>
        <w:t>Anexa nr.</w:t>
      </w:r>
      <w:r w:rsidR="00FB2043" w:rsidRPr="00D5496A">
        <w:rPr>
          <w:rFonts w:asciiTheme="majorHAnsi" w:eastAsiaTheme="majorEastAsia" w:hAnsiTheme="majorHAnsi" w:cstheme="majorHAnsi"/>
          <w:b/>
          <w:sz w:val="24"/>
          <w:szCs w:val="24"/>
          <w:lang w:val="ro-MD"/>
        </w:rPr>
        <w:t>7</w:t>
      </w:r>
    </w:p>
    <w:p w14:paraId="33D9DFC3" w14:textId="61592431" w:rsidR="00152D68" w:rsidRPr="00DA7824" w:rsidRDefault="00152D68" w:rsidP="00DA7824">
      <w:pPr>
        <w:tabs>
          <w:tab w:val="left" w:pos="993"/>
        </w:tabs>
        <w:spacing w:after="0" w:line="276" w:lineRule="auto"/>
        <w:jc w:val="center"/>
        <w:rPr>
          <w:rFonts w:asciiTheme="majorHAnsi" w:hAnsiTheme="majorHAnsi" w:cstheme="majorHAnsi"/>
          <w:b/>
          <w:i/>
          <w:sz w:val="24"/>
          <w:szCs w:val="24"/>
          <w:lang w:val="ro-MD"/>
        </w:rPr>
      </w:pPr>
      <w:r w:rsidRPr="00E33BAB">
        <w:rPr>
          <w:rFonts w:asciiTheme="majorHAnsi" w:hAnsiTheme="majorHAnsi" w:cstheme="majorHAnsi"/>
          <w:b/>
          <w:i/>
          <w:sz w:val="24"/>
          <w:szCs w:val="24"/>
          <w:lang w:val="ro-MD"/>
        </w:rPr>
        <w:t xml:space="preserve">Divizarea sarcinilor </w:t>
      </w:r>
      <w:r w:rsidR="008C782B">
        <w:rPr>
          <w:rFonts w:asciiTheme="majorHAnsi" w:hAnsiTheme="majorHAnsi" w:cstheme="majorHAnsi"/>
          <w:b/>
          <w:i/>
          <w:sz w:val="24"/>
          <w:szCs w:val="24"/>
          <w:lang w:val="ro-MD"/>
        </w:rPr>
        <w:t xml:space="preserve">din </w:t>
      </w:r>
      <w:r w:rsidRPr="00E33BAB">
        <w:rPr>
          <w:rFonts w:asciiTheme="majorHAnsi" w:hAnsiTheme="majorHAnsi" w:cstheme="majorHAnsi"/>
          <w:b/>
          <w:i/>
          <w:sz w:val="24"/>
          <w:szCs w:val="24"/>
          <w:lang w:val="ro-MD"/>
        </w:rPr>
        <w:t xml:space="preserve"> Acordul de finanțare „Modernizarea sectorului </w:t>
      </w:r>
      <w:r w:rsidR="00DA7824">
        <w:rPr>
          <w:rFonts w:asciiTheme="majorHAnsi" w:hAnsiTheme="majorHAnsi" w:cstheme="majorHAnsi"/>
          <w:b/>
          <w:i/>
          <w:sz w:val="24"/>
          <w:szCs w:val="24"/>
          <w:lang w:val="ro-MD"/>
        </w:rPr>
        <w:t>sănătății în Republica Moldova”</w:t>
      </w:r>
    </w:p>
    <w:tbl>
      <w:tblPr>
        <w:tblStyle w:val="TableGrid"/>
        <w:tblW w:w="9426" w:type="dxa"/>
        <w:tblLook w:val="04A0" w:firstRow="1" w:lastRow="0" w:firstColumn="1" w:lastColumn="0" w:noHBand="0" w:noVBand="1"/>
      </w:tblPr>
      <w:tblGrid>
        <w:gridCol w:w="1844"/>
        <w:gridCol w:w="5664"/>
        <w:gridCol w:w="986"/>
        <w:gridCol w:w="932"/>
      </w:tblGrid>
      <w:tr w:rsidR="00152D68" w:rsidRPr="00DA7824" w14:paraId="6D8BCB7A" w14:textId="77777777" w:rsidTr="00DB4C2E">
        <w:trPr>
          <w:trHeight w:val="300"/>
        </w:trPr>
        <w:tc>
          <w:tcPr>
            <w:tcW w:w="1844" w:type="dxa"/>
            <w:hideMark/>
          </w:tcPr>
          <w:p w14:paraId="27BE2312" w14:textId="48869E2A" w:rsidR="00152D68" w:rsidRPr="00DA7824" w:rsidRDefault="00152D68" w:rsidP="00152D68">
            <w:pPr>
              <w:tabs>
                <w:tab w:val="left" w:pos="1080"/>
              </w:tabs>
              <w:spacing w:line="276" w:lineRule="auto"/>
              <w:contextualSpacing/>
              <w:jc w:val="both"/>
              <w:rPr>
                <w:rFonts w:asciiTheme="majorHAnsi" w:hAnsiTheme="majorHAnsi" w:cstheme="majorHAnsi"/>
                <w:b/>
                <w:sz w:val="20"/>
                <w:szCs w:val="20"/>
                <w:lang w:val="ro-MD"/>
              </w:rPr>
            </w:pPr>
            <w:bookmarkStart w:id="25" w:name="RANGE!A1:D31"/>
            <w:r w:rsidRPr="00DA7824">
              <w:rPr>
                <w:rFonts w:asciiTheme="majorHAnsi" w:hAnsiTheme="majorHAnsi" w:cstheme="majorHAnsi"/>
                <w:sz w:val="20"/>
                <w:szCs w:val="20"/>
                <w:lang w:val="ro-MD"/>
              </w:rPr>
              <w:t> </w:t>
            </w:r>
            <w:bookmarkEnd w:id="25"/>
            <w:r w:rsidRPr="00DA7824">
              <w:rPr>
                <w:rFonts w:asciiTheme="majorHAnsi" w:hAnsiTheme="majorHAnsi" w:cstheme="majorHAnsi"/>
                <w:b/>
                <w:sz w:val="20"/>
                <w:szCs w:val="20"/>
                <w:lang w:val="ro-MD"/>
              </w:rPr>
              <w:t>Nr. ILD</w:t>
            </w:r>
          </w:p>
        </w:tc>
        <w:tc>
          <w:tcPr>
            <w:tcW w:w="5664" w:type="dxa"/>
            <w:hideMark/>
          </w:tcPr>
          <w:p w14:paraId="4454227C" w14:textId="0AEAFC8F" w:rsidR="00152D68" w:rsidRPr="00DA7824" w:rsidRDefault="00152D68" w:rsidP="00152D68">
            <w:pPr>
              <w:tabs>
                <w:tab w:val="left" w:pos="1080"/>
              </w:tabs>
              <w:spacing w:line="276" w:lineRule="auto"/>
              <w:contextualSpacing/>
              <w:jc w:val="both"/>
              <w:rPr>
                <w:rFonts w:asciiTheme="majorHAnsi" w:hAnsiTheme="majorHAnsi" w:cstheme="majorHAnsi"/>
                <w:b/>
                <w:bCs/>
                <w:i/>
                <w:iCs/>
                <w:sz w:val="20"/>
                <w:szCs w:val="20"/>
                <w:lang w:val="ro-MD"/>
              </w:rPr>
            </w:pPr>
            <w:r w:rsidRPr="00DA7824">
              <w:rPr>
                <w:rFonts w:asciiTheme="majorHAnsi" w:hAnsiTheme="majorHAnsi" w:cstheme="majorHAnsi"/>
                <w:b/>
                <w:bCs/>
                <w:i/>
                <w:iCs/>
                <w:sz w:val="20"/>
                <w:szCs w:val="20"/>
                <w:lang w:val="ro-MD"/>
              </w:rPr>
              <w:t> Denumirea indicatorului legat de debursare</w:t>
            </w:r>
          </w:p>
        </w:tc>
        <w:tc>
          <w:tcPr>
            <w:tcW w:w="986" w:type="dxa"/>
            <w:hideMark/>
          </w:tcPr>
          <w:p w14:paraId="6ABBCAAF"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r w:rsidRPr="00DA7824">
              <w:rPr>
                <w:rFonts w:asciiTheme="majorHAnsi" w:hAnsiTheme="majorHAnsi" w:cstheme="majorHAnsi"/>
                <w:b/>
                <w:bCs/>
                <w:sz w:val="20"/>
                <w:szCs w:val="20"/>
                <w:lang w:val="ro-MD"/>
              </w:rPr>
              <w:t>MSMPS</w:t>
            </w:r>
          </w:p>
        </w:tc>
        <w:tc>
          <w:tcPr>
            <w:tcW w:w="932" w:type="dxa"/>
            <w:hideMark/>
          </w:tcPr>
          <w:p w14:paraId="415B7B08"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r w:rsidRPr="00DA7824">
              <w:rPr>
                <w:rFonts w:asciiTheme="majorHAnsi" w:hAnsiTheme="majorHAnsi" w:cstheme="majorHAnsi"/>
                <w:b/>
                <w:bCs/>
                <w:sz w:val="20"/>
                <w:szCs w:val="20"/>
                <w:lang w:val="ro-MD"/>
              </w:rPr>
              <w:t>CNAM</w:t>
            </w:r>
          </w:p>
        </w:tc>
      </w:tr>
      <w:tr w:rsidR="00152D68" w:rsidRPr="00DA7824" w14:paraId="644DEB2E" w14:textId="77777777" w:rsidTr="00DB4C2E">
        <w:trPr>
          <w:trHeight w:val="337"/>
        </w:trPr>
        <w:tc>
          <w:tcPr>
            <w:tcW w:w="1844" w:type="dxa"/>
            <w:vMerge w:val="restart"/>
            <w:hideMark/>
          </w:tcPr>
          <w:p w14:paraId="270A04E7"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1 (MSMPS)</w:t>
            </w:r>
          </w:p>
        </w:tc>
        <w:tc>
          <w:tcPr>
            <w:tcW w:w="5664" w:type="dxa"/>
            <w:vMerge w:val="restart"/>
            <w:hideMark/>
          </w:tcPr>
          <w:p w14:paraId="466AD5E1" w14:textId="530AD418"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Reducerea prevalenței fumatului la adulți cu 2% (sau cu 0,5% anul)</w:t>
            </w:r>
            <w:r w:rsidR="008C782B" w:rsidRPr="00DA7824">
              <w:rPr>
                <w:rFonts w:asciiTheme="majorHAnsi" w:hAnsiTheme="majorHAnsi" w:cstheme="majorHAnsi"/>
                <w:sz w:val="20"/>
                <w:szCs w:val="20"/>
                <w:lang w:val="ro-MD"/>
              </w:rPr>
              <w:t>,</w:t>
            </w:r>
            <w:r w:rsidRPr="00DA7824">
              <w:rPr>
                <w:rFonts w:asciiTheme="majorHAnsi" w:hAnsiTheme="majorHAnsi" w:cstheme="majorHAnsi"/>
                <w:sz w:val="20"/>
                <w:szCs w:val="20"/>
                <w:lang w:val="ro-MD"/>
              </w:rPr>
              <w:t xml:space="preserve"> comparativ cu 25,4% (STEPS 2013)</w:t>
            </w:r>
            <w:r w:rsidR="008C782B" w:rsidRPr="00DA7824">
              <w:rPr>
                <w:rFonts w:asciiTheme="majorHAnsi" w:hAnsiTheme="majorHAnsi" w:cstheme="majorHAnsi"/>
                <w:sz w:val="20"/>
                <w:szCs w:val="20"/>
                <w:lang w:val="ro-MD"/>
              </w:rPr>
              <w:t>,</w:t>
            </w:r>
            <w:r w:rsidRPr="00DA7824">
              <w:rPr>
                <w:rFonts w:asciiTheme="majorHAnsi" w:hAnsiTheme="majorHAnsi" w:cstheme="majorHAnsi"/>
                <w:sz w:val="20"/>
                <w:szCs w:val="20"/>
                <w:lang w:val="ro-MD"/>
              </w:rPr>
              <w:t xml:space="preserve"> și Notificarea produselor din tutun în conformitate cu prevederile Regulamentului sanitar</w:t>
            </w:r>
            <w:r w:rsidR="008C782B" w:rsidRPr="00DA7824">
              <w:rPr>
                <w:rFonts w:asciiTheme="majorHAnsi" w:hAnsiTheme="majorHAnsi" w:cstheme="majorHAnsi"/>
                <w:sz w:val="20"/>
                <w:szCs w:val="20"/>
                <w:lang w:val="ro-MD"/>
              </w:rPr>
              <w:t>,</w:t>
            </w:r>
            <w:r w:rsidRPr="00DA7824">
              <w:rPr>
                <w:rFonts w:asciiTheme="majorHAnsi" w:hAnsiTheme="majorHAnsi" w:cstheme="majorHAnsi"/>
                <w:sz w:val="20"/>
                <w:szCs w:val="20"/>
                <w:lang w:val="ro-MD"/>
              </w:rPr>
              <w:t xml:space="preserve"> HG </w:t>
            </w:r>
            <w:r w:rsidR="008C782B" w:rsidRPr="00DA7824">
              <w:rPr>
                <w:rFonts w:asciiTheme="majorHAnsi" w:hAnsiTheme="majorHAnsi" w:cstheme="majorHAnsi"/>
                <w:sz w:val="20"/>
                <w:szCs w:val="20"/>
                <w:lang w:val="ro-MD"/>
              </w:rPr>
              <w:t>nr.</w:t>
            </w:r>
            <w:r w:rsidRPr="00DA7824">
              <w:rPr>
                <w:rFonts w:asciiTheme="majorHAnsi" w:hAnsiTheme="majorHAnsi" w:cstheme="majorHAnsi"/>
                <w:sz w:val="20"/>
                <w:szCs w:val="20"/>
                <w:lang w:val="ro-MD"/>
              </w:rPr>
              <w:t>613 din 01.08.</w:t>
            </w:r>
            <w:r w:rsidR="008C782B" w:rsidRPr="00DA7824">
              <w:rPr>
                <w:rFonts w:asciiTheme="majorHAnsi" w:hAnsiTheme="majorHAnsi" w:cstheme="majorHAnsi"/>
                <w:sz w:val="20"/>
                <w:szCs w:val="20"/>
                <w:lang w:val="ro-MD"/>
              </w:rPr>
              <w:t>20</w:t>
            </w:r>
            <w:r w:rsidRPr="00DA7824">
              <w:rPr>
                <w:rFonts w:asciiTheme="majorHAnsi" w:hAnsiTheme="majorHAnsi" w:cstheme="majorHAnsi"/>
                <w:sz w:val="20"/>
                <w:szCs w:val="20"/>
                <w:lang w:val="ro-MD"/>
              </w:rPr>
              <w:t>17</w:t>
            </w:r>
          </w:p>
        </w:tc>
        <w:tc>
          <w:tcPr>
            <w:tcW w:w="986" w:type="dxa"/>
            <w:vMerge w:val="restart"/>
            <w:hideMark/>
          </w:tcPr>
          <w:p w14:paraId="0B9BE8EA"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r w:rsidRPr="00DA7824">
              <w:rPr>
                <w:rFonts w:asciiTheme="majorHAnsi" w:hAnsiTheme="majorHAnsi" w:cstheme="majorHAnsi"/>
                <w:b/>
                <w:bCs/>
                <w:sz w:val="20"/>
                <w:szCs w:val="20"/>
                <w:lang w:val="ro-MD"/>
              </w:rPr>
              <w:t>100,0%</w:t>
            </w:r>
          </w:p>
        </w:tc>
        <w:tc>
          <w:tcPr>
            <w:tcW w:w="932" w:type="dxa"/>
            <w:vMerge w:val="restart"/>
            <w:hideMark/>
          </w:tcPr>
          <w:p w14:paraId="77431A1E"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r w:rsidRPr="00DA7824">
              <w:rPr>
                <w:rFonts w:asciiTheme="majorHAnsi" w:hAnsiTheme="majorHAnsi" w:cstheme="majorHAnsi"/>
                <w:b/>
                <w:bCs/>
                <w:sz w:val="20"/>
                <w:szCs w:val="20"/>
                <w:lang w:val="ro-MD"/>
              </w:rPr>
              <w:t>0,0%</w:t>
            </w:r>
          </w:p>
        </w:tc>
      </w:tr>
      <w:tr w:rsidR="00152D68" w:rsidRPr="00DA7824" w14:paraId="18B37C57" w14:textId="77777777" w:rsidTr="00DB4C2E">
        <w:trPr>
          <w:trHeight w:val="476"/>
        </w:trPr>
        <w:tc>
          <w:tcPr>
            <w:tcW w:w="1844" w:type="dxa"/>
            <w:vMerge/>
            <w:hideMark/>
          </w:tcPr>
          <w:p w14:paraId="1C442E56"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p>
        </w:tc>
        <w:tc>
          <w:tcPr>
            <w:tcW w:w="5664" w:type="dxa"/>
            <w:vMerge/>
            <w:hideMark/>
          </w:tcPr>
          <w:p w14:paraId="7EB25EEC"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p>
        </w:tc>
        <w:tc>
          <w:tcPr>
            <w:tcW w:w="986" w:type="dxa"/>
            <w:vMerge/>
            <w:hideMark/>
          </w:tcPr>
          <w:p w14:paraId="1BF08118"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p>
        </w:tc>
        <w:tc>
          <w:tcPr>
            <w:tcW w:w="932" w:type="dxa"/>
            <w:vMerge/>
            <w:hideMark/>
          </w:tcPr>
          <w:p w14:paraId="749524D9"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p>
        </w:tc>
      </w:tr>
      <w:tr w:rsidR="00152D68" w:rsidRPr="00DA7824" w14:paraId="1C23252C" w14:textId="77777777" w:rsidTr="00DA7824">
        <w:trPr>
          <w:trHeight w:val="450"/>
        </w:trPr>
        <w:tc>
          <w:tcPr>
            <w:tcW w:w="1844" w:type="dxa"/>
            <w:vMerge/>
            <w:hideMark/>
          </w:tcPr>
          <w:p w14:paraId="38B5D179"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p>
        </w:tc>
        <w:tc>
          <w:tcPr>
            <w:tcW w:w="5664" w:type="dxa"/>
            <w:vMerge/>
            <w:hideMark/>
          </w:tcPr>
          <w:p w14:paraId="3231EDD1"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p>
        </w:tc>
        <w:tc>
          <w:tcPr>
            <w:tcW w:w="986" w:type="dxa"/>
            <w:vMerge/>
            <w:hideMark/>
          </w:tcPr>
          <w:p w14:paraId="407D431E"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p>
        </w:tc>
        <w:tc>
          <w:tcPr>
            <w:tcW w:w="932" w:type="dxa"/>
            <w:vMerge/>
            <w:hideMark/>
          </w:tcPr>
          <w:p w14:paraId="2084A7B9"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p>
        </w:tc>
      </w:tr>
      <w:tr w:rsidR="00152D68" w:rsidRPr="00DA7824" w14:paraId="1F16712E" w14:textId="77777777" w:rsidTr="00DB4C2E">
        <w:trPr>
          <w:trHeight w:val="337"/>
        </w:trPr>
        <w:tc>
          <w:tcPr>
            <w:tcW w:w="1844" w:type="dxa"/>
            <w:vMerge w:val="restart"/>
            <w:hideMark/>
          </w:tcPr>
          <w:p w14:paraId="0B55CEF9"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2 (CNAM)</w:t>
            </w:r>
          </w:p>
        </w:tc>
        <w:tc>
          <w:tcPr>
            <w:tcW w:w="5664" w:type="dxa"/>
            <w:vMerge w:val="restart"/>
            <w:hideMark/>
          </w:tcPr>
          <w:p w14:paraId="650B519C" w14:textId="6F272ED5" w:rsidR="00152D68" w:rsidRPr="00A00076" w:rsidRDefault="00152D68" w:rsidP="00A00076">
            <w:pPr>
              <w:tabs>
                <w:tab w:val="left" w:pos="1080"/>
              </w:tabs>
              <w:spacing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Creșterea procentuală a bolnavilor cu boli cardiovasculare care beneficiază de medicamente compensate pentru tratamentul bolilor cardiovasculare  (DLI nr. 2.1), cu 5% față de </w:t>
            </w:r>
            <w:r w:rsidR="008C782B" w:rsidRPr="00DA7824">
              <w:rPr>
                <w:rFonts w:asciiTheme="majorHAnsi" w:hAnsiTheme="majorHAnsi" w:cstheme="majorHAnsi"/>
                <w:sz w:val="20"/>
                <w:szCs w:val="20"/>
                <w:lang w:val="ro-MD"/>
              </w:rPr>
              <w:t xml:space="preserve">anul </w:t>
            </w:r>
            <w:r w:rsidRPr="00DA7824">
              <w:rPr>
                <w:rFonts w:asciiTheme="majorHAnsi" w:hAnsiTheme="majorHAnsi" w:cstheme="majorHAnsi"/>
                <w:sz w:val="20"/>
                <w:szCs w:val="20"/>
                <w:lang w:val="ro-MD"/>
              </w:rPr>
              <w:t>2017 (48,5%)</w:t>
            </w:r>
          </w:p>
        </w:tc>
        <w:tc>
          <w:tcPr>
            <w:tcW w:w="986" w:type="dxa"/>
            <w:vMerge w:val="restart"/>
            <w:hideMark/>
          </w:tcPr>
          <w:p w14:paraId="5842CE84"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r w:rsidRPr="00DA7824">
              <w:rPr>
                <w:rFonts w:asciiTheme="majorHAnsi" w:hAnsiTheme="majorHAnsi" w:cstheme="majorHAnsi"/>
                <w:b/>
                <w:bCs/>
                <w:sz w:val="20"/>
                <w:szCs w:val="20"/>
                <w:lang w:val="ro-MD"/>
              </w:rPr>
              <w:t>0,0%</w:t>
            </w:r>
          </w:p>
        </w:tc>
        <w:tc>
          <w:tcPr>
            <w:tcW w:w="932" w:type="dxa"/>
            <w:vMerge w:val="restart"/>
            <w:hideMark/>
          </w:tcPr>
          <w:p w14:paraId="15F97BFE"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r w:rsidRPr="00DA7824">
              <w:rPr>
                <w:rFonts w:asciiTheme="majorHAnsi" w:hAnsiTheme="majorHAnsi" w:cstheme="majorHAnsi"/>
                <w:b/>
                <w:bCs/>
                <w:sz w:val="20"/>
                <w:szCs w:val="20"/>
                <w:lang w:val="ro-MD"/>
              </w:rPr>
              <w:t>100,0%</w:t>
            </w:r>
          </w:p>
        </w:tc>
      </w:tr>
      <w:tr w:rsidR="00152D68" w:rsidRPr="00DA7824" w14:paraId="6F85B3B8" w14:textId="77777777" w:rsidTr="00DB4C2E">
        <w:trPr>
          <w:trHeight w:val="476"/>
        </w:trPr>
        <w:tc>
          <w:tcPr>
            <w:tcW w:w="1844" w:type="dxa"/>
            <w:vMerge/>
            <w:hideMark/>
          </w:tcPr>
          <w:p w14:paraId="3B00A423"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p>
        </w:tc>
        <w:tc>
          <w:tcPr>
            <w:tcW w:w="5664" w:type="dxa"/>
            <w:vMerge/>
            <w:hideMark/>
          </w:tcPr>
          <w:p w14:paraId="22A5B5EC"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p>
        </w:tc>
        <w:tc>
          <w:tcPr>
            <w:tcW w:w="986" w:type="dxa"/>
            <w:vMerge/>
            <w:hideMark/>
          </w:tcPr>
          <w:p w14:paraId="4A40E517"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p>
        </w:tc>
        <w:tc>
          <w:tcPr>
            <w:tcW w:w="932" w:type="dxa"/>
            <w:vMerge/>
            <w:hideMark/>
          </w:tcPr>
          <w:p w14:paraId="36A192B3"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p>
        </w:tc>
      </w:tr>
      <w:tr w:rsidR="00152D68" w:rsidRPr="00DA7824" w14:paraId="04D4B85A" w14:textId="77777777" w:rsidTr="00A00076">
        <w:trPr>
          <w:trHeight w:val="450"/>
        </w:trPr>
        <w:tc>
          <w:tcPr>
            <w:tcW w:w="1844" w:type="dxa"/>
            <w:vMerge/>
            <w:hideMark/>
          </w:tcPr>
          <w:p w14:paraId="774C79C0"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p>
        </w:tc>
        <w:tc>
          <w:tcPr>
            <w:tcW w:w="5664" w:type="dxa"/>
            <w:vMerge/>
            <w:hideMark/>
          </w:tcPr>
          <w:p w14:paraId="4BE7A7C5"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p>
        </w:tc>
        <w:tc>
          <w:tcPr>
            <w:tcW w:w="986" w:type="dxa"/>
            <w:vMerge/>
            <w:hideMark/>
          </w:tcPr>
          <w:p w14:paraId="111C157F"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p>
        </w:tc>
        <w:tc>
          <w:tcPr>
            <w:tcW w:w="932" w:type="dxa"/>
            <w:vMerge/>
            <w:hideMark/>
          </w:tcPr>
          <w:p w14:paraId="7D71764F"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p>
        </w:tc>
      </w:tr>
      <w:tr w:rsidR="00152D68" w:rsidRPr="00DA7824" w14:paraId="3026CFCC" w14:textId="77777777" w:rsidTr="00DB4C2E">
        <w:trPr>
          <w:trHeight w:val="337"/>
        </w:trPr>
        <w:tc>
          <w:tcPr>
            <w:tcW w:w="1844" w:type="dxa"/>
            <w:vMerge w:val="restart"/>
            <w:hideMark/>
          </w:tcPr>
          <w:p w14:paraId="0CE6B54A" w14:textId="2508F07B" w:rsidR="00152D68" w:rsidRPr="00A00076" w:rsidRDefault="00152D68" w:rsidP="00A00076">
            <w:pPr>
              <w:tabs>
                <w:tab w:val="left" w:pos="1080"/>
              </w:tabs>
              <w:spacing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3 (MSMPS+CNAM)</w:t>
            </w:r>
          </w:p>
        </w:tc>
        <w:tc>
          <w:tcPr>
            <w:tcW w:w="5664" w:type="dxa"/>
            <w:vMerge w:val="restart"/>
            <w:hideMark/>
          </w:tcPr>
          <w:p w14:paraId="7ACCD5F7" w14:textId="462F4A05" w:rsidR="00152D68" w:rsidRPr="00A00076" w:rsidRDefault="00152D68" w:rsidP="00A00076">
            <w:pPr>
              <w:tabs>
                <w:tab w:val="left" w:pos="1080"/>
              </w:tabs>
              <w:spacing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Reducerea numărului anual de externări din secțiile de îngrijire acută la 100 </w:t>
            </w:r>
            <w:r w:rsidR="008C782B" w:rsidRPr="00DA7824">
              <w:rPr>
                <w:rFonts w:asciiTheme="majorHAnsi" w:hAnsiTheme="majorHAnsi" w:cstheme="majorHAnsi"/>
                <w:sz w:val="20"/>
                <w:szCs w:val="20"/>
                <w:lang w:val="ro-MD"/>
              </w:rPr>
              <w:t xml:space="preserve">de </w:t>
            </w:r>
            <w:r w:rsidRPr="00DA7824">
              <w:rPr>
                <w:rFonts w:asciiTheme="majorHAnsi" w:hAnsiTheme="majorHAnsi" w:cstheme="majorHAnsi"/>
                <w:sz w:val="20"/>
                <w:szCs w:val="20"/>
                <w:lang w:val="ro-MD"/>
              </w:rPr>
              <w:t>locuitori, sub 15,6 de la nivelul de referință de 17,6. MS</w:t>
            </w:r>
            <w:r w:rsidR="00DA7824" w:rsidRPr="00DA7824">
              <w:rPr>
                <w:rFonts w:asciiTheme="majorHAnsi" w:hAnsiTheme="majorHAnsi" w:cstheme="majorHAnsi"/>
                <w:sz w:val="20"/>
                <w:szCs w:val="20"/>
                <w:lang w:val="ro-MD"/>
              </w:rPr>
              <w:t>MPS</w:t>
            </w:r>
            <w:r w:rsidRPr="00DA7824">
              <w:rPr>
                <w:rFonts w:asciiTheme="majorHAnsi" w:hAnsiTheme="majorHAnsi" w:cstheme="majorHAnsi"/>
                <w:sz w:val="20"/>
                <w:szCs w:val="20"/>
                <w:lang w:val="ro-MD"/>
              </w:rPr>
              <w:t xml:space="preserve"> (debursat pe 30.06.2016 la bugetul CNAM)</w:t>
            </w:r>
          </w:p>
        </w:tc>
        <w:tc>
          <w:tcPr>
            <w:tcW w:w="986" w:type="dxa"/>
            <w:vMerge w:val="restart"/>
            <w:hideMark/>
          </w:tcPr>
          <w:p w14:paraId="3B98FD7C" w14:textId="066B9E51" w:rsidR="00152D68" w:rsidRPr="00A00076" w:rsidRDefault="00152D68" w:rsidP="00A00076">
            <w:pPr>
              <w:tabs>
                <w:tab w:val="left" w:pos="1080"/>
              </w:tabs>
              <w:spacing w:line="276" w:lineRule="auto"/>
              <w:contextualSpacing/>
              <w:jc w:val="both"/>
              <w:rPr>
                <w:rFonts w:asciiTheme="majorHAnsi" w:hAnsiTheme="majorHAnsi" w:cstheme="majorHAnsi"/>
                <w:b/>
                <w:bCs/>
                <w:sz w:val="20"/>
                <w:szCs w:val="20"/>
                <w:lang w:val="ro-MD"/>
              </w:rPr>
            </w:pPr>
            <w:r w:rsidRPr="00DA7824">
              <w:rPr>
                <w:rFonts w:asciiTheme="majorHAnsi" w:hAnsiTheme="majorHAnsi" w:cstheme="majorHAnsi"/>
                <w:b/>
                <w:bCs/>
                <w:sz w:val="20"/>
                <w:szCs w:val="20"/>
                <w:lang w:val="ro-MD"/>
              </w:rPr>
              <w:t>50,0%</w:t>
            </w:r>
          </w:p>
        </w:tc>
        <w:tc>
          <w:tcPr>
            <w:tcW w:w="932" w:type="dxa"/>
            <w:vMerge w:val="restart"/>
            <w:hideMark/>
          </w:tcPr>
          <w:p w14:paraId="48921A4E" w14:textId="129F15C9" w:rsidR="00152D68" w:rsidRPr="00A00076" w:rsidRDefault="00152D68" w:rsidP="00A00076">
            <w:pPr>
              <w:tabs>
                <w:tab w:val="left" w:pos="1080"/>
              </w:tabs>
              <w:spacing w:line="276" w:lineRule="auto"/>
              <w:contextualSpacing/>
              <w:jc w:val="both"/>
              <w:rPr>
                <w:rFonts w:asciiTheme="majorHAnsi" w:hAnsiTheme="majorHAnsi" w:cstheme="majorHAnsi"/>
                <w:b/>
                <w:bCs/>
                <w:sz w:val="20"/>
                <w:szCs w:val="20"/>
                <w:lang w:val="ro-MD"/>
              </w:rPr>
            </w:pPr>
            <w:r w:rsidRPr="00DA7824">
              <w:rPr>
                <w:rFonts w:asciiTheme="majorHAnsi" w:hAnsiTheme="majorHAnsi" w:cstheme="majorHAnsi"/>
                <w:b/>
                <w:bCs/>
                <w:sz w:val="20"/>
                <w:szCs w:val="20"/>
                <w:lang w:val="ro-MD"/>
              </w:rPr>
              <w:t>50,0%</w:t>
            </w:r>
          </w:p>
        </w:tc>
      </w:tr>
      <w:tr w:rsidR="00152D68" w:rsidRPr="00DA7824" w14:paraId="73EB4D7E" w14:textId="77777777" w:rsidTr="00DB4C2E">
        <w:trPr>
          <w:trHeight w:val="476"/>
        </w:trPr>
        <w:tc>
          <w:tcPr>
            <w:tcW w:w="1844" w:type="dxa"/>
            <w:vMerge/>
            <w:hideMark/>
          </w:tcPr>
          <w:p w14:paraId="5BFE96B4"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p>
        </w:tc>
        <w:tc>
          <w:tcPr>
            <w:tcW w:w="5664" w:type="dxa"/>
            <w:vMerge/>
            <w:hideMark/>
          </w:tcPr>
          <w:p w14:paraId="50E8702D"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p>
        </w:tc>
        <w:tc>
          <w:tcPr>
            <w:tcW w:w="986" w:type="dxa"/>
            <w:vMerge/>
            <w:hideMark/>
          </w:tcPr>
          <w:p w14:paraId="002440B3"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p>
        </w:tc>
        <w:tc>
          <w:tcPr>
            <w:tcW w:w="932" w:type="dxa"/>
            <w:vMerge/>
            <w:hideMark/>
          </w:tcPr>
          <w:p w14:paraId="09D2B80C"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p>
        </w:tc>
      </w:tr>
      <w:tr w:rsidR="00152D68" w:rsidRPr="00DA7824" w14:paraId="323ACB4A" w14:textId="77777777" w:rsidTr="00A00076">
        <w:trPr>
          <w:trHeight w:val="450"/>
        </w:trPr>
        <w:tc>
          <w:tcPr>
            <w:tcW w:w="1844" w:type="dxa"/>
            <w:vMerge/>
            <w:hideMark/>
          </w:tcPr>
          <w:p w14:paraId="2508DEA4"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p>
        </w:tc>
        <w:tc>
          <w:tcPr>
            <w:tcW w:w="5664" w:type="dxa"/>
            <w:vMerge/>
            <w:hideMark/>
          </w:tcPr>
          <w:p w14:paraId="6051F84B"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p>
        </w:tc>
        <w:tc>
          <w:tcPr>
            <w:tcW w:w="986" w:type="dxa"/>
            <w:vMerge/>
            <w:hideMark/>
          </w:tcPr>
          <w:p w14:paraId="43AF305C"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p>
        </w:tc>
        <w:tc>
          <w:tcPr>
            <w:tcW w:w="932" w:type="dxa"/>
            <w:vMerge/>
            <w:hideMark/>
          </w:tcPr>
          <w:p w14:paraId="32DF0E77"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p>
        </w:tc>
      </w:tr>
      <w:tr w:rsidR="00152D68" w:rsidRPr="00DA7824" w14:paraId="03E14FE8" w14:textId="77777777" w:rsidTr="00DB4C2E">
        <w:trPr>
          <w:trHeight w:val="337"/>
        </w:trPr>
        <w:tc>
          <w:tcPr>
            <w:tcW w:w="1844" w:type="dxa"/>
            <w:vMerge w:val="restart"/>
            <w:hideMark/>
          </w:tcPr>
          <w:p w14:paraId="1495AA7B"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4 (MSMPS)</w:t>
            </w:r>
          </w:p>
        </w:tc>
        <w:tc>
          <w:tcPr>
            <w:tcW w:w="5664" w:type="dxa"/>
            <w:vMerge w:val="restart"/>
            <w:hideMark/>
          </w:tcPr>
          <w:p w14:paraId="4CB9E6EE" w14:textId="1BCCD04C"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Reducerea numărului de paturi pentru îngrijiri acute, sub 15.000 de la nivelul de referință de 17.586. MS</w:t>
            </w:r>
            <w:r w:rsidR="00DA7824" w:rsidRPr="00DA7824">
              <w:rPr>
                <w:rFonts w:asciiTheme="majorHAnsi" w:hAnsiTheme="majorHAnsi" w:cstheme="majorHAnsi"/>
                <w:sz w:val="20"/>
                <w:szCs w:val="20"/>
                <w:lang w:val="ro-MD"/>
              </w:rPr>
              <w:t>MPS</w:t>
            </w:r>
            <w:r w:rsidRPr="00DA7824">
              <w:rPr>
                <w:rFonts w:asciiTheme="majorHAnsi" w:hAnsiTheme="majorHAnsi" w:cstheme="majorHAnsi"/>
                <w:sz w:val="20"/>
                <w:szCs w:val="20"/>
                <w:lang w:val="ro-MD"/>
              </w:rPr>
              <w:t xml:space="preserve"> (debursat pe 30.06.2016 la bugetul MS</w:t>
            </w:r>
            <w:r w:rsidR="00DA7824" w:rsidRPr="00DA7824">
              <w:rPr>
                <w:rFonts w:asciiTheme="majorHAnsi" w:hAnsiTheme="majorHAnsi" w:cstheme="majorHAnsi"/>
                <w:sz w:val="20"/>
                <w:szCs w:val="20"/>
                <w:lang w:val="ro-MD"/>
              </w:rPr>
              <w:t>MPS</w:t>
            </w:r>
            <w:r w:rsidRPr="00DA7824">
              <w:rPr>
                <w:rFonts w:asciiTheme="majorHAnsi" w:hAnsiTheme="majorHAnsi" w:cstheme="majorHAnsi"/>
                <w:sz w:val="20"/>
                <w:szCs w:val="20"/>
                <w:lang w:val="ro-MD"/>
              </w:rPr>
              <w:t>)</w:t>
            </w:r>
          </w:p>
        </w:tc>
        <w:tc>
          <w:tcPr>
            <w:tcW w:w="986" w:type="dxa"/>
            <w:vMerge w:val="restart"/>
            <w:hideMark/>
          </w:tcPr>
          <w:p w14:paraId="12DD25C9"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r w:rsidRPr="00DA7824">
              <w:rPr>
                <w:rFonts w:asciiTheme="majorHAnsi" w:hAnsiTheme="majorHAnsi" w:cstheme="majorHAnsi"/>
                <w:b/>
                <w:bCs/>
                <w:sz w:val="20"/>
                <w:szCs w:val="20"/>
                <w:lang w:val="ro-MD"/>
              </w:rPr>
              <w:t>100,0%</w:t>
            </w:r>
          </w:p>
        </w:tc>
        <w:tc>
          <w:tcPr>
            <w:tcW w:w="932" w:type="dxa"/>
            <w:vMerge w:val="restart"/>
            <w:hideMark/>
          </w:tcPr>
          <w:p w14:paraId="48FF4405"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r w:rsidRPr="00DA7824">
              <w:rPr>
                <w:rFonts w:asciiTheme="majorHAnsi" w:hAnsiTheme="majorHAnsi" w:cstheme="majorHAnsi"/>
                <w:b/>
                <w:bCs/>
                <w:sz w:val="20"/>
                <w:szCs w:val="20"/>
                <w:lang w:val="ro-MD"/>
              </w:rPr>
              <w:t>0,0%</w:t>
            </w:r>
          </w:p>
        </w:tc>
      </w:tr>
      <w:tr w:rsidR="00152D68" w:rsidRPr="00DA7824" w14:paraId="446A7A9F" w14:textId="77777777" w:rsidTr="00DB4C2E">
        <w:trPr>
          <w:trHeight w:val="476"/>
        </w:trPr>
        <w:tc>
          <w:tcPr>
            <w:tcW w:w="1844" w:type="dxa"/>
            <w:vMerge/>
            <w:hideMark/>
          </w:tcPr>
          <w:p w14:paraId="75C333D2"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p>
        </w:tc>
        <w:tc>
          <w:tcPr>
            <w:tcW w:w="5664" w:type="dxa"/>
            <w:vMerge/>
            <w:hideMark/>
          </w:tcPr>
          <w:p w14:paraId="5CA7F680"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p>
        </w:tc>
        <w:tc>
          <w:tcPr>
            <w:tcW w:w="986" w:type="dxa"/>
            <w:vMerge/>
            <w:hideMark/>
          </w:tcPr>
          <w:p w14:paraId="32A8660A"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p>
        </w:tc>
        <w:tc>
          <w:tcPr>
            <w:tcW w:w="932" w:type="dxa"/>
            <w:vMerge/>
            <w:hideMark/>
          </w:tcPr>
          <w:p w14:paraId="015F69CC"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p>
        </w:tc>
      </w:tr>
      <w:tr w:rsidR="00152D68" w:rsidRPr="00DA7824" w14:paraId="6032A706" w14:textId="77777777" w:rsidTr="00DB4C2E">
        <w:trPr>
          <w:trHeight w:val="476"/>
        </w:trPr>
        <w:tc>
          <w:tcPr>
            <w:tcW w:w="1844" w:type="dxa"/>
            <w:vMerge/>
            <w:hideMark/>
          </w:tcPr>
          <w:p w14:paraId="43EEF27D"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p>
        </w:tc>
        <w:tc>
          <w:tcPr>
            <w:tcW w:w="5664" w:type="dxa"/>
            <w:vMerge/>
            <w:hideMark/>
          </w:tcPr>
          <w:p w14:paraId="40D98AB7"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p>
        </w:tc>
        <w:tc>
          <w:tcPr>
            <w:tcW w:w="986" w:type="dxa"/>
            <w:vMerge/>
            <w:hideMark/>
          </w:tcPr>
          <w:p w14:paraId="74AB5822"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p>
        </w:tc>
        <w:tc>
          <w:tcPr>
            <w:tcW w:w="932" w:type="dxa"/>
            <w:vMerge/>
            <w:hideMark/>
          </w:tcPr>
          <w:p w14:paraId="6C60FF65"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p>
        </w:tc>
      </w:tr>
      <w:tr w:rsidR="00152D68" w:rsidRPr="00DA7824" w14:paraId="5E675FCB" w14:textId="77777777" w:rsidTr="00DB4C2E">
        <w:trPr>
          <w:trHeight w:val="337"/>
        </w:trPr>
        <w:tc>
          <w:tcPr>
            <w:tcW w:w="1844" w:type="dxa"/>
            <w:vMerge w:val="restart"/>
            <w:hideMark/>
          </w:tcPr>
          <w:p w14:paraId="123E6939"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5 (CNAM)</w:t>
            </w:r>
          </w:p>
        </w:tc>
        <w:tc>
          <w:tcPr>
            <w:tcW w:w="5664" w:type="dxa"/>
            <w:vMerge w:val="restart"/>
            <w:hideMark/>
          </w:tcPr>
          <w:p w14:paraId="7F577397" w14:textId="0E61088E"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Mărirea ratei de compensare a medicamentelor antihipertensive de minim 70% pentru 3 categorii generice de prima linie. MS</w:t>
            </w:r>
            <w:r w:rsidR="00DA7824" w:rsidRPr="00DA7824">
              <w:rPr>
                <w:rFonts w:asciiTheme="majorHAnsi" w:hAnsiTheme="majorHAnsi" w:cstheme="majorHAnsi"/>
                <w:sz w:val="20"/>
                <w:szCs w:val="20"/>
                <w:lang w:val="ro-MD"/>
              </w:rPr>
              <w:t>MPS</w:t>
            </w:r>
            <w:r w:rsidRPr="00DA7824">
              <w:rPr>
                <w:rFonts w:asciiTheme="majorHAnsi" w:hAnsiTheme="majorHAnsi" w:cstheme="majorHAnsi"/>
                <w:sz w:val="20"/>
                <w:szCs w:val="20"/>
                <w:lang w:val="ro-MD"/>
              </w:rPr>
              <w:t>/CNAM (debursat la bugetul CNAM pe 30.11.2015)</w:t>
            </w:r>
          </w:p>
        </w:tc>
        <w:tc>
          <w:tcPr>
            <w:tcW w:w="986" w:type="dxa"/>
            <w:vMerge w:val="restart"/>
            <w:hideMark/>
          </w:tcPr>
          <w:p w14:paraId="58FA576C"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r w:rsidRPr="00DA7824">
              <w:rPr>
                <w:rFonts w:asciiTheme="majorHAnsi" w:hAnsiTheme="majorHAnsi" w:cstheme="majorHAnsi"/>
                <w:b/>
                <w:bCs/>
                <w:sz w:val="20"/>
                <w:szCs w:val="20"/>
                <w:lang w:val="ro-MD"/>
              </w:rPr>
              <w:t>0,0%</w:t>
            </w:r>
          </w:p>
        </w:tc>
        <w:tc>
          <w:tcPr>
            <w:tcW w:w="932" w:type="dxa"/>
            <w:vMerge w:val="restart"/>
            <w:hideMark/>
          </w:tcPr>
          <w:p w14:paraId="16F8B5E9"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r w:rsidRPr="00DA7824">
              <w:rPr>
                <w:rFonts w:asciiTheme="majorHAnsi" w:hAnsiTheme="majorHAnsi" w:cstheme="majorHAnsi"/>
                <w:b/>
                <w:bCs/>
                <w:sz w:val="20"/>
                <w:szCs w:val="20"/>
                <w:lang w:val="ro-MD"/>
              </w:rPr>
              <w:t>100,0%</w:t>
            </w:r>
          </w:p>
        </w:tc>
      </w:tr>
      <w:tr w:rsidR="00152D68" w:rsidRPr="00DA7824" w14:paraId="3E9422DD" w14:textId="77777777" w:rsidTr="00DB4C2E">
        <w:trPr>
          <w:trHeight w:val="476"/>
        </w:trPr>
        <w:tc>
          <w:tcPr>
            <w:tcW w:w="1844" w:type="dxa"/>
            <w:vMerge/>
            <w:hideMark/>
          </w:tcPr>
          <w:p w14:paraId="3ED2D8C5"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p>
        </w:tc>
        <w:tc>
          <w:tcPr>
            <w:tcW w:w="5664" w:type="dxa"/>
            <w:vMerge/>
            <w:hideMark/>
          </w:tcPr>
          <w:p w14:paraId="39D2D83B"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p>
        </w:tc>
        <w:tc>
          <w:tcPr>
            <w:tcW w:w="986" w:type="dxa"/>
            <w:vMerge/>
            <w:hideMark/>
          </w:tcPr>
          <w:p w14:paraId="68BE2107"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p>
        </w:tc>
        <w:tc>
          <w:tcPr>
            <w:tcW w:w="932" w:type="dxa"/>
            <w:vMerge/>
            <w:hideMark/>
          </w:tcPr>
          <w:p w14:paraId="61060253"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p>
        </w:tc>
      </w:tr>
      <w:tr w:rsidR="00152D68" w:rsidRPr="00DA7824" w14:paraId="3889DC9C" w14:textId="77777777" w:rsidTr="00DB4C2E">
        <w:trPr>
          <w:trHeight w:val="476"/>
        </w:trPr>
        <w:tc>
          <w:tcPr>
            <w:tcW w:w="1844" w:type="dxa"/>
            <w:vMerge/>
            <w:hideMark/>
          </w:tcPr>
          <w:p w14:paraId="540A43AA"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p>
        </w:tc>
        <w:tc>
          <w:tcPr>
            <w:tcW w:w="5664" w:type="dxa"/>
            <w:vMerge/>
            <w:hideMark/>
          </w:tcPr>
          <w:p w14:paraId="28D2A042"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p>
        </w:tc>
        <w:tc>
          <w:tcPr>
            <w:tcW w:w="986" w:type="dxa"/>
            <w:vMerge/>
            <w:hideMark/>
          </w:tcPr>
          <w:p w14:paraId="335AD31A"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p>
        </w:tc>
        <w:tc>
          <w:tcPr>
            <w:tcW w:w="932" w:type="dxa"/>
            <w:vMerge/>
            <w:hideMark/>
          </w:tcPr>
          <w:p w14:paraId="3E615F17"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p>
        </w:tc>
      </w:tr>
      <w:tr w:rsidR="00152D68" w:rsidRPr="00DA7824" w14:paraId="0E96468D" w14:textId="77777777" w:rsidTr="00DB4C2E">
        <w:trPr>
          <w:trHeight w:val="337"/>
        </w:trPr>
        <w:tc>
          <w:tcPr>
            <w:tcW w:w="1844" w:type="dxa"/>
            <w:vMerge w:val="restart"/>
            <w:hideMark/>
          </w:tcPr>
          <w:p w14:paraId="1BE10BB0"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lastRenderedPageBreak/>
              <w:t>6 (MSMPS+CNAM)</w:t>
            </w:r>
          </w:p>
        </w:tc>
        <w:tc>
          <w:tcPr>
            <w:tcW w:w="5664" w:type="dxa"/>
            <w:vMerge w:val="restart"/>
            <w:hideMark/>
          </w:tcPr>
          <w:p w14:paraId="238A2F90" w14:textId="6CB50955"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Revizuirea (în primul an) şi implementarea </w:t>
            </w:r>
            <w:r w:rsidR="008C782B" w:rsidRPr="00DA7824">
              <w:rPr>
                <w:rFonts w:asciiTheme="majorHAnsi" w:hAnsiTheme="majorHAnsi" w:cstheme="majorHAnsi"/>
                <w:sz w:val="20"/>
                <w:szCs w:val="20"/>
                <w:lang w:val="ro-MD"/>
              </w:rPr>
              <w:t>S</w:t>
            </w:r>
            <w:r w:rsidRPr="00DA7824">
              <w:rPr>
                <w:rFonts w:asciiTheme="majorHAnsi" w:hAnsiTheme="majorHAnsi" w:cstheme="majorHAnsi"/>
                <w:sz w:val="20"/>
                <w:szCs w:val="20"/>
                <w:lang w:val="ro-MD"/>
              </w:rPr>
              <w:t>chemei de stimulare bazată pe performanță în asistența medicală primară (contractarea tuturor CS/CMF pe parcursul a 3 ani ulteriori). MS</w:t>
            </w:r>
            <w:r w:rsidR="00DA7824" w:rsidRPr="00DA7824">
              <w:rPr>
                <w:rFonts w:asciiTheme="majorHAnsi" w:hAnsiTheme="majorHAnsi" w:cstheme="majorHAnsi"/>
                <w:sz w:val="20"/>
                <w:szCs w:val="20"/>
                <w:lang w:val="ro-MD"/>
              </w:rPr>
              <w:t>MPS</w:t>
            </w:r>
            <w:r w:rsidRPr="00DA7824">
              <w:rPr>
                <w:rFonts w:asciiTheme="majorHAnsi" w:hAnsiTheme="majorHAnsi" w:cstheme="majorHAnsi"/>
                <w:sz w:val="20"/>
                <w:szCs w:val="20"/>
                <w:lang w:val="ro-MD"/>
              </w:rPr>
              <w:t>/CNAM</w:t>
            </w:r>
          </w:p>
        </w:tc>
        <w:tc>
          <w:tcPr>
            <w:tcW w:w="986" w:type="dxa"/>
            <w:vMerge w:val="restart"/>
            <w:hideMark/>
          </w:tcPr>
          <w:p w14:paraId="074F6BE0"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r w:rsidRPr="00DA7824">
              <w:rPr>
                <w:rFonts w:asciiTheme="majorHAnsi" w:hAnsiTheme="majorHAnsi" w:cstheme="majorHAnsi"/>
                <w:b/>
                <w:bCs/>
                <w:sz w:val="20"/>
                <w:szCs w:val="20"/>
                <w:lang w:val="ro-MD"/>
              </w:rPr>
              <w:t>50,0%</w:t>
            </w:r>
          </w:p>
        </w:tc>
        <w:tc>
          <w:tcPr>
            <w:tcW w:w="932" w:type="dxa"/>
            <w:vMerge w:val="restart"/>
            <w:hideMark/>
          </w:tcPr>
          <w:p w14:paraId="0CEA2B92"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r w:rsidRPr="00DA7824">
              <w:rPr>
                <w:rFonts w:asciiTheme="majorHAnsi" w:hAnsiTheme="majorHAnsi" w:cstheme="majorHAnsi"/>
                <w:b/>
                <w:bCs/>
                <w:sz w:val="20"/>
                <w:szCs w:val="20"/>
                <w:lang w:val="ro-MD"/>
              </w:rPr>
              <w:t>50,0%</w:t>
            </w:r>
          </w:p>
        </w:tc>
      </w:tr>
      <w:tr w:rsidR="00152D68" w:rsidRPr="00DA7824" w14:paraId="096CF873" w14:textId="77777777" w:rsidTr="00DB4C2E">
        <w:trPr>
          <w:trHeight w:val="476"/>
        </w:trPr>
        <w:tc>
          <w:tcPr>
            <w:tcW w:w="1844" w:type="dxa"/>
            <w:vMerge/>
            <w:hideMark/>
          </w:tcPr>
          <w:p w14:paraId="361D3FC7"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p>
        </w:tc>
        <w:tc>
          <w:tcPr>
            <w:tcW w:w="5664" w:type="dxa"/>
            <w:vMerge/>
            <w:hideMark/>
          </w:tcPr>
          <w:p w14:paraId="1B2483BF"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p>
        </w:tc>
        <w:tc>
          <w:tcPr>
            <w:tcW w:w="986" w:type="dxa"/>
            <w:vMerge/>
            <w:hideMark/>
          </w:tcPr>
          <w:p w14:paraId="62DEF0AE"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p>
        </w:tc>
        <w:tc>
          <w:tcPr>
            <w:tcW w:w="932" w:type="dxa"/>
            <w:vMerge/>
            <w:hideMark/>
          </w:tcPr>
          <w:p w14:paraId="1DC42931"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p>
        </w:tc>
      </w:tr>
      <w:tr w:rsidR="00152D68" w:rsidRPr="00DA7824" w14:paraId="4277078A" w14:textId="77777777" w:rsidTr="00DB4C2E">
        <w:trPr>
          <w:trHeight w:val="476"/>
        </w:trPr>
        <w:tc>
          <w:tcPr>
            <w:tcW w:w="1844" w:type="dxa"/>
            <w:vMerge/>
            <w:hideMark/>
          </w:tcPr>
          <w:p w14:paraId="3483F75F"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p>
        </w:tc>
        <w:tc>
          <w:tcPr>
            <w:tcW w:w="5664" w:type="dxa"/>
            <w:vMerge/>
            <w:hideMark/>
          </w:tcPr>
          <w:p w14:paraId="45B5B5B4"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p>
        </w:tc>
        <w:tc>
          <w:tcPr>
            <w:tcW w:w="986" w:type="dxa"/>
            <w:vMerge/>
            <w:hideMark/>
          </w:tcPr>
          <w:p w14:paraId="67088B16"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p>
        </w:tc>
        <w:tc>
          <w:tcPr>
            <w:tcW w:w="932" w:type="dxa"/>
            <w:vMerge/>
            <w:hideMark/>
          </w:tcPr>
          <w:p w14:paraId="4DCCBCE2"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p>
        </w:tc>
      </w:tr>
      <w:tr w:rsidR="00152D68" w:rsidRPr="00DA7824" w14:paraId="2CB08C85" w14:textId="77777777" w:rsidTr="00DB4C2E">
        <w:trPr>
          <w:trHeight w:val="337"/>
        </w:trPr>
        <w:tc>
          <w:tcPr>
            <w:tcW w:w="1844" w:type="dxa"/>
            <w:vMerge w:val="restart"/>
            <w:hideMark/>
          </w:tcPr>
          <w:p w14:paraId="6B690003"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7 (MSMPS+CNAM)</w:t>
            </w:r>
          </w:p>
        </w:tc>
        <w:tc>
          <w:tcPr>
            <w:tcW w:w="5664" w:type="dxa"/>
            <w:vMerge w:val="restart"/>
            <w:hideMark/>
          </w:tcPr>
          <w:p w14:paraId="36326CD9" w14:textId="5D9A03D5"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Elaborarea (an</w:t>
            </w:r>
            <w:r w:rsidR="008C782B" w:rsidRPr="00DA7824">
              <w:rPr>
                <w:rFonts w:asciiTheme="majorHAnsi" w:hAnsiTheme="majorHAnsi" w:cstheme="majorHAnsi"/>
                <w:sz w:val="20"/>
                <w:szCs w:val="20"/>
                <w:lang w:val="ro-MD"/>
              </w:rPr>
              <w:t>ul</w:t>
            </w:r>
            <w:r w:rsidRPr="00DA7824">
              <w:rPr>
                <w:rFonts w:asciiTheme="majorHAnsi" w:hAnsiTheme="majorHAnsi" w:cstheme="majorHAnsi"/>
                <w:sz w:val="20"/>
                <w:szCs w:val="20"/>
                <w:lang w:val="ro-MD"/>
              </w:rPr>
              <w:t xml:space="preserve"> I), pilotarea (an</w:t>
            </w:r>
            <w:r w:rsidR="008C782B" w:rsidRPr="00DA7824">
              <w:rPr>
                <w:rFonts w:asciiTheme="majorHAnsi" w:hAnsiTheme="majorHAnsi" w:cstheme="majorHAnsi"/>
                <w:sz w:val="20"/>
                <w:szCs w:val="20"/>
                <w:lang w:val="ro-MD"/>
              </w:rPr>
              <w:t>ul</w:t>
            </w:r>
            <w:r w:rsidRPr="00DA7824">
              <w:rPr>
                <w:rFonts w:asciiTheme="majorHAnsi" w:hAnsiTheme="majorHAnsi" w:cstheme="majorHAnsi"/>
                <w:sz w:val="20"/>
                <w:szCs w:val="20"/>
                <w:lang w:val="ro-MD"/>
              </w:rPr>
              <w:t xml:space="preserve"> II), adoptarea (an</w:t>
            </w:r>
            <w:r w:rsidR="008C782B" w:rsidRPr="00DA7824">
              <w:rPr>
                <w:rFonts w:asciiTheme="majorHAnsi" w:hAnsiTheme="majorHAnsi" w:cstheme="majorHAnsi"/>
                <w:sz w:val="20"/>
                <w:szCs w:val="20"/>
                <w:lang w:val="ro-MD"/>
              </w:rPr>
              <w:t>ul</w:t>
            </w:r>
            <w:r w:rsidRPr="00DA7824">
              <w:rPr>
                <w:rFonts w:asciiTheme="majorHAnsi" w:hAnsiTheme="majorHAnsi" w:cstheme="majorHAnsi"/>
                <w:sz w:val="20"/>
                <w:szCs w:val="20"/>
                <w:lang w:val="ro-MD"/>
              </w:rPr>
              <w:t xml:space="preserve"> III)</w:t>
            </w:r>
            <w:r w:rsidR="008C782B" w:rsidRPr="00DA7824">
              <w:rPr>
                <w:rFonts w:asciiTheme="majorHAnsi" w:hAnsiTheme="majorHAnsi" w:cstheme="majorHAnsi"/>
                <w:sz w:val="20"/>
                <w:szCs w:val="20"/>
                <w:lang w:val="ro-MD"/>
              </w:rPr>
              <w:t xml:space="preserve"> </w:t>
            </w:r>
            <w:r w:rsidRPr="00DA7824">
              <w:rPr>
                <w:rFonts w:asciiTheme="majorHAnsi" w:hAnsiTheme="majorHAnsi" w:cstheme="majorHAnsi"/>
                <w:sz w:val="20"/>
                <w:szCs w:val="20"/>
                <w:lang w:val="ro-MD"/>
              </w:rPr>
              <w:t xml:space="preserve"> şi implementarea </w:t>
            </w:r>
            <w:r w:rsidR="008C782B" w:rsidRPr="00DA7824">
              <w:rPr>
                <w:rFonts w:asciiTheme="majorHAnsi" w:hAnsiTheme="majorHAnsi" w:cstheme="majorHAnsi"/>
                <w:sz w:val="20"/>
                <w:szCs w:val="20"/>
                <w:lang w:val="ro-MD"/>
              </w:rPr>
              <w:t>S</w:t>
            </w:r>
            <w:r w:rsidRPr="00DA7824">
              <w:rPr>
                <w:rFonts w:asciiTheme="majorHAnsi" w:hAnsiTheme="majorHAnsi" w:cstheme="majorHAnsi"/>
                <w:sz w:val="20"/>
                <w:szCs w:val="20"/>
                <w:lang w:val="ro-MD"/>
              </w:rPr>
              <w:t>chemei de stimulare bazată pe performanță în spitale (prin semnarea contractelor  cu toate spitalele în anul IV). MS/CNAM</w:t>
            </w:r>
          </w:p>
        </w:tc>
        <w:tc>
          <w:tcPr>
            <w:tcW w:w="986" w:type="dxa"/>
            <w:vMerge w:val="restart"/>
            <w:hideMark/>
          </w:tcPr>
          <w:p w14:paraId="4786A11D"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r w:rsidRPr="00DA7824">
              <w:rPr>
                <w:rFonts w:asciiTheme="majorHAnsi" w:hAnsiTheme="majorHAnsi" w:cstheme="majorHAnsi"/>
                <w:b/>
                <w:bCs/>
                <w:sz w:val="20"/>
                <w:szCs w:val="20"/>
                <w:lang w:val="ro-MD"/>
              </w:rPr>
              <w:t>13,5%</w:t>
            </w:r>
          </w:p>
        </w:tc>
        <w:tc>
          <w:tcPr>
            <w:tcW w:w="932" w:type="dxa"/>
            <w:vMerge w:val="restart"/>
            <w:hideMark/>
          </w:tcPr>
          <w:p w14:paraId="12DFBF0A"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r w:rsidRPr="00DA7824">
              <w:rPr>
                <w:rFonts w:asciiTheme="majorHAnsi" w:hAnsiTheme="majorHAnsi" w:cstheme="majorHAnsi"/>
                <w:b/>
                <w:bCs/>
                <w:sz w:val="20"/>
                <w:szCs w:val="20"/>
                <w:lang w:val="ro-MD"/>
              </w:rPr>
              <w:t>86,5%</w:t>
            </w:r>
          </w:p>
        </w:tc>
      </w:tr>
      <w:tr w:rsidR="00152D68" w:rsidRPr="00DA7824" w14:paraId="5AFA08E7" w14:textId="77777777" w:rsidTr="00DB4C2E">
        <w:trPr>
          <w:trHeight w:val="476"/>
        </w:trPr>
        <w:tc>
          <w:tcPr>
            <w:tcW w:w="1844" w:type="dxa"/>
            <w:vMerge/>
            <w:hideMark/>
          </w:tcPr>
          <w:p w14:paraId="0C0B9267"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p>
        </w:tc>
        <w:tc>
          <w:tcPr>
            <w:tcW w:w="5664" w:type="dxa"/>
            <w:vMerge/>
            <w:hideMark/>
          </w:tcPr>
          <w:p w14:paraId="32FC22DB"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p>
        </w:tc>
        <w:tc>
          <w:tcPr>
            <w:tcW w:w="986" w:type="dxa"/>
            <w:vMerge/>
            <w:hideMark/>
          </w:tcPr>
          <w:p w14:paraId="0DD1F032"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p>
        </w:tc>
        <w:tc>
          <w:tcPr>
            <w:tcW w:w="932" w:type="dxa"/>
            <w:vMerge/>
            <w:hideMark/>
          </w:tcPr>
          <w:p w14:paraId="49F87053"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p>
        </w:tc>
      </w:tr>
      <w:tr w:rsidR="00152D68" w:rsidRPr="00DA7824" w14:paraId="5A80EFAF" w14:textId="77777777" w:rsidTr="00DB4C2E">
        <w:trPr>
          <w:trHeight w:val="476"/>
        </w:trPr>
        <w:tc>
          <w:tcPr>
            <w:tcW w:w="1844" w:type="dxa"/>
            <w:vMerge/>
            <w:hideMark/>
          </w:tcPr>
          <w:p w14:paraId="45345D36"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p>
        </w:tc>
        <w:tc>
          <w:tcPr>
            <w:tcW w:w="5664" w:type="dxa"/>
            <w:vMerge/>
            <w:hideMark/>
          </w:tcPr>
          <w:p w14:paraId="04E8AB8D"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p>
        </w:tc>
        <w:tc>
          <w:tcPr>
            <w:tcW w:w="986" w:type="dxa"/>
            <w:vMerge/>
            <w:hideMark/>
          </w:tcPr>
          <w:p w14:paraId="6D09E5E9"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p>
        </w:tc>
        <w:tc>
          <w:tcPr>
            <w:tcW w:w="932" w:type="dxa"/>
            <w:vMerge/>
            <w:hideMark/>
          </w:tcPr>
          <w:p w14:paraId="2FC6037F"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p>
        </w:tc>
      </w:tr>
      <w:tr w:rsidR="00152D68" w:rsidRPr="00DA7824" w14:paraId="7FFDA40C" w14:textId="77777777" w:rsidTr="00DB4C2E">
        <w:trPr>
          <w:trHeight w:val="337"/>
        </w:trPr>
        <w:tc>
          <w:tcPr>
            <w:tcW w:w="1844" w:type="dxa"/>
            <w:vMerge w:val="restart"/>
            <w:hideMark/>
          </w:tcPr>
          <w:p w14:paraId="1F77F088"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8 (CNAM)</w:t>
            </w:r>
          </w:p>
        </w:tc>
        <w:tc>
          <w:tcPr>
            <w:tcW w:w="5664" w:type="dxa"/>
            <w:vMerge w:val="restart"/>
            <w:hideMark/>
          </w:tcPr>
          <w:p w14:paraId="575350B8" w14:textId="26D6BCB0"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Implementarea şi actualizarea prețurilor DRG, în baza datelor </w:t>
            </w:r>
            <w:r w:rsidR="00402627" w:rsidRPr="00DA7824">
              <w:rPr>
                <w:rFonts w:asciiTheme="majorHAnsi" w:hAnsiTheme="majorHAnsi" w:cstheme="majorHAnsi"/>
                <w:sz w:val="20"/>
                <w:szCs w:val="20"/>
                <w:lang w:val="ro-MD"/>
              </w:rPr>
              <w:t>pe</w:t>
            </w:r>
            <w:r w:rsidRPr="00DA7824">
              <w:rPr>
                <w:rFonts w:asciiTheme="majorHAnsi" w:hAnsiTheme="majorHAnsi" w:cstheme="majorHAnsi"/>
                <w:sz w:val="20"/>
                <w:szCs w:val="20"/>
                <w:lang w:val="ro-MD"/>
              </w:rPr>
              <w:t xml:space="preserve"> ţară, pentru achitarea spitalelor publice  pentru îngrijire acută (pentru anul IV). </w:t>
            </w:r>
            <w:r w:rsidR="00402627" w:rsidRPr="00DA7824">
              <w:rPr>
                <w:rFonts w:asciiTheme="majorHAnsi" w:hAnsiTheme="majorHAnsi" w:cstheme="majorHAnsi"/>
                <w:sz w:val="20"/>
                <w:szCs w:val="20"/>
                <w:lang w:val="ro-MD"/>
              </w:rPr>
              <w:t>P</w:t>
            </w:r>
            <w:r w:rsidRPr="00DA7824">
              <w:rPr>
                <w:rFonts w:asciiTheme="majorHAnsi" w:hAnsiTheme="majorHAnsi" w:cstheme="majorHAnsi"/>
                <w:sz w:val="20"/>
                <w:szCs w:val="20"/>
                <w:lang w:val="ro-MD"/>
              </w:rPr>
              <w:t xml:space="preserve">lățile în baza DRG pentru spitalele publice </w:t>
            </w:r>
            <w:r w:rsidR="00402627" w:rsidRPr="00DA7824">
              <w:rPr>
                <w:rFonts w:asciiTheme="majorHAnsi" w:hAnsiTheme="majorHAnsi" w:cstheme="majorHAnsi"/>
                <w:sz w:val="20"/>
                <w:szCs w:val="20"/>
                <w:lang w:val="ro-MD"/>
              </w:rPr>
              <w:t xml:space="preserve">de îngrijiri </w:t>
            </w:r>
            <w:r w:rsidRPr="00DA7824">
              <w:rPr>
                <w:rFonts w:asciiTheme="majorHAnsi" w:hAnsiTheme="majorHAnsi" w:cstheme="majorHAnsi"/>
                <w:sz w:val="20"/>
                <w:szCs w:val="20"/>
                <w:lang w:val="ro-MD"/>
              </w:rPr>
              <w:t xml:space="preserve">acute </w:t>
            </w:r>
            <w:r w:rsidR="00402627" w:rsidRPr="00DA7824">
              <w:rPr>
                <w:rFonts w:asciiTheme="majorHAnsi" w:hAnsiTheme="majorHAnsi" w:cstheme="majorHAnsi"/>
                <w:sz w:val="20"/>
                <w:szCs w:val="20"/>
                <w:lang w:val="ro-MD"/>
              </w:rPr>
              <w:t xml:space="preserve">- </w:t>
            </w:r>
            <w:r w:rsidRPr="00DA7824">
              <w:rPr>
                <w:rFonts w:asciiTheme="majorHAnsi" w:hAnsiTheme="majorHAnsi" w:cstheme="majorHAnsi"/>
                <w:sz w:val="20"/>
                <w:szCs w:val="20"/>
                <w:lang w:val="ro-MD"/>
              </w:rPr>
              <w:t xml:space="preserve"> peste 40% (an</w:t>
            </w:r>
            <w:r w:rsidR="00402627" w:rsidRPr="00DA7824">
              <w:rPr>
                <w:rFonts w:asciiTheme="majorHAnsi" w:hAnsiTheme="majorHAnsi" w:cstheme="majorHAnsi"/>
                <w:sz w:val="20"/>
                <w:szCs w:val="20"/>
                <w:lang w:val="ro-MD"/>
              </w:rPr>
              <w:t>ul</w:t>
            </w:r>
            <w:r w:rsidRPr="00DA7824">
              <w:rPr>
                <w:rFonts w:asciiTheme="majorHAnsi" w:hAnsiTheme="majorHAnsi" w:cstheme="majorHAnsi"/>
                <w:sz w:val="20"/>
                <w:szCs w:val="20"/>
                <w:lang w:val="ro-MD"/>
              </w:rPr>
              <w:t xml:space="preserve"> I), 50% (an</w:t>
            </w:r>
            <w:r w:rsidR="00402627" w:rsidRPr="00DA7824">
              <w:rPr>
                <w:rFonts w:asciiTheme="majorHAnsi" w:hAnsiTheme="majorHAnsi" w:cstheme="majorHAnsi"/>
                <w:sz w:val="20"/>
                <w:szCs w:val="20"/>
                <w:lang w:val="ro-MD"/>
              </w:rPr>
              <w:t>ul</w:t>
            </w:r>
            <w:r w:rsidRPr="00DA7824">
              <w:rPr>
                <w:rFonts w:asciiTheme="majorHAnsi" w:hAnsiTheme="majorHAnsi" w:cstheme="majorHAnsi"/>
                <w:sz w:val="20"/>
                <w:szCs w:val="20"/>
                <w:lang w:val="ro-MD"/>
              </w:rPr>
              <w:t xml:space="preserve"> II) și 60% (an</w:t>
            </w:r>
            <w:r w:rsidR="00402627" w:rsidRPr="00DA7824">
              <w:rPr>
                <w:rFonts w:asciiTheme="majorHAnsi" w:hAnsiTheme="majorHAnsi" w:cstheme="majorHAnsi"/>
                <w:sz w:val="20"/>
                <w:szCs w:val="20"/>
                <w:lang w:val="ro-MD"/>
              </w:rPr>
              <w:t>ul</w:t>
            </w:r>
            <w:r w:rsidRPr="00DA7824">
              <w:rPr>
                <w:rFonts w:asciiTheme="majorHAnsi" w:hAnsiTheme="majorHAnsi" w:cstheme="majorHAnsi"/>
                <w:sz w:val="20"/>
                <w:szCs w:val="20"/>
                <w:lang w:val="ro-MD"/>
              </w:rPr>
              <w:t xml:space="preserve"> III) din plăţile CNAM destinate spitalelor. MS/CNAM</w:t>
            </w:r>
          </w:p>
        </w:tc>
        <w:tc>
          <w:tcPr>
            <w:tcW w:w="986" w:type="dxa"/>
            <w:vMerge w:val="restart"/>
            <w:hideMark/>
          </w:tcPr>
          <w:p w14:paraId="324C8F57"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r w:rsidRPr="00DA7824">
              <w:rPr>
                <w:rFonts w:asciiTheme="majorHAnsi" w:hAnsiTheme="majorHAnsi" w:cstheme="majorHAnsi"/>
                <w:b/>
                <w:bCs/>
                <w:sz w:val="20"/>
                <w:szCs w:val="20"/>
                <w:lang w:val="ro-MD"/>
              </w:rPr>
              <w:t>0,0%</w:t>
            </w:r>
          </w:p>
        </w:tc>
        <w:tc>
          <w:tcPr>
            <w:tcW w:w="932" w:type="dxa"/>
            <w:vMerge w:val="restart"/>
            <w:hideMark/>
          </w:tcPr>
          <w:p w14:paraId="3E23D70B"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r w:rsidRPr="00DA7824">
              <w:rPr>
                <w:rFonts w:asciiTheme="majorHAnsi" w:hAnsiTheme="majorHAnsi" w:cstheme="majorHAnsi"/>
                <w:b/>
                <w:bCs/>
                <w:sz w:val="20"/>
                <w:szCs w:val="20"/>
                <w:lang w:val="ro-MD"/>
              </w:rPr>
              <w:t>100,0%</w:t>
            </w:r>
          </w:p>
        </w:tc>
      </w:tr>
      <w:tr w:rsidR="00152D68" w:rsidRPr="00DA7824" w14:paraId="78BBEAD0" w14:textId="77777777" w:rsidTr="00DB4C2E">
        <w:trPr>
          <w:trHeight w:val="476"/>
        </w:trPr>
        <w:tc>
          <w:tcPr>
            <w:tcW w:w="1844" w:type="dxa"/>
            <w:vMerge/>
            <w:hideMark/>
          </w:tcPr>
          <w:p w14:paraId="408B6582"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p>
        </w:tc>
        <w:tc>
          <w:tcPr>
            <w:tcW w:w="5664" w:type="dxa"/>
            <w:vMerge/>
            <w:hideMark/>
          </w:tcPr>
          <w:p w14:paraId="3EC1FD86"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p>
        </w:tc>
        <w:tc>
          <w:tcPr>
            <w:tcW w:w="986" w:type="dxa"/>
            <w:vMerge/>
            <w:hideMark/>
          </w:tcPr>
          <w:p w14:paraId="3327DA98"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p>
        </w:tc>
        <w:tc>
          <w:tcPr>
            <w:tcW w:w="932" w:type="dxa"/>
            <w:vMerge/>
            <w:hideMark/>
          </w:tcPr>
          <w:p w14:paraId="1AF9B5B0"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p>
        </w:tc>
      </w:tr>
      <w:tr w:rsidR="00152D68" w:rsidRPr="00DA7824" w14:paraId="7005E85D" w14:textId="77777777" w:rsidTr="00DB4C2E">
        <w:trPr>
          <w:trHeight w:val="476"/>
        </w:trPr>
        <w:tc>
          <w:tcPr>
            <w:tcW w:w="1844" w:type="dxa"/>
            <w:vMerge/>
            <w:hideMark/>
          </w:tcPr>
          <w:p w14:paraId="5C2C3183"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p>
        </w:tc>
        <w:tc>
          <w:tcPr>
            <w:tcW w:w="5664" w:type="dxa"/>
            <w:vMerge/>
            <w:hideMark/>
          </w:tcPr>
          <w:p w14:paraId="2674437C"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p>
        </w:tc>
        <w:tc>
          <w:tcPr>
            <w:tcW w:w="986" w:type="dxa"/>
            <w:vMerge/>
            <w:hideMark/>
          </w:tcPr>
          <w:p w14:paraId="554DBE2B"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p>
        </w:tc>
        <w:tc>
          <w:tcPr>
            <w:tcW w:w="932" w:type="dxa"/>
            <w:vMerge/>
            <w:hideMark/>
          </w:tcPr>
          <w:p w14:paraId="22855476"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p>
        </w:tc>
      </w:tr>
      <w:tr w:rsidR="00152D68" w:rsidRPr="00DA7824" w14:paraId="75E03339" w14:textId="77777777" w:rsidTr="00DB4C2E">
        <w:trPr>
          <w:trHeight w:val="345"/>
        </w:trPr>
        <w:tc>
          <w:tcPr>
            <w:tcW w:w="1844" w:type="dxa"/>
            <w:vMerge w:val="restart"/>
            <w:hideMark/>
          </w:tcPr>
          <w:p w14:paraId="2DB02C26"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9 (MSMPS)</w:t>
            </w:r>
          </w:p>
        </w:tc>
        <w:tc>
          <w:tcPr>
            <w:tcW w:w="5664" w:type="dxa"/>
            <w:vMerge w:val="restart"/>
            <w:hideMark/>
          </w:tcPr>
          <w:p w14:paraId="5A9A8B17" w14:textId="12CDBCEE"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 xml:space="preserve">Consolidarea spitalelor departamentale </w:t>
            </w:r>
            <w:r w:rsidR="00402627" w:rsidRPr="00DA7824">
              <w:rPr>
                <w:rFonts w:asciiTheme="majorHAnsi" w:hAnsiTheme="majorHAnsi" w:cstheme="majorHAnsi"/>
                <w:sz w:val="20"/>
                <w:szCs w:val="20"/>
                <w:lang w:val="ro-MD"/>
              </w:rPr>
              <w:t>di</w:t>
            </w:r>
            <w:r w:rsidRPr="00DA7824">
              <w:rPr>
                <w:rFonts w:asciiTheme="majorHAnsi" w:hAnsiTheme="majorHAnsi" w:cstheme="majorHAnsi"/>
                <w:sz w:val="20"/>
                <w:szCs w:val="20"/>
                <w:lang w:val="ro-MD"/>
              </w:rPr>
              <w:t>n subordinea MSMPS (3 spitale din Chișinău sub managementul comun; Studiul de fezabilitate privind optimizarea spitalelor; Strategia națională și Planul general privind consolidarea și raționalizarea spitalelor</w:t>
            </w:r>
            <w:r w:rsidR="00402627" w:rsidRPr="00DA7824">
              <w:rPr>
                <w:rFonts w:asciiTheme="majorHAnsi" w:hAnsiTheme="majorHAnsi" w:cstheme="majorHAnsi"/>
                <w:sz w:val="20"/>
                <w:szCs w:val="20"/>
                <w:lang w:val="ro-MD"/>
              </w:rPr>
              <w:t>,</w:t>
            </w:r>
            <w:r w:rsidRPr="00DA7824">
              <w:rPr>
                <w:rFonts w:asciiTheme="majorHAnsi" w:hAnsiTheme="majorHAnsi" w:cstheme="majorHAnsi"/>
                <w:sz w:val="20"/>
                <w:szCs w:val="20"/>
                <w:lang w:val="ro-MD"/>
              </w:rPr>
              <w:t xml:space="preserve"> adoptat</w:t>
            </w:r>
            <w:r w:rsidR="00402627" w:rsidRPr="00DA7824">
              <w:rPr>
                <w:rFonts w:asciiTheme="majorHAnsi" w:hAnsiTheme="majorHAnsi" w:cstheme="majorHAnsi"/>
                <w:sz w:val="20"/>
                <w:szCs w:val="20"/>
                <w:lang w:val="ro-MD"/>
              </w:rPr>
              <w:t>e</w:t>
            </w:r>
            <w:r w:rsidRPr="00DA7824">
              <w:rPr>
                <w:rFonts w:asciiTheme="majorHAnsi" w:hAnsiTheme="majorHAnsi" w:cstheme="majorHAnsi"/>
                <w:sz w:val="20"/>
                <w:szCs w:val="20"/>
                <w:lang w:val="ro-MD"/>
              </w:rPr>
              <w:t xml:space="preserve">)  </w:t>
            </w:r>
          </w:p>
        </w:tc>
        <w:tc>
          <w:tcPr>
            <w:tcW w:w="986" w:type="dxa"/>
            <w:vMerge w:val="restart"/>
            <w:hideMark/>
          </w:tcPr>
          <w:p w14:paraId="75D6D0A9"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r w:rsidRPr="00DA7824">
              <w:rPr>
                <w:rFonts w:asciiTheme="majorHAnsi" w:hAnsiTheme="majorHAnsi" w:cstheme="majorHAnsi"/>
                <w:b/>
                <w:bCs/>
                <w:sz w:val="20"/>
                <w:szCs w:val="20"/>
                <w:lang w:val="ro-MD"/>
              </w:rPr>
              <w:t>100,0%</w:t>
            </w:r>
          </w:p>
        </w:tc>
        <w:tc>
          <w:tcPr>
            <w:tcW w:w="932" w:type="dxa"/>
            <w:vMerge w:val="restart"/>
            <w:hideMark/>
          </w:tcPr>
          <w:p w14:paraId="4D0FE565"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r w:rsidRPr="00DA7824">
              <w:rPr>
                <w:rFonts w:asciiTheme="majorHAnsi" w:hAnsiTheme="majorHAnsi" w:cstheme="majorHAnsi"/>
                <w:b/>
                <w:bCs/>
                <w:sz w:val="20"/>
                <w:szCs w:val="20"/>
                <w:lang w:val="ro-MD"/>
              </w:rPr>
              <w:t>0,0%</w:t>
            </w:r>
          </w:p>
        </w:tc>
      </w:tr>
      <w:tr w:rsidR="00152D68" w:rsidRPr="00DA7824" w14:paraId="1EBA7935" w14:textId="77777777" w:rsidTr="00DB4C2E">
        <w:trPr>
          <w:trHeight w:val="476"/>
        </w:trPr>
        <w:tc>
          <w:tcPr>
            <w:tcW w:w="1844" w:type="dxa"/>
            <w:vMerge/>
            <w:hideMark/>
          </w:tcPr>
          <w:p w14:paraId="351A0240"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p>
        </w:tc>
        <w:tc>
          <w:tcPr>
            <w:tcW w:w="5664" w:type="dxa"/>
            <w:vMerge/>
            <w:hideMark/>
          </w:tcPr>
          <w:p w14:paraId="41D5247F"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p>
        </w:tc>
        <w:tc>
          <w:tcPr>
            <w:tcW w:w="986" w:type="dxa"/>
            <w:vMerge/>
            <w:hideMark/>
          </w:tcPr>
          <w:p w14:paraId="28E5EE69"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p>
        </w:tc>
        <w:tc>
          <w:tcPr>
            <w:tcW w:w="932" w:type="dxa"/>
            <w:vMerge/>
            <w:hideMark/>
          </w:tcPr>
          <w:p w14:paraId="17F7F68F"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p>
        </w:tc>
      </w:tr>
      <w:tr w:rsidR="00152D68" w:rsidRPr="00DA7824" w14:paraId="72131B75" w14:textId="77777777" w:rsidTr="00DB4C2E">
        <w:trPr>
          <w:trHeight w:val="476"/>
        </w:trPr>
        <w:tc>
          <w:tcPr>
            <w:tcW w:w="1844" w:type="dxa"/>
            <w:vMerge/>
            <w:hideMark/>
          </w:tcPr>
          <w:p w14:paraId="72C8B500"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p>
        </w:tc>
        <w:tc>
          <w:tcPr>
            <w:tcW w:w="5664" w:type="dxa"/>
            <w:vMerge/>
            <w:hideMark/>
          </w:tcPr>
          <w:p w14:paraId="18D4BD89"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p>
        </w:tc>
        <w:tc>
          <w:tcPr>
            <w:tcW w:w="986" w:type="dxa"/>
            <w:vMerge/>
            <w:hideMark/>
          </w:tcPr>
          <w:p w14:paraId="3477E00D"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p>
        </w:tc>
        <w:tc>
          <w:tcPr>
            <w:tcW w:w="932" w:type="dxa"/>
            <w:vMerge/>
            <w:hideMark/>
          </w:tcPr>
          <w:p w14:paraId="75DB1DCC"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p>
        </w:tc>
      </w:tr>
      <w:tr w:rsidR="00152D68" w:rsidRPr="00DA7824" w14:paraId="7C34AB73" w14:textId="77777777" w:rsidTr="00DB4C2E">
        <w:trPr>
          <w:trHeight w:val="337"/>
        </w:trPr>
        <w:tc>
          <w:tcPr>
            <w:tcW w:w="1844" w:type="dxa"/>
            <w:vMerge w:val="restart"/>
            <w:hideMark/>
          </w:tcPr>
          <w:p w14:paraId="62115D8D"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10 (MSMPS)</w:t>
            </w:r>
          </w:p>
        </w:tc>
        <w:tc>
          <w:tcPr>
            <w:tcW w:w="5664" w:type="dxa"/>
            <w:vMerge w:val="restart"/>
            <w:hideMark/>
          </w:tcPr>
          <w:p w14:paraId="4F3EC26A"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r w:rsidRPr="00DA7824">
              <w:rPr>
                <w:rFonts w:asciiTheme="majorHAnsi" w:hAnsiTheme="majorHAnsi" w:cstheme="majorHAnsi"/>
                <w:sz w:val="20"/>
                <w:szCs w:val="20"/>
                <w:lang w:val="ro-MD"/>
              </w:rPr>
              <w:t>Aprobarea modificărilor Strategiei de dezvoltare a sistemului de sănătate, cu măsurile de raționalizare a spitalelor: regionalizarea lor, introducerea managementului comun și crearea spitalului universitar. MS (debursat la bugetul MS pe 30.11.2015)</w:t>
            </w:r>
          </w:p>
        </w:tc>
        <w:tc>
          <w:tcPr>
            <w:tcW w:w="986" w:type="dxa"/>
            <w:vMerge w:val="restart"/>
            <w:hideMark/>
          </w:tcPr>
          <w:p w14:paraId="35B52E55"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r w:rsidRPr="00DA7824">
              <w:rPr>
                <w:rFonts w:asciiTheme="majorHAnsi" w:hAnsiTheme="majorHAnsi" w:cstheme="majorHAnsi"/>
                <w:b/>
                <w:bCs/>
                <w:sz w:val="20"/>
                <w:szCs w:val="20"/>
                <w:lang w:val="ro-MD"/>
              </w:rPr>
              <w:t>100,0%</w:t>
            </w:r>
          </w:p>
        </w:tc>
        <w:tc>
          <w:tcPr>
            <w:tcW w:w="932" w:type="dxa"/>
            <w:vMerge w:val="restart"/>
            <w:hideMark/>
          </w:tcPr>
          <w:p w14:paraId="02BF33D9"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r w:rsidRPr="00DA7824">
              <w:rPr>
                <w:rFonts w:asciiTheme="majorHAnsi" w:hAnsiTheme="majorHAnsi" w:cstheme="majorHAnsi"/>
                <w:b/>
                <w:bCs/>
                <w:sz w:val="20"/>
                <w:szCs w:val="20"/>
                <w:lang w:val="ro-MD"/>
              </w:rPr>
              <w:t>0,0%</w:t>
            </w:r>
          </w:p>
        </w:tc>
      </w:tr>
      <w:tr w:rsidR="00152D68" w:rsidRPr="00DA7824" w14:paraId="300FC100" w14:textId="77777777" w:rsidTr="00DB4C2E">
        <w:trPr>
          <w:trHeight w:val="476"/>
        </w:trPr>
        <w:tc>
          <w:tcPr>
            <w:tcW w:w="1844" w:type="dxa"/>
            <w:vMerge/>
            <w:hideMark/>
          </w:tcPr>
          <w:p w14:paraId="0BA24DA6"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p>
        </w:tc>
        <w:tc>
          <w:tcPr>
            <w:tcW w:w="5664" w:type="dxa"/>
            <w:vMerge/>
            <w:hideMark/>
          </w:tcPr>
          <w:p w14:paraId="6C898EE0"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p>
        </w:tc>
        <w:tc>
          <w:tcPr>
            <w:tcW w:w="986" w:type="dxa"/>
            <w:vMerge/>
            <w:hideMark/>
          </w:tcPr>
          <w:p w14:paraId="743B22B4"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p>
        </w:tc>
        <w:tc>
          <w:tcPr>
            <w:tcW w:w="932" w:type="dxa"/>
            <w:vMerge/>
            <w:hideMark/>
          </w:tcPr>
          <w:p w14:paraId="1BAF52FF"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p>
        </w:tc>
      </w:tr>
      <w:tr w:rsidR="00152D68" w:rsidRPr="00DA7824" w14:paraId="5195F3C2" w14:textId="77777777" w:rsidTr="00DB4C2E">
        <w:trPr>
          <w:trHeight w:val="476"/>
        </w:trPr>
        <w:tc>
          <w:tcPr>
            <w:tcW w:w="1844" w:type="dxa"/>
            <w:vMerge/>
            <w:hideMark/>
          </w:tcPr>
          <w:p w14:paraId="676BF7F6"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p>
        </w:tc>
        <w:tc>
          <w:tcPr>
            <w:tcW w:w="5664" w:type="dxa"/>
            <w:vMerge/>
            <w:hideMark/>
          </w:tcPr>
          <w:p w14:paraId="341485D7" w14:textId="77777777" w:rsidR="00152D68" w:rsidRPr="00DA7824" w:rsidRDefault="00152D68" w:rsidP="00152D68">
            <w:pPr>
              <w:tabs>
                <w:tab w:val="left" w:pos="1080"/>
              </w:tabs>
              <w:spacing w:line="276" w:lineRule="auto"/>
              <w:contextualSpacing/>
              <w:jc w:val="both"/>
              <w:rPr>
                <w:rFonts w:asciiTheme="majorHAnsi" w:hAnsiTheme="majorHAnsi" w:cstheme="majorHAnsi"/>
                <w:sz w:val="20"/>
                <w:szCs w:val="20"/>
                <w:lang w:val="ro-MD"/>
              </w:rPr>
            </w:pPr>
          </w:p>
        </w:tc>
        <w:tc>
          <w:tcPr>
            <w:tcW w:w="986" w:type="dxa"/>
            <w:vMerge/>
            <w:hideMark/>
          </w:tcPr>
          <w:p w14:paraId="125F4B0C"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p>
        </w:tc>
        <w:tc>
          <w:tcPr>
            <w:tcW w:w="932" w:type="dxa"/>
            <w:vMerge/>
            <w:hideMark/>
          </w:tcPr>
          <w:p w14:paraId="6CCEB8D7" w14:textId="77777777" w:rsidR="00152D68" w:rsidRPr="00DA7824" w:rsidRDefault="00152D68" w:rsidP="00152D68">
            <w:pPr>
              <w:tabs>
                <w:tab w:val="left" w:pos="1080"/>
              </w:tabs>
              <w:spacing w:line="276" w:lineRule="auto"/>
              <w:contextualSpacing/>
              <w:jc w:val="both"/>
              <w:rPr>
                <w:rFonts w:asciiTheme="majorHAnsi" w:hAnsiTheme="majorHAnsi" w:cstheme="majorHAnsi"/>
                <w:b/>
                <w:bCs/>
                <w:sz w:val="20"/>
                <w:szCs w:val="20"/>
                <w:lang w:val="ro-MD"/>
              </w:rPr>
            </w:pPr>
          </w:p>
        </w:tc>
      </w:tr>
    </w:tbl>
    <w:p w14:paraId="7EAC16F0" w14:textId="77777777" w:rsidR="00152D68" w:rsidRPr="00DA7824" w:rsidRDefault="00152D68" w:rsidP="00785360">
      <w:pPr>
        <w:tabs>
          <w:tab w:val="left" w:pos="1080"/>
        </w:tabs>
        <w:spacing w:after="0" w:line="276" w:lineRule="auto"/>
        <w:contextualSpacing/>
        <w:jc w:val="both"/>
        <w:rPr>
          <w:rFonts w:asciiTheme="majorHAnsi" w:hAnsiTheme="majorHAnsi" w:cstheme="majorHAnsi"/>
          <w:sz w:val="20"/>
          <w:szCs w:val="20"/>
          <w:lang w:val="ro-MD"/>
        </w:rPr>
      </w:pPr>
    </w:p>
    <w:sectPr w:rsidR="00152D68" w:rsidRPr="00DA7824" w:rsidSect="00FF6279">
      <w:pgSz w:w="11909" w:h="16834"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8C91F" w14:textId="77777777" w:rsidR="002D3CAC" w:rsidRDefault="002D3CAC" w:rsidP="009C13F5">
      <w:pPr>
        <w:spacing w:after="0" w:line="240" w:lineRule="auto"/>
      </w:pPr>
      <w:r>
        <w:separator/>
      </w:r>
    </w:p>
  </w:endnote>
  <w:endnote w:type="continuationSeparator" w:id="0">
    <w:p w14:paraId="2EDB996B" w14:textId="77777777" w:rsidR="002D3CAC" w:rsidRDefault="002D3CAC" w:rsidP="009C1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323204"/>
      <w:docPartObj>
        <w:docPartGallery w:val="Page Numbers (Bottom of Page)"/>
        <w:docPartUnique/>
      </w:docPartObj>
    </w:sdtPr>
    <w:sdtEndPr>
      <w:rPr>
        <w:noProof/>
      </w:rPr>
    </w:sdtEndPr>
    <w:sdtContent>
      <w:p w14:paraId="2A08CF4B" w14:textId="004A7FD2" w:rsidR="00785129" w:rsidRDefault="00785129">
        <w:pPr>
          <w:pStyle w:val="Footer"/>
          <w:jc w:val="right"/>
        </w:pPr>
        <w:r w:rsidRPr="007468D7">
          <w:rPr>
            <w:rFonts w:asciiTheme="majorHAnsi" w:hAnsiTheme="majorHAnsi"/>
            <w:sz w:val="24"/>
            <w:szCs w:val="24"/>
          </w:rPr>
          <w:fldChar w:fldCharType="begin"/>
        </w:r>
        <w:r w:rsidRPr="007468D7">
          <w:rPr>
            <w:rFonts w:asciiTheme="majorHAnsi" w:hAnsiTheme="majorHAnsi"/>
            <w:sz w:val="24"/>
            <w:szCs w:val="24"/>
          </w:rPr>
          <w:instrText xml:space="preserve"> PAGE   \* MERGEFORMAT </w:instrText>
        </w:r>
        <w:r w:rsidRPr="007468D7">
          <w:rPr>
            <w:rFonts w:asciiTheme="majorHAnsi" w:hAnsiTheme="majorHAnsi"/>
            <w:sz w:val="24"/>
            <w:szCs w:val="24"/>
          </w:rPr>
          <w:fldChar w:fldCharType="separate"/>
        </w:r>
        <w:r w:rsidR="00B1404B">
          <w:rPr>
            <w:rFonts w:asciiTheme="majorHAnsi" w:hAnsiTheme="majorHAnsi"/>
            <w:noProof/>
            <w:sz w:val="24"/>
            <w:szCs w:val="24"/>
          </w:rPr>
          <w:t>21</w:t>
        </w:r>
        <w:r w:rsidRPr="007468D7">
          <w:rPr>
            <w:rFonts w:asciiTheme="majorHAnsi" w:hAnsiTheme="majorHAnsi"/>
            <w:noProof/>
            <w:sz w:val="24"/>
            <w:szCs w:val="24"/>
          </w:rPr>
          <w:fldChar w:fldCharType="end"/>
        </w:r>
      </w:p>
    </w:sdtContent>
  </w:sdt>
  <w:p w14:paraId="00F3EC58" w14:textId="77777777" w:rsidR="00785129" w:rsidRDefault="00785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3FBBD" w14:textId="77777777" w:rsidR="002D3CAC" w:rsidRDefault="002D3CAC" w:rsidP="009C13F5">
      <w:pPr>
        <w:spacing w:after="0" w:line="240" w:lineRule="auto"/>
      </w:pPr>
      <w:r>
        <w:separator/>
      </w:r>
    </w:p>
  </w:footnote>
  <w:footnote w:type="continuationSeparator" w:id="0">
    <w:p w14:paraId="38FF6105" w14:textId="77777777" w:rsidR="002D3CAC" w:rsidRDefault="002D3CAC" w:rsidP="009C13F5">
      <w:pPr>
        <w:spacing w:after="0" w:line="240" w:lineRule="auto"/>
      </w:pPr>
      <w:r>
        <w:continuationSeparator/>
      </w:r>
    </w:p>
  </w:footnote>
  <w:footnote w:id="1">
    <w:p w14:paraId="3414E560" w14:textId="6D685BE3" w:rsidR="00785129" w:rsidRPr="00403406" w:rsidRDefault="00785129" w:rsidP="005D445A">
      <w:pPr>
        <w:pStyle w:val="FootnoteText"/>
        <w:jc w:val="both"/>
        <w:rPr>
          <w:rFonts w:asciiTheme="majorHAnsi" w:hAnsiTheme="majorHAnsi" w:cstheme="majorHAnsi"/>
          <w:sz w:val="16"/>
          <w:szCs w:val="16"/>
          <w:lang w:val="ro-MD"/>
        </w:rPr>
      </w:pPr>
      <w:r w:rsidRPr="006412F7">
        <w:rPr>
          <w:rStyle w:val="FootnoteReference"/>
          <w:sz w:val="16"/>
          <w:szCs w:val="16"/>
        </w:rPr>
        <w:footnoteRef/>
      </w:r>
      <w:r w:rsidRPr="006412F7">
        <w:rPr>
          <w:sz w:val="16"/>
          <w:szCs w:val="16"/>
        </w:rPr>
        <w:t xml:space="preserve"> </w:t>
      </w:r>
      <w:r w:rsidRPr="001C666A">
        <w:rPr>
          <w:rFonts w:asciiTheme="majorHAnsi" w:hAnsiTheme="majorHAnsi" w:cstheme="majorHAnsi"/>
          <w:sz w:val="16"/>
          <w:szCs w:val="16"/>
          <w:lang w:val="ro-MD"/>
        </w:rPr>
        <w:t>Legea nr. 35 din 19</w:t>
      </w:r>
      <w:r>
        <w:rPr>
          <w:rFonts w:asciiTheme="majorHAnsi" w:hAnsiTheme="majorHAnsi" w:cstheme="majorHAnsi"/>
          <w:sz w:val="16"/>
          <w:szCs w:val="16"/>
          <w:lang w:val="ro-MD"/>
        </w:rPr>
        <w:t>.</w:t>
      </w:r>
      <w:r w:rsidRPr="001C666A">
        <w:rPr>
          <w:rFonts w:asciiTheme="majorHAnsi" w:hAnsiTheme="majorHAnsi" w:cstheme="majorHAnsi"/>
          <w:sz w:val="16"/>
          <w:szCs w:val="16"/>
          <w:lang w:val="ro-MD"/>
        </w:rPr>
        <w:t>03</w:t>
      </w:r>
      <w:r>
        <w:rPr>
          <w:rFonts w:asciiTheme="majorHAnsi" w:hAnsiTheme="majorHAnsi" w:cstheme="majorHAnsi"/>
          <w:sz w:val="16"/>
          <w:szCs w:val="16"/>
          <w:lang w:val="ro-MD"/>
        </w:rPr>
        <w:t>.</w:t>
      </w:r>
      <w:r w:rsidRPr="001C666A">
        <w:rPr>
          <w:rFonts w:asciiTheme="majorHAnsi" w:hAnsiTheme="majorHAnsi" w:cstheme="majorHAnsi"/>
          <w:sz w:val="16"/>
          <w:szCs w:val="16"/>
          <w:lang w:val="ro-MD"/>
        </w:rPr>
        <w:t>2015 pentru ratificarea Acordului de finanțare dintre Republica Moldova şi Asociația Internațională pentru Dezvoltare în vederea realizării Proiectului „Modernizarea sectorului sănătății în Republica Moldova”</w:t>
      </w:r>
      <w:r>
        <w:rPr>
          <w:rFonts w:asciiTheme="majorHAnsi" w:hAnsiTheme="majorHAnsi" w:cstheme="majorHAnsi"/>
          <w:sz w:val="16"/>
          <w:szCs w:val="16"/>
          <w:lang w:val="ro-MD"/>
        </w:rPr>
        <w:t>.</w:t>
      </w:r>
    </w:p>
  </w:footnote>
  <w:footnote w:id="2">
    <w:p w14:paraId="07605F35" w14:textId="1D5FC9DC" w:rsidR="00785129" w:rsidRPr="005D445A" w:rsidRDefault="00785129" w:rsidP="005D445A">
      <w:pPr>
        <w:pStyle w:val="FootnoteText"/>
        <w:jc w:val="both"/>
        <w:rPr>
          <w:rFonts w:asciiTheme="majorHAnsi" w:hAnsiTheme="majorHAnsi" w:cstheme="majorHAnsi"/>
          <w:sz w:val="16"/>
          <w:szCs w:val="16"/>
          <w:lang w:val="ro-MD"/>
        </w:rPr>
      </w:pPr>
      <w:r w:rsidRPr="001C666A">
        <w:rPr>
          <w:rStyle w:val="FootnoteReference"/>
          <w:rFonts w:asciiTheme="majorHAnsi" w:hAnsiTheme="majorHAnsi" w:cstheme="majorHAnsi"/>
          <w:sz w:val="16"/>
          <w:szCs w:val="16"/>
          <w:lang w:val="ro-MD"/>
        </w:rPr>
        <w:footnoteRef/>
      </w:r>
      <w:r w:rsidRPr="001C666A">
        <w:rPr>
          <w:rFonts w:asciiTheme="majorHAnsi" w:hAnsiTheme="majorHAnsi" w:cstheme="majorHAnsi"/>
          <w:sz w:val="16"/>
          <w:szCs w:val="16"/>
          <w:lang w:val="ro-MD"/>
        </w:rPr>
        <w:t xml:space="preserve"> Ordinul </w:t>
      </w:r>
      <w:r w:rsidRPr="005D445A">
        <w:rPr>
          <w:rFonts w:asciiTheme="majorHAnsi" w:hAnsiTheme="majorHAnsi" w:cstheme="majorHAnsi"/>
          <w:sz w:val="16"/>
          <w:szCs w:val="16"/>
          <w:lang w:val="ro-MD"/>
        </w:rPr>
        <w:t xml:space="preserve">ministrului </w:t>
      </w:r>
      <w:r>
        <w:rPr>
          <w:rFonts w:asciiTheme="majorHAnsi" w:hAnsiTheme="majorHAnsi" w:cstheme="majorHAnsi"/>
          <w:sz w:val="16"/>
          <w:szCs w:val="16"/>
          <w:lang w:val="ro-MD"/>
        </w:rPr>
        <w:t>f</w:t>
      </w:r>
      <w:r w:rsidRPr="005D445A">
        <w:rPr>
          <w:rFonts w:asciiTheme="majorHAnsi" w:hAnsiTheme="majorHAnsi" w:cstheme="majorHAnsi"/>
          <w:sz w:val="16"/>
          <w:szCs w:val="16"/>
          <w:lang w:val="ro-MD"/>
        </w:rPr>
        <w:t>inanțelor nr.216 din 28.12.2015 „Cu privire la aprobarea Planului de conturi contabile în sistemul bugetar şi a Normelor metodologice privind evidența contabilă şi raportarea financiară în sistemul bugetar” (în continuare – Or</w:t>
      </w:r>
      <w:r>
        <w:rPr>
          <w:rFonts w:asciiTheme="majorHAnsi" w:hAnsiTheme="majorHAnsi" w:cstheme="majorHAnsi"/>
          <w:sz w:val="16"/>
          <w:szCs w:val="16"/>
          <w:lang w:val="ro-MD"/>
        </w:rPr>
        <w:t xml:space="preserve">dinul ministrului finanțelor nr.216 din 28.12.2015); </w:t>
      </w:r>
      <w:r w:rsidRPr="005D445A">
        <w:rPr>
          <w:rFonts w:asciiTheme="majorHAnsi" w:hAnsiTheme="majorHAnsi" w:cstheme="majorHAnsi"/>
          <w:sz w:val="16"/>
          <w:szCs w:val="16"/>
          <w:lang w:val="ro-MD"/>
        </w:rPr>
        <w:t>Sursele și utilizarea fondurilor din mijloacele Proiectului de Asistență Tehnică din cadrul Programului „Modernizarea sectorului sănătății în Republica Moldova”, încheiat la 31 decembrie 2020;</w:t>
      </w:r>
      <w:r w:rsidRPr="005D445A">
        <w:rPr>
          <w:rFonts w:asciiTheme="majorHAnsi" w:hAnsiTheme="majorHAnsi" w:cstheme="majorHAnsi"/>
          <w:i/>
          <w:sz w:val="16"/>
          <w:szCs w:val="16"/>
          <w:lang w:val="ro-MD"/>
        </w:rPr>
        <w:t xml:space="preserve"> </w:t>
      </w:r>
      <w:r w:rsidRPr="005D445A">
        <w:rPr>
          <w:rFonts w:asciiTheme="majorHAnsi" w:hAnsiTheme="majorHAnsi" w:cstheme="majorHAnsi"/>
          <w:sz w:val="16"/>
          <w:szCs w:val="16"/>
          <w:lang w:val="ro-MD"/>
        </w:rPr>
        <w:t>Raportul privind executarea cheltuielilor din mijloacele Proiectului de Asistență Tehnică din cadrul Programului „Modernizarea sectorului sănătății în Republica Moldova”, încheiat la 31 decembrie 2020;</w:t>
      </w:r>
      <w:r w:rsidRPr="005D445A">
        <w:rPr>
          <w:rFonts w:asciiTheme="majorHAnsi" w:hAnsiTheme="majorHAnsi" w:cstheme="majorHAnsi"/>
          <w:i/>
          <w:sz w:val="16"/>
          <w:szCs w:val="16"/>
          <w:lang w:val="ro-MD"/>
        </w:rPr>
        <w:t xml:space="preserve"> </w:t>
      </w:r>
      <w:r w:rsidRPr="005D445A">
        <w:rPr>
          <w:rFonts w:asciiTheme="majorHAnsi" w:hAnsiTheme="majorHAnsi" w:cstheme="majorHAnsi"/>
          <w:sz w:val="16"/>
          <w:szCs w:val="16"/>
          <w:lang w:val="ro-MD"/>
        </w:rPr>
        <w:t>Declarația de contabilitate DA-A aferentă Proiectului de Asistență Tehnică din cadrul Programului „Modernizarea sectorului sănătății în Republica Moldova”, încheiat la 31 decembrie 2020.</w:t>
      </w:r>
    </w:p>
  </w:footnote>
  <w:footnote w:id="3">
    <w:p w14:paraId="4638F170" w14:textId="77777777" w:rsidR="00785129" w:rsidRPr="005D445A" w:rsidRDefault="00785129" w:rsidP="003275D5">
      <w:pPr>
        <w:pStyle w:val="FootnoteText"/>
        <w:jc w:val="both"/>
        <w:rPr>
          <w:lang w:val="ro-MD"/>
        </w:rPr>
      </w:pPr>
      <w:r w:rsidRPr="005D445A">
        <w:rPr>
          <w:rStyle w:val="FootnoteReference"/>
          <w:rFonts w:asciiTheme="majorHAnsi" w:hAnsiTheme="majorHAnsi" w:cstheme="majorHAnsi"/>
          <w:sz w:val="16"/>
          <w:szCs w:val="16"/>
          <w:lang w:val="ro-MD"/>
        </w:rPr>
        <w:footnoteRef/>
      </w:r>
      <w:r w:rsidRPr="005D445A">
        <w:rPr>
          <w:rFonts w:asciiTheme="majorHAnsi" w:hAnsiTheme="majorHAnsi" w:cstheme="majorHAnsi"/>
          <w:sz w:val="16"/>
          <w:szCs w:val="16"/>
          <w:lang w:val="ro-MD"/>
        </w:rPr>
        <w:t xml:space="preserve"> ISSAI 1800 „Linii directoare de audit financiar – considerații speciale – audituri ale situațiilor financiare speciale”.</w:t>
      </w:r>
    </w:p>
  </w:footnote>
  <w:footnote w:id="4">
    <w:p w14:paraId="2AEAEB32" w14:textId="5899FE27" w:rsidR="00785129" w:rsidRPr="005D445A" w:rsidRDefault="00785129" w:rsidP="005D445A">
      <w:pPr>
        <w:pStyle w:val="FootnoteText"/>
        <w:jc w:val="both"/>
        <w:rPr>
          <w:rFonts w:asciiTheme="majorHAnsi" w:hAnsiTheme="majorHAnsi" w:cstheme="majorHAnsi"/>
          <w:sz w:val="16"/>
          <w:szCs w:val="16"/>
          <w:lang w:val="ro-MD"/>
        </w:rPr>
      </w:pPr>
      <w:r w:rsidRPr="005D445A">
        <w:rPr>
          <w:rStyle w:val="FootnoteReference"/>
          <w:rFonts w:asciiTheme="majorHAnsi" w:hAnsiTheme="majorHAnsi" w:cstheme="majorHAnsi"/>
          <w:sz w:val="16"/>
          <w:szCs w:val="16"/>
          <w:lang w:val="ro-MD"/>
        </w:rPr>
        <w:footnoteRef/>
      </w:r>
      <w:r w:rsidRPr="005D445A">
        <w:rPr>
          <w:rFonts w:asciiTheme="majorHAnsi" w:hAnsiTheme="majorHAnsi" w:cstheme="majorHAnsi"/>
          <w:sz w:val="16"/>
          <w:szCs w:val="16"/>
          <w:lang w:val="ro-MD"/>
        </w:rPr>
        <w:t xml:space="preserve"> Standardele Internaționale ale Instituțiilor Supreme de Audit, puse în aplicare prin Hotărârea Curții de Conturi nr.2 din 24.01.2020 „Cu privire la Cadrul Declarațiilor Profesionale ale INTOSAI”.</w:t>
      </w:r>
    </w:p>
  </w:footnote>
  <w:footnote w:id="5">
    <w:p w14:paraId="6AF44FBE" w14:textId="593BEA84" w:rsidR="00785129" w:rsidRPr="005D445A" w:rsidRDefault="00785129" w:rsidP="005D445A">
      <w:pPr>
        <w:spacing w:after="0"/>
        <w:jc w:val="both"/>
        <w:rPr>
          <w:rFonts w:asciiTheme="majorHAnsi" w:hAnsiTheme="majorHAnsi" w:cstheme="majorHAnsi"/>
          <w:lang w:val="ro-MD"/>
        </w:rPr>
      </w:pPr>
      <w:r w:rsidRPr="005D445A">
        <w:rPr>
          <w:rStyle w:val="FootnoteReference"/>
          <w:rFonts w:asciiTheme="majorHAnsi" w:hAnsiTheme="majorHAnsi" w:cstheme="majorHAnsi"/>
          <w:sz w:val="16"/>
          <w:szCs w:val="16"/>
          <w:lang w:val="ro-MD"/>
        </w:rPr>
        <w:footnoteRef/>
      </w:r>
      <w:r w:rsidRPr="005D445A">
        <w:rPr>
          <w:rFonts w:asciiTheme="majorHAnsi" w:hAnsiTheme="majorHAnsi" w:cstheme="majorHAnsi"/>
          <w:sz w:val="16"/>
          <w:szCs w:val="16"/>
          <w:lang w:val="ro-MD"/>
        </w:rPr>
        <w:t xml:space="preserve"> Hotărârea Curții de Conturi nr. 19  din 05.04.2019 „Cu privire la aprobarea Codului etic al Curții de Conturi”.</w:t>
      </w:r>
    </w:p>
  </w:footnote>
  <w:footnote w:id="6">
    <w:p w14:paraId="30A211ED" w14:textId="77777777" w:rsidR="00785129" w:rsidRPr="00895379" w:rsidRDefault="00785129" w:rsidP="004035E2">
      <w:pPr>
        <w:pStyle w:val="FootnoteText"/>
        <w:jc w:val="both"/>
        <w:rPr>
          <w:rFonts w:asciiTheme="majorHAnsi" w:hAnsiTheme="majorHAnsi" w:cstheme="majorHAnsi"/>
          <w:sz w:val="16"/>
          <w:szCs w:val="16"/>
          <w:lang w:val="ro-RO"/>
        </w:rPr>
      </w:pPr>
      <w:r w:rsidRPr="00DC6AAF">
        <w:rPr>
          <w:rStyle w:val="FootnoteReference"/>
          <w:rFonts w:asciiTheme="majorHAnsi" w:hAnsiTheme="majorHAnsi" w:cstheme="majorHAnsi"/>
          <w:sz w:val="16"/>
          <w:szCs w:val="16"/>
          <w:lang w:val="ro-RO"/>
        </w:rPr>
        <w:footnoteRef/>
      </w:r>
      <w:r w:rsidRPr="00DC6AAF">
        <w:rPr>
          <w:rFonts w:asciiTheme="majorHAnsi" w:hAnsiTheme="majorHAnsi" w:cstheme="majorHAnsi"/>
          <w:sz w:val="16"/>
          <w:szCs w:val="16"/>
          <w:lang w:val="ro-RO"/>
        </w:rPr>
        <w:t xml:space="preserve"> Art. III pct. 3.01., secțiunea IV, pct.1 și pct.2 din Acordul de finanțare ratificat prin Legea</w:t>
      </w:r>
      <w:r w:rsidRPr="00895379">
        <w:rPr>
          <w:rFonts w:asciiTheme="majorHAnsi" w:hAnsiTheme="majorHAnsi" w:cstheme="majorHAnsi"/>
          <w:sz w:val="16"/>
          <w:szCs w:val="16"/>
          <w:lang w:val="ro-RO"/>
        </w:rPr>
        <w:t xml:space="preserve"> nr.35 din 19.03.2015</w:t>
      </w:r>
      <w:r>
        <w:rPr>
          <w:rFonts w:asciiTheme="majorHAnsi" w:hAnsiTheme="majorHAnsi" w:cstheme="majorHAnsi"/>
          <w:sz w:val="16"/>
          <w:szCs w:val="16"/>
          <w:lang w:val="ro-RO"/>
        </w:rPr>
        <w:t xml:space="preserve"> </w:t>
      </w:r>
      <w:r w:rsidRPr="00550B82">
        <w:rPr>
          <w:rFonts w:asciiTheme="majorHAnsi" w:hAnsiTheme="majorHAnsi" w:cstheme="majorHAnsi"/>
          <w:sz w:val="16"/>
          <w:szCs w:val="16"/>
          <w:lang w:val="ro-RO"/>
        </w:rPr>
        <w:t xml:space="preserve">(în continuare </w:t>
      </w:r>
      <w:r>
        <w:rPr>
          <w:rFonts w:asciiTheme="majorHAnsi" w:hAnsiTheme="majorHAnsi" w:cstheme="majorHAnsi"/>
          <w:sz w:val="16"/>
          <w:szCs w:val="16"/>
          <w:lang w:val="ro-RO"/>
        </w:rPr>
        <w:t xml:space="preserve">– </w:t>
      </w:r>
      <w:r w:rsidRPr="00550B82">
        <w:rPr>
          <w:rFonts w:asciiTheme="majorHAnsi" w:hAnsiTheme="majorHAnsi" w:cstheme="majorHAnsi"/>
          <w:sz w:val="16"/>
          <w:szCs w:val="16"/>
          <w:lang w:val="ro-RO"/>
        </w:rPr>
        <w:t>Acord</w:t>
      </w:r>
      <w:r>
        <w:rPr>
          <w:rFonts w:asciiTheme="majorHAnsi" w:hAnsiTheme="majorHAnsi" w:cstheme="majorHAnsi"/>
          <w:sz w:val="16"/>
          <w:szCs w:val="16"/>
          <w:lang w:val="ro-RO"/>
        </w:rPr>
        <w:t>ul</w:t>
      </w:r>
      <w:r w:rsidRPr="00550B82">
        <w:rPr>
          <w:rFonts w:asciiTheme="majorHAnsi" w:hAnsiTheme="majorHAnsi" w:cstheme="majorHAnsi"/>
          <w:sz w:val="16"/>
          <w:szCs w:val="16"/>
          <w:lang w:val="ro-RO"/>
        </w:rPr>
        <w:t xml:space="preserve"> de finanțare)</w:t>
      </w:r>
      <w:r w:rsidRPr="00895379">
        <w:rPr>
          <w:rFonts w:asciiTheme="majorHAnsi" w:hAnsiTheme="majorHAnsi" w:cstheme="majorHAnsi"/>
          <w:sz w:val="16"/>
          <w:szCs w:val="16"/>
          <w:lang w:val="ro-RO"/>
        </w:rPr>
        <w:t>.</w:t>
      </w:r>
    </w:p>
  </w:footnote>
  <w:footnote w:id="7">
    <w:p w14:paraId="54968A43" w14:textId="77777777" w:rsidR="00785129" w:rsidRPr="00895379" w:rsidRDefault="00785129" w:rsidP="004035E2">
      <w:pPr>
        <w:pStyle w:val="FootnoteText"/>
        <w:jc w:val="both"/>
        <w:rPr>
          <w:rFonts w:asciiTheme="majorHAnsi" w:hAnsiTheme="majorHAnsi" w:cstheme="majorHAnsi"/>
          <w:sz w:val="16"/>
          <w:szCs w:val="16"/>
          <w:lang w:val="ro-RO"/>
        </w:rPr>
      </w:pPr>
      <w:r w:rsidRPr="00895379">
        <w:rPr>
          <w:rStyle w:val="FootnoteReference"/>
          <w:rFonts w:asciiTheme="majorHAnsi" w:hAnsiTheme="majorHAnsi" w:cstheme="majorHAnsi"/>
          <w:sz w:val="16"/>
          <w:szCs w:val="16"/>
          <w:lang w:val="ro-RO"/>
        </w:rPr>
        <w:footnoteRef/>
      </w:r>
      <w:r w:rsidRPr="00895379">
        <w:rPr>
          <w:rFonts w:asciiTheme="majorHAnsi" w:hAnsiTheme="majorHAnsi" w:cstheme="majorHAnsi"/>
          <w:sz w:val="16"/>
          <w:szCs w:val="16"/>
          <w:lang w:val="ro-RO"/>
        </w:rPr>
        <w:t xml:space="preserve"> Legea bu</w:t>
      </w:r>
      <w:r>
        <w:rPr>
          <w:rFonts w:asciiTheme="majorHAnsi" w:hAnsiTheme="majorHAnsi" w:cstheme="majorHAnsi"/>
          <w:sz w:val="16"/>
          <w:szCs w:val="16"/>
          <w:lang w:val="ro-RO"/>
        </w:rPr>
        <w:t>getului de stat pentru anul 2020 nr. 172 din 19.12.2019</w:t>
      </w:r>
      <w:r w:rsidRPr="00895379">
        <w:rPr>
          <w:rFonts w:asciiTheme="majorHAnsi" w:hAnsiTheme="majorHAnsi" w:cstheme="majorHAnsi"/>
          <w:sz w:val="16"/>
          <w:szCs w:val="16"/>
          <w:lang w:val="ro-RO"/>
        </w:rPr>
        <w:t>.</w:t>
      </w:r>
    </w:p>
  </w:footnote>
  <w:footnote w:id="8">
    <w:p w14:paraId="5B3649CA" w14:textId="750095E4" w:rsidR="00785129" w:rsidRPr="00870B5C" w:rsidRDefault="00785129" w:rsidP="00870B5C">
      <w:pPr>
        <w:rPr>
          <w:rFonts w:asciiTheme="majorHAnsi" w:hAnsiTheme="majorHAnsi" w:cstheme="majorHAnsi"/>
          <w:sz w:val="16"/>
          <w:szCs w:val="16"/>
          <w:lang w:val="ro-MD"/>
        </w:rPr>
      </w:pPr>
      <w:r w:rsidRPr="00737773">
        <w:rPr>
          <w:rStyle w:val="FootnoteReference"/>
          <w:rFonts w:asciiTheme="majorHAnsi" w:hAnsiTheme="majorHAnsi" w:cstheme="majorHAnsi"/>
          <w:sz w:val="16"/>
          <w:szCs w:val="16"/>
        </w:rPr>
        <w:footnoteRef/>
      </w:r>
      <w:r w:rsidRPr="00737773">
        <w:rPr>
          <w:rFonts w:asciiTheme="majorHAnsi" w:hAnsiTheme="majorHAnsi" w:cstheme="majorHAnsi"/>
          <w:sz w:val="16"/>
          <w:szCs w:val="16"/>
        </w:rPr>
        <w:t xml:space="preserve"> </w:t>
      </w:r>
      <w:r w:rsidRPr="00737773">
        <w:rPr>
          <w:rFonts w:asciiTheme="majorHAnsi" w:hAnsiTheme="majorHAnsi" w:cstheme="majorHAnsi"/>
          <w:sz w:val="16"/>
          <w:szCs w:val="16"/>
          <w:lang w:val="ro-MD"/>
        </w:rPr>
        <w:t>H</w:t>
      </w:r>
      <w:r>
        <w:rPr>
          <w:rFonts w:asciiTheme="majorHAnsi" w:hAnsiTheme="majorHAnsi" w:cstheme="majorHAnsi"/>
          <w:sz w:val="16"/>
          <w:szCs w:val="16"/>
          <w:lang w:val="ro-MD"/>
        </w:rPr>
        <w:t xml:space="preserve">otărârea </w:t>
      </w:r>
      <w:r w:rsidRPr="00737773">
        <w:rPr>
          <w:rFonts w:asciiTheme="majorHAnsi" w:hAnsiTheme="majorHAnsi" w:cstheme="majorHAnsi"/>
          <w:sz w:val="16"/>
          <w:szCs w:val="16"/>
          <w:lang w:val="ro-MD"/>
        </w:rPr>
        <w:t>C</w:t>
      </w:r>
      <w:r>
        <w:rPr>
          <w:rFonts w:asciiTheme="majorHAnsi" w:hAnsiTheme="majorHAnsi" w:cstheme="majorHAnsi"/>
          <w:sz w:val="16"/>
          <w:szCs w:val="16"/>
          <w:lang w:val="ro-MD"/>
        </w:rPr>
        <w:t xml:space="preserve">urții de </w:t>
      </w:r>
      <w:r w:rsidRPr="00737773">
        <w:rPr>
          <w:rFonts w:asciiTheme="majorHAnsi" w:hAnsiTheme="majorHAnsi" w:cstheme="majorHAnsi"/>
          <w:sz w:val="16"/>
          <w:szCs w:val="16"/>
          <w:lang w:val="ro-MD"/>
        </w:rPr>
        <w:t>C</w:t>
      </w:r>
      <w:r>
        <w:rPr>
          <w:rFonts w:asciiTheme="majorHAnsi" w:hAnsiTheme="majorHAnsi" w:cstheme="majorHAnsi"/>
          <w:sz w:val="16"/>
          <w:szCs w:val="16"/>
          <w:lang w:val="ro-MD"/>
        </w:rPr>
        <w:t>onturi</w:t>
      </w:r>
      <w:r w:rsidRPr="00737773">
        <w:rPr>
          <w:rFonts w:asciiTheme="majorHAnsi" w:hAnsiTheme="majorHAnsi" w:cstheme="majorHAnsi"/>
          <w:sz w:val="16"/>
          <w:szCs w:val="16"/>
          <w:lang w:val="ro-MD"/>
        </w:rPr>
        <w:t xml:space="preserve"> nr</w:t>
      </w:r>
      <w:r w:rsidRPr="00870B5C">
        <w:rPr>
          <w:rFonts w:asciiTheme="majorHAnsi" w:hAnsiTheme="majorHAnsi" w:cstheme="majorHAnsi"/>
          <w:sz w:val="16"/>
          <w:szCs w:val="16"/>
          <w:lang w:val="ro-MD"/>
        </w:rPr>
        <w:t>. 22 din 04.06.2021 cu privire la Raportul auditului financiar al Raportului Guvernului privind executarea fondurilor asigurării obligatorii de asistență medicală în anul 2020</w:t>
      </w:r>
      <w:r>
        <w:rPr>
          <w:rFonts w:asciiTheme="majorHAnsi" w:hAnsiTheme="majorHAnsi" w:cstheme="majorHAnsi"/>
          <w:sz w:val="16"/>
          <w:szCs w:val="16"/>
          <w:lang w:val="ro-MD"/>
        </w:rPr>
        <w:t>.</w:t>
      </w:r>
    </w:p>
    <w:p w14:paraId="7152C605" w14:textId="0422D1D1" w:rsidR="00785129" w:rsidRPr="00870B5C" w:rsidRDefault="00785129" w:rsidP="00DE214E">
      <w:pPr>
        <w:pStyle w:val="FootnoteText"/>
        <w:rPr>
          <w:rFonts w:asciiTheme="majorHAnsi" w:hAnsiTheme="majorHAnsi" w:cstheme="majorHAnsi"/>
          <w:sz w:val="16"/>
          <w:szCs w:val="16"/>
          <w:lang w:val="ro-MD"/>
        </w:rPr>
      </w:pPr>
    </w:p>
    <w:p w14:paraId="41DD9106" w14:textId="77777777" w:rsidR="00785129" w:rsidRPr="005D44E8" w:rsidRDefault="00785129" w:rsidP="00DE214E">
      <w:pPr>
        <w:pStyle w:val="FootnoteText"/>
        <w:rPr>
          <w:lang w:val="ro-MD"/>
        </w:rPr>
      </w:pPr>
    </w:p>
  </w:footnote>
  <w:footnote w:id="9">
    <w:p w14:paraId="5267FDDD" w14:textId="2F780CB5" w:rsidR="00785129" w:rsidRPr="000912A7" w:rsidRDefault="00785129" w:rsidP="00B015F4">
      <w:pPr>
        <w:spacing w:after="0"/>
        <w:jc w:val="both"/>
        <w:rPr>
          <w:rFonts w:asciiTheme="majorHAnsi" w:eastAsia="Times New Roman" w:hAnsiTheme="majorHAnsi" w:cstheme="majorHAnsi"/>
          <w:sz w:val="16"/>
          <w:szCs w:val="16"/>
          <w:lang w:val="ro-MD"/>
        </w:rPr>
      </w:pPr>
      <w:r w:rsidRPr="0040200D">
        <w:rPr>
          <w:rStyle w:val="FootnoteReference"/>
          <w:rFonts w:asciiTheme="majorHAnsi" w:hAnsiTheme="majorHAnsi" w:cstheme="majorHAnsi"/>
          <w:sz w:val="16"/>
          <w:szCs w:val="16"/>
          <w:lang w:val="ro-RO"/>
        </w:rPr>
        <w:footnoteRef/>
      </w:r>
      <w:r w:rsidRPr="0040200D">
        <w:rPr>
          <w:rFonts w:asciiTheme="majorHAnsi" w:hAnsiTheme="majorHAnsi" w:cstheme="majorHAnsi"/>
          <w:sz w:val="16"/>
          <w:szCs w:val="16"/>
          <w:lang w:val="ro-RO"/>
        </w:rPr>
        <w:t xml:space="preserve"> </w:t>
      </w:r>
      <w:r w:rsidRPr="000912A7">
        <w:rPr>
          <w:rFonts w:asciiTheme="majorHAnsi" w:eastAsia="Times New Roman" w:hAnsiTheme="majorHAnsi" w:cstheme="majorHAnsi"/>
          <w:sz w:val="16"/>
          <w:szCs w:val="16"/>
          <w:lang w:val="ro-MD"/>
        </w:rPr>
        <w:t>Pct.20 din Documentul de evaluare a Programului privind creditul propus în valoare de 20</w:t>
      </w:r>
      <w:r>
        <w:rPr>
          <w:rFonts w:asciiTheme="majorHAnsi" w:eastAsia="Times New Roman" w:hAnsiTheme="majorHAnsi" w:cstheme="majorHAnsi"/>
          <w:sz w:val="16"/>
          <w:szCs w:val="16"/>
          <w:lang w:val="ro-MD"/>
        </w:rPr>
        <w:t>,0</w:t>
      </w:r>
      <w:r w:rsidRPr="000912A7">
        <w:rPr>
          <w:rFonts w:asciiTheme="majorHAnsi" w:eastAsia="Times New Roman" w:hAnsiTheme="majorHAnsi" w:cstheme="majorHAnsi"/>
          <w:sz w:val="16"/>
          <w:szCs w:val="16"/>
          <w:lang w:val="ro-MD"/>
        </w:rPr>
        <w:t xml:space="preserve"> milioane DST (echivalentul a 30,8 milioane dolari SUA) pentru Republica Moldova</w:t>
      </w:r>
      <w:r>
        <w:rPr>
          <w:rFonts w:asciiTheme="majorHAnsi" w:eastAsia="Times New Roman" w:hAnsiTheme="majorHAnsi" w:cstheme="majorHAnsi"/>
          <w:sz w:val="16"/>
          <w:szCs w:val="16"/>
          <w:lang w:val="ro-MD"/>
        </w:rPr>
        <w:t>,</w:t>
      </w:r>
      <w:r w:rsidRPr="000912A7">
        <w:rPr>
          <w:rFonts w:asciiTheme="majorHAnsi" w:eastAsia="Times New Roman" w:hAnsiTheme="majorHAnsi" w:cstheme="majorHAnsi"/>
          <w:sz w:val="16"/>
          <w:szCs w:val="16"/>
          <w:lang w:val="ro-MD"/>
        </w:rPr>
        <w:t xml:space="preserve"> pentru Operațiunea de transformare în domeniul sănătății, la 30.04.2014.</w:t>
      </w:r>
    </w:p>
  </w:footnote>
  <w:footnote w:id="10">
    <w:p w14:paraId="0BE97B27" w14:textId="77777777" w:rsidR="00785129" w:rsidRPr="00C315EB" w:rsidRDefault="00785129" w:rsidP="00BF2898">
      <w:pPr>
        <w:pStyle w:val="NoSpacing"/>
        <w:rPr>
          <w:rFonts w:asciiTheme="majorHAnsi" w:hAnsiTheme="majorHAnsi" w:cstheme="majorHAnsi"/>
          <w:sz w:val="16"/>
          <w:szCs w:val="16"/>
          <w:lang w:val="ro-MD"/>
        </w:rPr>
      </w:pPr>
      <w:r w:rsidRPr="00C315EB">
        <w:rPr>
          <w:rStyle w:val="FootnoteReference"/>
          <w:rFonts w:asciiTheme="majorHAnsi" w:hAnsiTheme="majorHAnsi" w:cstheme="majorHAnsi"/>
          <w:sz w:val="16"/>
          <w:szCs w:val="16"/>
          <w:lang w:val="ro-MD"/>
        </w:rPr>
        <w:footnoteRef/>
      </w:r>
      <w:r w:rsidRPr="00C315EB">
        <w:rPr>
          <w:rFonts w:asciiTheme="majorHAnsi" w:hAnsiTheme="majorHAnsi" w:cstheme="majorHAnsi"/>
          <w:sz w:val="16"/>
          <w:szCs w:val="16"/>
          <w:lang w:val="ro-MD"/>
        </w:rPr>
        <w:t xml:space="preserve"> </w:t>
      </w:r>
      <w:r w:rsidRPr="00C315EB">
        <w:rPr>
          <w:rFonts w:asciiTheme="majorHAnsi" w:eastAsia="Times New Roman" w:hAnsiTheme="majorHAnsi" w:cstheme="majorHAnsi"/>
          <w:sz w:val="16"/>
          <w:szCs w:val="16"/>
          <w:lang w:val="ro-MD"/>
        </w:rPr>
        <w:t>Legea nr.229 din 23.09.2010.</w:t>
      </w:r>
    </w:p>
  </w:footnote>
  <w:footnote w:id="11">
    <w:p w14:paraId="5A27F69B" w14:textId="53B8E56F" w:rsidR="00785129" w:rsidRPr="00C315EB" w:rsidRDefault="00785129" w:rsidP="000A0079">
      <w:pPr>
        <w:pStyle w:val="FootnoteText"/>
        <w:jc w:val="both"/>
        <w:rPr>
          <w:rFonts w:asciiTheme="majorHAnsi" w:hAnsiTheme="majorHAnsi" w:cstheme="majorHAnsi"/>
          <w:sz w:val="16"/>
          <w:lang w:val="ro-MD"/>
        </w:rPr>
      </w:pPr>
      <w:r w:rsidRPr="00C315EB">
        <w:rPr>
          <w:rStyle w:val="FootnoteReference"/>
          <w:rFonts w:asciiTheme="majorHAnsi" w:hAnsiTheme="majorHAnsi" w:cstheme="majorHAnsi"/>
          <w:sz w:val="16"/>
          <w:lang w:val="ro-MD"/>
        </w:rPr>
        <w:footnoteRef/>
      </w:r>
      <w:r w:rsidRPr="00C315EB">
        <w:rPr>
          <w:rFonts w:asciiTheme="majorHAnsi" w:hAnsiTheme="majorHAnsi" w:cstheme="majorHAnsi"/>
          <w:sz w:val="16"/>
          <w:lang w:val="ro-MD"/>
        </w:rPr>
        <w:t xml:space="preserve"> ILD 1. Toate țigările importate și cele produse local, comercializate pe piață, sunt în conformitate cu reglementarea privind etichetarea produselor de tutun; ILD 2. Creșterea numărului de persoane cu boli cardiovasculare (BCV) care beneficiază de medicamente compensate pentru tratamentul BCV; ILD 7. Conceperea și pilotarea stimulentelor bazate pe performanță pentru toate spitalele; ILD 9. Consolidarea spitalelor departamentale aflate în administrarea MSMPS.</w:t>
      </w:r>
    </w:p>
  </w:footnote>
  <w:footnote w:id="12">
    <w:p w14:paraId="6D90B343" w14:textId="77777777" w:rsidR="00785129" w:rsidRPr="000912A7" w:rsidRDefault="00785129" w:rsidP="00B71AE3">
      <w:pPr>
        <w:pStyle w:val="FootnoteText"/>
        <w:rPr>
          <w:lang w:val="ro-MD"/>
        </w:rPr>
      </w:pPr>
      <w:r w:rsidRPr="00C315EB">
        <w:rPr>
          <w:rStyle w:val="FootnoteReference"/>
          <w:sz w:val="16"/>
          <w:szCs w:val="16"/>
          <w:lang w:val="ro-MD"/>
        </w:rPr>
        <w:footnoteRef/>
      </w:r>
      <w:r w:rsidRPr="00C315EB">
        <w:rPr>
          <w:lang w:val="ro-MD"/>
        </w:rPr>
        <w:t xml:space="preserve"> </w:t>
      </w:r>
      <w:r w:rsidRPr="00C315EB">
        <w:rPr>
          <w:rFonts w:asciiTheme="majorHAnsi" w:hAnsiTheme="majorHAnsi" w:cstheme="majorHAnsi"/>
          <w:sz w:val="16"/>
          <w:szCs w:val="16"/>
          <w:lang w:val="ro-MD"/>
        </w:rPr>
        <w:t>Rapoartele de activitate pentru lunile mai șI iunie</w:t>
      </w:r>
      <w:r w:rsidRPr="00E33BAB">
        <w:rPr>
          <w:rFonts w:asciiTheme="majorHAnsi" w:hAnsiTheme="majorHAnsi" w:cstheme="majorHAnsi"/>
          <w:sz w:val="16"/>
          <w:szCs w:val="16"/>
          <w:lang w:val="ro-MD"/>
        </w:rPr>
        <w:t xml:space="preserve"> 2020 ale consultanților I.I. ,,Belicov Natalia” și SRL „BURLACU CONSULTING</w:t>
      </w:r>
      <w:r w:rsidRPr="000912A7">
        <w:rPr>
          <w:rFonts w:asciiTheme="majorHAnsi" w:hAnsiTheme="majorHAnsi" w:cstheme="majorHAnsi"/>
          <w:sz w:val="16"/>
          <w:szCs w:val="16"/>
          <w:lang w:val="ro-MD"/>
        </w:rPr>
        <w:t>”</w:t>
      </w:r>
      <w:r>
        <w:rPr>
          <w:rFonts w:asciiTheme="majorHAnsi" w:hAnsiTheme="majorHAnsi" w:cstheme="majorHAnsi"/>
          <w:sz w:val="16"/>
          <w:szCs w:val="16"/>
          <w:lang w:val="ro-MD"/>
        </w:rPr>
        <w:t>.</w:t>
      </w:r>
    </w:p>
  </w:footnote>
  <w:footnote w:id="13">
    <w:p w14:paraId="3E33A0CF" w14:textId="77777777" w:rsidR="00785129" w:rsidRPr="003A39E3" w:rsidRDefault="00785129" w:rsidP="003A39E3">
      <w:pPr>
        <w:pStyle w:val="FootnoteText"/>
        <w:jc w:val="both"/>
        <w:rPr>
          <w:rFonts w:asciiTheme="majorHAnsi" w:hAnsiTheme="majorHAnsi" w:cstheme="majorHAnsi"/>
          <w:sz w:val="16"/>
          <w:szCs w:val="16"/>
          <w:lang w:val="ro-RO"/>
        </w:rPr>
      </w:pPr>
      <w:r w:rsidRPr="003A39E3">
        <w:rPr>
          <w:rStyle w:val="FootnoteReference"/>
          <w:rFonts w:asciiTheme="majorHAnsi" w:hAnsiTheme="majorHAnsi" w:cstheme="majorHAnsi"/>
          <w:sz w:val="16"/>
          <w:szCs w:val="16"/>
          <w:lang w:val="ro-MD"/>
        </w:rPr>
        <w:footnoteRef/>
      </w:r>
      <w:r w:rsidRPr="003A39E3">
        <w:rPr>
          <w:rFonts w:asciiTheme="majorHAnsi" w:hAnsiTheme="majorHAnsi" w:cstheme="majorHAnsi"/>
          <w:sz w:val="16"/>
          <w:szCs w:val="16"/>
          <w:lang w:val="ro-MD"/>
        </w:rPr>
        <w:t xml:space="preserve"> Pct. 1.4 b) din Ghidul privind selectarea și angajarea consultanților în cadrul împrumuturilor BIRD și creditelor și granturilor AID de către Împrumutații Băncii Mondiale din 20.01.</w:t>
      </w:r>
      <w:r w:rsidRPr="003A39E3">
        <w:rPr>
          <w:rFonts w:asciiTheme="majorHAnsi" w:hAnsiTheme="majorHAnsi" w:cstheme="majorHAnsi"/>
          <w:sz w:val="16"/>
          <w:szCs w:val="16"/>
          <w:lang w:val="ro-RO"/>
        </w:rPr>
        <w:t>2011.</w:t>
      </w:r>
    </w:p>
  </w:footnote>
  <w:footnote w:id="14">
    <w:p w14:paraId="1FB717DB" w14:textId="2E4C6E97" w:rsidR="00785129" w:rsidRPr="00C315EB" w:rsidRDefault="00785129" w:rsidP="003A39E3">
      <w:pPr>
        <w:pStyle w:val="FootnoteText"/>
        <w:jc w:val="both"/>
        <w:rPr>
          <w:rFonts w:asciiTheme="majorHAnsi" w:hAnsiTheme="majorHAnsi" w:cstheme="majorHAnsi"/>
          <w:sz w:val="16"/>
          <w:szCs w:val="16"/>
        </w:rPr>
      </w:pPr>
      <w:r w:rsidRPr="003A39E3">
        <w:rPr>
          <w:rStyle w:val="FootnoteReference"/>
          <w:rFonts w:asciiTheme="majorHAnsi" w:hAnsiTheme="majorHAnsi" w:cstheme="majorHAnsi"/>
          <w:sz w:val="16"/>
          <w:szCs w:val="16"/>
        </w:rPr>
        <w:footnoteRef/>
      </w:r>
      <w:r w:rsidRPr="003A39E3">
        <w:rPr>
          <w:rFonts w:asciiTheme="majorHAnsi" w:hAnsiTheme="majorHAnsi" w:cstheme="majorHAnsi"/>
          <w:sz w:val="16"/>
          <w:szCs w:val="16"/>
        </w:rPr>
        <w:t xml:space="preserve"> </w:t>
      </w:r>
      <w:r w:rsidRPr="003A39E3">
        <w:rPr>
          <w:rFonts w:asciiTheme="majorHAnsi" w:eastAsia="Times New Roman" w:hAnsiTheme="majorHAnsi" w:cstheme="majorHAnsi"/>
          <w:sz w:val="16"/>
          <w:szCs w:val="16"/>
          <w:lang w:val="ro-MD"/>
        </w:rPr>
        <w:t xml:space="preserve">Legea finanțelor publice și </w:t>
      </w:r>
      <w:r w:rsidRPr="00C315EB">
        <w:rPr>
          <w:rFonts w:asciiTheme="majorHAnsi" w:eastAsia="Times New Roman" w:hAnsiTheme="majorHAnsi" w:cstheme="majorHAnsi"/>
          <w:sz w:val="16"/>
          <w:szCs w:val="16"/>
          <w:lang w:val="ro-MD"/>
        </w:rPr>
        <w:t>responsabilității bugetar-fiscale nr.181 din 25.07.2014.</w:t>
      </w:r>
    </w:p>
  </w:footnote>
  <w:footnote w:id="15">
    <w:p w14:paraId="2EAC9450" w14:textId="60956585" w:rsidR="00785129" w:rsidRPr="003A39E3" w:rsidRDefault="00785129" w:rsidP="003A39E3">
      <w:pPr>
        <w:ind w:right="523"/>
        <w:jc w:val="both"/>
        <w:rPr>
          <w:rFonts w:asciiTheme="majorHAnsi" w:hAnsiTheme="majorHAnsi" w:cstheme="majorHAnsi"/>
          <w:sz w:val="16"/>
          <w:szCs w:val="16"/>
          <w:lang w:val="ro-MD"/>
        </w:rPr>
      </w:pPr>
      <w:r w:rsidRPr="00C315EB">
        <w:rPr>
          <w:rStyle w:val="FootnoteReference"/>
          <w:rFonts w:asciiTheme="majorHAnsi" w:hAnsiTheme="majorHAnsi" w:cstheme="majorHAnsi"/>
          <w:sz w:val="16"/>
          <w:szCs w:val="16"/>
        </w:rPr>
        <w:footnoteRef/>
      </w:r>
      <w:r w:rsidRPr="00C315EB">
        <w:rPr>
          <w:rFonts w:asciiTheme="majorHAnsi" w:hAnsiTheme="majorHAnsi" w:cstheme="majorHAnsi"/>
          <w:sz w:val="16"/>
          <w:szCs w:val="16"/>
        </w:rPr>
        <w:t xml:space="preserve"> </w:t>
      </w:r>
      <w:r w:rsidRPr="00C315EB">
        <w:rPr>
          <w:rFonts w:asciiTheme="majorHAnsi" w:hAnsiTheme="majorHAnsi" w:cstheme="majorHAnsi"/>
          <w:sz w:val="16"/>
          <w:szCs w:val="16"/>
          <w:lang w:val="ro-MD"/>
        </w:rPr>
        <w:t>Conform propunerilor BM și Operațiunea de urgență COVID-19 Moldova în cadrul</w:t>
      </w:r>
      <w:r w:rsidRPr="003A39E3">
        <w:rPr>
          <w:rFonts w:asciiTheme="majorHAnsi" w:hAnsiTheme="majorHAnsi" w:cstheme="majorHAnsi"/>
          <w:sz w:val="16"/>
          <w:szCs w:val="16"/>
          <w:lang w:val="ro-MD"/>
        </w:rPr>
        <w:t xml:space="preserve"> Programului Strategic de Pregătire și Răspuns la COVID-19 (SPRP)</w:t>
      </w:r>
      <w:r>
        <w:rPr>
          <w:rFonts w:asciiTheme="majorHAnsi" w:hAnsiTheme="majorHAnsi" w:cstheme="majorHAnsi"/>
          <w:sz w:val="16"/>
          <w:szCs w:val="16"/>
          <w:lang w:val="ro-MD"/>
        </w:rPr>
        <w:t>.</w:t>
      </w:r>
    </w:p>
    <w:p w14:paraId="328446CD" w14:textId="0FC4E7B1" w:rsidR="00785129" w:rsidRPr="002A7E46" w:rsidRDefault="00785129" w:rsidP="00006FD7">
      <w:pPr>
        <w:pStyle w:val="CommentText"/>
        <w:rPr>
          <w:rFonts w:asciiTheme="majorHAnsi" w:hAnsiTheme="majorHAnsi" w:cstheme="majorHAnsi"/>
          <w:sz w:val="16"/>
          <w:szCs w:val="16"/>
        </w:rPr>
      </w:pPr>
    </w:p>
  </w:footnote>
  <w:footnote w:id="16">
    <w:p w14:paraId="6822C05E" w14:textId="2D9BF060" w:rsidR="00785129" w:rsidRPr="00FF273E" w:rsidRDefault="00785129" w:rsidP="00330B0C">
      <w:pPr>
        <w:pStyle w:val="FootnoteText"/>
        <w:rPr>
          <w:rFonts w:asciiTheme="majorHAnsi" w:hAnsiTheme="majorHAnsi" w:cstheme="majorHAnsi"/>
          <w:sz w:val="16"/>
          <w:szCs w:val="16"/>
        </w:rPr>
      </w:pPr>
      <w:r w:rsidRPr="00711992">
        <w:rPr>
          <w:rStyle w:val="FootnoteReference"/>
          <w:sz w:val="16"/>
          <w:szCs w:val="16"/>
        </w:rPr>
        <w:footnoteRef/>
      </w:r>
      <w:r w:rsidRPr="00711992">
        <w:rPr>
          <w:sz w:val="16"/>
          <w:szCs w:val="16"/>
        </w:rPr>
        <w:t xml:space="preserve"> </w:t>
      </w:r>
      <w:r w:rsidRPr="00711992">
        <w:rPr>
          <w:rFonts w:asciiTheme="majorHAnsi" w:eastAsia="Calibri" w:hAnsiTheme="majorHAnsi" w:cstheme="majorHAnsi"/>
          <w:bCs/>
          <w:sz w:val="16"/>
          <w:szCs w:val="16"/>
          <w:lang w:val="ro-MD"/>
        </w:rPr>
        <w:t>(Credit No. 5469-MD) Acordul de finanțare dintre Republica Moldova și Asociația Internațională pentru Dezvoltare din 11.07.2014</w:t>
      </w:r>
      <w:r>
        <w:rPr>
          <w:rFonts w:asciiTheme="majorHAnsi" w:eastAsia="Calibri" w:hAnsiTheme="majorHAnsi" w:cstheme="majorHAnsi"/>
          <w:bCs/>
          <w:sz w:val="16"/>
          <w:szCs w:val="16"/>
          <w:lang w:val="ro-MD"/>
        </w:rPr>
        <w:t>.</w:t>
      </w:r>
      <w:r w:rsidRPr="00FF273E">
        <w:rPr>
          <w:rFonts w:asciiTheme="majorHAnsi" w:eastAsia="Calibri" w:hAnsiTheme="majorHAnsi" w:cstheme="majorHAnsi"/>
          <w:bCs/>
          <w:sz w:val="16"/>
          <w:szCs w:val="16"/>
          <w:lang w:val="ro-MD"/>
        </w:rPr>
        <w:t xml:space="preserve"> </w:t>
      </w:r>
    </w:p>
  </w:footnote>
  <w:footnote w:id="17">
    <w:p w14:paraId="183AC5A5" w14:textId="77777777" w:rsidR="00785129" w:rsidRPr="00FF273E" w:rsidRDefault="00785129" w:rsidP="00330B0C">
      <w:pPr>
        <w:pStyle w:val="FootnoteText"/>
        <w:rPr>
          <w:lang w:val="ro-MD"/>
        </w:rPr>
      </w:pPr>
      <w:r w:rsidRPr="00FF273E">
        <w:rPr>
          <w:rStyle w:val="FootnoteReference"/>
          <w:rFonts w:asciiTheme="majorHAnsi" w:hAnsiTheme="majorHAnsi" w:cstheme="majorHAnsi"/>
          <w:sz w:val="16"/>
          <w:szCs w:val="16"/>
        </w:rPr>
        <w:footnoteRef/>
      </w:r>
      <w:r w:rsidRPr="00FF273E">
        <w:rPr>
          <w:rFonts w:asciiTheme="majorHAnsi" w:hAnsiTheme="majorHAnsi" w:cstheme="majorHAnsi"/>
          <w:sz w:val="16"/>
          <w:szCs w:val="16"/>
        </w:rPr>
        <w:t xml:space="preserve"> </w:t>
      </w:r>
      <w:r>
        <w:rPr>
          <w:rFonts w:asciiTheme="majorHAnsi" w:hAnsiTheme="majorHAnsi" w:cstheme="majorHAnsi"/>
          <w:sz w:val="16"/>
          <w:szCs w:val="16"/>
          <w:lang w:val="ro-MD"/>
        </w:rPr>
        <w:t>Hotărârea Curții de Conturi</w:t>
      </w:r>
      <w:r w:rsidRPr="00FF273E">
        <w:rPr>
          <w:rFonts w:asciiTheme="majorHAnsi" w:hAnsiTheme="majorHAnsi" w:cstheme="majorHAnsi"/>
          <w:sz w:val="16"/>
          <w:szCs w:val="16"/>
        </w:rPr>
        <w:t xml:space="preserve"> din 31.01.2019</w:t>
      </w:r>
      <w:r w:rsidRPr="00FF273E">
        <w:t xml:space="preserve"> </w:t>
      </w:r>
      <w:r>
        <w:rPr>
          <w:rFonts w:asciiTheme="majorHAnsi" w:hAnsiTheme="majorHAnsi" w:cstheme="majorHAnsi"/>
          <w:sz w:val="16"/>
          <w:szCs w:val="16"/>
          <w:lang w:val="ro-MD"/>
        </w:rPr>
        <w:t xml:space="preserve">privind </w:t>
      </w:r>
      <w:r w:rsidRPr="00FF273E">
        <w:rPr>
          <w:rFonts w:asciiTheme="majorHAnsi" w:hAnsiTheme="majorHAnsi" w:cstheme="majorHAnsi"/>
          <w:sz w:val="16"/>
          <w:szCs w:val="16"/>
          <w:lang w:val="ro-MD"/>
        </w:rPr>
        <w:t>Raportul auditului performanței implementării Planului de acțiuni al Programului național de prevenire și control al diabetului zaharat</w:t>
      </w:r>
      <w:r>
        <w:rPr>
          <w:rFonts w:asciiTheme="majorHAnsi" w:hAnsiTheme="majorHAnsi" w:cstheme="majorHAnsi"/>
          <w:sz w:val="16"/>
          <w:szCs w:val="16"/>
          <w:lang w:val="ro-MD"/>
        </w:rPr>
        <w:t>.</w:t>
      </w:r>
    </w:p>
  </w:footnote>
  <w:footnote w:id="18">
    <w:p w14:paraId="6ED3AA02" w14:textId="532D03F8" w:rsidR="00785129" w:rsidRPr="00FE50D8" w:rsidRDefault="00785129" w:rsidP="00330B0C">
      <w:pPr>
        <w:spacing w:after="0"/>
        <w:jc w:val="both"/>
        <w:rPr>
          <w:rFonts w:ascii="Times New Roman" w:eastAsia="Times New Roman" w:hAnsi="Times New Roman" w:cs="Times New Roman"/>
          <w:sz w:val="20"/>
          <w:szCs w:val="20"/>
          <w:lang w:val="ro-RO"/>
        </w:rPr>
      </w:pPr>
      <w:r w:rsidRPr="00895379">
        <w:rPr>
          <w:rStyle w:val="FootnoteReference"/>
          <w:rFonts w:asciiTheme="majorHAnsi" w:hAnsiTheme="majorHAnsi" w:cstheme="majorHAnsi"/>
          <w:sz w:val="16"/>
          <w:szCs w:val="16"/>
          <w:lang w:val="ro-RO"/>
        </w:rPr>
        <w:footnoteRef/>
      </w:r>
      <w:r w:rsidRPr="00895379">
        <w:rPr>
          <w:rFonts w:asciiTheme="majorHAnsi" w:hAnsiTheme="majorHAnsi" w:cstheme="majorHAnsi"/>
          <w:sz w:val="16"/>
          <w:szCs w:val="16"/>
          <w:lang w:val="ro-RO"/>
        </w:rPr>
        <w:t xml:space="preserve"> </w:t>
      </w:r>
      <w:r w:rsidRPr="00895379">
        <w:rPr>
          <w:rFonts w:asciiTheme="majorHAnsi" w:eastAsia="Times New Roman" w:hAnsiTheme="majorHAnsi" w:cstheme="majorHAnsi"/>
          <w:sz w:val="16"/>
          <w:szCs w:val="16"/>
          <w:lang w:val="ro-RO"/>
        </w:rPr>
        <w:t>Pct.20 din Documentul de evaluare a Programului privind creditul propus în valoare de 20</w:t>
      </w:r>
      <w:r>
        <w:rPr>
          <w:rFonts w:asciiTheme="majorHAnsi" w:eastAsia="Times New Roman" w:hAnsiTheme="majorHAnsi" w:cstheme="majorHAnsi"/>
          <w:sz w:val="16"/>
          <w:szCs w:val="16"/>
          <w:lang w:val="ro-RO"/>
        </w:rPr>
        <w:t>,0</w:t>
      </w:r>
      <w:r w:rsidRPr="00895379">
        <w:rPr>
          <w:rFonts w:asciiTheme="majorHAnsi" w:eastAsia="Times New Roman" w:hAnsiTheme="majorHAnsi" w:cstheme="majorHAnsi"/>
          <w:sz w:val="16"/>
          <w:szCs w:val="16"/>
          <w:lang w:val="ro-RO"/>
        </w:rPr>
        <w:t xml:space="preserve"> milioane DST (echivalentul a 30,8 milioane dolari SUA) pentru Republica Moldova pentru Operațiunea de transformare în domeniul sănătății, aprobat la 30.04.2014.</w:t>
      </w:r>
    </w:p>
  </w:footnote>
  <w:footnote w:id="19">
    <w:p w14:paraId="22D13849" w14:textId="33FCC396" w:rsidR="00785129" w:rsidRPr="00895379" w:rsidRDefault="00785129" w:rsidP="00330B0C">
      <w:pPr>
        <w:pStyle w:val="FootnoteText"/>
        <w:jc w:val="both"/>
        <w:rPr>
          <w:rFonts w:asciiTheme="majorHAnsi" w:hAnsiTheme="majorHAnsi" w:cstheme="majorHAnsi"/>
          <w:sz w:val="16"/>
          <w:szCs w:val="16"/>
          <w:lang w:val="ro-RO"/>
        </w:rPr>
      </w:pPr>
      <w:r w:rsidRPr="00895379">
        <w:rPr>
          <w:rStyle w:val="FootnoteReference"/>
          <w:rFonts w:asciiTheme="majorHAnsi" w:hAnsiTheme="majorHAnsi" w:cstheme="majorHAnsi"/>
          <w:sz w:val="16"/>
          <w:szCs w:val="16"/>
          <w:lang w:val="ro-RO"/>
        </w:rPr>
        <w:footnoteRef/>
      </w:r>
      <w:r w:rsidRPr="00895379">
        <w:rPr>
          <w:rFonts w:asciiTheme="majorHAnsi" w:hAnsiTheme="majorHAnsi" w:cstheme="majorHAnsi"/>
          <w:sz w:val="16"/>
          <w:szCs w:val="16"/>
          <w:lang w:val="ro-RO"/>
        </w:rPr>
        <w:t xml:space="preserve"> Nota de Memoriu din 27.10.2017 referitor la evaluarea intermediară a </w:t>
      </w:r>
      <w:r>
        <w:rPr>
          <w:rFonts w:asciiTheme="majorHAnsi" w:hAnsiTheme="majorHAnsi" w:cstheme="majorHAnsi"/>
          <w:sz w:val="16"/>
          <w:szCs w:val="16"/>
          <w:lang w:val="ro-RO"/>
        </w:rPr>
        <w:t>O</w:t>
      </w:r>
      <w:r w:rsidRPr="00895379">
        <w:rPr>
          <w:rFonts w:asciiTheme="majorHAnsi" w:hAnsiTheme="majorHAnsi" w:cstheme="majorHAnsi"/>
          <w:sz w:val="16"/>
          <w:szCs w:val="16"/>
          <w:lang w:val="ro-RO"/>
        </w:rPr>
        <w:t xml:space="preserve">perațiunii </w:t>
      </w:r>
      <w:r>
        <w:rPr>
          <w:rFonts w:asciiTheme="majorHAnsi" w:hAnsiTheme="majorHAnsi" w:cstheme="majorHAnsi"/>
          <w:sz w:val="16"/>
          <w:szCs w:val="16"/>
          <w:lang w:val="ro-RO"/>
        </w:rPr>
        <w:t>„M</w:t>
      </w:r>
      <w:r w:rsidRPr="00895379">
        <w:rPr>
          <w:rFonts w:asciiTheme="majorHAnsi" w:hAnsiTheme="majorHAnsi" w:cstheme="majorHAnsi"/>
          <w:sz w:val="16"/>
          <w:szCs w:val="16"/>
          <w:lang w:val="ro-RO"/>
        </w:rPr>
        <w:t xml:space="preserve">odernizarea </w:t>
      </w:r>
      <w:r>
        <w:rPr>
          <w:rFonts w:asciiTheme="majorHAnsi" w:hAnsiTheme="majorHAnsi" w:cstheme="majorHAnsi"/>
          <w:sz w:val="16"/>
          <w:szCs w:val="16"/>
          <w:lang w:val="ro-RO"/>
        </w:rPr>
        <w:t>s</w:t>
      </w:r>
      <w:r w:rsidRPr="00895379">
        <w:rPr>
          <w:rFonts w:asciiTheme="majorHAnsi" w:hAnsiTheme="majorHAnsi" w:cstheme="majorHAnsi"/>
          <w:sz w:val="16"/>
          <w:szCs w:val="16"/>
          <w:lang w:val="ro-RO"/>
        </w:rPr>
        <w:t xml:space="preserve">ectorului </w:t>
      </w:r>
      <w:r>
        <w:rPr>
          <w:rFonts w:asciiTheme="majorHAnsi" w:hAnsiTheme="majorHAnsi" w:cstheme="majorHAnsi"/>
          <w:sz w:val="16"/>
          <w:szCs w:val="16"/>
          <w:lang w:val="ro-RO"/>
        </w:rPr>
        <w:t>s</w:t>
      </w:r>
      <w:r w:rsidRPr="00895379">
        <w:rPr>
          <w:rFonts w:asciiTheme="majorHAnsi" w:hAnsiTheme="majorHAnsi" w:cstheme="majorHAnsi"/>
          <w:sz w:val="16"/>
          <w:szCs w:val="16"/>
          <w:lang w:val="ro-RO"/>
        </w:rPr>
        <w:t>ănătății în Republica Moldova</w:t>
      </w:r>
      <w:r>
        <w:rPr>
          <w:rFonts w:asciiTheme="majorHAnsi" w:hAnsiTheme="majorHAnsi" w:cstheme="majorHAnsi"/>
          <w:sz w:val="16"/>
          <w:szCs w:val="16"/>
          <w:lang w:val="ro-RO"/>
        </w:rPr>
        <w:t>”</w:t>
      </w:r>
      <w:r w:rsidRPr="00895379">
        <w:rPr>
          <w:rFonts w:asciiTheme="majorHAnsi" w:hAnsiTheme="majorHAnsi" w:cstheme="majorHAnsi"/>
          <w:sz w:val="16"/>
          <w:szCs w:val="16"/>
          <w:lang w:val="ro-RO"/>
        </w:rPr>
        <w:t>.</w:t>
      </w:r>
    </w:p>
  </w:footnote>
  <w:footnote w:id="20">
    <w:p w14:paraId="4F691878" w14:textId="77777777" w:rsidR="00785129" w:rsidRPr="00E140DD" w:rsidRDefault="00785129" w:rsidP="00330B0C">
      <w:pPr>
        <w:pStyle w:val="FootnoteText"/>
        <w:rPr>
          <w:lang w:val="ro-MD"/>
        </w:rPr>
      </w:pPr>
      <w:r w:rsidRPr="00480427">
        <w:rPr>
          <w:rStyle w:val="FootnoteReference"/>
          <w:sz w:val="16"/>
          <w:szCs w:val="16"/>
        </w:rPr>
        <w:footnoteRef/>
      </w:r>
      <w:r w:rsidRPr="00480427">
        <w:rPr>
          <w:sz w:val="16"/>
          <w:szCs w:val="16"/>
        </w:rPr>
        <w:t xml:space="preserve"> </w:t>
      </w:r>
      <w:r w:rsidRPr="00152D68">
        <w:rPr>
          <w:rFonts w:asciiTheme="majorHAnsi" w:eastAsia="Calibri" w:hAnsiTheme="majorHAnsi" w:cstheme="majorHAnsi"/>
          <w:bCs/>
          <w:sz w:val="16"/>
          <w:szCs w:val="16"/>
          <w:lang w:val="ro-MD"/>
        </w:rPr>
        <w:t>(</w:t>
      </w:r>
      <w:r w:rsidRPr="00FF273E">
        <w:rPr>
          <w:rFonts w:asciiTheme="majorHAnsi" w:eastAsia="Calibri" w:hAnsiTheme="majorHAnsi" w:cstheme="majorHAnsi"/>
          <w:bCs/>
          <w:sz w:val="16"/>
          <w:szCs w:val="16"/>
          <w:lang w:val="ro-MD"/>
        </w:rPr>
        <w:t xml:space="preserve">Credit No. 5469-MD) Acordul </w:t>
      </w:r>
      <w:r w:rsidRPr="00E140DD">
        <w:rPr>
          <w:rFonts w:asciiTheme="majorHAnsi" w:eastAsia="Calibri" w:hAnsiTheme="majorHAnsi" w:cstheme="majorHAnsi"/>
          <w:bCs/>
          <w:sz w:val="16"/>
          <w:szCs w:val="16"/>
          <w:lang w:val="ro-MD"/>
        </w:rPr>
        <w:t>de finanțare dintre Republica Moldova și Asociația Internațională pentru Dezvoltare din 11.07.2014.</w:t>
      </w:r>
    </w:p>
  </w:footnote>
  <w:footnote w:id="21">
    <w:p w14:paraId="7F33E8B4" w14:textId="54CAE337" w:rsidR="00785129" w:rsidRPr="00E140DD" w:rsidRDefault="00785129" w:rsidP="00E33BAB">
      <w:pPr>
        <w:pStyle w:val="FootnoteText"/>
        <w:rPr>
          <w:rFonts w:asciiTheme="majorHAnsi" w:hAnsiTheme="majorHAnsi" w:cstheme="majorHAnsi"/>
          <w:sz w:val="16"/>
          <w:szCs w:val="16"/>
          <w:lang w:val="ro-MD"/>
        </w:rPr>
      </w:pPr>
      <w:r w:rsidRPr="00E140DD">
        <w:rPr>
          <w:rStyle w:val="FootnoteReference"/>
          <w:rFonts w:asciiTheme="majorHAnsi" w:hAnsiTheme="majorHAnsi" w:cstheme="majorHAnsi"/>
          <w:sz w:val="16"/>
          <w:szCs w:val="16"/>
          <w:lang w:val="ro-MD"/>
        </w:rPr>
        <w:footnoteRef/>
      </w:r>
      <w:r w:rsidRPr="00E140DD">
        <w:rPr>
          <w:rFonts w:asciiTheme="majorHAnsi" w:hAnsiTheme="majorHAnsi" w:cstheme="majorHAnsi"/>
          <w:sz w:val="16"/>
          <w:szCs w:val="16"/>
          <w:lang w:val="ro-MD"/>
        </w:rPr>
        <w:t xml:space="preserve"> ILD 3: Numărul de internări anuale în spitalele de îngrijire acută la 100 de persoane, pornind de la valoarea de referință de 17,6; DLI 4: Numărul de paturi în spitale de îngrijire acută, pornind de la valoarea de referință de 17.586; DLI 5: Aprobarea revizuirii pachetului de beneficii de ambulatoriu în ceea ce privește medicamentele antihipertensive; DLI 6: Revizuirea și punerea în aplicare a schemei de stimulare bazate pe performanță în asistența medicală primară; DLI 8: Punerea în aplicare și actualizarea prețurilor GOB pentru plățile către spitale publice de îngrijiri </w:t>
      </w:r>
    </w:p>
    <w:p w14:paraId="1E028857" w14:textId="74AE4655" w:rsidR="00785129" w:rsidRPr="00E140DD" w:rsidRDefault="00785129" w:rsidP="00E33BAB">
      <w:pPr>
        <w:pStyle w:val="FootnoteText"/>
      </w:pPr>
      <w:r w:rsidRPr="00E140DD">
        <w:rPr>
          <w:rFonts w:asciiTheme="majorHAnsi" w:hAnsiTheme="majorHAnsi" w:cstheme="majorHAnsi"/>
          <w:sz w:val="16"/>
          <w:szCs w:val="16"/>
          <w:lang w:val="ro-MD"/>
        </w:rPr>
        <w:t>acute; DLI 10: Aprobarea Strategiei Naționale revizuite de Dezvoltare a Sistemului de Sănătate , care include măsuri de raționalizare spitalicească.</w:t>
      </w:r>
      <w:r w:rsidRPr="00E140DD">
        <w:t xml:space="preserve">  </w:t>
      </w:r>
    </w:p>
  </w:footnote>
  <w:footnote w:id="22">
    <w:p w14:paraId="0DDC862B" w14:textId="77777777" w:rsidR="00785129" w:rsidRPr="00215432" w:rsidRDefault="00785129" w:rsidP="00330B0C">
      <w:pPr>
        <w:pStyle w:val="FootnoteText"/>
        <w:rPr>
          <w:lang w:val="ro-MD"/>
        </w:rPr>
      </w:pPr>
      <w:r w:rsidRPr="00E140DD">
        <w:rPr>
          <w:rStyle w:val="FootnoteReference"/>
          <w:sz w:val="16"/>
          <w:szCs w:val="16"/>
        </w:rPr>
        <w:footnoteRef/>
      </w:r>
      <w:r w:rsidRPr="00E140DD">
        <w:t xml:space="preserve"> </w:t>
      </w:r>
      <w:r w:rsidRPr="00E140DD">
        <w:rPr>
          <w:rFonts w:asciiTheme="majorHAnsi" w:eastAsia="Calibri" w:hAnsiTheme="majorHAnsi" w:cstheme="majorHAnsi"/>
          <w:bCs/>
          <w:sz w:val="16"/>
          <w:szCs w:val="16"/>
          <w:lang w:val="ro-MD"/>
        </w:rPr>
        <w:t>(Credit No. 5470-MD) Acordul de finanțare dintre Republica Moldova și Asociația Internațională pentru Dezvoltare</w:t>
      </w:r>
      <w:r w:rsidRPr="00FF273E">
        <w:rPr>
          <w:rFonts w:asciiTheme="majorHAnsi" w:eastAsia="Calibri" w:hAnsiTheme="majorHAnsi" w:cstheme="majorHAnsi"/>
          <w:bCs/>
          <w:sz w:val="16"/>
          <w:szCs w:val="16"/>
          <w:lang w:val="ro-MD"/>
        </w:rPr>
        <w:t xml:space="preserve"> din 11.07.2014</w:t>
      </w:r>
      <w:r>
        <w:rPr>
          <w:rFonts w:asciiTheme="majorHAnsi" w:eastAsia="Calibri" w:hAnsiTheme="majorHAnsi" w:cstheme="majorHAnsi"/>
          <w:bCs/>
          <w:sz w:val="16"/>
          <w:szCs w:val="16"/>
          <w:lang w:val="ro-MD"/>
        </w:rPr>
        <w:t>.</w:t>
      </w:r>
    </w:p>
  </w:footnote>
  <w:footnote w:id="23">
    <w:p w14:paraId="46643D7A" w14:textId="5CCD1C18" w:rsidR="00785129" w:rsidRPr="00742B36" w:rsidRDefault="00785129">
      <w:pPr>
        <w:pStyle w:val="FootnoteText"/>
        <w:rPr>
          <w:rFonts w:asciiTheme="majorHAnsi" w:hAnsiTheme="majorHAnsi"/>
          <w:sz w:val="18"/>
          <w:szCs w:val="18"/>
          <w:lang w:val="ro-RO"/>
        </w:rPr>
      </w:pPr>
      <w:r w:rsidRPr="00742B36">
        <w:rPr>
          <w:rStyle w:val="FootnoteReference"/>
          <w:rFonts w:asciiTheme="majorHAnsi" w:hAnsiTheme="majorHAnsi"/>
          <w:sz w:val="16"/>
          <w:szCs w:val="18"/>
        </w:rPr>
        <w:footnoteRef/>
      </w:r>
      <w:r w:rsidRPr="00742B36">
        <w:rPr>
          <w:rFonts w:asciiTheme="majorHAnsi" w:hAnsiTheme="majorHAnsi"/>
          <w:sz w:val="16"/>
          <w:szCs w:val="18"/>
        </w:rPr>
        <w:t xml:space="preserve"> </w:t>
      </w:r>
      <w:r>
        <w:rPr>
          <w:rFonts w:asciiTheme="majorHAnsi" w:eastAsia="Times New Roman" w:hAnsiTheme="majorHAnsi" w:cstheme="majorHAnsi"/>
          <w:sz w:val="16"/>
          <w:szCs w:val="18"/>
          <w:lang w:val="ro-MD"/>
        </w:rPr>
        <w:t>A</w:t>
      </w:r>
      <w:r w:rsidRPr="00742B36">
        <w:rPr>
          <w:rFonts w:asciiTheme="majorHAnsi" w:eastAsia="Times New Roman" w:hAnsiTheme="majorHAnsi" w:cstheme="majorHAnsi"/>
          <w:sz w:val="16"/>
          <w:szCs w:val="18"/>
          <w:lang w:val="ro-MD"/>
        </w:rPr>
        <w:t>rt. 25 din Legea finanțelor publice și responsabilității bugetar-fiscale nr.181 din 25.07.2014</w:t>
      </w:r>
      <w:r>
        <w:rPr>
          <w:rFonts w:asciiTheme="majorHAnsi" w:eastAsia="Times New Roman" w:hAnsiTheme="majorHAnsi" w:cstheme="majorHAnsi"/>
          <w:sz w:val="16"/>
          <w:szCs w:val="18"/>
          <w:lang w:val="ro-MD"/>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5F5DD" w14:textId="591F4B85" w:rsidR="00785129" w:rsidRPr="00633617" w:rsidRDefault="00785129" w:rsidP="00633617">
    <w:pPr>
      <w:pStyle w:val="Header"/>
      <w:jc w:val="right"/>
      <w:rPr>
        <w:rFonts w:asciiTheme="majorHAnsi" w:hAnsiTheme="majorHAnsi" w:cstheme="majorHAns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8F029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E29B8"/>
    <w:multiLevelType w:val="multilevel"/>
    <w:tmpl w:val="518A6BA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8391571"/>
    <w:multiLevelType w:val="multilevel"/>
    <w:tmpl w:val="A52C0652"/>
    <w:lvl w:ilvl="0">
      <w:start w:val="4"/>
      <w:numFmt w:val="decimal"/>
      <w:lvlText w:val="%1."/>
      <w:lvlJc w:val="left"/>
      <w:pPr>
        <w:ind w:left="440" w:hanging="440"/>
      </w:pPr>
      <w:rPr>
        <w:rFonts w:hint="default"/>
      </w:rPr>
    </w:lvl>
    <w:lvl w:ilvl="1">
      <w:start w:val="1"/>
      <w:numFmt w:val="decimal"/>
      <w:lvlText w:val="%1.%2."/>
      <w:lvlJc w:val="left"/>
      <w:pPr>
        <w:ind w:left="5824" w:hanging="720"/>
      </w:pPr>
      <w:rPr>
        <w:rFonts w:hint="default"/>
      </w:rPr>
    </w:lvl>
    <w:lvl w:ilvl="2">
      <w:start w:val="1"/>
      <w:numFmt w:val="decimal"/>
      <w:lvlText w:val="%1.%2.%3."/>
      <w:lvlJc w:val="left"/>
      <w:pPr>
        <w:ind w:left="11212" w:hanging="720"/>
      </w:pPr>
      <w:rPr>
        <w:rFonts w:hint="default"/>
      </w:rPr>
    </w:lvl>
    <w:lvl w:ilvl="3">
      <w:start w:val="1"/>
      <w:numFmt w:val="decimal"/>
      <w:lvlText w:val="%1.%2.%3.%4."/>
      <w:lvlJc w:val="left"/>
      <w:pPr>
        <w:ind w:left="16818" w:hanging="1080"/>
      </w:pPr>
      <w:rPr>
        <w:rFonts w:hint="default"/>
      </w:rPr>
    </w:lvl>
    <w:lvl w:ilvl="4">
      <w:start w:val="1"/>
      <w:numFmt w:val="decimal"/>
      <w:lvlText w:val="%1.%2.%3.%4.%5."/>
      <w:lvlJc w:val="left"/>
      <w:pPr>
        <w:ind w:left="22064" w:hanging="1080"/>
      </w:pPr>
      <w:rPr>
        <w:rFonts w:hint="default"/>
      </w:rPr>
    </w:lvl>
    <w:lvl w:ilvl="5">
      <w:start w:val="1"/>
      <w:numFmt w:val="decimal"/>
      <w:lvlText w:val="%1.%2.%3.%4.%5.%6."/>
      <w:lvlJc w:val="left"/>
      <w:pPr>
        <w:ind w:left="27670" w:hanging="1440"/>
      </w:pPr>
      <w:rPr>
        <w:rFonts w:hint="default"/>
      </w:rPr>
    </w:lvl>
    <w:lvl w:ilvl="6">
      <w:start w:val="1"/>
      <w:numFmt w:val="decimal"/>
      <w:lvlText w:val="%1.%2.%3.%4.%5.%6.%7."/>
      <w:lvlJc w:val="left"/>
      <w:pPr>
        <w:ind w:left="-32620" w:hanging="1440"/>
      </w:pPr>
      <w:rPr>
        <w:rFonts w:hint="default"/>
      </w:rPr>
    </w:lvl>
    <w:lvl w:ilvl="7">
      <w:start w:val="1"/>
      <w:numFmt w:val="decimal"/>
      <w:lvlText w:val="%1.%2.%3.%4.%5.%6.%7.%8."/>
      <w:lvlJc w:val="left"/>
      <w:pPr>
        <w:ind w:left="-27014" w:hanging="1800"/>
      </w:pPr>
      <w:rPr>
        <w:rFonts w:hint="default"/>
      </w:rPr>
    </w:lvl>
    <w:lvl w:ilvl="8">
      <w:start w:val="1"/>
      <w:numFmt w:val="decimal"/>
      <w:lvlText w:val="%1.%2.%3.%4.%5.%6.%7.%8.%9."/>
      <w:lvlJc w:val="left"/>
      <w:pPr>
        <w:ind w:left="-21408" w:hanging="2160"/>
      </w:pPr>
      <w:rPr>
        <w:rFonts w:hint="default"/>
      </w:rPr>
    </w:lvl>
  </w:abstractNum>
  <w:abstractNum w:abstractNumId="3" w15:restartNumberingAfterBreak="0">
    <w:nsid w:val="0CFA07E6"/>
    <w:multiLevelType w:val="multilevel"/>
    <w:tmpl w:val="2B42DE5A"/>
    <w:lvl w:ilvl="0">
      <w:start w:val="5"/>
      <w:numFmt w:val="decimal"/>
      <w:lvlText w:val="%1."/>
      <w:lvlJc w:val="left"/>
      <w:pPr>
        <w:ind w:left="396" w:hanging="396"/>
      </w:pPr>
      <w:rPr>
        <w:rFonts w:hint="default"/>
      </w:rPr>
    </w:lvl>
    <w:lvl w:ilvl="1">
      <w:start w:val="1"/>
      <w:numFmt w:val="decimal"/>
      <w:lvlText w:val="%1.%2."/>
      <w:lvlJc w:val="left"/>
      <w:pPr>
        <w:ind w:left="6634" w:hanging="396"/>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7C574B"/>
    <w:multiLevelType w:val="hybridMultilevel"/>
    <w:tmpl w:val="CE6A39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65D54"/>
    <w:multiLevelType w:val="hybridMultilevel"/>
    <w:tmpl w:val="E8E2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191C"/>
    <w:multiLevelType w:val="multilevel"/>
    <w:tmpl w:val="B8229C08"/>
    <w:lvl w:ilvl="0">
      <w:start w:val="4"/>
      <w:numFmt w:val="decimal"/>
      <w:lvlText w:val="%1."/>
      <w:lvlJc w:val="left"/>
      <w:pPr>
        <w:ind w:left="396" w:hanging="396"/>
      </w:pPr>
      <w:rPr>
        <w:rFonts w:hint="default"/>
      </w:rPr>
    </w:lvl>
    <w:lvl w:ilvl="1">
      <w:start w:val="1"/>
      <w:numFmt w:val="decimal"/>
      <w:lvlText w:val="%1.%2."/>
      <w:lvlJc w:val="left"/>
      <w:pPr>
        <w:ind w:left="538" w:hanging="39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AA4182"/>
    <w:multiLevelType w:val="multilevel"/>
    <w:tmpl w:val="9ECA24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A76518"/>
    <w:multiLevelType w:val="hybridMultilevel"/>
    <w:tmpl w:val="4E847486"/>
    <w:lvl w:ilvl="0" w:tplc="71B4A6A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97C40"/>
    <w:multiLevelType w:val="hybridMultilevel"/>
    <w:tmpl w:val="9712056C"/>
    <w:lvl w:ilvl="0" w:tplc="654ECB44">
      <w:start w:val="1"/>
      <w:numFmt w:val="decimal"/>
      <w:pStyle w:val="NormalAriel"/>
      <w:lvlText w:val="%1."/>
      <w:lvlJc w:val="left"/>
      <w:pPr>
        <w:tabs>
          <w:tab w:val="num" w:pos="140"/>
        </w:tabs>
        <w:ind w:left="350" w:hanging="170"/>
      </w:pPr>
      <w:rPr>
        <w:rFonts w:hint="default"/>
        <w:b/>
        <w:sz w:val="28"/>
        <w:szCs w:val="28"/>
      </w:rPr>
    </w:lvl>
    <w:lvl w:ilvl="1" w:tplc="0419000F">
      <w:start w:val="1"/>
      <w:numFmt w:val="decimal"/>
      <w:lvlText w:val="%2."/>
      <w:lvlJc w:val="left"/>
      <w:pPr>
        <w:tabs>
          <w:tab w:val="num" w:pos="730"/>
        </w:tabs>
        <w:ind w:left="730" w:hanging="360"/>
      </w:pPr>
      <w:rPr>
        <w:rFonts w:hint="default"/>
        <w:sz w:val="22"/>
        <w:szCs w:val="22"/>
      </w:rPr>
    </w:lvl>
    <w:lvl w:ilvl="2" w:tplc="DCF68850">
      <w:start w:val="5"/>
      <w:numFmt w:val="lowerLetter"/>
      <w:lvlText w:val="%3."/>
      <w:lvlJc w:val="left"/>
      <w:pPr>
        <w:tabs>
          <w:tab w:val="num" w:pos="1630"/>
        </w:tabs>
        <w:ind w:left="1630" w:hanging="360"/>
      </w:pPr>
      <w:rPr>
        <w:rFonts w:hint="default"/>
      </w:rPr>
    </w:lvl>
    <w:lvl w:ilvl="3" w:tplc="0419000F" w:tentative="1">
      <w:start w:val="1"/>
      <w:numFmt w:val="decimal"/>
      <w:lvlText w:val="%4."/>
      <w:lvlJc w:val="left"/>
      <w:pPr>
        <w:tabs>
          <w:tab w:val="num" w:pos="2170"/>
        </w:tabs>
        <w:ind w:left="2170" w:hanging="360"/>
      </w:pPr>
    </w:lvl>
    <w:lvl w:ilvl="4" w:tplc="04190019" w:tentative="1">
      <w:start w:val="1"/>
      <w:numFmt w:val="lowerLetter"/>
      <w:lvlText w:val="%5."/>
      <w:lvlJc w:val="left"/>
      <w:pPr>
        <w:tabs>
          <w:tab w:val="num" w:pos="2890"/>
        </w:tabs>
        <w:ind w:left="2890" w:hanging="360"/>
      </w:pPr>
    </w:lvl>
    <w:lvl w:ilvl="5" w:tplc="0419001B" w:tentative="1">
      <w:start w:val="1"/>
      <w:numFmt w:val="lowerRoman"/>
      <w:lvlText w:val="%6."/>
      <w:lvlJc w:val="right"/>
      <w:pPr>
        <w:tabs>
          <w:tab w:val="num" w:pos="3610"/>
        </w:tabs>
        <w:ind w:left="3610" w:hanging="180"/>
      </w:pPr>
    </w:lvl>
    <w:lvl w:ilvl="6" w:tplc="0419000F" w:tentative="1">
      <w:start w:val="1"/>
      <w:numFmt w:val="decimal"/>
      <w:lvlText w:val="%7."/>
      <w:lvlJc w:val="left"/>
      <w:pPr>
        <w:tabs>
          <w:tab w:val="num" w:pos="4330"/>
        </w:tabs>
        <w:ind w:left="4330" w:hanging="360"/>
      </w:pPr>
    </w:lvl>
    <w:lvl w:ilvl="7" w:tplc="04190019" w:tentative="1">
      <w:start w:val="1"/>
      <w:numFmt w:val="lowerLetter"/>
      <w:lvlText w:val="%8."/>
      <w:lvlJc w:val="left"/>
      <w:pPr>
        <w:tabs>
          <w:tab w:val="num" w:pos="5050"/>
        </w:tabs>
        <w:ind w:left="5050" w:hanging="360"/>
      </w:pPr>
    </w:lvl>
    <w:lvl w:ilvl="8" w:tplc="0419001B" w:tentative="1">
      <w:start w:val="1"/>
      <w:numFmt w:val="lowerRoman"/>
      <w:lvlText w:val="%9."/>
      <w:lvlJc w:val="right"/>
      <w:pPr>
        <w:tabs>
          <w:tab w:val="num" w:pos="5770"/>
        </w:tabs>
        <w:ind w:left="5770" w:hanging="180"/>
      </w:pPr>
    </w:lvl>
  </w:abstractNum>
  <w:abstractNum w:abstractNumId="10" w15:restartNumberingAfterBreak="0">
    <w:nsid w:val="404A0F66"/>
    <w:multiLevelType w:val="multilevel"/>
    <w:tmpl w:val="97BA440A"/>
    <w:lvl w:ilvl="0">
      <w:start w:val="6"/>
      <w:numFmt w:val="decimal"/>
      <w:lvlText w:val="%1."/>
      <w:lvlJc w:val="left"/>
      <w:pPr>
        <w:ind w:left="396" w:hanging="396"/>
      </w:pPr>
      <w:rPr>
        <w:rFonts w:hint="default"/>
      </w:rPr>
    </w:lvl>
    <w:lvl w:ilvl="1">
      <w:start w:val="1"/>
      <w:numFmt w:val="decimal"/>
      <w:lvlText w:val="%1.%2."/>
      <w:lvlJc w:val="left"/>
      <w:pPr>
        <w:ind w:left="396" w:hanging="39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AC3B1B"/>
    <w:multiLevelType w:val="hybridMultilevel"/>
    <w:tmpl w:val="821269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96D7C"/>
    <w:multiLevelType w:val="multilevel"/>
    <w:tmpl w:val="6D7C95A6"/>
    <w:lvl w:ilvl="0">
      <w:start w:val="1"/>
      <w:numFmt w:val="upperRoman"/>
      <w:pStyle w:val="Heading1"/>
      <w:lvlText w:val="%1."/>
      <w:lvlJc w:val="left"/>
      <w:pPr>
        <w:ind w:left="1495" w:hanging="360"/>
      </w:pPr>
      <w:rPr>
        <w:rFonts w:asciiTheme="majorHAnsi" w:hAnsiTheme="majorHAnsi" w:cstheme="majorHAnsi" w:hint="default"/>
        <w:b/>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1.%2"/>
      <w:lvlJc w:val="left"/>
      <w:pPr>
        <w:ind w:left="150" w:hanging="576"/>
      </w:pPr>
      <w:rPr>
        <w:rFonts w:hint="default"/>
      </w:rPr>
    </w:lvl>
    <w:lvl w:ilvl="2">
      <w:start w:val="1"/>
      <w:numFmt w:val="decimal"/>
      <w:lvlText w:val="%1.%2.%3"/>
      <w:lvlJc w:val="left"/>
      <w:pPr>
        <w:ind w:left="294" w:hanging="720"/>
      </w:pPr>
      <w:rPr>
        <w:rFonts w:hint="default"/>
        <w:lang w:val="ro-MD"/>
      </w:rPr>
    </w:lvl>
    <w:lvl w:ilvl="3">
      <w:start w:val="1"/>
      <w:numFmt w:val="decimal"/>
      <w:pStyle w:val="Heading4"/>
      <w:lvlText w:val="%1.%2.%3.%4"/>
      <w:lvlJc w:val="left"/>
      <w:pPr>
        <w:ind w:left="438" w:hanging="864"/>
      </w:pPr>
      <w:rPr>
        <w:rFonts w:hint="default"/>
      </w:rPr>
    </w:lvl>
    <w:lvl w:ilvl="4">
      <w:start w:val="1"/>
      <w:numFmt w:val="decimal"/>
      <w:pStyle w:val="Heading5"/>
      <w:lvlText w:val="%1.%2.%3.%4.%5"/>
      <w:lvlJc w:val="left"/>
      <w:pPr>
        <w:ind w:left="582" w:hanging="1008"/>
      </w:pPr>
      <w:rPr>
        <w:rFonts w:hint="default"/>
      </w:rPr>
    </w:lvl>
    <w:lvl w:ilvl="5">
      <w:start w:val="1"/>
      <w:numFmt w:val="decimal"/>
      <w:pStyle w:val="Heading6"/>
      <w:lvlText w:val="%1.%2.%3.%4.%5.%6"/>
      <w:lvlJc w:val="left"/>
      <w:pPr>
        <w:ind w:left="726" w:hanging="1152"/>
      </w:pPr>
      <w:rPr>
        <w:rFonts w:hint="default"/>
      </w:rPr>
    </w:lvl>
    <w:lvl w:ilvl="6">
      <w:start w:val="1"/>
      <w:numFmt w:val="decimal"/>
      <w:pStyle w:val="Heading7"/>
      <w:lvlText w:val="%1.%2.%3.%4.%5.%6.%7"/>
      <w:lvlJc w:val="left"/>
      <w:pPr>
        <w:ind w:left="870" w:hanging="1296"/>
      </w:pPr>
      <w:rPr>
        <w:rFonts w:hint="default"/>
      </w:rPr>
    </w:lvl>
    <w:lvl w:ilvl="7">
      <w:start w:val="1"/>
      <w:numFmt w:val="decimal"/>
      <w:pStyle w:val="Heading8"/>
      <w:lvlText w:val="%1.%2.%3.%4.%5.%6.%7.%8"/>
      <w:lvlJc w:val="left"/>
      <w:pPr>
        <w:ind w:left="1014" w:hanging="1440"/>
      </w:pPr>
      <w:rPr>
        <w:rFonts w:hint="default"/>
      </w:rPr>
    </w:lvl>
    <w:lvl w:ilvl="8">
      <w:start w:val="1"/>
      <w:numFmt w:val="decimal"/>
      <w:pStyle w:val="Heading9"/>
      <w:lvlText w:val="%1.%2.%3.%4.%5.%6.%7.%8.%9"/>
      <w:lvlJc w:val="left"/>
      <w:pPr>
        <w:ind w:left="1158" w:hanging="1584"/>
      </w:pPr>
      <w:rPr>
        <w:rFonts w:hint="default"/>
      </w:rPr>
    </w:lvl>
  </w:abstractNum>
  <w:abstractNum w:abstractNumId="13" w15:restartNumberingAfterBreak="0">
    <w:nsid w:val="4D93496E"/>
    <w:multiLevelType w:val="hybridMultilevel"/>
    <w:tmpl w:val="9EF24FD6"/>
    <w:lvl w:ilvl="0" w:tplc="041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2020B9"/>
    <w:multiLevelType w:val="hybridMultilevel"/>
    <w:tmpl w:val="3E8E1F70"/>
    <w:lvl w:ilvl="0" w:tplc="114A8E36">
      <w:start w:val="1"/>
      <w:numFmt w:val="decimal"/>
      <w:lvlText w:val="%1."/>
      <w:lvlJc w:val="left"/>
      <w:pPr>
        <w:ind w:left="720" w:hanging="360"/>
      </w:pPr>
      <w:rPr>
        <w:rFonts w:eastAsiaTheme="majorEastAsia"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2D1CD4"/>
    <w:multiLevelType w:val="multilevel"/>
    <w:tmpl w:val="1D0A651C"/>
    <w:lvl w:ilvl="0">
      <w:start w:val="5"/>
      <w:numFmt w:val="decimal"/>
      <w:lvlText w:val="%1."/>
      <w:lvlJc w:val="left"/>
      <w:pPr>
        <w:ind w:left="504" w:hanging="504"/>
      </w:pPr>
      <w:rPr>
        <w:rFonts w:hint="default"/>
        <w:sz w:val="32"/>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32"/>
      </w:rPr>
    </w:lvl>
    <w:lvl w:ilvl="3">
      <w:start w:val="1"/>
      <w:numFmt w:val="decimal"/>
      <w:lvlText w:val="%1.%2.%3.%4."/>
      <w:lvlJc w:val="left"/>
      <w:pPr>
        <w:ind w:left="2160" w:hanging="1080"/>
      </w:pPr>
      <w:rPr>
        <w:rFonts w:hint="default"/>
        <w:sz w:val="32"/>
      </w:rPr>
    </w:lvl>
    <w:lvl w:ilvl="4">
      <w:start w:val="1"/>
      <w:numFmt w:val="decimal"/>
      <w:lvlText w:val="%1.%2.%3.%4.%5."/>
      <w:lvlJc w:val="left"/>
      <w:pPr>
        <w:ind w:left="2520" w:hanging="1080"/>
      </w:pPr>
      <w:rPr>
        <w:rFonts w:hint="default"/>
        <w:sz w:val="32"/>
      </w:rPr>
    </w:lvl>
    <w:lvl w:ilvl="5">
      <w:start w:val="1"/>
      <w:numFmt w:val="decimal"/>
      <w:lvlText w:val="%1.%2.%3.%4.%5.%6."/>
      <w:lvlJc w:val="left"/>
      <w:pPr>
        <w:ind w:left="3240" w:hanging="1440"/>
      </w:pPr>
      <w:rPr>
        <w:rFonts w:hint="default"/>
        <w:sz w:val="32"/>
      </w:rPr>
    </w:lvl>
    <w:lvl w:ilvl="6">
      <w:start w:val="1"/>
      <w:numFmt w:val="decimal"/>
      <w:lvlText w:val="%1.%2.%3.%4.%5.%6.%7."/>
      <w:lvlJc w:val="left"/>
      <w:pPr>
        <w:ind w:left="3960" w:hanging="1800"/>
      </w:pPr>
      <w:rPr>
        <w:rFonts w:hint="default"/>
        <w:sz w:val="32"/>
      </w:rPr>
    </w:lvl>
    <w:lvl w:ilvl="7">
      <w:start w:val="1"/>
      <w:numFmt w:val="decimal"/>
      <w:lvlText w:val="%1.%2.%3.%4.%5.%6.%7.%8."/>
      <w:lvlJc w:val="left"/>
      <w:pPr>
        <w:ind w:left="4320" w:hanging="1800"/>
      </w:pPr>
      <w:rPr>
        <w:rFonts w:hint="default"/>
        <w:sz w:val="32"/>
      </w:rPr>
    </w:lvl>
    <w:lvl w:ilvl="8">
      <w:start w:val="1"/>
      <w:numFmt w:val="decimal"/>
      <w:lvlText w:val="%1.%2.%3.%4.%5.%6.%7.%8.%9."/>
      <w:lvlJc w:val="left"/>
      <w:pPr>
        <w:ind w:left="5040" w:hanging="2160"/>
      </w:pPr>
      <w:rPr>
        <w:rFonts w:hint="default"/>
        <w:sz w:val="32"/>
      </w:rPr>
    </w:lvl>
  </w:abstractNum>
  <w:abstractNum w:abstractNumId="16" w15:restartNumberingAfterBreak="0">
    <w:nsid w:val="64DF0335"/>
    <w:multiLevelType w:val="multilevel"/>
    <w:tmpl w:val="E6F2888A"/>
    <w:lvl w:ilvl="0">
      <w:start w:val="6"/>
      <w:numFmt w:val="decimal"/>
      <w:lvlText w:val="%1."/>
      <w:lvlJc w:val="left"/>
      <w:pPr>
        <w:ind w:left="396" w:hanging="396"/>
      </w:pPr>
      <w:rPr>
        <w:rFonts w:hint="default"/>
      </w:rPr>
    </w:lvl>
    <w:lvl w:ilvl="1">
      <w:start w:val="1"/>
      <w:numFmt w:val="decimal"/>
      <w:lvlText w:val="%1.%2."/>
      <w:lvlJc w:val="left"/>
      <w:pPr>
        <w:ind w:left="396" w:hanging="396"/>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C6037A"/>
    <w:multiLevelType w:val="hybridMultilevel"/>
    <w:tmpl w:val="0F42920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8" w15:restartNumberingAfterBreak="0">
    <w:nsid w:val="71714B13"/>
    <w:multiLevelType w:val="multilevel"/>
    <w:tmpl w:val="B7885842"/>
    <w:lvl w:ilvl="0">
      <w:start w:val="4"/>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11485C"/>
    <w:multiLevelType w:val="hybridMultilevel"/>
    <w:tmpl w:val="4B1E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242D09"/>
    <w:multiLevelType w:val="hybridMultilevel"/>
    <w:tmpl w:val="EFA2CC8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2"/>
  </w:num>
  <w:num w:numId="2">
    <w:abstractNumId w:val="0"/>
  </w:num>
  <w:num w:numId="3">
    <w:abstractNumId w:val="12"/>
    <w:lvlOverride w:ilvl="0">
      <w:startOverride w:val="1"/>
    </w:lvlOverride>
  </w:num>
  <w:num w:numId="4">
    <w:abstractNumId w:val="9"/>
  </w:num>
  <w:num w:numId="5">
    <w:abstractNumId w:val="6"/>
  </w:num>
  <w:num w:numId="6">
    <w:abstractNumId w:val="3"/>
  </w:num>
  <w:num w:numId="7">
    <w:abstractNumId w:val="1"/>
  </w:num>
  <w:num w:numId="8">
    <w:abstractNumId w:val="12"/>
    <w:lvlOverride w:ilvl="0">
      <w:startOverride w:val="1"/>
    </w:lvlOverride>
  </w:num>
  <w:num w:numId="9">
    <w:abstractNumId w:val="2"/>
  </w:num>
  <w:num w:numId="10">
    <w:abstractNumId w:val="5"/>
  </w:num>
  <w:num w:numId="11">
    <w:abstractNumId w:val="8"/>
  </w:num>
  <w:num w:numId="12">
    <w:abstractNumId w:val="17"/>
  </w:num>
  <w:num w:numId="13">
    <w:abstractNumId w:val="12"/>
    <w:lvlOverride w:ilvl="0">
      <w:startOverride w:val="1"/>
    </w:lvlOverride>
  </w:num>
  <w:num w:numId="14">
    <w:abstractNumId w:val="7"/>
  </w:num>
  <w:num w:numId="15">
    <w:abstractNumId w:val="12"/>
  </w:num>
  <w:num w:numId="16">
    <w:abstractNumId w:val="4"/>
  </w:num>
  <w:num w:numId="17">
    <w:abstractNumId w:val="11"/>
  </w:num>
  <w:num w:numId="18">
    <w:abstractNumId w:val="13"/>
  </w:num>
  <w:num w:numId="19">
    <w:abstractNumId w:val="19"/>
  </w:num>
  <w:num w:numId="20">
    <w:abstractNumId w:val="18"/>
  </w:num>
  <w:num w:numId="21">
    <w:abstractNumId w:val="10"/>
  </w:num>
  <w:num w:numId="22">
    <w:abstractNumId w:val="14"/>
  </w:num>
  <w:num w:numId="23">
    <w:abstractNumId w:val="15"/>
  </w:num>
  <w:num w:numId="24">
    <w:abstractNumId w:val="20"/>
  </w:num>
  <w:num w:numId="2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71B"/>
    <w:rsid w:val="00000350"/>
    <w:rsid w:val="00000E68"/>
    <w:rsid w:val="00002144"/>
    <w:rsid w:val="000028CF"/>
    <w:rsid w:val="00005F8E"/>
    <w:rsid w:val="000061F7"/>
    <w:rsid w:val="00006DA2"/>
    <w:rsid w:val="00006EB2"/>
    <w:rsid w:val="00006FD7"/>
    <w:rsid w:val="000115DD"/>
    <w:rsid w:val="000136F8"/>
    <w:rsid w:val="00013A19"/>
    <w:rsid w:val="00014B93"/>
    <w:rsid w:val="00014C7B"/>
    <w:rsid w:val="00015A96"/>
    <w:rsid w:val="00015D7F"/>
    <w:rsid w:val="000170A9"/>
    <w:rsid w:val="00017A4C"/>
    <w:rsid w:val="00017C4D"/>
    <w:rsid w:val="00017D97"/>
    <w:rsid w:val="00020096"/>
    <w:rsid w:val="00020FF2"/>
    <w:rsid w:val="0002269E"/>
    <w:rsid w:val="0002324C"/>
    <w:rsid w:val="00023CDF"/>
    <w:rsid w:val="00023EBA"/>
    <w:rsid w:val="00025273"/>
    <w:rsid w:val="000252BE"/>
    <w:rsid w:val="000253E0"/>
    <w:rsid w:val="0002541D"/>
    <w:rsid w:val="0002557C"/>
    <w:rsid w:val="00027F5D"/>
    <w:rsid w:val="000310F3"/>
    <w:rsid w:val="00031A79"/>
    <w:rsid w:val="00033878"/>
    <w:rsid w:val="00033BD8"/>
    <w:rsid w:val="00033FD7"/>
    <w:rsid w:val="00035B1B"/>
    <w:rsid w:val="00035C9F"/>
    <w:rsid w:val="000375D1"/>
    <w:rsid w:val="00037BE6"/>
    <w:rsid w:val="00037F7E"/>
    <w:rsid w:val="00041281"/>
    <w:rsid w:val="00041921"/>
    <w:rsid w:val="000461CE"/>
    <w:rsid w:val="00046F8C"/>
    <w:rsid w:val="00050A6B"/>
    <w:rsid w:val="00050C76"/>
    <w:rsid w:val="00051267"/>
    <w:rsid w:val="00051823"/>
    <w:rsid w:val="00051C5A"/>
    <w:rsid w:val="00052AA8"/>
    <w:rsid w:val="0005390B"/>
    <w:rsid w:val="000539FA"/>
    <w:rsid w:val="0005584E"/>
    <w:rsid w:val="00055D36"/>
    <w:rsid w:val="000564F5"/>
    <w:rsid w:val="000575A6"/>
    <w:rsid w:val="00057FE8"/>
    <w:rsid w:val="000614C5"/>
    <w:rsid w:val="00061B3D"/>
    <w:rsid w:val="00061CA5"/>
    <w:rsid w:val="00063105"/>
    <w:rsid w:val="0006329E"/>
    <w:rsid w:val="000659AF"/>
    <w:rsid w:val="00065B86"/>
    <w:rsid w:val="00065D92"/>
    <w:rsid w:val="0006714D"/>
    <w:rsid w:val="00067BE2"/>
    <w:rsid w:val="00070BB4"/>
    <w:rsid w:val="00071F7D"/>
    <w:rsid w:val="00073718"/>
    <w:rsid w:val="0007590A"/>
    <w:rsid w:val="00075C38"/>
    <w:rsid w:val="00076131"/>
    <w:rsid w:val="00077F7C"/>
    <w:rsid w:val="000810D9"/>
    <w:rsid w:val="00082A9F"/>
    <w:rsid w:val="0008308F"/>
    <w:rsid w:val="000836D1"/>
    <w:rsid w:val="0008385F"/>
    <w:rsid w:val="00084055"/>
    <w:rsid w:val="00084691"/>
    <w:rsid w:val="0008699F"/>
    <w:rsid w:val="00087C72"/>
    <w:rsid w:val="000901A2"/>
    <w:rsid w:val="000912A7"/>
    <w:rsid w:val="00091577"/>
    <w:rsid w:val="00091E54"/>
    <w:rsid w:val="000924B7"/>
    <w:rsid w:val="000929E5"/>
    <w:rsid w:val="00092E52"/>
    <w:rsid w:val="00092EF3"/>
    <w:rsid w:val="000A0079"/>
    <w:rsid w:val="000A00C7"/>
    <w:rsid w:val="000A077B"/>
    <w:rsid w:val="000A07E1"/>
    <w:rsid w:val="000A0AE4"/>
    <w:rsid w:val="000A1187"/>
    <w:rsid w:val="000A1E32"/>
    <w:rsid w:val="000A4A11"/>
    <w:rsid w:val="000A5439"/>
    <w:rsid w:val="000A61D3"/>
    <w:rsid w:val="000A7754"/>
    <w:rsid w:val="000A7C6C"/>
    <w:rsid w:val="000B07CF"/>
    <w:rsid w:val="000B0814"/>
    <w:rsid w:val="000B12C1"/>
    <w:rsid w:val="000B14FF"/>
    <w:rsid w:val="000B29EC"/>
    <w:rsid w:val="000B48CC"/>
    <w:rsid w:val="000B4D49"/>
    <w:rsid w:val="000B4FE7"/>
    <w:rsid w:val="000B57A7"/>
    <w:rsid w:val="000B78D7"/>
    <w:rsid w:val="000C0873"/>
    <w:rsid w:val="000C311D"/>
    <w:rsid w:val="000C3423"/>
    <w:rsid w:val="000C40A0"/>
    <w:rsid w:val="000C48DF"/>
    <w:rsid w:val="000C4C1B"/>
    <w:rsid w:val="000C5080"/>
    <w:rsid w:val="000C5D04"/>
    <w:rsid w:val="000C6504"/>
    <w:rsid w:val="000C6A3F"/>
    <w:rsid w:val="000C7A20"/>
    <w:rsid w:val="000D0687"/>
    <w:rsid w:val="000D0DED"/>
    <w:rsid w:val="000D111D"/>
    <w:rsid w:val="000D2D17"/>
    <w:rsid w:val="000D59F0"/>
    <w:rsid w:val="000D647A"/>
    <w:rsid w:val="000D6480"/>
    <w:rsid w:val="000D7483"/>
    <w:rsid w:val="000D7C07"/>
    <w:rsid w:val="000D7F9F"/>
    <w:rsid w:val="000E014A"/>
    <w:rsid w:val="000E0456"/>
    <w:rsid w:val="000E2BD1"/>
    <w:rsid w:val="000E352E"/>
    <w:rsid w:val="000E355F"/>
    <w:rsid w:val="000E60C3"/>
    <w:rsid w:val="000F014E"/>
    <w:rsid w:val="000F1ED6"/>
    <w:rsid w:val="000F2625"/>
    <w:rsid w:val="000F2DA7"/>
    <w:rsid w:val="0010034C"/>
    <w:rsid w:val="00103919"/>
    <w:rsid w:val="00103A00"/>
    <w:rsid w:val="00104DD7"/>
    <w:rsid w:val="00106F3C"/>
    <w:rsid w:val="001074C0"/>
    <w:rsid w:val="00111094"/>
    <w:rsid w:val="00111120"/>
    <w:rsid w:val="0011190C"/>
    <w:rsid w:val="00111F71"/>
    <w:rsid w:val="0011240D"/>
    <w:rsid w:val="00112700"/>
    <w:rsid w:val="00113414"/>
    <w:rsid w:val="00113667"/>
    <w:rsid w:val="00113F8A"/>
    <w:rsid w:val="00114357"/>
    <w:rsid w:val="00114EEB"/>
    <w:rsid w:val="001164AF"/>
    <w:rsid w:val="00116FF2"/>
    <w:rsid w:val="0012029C"/>
    <w:rsid w:val="00120827"/>
    <w:rsid w:val="00123D03"/>
    <w:rsid w:val="00124DA0"/>
    <w:rsid w:val="00125730"/>
    <w:rsid w:val="00126414"/>
    <w:rsid w:val="00126F4A"/>
    <w:rsid w:val="00127637"/>
    <w:rsid w:val="001302B1"/>
    <w:rsid w:val="00130839"/>
    <w:rsid w:val="00130F3E"/>
    <w:rsid w:val="00131F12"/>
    <w:rsid w:val="00133753"/>
    <w:rsid w:val="00133E85"/>
    <w:rsid w:val="001340CF"/>
    <w:rsid w:val="001345EC"/>
    <w:rsid w:val="00134637"/>
    <w:rsid w:val="001346F2"/>
    <w:rsid w:val="00135A5F"/>
    <w:rsid w:val="00135A87"/>
    <w:rsid w:val="00135D48"/>
    <w:rsid w:val="00135F78"/>
    <w:rsid w:val="00135F8D"/>
    <w:rsid w:val="0013701B"/>
    <w:rsid w:val="001379C8"/>
    <w:rsid w:val="00140056"/>
    <w:rsid w:val="001405D9"/>
    <w:rsid w:val="001408E1"/>
    <w:rsid w:val="00140B9F"/>
    <w:rsid w:val="00140BBE"/>
    <w:rsid w:val="00141129"/>
    <w:rsid w:val="0014172A"/>
    <w:rsid w:val="00141B97"/>
    <w:rsid w:val="00142A46"/>
    <w:rsid w:val="00142F87"/>
    <w:rsid w:val="00143141"/>
    <w:rsid w:val="00143DE8"/>
    <w:rsid w:val="00144023"/>
    <w:rsid w:val="00145FD0"/>
    <w:rsid w:val="00146A71"/>
    <w:rsid w:val="001476D7"/>
    <w:rsid w:val="001514AE"/>
    <w:rsid w:val="001528F5"/>
    <w:rsid w:val="00152D68"/>
    <w:rsid w:val="00154435"/>
    <w:rsid w:val="00154CAB"/>
    <w:rsid w:val="0015518F"/>
    <w:rsid w:val="00155CE9"/>
    <w:rsid w:val="0015601C"/>
    <w:rsid w:val="001567A1"/>
    <w:rsid w:val="0016086D"/>
    <w:rsid w:val="00160CCA"/>
    <w:rsid w:val="00162B20"/>
    <w:rsid w:val="00162C93"/>
    <w:rsid w:val="00163FC7"/>
    <w:rsid w:val="00164828"/>
    <w:rsid w:val="0016636E"/>
    <w:rsid w:val="00166CA5"/>
    <w:rsid w:val="00170837"/>
    <w:rsid w:val="001711BE"/>
    <w:rsid w:val="0017194E"/>
    <w:rsid w:val="001721EC"/>
    <w:rsid w:val="0017383F"/>
    <w:rsid w:val="00174302"/>
    <w:rsid w:val="001744E4"/>
    <w:rsid w:val="0017463A"/>
    <w:rsid w:val="001748BA"/>
    <w:rsid w:val="001759B5"/>
    <w:rsid w:val="00175B90"/>
    <w:rsid w:val="00175C64"/>
    <w:rsid w:val="0017677F"/>
    <w:rsid w:val="00177608"/>
    <w:rsid w:val="00177AF4"/>
    <w:rsid w:val="00180072"/>
    <w:rsid w:val="00181E90"/>
    <w:rsid w:val="0018326F"/>
    <w:rsid w:val="0018334C"/>
    <w:rsid w:val="00183358"/>
    <w:rsid w:val="0018363A"/>
    <w:rsid w:val="00183B99"/>
    <w:rsid w:val="00184EA5"/>
    <w:rsid w:val="00184FE9"/>
    <w:rsid w:val="00186D98"/>
    <w:rsid w:val="00186DE4"/>
    <w:rsid w:val="00187C13"/>
    <w:rsid w:val="00187D9E"/>
    <w:rsid w:val="00191359"/>
    <w:rsid w:val="001918F2"/>
    <w:rsid w:val="00193E00"/>
    <w:rsid w:val="001941AA"/>
    <w:rsid w:val="001942BE"/>
    <w:rsid w:val="00195F3C"/>
    <w:rsid w:val="00196180"/>
    <w:rsid w:val="001975CF"/>
    <w:rsid w:val="00197AB6"/>
    <w:rsid w:val="001A0CED"/>
    <w:rsid w:val="001A1408"/>
    <w:rsid w:val="001A1E3F"/>
    <w:rsid w:val="001A3D6B"/>
    <w:rsid w:val="001A4228"/>
    <w:rsid w:val="001A455D"/>
    <w:rsid w:val="001A4F1D"/>
    <w:rsid w:val="001A662E"/>
    <w:rsid w:val="001A6CBE"/>
    <w:rsid w:val="001A6DAB"/>
    <w:rsid w:val="001A79D3"/>
    <w:rsid w:val="001A7A76"/>
    <w:rsid w:val="001B226A"/>
    <w:rsid w:val="001B2CD3"/>
    <w:rsid w:val="001B3423"/>
    <w:rsid w:val="001B3EB7"/>
    <w:rsid w:val="001B4944"/>
    <w:rsid w:val="001B5EFF"/>
    <w:rsid w:val="001B60BE"/>
    <w:rsid w:val="001B648A"/>
    <w:rsid w:val="001B7B76"/>
    <w:rsid w:val="001B7EBA"/>
    <w:rsid w:val="001C018D"/>
    <w:rsid w:val="001C0313"/>
    <w:rsid w:val="001C099E"/>
    <w:rsid w:val="001C1617"/>
    <w:rsid w:val="001C286B"/>
    <w:rsid w:val="001C340C"/>
    <w:rsid w:val="001C40AA"/>
    <w:rsid w:val="001C4E54"/>
    <w:rsid w:val="001C5B43"/>
    <w:rsid w:val="001C636C"/>
    <w:rsid w:val="001C666A"/>
    <w:rsid w:val="001C7005"/>
    <w:rsid w:val="001D3802"/>
    <w:rsid w:val="001D3E1C"/>
    <w:rsid w:val="001D40FA"/>
    <w:rsid w:val="001D42E3"/>
    <w:rsid w:val="001D4BBB"/>
    <w:rsid w:val="001E0291"/>
    <w:rsid w:val="001E1164"/>
    <w:rsid w:val="001E1F26"/>
    <w:rsid w:val="001E225D"/>
    <w:rsid w:val="001E22EF"/>
    <w:rsid w:val="001E4AB1"/>
    <w:rsid w:val="001E5F57"/>
    <w:rsid w:val="001E646D"/>
    <w:rsid w:val="001E6F19"/>
    <w:rsid w:val="001F01CD"/>
    <w:rsid w:val="001F16EA"/>
    <w:rsid w:val="001F3F23"/>
    <w:rsid w:val="001F4838"/>
    <w:rsid w:val="001F51FC"/>
    <w:rsid w:val="001F5D47"/>
    <w:rsid w:val="001F648F"/>
    <w:rsid w:val="001F71E9"/>
    <w:rsid w:val="001F734B"/>
    <w:rsid w:val="001F7DEF"/>
    <w:rsid w:val="00200503"/>
    <w:rsid w:val="00200931"/>
    <w:rsid w:val="00200982"/>
    <w:rsid w:val="00201163"/>
    <w:rsid w:val="002012BA"/>
    <w:rsid w:val="00202BE7"/>
    <w:rsid w:val="00202CE7"/>
    <w:rsid w:val="00203C38"/>
    <w:rsid w:val="00206566"/>
    <w:rsid w:val="00207369"/>
    <w:rsid w:val="00207953"/>
    <w:rsid w:val="002117FA"/>
    <w:rsid w:val="00212B56"/>
    <w:rsid w:val="0021311E"/>
    <w:rsid w:val="00215432"/>
    <w:rsid w:val="00215541"/>
    <w:rsid w:val="00215798"/>
    <w:rsid w:val="00216666"/>
    <w:rsid w:val="00216726"/>
    <w:rsid w:val="00216731"/>
    <w:rsid w:val="002179D1"/>
    <w:rsid w:val="00220027"/>
    <w:rsid w:val="00221294"/>
    <w:rsid w:val="0022180C"/>
    <w:rsid w:val="00225209"/>
    <w:rsid w:val="0022538A"/>
    <w:rsid w:val="002258E3"/>
    <w:rsid w:val="002261ED"/>
    <w:rsid w:val="00226AC0"/>
    <w:rsid w:val="00227218"/>
    <w:rsid w:val="00227A94"/>
    <w:rsid w:val="00230113"/>
    <w:rsid w:val="00230836"/>
    <w:rsid w:val="00230888"/>
    <w:rsid w:val="002309B5"/>
    <w:rsid w:val="0023113E"/>
    <w:rsid w:val="00232C4F"/>
    <w:rsid w:val="00233D02"/>
    <w:rsid w:val="002346AD"/>
    <w:rsid w:val="00236F93"/>
    <w:rsid w:val="00236FAF"/>
    <w:rsid w:val="00237BDE"/>
    <w:rsid w:val="00240FA4"/>
    <w:rsid w:val="0024120E"/>
    <w:rsid w:val="002421E0"/>
    <w:rsid w:val="00244B7D"/>
    <w:rsid w:val="00245DAF"/>
    <w:rsid w:val="0024671E"/>
    <w:rsid w:val="00250A5A"/>
    <w:rsid w:val="002516B1"/>
    <w:rsid w:val="00251D05"/>
    <w:rsid w:val="00251DAE"/>
    <w:rsid w:val="00252558"/>
    <w:rsid w:val="00252921"/>
    <w:rsid w:val="0025349F"/>
    <w:rsid w:val="00253637"/>
    <w:rsid w:val="00253F44"/>
    <w:rsid w:val="0025537D"/>
    <w:rsid w:val="0025739C"/>
    <w:rsid w:val="00260031"/>
    <w:rsid w:val="00261955"/>
    <w:rsid w:val="00261C90"/>
    <w:rsid w:val="00262193"/>
    <w:rsid w:val="002630A2"/>
    <w:rsid w:val="00263809"/>
    <w:rsid w:val="002644FA"/>
    <w:rsid w:val="00264505"/>
    <w:rsid w:val="00264C76"/>
    <w:rsid w:val="0026754A"/>
    <w:rsid w:val="00267DDB"/>
    <w:rsid w:val="00270107"/>
    <w:rsid w:val="00270A8F"/>
    <w:rsid w:val="00273401"/>
    <w:rsid w:val="00276589"/>
    <w:rsid w:val="00281D17"/>
    <w:rsid w:val="00283C60"/>
    <w:rsid w:val="00283DE9"/>
    <w:rsid w:val="00284704"/>
    <w:rsid w:val="00284976"/>
    <w:rsid w:val="00284BA2"/>
    <w:rsid w:val="00284E19"/>
    <w:rsid w:val="00286202"/>
    <w:rsid w:val="0028767A"/>
    <w:rsid w:val="00287790"/>
    <w:rsid w:val="00290CC4"/>
    <w:rsid w:val="00291062"/>
    <w:rsid w:val="002912F6"/>
    <w:rsid w:val="0029287B"/>
    <w:rsid w:val="002959A5"/>
    <w:rsid w:val="002A008A"/>
    <w:rsid w:val="002A07C5"/>
    <w:rsid w:val="002A1297"/>
    <w:rsid w:val="002A1339"/>
    <w:rsid w:val="002A14B7"/>
    <w:rsid w:val="002A1F2E"/>
    <w:rsid w:val="002A21AD"/>
    <w:rsid w:val="002A3136"/>
    <w:rsid w:val="002A4595"/>
    <w:rsid w:val="002A4625"/>
    <w:rsid w:val="002A4C40"/>
    <w:rsid w:val="002A6F9B"/>
    <w:rsid w:val="002A740C"/>
    <w:rsid w:val="002A7E46"/>
    <w:rsid w:val="002B0897"/>
    <w:rsid w:val="002B09F0"/>
    <w:rsid w:val="002B15E0"/>
    <w:rsid w:val="002B24DC"/>
    <w:rsid w:val="002B2CB4"/>
    <w:rsid w:val="002B4D08"/>
    <w:rsid w:val="002B5006"/>
    <w:rsid w:val="002B6F8C"/>
    <w:rsid w:val="002C1291"/>
    <w:rsid w:val="002C2E2C"/>
    <w:rsid w:val="002C2FA7"/>
    <w:rsid w:val="002C3058"/>
    <w:rsid w:val="002C307D"/>
    <w:rsid w:val="002C39B4"/>
    <w:rsid w:val="002C44A0"/>
    <w:rsid w:val="002C59C3"/>
    <w:rsid w:val="002C5CAE"/>
    <w:rsid w:val="002C5F3B"/>
    <w:rsid w:val="002C7F0D"/>
    <w:rsid w:val="002D08B1"/>
    <w:rsid w:val="002D3CAC"/>
    <w:rsid w:val="002D4F22"/>
    <w:rsid w:val="002D64F9"/>
    <w:rsid w:val="002D6EE1"/>
    <w:rsid w:val="002D736F"/>
    <w:rsid w:val="002D7455"/>
    <w:rsid w:val="002D7BA6"/>
    <w:rsid w:val="002D7E5B"/>
    <w:rsid w:val="002E333A"/>
    <w:rsid w:val="002E378B"/>
    <w:rsid w:val="002E38F2"/>
    <w:rsid w:val="002E4715"/>
    <w:rsid w:val="002E5ACE"/>
    <w:rsid w:val="002E6AC0"/>
    <w:rsid w:val="002E7550"/>
    <w:rsid w:val="002E7557"/>
    <w:rsid w:val="002E7656"/>
    <w:rsid w:val="002F046E"/>
    <w:rsid w:val="002F0B12"/>
    <w:rsid w:val="002F0DB3"/>
    <w:rsid w:val="002F12D2"/>
    <w:rsid w:val="002F16C3"/>
    <w:rsid w:val="002F1C3C"/>
    <w:rsid w:val="002F26E2"/>
    <w:rsid w:val="002F283A"/>
    <w:rsid w:val="002F3339"/>
    <w:rsid w:val="002F3CF1"/>
    <w:rsid w:val="002F3FD4"/>
    <w:rsid w:val="002F7A49"/>
    <w:rsid w:val="003009D3"/>
    <w:rsid w:val="00301284"/>
    <w:rsid w:val="003020EC"/>
    <w:rsid w:val="003038B4"/>
    <w:rsid w:val="00303B7A"/>
    <w:rsid w:val="00304529"/>
    <w:rsid w:val="00304AB8"/>
    <w:rsid w:val="003050B3"/>
    <w:rsid w:val="00306E53"/>
    <w:rsid w:val="003070E1"/>
    <w:rsid w:val="00307CA5"/>
    <w:rsid w:val="00311EF8"/>
    <w:rsid w:val="003125F4"/>
    <w:rsid w:val="00312C8B"/>
    <w:rsid w:val="00312E4B"/>
    <w:rsid w:val="003133F6"/>
    <w:rsid w:val="003143B6"/>
    <w:rsid w:val="00316192"/>
    <w:rsid w:val="003174BF"/>
    <w:rsid w:val="00323357"/>
    <w:rsid w:val="0032399D"/>
    <w:rsid w:val="0032454D"/>
    <w:rsid w:val="00324A98"/>
    <w:rsid w:val="00324F48"/>
    <w:rsid w:val="00326190"/>
    <w:rsid w:val="00326F6C"/>
    <w:rsid w:val="00327101"/>
    <w:rsid w:val="003275D5"/>
    <w:rsid w:val="00330868"/>
    <w:rsid w:val="00330B0C"/>
    <w:rsid w:val="003315B4"/>
    <w:rsid w:val="00332DE5"/>
    <w:rsid w:val="00333E0C"/>
    <w:rsid w:val="00333E64"/>
    <w:rsid w:val="00334A54"/>
    <w:rsid w:val="003352D1"/>
    <w:rsid w:val="00335437"/>
    <w:rsid w:val="003358CD"/>
    <w:rsid w:val="00337BE2"/>
    <w:rsid w:val="00337E75"/>
    <w:rsid w:val="00337EE0"/>
    <w:rsid w:val="00340832"/>
    <w:rsid w:val="003409C7"/>
    <w:rsid w:val="00341E6C"/>
    <w:rsid w:val="00343A48"/>
    <w:rsid w:val="00344194"/>
    <w:rsid w:val="00345C1B"/>
    <w:rsid w:val="003461B2"/>
    <w:rsid w:val="00347BBB"/>
    <w:rsid w:val="00350075"/>
    <w:rsid w:val="00353F53"/>
    <w:rsid w:val="003546AA"/>
    <w:rsid w:val="00354C29"/>
    <w:rsid w:val="00355794"/>
    <w:rsid w:val="003558B9"/>
    <w:rsid w:val="0035777B"/>
    <w:rsid w:val="00360071"/>
    <w:rsid w:val="00360631"/>
    <w:rsid w:val="00362E1D"/>
    <w:rsid w:val="0036301D"/>
    <w:rsid w:val="003640E8"/>
    <w:rsid w:val="00364482"/>
    <w:rsid w:val="00365726"/>
    <w:rsid w:val="00367318"/>
    <w:rsid w:val="00370551"/>
    <w:rsid w:val="003711D4"/>
    <w:rsid w:val="0037144E"/>
    <w:rsid w:val="00371868"/>
    <w:rsid w:val="00372A14"/>
    <w:rsid w:val="00372E0E"/>
    <w:rsid w:val="00374569"/>
    <w:rsid w:val="00375555"/>
    <w:rsid w:val="003773E8"/>
    <w:rsid w:val="0037782D"/>
    <w:rsid w:val="00377BF2"/>
    <w:rsid w:val="00381D69"/>
    <w:rsid w:val="003823FF"/>
    <w:rsid w:val="00382F0D"/>
    <w:rsid w:val="00383609"/>
    <w:rsid w:val="00383A07"/>
    <w:rsid w:val="00383BC2"/>
    <w:rsid w:val="003840E8"/>
    <w:rsid w:val="0038421F"/>
    <w:rsid w:val="00384CF9"/>
    <w:rsid w:val="00384D11"/>
    <w:rsid w:val="00384E87"/>
    <w:rsid w:val="00385916"/>
    <w:rsid w:val="00390192"/>
    <w:rsid w:val="00390B46"/>
    <w:rsid w:val="00391911"/>
    <w:rsid w:val="00391AB8"/>
    <w:rsid w:val="0039429C"/>
    <w:rsid w:val="00394407"/>
    <w:rsid w:val="00394B9D"/>
    <w:rsid w:val="00394E19"/>
    <w:rsid w:val="00395584"/>
    <w:rsid w:val="003956E1"/>
    <w:rsid w:val="00397C7B"/>
    <w:rsid w:val="003A0308"/>
    <w:rsid w:val="003A190A"/>
    <w:rsid w:val="003A3298"/>
    <w:rsid w:val="003A33D1"/>
    <w:rsid w:val="003A39E3"/>
    <w:rsid w:val="003A4276"/>
    <w:rsid w:val="003A42FD"/>
    <w:rsid w:val="003A498A"/>
    <w:rsid w:val="003A5A5E"/>
    <w:rsid w:val="003A66FD"/>
    <w:rsid w:val="003B02A8"/>
    <w:rsid w:val="003B10CB"/>
    <w:rsid w:val="003B2962"/>
    <w:rsid w:val="003B2AC7"/>
    <w:rsid w:val="003B3BD9"/>
    <w:rsid w:val="003B4A63"/>
    <w:rsid w:val="003B5F3F"/>
    <w:rsid w:val="003B665F"/>
    <w:rsid w:val="003C128C"/>
    <w:rsid w:val="003C1578"/>
    <w:rsid w:val="003C24EF"/>
    <w:rsid w:val="003C2689"/>
    <w:rsid w:val="003C28E4"/>
    <w:rsid w:val="003C3A3E"/>
    <w:rsid w:val="003C4B99"/>
    <w:rsid w:val="003C5136"/>
    <w:rsid w:val="003C521D"/>
    <w:rsid w:val="003C586D"/>
    <w:rsid w:val="003D0C9E"/>
    <w:rsid w:val="003D1A1E"/>
    <w:rsid w:val="003D1C8F"/>
    <w:rsid w:val="003D2103"/>
    <w:rsid w:val="003D22DC"/>
    <w:rsid w:val="003D3301"/>
    <w:rsid w:val="003D3E16"/>
    <w:rsid w:val="003D50B3"/>
    <w:rsid w:val="003D5623"/>
    <w:rsid w:val="003D5B5F"/>
    <w:rsid w:val="003D63C5"/>
    <w:rsid w:val="003D6691"/>
    <w:rsid w:val="003D67A6"/>
    <w:rsid w:val="003D6991"/>
    <w:rsid w:val="003D6EFF"/>
    <w:rsid w:val="003E08FA"/>
    <w:rsid w:val="003E1B2B"/>
    <w:rsid w:val="003E1D79"/>
    <w:rsid w:val="003E2E80"/>
    <w:rsid w:val="003E3ACC"/>
    <w:rsid w:val="003E4CEE"/>
    <w:rsid w:val="003E5719"/>
    <w:rsid w:val="003E6B40"/>
    <w:rsid w:val="003E787F"/>
    <w:rsid w:val="003E7A68"/>
    <w:rsid w:val="003E7E98"/>
    <w:rsid w:val="003F069E"/>
    <w:rsid w:val="003F0815"/>
    <w:rsid w:val="003F0D05"/>
    <w:rsid w:val="003F1A72"/>
    <w:rsid w:val="003F28DF"/>
    <w:rsid w:val="003F2B88"/>
    <w:rsid w:val="003F3CE2"/>
    <w:rsid w:val="003F3FC9"/>
    <w:rsid w:val="003F4DA4"/>
    <w:rsid w:val="003F5ACE"/>
    <w:rsid w:val="003F5CB3"/>
    <w:rsid w:val="00400EF0"/>
    <w:rsid w:val="00402256"/>
    <w:rsid w:val="00402627"/>
    <w:rsid w:val="004029E2"/>
    <w:rsid w:val="00402EE0"/>
    <w:rsid w:val="00403406"/>
    <w:rsid w:val="004035E2"/>
    <w:rsid w:val="004049E8"/>
    <w:rsid w:val="00404F49"/>
    <w:rsid w:val="004059A3"/>
    <w:rsid w:val="0040646E"/>
    <w:rsid w:val="0041015D"/>
    <w:rsid w:val="00410B7F"/>
    <w:rsid w:val="00410BAC"/>
    <w:rsid w:val="00411B77"/>
    <w:rsid w:val="0041209C"/>
    <w:rsid w:val="00413D0E"/>
    <w:rsid w:val="00413D67"/>
    <w:rsid w:val="00414071"/>
    <w:rsid w:val="004146B2"/>
    <w:rsid w:val="0041682F"/>
    <w:rsid w:val="004179CF"/>
    <w:rsid w:val="00420029"/>
    <w:rsid w:val="0042053E"/>
    <w:rsid w:val="00420F4B"/>
    <w:rsid w:val="0042168C"/>
    <w:rsid w:val="0042322E"/>
    <w:rsid w:val="00423651"/>
    <w:rsid w:val="004254DB"/>
    <w:rsid w:val="00425634"/>
    <w:rsid w:val="00425FF6"/>
    <w:rsid w:val="004317D6"/>
    <w:rsid w:val="00432375"/>
    <w:rsid w:val="00432DC9"/>
    <w:rsid w:val="00432EC1"/>
    <w:rsid w:val="00433444"/>
    <w:rsid w:val="00433C46"/>
    <w:rsid w:val="00434262"/>
    <w:rsid w:val="00435075"/>
    <w:rsid w:val="004352FD"/>
    <w:rsid w:val="00435D80"/>
    <w:rsid w:val="00436F2B"/>
    <w:rsid w:val="00437E42"/>
    <w:rsid w:val="00440377"/>
    <w:rsid w:val="0044104E"/>
    <w:rsid w:val="004417A8"/>
    <w:rsid w:val="00441D15"/>
    <w:rsid w:val="00441DA6"/>
    <w:rsid w:val="0044212B"/>
    <w:rsid w:val="00442ADB"/>
    <w:rsid w:val="00442B40"/>
    <w:rsid w:val="00445C46"/>
    <w:rsid w:val="004461F9"/>
    <w:rsid w:val="00450351"/>
    <w:rsid w:val="00452243"/>
    <w:rsid w:val="004522A3"/>
    <w:rsid w:val="00452752"/>
    <w:rsid w:val="00453308"/>
    <w:rsid w:val="0045349B"/>
    <w:rsid w:val="004537B3"/>
    <w:rsid w:val="004554DD"/>
    <w:rsid w:val="00455B8F"/>
    <w:rsid w:val="0045706B"/>
    <w:rsid w:val="00464CFE"/>
    <w:rsid w:val="004677D4"/>
    <w:rsid w:val="00470B77"/>
    <w:rsid w:val="004710EF"/>
    <w:rsid w:val="0047230F"/>
    <w:rsid w:val="00472ECF"/>
    <w:rsid w:val="004744A2"/>
    <w:rsid w:val="004749FC"/>
    <w:rsid w:val="00474F1E"/>
    <w:rsid w:val="00475E00"/>
    <w:rsid w:val="00477AA7"/>
    <w:rsid w:val="00480151"/>
    <w:rsid w:val="00480427"/>
    <w:rsid w:val="00480520"/>
    <w:rsid w:val="00481528"/>
    <w:rsid w:val="00482759"/>
    <w:rsid w:val="00482A27"/>
    <w:rsid w:val="00482CE6"/>
    <w:rsid w:val="00483ECF"/>
    <w:rsid w:val="00484924"/>
    <w:rsid w:val="00486505"/>
    <w:rsid w:val="004870B0"/>
    <w:rsid w:val="004871EC"/>
    <w:rsid w:val="0049040C"/>
    <w:rsid w:val="00490803"/>
    <w:rsid w:val="0049147F"/>
    <w:rsid w:val="004916FC"/>
    <w:rsid w:val="004924B9"/>
    <w:rsid w:val="00493B6F"/>
    <w:rsid w:val="00494273"/>
    <w:rsid w:val="004952B7"/>
    <w:rsid w:val="00497440"/>
    <w:rsid w:val="00497756"/>
    <w:rsid w:val="004A019F"/>
    <w:rsid w:val="004A2563"/>
    <w:rsid w:val="004A2E0F"/>
    <w:rsid w:val="004A3CC2"/>
    <w:rsid w:val="004A4160"/>
    <w:rsid w:val="004A63F2"/>
    <w:rsid w:val="004A697B"/>
    <w:rsid w:val="004A7252"/>
    <w:rsid w:val="004B13F8"/>
    <w:rsid w:val="004B1712"/>
    <w:rsid w:val="004B35A1"/>
    <w:rsid w:val="004B3A2D"/>
    <w:rsid w:val="004B46DF"/>
    <w:rsid w:val="004B4981"/>
    <w:rsid w:val="004B50DC"/>
    <w:rsid w:val="004B5458"/>
    <w:rsid w:val="004B56AA"/>
    <w:rsid w:val="004B66B4"/>
    <w:rsid w:val="004B68DE"/>
    <w:rsid w:val="004B68E5"/>
    <w:rsid w:val="004B6C4E"/>
    <w:rsid w:val="004C031C"/>
    <w:rsid w:val="004C1407"/>
    <w:rsid w:val="004C19A9"/>
    <w:rsid w:val="004C1AEC"/>
    <w:rsid w:val="004C33A3"/>
    <w:rsid w:val="004C4679"/>
    <w:rsid w:val="004C5531"/>
    <w:rsid w:val="004C575E"/>
    <w:rsid w:val="004C7A71"/>
    <w:rsid w:val="004D148F"/>
    <w:rsid w:val="004D211E"/>
    <w:rsid w:val="004D4E29"/>
    <w:rsid w:val="004D75A3"/>
    <w:rsid w:val="004D760E"/>
    <w:rsid w:val="004D7E51"/>
    <w:rsid w:val="004E1247"/>
    <w:rsid w:val="004E226F"/>
    <w:rsid w:val="004E2DF2"/>
    <w:rsid w:val="004E4343"/>
    <w:rsid w:val="004E549D"/>
    <w:rsid w:val="004E57BD"/>
    <w:rsid w:val="004E5D71"/>
    <w:rsid w:val="004E679B"/>
    <w:rsid w:val="004E6DAE"/>
    <w:rsid w:val="004F0360"/>
    <w:rsid w:val="004F0596"/>
    <w:rsid w:val="004F1D4B"/>
    <w:rsid w:val="004F1D7D"/>
    <w:rsid w:val="004F3784"/>
    <w:rsid w:val="004F3A63"/>
    <w:rsid w:val="004F54B0"/>
    <w:rsid w:val="004F59D2"/>
    <w:rsid w:val="004F5CEB"/>
    <w:rsid w:val="004F65B8"/>
    <w:rsid w:val="004F6CAA"/>
    <w:rsid w:val="004F6E9E"/>
    <w:rsid w:val="0050083A"/>
    <w:rsid w:val="00500E43"/>
    <w:rsid w:val="00501D02"/>
    <w:rsid w:val="00502C4E"/>
    <w:rsid w:val="00503309"/>
    <w:rsid w:val="005075E1"/>
    <w:rsid w:val="005077BF"/>
    <w:rsid w:val="0051174E"/>
    <w:rsid w:val="00513B82"/>
    <w:rsid w:val="00514B27"/>
    <w:rsid w:val="00514E2C"/>
    <w:rsid w:val="00520687"/>
    <w:rsid w:val="005227E0"/>
    <w:rsid w:val="00522A42"/>
    <w:rsid w:val="00522B2A"/>
    <w:rsid w:val="00530317"/>
    <w:rsid w:val="005316ED"/>
    <w:rsid w:val="00531B62"/>
    <w:rsid w:val="00533E59"/>
    <w:rsid w:val="00534056"/>
    <w:rsid w:val="00535D0A"/>
    <w:rsid w:val="005368F4"/>
    <w:rsid w:val="00536DD1"/>
    <w:rsid w:val="005402E3"/>
    <w:rsid w:val="00540FF3"/>
    <w:rsid w:val="00541834"/>
    <w:rsid w:val="00541B8F"/>
    <w:rsid w:val="00541CA6"/>
    <w:rsid w:val="0054242D"/>
    <w:rsid w:val="00542521"/>
    <w:rsid w:val="005426A6"/>
    <w:rsid w:val="00542B36"/>
    <w:rsid w:val="00543230"/>
    <w:rsid w:val="00546A52"/>
    <w:rsid w:val="005472C9"/>
    <w:rsid w:val="00547812"/>
    <w:rsid w:val="0055049F"/>
    <w:rsid w:val="00550ABF"/>
    <w:rsid w:val="005513A1"/>
    <w:rsid w:val="00551F29"/>
    <w:rsid w:val="005531AF"/>
    <w:rsid w:val="005538DC"/>
    <w:rsid w:val="0055401C"/>
    <w:rsid w:val="005543CA"/>
    <w:rsid w:val="0055460B"/>
    <w:rsid w:val="0055571D"/>
    <w:rsid w:val="005563B5"/>
    <w:rsid w:val="00556CE7"/>
    <w:rsid w:val="00556E97"/>
    <w:rsid w:val="00560066"/>
    <w:rsid w:val="00560764"/>
    <w:rsid w:val="005619D7"/>
    <w:rsid w:val="005620AC"/>
    <w:rsid w:val="00562854"/>
    <w:rsid w:val="00563562"/>
    <w:rsid w:val="00563AA7"/>
    <w:rsid w:val="0056413B"/>
    <w:rsid w:val="005642D3"/>
    <w:rsid w:val="00564F07"/>
    <w:rsid w:val="005656F0"/>
    <w:rsid w:val="005668F0"/>
    <w:rsid w:val="00566E32"/>
    <w:rsid w:val="00571374"/>
    <w:rsid w:val="00572679"/>
    <w:rsid w:val="005729EE"/>
    <w:rsid w:val="0057356A"/>
    <w:rsid w:val="005742AC"/>
    <w:rsid w:val="00575408"/>
    <w:rsid w:val="0057565D"/>
    <w:rsid w:val="00575CE8"/>
    <w:rsid w:val="00576572"/>
    <w:rsid w:val="00576E9C"/>
    <w:rsid w:val="0057744A"/>
    <w:rsid w:val="005776BA"/>
    <w:rsid w:val="0058025C"/>
    <w:rsid w:val="00580669"/>
    <w:rsid w:val="00581EC7"/>
    <w:rsid w:val="0058416A"/>
    <w:rsid w:val="005848D3"/>
    <w:rsid w:val="0058515D"/>
    <w:rsid w:val="0058573E"/>
    <w:rsid w:val="00586BB7"/>
    <w:rsid w:val="00586DF1"/>
    <w:rsid w:val="00591229"/>
    <w:rsid w:val="00592627"/>
    <w:rsid w:val="00592CCA"/>
    <w:rsid w:val="005935D9"/>
    <w:rsid w:val="0059371A"/>
    <w:rsid w:val="00593DEE"/>
    <w:rsid w:val="00594953"/>
    <w:rsid w:val="00594BB3"/>
    <w:rsid w:val="00594D45"/>
    <w:rsid w:val="0059578E"/>
    <w:rsid w:val="00596742"/>
    <w:rsid w:val="0059711E"/>
    <w:rsid w:val="005973A9"/>
    <w:rsid w:val="00597A56"/>
    <w:rsid w:val="005A1C18"/>
    <w:rsid w:val="005A39CE"/>
    <w:rsid w:val="005A43CB"/>
    <w:rsid w:val="005A4968"/>
    <w:rsid w:val="005A4F77"/>
    <w:rsid w:val="005A76FA"/>
    <w:rsid w:val="005B10CE"/>
    <w:rsid w:val="005B1BB1"/>
    <w:rsid w:val="005B28B7"/>
    <w:rsid w:val="005B2AEA"/>
    <w:rsid w:val="005B3F13"/>
    <w:rsid w:val="005B4004"/>
    <w:rsid w:val="005B5505"/>
    <w:rsid w:val="005B55BE"/>
    <w:rsid w:val="005B5C62"/>
    <w:rsid w:val="005B5D3C"/>
    <w:rsid w:val="005B78A4"/>
    <w:rsid w:val="005C0729"/>
    <w:rsid w:val="005C0A17"/>
    <w:rsid w:val="005C24D5"/>
    <w:rsid w:val="005C3506"/>
    <w:rsid w:val="005C3EC1"/>
    <w:rsid w:val="005C4392"/>
    <w:rsid w:val="005C5D38"/>
    <w:rsid w:val="005C5E91"/>
    <w:rsid w:val="005C5EFA"/>
    <w:rsid w:val="005C69A2"/>
    <w:rsid w:val="005C6F94"/>
    <w:rsid w:val="005C7267"/>
    <w:rsid w:val="005C7B9E"/>
    <w:rsid w:val="005D0019"/>
    <w:rsid w:val="005D27AA"/>
    <w:rsid w:val="005D2CD1"/>
    <w:rsid w:val="005D3C07"/>
    <w:rsid w:val="005D445A"/>
    <w:rsid w:val="005D44E8"/>
    <w:rsid w:val="005D4788"/>
    <w:rsid w:val="005D4B1B"/>
    <w:rsid w:val="005D4FB3"/>
    <w:rsid w:val="005D5AE4"/>
    <w:rsid w:val="005D5CEB"/>
    <w:rsid w:val="005D704E"/>
    <w:rsid w:val="005D7B4C"/>
    <w:rsid w:val="005E032E"/>
    <w:rsid w:val="005E07DB"/>
    <w:rsid w:val="005E08F1"/>
    <w:rsid w:val="005E19F1"/>
    <w:rsid w:val="005E212B"/>
    <w:rsid w:val="005E3F32"/>
    <w:rsid w:val="005E4870"/>
    <w:rsid w:val="005E48E3"/>
    <w:rsid w:val="005E4C72"/>
    <w:rsid w:val="005E4CEA"/>
    <w:rsid w:val="005E4F89"/>
    <w:rsid w:val="005E6DA4"/>
    <w:rsid w:val="005F11F1"/>
    <w:rsid w:val="005F2012"/>
    <w:rsid w:val="005F2301"/>
    <w:rsid w:val="005F4643"/>
    <w:rsid w:val="005F4913"/>
    <w:rsid w:val="005F50E7"/>
    <w:rsid w:val="005F56CF"/>
    <w:rsid w:val="005F69EC"/>
    <w:rsid w:val="006001A2"/>
    <w:rsid w:val="0060126B"/>
    <w:rsid w:val="00601B83"/>
    <w:rsid w:val="006023A8"/>
    <w:rsid w:val="0060272E"/>
    <w:rsid w:val="00602DDB"/>
    <w:rsid w:val="006036C7"/>
    <w:rsid w:val="006041E7"/>
    <w:rsid w:val="00606158"/>
    <w:rsid w:val="006070A7"/>
    <w:rsid w:val="006078BC"/>
    <w:rsid w:val="00611304"/>
    <w:rsid w:val="00611442"/>
    <w:rsid w:val="006127E1"/>
    <w:rsid w:val="00612B7F"/>
    <w:rsid w:val="006131F9"/>
    <w:rsid w:val="00613874"/>
    <w:rsid w:val="006155AB"/>
    <w:rsid w:val="00616BA6"/>
    <w:rsid w:val="006203FA"/>
    <w:rsid w:val="0062046C"/>
    <w:rsid w:val="00621CE3"/>
    <w:rsid w:val="0062253E"/>
    <w:rsid w:val="006226B7"/>
    <w:rsid w:val="00622F5A"/>
    <w:rsid w:val="0062359F"/>
    <w:rsid w:val="006236E4"/>
    <w:rsid w:val="00624693"/>
    <w:rsid w:val="0062530B"/>
    <w:rsid w:val="00625485"/>
    <w:rsid w:val="00625864"/>
    <w:rsid w:val="00626D5E"/>
    <w:rsid w:val="006276E6"/>
    <w:rsid w:val="0063103F"/>
    <w:rsid w:val="006319ED"/>
    <w:rsid w:val="00631BEB"/>
    <w:rsid w:val="0063206F"/>
    <w:rsid w:val="006327C3"/>
    <w:rsid w:val="00633617"/>
    <w:rsid w:val="00634269"/>
    <w:rsid w:val="006343BF"/>
    <w:rsid w:val="006345D4"/>
    <w:rsid w:val="00634F4E"/>
    <w:rsid w:val="00635906"/>
    <w:rsid w:val="00636DAC"/>
    <w:rsid w:val="006372B5"/>
    <w:rsid w:val="0063737D"/>
    <w:rsid w:val="0063781A"/>
    <w:rsid w:val="00637B37"/>
    <w:rsid w:val="00640CD6"/>
    <w:rsid w:val="006412F7"/>
    <w:rsid w:val="00642302"/>
    <w:rsid w:val="00644A77"/>
    <w:rsid w:val="00647623"/>
    <w:rsid w:val="00650F1E"/>
    <w:rsid w:val="00652D50"/>
    <w:rsid w:val="00653654"/>
    <w:rsid w:val="0065407F"/>
    <w:rsid w:val="006540A0"/>
    <w:rsid w:val="006557D9"/>
    <w:rsid w:val="00655988"/>
    <w:rsid w:val="0065634A"/>
    <w:rsid w:val="00656678"/>
    <w:rsid w:val="006574D6"/>
    <w:rsid w:val="0065791C"/>
    <w:rsid w:val="00662238"/>
    <w:rsid w:val="006625F5"/>
    <w:rsid w:val="00662FF7"/>
    <w:rsid w:val="0066425E"/>
    <w:rsid w:val="006642CE"/>
    <w:rsid w:val="006646C6"/>
    <w:rsid w:val="00664E19"/>
    <w:rsid w:val="006656A7"/>
    <w:rsid w:val="0066618C"/>
    <w:rsid w:val="006669EF"/>
    <w:rsid w:val="006671BE"/>
    <w:rsid w:val="00670771"/>
    <w:rsid w:val="00670949"/>
    <w:rsid w:val="0067179F"/>
    <w:rsid w:val="00671CA7"/>
    <w:rsid w:val="00671E4A"/>
    <w:rsid w:val="00672BE3"/>
    <w:rsid w:val="006734DA"/>
    <w:rsid w:val="00674C98"/>
    <w:rsid w:val="00675C5C"/>
    <w:rsid w:val="00677FDC"/>
    <w:rsid w:val="00680691"/>
    <w:rsid w:val="00681781"/>
    <w:rsid w:val="006821F9"/>
    <w:rsid w:val="0068383F"/>
    <w:rsid w:val="00683AB4"/>
    <w:rsid w:val="0068502C"/>
    <w:rsid w:val="0068684D"/>
    <w:rsid w:val="0068685D"/>
    <w:rsid w:val="00686F5F"/>
    <w:rsid w:val="00687952"/>
    <w:rsid w:val="00690A86"/>
    <w:rsid w:val="00693345"/>
    <w:rsid w:val="00693AEA"/>
    <w:rsid w:val="006951D2"/>
    <w:rsid w:val="00695543"/>
    <w:rsid w:val="006959C5"/>
    <w:rsid w:val="0069690E"/>
    <w:rsid w:val="00697011"/>
    <w:rsid w:val="006973B6"/>
    <w:rsid w:val="00697E57"/>
    <w:rsid w:val="006A1180"/>
    <w:rsid w:val="006A1CE0"/>
    <w:rsid w:val="006A1FED"/>
    <w:rsid w:val="006A2406"/>
    <w:rsid w:val="006A4A5D"/>
    <w:rsid w:val="006A4CAC"/>
    <w:rsid w:val="006A4E7B"/>
    <w:rsid w:val="006A6193"/>
    <w:rsid w:val="006A6BEA"/>
    <w:rsid w:val="006A7A1A"/>
    <w:rsid w:val="006A7AB7"/>
    <w:rsid w:val="006B104F"/>
    <w:rsid w:val="006B10A5"/>
    <w:rsid w:val="006B1C18"/>
    <w:rsid w:val="006B45F7"/>
    <w:rsid w:val="006B521D"/>
    <w:rsid w:val="006B5E7B"/>
    <w:rsid w:val="006B65BB"/>
    <w:rsid w:val="006B7221"/>
    <w:rsid w:val="006B755B"/>
    <w:rsid w:val="006C0F1C"/>
    <w:rsid w:val="006C1D69"/>
    <w:rsid w:val="006C1D85"/>
    <w:rsid w:val="006C32C2"/>
    <w:rsid w:val="006C32D7"/>
    <w:rsid w:val="006C4242"/>
    <w:rsid w:val="006C5567"/>
    <w:rsid w:val="006C6C9D"/>
    <w:rsid w:val="006C7907"/>
    <w:rsid w:val="006C7C23"/>
    <w:rsid w:val="006C7E6E"/>
    <w:rsid w:val="006D333C"/>
    <w:rsid w:val="006D34F3"/>
    <w:rsid w:val="006D3DDA"/>
    <w:rsid w:val="006D67E9"/>
    <w:rsid w:val="006E0175"/>
    <w:rsid w:val="006E0601"/>
    <w:rsid w:val="006E0B00"/>
    <w:rsid w:val="006E1129"/>
    <w:rsid w:val="006E1331"/>
    <w:rsid w:val="006E3AF5"/>
    <w:rsid w:val="006E69DA"/>
    <w:rsid w:val="006F0968"/>
    <w:rsid w:val="006F2177"/>
    <w:rsid w:val="006F29F9"/>
    <w:rsid w:val="006F5595"/>
    <w:rsid w:val="006F5E0B"/>
    <w:rsid w:val="006F6468"/>
    <w:rsid w:val="006F646B"/>
    <w:rsid w:val="006F6B20"/>
    <w:rsid w:val="00700557"/>
    <w:rsid w:val="00700AFE"/>
    <w:rsid w:val="00700F06"/>
    <w:rsid w:val="00703AF9"/>
    <w:rsid w:val="00705148"/>
    <w:rsid w:val="007057D9"/>
    <w:rsid w:val="00706471"/>
    <w:rsid w:val="00707119"/>
    <w:rsid w:val="007079EB"/>
    <w:rsid w:val="00707CC5"/>
    <w:rsid w:val="00711158"/>
    <w:rsid w:val="00711992"/>
    <w:rsid w:val="00713494"/>
    <w:rsid w:val="00713D70"/>
    <w:rsid w:val="00715534"/>
    <w:rsid w:val="00715B4B"/>
    <w:rsid w:val="00715C95"/>
    <w:rsid w:val="007178DB"/>
    <w:rsid w:val="007208D2"/>
    <w:rsid w:val="0072169A"/>
    <w:rsid w:val="00721F1B"/>
    <w:rsid w:val="00723282"/>
    <w:rsid w:val="0072343D"/>
    <w:rsid w:val="0072449A"/>
    <w:rsid w:val="00725132"/>
    <w:rsid w:val="00726274"/>
    <w:rsid w:val="00727C3C"/>
    <w:rsid w:val="007302DE"/>
    <w:rsid w:val="0073075C"/>
    <w:rsid w:val="00730E77"/>
    <w:rsid w:val="00732B2D"/>
    <w:rsid w:val="00732BAF"/>
    <w:rsid w:val="007334C1"/>
    <w:rsid w:val="00736E2E"/>
    <w:rsid w:val="00737773"/>
    <w:rsid w:val="00737C10"/>
    <w:rsid w:val="00741181"/>
    <w:rsid w:val="007421AF"/>
    <w:rsid w:val="007422F3"/>
    <w:rsid w:val="00742923"/>
    <w:rsid w:val="00742B36"/>
    <w:rsid w:val="007433A7"/>
    <w:rsid w:val="0074480E"/>
    <w:rsid w:val="00745220"/>
    <w:rsid w:val="00745BE5"/>
    <w:rsid w:val="00745ECE"/>
    <w:rsid w:val="007467A3"/>
    <w:rsid w:val="007468D7"/>
    <w:rsid w:val="0074780F"/>
    <w:rsid w:val="00750C7B"/>
    <w:rsid w:val="00751559"/>
    <w:rsid w:val="00751CD3"/>
    <w:rsid w:val="0075239C"/>
    <w:rsid w:val="0075321F"/>
    <w:rsid w:val="007536FD"/>
    <w:rsid w:val="00753D47"/>
    <w:rsid w:val="00754346"/>
    <w:rsid w:val="007549F2"/>
    <w:rsid w:val="007551DC"/>
    <w:rsid w:val="00757271"/>
    <w:rsid w:val="00757F72"/>
    <w:rsid w:val="00760098"/>
    <w:rsid w:val="007602B3"/>
    <w:rsid w:val="007609ED"/>
    <w:rsid w:val="007618C0"/>
    <w:rsid w:val="00761A2F"/>
    <w:rsid w:val="00761AA6"/>
    <w:rsid w:val="00761B13"/>
    <w:rsid w:val="00761EEE"/>
    <w:rsid w:val="007620B0"/>
    <w:rsid w:val="00763C23"/>
    <w:rsid w:val="00763F23"/>
    <w:rsid w:val="00764E1D"/>
    <w:rsid w:val="007656E2"/>
    <w:rsid w:val="007666BE"/>
    <w:rsid w:val="007669EE"/>
    <w:rsid w:val="00767C7A"/>
    <w:rsid w:val="007717AC"/>
    <w:rsid w:val="00776E42"/>
    <w:rsid w:val="0077752B"/>
    <w:rsid w:val="007804CA"/>
    <w:rsid w:val="007829C9"/>
    <w:rsid w:val="00782AB5"/>
    <w:rsid w:val="0078375B"/>
    <w:rsid w:val="00785129"/>
    <w:rsid w:val="00785360"/>
    <w:rsid w:val="00786886"/>
    <w:rsid w:val="00787BED"/>
    <w:rsid w:val="0079098F"/>
    <w:rsid w:val="0079132F"/>
    <w:rsid w:val="0079139E"/>
    <w:rsid w:val="00791909"/>
    <w:rsid w:val="007928CF"/>
    <w:rsid w:val="0079498C"/>
    <w:rsid w:val="00795117"/>
    <w:rsid w:val="0079541A"/>
    <w:rsid w:val="0079702A"/>
    <w:rsid w:val="00797BD7"/>
    <w:rsid w:val="007A0BC0"/>
    <w:rsid w:val="007A1165"/>
    <w:rsid w:val="007A1B31"/>
    <w:rsid w:val="007A1FB6"/>
    <w:rsid w:val="007A2A1A"/>
    <w:rsid w:val="007A30A6"/>
    <w:rsid w:val="007A4BBB"/>
    <w:rsid w:val="007A4E16"/>
    <w:rsid w:val="007A559C"/>
    <w:rsid w:val="007A5B80"/>
    <w:rsid w:val="007A6D37"/>
    <w:rsid w:val="007B0EC9"/>
    <w:rsid w:val="007B1296"/>
    <w:rsid w:val="007B1F08"/>
    <w:rsid w:val="007B263E"/>
    <w:rsid w:val="007B304F"/>
    <w:rsid w:val="007B32BD"/>
    <w:rsid w:val="007B3D69"/>
    <w:rsid w:val="007B4644"/>
    <w:rsid w:val="007B54F0"/>
    <w:rsid w:val="007B5882"/>
    <w:rsid w:val="007B5884"/>
    <w:rsid w:val="007B59A9"/>
    <w:rsid w:val="007B59AB"/>
    <w:rsid w:val="007B6225"/>
    <w:rsid w:val="007B6233"/>
    <w:rsid w:val="007B671C"/>
    <w:rsid w:val="007B6F68"/>
    <w:rsid w:val="007C0C06"/>
    <w:rsid w:val="007C11CF"/>
    <w:rsid w:val="007C1690"/>
    <w:rsid w:val="007C1ED7"/>
    <w:rsid w:val="007C24C4"/>
    <w:rsid w:val="007C25E3"/>
    <w:rsid w:val="007C26F0"/>
    <w:rsid w:val="007C2CCA"/>
    <w:rsid w:val="007C3101"/>
    <w:rsid w:val="007C3342"/>
    <w:rsid w:val="007C3A69"/>
    <w:rsid w:val="007C449E"/>
    <w:rsid w:val="007C47F1"/>
    <w:rsid w:val="007C4A4C"/>
    <w:rsid w:val="007C528A"/>
    <w:rsid w:val="007C546E"/>
    <w:rsid w:val="007C6A34"/>
    <w:rsid w:val="007C6DB0"/>
    <w:rsid w:val="007C7210"/>
    <w:rsid w:val="007C7C9E"/>
    <w:rsid w:val="007C7EE5"/>
    <w:rsid w:val="007D0982"/>
    <w:rsid w:val="007D0C4A"/>
    <w:rsid w:val="007D1A76"/>
    <w:rsid w:val="007D294F"/>
    <w:rsid w:val="007D36C7"/>
    <w:rsid w:val="007D3E8F"/>
    <w:rsid w:val="007D592A"/>
    <w:rsid w:val="007D5C7A"/>
    <w:rsid w:val="007D65BA"/>
    <w:rsid w:val="007D71C6"/>
    <w:rsid w:val="007D79FE"/>
    <w:rsid w:val="007E068F"/>
    <w:rsid w:val="007E0A71"/>
    <w:rsid w:val="007E2372"/>
    <w:rsid w:val="007E2BDE"/>
    <w:rsid w:val="007E2E57"/>
    <w:rsid w:val="007E3173"/>
    <w:rsid w:val="007E3518"/>
    <w:rsid w:val="007E3EB2"/>
    <w:rsid w:val="007E4664"/>
    <w:rsid w:val="007E5090"/>
    <w:rsid w:val="007E51AC"/>
    <w:rsid w:val="007E527F"/>
    <w:rsid w:val="007F0723"/>
    <w:rsid w:val="007F165F"/>
    <w:rsid w:val="007F2F45"/>
    <w:rsid w:val="007F3915"/>
    <w:rsid w:val="007F422D"/>
    <w:rsid w:val="007F5177"/>
    <w:rsid w:val="007F5A99"/>
    <w:rsid w:val="007F5F33"/>
    <w:rsid w:val="007F606F"/>
    <w:rsid w:val="007F6CD4"/>
    <w:rsid w:val="007F762A"/>
    <w:rsid w:val="007F7D55"/>
    <w:rsid w:val="00800438"/>
    <w:rsid w:val="00800DC7"/>
    <w:rsid w:val="00801222"/>
    <w:rsid w:val="00801B7C"/>
    <w:rsid w:val="00802094"/>
    <w:rsid w:val="00803943"/>
    <w:rsid w:val="00805042"/>
    <w:rsid w:val="00805390"/>
    <w:rsid w:val="00810406"/>
    <w:rsid w:val="00810555"/>
    <w:rsid w:val="00810ED6"/>
    <w:rsid w:val="0081137F"/>
    <w:rsid w:val="00812123"/>
    <w:rsid w:val="00812A4F"/>
    <w:rsid w:val="00812DA2"/>
    <w:rsid w:val="008133E3"/>
    <w:rsid w:val="00814622"/>
    <w:rsid w:val="008157BE"/>
    <w:rsid w:val="00815A69"/>
    <w:rsid w:val="0081727F"/>
    <w:rsid w:val="008201B4"/>
    <w:rsid w:val="00820B3E"/>
    <w:rsid w:val="00821784"/>
    <w:rsid w:val="00821A98"/>
    <w:rsid w:val="008227BB"/>
    <w:rsid w:val="008229E8"/>
    <w:rsid w:val="0082448E"/>
    <w:rsid w:val="0082487B"/>
    <w:rsid w:val="00825CF1"/>
    <w:rsid w:val="00827762"/>
    <w:rsid w:val="008326B8"/>
    <w:rsid w:val="00832BFC"/>
    <w:rsid w:val="008338CB"/>
    <w:rsid w:val="008344C7"/>
    <w:rsid w:val="008344D8"/>
    <w:rsid w:val="00834A22"/>
    <w:rsid w:val="00835F73"/>
    <w:rsid w:val="00837136"/>
    <w:rsid w:val="008378EE"/>
    <w:rsid w:val="0084095F"/>
    <w:rsid w:val="008411C1"/>
    <w:rsid w:val="00841402"/>
    <w:rsid w:val="00841A64"/>
    <w:rsid w:val="00841DC2"/>
    <w:rsid w:val="008422D9"/>
    <w:rsid w:val="008422E9"/>
    <w:rsid w:val="00842672"/>
    <w:rsid w:val="00842E17"/>
    <w:rsid w:val="008430B7"/>
    <w:rsid w:val="008434DF"/>
    <w:rsid w:val="00843841"/>
    <w:rsid w:val="0084468C"/>
    <w:rsid w:val="008459F1"/>
    <w:rsid w:val="00845E1E"/>
    <w:rsid w:val="00845E63"/>
    <w:rsid w:val="00845F02"/>
    <w:rsid w:val="008460EA"/>
    <w:rsid w:val="00851A3F"/>
    <w:rsid w:val="00855DAB"/>
    <w:rsid w:val="00856726"/>
    <w:rsid w:val="00856C81"/>
    <w:rsid w:val="00856EDF"/>
    <w:rsid w:val="008600F9"/>
    <w:rsid w:val="008608F4"/>
    <w:rsid w:val="008624F1"/>
    <w:rsid w:val="00864B8D"/>
    <w:rsid w:val="00865997"/>
    <w:rsid w:val="00866942"/>
    <w:rsid w:val="00867CCB"/>
    <w:rsid w:val="00870B5C"/>
    <w:rsid w:val="008739EA"/>
    <w:rsid w:val="00873FFB"/>
    <w:rsid w:val="00874446"/>
    <w:rsid w:val="008774A4"/>
    <w:rsid w:val="0087760E"/>
    <w:rsid w:val="00881946"/>
    <w:rsid w:val="0088198C"/>
    <w:rsid w:val="00881B38"/>
    <w:rsid w:val="00883673"/>
    <w:rsid w:val="0088395F"/>
    <w:rsid w:val="00884C3E"/>
    <w:rsid w:val="00885EFF"/>
    <w:rsid w:val="00886323"/>
    <w:rsid w:val="00886531"/>
    <w:rsid w:val="008870E8"/>
    <w:rsid w:val="0088763E"/>
    <w:rsid w:val="0089019E"/>
    <w:rsid w:val="00895E82"/>
    <w:rsid w:val="00895F80"/>
    <w:rsid w:val="0089643E"/>
    <w:rsid w:val="008A0930"/>
    <w:rsid w:val="008A0FA0"/>
    <w:rsid w:val="008A548F"/>
    <w:rsid w:val="008A66AD"/>
    <w:rsid w:val="008A6871"/>
    <w:rsid w:val="008A6AFA"/>
    <w:rsid w:val="008A6EF1"/>
    <w:rsid w:val="008B0436"/>
    <w:rsid w:val="008B0F81"/>
    <w:rsid w:val="008B24DA"/>
    <w:rsid w:val="008B3D3F"/>
    <w:rsid w:val="008B5693"/>
    <w:rsid w:val="008B5842"/>
    <w:rsid w:val="008B5982"/>
    <w:rsid w:val="008B5E1F"/>
    <w:rsid w:val="008B6F44"/>
    <w:rsid w:val="008B770E"/>
    <w:rsid w:val="008B7943"/>
    <w:rsid w:val="008C1909"/>
    <w:rsid w:val="008C2810"/>
    <w:rsid w:val="008C2F06"/>
    <w:rsid w:val="008C30BB"/>
    <w:rsid w:val="008C3557"/>
    <w:rsid w:val="008C4805"/>
    <w:rsid w:val="008C4F40"/>
    <w:rsid w:val="008C540E"/>
    <w:rsid w:val="008C59FE"/>
    <w:rsid w:val="008C6DDC"/>
    <w:rsid w:val="008C782B"/>
    <w:rsid w:val="008D0C8A"/>
    <w:rsid w:val="008D1BDF"/>
    <w:rsid w:val="008D1CB6"/>
    <w:rsid w:val="008D25D7"/>
    <w:rsid w:val="008D360E"/>
    <w:rsid w:val="008D4A61"/>
    <w:rsid w:val="008D5A00"/>
    <w:rsid w:val="008D60E1"/>
    <w:rsid w:val="008D6B4C"/>
    <w:rsid w:val="008D708E"/>
    <w:rsid w:val="008E0BD7"/>
    <w:rsid w:val="008E1106"/>
    <w:rsid w:val="008E2DF8"/>
    <w:rsid w:val="008E2E98"/>
    <w:rsid w:val="008E39BE"/>
    <w:rsid w:val="008E48CD"/>
    <w:rsid w:val="008E579D"/>
    <w:rsid w:val="008E61FE"/>
    <w:rsid w:val="008E6CC3"/>
    <w:rsid w:val="008E6E17"/>
    <w:rsid w:val="008F05A9"/>
    <w:rsid w:val="008F0CB0"/>
    <w:rsid w:val="008F17C0"/>
    <w:rsid w:val="008F1853"/>
    <w:rsid w:val="008F18E6"/>
    <w:rsid w:val="008F32E4"/>
    <w:rsid w:val="008F335D"/>
    <w:rsid w:val="008F33BC"/>
    <w:rsid w:val="008F3BB3"/>
    <w:rsid w:val="008F49A0"/>
    <w:rsid w:val="008F5F27"/>
    <w:rsid w:val="008F60A2"/>
    <w:rsid w:val="008F7395"/>
    <w:rsid w:val="008F78EF"/>
    <w:rsid w:val="008F7C69"/>
    <w:rsid w:val="00900BC9"/>
    <w:rsid w:val="00902A0E"/>
    <w:rsid w:val="00903D54"/>
    <w:rsid w:val="00904C4C"/>
    <w:rsid w:val="00905C6C"/>
    <w:rsid w:val="00905E8B"/>
    <w:rsid w:val="00905F55"/>
    <w:rsid w:val="009073C1"/>
    <w:rsid w:val="0091187A"/>
    <w:rsid w:val="009137D6"/>
    <w:rsid w:val="00914032"/>
    <w:rsid w:val="00915E84"/>
    <w:rsid w:val="00920B19"/>
    <w:rsid w:val="00920C23"/>
    <w:rsid w:val="00921E05"/>
    <w:rsid w:val="00922B10"/>
    <w:rsid w:val="00925209"/>
    <w:rsid w:val="00925C19"/>
    <w:rsid w:val="009266B5"/>
    <w:rsid w:val="00926A0E"/>
    <w:rsid w:val="009270E1"/>
    <w:rsid w:val="009272D9"/>
    <w:rsid w:val="00927876"/>
    <w:rsid w:val="00927A33"/>
    <w:rsid w:val="009304B1"/>
    <w:rsid w:val="009309D8"/>
    <w:rsid w:val="00930B4E"/>
    <w:rsid w:val="00933302"/>
    <w:rsid w:val="00934880"/>
    <w:rsid w:val="009357E5"/>
    <w:rsid w:val="00935E90"/>
    <w:rsid w:val="00937F9E"/>
    <w:rsid w:val="009413B9"/>
    <w:rsid w:val="009419FE"/>
    <w:rsid w:val="00942210"/>
    <w:rsid w:val="00942B85"/>
    <w:rsid w:val="00943521"/>
    <w:rsid w:val="00945841"/>
    <w:rsid w:val="00945E7B"/>
    <w:rsid w:val="0094659E"/>
    <w:rsid w:val="009501D0"/>
    <w:rsid w:val="00952EB0"/>
    <w:rsid w:val="009541FC"/>
    <w:rsid w:val="00955846"/>
    <w:rsid w:val="00956F96"/>
    <w:rsid w:val="0095700C"/>
    <w:rsid w:val="00960771"/>
    <w:rsid w:val="0096181B"/>
    <w:rsid w:val="009620D7"/>
    <w:rsid w:val="00965B90"/>
    <w:rsid w:val="00966472"/>
    <w:rsid w:val="00966830"/>
    <w:rsid w:val="00966B4D"/>
    <w:rsid w:val="00966F21"/>
    <w:rsid w:val="009677FD"/>
    <w:rsid w:val="00967BA1"/>
    <w:rsid w:val="009703A8"/>
    <w:rsid w:val="00970EBC"/>
    <w:rsid w:val="00970FA9"/>
    <w:rsid w:val="0097178F"/>
    <w:rsid w:val="00971A20"/>
    <w:rsid w:val="0097227F"/>
    <w:rsid w:val="00974425"/>
    <w:rsid w:val="009749E5"/>
    <w:rsid w:val="0097561C"/>
    <w:rsid w:val="00975DEF"/>
    <w:rsid w:val="009773EF"/>
    <w:rsid w:val="00977887"/>
    <w:rsid w:val="00980255"/>
    <w:rsid w:val="00982B14"/>
    <w:rsid w:val="009836FC"/>
    <w:rsid w:val="0098492C"/>
    <w:rsid w:val="00987214"/>
    <w:rsid w:val="00987244"/>
    <w:rsid w:val="0099152B"/>
    <w:rsid w:val="0099188D"/>
    <w:rsid w:val="00991B98"/>
    <w:rsid w:val="00994B3D"/>
    <w:rsid w:val="00995617"/>
    <w:rsid w:val="00995843"/>
    <w:rsid w:val="00995ADD"/>
    <w:rsid w:val="0099637D"/>
    <w:rsid w:val="009A1D7E"/>
    <w:rsid w:val="009A4BFC"/>
    <w:rsid w:val="009A5238"/>
    <w:rsid w:val="009A5306"/>
    <w:rsid w:val="009A63BA"/>
    <w:rsid w:val="009B21A9"/>
    <w:rsid w:val="009B229D"/>
    <w:rsid w:val="009B59B6"/>
    <w:rsid w:val="009B6D2D"/>
    <w:rsid w:val="009B6EFA"/>
    <w:rsid w:val="009C0BB8"/>
    <w:rsid w:val="009C0F1E"/>
    <w:rsid w:val="009C0F5D"/>
    <w:rsid w:val="009C1171"/>
    <w:rsid w:val="009C13F5"/>
    <w:rsid w:val="009C1E24"/>
    <w:rsid w:val="009C5241"/>
    <w:rsid w:val="009C60B5"/>
    <w:rsid w:val="009C679B"/>
    <w:rsid w:val="009C67CB"/>
    <w:rsid w:val="009C6E24"/>
    <w:rsid w:val="009C6E2D"/>
    <w:rsid w:val="009D1664"/>
    <w:rsid w:val="009D2274"/>
    <w:rsid w:val="009D4CFA"/>
    <w:rsid w:val="009D58EF"/>
    <w:rsid w:val="009D5935"/>
    <w:rsid w:val="009D6B3C"/>
    <w:rsid w:val="009D6FE1"/>
    <w:rsid w:val="009D7C88"/>
    <w:rsid w:val="009E02DC"/>
    <w:rsid w:val="009E0D96"/>
    <w:rsid w:val="009E370E"/>
    <w:rsid w:val="009E3DF4"/>
    <w:rsid w:val="009E4C4E"/>
    <w:rsid w:val="009E6664"/>
    <w:rsid w:val="009E6694"/>
    <w:rsid w:val="009E69B6"/>
    <w:rsid w:val="009E7057"/>
    <w:rsid w:val="009E70C6"/>
    <w:rsid w:val="009E7A81"/>
    <w:rsid w:val="009E7B81"/>
    <w:rsid w:val="009F08C1"/>
    <w:rsid w:val="009F0B79"/>
    <w:rsid w:val="009F0DF6"/>
    <w:rsid w:val="009F1DC7"/>
    <w:rsid w:val="009F2B72"/>
    <w:rsid w:val="009F38B3"/>
    <w:rsid w:val="009F478C"/>
    <w:rsid w:val="009F5E5B"/>
    <w:rsid w:val="009F5FB8"/>
    <w:rsid w:val="009F6299"/>
    <w:rsid w:val="009F690D"/>
    <w:rsid w:val="009F69ED"/>
    <w:rsid w:val="00A00076"/>
    <w:rsid w:val="00A00932"/>
    <w:rsid w:val="00A00A0D"/>
    <w:rsid w:val="00A01A55"/>
    <w:rsid w:val="00A01F53"/>
    <w:rsid w:val="00A03DC2"/>
    <w:rsid w:val="00A04080"/>
    <w:rsid w:val="00A040D2"/>
    <w:rsid w:val="00A054B4"/>
    <w:rsid w:val="00A0568C"/>
    <w:rsid w:val="00A05F21"/>
    <w:rsid w:val="00A05FC7"/>
    <w:rsid w:val="00A07121"/>
    <w:rsid w:val="00A074C7"/>
    <w:rsid w:val="00A1031F"/>
    <w:rsid w:val="00A1181E"/>
    <w:rsid w:val="00A129B6"/>
    <w:rsid w:val="00A12A81"/>
    <w:rsid w:val="00A13414"/>
    <w:rsid w:val="00A14DC9"/>
    <w:rsid w:val="00A15446"/>
    <w:rsid w:val="00A16363"/>
    <w:rsid w:val="00A16FB7"/>
    <w:rsid w:val="00A206FF"/>
    <w:rsid w:val="00A21214"/>
    <w:rsid w:val="00A22074"/>
    <w:rsid w:val="00A22940"/>
    <w:rsid w:val="00A22B94"/>
    <w:rsid w:val="00A24350"/>
    <w:rsid w:val="00A249AA"/>
    <w:rsid w:val="00A24A82"/>
    <w:rsid w:val="00A305D1"/>
    <w:rsid w:val="00A3079C"/>
    <w:rsid w:val="00A30CD4"/>
    <w:rsid w:val="00A315D8"/>
    <w:rsid w:val="00A34A98"/>
    <w:rsid w:val="00A3740B"/>
    <w:rsid w:val="00A379A2"/>
    <w:rsid w:val="00A37B55"/>
    <w:rsid w:val="00A420EF"/>
    <w:rsid w:val="00A42330"/>
    <w:rsid w:val="00A426F2"/>
    <w:rsid w:val="00A43BF1"/>
    <w:rsid w:val="00A43D06"/>
    <w:rsid w:val="00A44A66"/>
    <w:rsid w:val="00A4571B"/>
    <w:rsid w:val="00A45B5E"/>
    <w:rsid w:val="00A45E66"/>
    <w:rsid w:val="00A46552"/>
    <w:rsid w:val="00A46CBB"/>
    <w:rsid w:val="00A47094"/>
    <w:rsid w:val="00A4751A"/>
    <w:rsid w:val="00A47E11"/>
    <w:rsid w:val="00A514C8"/>
    <w:rsid w:val="00A5191B"/>
    <w:rsid w:val="00A51FFB"/>
    <w:rsid w:val="00A528E0"/>
    <w:rsid w:val="00A529BC"/>
    <w:rsid w:val="00A52F7B"/>
    <w:rsid w:val="00A536BD"/>
    <w:rsid w:val="00A54028"/>
    <w:rsid w:val="00A5415E"/>
    <w:rsid w:val="00A542D9"/>
    <w:rsid w:val="00A544AE"/>
    <w:rsid w:val="00A544C6"/>
    <w:rsid w:val="00A54F0C"/>
    <w:rsid w:val="00A56517"/>
    <w:rsid w:val="00A607DF"/>
    <w:rsid w:val="00A60F7F"/>
    <w:rsid w:val="00A62C32"/>
    <w:rsid w:val="00A64F00"/>
    <w:rsid w:val="00A656AF"/>
    <w:rsid w:val="00A656CC"/>
    <w:rsid w:val="00A66558"/>
    <w:rsid w:val="00A6785A"/>
    <w:rsid w:val="00A67FAE"/>
    <w:rsid w:val="00A704FE"/>
    <w:rsid w:val="00A7079A"/>
    <w:rsid w:val="00A71357"/>
    <w:rsid w:val="00A727D6"/>
    <w:rsid w:val="00A72E95"/>
    <w:rsid w:val="00A73AE5"/>
    <w:rsid w:val="00A744AD"/>
    <w:rsid w:val="00A7462F"/>
    <w:rsid w:val="00A74781"/>
    <w:rsid w:val="00A75E25"/>
    <w:rsid w:val="00A77DBC"/>
    <w:rsid w:val="00A807EA"/>
    <w:rsid w:val="00A8105E"/>
    <w:rsid w:val="00A81DCB"/>
    <w:rsid w:val="00A82A0C"/>
    <w:rsid w:val="00A82D77"/>
    <w:rsid w:val="00A83D6A"/>
    <w:rsid w:val="00A84570"/>
    <w:rsid w:val="00A8473A"/>
    <w:rsid w:val="00A8563F"/>
    <w:rsid w:val="00A86B7D"/>
    <w:rsid w:val="00A87CA2"/>
    <w:rsid w:val="00A909AE"/>
    <w:rsid w:val="00A91043"/>
    <w:rsid w:val="00A922EB"/>
    <w:rsid w:val="00A93D50"/>
    <w:rsid w:val="00A95EF6"/>
    <w:rsid w:val="00A95F95"/>
    <w:rsid w:val="00A96519"/>
    <w:rsid w:val="00A97433"/>
    <w:rsid w:val="00AA10AE"/>
    <w:rsid w:val="00AA145E"/>
    <w:rsid w:val="00AA3E05"/>
    <w:rsid w:val="00AA6678"/>
    <w:rsid w:val="00AA67B0"/>
    <w:rsid w:val="00AA740E"/>
    <w:rsid w:val="00AB0DD0"/>
    <w:rsid w:val="00AB2302"/>
    <w:rsid w:val="00AB25E0"/>
    <w:rsid w:val="00AB2BAA"/>
    <w:rsid w:val="00AB4205"/>
    <w:rsid w:val="00AB4C0A"/>
    <w:rsid w:val="00AB7FFA"/>
    <w:rsid w:val="00AC083A"/>
    <w:rsid w:val="00AC08B6"/>
    <w:rsid w:val="00AC1C0E"/>
    <w:rsid w:val="00AC1FA2"/>
    <w:rsid w:val="00AC3902"/>
    <w:rsid w:val="00AC4FE0"/>
    <w:rsid w:val="00AC5D2E"/>
    <w:rsid w:val="00AC6742"/>
    <w:rsid w:val="00AC791B"/>
    <w:rsid w:val="00AD189E"/>
    <w:rsid w:val="00AD192C"/>
    <w:rsid w:val="00AD246C"/>
    <w:rsid w:val="00AD2ACE"/>
    <w:rsid w:val="00AD40ED"/>
    <w:rsid w:val="00AD46DC"/>
    <w:rsid w:val="00AD496D"/>
    <w:rsid w:val="00AD70EB"/>
    <w:rsid w:val="00AD7995"/>
    <w:rsid w:val="00AE01CD"/>
    <w:rsid w:val="00AE03C9"/>
    <w:rsid w:val="00AE0F44"/>
    <w:rsid w:val="00AE18F6"/>
    <w:rsid w:val="00AE6272"/>
    <w:rsid w:val="00AE62A0"/>
    <w:rsid w:val="00AE6329"/>
    <w:rsid w:val="00AE7561"/>
    <w:rsid w:val="00AE7E32"/>
    <w:rsid w:val="00AE7F00"/>
    <w:rsid w:val="00AF1159"/>
    <w:rsid w:val="00AF2896"/>
    <w:rsid w:val="00AF2C24"/>
    <w:rsid w:val="00AF4854"/>
    <w:rsid w:val="00AF492C"/>
    <w:rsid w:val="00AF4FB7"/>
    <w:rsid w:val="00AF50AD"/>
    <w:rsid w:val="00AF55F1"/>
    <w:rsid w:val="00AF6A2F"/>
    <w:rsid w:val="00B00A95"/>
    <w:rsid w:val="00B015F4"/>
    <w:rsid w:val="00B03D91"/>
    <w:rsid w:val="00B0550D"/>
    <w:rsid w:val="00B05C12"/>
    <w:rsid w:val="00B05F1C"/>
    <w:rsid w:val="00B06A97"/>
    <w:rsid w:val="00B079CB"/>
    <w:rsid w:val="00B07C93"/>
    <w:rsid w:val="00B10243"/>
    <w:rsid w:val="00B11D6B"/>
    <w:rsid w:val="00B121A6"/>
    <w:rsid w:val="00B12272"/>
    <w:rsid w:val="00B1254A"/>
    <w:rsid w:val="00B13263"/>
    <w:rsid w:val="00B1329D"/>
    <w:rsid w:val="00B1341C"/>
    <w:rsid w:val="00B139D1"/>
    <w:rsid w:val="00B1404B"/>
    <w:rsid w:val="00B1530C"/>
    <w:rsid w:val="00B15577"/>
    <w:rsid w:val="00B17E98"/>
    <w:rsid w:val="00B17EA4"/>
    <w:rsid w:val="00B21224"/>
    <w:rsid w:val="00B21391"/>
    <w:rsid w:val="00B218A8"/>
    <w:rsid w:val="00B21965"/>
    <w:rsid w:val="00B21CC2"/>
    <w:rsid w:val="00B21FF5"/>
    <w:rsid w:val="00B2201F"/>
    <w:rsid w:val="00B225FF"/>
    <w:rsid w:val="00B22B23"/>
    <w:rsid w:val="00B23128"/>
    <w:rsid w:val="00B3086F"/>
    <w:rsid w:val="00B31574"/>
    <w:rsid w:val="00B3186E"/>
    <w:rsid w:val="00B31A2A"/>
    <w:rsid w:val="00B31C35"/>
    <w:rsid w:val="00B31CF7"/>
    <w:rsid w:val="00B329BA"/>
    <w:rsid w:val="00B34110"/>
    <w:rsid w:val="00B3460D"/>
    <w:rsid w:val="00B3572C"/>
    <w:rsid w:val="00B37C34"/>
    <w:rsid w:val="00B37F49"/>
    <w:rsid w:val="00B4054D"/>
    <w:rsid w:val="00B41571"/>
    <w:rsid w:val="00B43C21"/>
    <w:rsid w:val="00B450D1"/>
    <w:rsid w:val="00B517C3"/>
    <w:rsid w:val="00B51BAB"/>
    <w:rsid w:val="00B54A8D"/>
    <w:rsid w:val="00B5503F"/>
    <w:rsid w:val="00B553AA"/>
    <w:rsid w:val="00B55AF6"/>
    <w:rsid w:val="00B55D0D"/>
    <w:rsid w:val="00B5659E"/>
    <w:rsid w:val="00B576C3"/>
    <w:rsid w:val="00B60C85"/>
    <w:rsid w:val="00B60DA5"/>
    <w:rsid w:val="00B60EC4"/>
    <w:rsid w:val="00B61553"/>
    <w:rsid w:val="00B62FD6"/>
    <w:rsid w:val="00B6441B"/>
    <w:rsid w:val="00B64788"/>
    <w:rsid w:val="00B648BF"/>
    <w:rsid w:val="00B65D07"/>
    <w:rsid w:val="00B65F44"/>
    <w:rsid w:val="00B66003"/>
    <w:rsid w:val="00B70146"/>
    <w:rsid w:val="00B71AE3"/>
    <w:rsid w:val="00B73A00"/>
    <w:rsid w:val="00B73C16"/>
    <w:rsid w:val="00B74920"/>
    <w:rsid w:val="00B74DA0"/>
    <w:rsid w:val="00B75377"/>
    <w:rsid w:val="00B75C8A"/>
    <w:rsid w:val="00B76944"/>
    <w:rsid w:val="00B7750E"/>
    <w:rsid w:val="00B77A12"/>
    <w:rsid w:val="00B82A97"/>
    <w:rsid w:val="00B836B9"/>
    <w:rsid w:val="00B83A18"/>
    <w:rsid w:val="00B8472E"/>
    <w:rsid w:val="00B84979"/>
    <w:rsid w:val="00B84AEA"/>
    <w:rsid w:val="00B85263"/>
    <w:rsid w:val="00B8555F"/>
    <w:rsid w:val="00B85CBB"/>
    <w:rsid w:val="00B85F92"/>
    <w:rsid w:val="00B8609F"/>
    <w:rsid w:val="00B86B72"/>
    <w:rsid w:val="00B9047C"/>
    <w:rsid w:val="00B9121B"/>
    <w:rsid w:val="00B92619"/>
    <w:rsid w:val="00B92EE2"/>
    <w:rsid w:val="00B94B4D"/>
    <w:rsid w:val="00B95640"/>
    <w:rsid w:val="00B9566F"/>
    <w:rsid w:val="00B958A1"/>
    <w:rsid w:val="00B95B71"/>
    <w:rsid w:val="00B974D7"/>
    <w:rsid w:val="00BA0F2C"/>
    <w:rsid w:val="00BA2126"/>
    <w:rsid w:val="00BA26BF"/>
    <w:rsid w:val="00BA41E4"/>
    <w:rsid w:val="00BA5928"/>
    <w:rsid w:val="00BA6201"/>
    <w:rsid w:val="00BA6BA0"/>
    <w:rsid w:val="00BA7327"/>
    <w:rsid w:val="00BB164F"/>
    <w:rsid w:val="00BB1D64"/>
    <w:rsid w:val="00BB30AF"/>
    <w:rsid w:val="00BB3ACF"/>
    <w:rsid w:val="00BB3C6C"/>
    <w:rsid w:val="00BB3E86"/>
    <w:rsid w:val="00BB4BF4"/>
    <w:rsid w:val="00BB5F9B"/>
    <w:rsid w:val="00BB6181"/>
    <w:rsid w:val="00BB738E"/>
    <w:rsid w:val="00BB753E"/>
    <w:rsid w:val="00BB75CD"/>
    <w:rsid w:val="00BB77B9"/>
    <w:rsid w:val="00BC0107"/>
    <w:rsid w:val="00BC11A6"/>
    <w:rsid w:val="00BC2880"/>
    <w:rsid w:val="00BC2A1E"/>
    <w:rsid w:val="00BC2D84"/>
    <w:rsid w:val="00BC40A0"/>
    <w:rsid w:val="00BC458C"/>
    <w:rsid w:val="00BC5491"/>
    <w:rsid w:val="00BC578C"/>
    <w:rsid w:val="00BC6E7A"/>
    <w:rsid w:val="00BC7502"/>
    <w:rsid w:val="00BD00F9"/>
    <w:rsid w:val="00BD19F7"/>
    <w:rsid w:val="00BD55EF"/>
    <w:rsid w:val="00BD5A70"/>
    <w:rsid w:val="00BD7682"/>
    <w:rsid w:val="00BD7925"/>
    <w:rsid w:val="00BD7E36"/>
    <w:rsid w:val="00BE024A"/>
    <w:rsid w:val="00BE0748"/>
    <w:rsid w:val="00BE09F4"/>
    <w:rsid w:val="00BE1067"/>
    <w:rsid w:val="00BE3AB7"/>
    <w:rsid w:val="00BE4579"/>
    <w:rsid w:val="00BE5297"/>
    <w:rsid w:val="00BE5727"/>
    <w:rsid w:val="00BE798D"/>
    <w:rsid w:val="00BF00CA"/>
    <w:rsid w:val="00BF0246"/>
    <w:rsid w:val="00BF055C"/>
    <w:rsid w:val="00BF1177"/>
    <w:rsid w:val="00BF169E"/>
    <w:rsid w:val="00BF2898"/>
    <w:rsid w:val="00BF3320"/>
    <w:rsid w:val="00BF35BB"/>
    <w:rsid w:val="00BF3725"/>
    <w:rsid w:val="00BF3B8B"/>
    <w:rsid w:val="00BF3D3D"/>
    <w:rsid w:val="00BF5A88"/>
    <w:rsid w:val="00BF65BD"/>
    <w:rsid w:val="00BF6A72"/>
    <w:rsid w:val="00BF713D"/>
    <w:rsid w:val="00BF7239"/>
    <w:rsid w:val="00BF7650"/>
    <w:rsid w:val="00C025A2"/>
    <w:rsid w:val="00C026BE"/>
    <w:rsid w:val="00C02DB4"/>
    <w:rsid w:val="00C032F4"/>
    <w:rsid w:val="00C03806"/>
    <w:rsid w:val="00C03AB9"/>
    <w:rsid w:val="00C04B88"/>
    <w:rsid w:val="00C055A9"/>
    <w:rsid w:val="00C059E3"/>
    <w:rsid w:val="00C05CCC"/>
    <w:rsid w:val="00C10BF0"/>
    <w:rsid w:val="00C118D1"/>
    <w:rsid w:val="00C11951"/>
    <w:rsid w:val="00C12BD8"/>
    <w:rsid w:val="00C1301F"/>
    <w:rsid w:val="00C13254"/>
    <w:rsid w:val="00C13285"/>
    <w:rsid w:val="00C13B03"/>
    <w:rsid w:val="00C14CA8"/>
    <w:rsid w:val="00C15C9D"/>
    <w:rsid w:val="00C17F07"/>
    <w:rsid w:val="00C2077D"/>
    <w:rsid w:val="00C20859"/>
    <w:rsid w:val="00C20C2E"/>
    <w:rsid w:val="00C21C24"/>
    <w:rsid w:val="00C22116"/>
    <w:rsid w:val="00C22657"/>
    <w:rsid w:val="00C23958"/>
    <w:rsid w:val="00C24999"/>
    <w:rsid w:val="00C25300"/>
    <w:rsid w:val="00C2530B"/>
    <w:rsid w:val="00C25E6A"/>
    <w:rsid w:val="00C261FF"/>
    <w:rsid w:val="00C2652D"/>
    <w:rsid w:val="00C306C7"/>
    <w:rsid w:val="00C315EB"/>
    <w:rsid w:val="00C31A4D"/>
    <w:rsid w:val="00C31C82"/>
    <w:rsid w:val="00C32938"/>
    <w:rsid w:val="00C32DCF"/>
    <w:rsid w:val="00C337CA"/>
    <w:rsid w:val="00C33C7A"/>
    <w:rsid w:val="00C341C9"/>
    <w:rsid w:val="00C343FC"/>
    <w:rsid w:val="00C34E44"/>
    <w:rsid w:val="00C35029"/>
    <w:rsid w:val="00C35BF3"/>
    <w:rsid w:val="00C3668A"/>
    <w:rsid w:val="00C36DA1"/>
    <w:rsid w:val="00C37AA2"/>
    <w:rsid w:val="00C429AC"/>
    <w:rsid w:val="00C43BFE"/>
    <w:rsid w:val="00C44D29"/>
    <w:rsid w:val="00C46801"/>
    <w:rsid w:val="00C50D75"/>
    <w:rsid w:val="00C5217E"/>
    <w:rsid w:val="00C523EA"/>
    <w:rsid w:val="00C52AF2"/>
    <w:rsid w:val="00C52D65"/>
    <w:rsid w:val="00C52E81"/>
    <w:rsid w:val="00C5501F"/>
    <w:rsid w:val="00C5508A"/>
    <w:rsid w:val="00C55A4B"/>
    <w:rsid w:val="00C57FB1"/>
    <w:rsid w:val="00C609D7"/>
    <w:rsid w:val="00C60C6B"/>
    <w:rsid w:val="00C61D4B"/>
    <w:rsid w:val="00C63014"/>
    <w:rsid w:val="00C63D5E"/>
    <w:rsid w:val="00C63E1B"/>
    <w:rsid w:val="00C670F9"/>
    <w:rsid w:val="00C67CF6"/>
    <w:rsid w:val="00C7000C"/>
    <w:rsid w:val="00C70828"/>
    <w:rsid w:val="00C7193D"/>
    <w:rsid w:val="00C7423A"/>
    <w:rsid w:val="00C752AB"/>
    <w:rsid w:val="00C75E87"/>
    <w:rsid w:val="00C76C95"/>
    <w:rsid w:val="00C77C28"/>
    <w:rsid w:val="00C811F3"/>
    <w:rsid w:val="00C81F5D"/>
    <w:rsid w:val="00C827D7"/>
    <w:rsid w:val="00C82B0D"/>
    <w:rsid w:val="00C82C9C"/>
    <w:rsid w:val="00C8321D"/>
    <w:rsid w:val="00C842E9"/>
    <w:rsid w:val="00C847CB"/>
    <w:rsid w:val="00C85425"/>
    <w:rsid w:val="00C9033F"/>
    <w:rsid w:val="00C91DBA"/>
    <w:rsid w:val="00C9314E"/>
    <w:rsid w:val="00C933B3"/>
    <w:rsid w:val="00C94730"/>
    <w:rsid w:val="00C94FB5"/>
    <w:rsid w:val="00CA0580"/>
    <w:rsid w:val="00CA07C0"/>
    <w:rsid w:val="00CA0B02"/>
    <w:rsid w:val="00CA3AF3"/>
    <w:rsid w:val="00CA62F6"/>
    <w:rsid w:val="00CA6A00"/>
    <w:rsid w:val="00CA7BD9"/>
    <w:rsid w:val="00CB0015"/>
    <w:rsid w:val="00CB05AD"/>
    <w:rsid w:val="00CB08CE"/>
    <w:rsid w:val="00CB14A7"/>
    <w:rsid w:val="00CB1847"/>
    <w:rsid w:val="00CB2F06"/>
    <w:rsid w:val="00CB7361"/>
    <w:rsid w:val="00CB7F15"/>
    <w:rsid w:val="00CC08C5"/>
    <w:rsid w:val="00CC2B30"/>
    <w:rsid w:val="00CC3933"/>
    <w:rsid w:val="00CC4A93"/>
    <w:rsid w:val="00CC4E94"/>
    <w:rsid w:val="00CC5685"/>
    <w:rsid w:val="00CD04E0"/>
    <w:rsid w:val="00CD1F02"/>
    <w:rsid w:val="00CD2F8E"/>
    <w:rsid w:val="00CD34A9"/>
    <w:rsid w:val="00CD36F9"/>
    <w:rsid w:val="00CD3E7E"/>
    <w:rsid w:val="00CD3EE6"/>
    <w:rsid w:val="00CD79B5"/>
    <w:rsid w:val="00CD7A10"/>
    <w:rsid w:val="00CD7C5F"/>
    <w:rsid w:val="00CE0453"/>
    <w:rsid w:val="00CE11B4"/>
    <w:rsid w:val="00CE1F28"/>
    <w:rsid w:val="00CE217F"/>
    <w:rsid w:val="00CE3AD2"/>
    <w:rsid w:val="00CE470B"/>
    <w:rsid w:val="00CE618A"/>
    <w:rsid w:val="00CE720A"/>
    <w:rsid w:val="00CE7234"/>
    <w:rsid w:val="00CE788F"/>
    <w:rsid w:val="00CF053A"/>
    <w:rsid w:val="00CF0A95"/>
    <w:rsid w:val="00CF15CD"/>
    <w:rsid w:val="00CF1A6D"/>
    <w:rsid w:val="00CF1DAA"/>
    <w:rsid w:val="00CF1FD8"/>
    <w:rsid w:val="00CF2517"/>
    <w:rsid w:val="00CF304B"/>
    <w:rsid w:val="00CF5DBA"/>
    <w:rsid w:val="00CF676A"/>
    <w:rsid w:val="00CF6BCD"/>
    <w:rsid w:val="00CF6BE0"/>
    <w:rsid w:val="00CF6EF8"/>
    <w:rsid w:val="00CF6F11"/>
    <w:rsid w:val="00CF77E4"/>
    <w:rsid w:val="00D01C32"/>
    <w:rsid w:val="00D02743"/>
    <w:rsid w:val="00D03006"/>
    <w:rsid w:val="00D03603"/>
    <w:rsid w:val="00D105A2"/>
    <w:rsid w:val="00D10B13"/>
    <w:rsid w:val="00D10B7F"/>
    <w:rsid w:val="00D11264"/>
    <w:rsid w:val="00D1231F"/>
    <w:rsid w:val="00D1271D"/>
    <w:rsid w:val="00D1304F"/>
    <w:rsid w:val="00D13A0E"/>
    <w:rsid w:val="00D13DC3"/>
    <w:rsid w:val="00D147E7"/>
    <w:rsid w:val="00D16464"/>
    <w:rsid w:val="00D17300"/>
    <w:rsid w:val="00D21A7B"/>
    <w:rsid w:val="00D22A5C"/>
    <w:rsid w:val="00D26C6D"/>
    <w:rsid w:val="00D27373"/>
    <w:rsid w:val="00D27392"/>
    <w:rsid w:val="00D27805"/>
    <w:rsid w:val="00D33083"/>
    <w:rsid w:val="00D3387B"/>
    <w:rsid w:val="00D3473C"/>
    <w:rsid w:val="00D34B7D"/>
    <w:rsid w:val="00D367F5"/>
    <w:rsid w:val="00D37786"/>
    <w:rsid w:val="00D37A24"/>
    <w:rsid w:val="00D37B10"/>
    <w:rsid w:val="00D41E7E"/>
    <w:rsid w:val="00D42DAF"/>
    <w:rsid w:val="00D42F74"/>
    <w:rsid w:val="00D439FD"/>
    <w:rsid w:val="00D44913"/>
    <w:rsid w:val="00D44AE1"/>
    <w:rsid w:val="00D451A3"/>
    <w:rsid w:val="00D45A29"/>
    <w:rsid w:val="00D45CBF"/>
    <w:rsid w:val="00D463F9"/>
    <w:rsid w:val="00D46A39"/>
    <w:rsid w:val="00D46B85"/>
    <w:rsid w:val="00D4753A"/>
    <w:rsid w:val="00D47E76"/>
    <w:rsid w:val="00D50AEF"/>
    <w:rsid w:val="00D50C75"/>
    <w:rsid w:val="00D51955"/>
    <w:rsid w:val="00D51F0A"/>
    <w:rsid w:val="00D537C6"/>
    <w:rsid w:val="00D541F7"/>
    <w:rsid w:val="00D5496A"/>
    <w:rsid w:val="00D550BD"/>
    <w:rsid w:val="00D55E37"/>
    <w:rsid w:val="00D56BF7"/>
    <w:rsid w:val="00D5755A"/>
    <w:rsid w:val="00D579F8"/>
    <w:rsid w:val="00D617B6"/>
    <w:rsid w:val="00D61954"/>
    <w:rsid w:val="00D619EF"/>
    <w:rsid w:val="00D61F44"/>
    <w:rsid w:val="00D63F65"/>
    <w:rsid w:val="00D64EE1"/>
    <w:rsid w:val="00D70280"/>
    <w:rsid w:val="00D710E8"/>
    <w:rsid w:val="00D71A7F"/>
    <w:rsid w:val="00D7267D"/>
    <w:rsid w:val="00D7373D"/>
    <w:rsid w:val="00D73D4D"/>
    <w:rsid w:val="00D748E3"/>
    <w:rsid w:val="00D74F7E"/>
    <w:rsid w:val="00D766EE"/>
    <w:rsid w:val="00D77889"/>
    <w:rsid w:val="00D827EE"/>
    <w:rsid w:val="00D82B22"/>
    <w:rsid w:val="00D82BF2"/>
    <w:rsid w:val="00D83681"/>
    <w:rsid w:val="00D85438"/>
    <w:rsid w:val="00D86305"/>
    <w:rsid w:val="00D86418"/>
    <w:rsid w:val="00D86C14"/>
    <w:rsid w:val="00D902AB"/>
    <w:rsid w:val="00D90785"/>
    <w:rsid w:val="00D91193"/>
    <w:rsid w:val="00D93235"/>
    <w:rsid w:val="00D93306"/>
    <w:rsid w:val="00D938D1"/>
    <w:rsid w:val="00D938F6"/>
    <w:rsid w:val="00D93EC0"/>
    <w:rsid w:val="00D9413E"/>
    <w:rsid w:val="00D942C3"/>
    <w:rsid w:val="00D96C12"/>
    <w:rsid w:val="00D9752A"/>
    <w:rsid w:val="00D975A8"/>
    <w:rsid w:val="00D97A8C"/>
    <w:rsid w:val="00D97FBA"/>
    <w:rsid w:val="00DA020D"/>
    <w:rsid w:val="00DA207B"/>
    <w:rsid w:val="00DA28B3"/>
    <w:rsid w:val="00DA390A"/>
    <w:rsid w:val="00DA7824"/>
    <w:rsid w:val="00DA7986"/>
    <w:rsid w:val="00DB14A0"/>
    <w:rsid w:val="00DB2E2B"/>
    <w:rsid w:val="00DB3683"/>
    <w:rsid w:val="00DB373A"/>
    <w:rsid w:val="00DB3C62"/>
    <w:rsid w:val="00DB4C2E"/>
    <w:rsid w:val="00DB540F"/>
    <w:rsid w:val="00DC3348"/>
    <w:rsid w:val="00DC3DE3"/>
    <w:rsid w:val="00DC4318"/>
    <w:rsid w:val="00DC6232"/>
    <w:rsid w:val="00DC6AAF"/>
    <w:rsid w:val="00DC71CA"/>
    <w:rsid w:val="00DC7F57"/>
    <w:rsid w:val="00DD0062"/>
    <w:rsid w:val="00DD24A5"/>
    <w:rsid w:val="00DD33F3"/>
    <w:rsid w:val="00DD3FE6"/>
    <w:rsid w:val="00DD617E"/>
    <w:rsid w:val="00DD6615"/>
    <w:rsid w:val="00DD6F86"/>
    <w:rsid w:val="00DD7281"/>
    <w:rsid w:val="00DD7AA6"/>
    <w:rsid w:val="00DE1280"/>
    <w:rsid w:val="00DE214E"/>
    <w:rsid w:val="00DE474C"/>
    <w:rsid w:val="00DE4ADB"/>
    <w:rsid w:val="00DE5404"/>
    <w:rsid w:val="00DE6211"/>
    <w:rsid w:val="00DE6C7D"/>
    <w:rsid w:val="00DE750B"/>
    <w:rsid w:val="00DF003A"/>
    <w:rsid w:val="00DF0E87"/>
    <w:rsid w:val="00DF16E3"/>
    <w:rsid w:val="00DF3E6E"/>
    <w:rsid w:val="00DF59B1"/>
    <w:rsid w:val="00DF7428"/>
    <w:rsid w:val="00E015AE"/>
    <w:rsid w:val="00E01736"/>
    <w:rsid w:val="00E01748"/>
    <w:rsid w:val="00E01A03"/>
    <w:rsid w:val="00E01B5B"/>
    <w:rsid w:val="00E022ED"/>
    <w:rsid w:val="00E034C3"/>
    <w:rsid w:val="00E03774"/>
    <w:rsid w:val="00E0430E"/>
    <w:rsid w:val="00E0442A"/>
    <w:rsid w:val="00E06538"/>
    <w:rsid w:val="00E06C5A"/>
    <w:rsid w:val="00E07CED"/>
    <w:rsid w:val="00E10A5F"/>
    <w:rsid w:val="00E10DE2"/>
    <w:rsid w:val="00E11F37"/>
    <w:rsid w:val="00E1245E"/>
    <w:rsid w:val="00E12618"/>
    <w:rsid w:val="00E140DD"/>
    <w:rsid w:val="00E158DF"/>
    <w:rsid w:val="00E15E34"/>
    <w:rsid w:val="00E1692C"/>
    <w:rsid w:val="00E170F3"/>
    <w:rsid w:val="00E17901"/>
    <w:rsid w:val="00E2002C"/>
    <w:rsid w:val="00E21171"/>
    <w:rsid w:val="00E21F71"/>
    <w:rsid w:val="00E230C9"/>
    <w:rsid w:val="00E232D1"/>
    <w:rsid w:val="00E2381D"/>
    <w:rsid w:val="00E24611"/>
    <w:rsid w:val="00E24648"/>
    <w:rsid w:val="00E25420"/>
    <w:rsid w:val="00E25C5F"/>
    <w:rsid w:val="00E26F28"/>
    <w:rsid w:val="00E301D6"/>
    <w:rsid w:val="00E30819"/>
    <w:rsid w:val="00E309D6"/>
    <w:rsid w:val="00E313F3"/>
    <w:rsid w:val="00E331CC"/>
    <w:rsid w:val="00E332D2"/>
    <w:rsid w:val="00E33535"/>
    <w:rsid w:val="00E33BAB"/>
    <w:rsid w:val="00E34B37"/>
    <w:rsid w:val="00E36E0A"/>
    <w:rsid w:val="00E3758F"/>
    <w:rsid w:val="00E40541"/>
    <w:rsid w:val="00E406FD"/>
    <w:rsid w:val="00E4093F"/>
    <w:rsid w:val="00E4171C"/>
    <w:rsid w:val="00E420A9"/>
    <w:rsid w:val="00E4309A"/>
    <w:rsid w:val="00E4376C"/>
    <w:rsid w:val="00E43869"/>
    <w:rsid w:val="00E4401F"/>
    <w:rsid w:val="00E44817"/>
    <w:rsid w:val="00E45BE2"/>
    <w:rsid w:val="00E4647C"/>
    <w:rsid w:val="00E46F60"/>
    <w:rsid w:val="00E470BA"/>
    <w:rsid w:val="00E4744B"/>
    <w:rsid w:val="00E47578"/>
    <w:rsid w:val="00E5034F"/>
    <w:rsid w:val="00E520A6"/>
    <w:rsid w:val="00E52551"/>
    <w:rsid w:val="00E52778"/>
    <w:rsid w:val="00E52BD5"/>
    <w:rsid w:val="00E53178"/>
    <w:rsid w:val="00E53340"/>
    <w:rsid w:val="00E5365F"/>
    <w:rsid w:val="00E54133"/>
    <w:rsid w:val="00E548CE"/>
    <w:rsid w:val="00E54A29"/>
    <w:rsid w:val="00E56DE7"/>
    <w:rsid w:val="00E576EB"/>
    <w:rsid w:val="00E577FC"/>
    <w:rsid w:val="00E57843"/>
    <w:rsid w:val="00E57B29"/>
    <w:rsid w:val="00E60A0F"/>
    <w:rsid w:val="00E61389"/>
    <w:rsid w:val="00E625D2"/>
    <w:rsid w:val="00E6441A"/>
    <w:rsid w:val="00E671E6"/>
    <w:rsid w:val="00E673D4"/>
    <w:rsid w:val="00E6777D"/>
    <w:rsid w:val="00E6787A"/>
    <w:rsid w:val="00E67AE0"/>
    <w:rsid w:val="00E70002"/>
    <w:rsid w:val="00E70215"/>
    <w:rsid w:val="00E704D7"/>
    <w:rsid w:val="00E70A3D"/>
    <w:rsid w:val="00E7122D"/>
    <w:rsid w:val="00E73169"/>
    <w:rsid w:val="00E73242"/>
    <w:rsid w:val="00E74308"/>
    <w:rsid w:val="00E75AF1"/>
    <w:rsid w:val="00E7747F"/>
    <w:rsid w:val="00E7792D"/>
    <w:rsid w:val="00E8090F"/>
    <w:rsid w:val="00E80BE9"/>
    <w:rsid w:val="00E818D5"/>
    <w:rsid w:val="00E81F49"/>
    <w:rsid w:val="00E836F0"/>
    <w:rsid w:val="00E84490"/>
    <w:rsid w:val="00E85486"/>
    <w:rsid w:val="00E86A28"/>
    <w:rsid w:val="00E86B1A"/>
    <w:rsid w:val="00E90BDD"/>
    <w:rsid w:val="00E91734"/>
    <w:rsid w:val="00E91E50"/>
    <w:rsid w:val="00E924FD"/>
    <w:rsid w:val="00E925C1"/>
    <w:rsid w:val="00E93C71"/>
    <w:rsid w:val="00E96F24"/>
    <w:rsid w:val="00E979D1"/>
    <w:rsid w:val="00E97ABF"/>
    <w:rsid w:val="00E97C10"/>
    <w:rsid w:val="00EA02D6"/>
    <w:rsid w:val="00EA1A9B"/>
    <w:rsid w:val="00EA1E02"/>
    <w:rsid w:val="00EA292F"/>
    <w:rsid w:val="00EA52F3"/>
    <w:rsid w:val="00EA599A"/>
    <w:rsid w:val="00EA60F5"/>
    <w:rsid w:val="00EA6731"/>
    <w:rsid w:val="00EA7269"/>
    <w:rsid w:val="00EB06CB"/>
    <w:rsid w:val="00EB10B9"/>
    <w:rsid w:val="00EB27FA"/>
    <w:rsid w:val="00EB38A7"/>
    <w:rsid w:val="00EB44FB"/>
    <w:rsid w:val="00EB47C0"/>
    <w:rsid w:val="00EB4CE0"/>
    <w:rsid w:val="00EB4E29"/>
    <w:rsid w:val="00EB7143"/>
    <w:rsid w:val="00EB730B"/>
    <w:rsid w:val="00EC089C"/>
    <w:rsid w:val="00EC1850"/>
    <w:rsid w:val="00EC1C54"/>
    <w:rsid w:val="00EC2911"/>
    <w:rsid w:val="00EC2A95"/>
    <w:rsid w:val="00EC2B30"/>
    <w:rsid w:val="00EC4E6C"/>
    <w:rsid w:val="00EC548A"/>
    <w:rsid w:val="00EC5CEE"/>
    <w:rsid w:val="00EC60AC"/>
    <w:rsid w:val="00EC619A"/>
    <w:rsid w:val="00EC6FB6"/>
    <w:rsid w:val="00EC7F08"/>
    <w:rsid w:val="00ED0552"/>
    <w:rsid w:val="00ED2917"/>
    <w:rsid w:val="00ED2959"/>
    <w:rsid w:val="00ED2FF9"/>
    <w:rsid w:val="00ED36B2"/>
    <w:rsid w:val="00ED3980"/>
    <w:rsid w:val="00ED3F17"/>
    <w:rsid w:val="00ED55EC"/>
    <w:rsid w:val="00ED5AB3"/>
    <w:rsid w:val="00ED7EDB"/>
    <w:rsid w:val="00ED7F39"/>
    <w:rsid w:val="00EE0C95"/>
    <w:rsid w:val="00EE15B0"/>
    <w:rsid w:val="00EE1F3C"/>
    <w:rsid w:val="00EE2251"/>
    <w:rsid w:val="00EE3574"/>
    <w:rsid w:val="00EE42AE"/>
    <w:rsid w:val="00EE48D5"/>
    <w:rsid w:val="00EE50E1"/>
    <w:rsid w:val="00EE5E7E"/>
    <w:rsid w:val="00EE5F10"/>
    <w:rsid w:val="00EE7D1C"/>
    <w:rsid w:val="00EE7E2A"/>
    <w:rsid w:val="00EF0877"/>
    <w:rsid w:val="00EF0EB2"/>
    <w:rsid w:val="00EF132C"/>
    <w:rsid w:val="00EF155B"/>
    <w:rsid w:val="00EF188F"/>
    <w:rsid w:val="00EF1A6A"/>
    <w:rsid w:val="00EF212E"/>
    <w:rsid w:val="00EF500C"/>
    <w:rsid w:val="00EF54BE"/>
    <w:rsid w:val="00EF6E2B"/>
    <w:rsid w:val="00EF73B3"/>
    <w:rsid w:val="00EF7A76"/>
    <w:rsid w:val="00EF7F52"/>
    <w:rsid w:val="00F001B7"/>
    <w:rsid w:val="00F00ED8"/>
    <w:rsid w:val="00F011C8"/>
    <w:rsid w:val="00F02D4B"/>
    <w:rsid w:val="00F03881"/>
    <w:rsid w:val="00F03FC7"/>
    <w:rsid w:val="00F04628"/>
    <w:rsid w:val="00F065A5"/>
    <w:rsid w:val="00F119C0"/>
    <w:rsid w:val="00F13899"/>
    <w:rsid w:val="00F13B13"/>
    <w:rsid w:val="00F14E3F"/>
    <w:rsid w:val="00F15B5B"/>
    <w:rsid w:val="00F15D2C"/>
    <w:rsid w:val="00F1656A"/>
    <w:rsid w:val="00F16D37"/>
    <w:rsid w:val="00F16F38"/>
    <w:rsid w:val="00F1798B"/>
    <w:rsid w:val="00F2013C"/>
    <w:rsid w:val="00F20408"/>
    <w:rsid w:val="00F20EBD"/>
    <w:rsid w:val="00F21BC5"/>
    <w:rsid w:val="00F227E6"/>
    <w:rsid w:val="00F22C2F"/>
    <w:rsid w:val="00F22F22"/>
    <w:rsid w:val="00F2425C"/>
    <w:rsid w:val="00F2443D"/>
    <w:rsid w:val="00F247C2"/>
    <w:rsid w:val="00F249D0"/>
    <w:rsid w:val="00F25088"/>
    <w:rsid w:val="00F307A4"/>
    <w:rsid w:val="00F30B09"/>
    <w:rsid w:val="00F316D2"/>
    <w:rsid w:val="00F31A87"/>
    <w:rsid w:val="00F32123"/>
    <w:rsid w:val="00F325DF"/>
    <w:rsid w:val="00F33882"/>
    <w:rsid w:val="00F3390F"/>
    <w:rsid w:val="00F33B2F"/>
    <w:rsid w:val="00F346E5"/>
    <w:rsid w:val="00F34C31"/>
    <w:rsid w:val="00F354D2"/>
    <w:rsid w:val="00F35F0F"/>
    <w:rsid w:val="00F36741"/>
    <w:rsid w:val="00F37D59"/>
    <w:rsid w:val="00F46117"/>
    <w:rsid w:val="00F47A38"/>
    <w:rsid w:val="00F50D35"/>
    <w:rsid w:val="00F539FA"/>
    <w:rsid w:val="00F554C1"/>
    <w:rsid w:val="00F55866"/>
    <w:rsid w:val="00F562BE"/>
    <w:rsid w:val="00F567D2"/>
    <w:rsid w:val="00F571AE"/>
    <w:rsid w:val="00F57645"/>
    <w:rsid w:val="00F57C79"/>
    <w:rsid w:val="00F600A8"/>
    <w:rsid w:val="00F604F3"/>
    <w:rsid w:val="00F61F5F"/>
    <w:rsid w:val="00F62301"/>
    <w:rsid w:val="00F629AC"/>
    <w:rsid w:val="00F633C8"/>
    <w:rsid w:val="00F63B44"/>
    <w:rsid w:val="00F63D9C"/>
    <w:rsid w:val="00F6493C"/>
    <w:rsid w:val="00F65261"/>
    <w:rsid w:val="00F67143"/>
    <w:rsid w:val="00F70982"/>
    <w:rsid w:val="00F709E6"/>
    <w:rsid w:val="00F70EEF"/>
    <w:rsid w:val="00F726CC"/>
    <w:rsid w:val="00F72BAF"/>
    <w:rsid w:val="00F738F5"/>
    <w:rsid w:val="00F73E0B"/>
    <w:rsid w:val="00F73E15"/>
    <w:rsid w:val="00F73EB5"/>
    <w:rsid w:val="00F76AEF"/>
    <w:rsid w:val="00F76BF5"/>
    <w:rsid w:val="00F77AB0"/>
    <w:rsid w:val="00F814C4"/>
    <w:rsid w:val="00F818B1"/>
    <w:rsid w:val="00F81D14"/>
    <w:rsid w:val="00F836FE"/>
    <w:rsid w:val="00F85BE3"/>
    <w:rsid w:val="00F85D5A"/>
    <w:rsid w:val="00F86440"/>
    <w:rsid w:val="00F86610"/>
    <w:rsid w:val="00F86DBE"/>
    <w:rsid w:val="00F86E09"/>
    <w:rsid w:val="00F871F9"/>
    <w:rsid w:val="00F879A9"/>
    <w:rsid w:val="00F9051A"/>
    <w:rsid w:val="00F914FA"/>
    <w:rsid w:val="00F93570"/>
    <w:rsid w:val="00F9408B"/>
    <w:rsid w:val="00F945F4"/>
    <w:rsid w:val="00F94692"/>
    <w:rsid w:val="00F95D68"/>
    <w:rsid w:val="00F95E58"/>
    <w:rsid w:val="00F9617A"/>
    <w:rsid w:val="00F9670C"/>
    <w:rsid w:val="00F96953"/>
    <w:rsid w:val="00FA2599"/>
    <w:rsid w:val="00FA2748"/>
    <w:rsid w:val="00FA5ABD"/>
    <w:rsid w:val="00FA5E1B"/>
    <w:rsid w:val="00FA704A"/>
    <w:rsid w:val="00FA7859"/>
    <w:rsid w:val="00FB0F1A"/>
    <w:rsid w:val="00FB197D"/>
    <w:rsid w:val="00FB1A48"/>
    <w:rsid w:val="00FB1F12"/>
    <w:rsid w:val="00FB2043"/>
    <w:rsid w:val="00FB2148"/>
    <w:rsid w:val="00FB2672"/>
    <w:rsid w:val="00FB292D"/>
    <w:rsid w:val="00FB3422"/>
    <w:rsid w:val="00FB36C2"/>
    <w:rsid w:val="00FB3794"/>
    <w:rsid w:val="00FB37DC"/>
    <w:rsid w:val="00FB522B"/>
    <w:rsid w:val="00FB54E0"/>
    <w:rsid w:val="00FB673C"/>
    <w:rsid w:val="00FC258C"/>
    <w:rsid w:val="00FC2AF7"/>
    <w:rsid w:val="00FC3E17"/>
    <w:rsid w:val="00FC3F45"/>
    <w:rsid w:val="00FC5332"/>
    <w:rsid w:val="00FC54DF"/>
    <w:rsid w:val="00FC5835"/>
    <w:rsid w:val="00FC6CBF"/>
    <w:rsid w:val="00FC7995"/>
    <w:rsid w:val="00FC7B28"/>
    <w:rsid w:val="00FD08A3"/>
    <w:rsid w:val="00FD10DB"/>
    <w:rsid w:val="00FD1A32"/>
    <w:rsid w:val="00FD1C29"/>
    <w:rsid w:val="00FD22E9"/>
    <w:rsid w:val="00FD2E5D"/>
    <w:rsid w:val="00FD3410"/>
    <w:rsid w:val="00FD3EBB"/>
    <w:rsid w:val="00FD6A27"/>
    <w:rsid w:val="00FD72BD"/>
    <w:rsid w:val="00FD76EA"/>
    <w:rsid w:val="00FE2327"/>
    <w:rsid w:val="00FE2C3F"/>
    <w:rsid w:val="00FE786C"/>
    <w:rsid w:val="00FE7907"/>
    <w:rsid w:val="00FE7E19"/>
    <w:rsid w:val="00FE7ED5"/>
    <w:rsid w:val="00FF033E"/>
    <w:rsid w:val="00FF22FE"/>
    <w:rsid w:val="00FF273E"/>
    <w:rsid w:val="00FF2AF9"/>
    <w:rsid w:val="00FF48F4"/>
    <w:rsid w:val="00FF49CD"/>
    <w:rsid w:val="00FF53DB"/>
    <w:rsid w:val="00FF6279"/>
    <w:rsid w:val="00FF635E"/>
    <w:rsid w:val="00FF685F"/>
    <w:rsid w:val="00FF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DDFBB"/>
  <w15:chartTrackingRefBased/>
  <w15:docId w15:val="{7C65FA48-9F22-4E26-B966-E2693918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Capitole"/>
    <w:basedOn w:val="Normal"/>
    <w:next w:val="Normal"/>
    <w:link w:val="Heading1Char"/>
    <w:uiPriority w:val="9"/>
    <w:qFormat/>
    <w:rsid w:val="00C75E87"/>
    <w:pPr>
      <w:keepNext/>
      <w:keepLines/>
      <w:numPr>
        <w:numId w:val="1"/>
      </w:numPr>
      <w:spacing w:before="240" w:after="0" w:line="276" w:lineRule="auto"/>
      <w:jc w:val="center"/>
      <w:outlineLvl w:val="0"/>
    </w:pPr>
    <w:rPr>
      <w:rFonts w:ascii="Times New Roman" w:eastAsiaTheme="majorEastAsia" w:hAnsi="Times New Roman" w:cstheme="majorBidi"/>
      <w:b/>
      <w:sz w:val="32"/>
      <w:szCs w:val="32"/>
      <w:lang w:val="ro-MD"/>
    </w:rPr>
  </w:style>
  <w:style w:type="paragraph" w:styleId="Heading2">
    <w:name w:val="heading 2"/>
    <w:aliases w:val="Subcapitole"/>
    <w:basedOn w:val="Heading1"/>
    <w:next w:val="Normal"/>
    <w:link w:val="Heading2Char"/>
    <w:uiPriority w:val="9"/>
    <w:unhideWhenUsed/>
    <w:qFormat/>
    <w:rsid w:val="00C52E81"/>
    <w:pPr>
      <w:numPr>
        <w:numId w:val="0"/>
      </w:numPr>
      <w:spacing w:before="40" w:line="240" w:lineRule="auto"/>
      <w:ind w:firstLine="709"/>
      <w:jc w:val="both"/>
      <w:outlineLvl w:val="1"/>
    </w:pPr>
    <w:rPr>
      <w:rFonts w:eastAsia="Times New Roman" w:cs="Times New Roman"/>
      <w:bCs/>
      <w:sz w:val="28"/>
      <w:szCs w:val="28"/>
      <w:lang w:eastAsia="ro-RO"/>
    </w:rPr>
  </w:style>
  <w:style w:type="paragraph" w:styleId="Heading4">
    <w:name w:val="heading 4"/>
    <w:basedOn w:val="Normal"/>
    <w:next w:val="Normal"/>
    <w:link w:val="Heading4Char"/>
    <w:autoRedefine/>
    <w:uiPriority w:val="9"/>
    <w:unhideWhenUsed/>
    <w:qFormat/>
    <w:rsid w:val="00C75E87"/>
    <w:pPr>
      <w:keepNext/>
      <w:keepLines/>
      <w:numPr>
        <w:ilvl w:val="3"/>
        <w:numId w:val="1"/>
      </w:numPr>
      <w:spacing w:before="40" w:after="0" w:line="276" w:lineRule="auto"/>
      <w:jc w:val="both"/>
      <w:outlineLvl w:val="3"/>
    </w:pPr>
    <w:rPr>
      <w:rFonts w:ascii="Times New Roman" w:eastAsiaTheme="majorEastAsia" w:hAnsi="Times New Roman" w:cstheme="majorBidi"/>
      <w:i/>
      <w:iCs/>
      <w:sz w:val="28"/>
      <w:lang w:val="ro-MD"/>
    </w:rPr>
  </w:style>
  <w:style w:type="paragraph" w:styleId="Heading5">
    <w:name w:val="heading 5"/>
    <w:basedOn w:val="Normal"/>
    <w:next w:val="Normal"/>
    <w:link w:val="Heading5Char"/>
    <w:uiPriority w:val="9"/>
    <w:semiHidden/>
    <w:unhideWhenUsed/>
    <w:qFormat/>
    <w:rsid w:val="00C75E87"/>
    <w:pPr>
      <w:keepNext/>
      <w:keepLines/>
      <w:numPr>
        <w:ilvl w:val="4"/>
        <w:numId w:val="1"/>
      </w:numPr>
      <w:spacing w:before="40" w:after="0" w:line="276" w:lineRule="auto"/>
      <w:jc w:val="both"/>
      <w:outlineLvl w:val="4"/>
    </w:pPr>
    <w:rPr>
      <w:rFonts w:asciiTheme="majorHAnsi" w:eastAsiaTheme="majorEastAsia" w:hAnsiTheme="majorHAnsi" w:cstheme="majorBidi"/>
      <w:color w:val="2E74B5" w:themeColor="accent1" w:themeShade="BF"/>
      <w:sz w:val="28"/>
      <w:lang w:val="ro-MD"/>
    </w:rPr>
  </w:style>
  <w:style w:type="paragraph" w:styleId="Heading6">
    <w:name w:val="heading 6"/>
    <w:basedOn w:val="Normal"/>
    <w:next w:val="Normal"/>
    <w:link w:val="Heading6Char"/>
    <w:uiPriority w:val="9"/>
    <w:semiHidden/>
    <w:unhideWhenUsed/>
    <w:qFormat/>
    <w:rsid w:val="00C75E87"/>
    <w:pPr>
      <w:keepNext/>
      <w:keepLines/>
      <w:numPr>
        <w:ilvl w:val="5"/>
        <w:numId w:val="1"/>
      </w:numPr>
      <w:spacing w:before="40" w:after="0" w:line="276" w:lineRule="auto"/>
      <w:jc w:val="both"/>
      <w:outlineLvl w:val="5"/>
    </w:pPr>
    <w:rPr>
      <w:rFonts w:asciiTheme="majorHAnsi" w:eastAsiaTheme="majorEastAsia" w:hAnsiTheme="majorHAnsi" w:cstheme="majorBidi"/>
      <w:color w:val="1F4D78" w:themeColor="accent1" w:themeShade="7F"/>
      <w:sz w:val="28"/>
      <w:lang w:val="ro-MD"/>
    </w:rPr>
  </w:style>
  <w:style w:type="paragraph" w:styleId="Heading7">
    <w:name w:val="heading 7"/>
    <w:basedOn w:val="Normal"/>
    <w:next w:val="Normal"/>
    <w:link w:val="Heading7Char"/>
    <w:uiPriority w:val="9"/>
    <w:semiHidden/>
    <w:unhideWhenUsed/>
    <w:qFormat/>
    <w:rsid w:val="00C75E87"/>
    <w:pPr>
      <w:keepNext/>
      <w:keepLines/>
      <w:numPr>
        <w:ilvl w:val="6"/>
        <w:numId w:val="1"/>
      </w:numPr>
      <w:spacing w:before="40" w:after="0" w:line="276" w:lineRule="auto"/>
      <w:jc w:val="both"/>
      <w:outlineLvl w:val="6"/>
    </w:pPr>
    <w:rPr>
      <w:rFonts w:asciiTheme="majorHAnsi" w:eastAsiaTheme="majorEastAsia" w:hAnsiTheme="majorHAnsi" w:cstheme="majorBidi"/>
      <w:i/>
      <w:iCs/>
      <w:color w:val="1F4D78" w:themeColor="accent1" w:themeShade="7F"/>
      <w:sz w:val="28"/>
      <w:lang w:val="ro-MD"/>
    </w:rPr>
  </w:style>
  <w:style w:type="paragraph" w:styleId="Heading8">
    <w:name w:val="heading 8"/>
    <w:basedOn w:val="Normal"/>
    <w:next w:val="Normal"/>
    <w:link w:val="Heading8Char"/>
    <w:uiPriority w:val="9"/>
    <w:semiHidden/>
    <w:unhideWhenUsed/>
    <w:qFormat/>
    <w:rsid w:val="00C75E87"/>
    <w:pPr>
      <w:keepNext/>
      <w:keepLines/>
      <w:numPr>
        <w:ilvl w:val="7"/>
        <w:numId w:val="1"/>
      </w:numPr>
      <w:spacing w:before="40" w:after="0" w:line="276" w:lineRule="auto"/>
      <w:jc w:val="both"/>
      <w:outlineLvl w:val="7"/>
    </w:pPr>
    <w:rPr>
      <w:rFonts w:asciiTheme="majorHAnsi" w:eastAsiaTheme="majorEastAsia" w:hAnsiTheme="majorHAnsi" w:cstheme="majorBidi"/>
      <w:color w:val="272727" w:themeColor="text1" w:themeTint="D8"/>
      <w:sz w:val="21"/>
      <w:szCs w:val="21"/>
      <w:lang w:val="ro-MD"/>
    </w:rPr>
  </w:style>
  <w:style w:type="paragraph" w:styleId="Heading9">
    <w:name w:val="heading 9"/>
    <w:basedOn w:val="Normal"/>
    <w:next w:val="Normal"/>
    <w:link w:val="Heading9Char"/>
    <w:uiPriority w:val="9"/>
    <w:semiHidden/>
    <w:unhideWhenUsed/>
    <w:qFormat/>
    <w:rsid w:val="00C75E87"/>
    <w:pPr>
      <w:keepNext/>
      <w:keepLines/>
      <w:numPr>
        <w:ilvl w:val="8"/>
        <w:numId w:val="1"/>
      </w:numPr>
      <w:spacing w:before="40" w:after="0" w:line="276" w:lineRule="auto"/>
      <w:jc w:val="both"/>
      <w:outlineLvl w:val="8"/>
    </w:pPr>
    <w:rPr>
      <w:rFonts w:asciiTheme="majorHAnsi" w:eastAsiaTheme="majorEastAsia" w:hAnsiTheme="majorHAnsi" w:cstheme="majorBidi"/>
      <w:i/>
      <w:iCs/>
      <w:color w:val="272727" w:themeColor="text1" w:themeTint="D8"/>
      <w:sz w:val="21"/>
      <w:szCs w:val="21"/>
      <w:lang w:val="ro-M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Scriptoria bullet points,Абзац списка1,Bullets,References,Liste 1,List Paragraph nowy,Numbered List Paragraph,List Paragraph (numbered (a)),Medium Grid 1 - Accent 21,Paragraphe de liste2,Paragraphe de liste1,Dot pt"/>
    <w:basedOn w:val="Normal"/>
    <w:link w:val="ListParagraphChar"/>
    <w:uiPriority w:val="34"/>
    <w:qFormat/>
    <w:rsid w:val="00B225FF"/>
    <w:pPr>
      <w:ind w:left="720"/>
      <w:contextualSpacing/>
    </w:pPr>
  </w:style>
  <w:style w:type="character" w:customStyle="1" w:styleId="ListParagraphChar">
    <w:name w:val="List Paragraph Char"/>
    <w:aliases w:val="List Paragraph 1 Char,Scriptoria bullet points Char,Абзац списка1 Char,Bullets Char,References Char,Liste 1 Char,List Paragraph nowy Char,Numbered List Paragraph Char,List Paragraph (numbered (a)) Char,Medium Grid 1 - Accent 21 Char"/>
    <w:link w:val="ListParagraph"/>
    <w:uiPriority w:val="34"/>
    <w:rsid w:val="00C75E87"/>
  </w:style>
  <w:style w:type="character" w:customStyle="1" w:styleId="Heading1Char">
    <w:name w:val="Heading 1 Char"/>
    <w:aliases w:val="Capitole Char"/>
    <w:basedOn w:val="DefaultParagraphFont"/>
    <w:link w:val="Heading1"/>
    <w:uiPriority w:val="9"/>
    <w:rsid w:val="00C75E87"/>
    <w:rPr>
      <w:rFonts w:ascii="Times New Roman" w:eastAsiaTheme="majorEastAsia" w:hAnsi="Times New Roman" w:cstheme="majorBidi"/>
      <w:b/>
      <w:sz w:val="32"/>
      <w:szCs w:val="32"/>
      <w:lang w:val="ro-MD"/>
    </w:rPr>
  </w:style>
  <w:style w:type="character" w:customStyle="1" w:styleId="Heading4Char">
    <w:name w:val="Heading 4 Char"/>
    <w:basedOn w:val="DefaultParagraphFont"/>
    <w:link w:val="Heading4"/>
    <w:uiPriority w:val="9"/>
    <w:rsid w:val="00C75E87"/>
    <w:rPr>
      <w:rFonts w:ascii="Times New Roman" w:eastAsiaTheme="majorEastAsia" w:hAnsi="Times New Roman" w:cstheme="majorBidi"/>
      <w:i/>
      <w:iCs/>
      <w:sz w:val="28"/>
      <w:lang w:val="ro-MD"/>
    </w:rPr>
  </w:style>
  <w:style w:type="character" w:customStyle="1" w:styleId="Heading5Char">
    <w:name w:val="Heading 5 Char"/>
    <w:basedOn w:val="DefaultParagraphFont"/>
    <w:link w:val="Heading5"/>
    <w:uiPriority w:val="9"/>
    <w:semiHidden/>
    <w:rsid w:val="00C75E87"/>
    <w:rPr>
      <w:rFonts w:asciiTheme="majorHAnsi" w:eastAsiaTheme="majorEastAsia" w:hAnsiTheme="majorHAnsi" w:cstheme="majorBidi"/>
      <w:color w:val="2E74B5" w:themeColor="accent1" w:themeShade="BF"/>
      <w:sz w:val="28"/>
      <w:lang w:val="ro-MD"/>
    </w:rPr>
  </w:style>
  <w:style w:type="character" w:customStyle="1" w:styleId="Heading6Char">
    <w:name w:val="Heading 6 Char"/>
    <w:basedOn w:val="DefaultParagraphFont"/>
    <w:link w:val="Heading6"/>
    <w:uiPriority w:val="9"/>
    <w:semiHidden/>
    <w:rsid w:val="00C75E87"/>
    <w:rPr>
      <w:rFonts w:asciiTheme="majorHAnsi" w:eastAsiaTheme="majorEastAsia" w:hAnsiTheme="majorHAnsi" w:cstheme="majorBidi"/>
      <w:color w:val="1F4D78" w:themeColor="accent1" w:themeShade="7F"/>
      <w:sz w:val="28"/>
      <w:lang w:val="ro-MD"/>
    </w:rPr>
  </w:style>
  <w:style w:type="character" w:customStyle="1" w:styleId="Heading7Char">
    <w:name w:val="Heading 7 Char"/>
    <w:basedOn w:val="DefaultParagraphFont"/>
    <w:link w:val="Heading7"/>
    <w:uiPriority w:val="9"/>
    <w:semiHidden/>
    <w:rsid w:val="00C75E87"/>
    <w:rPr>
      <w:rFonts w:asciiTheme="majorHAnsi" w:eastAsiaTheme="majorEastAsia" w:hAnsiTheme="majorHAnsi" w:cstheme="majorBidi"/>
      <w:i/>
      <w:iCs/>
      <w:color w:val="1F4D78" w:themeColor="accent1" w:themeShade="7F"/>
      <w:sz w:val="28"/>
      <w:lang w:val="ro-MD"/>
    </w:rPr>
  </w:style>
  <w:style w:type="character" w:customStyle="1" w:styleId="Heading8Char">
    <w:name w:val="Heading 8 Char"/>
    <w:basedOn w:val="DefaultParagraphFont"/>
    <w:link w:val="Heading8"/>
    <w:uiPriority w:val="9"/>
    <w:semiHidden/>
    <w:rsid w:val="00C75E87"/>
    <w:rPr>
      <w:rFonts w:asciiTheme="majorHAnsi" w:eastAsiaTheme="majorEastAsia" w:hAnsiTheme="majorHAnsi" w:cstheme="majorBidi"/>
      <w:color w:val="272727" w:themeColor="text1" w:themeTint="D8"/>
      <w:sz w:val="21"/>
      <w:szCs w:val="21"/>
      <w:lang w:val="ro-MD"/>
    </w:rPr>
  </w:style>
  <w:style w:type="character" w:customStyle="1" w:styleId="Heading9Char">
    <w:name w:val="Heading 9 Char"/>
    <w:basedOn w:val="DefaultParagraphFont"/>
    <w:link w:val="Heading9"/>
    <w:uiPriority w:val="9"/>
    <w:semiHidden/>
    <w:rsid w:val="00C75E87"/>
    <w:rPr>
      <w:rFonts w:asciiTheme="majorHAnsi" w:eastAsiaTheme="majorEastAsia" w:hAnsiTheme="majorHAnsi" w:cstheme="majorBidi"/>
      <w:i/>
      <w:iCs/>
      <w:color w:val="272727" w:themeColor="text1" w:themeTint="D8"/>
      <w:sz w:val="21"/>
      <w:szCs w:val="21"/>
      <w:lang w:val="ro-MD"/>
    </w:rPr>
  </w:style>
  <w:style w:type="character" w:styleId="Hyperlink">
    <w:name w:val="Hyperlink"/>
    <w:basedOn w:val="DefaultParagraphFont"/>
    <w:uiPriority w:val="99"/>
    <w:unhideWhenUsed/>
    <w:rsid w:val="00C75E87"/>
    <w:rPr>
      <w:color w:val="0563C1" w:themeColor="hyperlink"/>
      <w:u w:val="single"/>
    </w:rPr>
  </w:style>
  <w:style w:type="paragraph" w:styleId="TOCHeading">
    <w:name w:val="TOC Heading"/>
    <w:basedOn w:val="Heading1"/>
    <w:next w:val="Normal"/>
    <w:uiPriority w:val="39"/>
    <w:unhideWhenUsed/>
    <w:qFormat/>
    <w:rsid w:val="00C75E87"/>
    <w:pPr>
      <w:outlineLvl w:val="9"/>
    </w:pPr>
  </w:style>
  <w:style w:type="paragraph" w:styleId="TOC2">
    <w:name w:val="toc 2"/>
    <w:basedOn w:val="Normal"/>
    <w:next w:val="Normal"/>
    <w:autoRedefine/>
    <w:uiPriority w:val="39"/>
    <w:unhideWhenUsed/>
    <w:rsid w:val="00C75E87"/>
    <w:pPr>
      <w:tabs>
        <w:tab w:val="right" w:leader="dot" w:pos="9344"/>
      </w:tabs>
      <w:spacing w:after="100" w:line="276" w:lineRule="auto"/>
      <w:jc w:val="both"/>
    </w:pPr>
    <w:rPr>
      <w:rFonts w:ascii="Times New Roman" w:eastAsiaTheme="minorEastAsia" w:hAnsi="Times New Roman" w:cs="Times New Roman"/>
      <w:sz w:val="24"/>
      <w:lang w:val="ro-MD"/>
    </w:rPr>
  </w:style>
  <w:style w:type="paragraph" w:styleId="TOC1">
    <w:name w:val="toc 1"/>
    <w:basedOn w:val="Normal"/>
    <w:next w:val="Normal"/>
    <w:autoRedefine/>
    <w:uiPriority w:val="39"/>
    <w:unhideWhenUsed/>
    <w:rsid w:val="00C75E87"/>
    <w:pPr>
      <w:tabs>
        <w:tab w:val="left" w:pos="567"/>
        <w:tab w:val="right" w:leader="dot" w:pos="9344"/>
      </w:tabs>
      <w:spacing w:after="100" w:line="276" w:lineRule="auto"/>
      <w:ind w:left="284"/>
      <w:jc w:val="both"/>
    </w:pPr>
    <w:rPr>
      <w:rFonts w:ascii="Times New Roman" w:eastAsiaTheme="minorEastAsia" w:hAnsi="Times New Roman" w:cs="Times New Roman"/>
      <w:sz w:val="24"/>
      <w:lang w:val="ro-MD"/>
    </w:rPr>
  </w:style>
  <w:style w:type="paragraph" w:styleId="FootnoteText">
    <w:name w:val="footnote text"/>
    <w:aliases w:val="Fußnote Char Char,Fußnote Char,Fußnote Char Car Char Char,Fußnote Char Car Char Char Char Char Char Char Char Char Char Char,Fußnote Char Car Char Char Char Char Char Char Char Char Char Char Char Char Char Char,single space,fn,FOOTNOTES,A"/>
    <w:basedOn w:val="Normal"/>
    <w:link w:val="FootnoteTextChar"/>
    <w:uiPriority w:val="99"/>
    <w:unhideWhenUsed/>
    <w:qFormat/>
    <w:rsid w:val="009C13F5"/>
    <w:pPr>
      <w:spacing w:after="0" w:line="240" w:lineRule="auto"/>
    </w:pPr>
    <w:rPr>
      <w:sz w:val="20"/>
      <w:szCs w:val="20"/>
    </w:rPr>
  </w:style>
  <w:style w:type="character" w:customStyle="1" w:styleId="FootnoteTextChar">
    <w:name w:val="Footnote Text Char"/>
    <w:aliases w:val="Fußnote Char Char Char,Fußnote Char Char1,Fußnote Char Car Char Char Char,Fußnote Char Car Char Char Char Char Char Char Char Char Char Char Char,single space Char,fn Char,FOOTNOTES Char,A Char"/>
    <w:basedOn w:val="DefaultParagraphFont"/>
    <w:link w:val="FootnoteText"/>
    <w:uiPriority w:val="99"/>
    <w:rsid w:val="009C13F5"/>
    <w:rPr>
      <w:sz w:val="20"/>
      <w:szCs w:val="20"/>
    </w:rPr>
  </w:style>
  <w:style w:type="character" w:styleId="FootnoteReference">
    <w:name w:val="footnote reference"/>
    <w:aliases w:val="ftref,Times 10 Point,Exposant 3 Point,Footnote symbol,Footnote reference number,EN Footnote Reference,note TESI,16 Point,Superscript 6 Point,Footnote Text Char2,Char Char1,FOOTNOTES Char1,fn Char1,single space Char1,ft Char1,Ref,fr"/>
    <w:basedOn w:val="DefaultParagraphFont"/>
    <w:link w:val="FNRefeCharChar"/>
    <w:uiPriority w:val="99"/>
    <w:unhideWhenUsed/>
    <w:rsid w:val="009C13F5"/>
    <w:rPr>
      <w:vertAlign w:val="superscript"/>
    </w:rPr>
  </w:style>
  <w:style w:type="character" w:customStyle="1" w:styleId="Heading2Char">
    <w:name w:val="Heading 2 Char"/>
    <w:aliases w:val="Subcapitole Char"/>
    <w:basedOn w:val="DefaultParagraphFont"/>
    <w:link w:val="Heading2"/>
    <w:uiPriority w:val="9"/>
    <w:rsid w:val="00C52E81"/>
    <w:rPr>
      <w:rFonts w:ascii="Times New Roman" w:eastAsia="Times New Roman" w:hAnsi="Times New Roman" w:cs="Times New Roman"/>
      <w:b/>
      <w:bCs/>
      <w:sz w:val="28"/>
      <w:szCs w:val="28"/>
      <w:lang w:val="ro-MD" w:eastAsia="ro-RO"/>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footnote text,Char1,A Знак Знак"/>
    <w:basedOn w:val="Normal"/>
    <w:link w:val="NormalWebChar"/>
    <w:uiPriority w:val="99"/>
    <w:unhideWhenUsed/>
    <w:qFormat/>
    <w:rsid w:val="00C52E81"/>
    <w:pPr>
      <w:spacing w:after="0" w:line="240" w:lineRule="auto"/>
      <w:ind w:firstLine="567"/>
      <w:jc w:val="both"/>
    </w:pPr>
    <w:rPr>
      <w:rFonts w:ascii="Times New Roman" w:eastAsia="Times New Roman" w:hAnsi="Times New Roman" w:cs="Times New Roman"/>
      <w:sz w:val="24"/>
      <w:szCs w:val="24"/>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basedOn w:val="DefaultParagraphFont"/>
    <w:link w:val="NormalWeb"/>
    <w:uiPriority w:val="99"/>
    <w:rsid w:val="00C52E81"/>
    <w:rPr>
      <w:rFonts w:ascii="Times New Roman" w:eastAsia="Times New Roman" w:hAnsi="Times New Roman" w:cs="Times New Roman"/>
      <w:sz w:val="24"/>
      <w:szCs w:val="24"/>
    </w:rPr>
  </w:style>
  <w:style w:type="paragraph" w:customStyle="1" w:styleId="md">
    <w:name w:val="md"/>
    <w:basedOn w:val="Normal"/>
    <w:rsid w:val="00C52E81"/>
    <w:pPr>
      <w:spacing w:after="0" w:line="240" w:lineRule="auto"/>
      <w:ind w:firstLine="567"/>
      <w:jc w:val="both"/>
    </w:pPr>
    <w:rPr>
      <w:rFonts w:ascii="Times New Roman" w:eastAsia="Times New Roman" w:hAnsi="Times New Roman" w:cs="Times New Roman"/>
      <w:i/>
      <w:iCs/>
      <w:color w:val="663300"/>
      <w:sz w:val="20"/>
      <w:szCs w:val="20"/>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C52E81"/>
    <w:pPr>
      <w:spacing w:line="240" w:lineRule="exact"/>
    </w:pPr>
    <w:rPr>
      <w:vertAlign w:val="superscript"/>
    </w:rPr>
  </w:style>
  <w:style w:type="paragraph" w:styleId="NoSpacing">
    <w:name w:val="No Spacing"/>
    <w:aliases w:val="Subsol,referinta"/>
    <w:uiPriority w:val="1"/>
    <w:qFormat/>
    <w:rsid w:val="00C52E81"/>
    <w:pPr>
      <w:widowControl w:val="0"/>
      <w:autoSpaceDE w:val="0"/>
      <w:autoSpaceDN w:val="0"/>
      <w:adjustRightInd w:val="0"/>
      <w:spacing w:after="0" w:line="240" w:lineRule="auto"/>
    </w:pPr>
    <w:rPr>
      <w:rFonts w:ascii="Arial" w:eastAsiaTheme="minorEastAsia" w:hAnsi="Arial" w:cs="Arial"/>
      <w:sz w:val="20"/>
      <w:szCs w:val="20"/>
    </w:rPr>
  </w:style>
  <w:style w:type="table" w:styleId="TableGrid">
    <w:name w:val="Table Grid"/>
    <w:basedOn w:val="TableNormal"/>
    <w:uiPriority w:val="39"/>
    <w:rsid w:val="00C52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Normal"/>
    <w:qFormat/>
    <w:rsid w:val="00C52E81"/>
    <w:pPr>
      <w:spacing w:after="0" w:line="240" w:lineRule="auto"/>
      <w:jc w:val="center"/>
    </w:pPr>
    <w:rPr>
      <w:rFonts w:ascii="Times New Roman" w:eastAsia="Times New Roman" w:hAnsi="Times New Roman" w:cs="Times New Roman"/>
      <w:b/>
      <w:bCs/>
      <w:sz w:val="24"/>
      <w:szCs w:val="24"/>
      <w:lang w:val="ro-MD" w:eastAsia="ro-RO"/>
    </w:rPr>
  </w:style>
  <w:style w:type="paragraph" w:styleId="TOC3">
    <w:name w:val="toc 3"/>
    <w:basedOn w:val="Normal"/>
    <w:next w:val="Normal"/>
    <w:autoRedefine/>
    <w:uiPriority w:val="39"/>
    <w:unhideWhenUsed/>
    <w:rsid w:val="00C52E81"/>
    <w:pPr>
      <w:spacing w:after="100" w:line="276" w:lineRule="auto"/>
      <w:ind w:left="560" w:firstLine="709"/>
      <w:jc w:val="both"/>
    </w:pPr>
    <w:rPr>
      <w:rFonts w:ascii="Times New Roman" w:hAnsi="Times New Roman"/>
      <w:sz w:val="28"/>
      <w:lang w:val="ro-MD"/>
    </w:rPr>
  </w:style>
  <w:style w:type="paragraph" w:styleId="Footer">
    <w:name w:val="footer"/>
    <w:basedOn w:val="Normal"/>
    <w:link w:val="FooterChar"/>
    <w:uiPriority w:val="99"/>
    <w:unhideWhenUsed/>
    <w:rsid w:val="00C52E81"/>
    <w:pPr>
      <w:tabs>
        <w:tab w:val="center" w:pos="4677"/>
        <w:tab w:val="right" w:pos="9355"/>
      </w:tabs>
      <w:spacing w:after="0" w:line="240" w:lineRule="auto"/>
      <w:ind w:firstLine="709"/>
      <w:jc w:val="both"/>
    </w:pPr>
    <w:rPr>
      <w:rFonts w:ascii="Times New Roman" w:hAnsi="Times New Roman"/>
      <w:sz w:val="28"/>
      <w:lang w:val="ro-MD"/>
    </w:rPr>
  </w:style>
  <w:style w:type="character" w:customStyle="1" w:styleId="FooterChar">
    <w:name w:val="Footer Char"/>
    <w:basedOn w:val="DefaultParagraphFont"/>
    <w:link w:val="Footer"/>
    <w:uiPriority w:val="99"/>
    <w:rsid w:val="00C52E81"/>
    <w:rPr>
      <w:rFonts w:ascii="Times New Roman" w:hAnsi="Times New Roman"/>
      <w:sz w:val="28"/>
      <w:lang w:val="ro-MD"/>
    </w:rPr>
  </w:style>
  <w:style w:type="character" w:customStyle="1" w:styleId="2">
    <w:name w:val="Основной текст (2)_"/>
    <w:basedOn w:val="DefaultParagraphFont"/>
    <w:link w:val="20"/>
    <w:rsid w:val="00C52E81"/>
    <w:rPr>
      <w:rFonts w:ascii="Book Antiqua" w:eastAsia="Book Antiqua" w:hAnsi="Book Antiqua" w:cs="Book Antiqua"/>
      <w:sz w:val="18"/>
      <w:szCs w:val="18"/>
      <w:shd w:val="clear" w:color="auto" w:fill="FFFFFF"/>
    </w:rPr>
  </w:style>
  <w:style w:type="paragraph" w:customStyle="1" w:styleId="20">
    <w:name w:val="Основной текст (2)"/>
    <w:basedOn w:val="Normal"/>
    <w:link w:val="2"/>
    <w:rsid w:val="00C52E81"/>
    <w:pPr>
      <w:widowControl w:val="0"/>
      <w:shd w:val="clear" w:color="auto" w:fill="FFFFFF"/>
      <w:spacing w:before="720" w:after="260" w:line="245" w:lineRule="exact"/>
    </w:pPr>
    <w:rPr>
      <w:rFonts w:ascii="Book Antiqua" w:eastAsia="Book Antiqua" w:hAnsi="Book Antiqua" w:cs="Book Antiqua"/>
      <w:sz w:val="18"/>
      <w:szCs w:val="18"/>
    </w:rPr>
  </w:style>
  <w:style w:type="character" w:styleId="CommentReference">
    <w:name w:val="annotation reference"/>
    <w:basedOn w:val="DefaultParagraphFont"/>
    <w:uiPriority w:val="99"/>
    <w:semiHidden/>
    <w:unhideWhenUsed/>
    <w:rsid w:val="00C52E81"/>
    <w:rPr>
      <w:sz w:val="16"/>
      <w:szCs w:val="16"/>
    </w:rPr>
  </w:style>
  <w:style w:type="paragraph" w:styleId="CommentText">
    <w:name w:val="annotation text"/>
    <w:basedOn w:val="Normal"/>
    <w:link w:val="CommentTextChar"/>
    <w:uiPriority w:val="99"/>
    <w:unhideWhenUsed/>
    <w:rsid w:val="00C52E81"/>
    <w:pPr>
      <w:spacing w:line="240" w:lineRule="auto"/>
    </w:pPr>
    <w:rPr>
      <w:sz w:val="20"/>
      <w:szCs w:val="20"/>
    </w:rPr>
  </w:style>
  <w:style w:type="character" w:customStyle="1" w:styleId="CommentTextChar">
    <w:name w:val="Comment Text Char"/>
    <w:basedOn w:val="DefaultParagraphFont"/>
    <w:link w:val="CommentText"/>
    <w:uiPriority w:val="99"/>
    <w:rsid w:val="00C52E81"/>
    <w:rPr>
      <w:sz w:val="20"/>
      <w:szCs w:val="20"/>
    </w:rPr>
  </w:style>
  <w:style w:type="paragraph" w:styleId="CommentSubject">
    <w:name w:val="annotation subject"/>
    <w:basedOn w:val="CommentText"/>
    <w:next w:val="CommentText"/>
    <w:link w:val="CommentSubjectChar"/>
    <w:uiPriority w:val="99"/>
    <w:semiHidden/>
    <w:unhideWhenUsed/>
    <w:rsid w:val="00C52E81"/>
    <w:rPr>
      <w:b/>
      <w:bCs/>
    </w:rPr>
  </w:style>
  <w:style w:type="character" w:customStyle="1" w:styleId="CommentSubjectChar">
    <w:name w:val="Comment Subject Char"/>
    <w:basedOn w:val="CommentTextChar"/>
    <w:link w:val="CommentSubject"/>
    <w:uiPriority w:val="99"/>
    <w:semiHidden/>
    <w:rsid w:val="00C52E81"/>
    <w:rPr>
      <w:b/>
      <w:bCs/>
      <w:sz w:val="20"/>
      <w:szCs w:val="20"/>
    </w:rPr>
  </w:style>
  <w:style w:type="paragraph" w:styleId="BalloonText">
    <w:name w:val="Balloon Text"/>
    <w:basedOn w:val="Normal"/>
    <w:link w:val="BalloonTextChar"/>
    <w:uiPriority w:val="99"/>
    <w:unhideWhenUsed/>
    <w:rsid w:val="00C52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52E81"/>
    <w:rPr>
      <w:rFonts w:ascii="Segoe UI" w:hAnsi="Segoe UI" w:cs="Segoe UI"/>
      <w:sz w:val="18"/>
      <w:szCs w:val="18"/>
    </w:rPr>
  </w:style>
  <w:style w:type="paragraph" w:customStyle="1" w:styleId="cn">
    <w:name w:val="cn"/>
    <w:basedOn w:val="Normal"/>
    <w:rsid w:val="00C52E81"/>
    <w:pPr>
      <w:spacing w:after="0" w:line="240" w:lineRule="auto"/>
      <w:jc w:val="center"/>
    </w:pPr>
    <w:rPr>
      <w:rFonts w:ascii="Times New Roman" w:eastAsia="Times New Roman" w:hAnsi="Times New Roman" w:cs="Times New Roman"/>
      <w:sz w:val="24"/>
      <w:szCs w:val="24"/>
    </w:rPr>
  </w:style>
  <w:style w:type="paragraph" w:customStyle="1" w:styleId="Default">
    <w:name w:val="Default"/>
    <w:rsid w:val="00C52E81"/>
    <w:pPr>
      <w:autoSpaceDE w:val="0"/>
      <w:autoSpaceDN w:val="0"/>
      <w:adjustRightInd w:val="0"/>
      <w:spacing w:after="0" w:line="240" w:lineRule="auto"/>
    </w:pPr>
    <w:rPr>
      <w:rFonts w:ascii="Arial" w:hAnsi="Arial" w:cs="Arial"/>
      <w:color w:val="000000"/>
      <w:sz w:val="24"/>
      <w:szCs w:val="24"/>
    </w:rPr>
  </w:style>
  <w:style w:type="paragraph" w:customStyle="1" w:styleId="cb">
    <w:name w:val="cb"/>
    <w:basedOn w:val="Normal"/>
    <w:rsid w:val="00C52E81"/>
    <w:pPr>
      <w:spacing w:after="0" w:line="240" w:lineRule="auto"/>
      <w:jc w:val="center"/>
    </w:pPr>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52E81"/>
    <w:pPr>
      <w:tabs>
        <w:tab w:val="center" w:pos="4680"/>
        <w:tab w:val="right" w:pos="9360"/>
      </w:tabs>
      <w:spacing w:after="0" w:line="240" w:lineRule="auto"/>
    </w:pPr>
    <w:rPr>
      <w:rFonts w:ascii="Times New Roman" w:eastAsia="Times New Roman" w:hAnsi="Times New Roman" w:cs="Times New Roman"/>
      <w:sz w:val="24"/>
      <w:szCs w:val="24"/>
      <w:lang w:val="ro-MD" w:eastAsia="ru-RU"/>
    </w:rPr>
  </w:style>
  <w:style w:type="character" w:customStyle="1" w:styleId="HeaderChar">
    <w:name w:val="Header Char"/>
    <w:basedOn w:val="DefaultParagraphFont"/>
    <w:link w:val="Header"/>
    <w:uiPriority w:val="99"/>
    <w:rsid w:val="00C52E81"/>
    <w:rPr>
      <w:rFonts w:ascii="Times New Roman" w:eastAsia="Times New Roman" w:hAnsi="Times New Roman" w:cs="Times New Roman"/>
      <w:sz w:val="24"/>
      <w:szCs w:val="24"/>
      <w:lang w:val="ro-MD" w:eastAsia="ru-RU"/>
    </w:rPr>
  </w:style>
  <w:style w:type="paragraph" w:customStyle="1" w:styleId="cp">
    <w:name w:val="cp"/>
    <w:basedOn w:val="Normal"/>
    <w:rsid w:val="00C52E81"/>
    <w:pPr>
      <w:spacing w:after="0" w:line="240" w:lineRule="auto"/>
      <w:jc w:val="center"/>
    </w:pPr>
    <w:rPr>
      <w:rFonts w:ascii="Times New Roman" w:eastAsia="Times New Roman" w:hAnsi="Times New Roman" w:cs="Times New Roman"/>
      <w:b/>
      <w:bCs/>
      <w:sz w:val="24"/>
      <w:szCs w:val="24"/>
    </w:rPr>
  </w:style>
  <w:style w:type="paragraph" w:styleId="ListBullet">
    <w:name w:val="List Bullet"/>
    <w:basedOn w:val="Normal"/>
    <w:uiPriority w:val="99"/>
    <w:unhideWhenUsed/>
    <w:rsid w:val="00C52E81"/>
    <w:pPr>
      <w:numPr>
        <w:numId w:val="2"/>
      </w:numPr>
      <w:spacing w:after="0" w:line="240" w:lineRule="auto"/>
      <w:contextualSpacing/>
    </w:pPr>
    <w:rPr>
      <w:rFonts w:ascii="Times New Roman" w:eastAsia="Times New Roman" w:hAnsi="Times New Roman" w:cs="Times New Roman"/>
      <w:sz w:val="24"/>
      <w:szCs w:val="24"/>
      <w:lang w:val="ro-MD" w:eastAsia="ru-RU"/>
    </w:rPr>
  </w:style>
  <w:style w:type="character" w:customStyle="1" w:styleId="docheader">
    <w:name w:val="doc_header"/>
    <w:basedOn w:val="DefaultParagraphFont"/>
    <w:rsid w:val="00C52E81"/>
  </w:style>
  <w:style w:type="character" w:styleId="Emphasis">
    <w:name w:val="Emphasis"/>
    <w:basedOn w:val="DefaultParagraphFont"/>
    <w:uiPriority w:val="20"/>
    <w:qFormat/>
    <w:rsid w:val="00C52E81"/>
    <w:rPr>
      <w:i/>
      <w:iCs/>
    </w:rPr>
  </w:style>
  <w:style w:type="table" w:customStyle="1" w:styleId="TableGrid1">
    <w:name w:val="Table Grid1"/>
    <w:basedOn w:val="TableNormal"/>
    <w:next w:val="TableGrid"/>
    <w:uiPriority w:val="39"/>
    <w:rsid w:val="00C52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52E81"/>
    <w:rPr>
      <w:color w:val="800080"/>
      <w:u w:val="single"/>
    </w:rPr>
  </w:style>
  <w:style w:type="paragraph" w:customStyle="1" w:styleId="msonormal0">
    <w:name w:val="msonormal"/>
    <w:basedOn w:val="Normal"/>
    <w:rsid w:val="00C52E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C52E81"/>
    <w:pPr>
      <w:spacing w:before="100" w:beforeAutospacing="1" w:after="100" w:afterAutospacing="1" w:line="240" w:lineRule="auto"/>
    </w:pPr>
    <w:rPr>
      <w:rFonts w:ascii="Calibri" w:eastAsia="Times New Roman" w:hAnsi="Calibri" w:cs="Calibri"/>
      <w:color w:val="000000"/>
    </w:rPr>
  </w:style>
  <w:style w:type="paragraph" w:customStyle="1" w:styleId="xl85">
    <w:name w:val="xl85"/>
    <w:basedOn w:val="Normal"/>
    <w:rsid w:val="00C52E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90">
    <w:name w:val="xl90"/>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92">
    <w:name w:val="xl92"/>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4">
    <w:name w:val="xl94"/>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7">
    <w:name w:val="xl97"/>
    <w:basedOn w:val="Normal"/>
    <w:rsid w:val="00C52E81"/>
    <w:pPr>
      <w:spacing w:before="100" w:beforeAutospacing="1" w:after="100" w:afterAutospacing="1" w:line="240" w:lineRule="auto"/>
    </w:pPr>
    <w:rPr>
      <w:rFonts w:ascii="Calibri" w:eastAsia="Times New Roman" w:hAnsi="Calibri" w:cs="Calibri"/>
      <w:color w:val="000000"/>
    </w:rPr>
  </w:style>
  <w:style w:type="paragraph" w:customStyle="1" w:styleId="xl98">
    <w:name w:val="xl98"/>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0">
    <w:name w:val="xl100"/>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101">
    <w:name w:val="xl101"/>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2">
    <w:name w:val="xl102"/>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4">
    <w:name w:val="xl104"/>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6">
    <w:name w:val="xl106"/>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8">
    <w:name w:val="xl108"/>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0">
    <w:name w:val="xl110"/>
    <w:basedOn w:val="Normal"/>
    <w:rsid w:val="00C52E81"/>
    <w:pPr>
      <w:spacing w:before="100" w:beforeAutospacing="1" w:after="100" w:afterAutospacing="1" w:line="240" w:lineRule="auto"/>
    </w:pPr>
    <w:rPr>
      <w:rFonts w:ascii="Calibri" w:eastAsia="Times New Roman" w:hAnsi="Calibri" w:cs="Calibri"/>
    </w:rPr>
  </w:style>
  <w:style w:type="paragraph" w:customStyle="1" w:styleId="xl111">
    <w:name w:val="xl111"/>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2">
    <w:name w:val="xl112"/>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3">
    <w:name w:val="xl113"/>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14">
    <w:name w:val="xl114"/>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5">
    <w:name w:val="xl115"/>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16">
    <w:name w:val="xl116"/>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7">
    <w:name w:val="xl117"/>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8">
    <w:name w:val="xl118"/>
    <w:basedOn w:val="Normal"/>
    <w:rsid w:val="00C52E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9">
    <w:name w:val="xl119"/>
    <w:basedOn w:val="Normal"/>
    <w:rsid w:val="00C52E81"/>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120">
    <w:name w:val="xl120"/>
    <w:basedOn w:val="Normal"/>
    <w:rsid w:val="00C52E81"/>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121">
    <w:name w:val="xl121"/>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Normal"/>
    <w:rsid w:val="00C52E81"/>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124">
    <w:name w:val="xl124"/>
    <w:basedOn w:val="Normal"/>
    <w:rsid w:val="00C52E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5">
    <w:name w:val="xl125"/>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6">
    <w:name w:val="xl126"/>
    <w:basedOn w:val="Normal"/>
    <w:rsid w:val="00C52E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C52E8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8">
    <w:name w:val="xl128"/>
    <w:basedOn w:val="Normal"/>
    <w:rsid w:val="00C52E8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C52E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Normal"/>
    <w:rsid w:val="00C52E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3">
    <w:name w:val="xl133"/>
    <w:basedOn w:val="Normal"/>
    <w:rsid w:val="00C52E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4">
    <w:name w:val="xl134"/>
    <w:basedOn w:val="Normal"/>
    <w:rsid w:val="00C52E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Normal"/>
    <w:rsid w:val="00C52E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6">
    <w:name w:val="xl136"/>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7">
    <w:name w:val="xl137"/>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Normal"/>
    <w:rsid w:val="00C52E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9">
    <w:name w:val="xl139"/>
    <w:basedOn w:val="Normal"/>
    <w:rsid w:val="00C52E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styleId="Strong">
    <w:name w:val="Strong"/>
    <w:basedOn w:val="DefaultParagraphFont"/>
    <w:uiPriority w:val="22"/>
    <w:qFormat/>
    <w:rsid w:val="00C52E81"/>
    <w:rPr>
      <w:b/>
      <w:bCs/>
    </w:rPr>
  </w:style>
  <w:style w:type="character" w:customStyle="1" w:styleId="a">
    <w:name w:val="Текст сноски Знак"/>
    <w:aliases w:val="Fußnote Char Char Знак,Fußnote Char Знак,Fußnote Char Car Char Char Знак,Fußnote Char Car Char Char Char Char Char Char Char Char Char Char Знак,single space Знак,fn Знак,FOOTNOTES Знак,A Знак"/>
    <w:basedOn w:val="DefaultParagraphFont"/>
    <w:uiPriority w:val="99"/>
    <w:locked/>
    <w:rsid w:val="00C52E81"/>
  </w:style>
  <w:style w:type="character" w:customStyle="1" w:styleId="295pt">
    <w:name w:val="Основной текст (2) + 9.5 pt"/>
    <w:aliases w:val="Полужирный,Основной текст (2) + 8.5 pt"/>
    <w:basedOn w:val="2"/>
    <w:rsid w:val="00E17901"/>
    <w:rPr>
      <w:rFonts w:ascii="Times New Roman" w:eastAsia="Times New Roman" w:hAnsi="Times New Roman" w:cs="Times New Roman"/>
      <w:b/>
      <w:bCs/>
      <w:color w:val="000000"/>
      <w:spacing w:val="0"/>
      <w:w w:val="100"/>
      <w:position w:val="0"/>
      <w:sz w:val="19"/>
      <w:szCs w:val="19"/>
      <w:shd w:val="clear" w:color="auto" w:fill="FFFFFF"/>
      <w:lang w:val="ro-RO" w:eastAsia="ro-RO" w:bidi="ro-RO"/>
    </w:rPr>
  </w:style>
  <w:style w:type="character" w:customStyle="1" w:styleId="275pt">
    <w:name w:val="Основной текст (2) + 7.5 pt"/>
    <w:aliases w:val="Курсив,Основной текст (2) + 9 pt"/>
    <w:basedOn w:val="2"/>
    <w:rsid w:val="00E17901"/>
    <w:rPr>
      <w:rFonts w:ascii="Times New Roman" w:eastAsia="Times New Roman" w:hAnsi="Times New Roman" w:cs="Times New Roman"/>
      <w:i/>
      <w:iCs/>
      <w:color w:val="000000"/>
      <w:spacing w:val="0"/>
      <w:w w:val="100"/>
      <w:position w:val="0"/>
      <w:sz w:val="15"/>
      <w:szCs w:val="15"/>
      <w:shd w:val="clear" w:color="auto" w:fill="FFFFFF"/>
      <w:lang w:val="ro-RO" w:eastAsia="ro-RO" w:bidi="ro-RO"/>
    </w:rPr>
  </w:style>
  <w:style w:type="character" w:customStyle="1" w:styleId="3">
    <w:name w:val="Основной текст (3)_"/>
    <w:basedOn w:val="DefaultParagraphFont"/>
    <w:link w:val="30"/>
    <w:rsid w:val="00E17901"/>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Normal"/>
    <w:link w:val="3"/>
    <w:rsid w:val="00E17901"/>
    <w:pPr>
      <w:widowControl w:val="0"/>
      <w:shd w:val="clear" w:color="auto" w:fill="FFFFFF"/>
      <w:spacing w:after="0" w:line="322" w:lineRule="exact"/>
      <w:jc w:val="center"/>
    </w:pPr>
    <w:rPr>
      <w:rFonts w:ascii="Times New Roman" w:eastAsia="Times New Roman" w:hAnsi="Times New Roman" w:cs="Times New Roman"/>
      <w:b/>
      <w:bCs/>
      <w:sz w:val="28"/>
      <w:szCs w:val="28"/>
    </w:rPr>
  </w:style>
  <w:style w:type="character" w:customStyle="1" w:styleId="21">
    <w:name w:val="Подпись к картинке (2)_"/>
    <w:basedOn w:val="DefaultParagraphFont"/>
    <w:link w:val="22"/>
    <w:rsid w:val="00E17901"/>
    <w:rPr>
      <w:rFonts w:ascii="Times New Roman" w:eastAsia="Times New Roman" w:hAnsi="Times New Roman" w:cs="Times New Roman"/>
      <w:b/>
      <w:bCs/>
      <w:sz w:val="19"/>
      <w:szCs w:val="19"/>
      <w:shd w:val="clear" w:color="auto" w:fill="FFFFFF"/>
    </w:rPr>
  </w:style>
  <w:style w:type="paragraph" w:customStyle="1" w:styleId="22">
    <w:name w:val="Подпись к картинке (2)"/>
    <w:basedOn w:val="Normal"/>
    <w:link w:val="21"/>
    <w:rsid w:val="00E17901"/>
    <w:pPr>
      <w:widowControl w:val="0"/>
      <w:shd w:val="clear" w:color="auto" w:fill="FFFFFF"/>
      <w:spacing w:after="0" w:line="210" w:lineRule="exact"/>
    </w:pPr>
    <w:rPr>
      <w:rFonts w:ascii="Times New Roman" w:eastAsia="Times New Roman" w:hAnsi="Times New Roman" w:cs="Times New Roman"/>
      <w:b/>
      <w:bCs/>
      <w:sz w:val="19"/>
      <w:szCs w:val="19"/>
    </w:rPr>
  </w:style>
  <w:style w:type="character" w:customStyle="1" w:styleId="LegturInternet">
    <w:name w:val="Legătură Internet"/>
    <w:basedOn w:val="DefaultParagraphFont"/>
    <w:rsid w:val="00041921"/>
    <w:rPr>
      <w:color w:val="0563C1"/>
      <w:u w:val="single"/>
    </w:rPr>
  </w:style>
  <w:style w:type="paragraph" w:customStyle="1" w:styleId="Normal1">
    <w:name w:val="Normal1"/>
    <w:basedOn w:val="Normal"/>
    <w:rsid w:val="000A0A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el">
    <w:name w:val="Normal+Ariel"/>
    <w:aliases w:val="1"/>
    <w:basedOn w:val="Normal"/>
    <w:rsid w:val="008E1106"/>
    <w:pPr>
      <w:numPr>
        <w:numId w:val="4"/>
      </w:numPr>
      <w:spacing w:before="100" w:beforeAutospacing="1" w:after="100" w:afterAutospacing="1" w:line="240" w:lineRule="auto"/>
      <w:jc w:val="both"/>
    </w:pPr>
    <w:rPr>
      <w:rFonts w:ascii="Arial" w:eastAsia="Times New Roman" w:hAnsi="Arial" w:cs="Arial"/>
      <w:bCs/>
      <w:color w:val="000000"/>
      <w:spacing w:val="-2"/>
      <w:sz w:val="24"/>
      <w:lang w:val="ro-RO" w:eastAsia="ro-RO"/>
    </w:rPr>
  </w:style>
  <w:style w:type="paragraph" w:customStyle="1" w:styleId="listparagraph0">
    <w:name w:val="listparagraph"/>
    <w:basedOn w:val="Normal"/>
    <w:rsid w:val="00BE5297"/>
    <w:pPr>
      <w:spacing w:before="100" w:beforeAutospacing="1" w:after="100" w:afterAutospacing="1" w:line="240" w:lineRule="auto"/>
    </w:pPr>
    <w:rPr>
      <w:rFonts w:ascii="Times New Roman" w:eastAsia="Times New Roman" w:hAnsi="Times New Roman" w:cs="Times New Roman"/>
      <w:sz w:val="24"/>
      <w:szCs w:val="24"/>
    </w:rPr>
  </w:style>
  <w:style w:type="table" w:styleId="GridTable1Light">
    <w:name w:val="Grid Table 1 Light"/>
    <w:basedOn w:val="TableNormal"/>
    <w:uiPriority w:val="46"/>
    <w:rsid w:val="00395584"/>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next w:val="GridTable4-Accent52"/>
    <w:uiPriority w:val="49"/>
    <w:rsid w:val="006127E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2">
    <w:name w:val="Grid Table 4 - Accent 52"/>
    <w:basedOn w:val="TableNormal"/>
    <w:uiPriority w:val="49"/>
    <w:rsid w:val="006127E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1Light1">
    <w:name w:val="Grid Table 1 Light1"/>
    <w:basedOn w:val="TableNormal"/>
    <w:uiPriority w:val="46"/>
    <w:rsid w:val="006127E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rsid w:val="006127E1"/>
    <w:pPr>
      <w:tabs>
        <w:tab w:val="left" w:pos="-720"/>
      </w:tabs>
      <w:suppressAutoHyphens/>
      <w:spacing w:after="0" w:line="48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6127E1"/>
    <w:rPr>
      <w:rFonts w:ascii="Times New Roman" w:eastAsia="Times New Roman" w:hAnsi="Times New Roman" w:cs="Times New Roman"/>
      <w:sz w:val="20"/>
      <w:szCs w:val="20"/>
    </w:rPr>
  </w:style>
  <w:style w:type="character" w:customStyle="1" w:styleId="Bodytext5">
    <w:name w:val="Body text (5)_"/>
    <w:basedOn w:val="DefaultParagraphFont"/>
    <w:link w:val="Bodytext50"/>
    <w:rsid w:val="006127E1"/>
    <w:rPr>
      <w:rFonts w:ascii="Times New Roman" w:eastAsia="Times New Roman" w:hAnsi="Times New Roman" w:cs="Times New Roman"/>
      <w:b/>
      <w:bCs/>
      <w:sz w:val="26"/>
      <w:szCs w:val="26"/>
      <w:shd w:val="clear" w:color="auto" w:fill="FFFFFF"/>
    </w:rPr>
  </w:style>
  <w:style w:type="paragraph" w:customStyle="1" w:styleId="Bodytext50">
    <w:name w:val="Body text (5)"/>
    <w:basedOn w:val="Normal"/>
    <w:link w:val="Bodytext5"/>
    <w:rsid w:val="006127E1"/>
    <w:pPr>
      <w:widowControl w:val="0"/>
      <w:shd w:val="clear" w:color="auto" w:fill="FFFFFF"/>
      <w:spacing w:after="540" w:line="302" w:lineRule="exact"/>
      <w:jc w:val="both"/>
    </w:pPr>
    <w:rPr>
      <w:rFonts w:ascii="Times New Roman" w:eastAsia="Times New Roman" w:hAnsi="Times New Roman" w:cs="Times New Roman"/>
      <w:b/>
      <w:bCs/>
      <w:sz w:val="26"/>
      <w:szCs w:val="26"/>
    </w:rPr>
  </w:style>
  <w:style w:type="character" w:customStyle="1" w:styleId="Bodytext2">
    <w:name w:val="Body text (2)"/>
    <w:basedOn w:val="DefaultParagraphFont"/>
    <w:rsid w:val="006127E1"/>
    <w:rPr>
      <w:rFonts w:ascii="Times New Roman" w:eastAsia="Times New Roman" w:hAnsi="Times New Roman" w:cs="Times New Roman"/>
      <w:b w:val="0"/>
      <w:bCs w:val="0"/>
      <w:i w:val="0"/>
      <w:iCs w:val="0"/>
      <w:smallCaps w:val="0"/>
      <w:strike w:val="0"/>
      <w:color w:val="171717"/>
      <w:spacing w:val="0"/>
      <w:w w:val="100"/>
      <w:position w:val="0"/>
      <w:sz w:val="26"/>
      <w:szCs w:val="26"/>
      <w:u w:val="none"/>
      <w:lang w:val="ro-RO" w:eastAsia="ro-RO" w:bidi="ro-RO"/>
    </w:rPr>
  </w:style>
  <w:style w:type="character" w:customStyle="1" w:styleId="Bodytext2Bold">
    <w:name w:val="Body text (2) + Bold"/>
    <w:aliases w:val="Italic"/>
    <w:basedOn w:val="DefaultParagraphFont"/>
    <w:rsid w:val="006127E1"/>
    <w:rPr>
      <w:rFonts w:ascii="Times New Roman" w:eastAsia="Times New Roman" w:hAnsi="Times New Roman" w:cs="Times New Roman"/>
      <w:b/>
      <w:bCs/>
      <w:i/>
      <w:iCs/>
      <w:smallCaps w:val="0"/>
      <w:strike w:val="0"/>
      <w:color w:val="000000"/>
      <w:spacing w:val="0"/>
      <w:w w:val="100"/>
      <w:position w:val="0"/>
      <w:sz w:val="28"/>
      <w:szCs w:val="28"/>
      <w:u w:val="none"/>
      <w:lang w:val="ro-RO" w:eastAsia="ro-RO" w:bidi="ro-RO"/>
    </w:rPr>
  </w:style>
  <w:style w:type="character" w:customStyle="1" w:styleId="Bodytext26pt">
    <w:name w:val="Body text (2) + 6 pt"/>
    <w:aliases w:val="Bold"/>
    <w:basedOn w:val="DefaultParagraphFont"/>
    <w:rsid w:val="006127E1"/>
    <w:rPr>
      <w:rFonts w:ascii="Arial" w:eastAsia="Arial" w:hAnsi="Arial" w:cs="Arial"/>
      <w:b/>
      <w:bCs/>
      <w:i w:val="0"/>
      <w:iCs w:val="0"/>
      <w:smallCaps w:val="0"/>
      <w:strike w:val="0"/>
      <w:color w:val="000000"/>
      <w:spacing w:val="0"/>
      <w:w w:val="100"/>
      <w:position w:val="0"/>
      <w:sz w:val="12"/>
      <w:szCs w:val="12"/>
      <w:u w:val="none"/>
      <w:lang w:val="ro-RO" w:eastAsia="ro-RO" w:bidi="ro-RO"/>
    </w:rPr>
  </w:style>
  <w:style w:type="character" w:customStyle="1" w:styleId="Bodytext20">
    <w:name w:val="Body text (2)_"/>
    <w:basedOn w:val="DefaultParagraphFont"/>
    <w:rsid w:val="006127E1"/>
    <w:rPr>
      <w:rFonts w:ascii="Arial" w:eastAsia="Arial" w:hAnsi="Arial" w:cs="Arial"/>
      <w:b w:val="0"/>
      <w:bCs w:val="0"/>
      <w:i w:val="0"/>
      <w:iCs w:val="0"/>
      <w:smallCaps w:val="0"/>
      <w:strike w:val="0"/>
      <w:sz w:val="13"/>
      <w:szCs w:val="13"/>
      <w:u w:val="none"/>
    </w:rPr>
  </w:style>
  <w:style w:type="paragraph" w:styleId="Revision">
    <w:name w:val="Revision"/>
    <w:hidden/>
    <w:uiPriority w:val="99"/>
    <w:semiHidden/>
    <w:rsid w:val="006127E1"/>
    <w:pPr>
      <w:spacing w:after="0" w:line="240" w:lineRule="auto"/>
    </w:pPr>
  </w:style>
  <w:style w:type="table" w:customStyle="1" w:styleId="-451">
    <w:name w:val="Таблица-сетка 4 — акцент 51"/>
    <w:basedOn w:val="TableNormal"/>
    <w:uiPriority w:val="49"/>
    <w:rsid w:val="006127E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EndnoteText">
    <w:name w:val="endnote text"/>
    <w:basedOn w:val="Normal"/>
    <w:link w:val="EndnoteTextChar"/>
    <w:uiPriority w:val="99"/>
    <w:semiHidden/>
    <w:unhideWhenUsed/>
    <w:rsid w:val="009B6D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6D2D"/>
    <w:rPr>
      <w:sz w:val="20"/>
      <w:szCs w:val="20"/>
    </w:rPr>
  </w:style>
  <w:style w:type="character" w:styleId="EndnoteReference">
    <w:name w:val="endnote reference"/>
    <w:basedOn w:val="DefaultParagraphFont"/>
    <w:uiPriority w:val="99"/>
    <w:semiHidden/>
    <w:unhideWhenUsed/>
    <w:rsid w:val="009B6D2D"/>
    <w:rPr>
      <w:vertAlign w:val="superscript"/>
    </w:rPr>
  </w:style>
  <w:style w:type="table" w:styleId="GridTable5Dark-Accent3">
    <w:name w:val="Grid Table 5 Dark Accent 3"/>
    <w:basedOn w:val="TableNormal"/>
    <w:uiPriority w:val="50"/>
    <w:rsid w:val="002600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6">
    <w:name w:val="Grid Table 5 Dark Accent 6"/>
    <w:basedOn w:val="TableNormal"/>
    <w:uiPriority w:val="50"/>
    <w:rsid w:val="00330B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Accent5">
    <w:name w:val="Grid Table 6 Colorful Accent 5"/>
    <w:basedOn w:val="TableNormal"/>
    <w:uiPriority w:val="51"/>
    <w:rsid w:val="00A6655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0265">
      <w:bodyDiv w:val="1"/>
      <w:marLeft w:val="0"/>
      <w:marRight w:val="0"/>
      <w:marTop w:val="0"/>
      <w:marBottom w:val="0"/>
      <w:divBdr>
        <w:top w:val="none" w:sz="0" w:space="0" w:color="auto"/>
        <w:left w:val="none" w:sz="0" w:space="0" w:color="auto"/>
        <w:bottom w:val="none" w:sz="0" w:space="0" w:color="auto"/>
        <w:right w:val="none" w:sz="0" w:space="0" w:color="auto"/>
      </w:divBdr>
    </w:div>
    <w:div w:id="79104765">
      <w:bodyDiv w:val="1"/>
      <w:marLeft w:val="0"/>
      <w:marRight w:val="0"/>
      <w:marTop w:val="0"/>
      <w:marBottom w:val="0"/>
      <w:divBdr>
        <w:top w:val="none" w:sz="0" w:space="0" w:color="auto"/>
        <w:left w:val="none" w:sz="0" w:space="0" w:color="auto"/>
        <w:bottom w:val="none" w:sz="0" w:space="0" w:color="auto"/>
        <w:right w:val="none" w:sz="0" w:space="0" w:color="auto"/>
      </w:divBdr>
    </w:div>
    <w:div w:id="98721895">
      <w:bodyDiv w:val="1"/>
      <w:marLeft w:val="0"/>
      <w:marRight w:val="0"/>
      <w:marTop w:val="0"/>
      <w:marBottom w:val="0"/>
      <w:divBdr>
        <w:top w:val="none" w:sz="0" w:space="0" w:color="auto"/>
        <w:left w:val="none" w:sz="0" w:space="0" w:color="auto"/>
        <w:bottom w:val="none" w:sz="0" w:space="0" w:color="auto"/>
        <w:right w:val="none" w:sz="0" w:space="0" w:color="auto"/>
      </w:divBdr>
    </w:div>
    <w:div w:id="113450849">
      <w:bodyDiv w:val="1"/>
      <w:marLeft w:val="0"/>
      <w:marRight w:val="0"/>
      <w:marTop w:val="0"/>
      <w:marBottom w:val="0"/>
      <w:divBdr>
        <w:top w:val="none" w:sz="0" w:space="0" w:color="auto"/>
        <w:left w:val="none" w:sz="0" w:space="0" w:color="auto"/>
        <w:bottom w:val="none" w:sz="0" w:space="0" w:color="auto"/>
        <w:right w:val="none" w:sz="0" w:space="0" w:color="auto"/>
      </w:divBdr>
    </w:div>
    <w:div w:id="224151339">
      <w:bodyDiv w:val="1"/>
      <w:marLeft w:val="0"/>
      <w:marRight w:val="0"/>
      <w:marTop w:val="0"/>
      <w:marBottom w:val="0"/>
      <w:divBdr>
        <w:top w:val="none" w:sz="0" w:space="0" w:color="auto"/>
        <w:left w:val="none" w:sz="0" w:space="0" w:color="auto"/>
        <w:bottom w:val="none" w:sz="0" w:space="0" w:color="auto"/>
        <w:right w:val="none" w:sz="0" w:space="0" w:color="auto"/>
      </w:divBdr>
      <w:divsChild>
        <w:div w:id="349183198">
          <w:marLeft w:val="0"/>
          <w:marRight w:val="0"/>
          <w:marTop w:val="0"/>
          <w:marBottom w:val="0"/>
          <w:divBdr>
            <w:top w:val="none" w:sz="0" w:space="0" w:color="auto"/>
            <w:left w:val="none" w:sz="0" w:space="0" w:color="auto"/>
            <w:bottom w:val="none" w:sz="0" w:space="0" w:color="auto"/>
            <w:right w:val="none" w:sz="0" w:space="0" w:color="auto"/>
          </w:divBdr>
        </w:div>
        <w:div w:id="546112863">
          <w:marLeft w:val="0"/>
          <w:marRight w:val="0"/>
          <w:marTop w:val="0"/>
          <w:marBottom w:val="0"/>
          <w:divBdr>
            <w:top w:val="none" w:sz="0" w:space="0" w:color="auto"/>
            <w:left w:val="none" w:sz="0" w:space="0" w:color="auto"/>
            <w:bottom w:val="none" w:sz="0" w:space="0" w:color="auto"/>
            <w:right w:val="none" w:sz="0" w:space="0" w:color="auto"/>
          </w:divBdr>
        </w:div>
        <w:div w:id="652105871">
          <w:marLeft w:val="0"/>
          <w:marRight w:val="0"/>
          <w:marTop w:val="0"/>
          <w:marBottom w:val="0"/>
          <w:divBdr>
            <w:top w:val="none" w:sz="0" w:space="0" w:color="auto"/>
            <w:left w:val="none" w:sz="0" w:space="0" w:color="auto"/>
            <w:bottom w:val="none" w:sz="0" w:space="0" w:color="auto"/>
            <w:right w:val="none" w:sz="0" w:space="0" w:color="auto"/>
          </w:divBdr>
        </w:div>
        <w:div w:id="798768533">
          <w:marLeft w:val="0"/>
          <w:marRight w:val="0"/>
          <w:marTop w:val="0"/>
          <w:marBottom w:val="0"/>
          <w:divBdr>
            <w:top w:val="none" w:sz="0" w:space="0" w:color="auto"/>
            <w:left w:val="none" w:sz="0" w:space="0" w:color="auto"/>
            <w:bottom w:val="none" w:sz="0" w:space="0" w:color="auto"/>
            <w:right w:val="none" w:sz="0" w:space="0" w:color="auto"/>
          </w:divBdr>
        </w:div>
      </w:divsChild>
    </w:div>
    <w:div w:id="241531365">
      <w:bodyDiv w:val="1"/>
      <w:marLeft w:val="0"/>
      <w:marRight w:val="0"/>
      <w:marTop w:val="0"/>
      <w:marBottom w:val="0"/>
      <w:divBdr>
        <w:top w:val="none" w:sz="0" w:space="0" w:color="auto"/>
        <w:left w:val="none" w:sz="0" w:space="0" w:color="auto"/>
        <w:bottom w:val="none" w:sz="0" w:space="0" w:color="auto"/>
        <w:right w:val="none" w:sz="0" w:space="0" w:color="auto"/>
      </w:divBdr>
    </w:div>
    <w:div w:id="305621642">
      <w:bodyDiv w:val="1"/>
      <w:marLeft w:val="0"/>
      <w:marRight w:val="0"/>
      <w:marTop w:val="0"/>
      <w:marBottom w:val="0"/>
      <w:divBdr>
        <w:top w:val="none" w:sz="0" w:space="0" w:color="auto"/>
        <w:left w:val="none" w:sz="0" w:space="0" w:color="auto"/>
        <w:bottom w:val="none" w:sz="0" w:space="0" w:color="auto"/>
        <w:right w:val="none" w:sz="0" w:space="0" w:color="auto"/>
      </w:divBdr>
    </w:div>
    <w:div w:id="322051626">
      <w:bodyDiv w:val="1"/>
      <w:marLeft w:val="0"/>
      <w:marRight w:val="0"/>
      <w:marTop w:val="0"/>
      <w:marBottom w:val="0"/>
      <w:divBdr>
        <w:top w:val="none" w:sz="0" w:space="0" w:color="auto"/>
        <w:left w:val="none" w:sz="0" w:space="0" w:color="auto"/>
        <w:bottom w:val="none" w:sz="0" w:space="0" w:color="auto"/>
        <w:right w:val="none" w:sz="0" w:space="0" w:color="auto"/>
      </w:divBdr>
    </w:div>
    <w:div w:id="398787864">
      <w:bodyDiv w:val="1"/>
      <w:marLeft w:val="0"/>
      <w:marRight w:val="0"/>
      <w:marTop w:val="0"/>
      <w:marBottom w:val="0"/>
      <w:divBdr>
        <w:top w:val="none" w:sz="0" w:space="0" w:color="auto"/>
        <w:left w:val="none" w:sz="0" w:space="0" w:color="auto"/>
        <w:bottom w:val="none" w:sz="0" w:space="0" w:color="auto"/>
        <w:right w:val="none" w:sz="0" w:space="0" w:color="auto"/>
      </w:divBdr>
    </w:div>
    <w:div w:id="400179376">
      <w:bodyDiv w:val="1"/>
      <w:marLeft w:val="0"/>
      <w:marRight w:val="0"/>
      <w:marTop w:val="0"/>
      <w:marBottom w:val="0"/>
      <w:divBdr>
        <w:top w:val="none" w:sz="0" w:space="0" w:color="auto"/>
        <w:left w:val="none" w:sz="0" w:space="0" w:color="auto"/>
        <w:bottom w:val="none" w:sz="0" w:space="0" w:color="auto"/>
        <w:right w:val="none" w:sz="0" w:space="0" w:color="auto"/>
      </w:divBdr>
    </w:div>
    <w:div w:id="504126577">
      <w:bodyDiv w:val="1"/>
      <w:marLeft w:val="0"/>
      <w:marRight w:val="0"/>
      <w:marTop w:val="0"/>
      <w:marBottom w:val="0"/>
      <w:divBdr>
        <w:top w:val="none" w:sz="0" w:space="0" w:color="auto"/>
        <w:left w:val="none" w:sz="0" w:space="0" w:color="auto"/>
        <w:bottom w:val="none" w:sz="0" w:space="0" w:color="auto"/>
        <w:right w:val="none" w:sz="0" w:space="0" w:color="auto"/>
      </w:divBdr>
    </w:div>
    <w:div w:id="605237645">
      <w:bodyDiv w:val="1"/>
      <w:marLeft w:val="0"/>
      <w:marRight w:val="0"/>
      <w:marTop w:val="0"/>
      <w:marBottom w:val="0"/>
      <w:divBdr>
        <w:top w:val="none" w:sz="0" w:space="0" w:color="auto"/>
        <w:left w:val="none" w:sz="0" w:space="0" w:color="auto"/>
        <w:bottom w:val="none" w:sz="0" w:space="0" w:color="auto"/>
        <w:right w:val="none" w:sz="0" w:space="0" w:color="auto"/>
      </w:divBdr>
    </w:div>
    <w:div w:id="608660293">
      <w:bodyDiv w:val="1"/>
      <w:marLeft w:val="0"/>
      <w:marRight w:val="0"/>
      <w:marTop w:val="0"/>
      <w:marBottom w:val="0"/>
      <w:divBdr>
        <w:top w:val="none" w:sz="0" w:space="0" w:color="auto"/>
        <w:left w:val="none" w:sz="0" w:space="0" w:color="auto"/>
        <w:bottom w:val="none" w:sz="0" w:space="0" w:color="auto"/>
        <w:right w:val="none" w:sz="0" w:space="0" w:color="auto"/>
      </w:divBdr>
    </w:div>
    <w:div w:id="672682334">
      <w:bodyDiv w:val="1"/>
      <w:marLeft w:val="0"/>
      <w:marRight w:val="0"/>
      <w:marTop w:val="0"/>
      <w:marBottom w:val="0"/>
      <w:divBdr>
        <w:top w:val="none" w:sz="0" w:space="0" w:color="auto"/>
        <w:left w:val="none" w:sz="0" w:space="0" w:color="auto"/>
        <w:bottom w:val="none" w:sz="0" w:space="0" w:color="auto"/>
        <w:right w:val="none" w:sz="0" w:space="0" w:color="auto"/>
      </w:divBdr>
      <w:divsChild>
        <w:div w:id="98572433">
          <w:marLeft w:val="0"/>
          <w:marRight w:val="0"/>
          <w:marTop w:val="0"/>
          <w:marBottom w:val="0"/>
          <w:divBdr>
            <w:top w:val="none" w:sz="0" w:space="0" w:color="auto"/>
            <w:left w:val="none" w:sz="0" w:space="0" w:color="auto"/>
            <w:bottom w:val="none" w:sz="0" w:space="0" w:color="auto"/>
            <w:right w:val="none" w:sz="0" w:space="0" w:color="auto"/>
          </w:divBdr>
        </w:div>
        <w:div w:id="1123035776">
          <w:marLeft w:val="0"/>
          <w:marRight w:val="0"/>
          <w:marTop w:val="0"/>
          <w:marBottom w:val="0"/>
          <w:divBdr>
            <w:top w:val="none" w:sz="0" w:space="0" w:color="auto"/>
            <w:left w:val="none" w:sz="0" w:space="0" w:color="auto"/>
            <w:bottom w:val="none" w:sz="0" w:space="0" w:color="auto"/>
            <w:right w:val="none" w:sz="0" w:space="0" w:color="auto"/>
          </w:divBdr>
        </w:div>
        <w:div w:id="1571042615">
          <w:marLeft w:val="0"/>
          <w:marRight w:val="0"/>
          <w:marTop w:val="0"/>
          <w:marBottom w:val="0"/>
          <w:divBdr>
            <w:top w:val="none" w:sz="0" w:space="0" w:color="auto"/>
            <w:left w:val="none" w:sz="0" w:space="0" w:color="auto"/>
            <w:bottom w:val="none" w:sz="0" w:space="0" w:color="auto"/>
            <w:right w:val="none" w:sz="0" w:space="0" w:color="auto"/>
          </w:divBdr>
        </w:div>
        <w:div w:id="1687906130">
          <w:marLeft w:val="0"/>
          <w:marRight w:val="0"/>
          <w:marTop w:val="0"/>
          <w:marBottom w:val="0"/>
          <w:divBdr>
            <w:top w:val="none" w:sz="0" w:space="0" w:color="auto"/>
            <w:left w:val="none" w:sz="0" w:space="0" w:color="auto"/>
            <w:bottom w:val="none" w:sz="0" w:space="0" w:color="auto"/>
            <w:right w:val="none" w:sz="0" w:space="0" w:color="auto"/>
          </w:divBdr>
        </w:div>
        <w:div w:id="1759709444">
          <w:marLeft w:val="0"/>
          <w:marRight w:val="0"/>
          <w:marTop w:val="0"/>
          <w:marBottom w:val="0"/>
          <w:divBdr>
            <w:top w:val="none" w:sz="0" w:space="0" w:color="auto"/>
            <w:left w:val="none" w:sz="0" w:space="0" w:color="auto"/>
            <w:bottom w:val="none" w:sz="0" w:space="0" w:color="auto"/>
            <w:right w:val="none" w:sz="0" w:space="0" w:color="auto"/>
          </w:divBdr>
        </w:div>
        <w:div w:id="2040011586">
          <w:marLeft w:val="0"/>
          <w:marRight w:val="0"/>
          <w:marTop w:val="0"/>
          <w:marBottom w:val="0"/>
          <w:divBdr>
            <w:top w:val="none" w:sz="0" w:space="0" w:color="auto"/>
            <w:left w:val="none" w:sz="0" w:space="0" w:color="auto"/>
            <w:bottom w:val="none" w:sz="0" w:space="0" w:color="auto"/>
            <w:right w:val="none" w:sz="0" w:space="0" w:color="auto"/>
          </w:divBdr>
        </w:div>
        <w:div w:id="2064325309">
          <w:marLeft w:val="0"/>
          <w:marRight w:val="0"/>
          <w:marTop w:val="0"/>
          <w:marBottom w:val="0"/>
          <w:divBdr>
            <w:top w:val="none" w:sz="0" w:space="0" w:color="auto"/>
            <w:left w:val="none" w:sz="0" w:space="0" w:color="auto"/>
            <w:bottom w:val="none" w:sz="0" w:space="0" w:color="auto"/>
            <w:right w:val="none" w:sz="0" w:space="0" w:color="auto"/>
          </w:divBdr>
        </w:div>
      </w:divsChild>
    </w:div>
    <w:div w:id="683016406">
      <w:bodyDiv w:val="1"/>
      <w:marLeft w:val="0"/>
      <w:marRight w:val="0"/>
      <w:marTop w:val="0"/>
      <w:marBottom w:val="0"/>
      <w:divBdr>
        <w:top w:val="none" w:sz="0" w:space="0" w:color="auto"/>
        <w:left w:val="none" w:sz="0" w:space="0" w:color="auto"/>
        <w:bottom w:val="none" w:sz="0" w:space="0" w:color="auto"/>
        <w:right w:val="none" w:sz="0" w:space="0" w:color="auto"/>
      </w:divBdr>
    </w:div>
    <w:div w:id="703091379">
      <w:bodyDiv w:val="1"/>
      <w:marLeft w:val="0"/>
      <w:marRight w:val="0"/>
      <w:marTop w:val="0"/>
      <w:marBottom w:val="0"/>
      <w:divBdr>
        <w:top w:val="none" w:sz="0" w:space="0" w:color="auto"/>
        <w:left w:val="none" w:sz="0" w:space="0" w:color="auto"/>
        <w:bottom w:val="none" w:sz="0" w:space="0" w:color="auto"/>
        <w:right w:val="none" w:sz="0" w:space="0" w:color="auto"/>
      </w:divBdr>
    </w:div>
    <w:div w:id="704063456">
      <w:bodyDiv w:val="1"/>
      <w:marLeft w:val="0"/>
      <w:marRight w:val="0"/>
      <w:marTop w:val="0"/>
      <w:marBottom w:val="0"/>
      <w:divBdr>
        <w:top w:val="none" w:sz="0" w:space="0" w:color="auto"/>
        <w:left w:val="none" w:sz="0" w:space="0" w:color="auto"/>
        <w:bottom w:val="none" w:sz="0" w:space="0" w:color="auto"/>
        <w:right w:val="none" w:sz="0" w:space="0" w:color="auto"/>
      </w:divBdr>
    </w:div>
    <w:div w:id="769202147">
      <w:bodyDiv w:val="1"/>
      <w:marLeft w:val="0"/>
      <w:marRight w:val="0"/>
      <w:marTop w:val="0"/>
      <w:marBottom w:val="0"/>
      <w:divBdr>
        <w:top w:val="none" w:sz="0" w:space="0" w:color="auto"/>
        <w:left w:val="none" w:sz="0" w:space="0" w:color="auto"/>
        <w:bottom w:val="none" w:sz="0" w:space="0" w:color="auto"/>
        <w:right w:val="none" w:sz="0" w:space="0" w:color="auto"/>
      </w:divBdr>
    </w:div>
    <w:div w:id="796029150">
      <w:bodyDiv w:val="1"/>
      <w:marLeft w:val="0"/>
      <w:marRight w:val="0"/>
      <w:marTop w:val="0"/>
      <w:marBottom w:val="0"/>
      <w:divBdr>
        <w:top w:val="none" w:sz="0" w:space="0" w:color="auto"/>
        <w:left w:val="none" w:sz="0" w:space="0" w:color="auto"/>
        <w:bottom w:val="none" w:sz="0" w:space="0" w:color="auto"/>
        <w:right w:val="none" w:sz="0" w:space="0" w:color="auto"/>
      </w:divBdr>
    </w:div>
    <w:div w:id="802768754">
      <w:bodyDiv w:val="1"/>
      <w:marLeft w:val="0"/>
      <w:marRight w:val="0"/>
      <w:marTop w:val="0"/>
      <w:marBottom w:val="0"/>
      <w:divBdr>
        <w:top w:val="none" w:sz="0" w:space="0" w:color="auto"/>
        <w:left w:val="none" w:sz="0" w:space="0" w:color="auto"/>
        <w:bottom w:val="none" w:sz="0" w:space="0" w:color="auto"/>
        <w:right w:val="none" w:sz="0" w:space="0" w:color="auto"/>
      </w:divBdr>
    </w:div>
    <w:div w:id="837886240">
      <w:bodyDiv w:val="1"/>
      <w:marLeft w:val="0"/>
      <w:marRight w:val="0"/>
      <w:marTop w:val="0"/>
      <w:marBottom w:val="0"/>
      <w:divBdr>
        <w:top w:val="none" w:sz="0" w:space="0" w:color="auto"/>
        <w:left w:val="none" w:sz="0" w:space="0" w:color="auto"/>
        <w:bottom w:val="none" w:sz="0" w:space="0" w:color="auto"/>
        <w:right w:val="none" w:sz="0" w:space="0" w:color="auto"/>
      </w:divBdr>
      <w:divsChild>
        <w:div w:id="680863281">
          <w:marLeft w:val="0"/>
          <w:marRight w:val="0"/>
          <w:marTop w:val="0"/>
          <w:marBottom w:val="0"/>
          <w:divBdr>
            <w:top w:val="none" w:sz="0" w:space="0" w:color="auto"/>
            <w:left w:val="none" w:sz="0" w:space="0" w:color="auto"/>
            <w:bottom w:val="none" w:sz="0" w:space="0" w:color="auto"/>
            <w:right w:val="none" w:sz="0" w:space="0" w:color="auto"/>
          </w:divBdr>
        </w:div>
        <w:div w:id="1188133261">
          <w:marLeft w:val="0"/>
          <w:marRight w:val="0"/>
          <w:marTop w:val="0"/>
          <w:marBottom w:val="0"/>
          <w:divBdr>
            <w:top w:val="none" w:sz="0" w:space="0" w:color="auto"/>
            <w:left w:val="none" w:sz="0" w:space="0" w:color="auto"/>
            <w:bottom w:val="none" w:sz="0" w:space="0" w:color="auto"/>
            <w:right w:val="none" w:sz="0" w:space="0" w:color="auto"/>
          </w:divBdr>
        </w:div>
      </w:divsChild>
    </w:div>
    <w:div w:id="900825062">
      <w:bodyDiv w:val="1"/>
      <w:marLeft w:val="0"/>
      <w:marRight w:val="0"/>
      <w:marTop w:val="0"/>
      <w:marBottom w:val="0"/>
      <w:divBdr>
        <w:top w:val="none" w:sz="0" w:space="0" w:color="auto"/>
        <w:left w:val="none" w:sz="0" w:space="0" w:color="auto"/>
        <w:bottom w:val="none" w:sz="0" w:space="0" w:color="auto"/>
        <w:right w:val="none" w:sz="0" w:space="0" w:color="auto"/>
      </w:divBdr>
    </w:div>
    <w:div w:id="909077146">
      <w:bodyDiv w:val="1"/>
      <w:marLeft w:val="0"/>
      <w:marRight w:val="0"/>
      <w:marTop w:val="0"/>
      <w:marBottom w:val="0"/>
      <w:divBdr>
        <w:top w:val="none" w:sz="0" w:space="0" w:color="auto"/>
        <w:left w:val="none" w:sz="0" w:space="0" w:color="auto"/>
        <w:bottom w:val="none" w:sz="0" w:space="0" w:color="auto"/>
        <w:right w:val="none" w:sz="0" w:space="0" w:color="auto"/>
      </w:divBdr>
      <w:divsChild>
        <w:div w:id="58983900">
          <w:marLeft w:val="0"/>
          <w:marRight w:val="0"/>
          <w:marTop w:val="0"/>
          <w:marBottom w:val="0"/>
          <w:divBdr>
            <w:top w:val="none" w:sz="0" w:space="0" w:color="auto"/>
            <w:left w:val="none" w:sz="0" w:space="0" w:color="auto"/>
            <w:bottom w:val="none" w:sz="0" w:space="0" w:color="auto"/>
            <w:right w:val="none" w:sz="0" w:space="0" w:color="auto"/>
          </w:divBdr>
        </w:div>
        <w:div w:id="156387043">
          <w:marLeft w:val="0"/>
          <w:marRight w:val="0"/>
          <w:marTop w:val="0"/>
          <w:marBottom w:val="0"/>
          <w:divBdr>
            <w:top w:val="none" w:sz="0" w:space="0" w:color="auto"/>
            <w:left w:val="none" w:sz="0" w:space="0" w:color="auto"/>
            <w:bottom w:val="none" w:sz="0" w:space="0" w:color="auto"/>
            <w:right w:val="none" w:sz="0" w:space="0" w:color="auto"/>
          </w:divBdr>
        </w:div>
        <w:div w:id="486753231">
          <w:marLeft w:val="0"/>
          <w:marRight w:val="0"/>
          <w:marTop w:val="0"/>
          <w:marBottom w:val="0"/>
          <w:divBdr>
            <w:top w:val="none" w:sz="0" w:space="0" w:color="auto"/>
            <w:left w:val="none" w:sz="0" w:space="0" w:color="auto"/>
            <w:bottom w:val="none" w:sz="0" w:space="0" w:color="auto"/>
            <w:right w:val="none" w:sz="0" w:space="0" w:color="auto"/>
          </w:divBdr>
        </w:div>
        <w:div w:id="722293906">
          <w:marLeft w:val="0"/>
          <w:marRight w:val="0"/>
          <w:marTop w:val="0"/>
          <w:marBottom w:val="0"/>
          <w:divBdr>
            <w:top w:val="none" w:sz="0" w:space="0" w:color="auto"/>
            <w:left w:val="none" w:sz="0" w:space="0" w:color="auto"/>
            <w:bottom w:val="none" w:sz="0" w:space="0" w:color="auto"/>
            <w:right w:val="none" w:sz="0" w:space="0" w:color="auto"/>
          </w:divBdr>
        </w:div>
        <w:div w:id="812523822">
          <w:marLeft w:val="0"/>
          <w:marRight w:val="0"/>
          <w:marTop w:val="0"/>
          <w:marBottom w:val="0"/>
          <w:divBdr>
            <w:top w:val="none" w:sz="0" w:space="0" w:color="auto"/>
            <w:left w:val="none" w:sz="0" w:space="0" w:color="auto"/>
            <w:bottom w:val="none" w:sz="0" w:space="0" w:color="auto"/>
            <w:right w:val="none" w:sz="0" w:space="0" w:color="auto"/>
          </w:divBdr>
        </w:div>
        <w:div w:id="1243560452">
          <w:marLeft w:val="0"/>
          <w:marRight w:val="0"/>
          <w:marTop w:val="0"/>
          <w:marBottom w:val="0"/>
          <w:divBdr>
            <w:top w:val="none" w:sz="0" w:space="0" w:color="auto"/>
            <w:left w:val="none" w:sz="0" w:space="0" w:color="auto"/>
            <w:bottom w:val="none" w:sz="0" w:space="0" w:color="auto"/>
            <w:right w:val="none" w:sz="0" w:space="0" w:color="auto"/>
          </w:divBdr>
        </w:div>
        <w:div w:id="1288657055">
          <w:marLeft w:val="0"/>
          <w:marRight w:val="0"/>
          <w:marTop w:val="0"/>
          <w:marBottom w:val="0"/>
          <w:divBdr>
            <w:top w:val="none" w:sz="0" w:space="0" w:color="auto"/>
            <w:left w:val="none" w:sz="0" w:space="0" w:color="auto"/>
            <w:bottom w:val="none" w:sz="0" w:space="0" w:color="auto"/>
            <w:right w:val="none" w:sz="0" w:space="0" w:color="auto"/>
          </w:divBdr>
        </w:div>
        <w:div w:id="1617373415">
          <w:marLeft w:val="0"/>
          <w:marRight w:val="0"/>
          <w:marTop w:val="0"/>
          <w:marBottom w:val="0"/>
          <w:divBdr>
            <w:top w:val="none" w:sz="0" w:space="0" w:color="auto"/>
            <w:left w:val="none" w:sz="0" w:space="0" w:color="auto"/>
            <w:bottom w:val="none" w:sz="0" w:space="0" w:color="auto"/>
            <w:right w:val="none" w:sz="0" w:space="0" w:color="auto"/>
          </w:divBdr>
        </w:div>
        <w:div w:id="1695884041">
          <w:marLeft w:val="0"/>
          <w:marRight w:val="0"/>
          <w:marTop w:val="0"/>
          <w:marBottom w:val="0"/>
          <w:divBdr>
            <w:top w:val="none" w:sz="0" w:space="0" w:color="auto"/>
            <w:left w:val="none" w:sz="0" w:space="0" w:color="auto"/>
            <w:bottom w:val="none" w:sz="0" w:space="0" w:color="auto"/>
            <w:right w:val="none" w:sz="0" w:space="0" w:color="auto"/>
          </w:divBdr>
        </w:div>
        <w:div w:id="1809083650">
          <w:marLeft w:val="0"/>
          <w:marRight w:val="0"/>
          <w:marTop w:val="0"/>
          <w:marBottom w:val="0"/>
          <w:divBdr>
            <w:top w:val="none" w:sz="0" w:space="0" w:color="auto"/>
            <w:left w:val="none" w:sz="0" w:space="0" w:color="auto"/>
            <w:bottom w:val="none" w:sz="0" w:space="0" w:color="auto"/>
            <w:right w:val="none" w:sz="0" w:space="0" w:color="auto"/>
          </w:divBdr>
        </w:div>
        <w:div w:id="1905605724">
          <w:marLeft w:val="0"/>
          <w:marRight w:val="0"/>
          <w:marTop w:val="0"/>
          <w:marBottom w:val="0"/>
          <w:divBdr>
            <w:top w:val="none" w:sz="0" w:space="0" w:color="auto"/>
            <w:left w:val="none" w:sz="0" w:space="0" w:color="auto"/>
            <w:bottom w:val="none" w:sz="0" w:space="0" w:color="auto"/>
            <w:right w:val="none" w:sz="0" w:space="0" w:color="auto"/>
          </w:divBdr>
        </w:div>
        <w:div w:id="1971549355">
          <w:marLeft w:val="0"/>
          <w:marRight w:val="0"/>
          <w:marTop w:val="0"/>
          <w:marBottom w:val="0"/>
          <w:divBdr>
            <w:top w:val="none" w:sz="0" w:space="0" w:color="auto"/>
            <w:left w:val="none" w:sz="0" w:space="0" w:color="auto"/>
            <w:bottom w:val="none" w:sz="0" w:space="0" w:color="auto"/>
            <w:right w:val="none" w:sz="0" w:space="0" w:color="auto"/>
          </w:divBdr>
        </w:div>
      </w:divsChild>
    </w:div>
    <w:div w:id="958072448">
      <w:bodyDiv w:val="1"/>
      <w:marLeft w:val="0"/>
      <w:marRight w:val="0"/>
      <w:marTop w:val="0"/>
      <w:marBottom w:val="0"/>
      <w:divBdr>
        <w:top w:val="none" w:sz="0" w:space="0" w:color="auto"/>
        <w:left w:val="none" w:sz="0" w:space="0" w:color="auto"/>
        <w:bottom w:val="none" w:sz="0" w:space="0" w:color="auto"/>
        <w:right w:val="none" w:sz="0" w:space="0" w:color="auto"/>
      </w:divBdr>
      <w:divsChild>
        <w:div w:id="1548834974">
          <w:marLeft w:val="547"/>
          <w:marRight w:val="0"/>
          <w:marTop w:val="0"/>
          <w:marBottom w:val="0"/>
          <w:divBdr>
            <w:top w:val="none" w:sz="0" w:space="0" w:color="auto"/>
            <w:left w:val="none" w:sz="0" w:space="0" w:color="auto"/>
            <w:bottom w:val="none" w:sz="0" w:space="0" w:color="auto"/>
            <w:right w:val="none" w:sz="0" w:space="0" w:color="auto"/>
          </w:divBdr>
        </w:div>
      </w:divsChild>
    </w:div>
    <w:div w:id="980768306">
      <w:bodyDiv w:val="1"/>
      <w:marLeft w:val="0"/>
      <w:marRight w:val="0"/>
      <w:marTop w:val="0"/>
      <w:marBottom w:val="0"/>
      <w:divBdr>
        <w:top w:val="none" w:sz="0" w:space="0" w:color="auto"/>
        <w:left w:val="none" w:sz="0" w:space="0" w:color="auto"/>
        <w:bottom w:val="none" w:sz="0" w:space="0" w:color="auto"/>
        <w:right w:val="none" w:sz="0" w:space="0" w:color="auto"/>
      </w:divBdr>
      <w:divsChild>
        <w:div w:id="25299595">
          <w:marLeft w:val="0"/>
          <w:marRight w:val="0"/>
          <w:marTop w:val="0"/>
          <w:marBottom w:val="0"/>
          <w:divBdr>
            <w:top w:val="none" w:sz="0" w:space="0" w:color="auto"/>
            <w:left w:val="none" w:sz="0" w:space="0" w:color="auto"/>
            <w:bottom w:val="none" w:sz="0" w:space="0" w:color="auto"/>
            <w:right w:val="none" w:sz="0" w:space="0" w:color="auto"/>
          </w:divBdr>
        </w:div>
        <w:div w:id="248318544">
          <w:marLeft w:val="0"/>
          <w:marRight w:val="0"/>
          <w:marTop w:val="0"/>
          <w:marBottom w:val="0"/>
          <w:divBdr>
            <w:top w:val="none" w:sz="0" w:space="0" w:color="auto"/>
            <w:left w:val="none" w:sz="0" w:space="0" w:color="auto"/>
            <w:bottom w:val="none" w:sz="0" w:space="0" w:color="auto"/>
            <w:right w:val="none" w:sz="0" w:space="0" w:color="auto"/>
          </w:divBdr>
        </w:div>
        <w:div w:id="308555608">
          <w:marLeft w:val="0"/>
          <w:marRight w:val="0"/>
          <w:marTop w:val="0"/>
          <w:marBottom w:val="0"/>
          <w:divBdr>
            <w:top w:val="none" w:sz="0" w:space="0" w:color="auto"/>
            <w:left w:val="none" w:sz="0" w:space="0" w:color="auto"/>
            <w:bottom w:val="none" w:sz="0" w:space="0" w:color="auto"/>
            <w:right w:val="none" w:sz="0" w:space="0" w:color="auto"/>
          </w:divBdr>
        </w:div>
        <w:div w:id="429591570">
          <w:marLeft w:val="0"/>
          <w:marRight w:val="0"/>
          <w:marTop w:val="0"/>
          <w:marBottom w:val="0"/>
          <w:divBdr>
            <w:top w:val="none" w:sz="0" w:space="0" w:color="auto"/>
            <w:left w:val="none" w:sz="0" w:space="0" w:color="auto"/>
            <w:bottom w:val="none" w:sz="0" w:space="0" w:color="auto"/>
            <w:right w:val="none" w:sz="0" w:space="0" w:color="auto"/>
          </w:divBdr>
          <w:divsChild>
            <w:div w:id="902569233">
              <w:marLeft w:val="0"/>
              <w:marRight w:val="0"/>
              <w:marTop w:val="0"/>
              <w:marBottom w:val="0"/>
              <w:divBdr>
                <w:top w:val="none" w:sz="0" w:space="0" w:color="auto"/>
                <w:left w:val="none" w:sz="0" w:space="0" w:color="auto"/>
                <w:bottom w:val="none" w:sz="0" w:space="0" w:color="auto"/>
                <w:right w:val="none" w:sz="0" w:space="0" w:color="auto"/>
              </w:divBdr>
            </w:div>
          </w:divsChild>
        </w:div>
        <w:div w:id="561717536">
          <w:marLeft w:val="0"/>
          <w:marRight w:val="0"/>
          <w:marTop w:val="0"/>
          <w:marBottom w:val="0"/>
          <w:divBdr>
            <w:top w:val="none" w:sz="0" w:space="0" w:color="auto"/>
            <w:left w:val="none" w:sz="0" w:space="0" w:color="auto"/>
            <w:bottom w:val="none" w:sz="0" w:space="0" w:color="auto"/>
            <w:right w:val="none" w:sz="0" w:space="0" w:color="auto"/>
          </w:divBdr>
        </w:div>
        <w:div w:id="612830730">
          <w:marLeft w:val="0"/>
          <w:marRight w:val="0"/>
          <w:marTop w:val="0"/>
          <w:marBottom w:val="0"/>
          <w:divBdr>
            <w:top w:val="none" w:sz="0" w:space="0" w:color="auto"/>
            <w:left w:val="none" w:sz="0" w:space="0" w:color="auto"/>
            <w:bottom w:val="none" w:sz="0" w:space="0" w:color="auto"/>
            <w:right w:val="none" w:sz="0" w:space="0" w:color="auto"/>
          </w:divBdr>
        </w:div>
        <w:div w:id="624845305">
          <w:marLeft w:val="0"/>
          <w:marRight w:val="0"/>
          <w:marTop w:val="0"/>
          <w:marBottom w:val="0"/>
          <w:divBdr>
            <w:top w:val="none" w:sz="0" w:space="0" w:color="auto"/>
            <w:left w:val="none" w:sz="0" w:space="0" w:color="auto"/>
            <w:bottom w:val="none" w:sz="0" w:space="0" w:color="auto"/>
            <w:right w:val="none" w:sz="0" w:space="0" w:color="auto"/>
          </w:divBdr>
        </w:div>
        <w:div w:id="672032265">
          <w:marLeft w:val="0"/>
          <w:marRight w:val="0"/>
          <w:marTop w:val="0"/>
          <w:marBottom w:val="0"/>
          <w:divBdr>
            <w:top w:val="none" w:sz="0" w:space="0" w:color="auto"/>
            <w:left w:val="none" w:sz="0" w:space="0" w:color="auto"/>
            <w:bottom w:val="none" w:sz="0" w:space="0" w:color="auto"/>
            <w:right w:val="none" w:sz="0" w:space="0" w:color="auto"/>
          </w:divBdr>
        </w:div>
        <w:div w:id="918444180">
          <w:marLeft w:val="0"/>
          <w:marRight w:val="0"/>
          <w:marTop w:val="0"/>
          <w:marBottom w:val="0"/>
          <w:divBdr>
            <w:top w:val="none" w:sz="0" w:space="0" w:color="auto"/>
            <w:left w:val="none" w:sz="0" w:space="0" w:color="auto"/>
            <w:bottom w:val="none" w:sz="0" w:space="0" w:color="auto"/>
            <w:right w:val="none" w:sz="0" w:space="0" w:color="auto"/>
          </w:divBdr>
        </w:div>
        <w:div w:id="983659933">
          <w:marLeft w:val="0"/>
          <w:marRight w:val="0"/>
          <w:marTop w:val="0"/>
          <w:marBottom w:val="0"/>
          <w:divBdr>
            <w:top w:val="none" w:sz="0" w:space="0" w:color="auto"/>
            <w:left w:val="none" w:sz="0" w:space="0" w:color="auto"/>
            <w:bottom w:val="none" w:sz="0" w:space="0" w:color="auto"/>
            <w:right w:val="none" w:sz="0" w:space="0" w:color="auto"/>
          </w:divBdr>
        </w:div>
        <w:div w:id="1053119383">
          <w:marLeft w:val="0"/>
          <w:marRight w:val="0"/>
          <w:marTop w:val="0"/>
          <w:marBottom w:val="0"/>
          <w:divBdr>
            <w:top w:val="none" w:sz="0" w:space="0" w:color="auto"/>
            <w:left w:val="none" w:sz="0" w:space="0" w:color="auto"/>
            <w:bottom w:val="none" w:sz="0" w:space="0" w:color="auto"/>
            <w:right w:val="none" w:sz="0" w:space="0" w:color="auto"/>
          </w:divBdr>
        </w:div>
        <w:div w:id="1430467564">
          <w:marLeft w:val="0"/>
          <w:marRight w:val="0"/>
          <w:marTop w:val="0"/>
          <w:marBottom w:val="0"/>
          <w:divBdr>
            <w:top w:val="none" w:sz="0" w:space="0" w:color="auto"/>
            <w:left w:val="none" w:sz="0" w:space="0" w:color="auto"/>
            <w:bottom w:val="none" w:sz="0" w:space="0" w:color="auto"/>
            <w:right w:val="none" w:sz="0" w:space="0" w:color="auto"/>
          </w:divBdr>
        </w:div>
        <w:div w:id="1548223818">
          <w:marLeft w:val="0"/>
          <w:marRight w:val="0"/>
          <w:marTop w:val="0"/>
          <w:marBottom w:val="0"/>
          <w:divBdr>
            <w:top w:val="none" w:sz="0" w:space="0" w:color="auto"/>
            <w:left w:val="none" w:sz="0" w:space="0" w:color="auto"/>
            <w:bottom w:val="none" w:sz="0" w:space="0" w:color="auto"/>
            <w:right w:val="none" w:sz="0" w:space="0" w:color="auto"/>
          </w:divBdr>
        </w:div>
        <w:div w:id="1705211252">
          <w:marLeft w:val="0"/>
          <w:marRight w:val="0"/>
          <w:marTop w:val="0"/>
          <w:marBottom w:val="0"/>
          <w:divBdr>
            <w:top w:val="none" w:sz="0" w:space="0" w:color="auto"/>
            <w:left w:val="none" w:sz="0" w:space="0" w:color="auto"/>
            <w:bottom w:val="none" w:sz="0" w:space="0" w:color="auto"/>
            <w:right w:val="none" w:sz="0" w:space="0" w:color="auto"/>
          </w:divBdr>
        </w:div>
        <w:div w:id="1812097236">
          <w:marLeft w:val="0"/>
          <w:marRight w:val="0"/>
          <w:marTop w:val="0"/>
          <w:marBottom w:val="0"/>
          <w:divBdr>
            <w:top w:val="none" w:sz="0" w:space="0" w:color="auto"/>
            <w:left w:val="none" w:sz="0" w:space="0" w:color="auto"/>
            <w:bottom w:val="none" w:sz="0" w:space="0" w:color="auto"/>
            <w:right w:val="none" w:sz="0" w:space="0" w:color="auto"/>
          </w:divBdr>
        </w:div>
        <w:div w:id="1909728651">
          <w:marLeft w:val="0"/>
          <w:marRight w:val="0"/>
          <w:marTop w:val="0"/>
          <w:marBottom w:val="0"/>
          <w:divBdr>
            <w:top w:val="none" w:sz="0" w:space="0" w:color="auto"/>
            <w:left w:val="none" w:sz="0" w:space="0" w:color="auto"/>
            <w:bottom w:val="none" w:sz="0" w:space="0" w:color="auto"/>
            <w:right w:val="none" w:sz="0" w:space="0" w:color="auto"/>
          </w:divBdr>
        </w:div>
        <w:div w:id="1994212311">
          <w:marLeft w:val="0"/>
          <w:marRight w:val="0"/>
          <w:marTop w:val="0"/>
          <w:marBottom w:val="0"/>
          <w:divBdr>
            <w:top w:val="none" w:sz="0" w:space="0" w:color="auto"/>
            <w:left w:val="none" w:sz="0" w:space="0" w:color="auto"/>
            <w:bottom w:val="none" w:sz="0" w:space="0" w:color="auto"/>
            <w:right w:val="none" w:sz="0" w:space="0" w:color="auto"/>
          </w:divBdr>
        </w:div>
        <w:div w:id="2048482917">
          <w:marLeft w:val="0"/>
          <w:marRight w:val="0"/>
          <w:marTop w:val="0"/>
          <w:marBottom w:val="0"/>
          <w:divBdr>
            <w:top w:val="none" w:sz="0" w:space="0" w:color="auto"/>
            <w:left w:val="none" w:sz="0" w:space="0" w:color="auto"/>
            <w:bottom w:val="none" w:sz="0" w:space="0" w:color="auto"/>
            <w:right w:val="none" w:sz="0" w:space="0" w:color="auto"/>
          </w:divBdr>
        </w:div>
        <w:div w:id="2055109355">
          <w:marLeft w:val="0"/>
          <w:marRight w:val="0"/>
          <w:marTop w:val="0"/>
          <w:marBottom w:val="0"/>
          <w:divBdr>
            <w:top w:val="none" w:sz="0" w:space="0" w:color="auto"/>
            <w:left w:val="none" w:sz="0" w:space="0" w:color="auto"/>
            <w:bottom w:val="none" w:sz="0" w:space="0" w:color="auto"/>
            <w:right w:val="none" w:sz="0" w:space="0" w:color="auto"/>
          </w:divBdr>
        </w:div>
      </w:divsChild>
    </w:div>
    <w:div w:id="1071583323">
      <w:bodyDiv w:val="1"/>
      <w:marLeft w:val="0"/>
      <w:marRight w:val="0"/>
      <w:marTop w:val="0"/>
      <w:marBottom w:val="0"/>
      <w:divBdr>
        <w:top w:val="none" w:sz="0" w:space="0" w:color="auto"/>
        <w:left w:val="none" w:sz="0" w:space="0" w:color="auto"/>
        <w:bottom w:val="none" w:sz="0" w:space="0" w:color="auto"/>
        <w:right w:val="none" w:sz="0" w:space="0" w:color="auto"/>
      </w:divBdr>
    </w:div>
    <w:div w:id="1073550254">
      <w:bodyDiv w:val="1"/>
      <w:marLeft w:val="0"/>
      <w:marRight w:val="0"/>
      <w:marTop w:val="0"/>
      <w:marBottom w:val="0"/>
      <w:divBdr>
        <w:top w:val="none" w:sz="0" w:space="0" w:color="auto"/>
        <w:left w:val="none" w:sz="0" w:space="0" w:color="auto"/>
        <w:bottom w:val="none" w:sz="0" w:space="0" w:color="auto"/>
        <w:right w:val="none" w:sz="0" w:space="0" w:color="auto"/>
      </w:divBdr>
    </w:div>
    <w:div w:id="1074351057">
      <w:bodyDiv w:val="1"/>
      <w:marLeft w:val="0"/>
      <w:marRight w:val="0"/>
      <w:marTop w:val="0"/>
      <w:marBottom w:val="0"/>
      <w:divBdr>
        <w:top w:val="none" w:sz="0" w:space="0" w:color="auto"/>
        <w:left w:val="none" w:sz="0" w:space="0" w:color="auto"/>
        <w:bottom w:val="none" w:sz="0" w:space="0" w:color="auto"/>
        <w:right w:val="none" w:sz="0" w:space="0" w:color="auto"/>
      </w:divBdr>
    </w:div>
    <w:div w:id="1102650180">
      <w:bodyDiv w:val="1"/>
      <w:marLeft w:val="0"/>
      <w:marRight w:val="0"/>
      <w:marTop w:val="0"/>
      <w:marBottom w:val="0"/>
      <w:divBdr>
        <w:top w:val="none" w:sz="0" w:space="0" w:color="auto"/>
        <w:left w:val="none" w:sz="0" w:space="0" w:color="auto"/>
        <w:bottom w:val="none" w:sz="0" w:space="0" w:color="auto"/>
        <w:right w:val="none" w:sz="0" w:space="0" w:color="auto"/>
      </w:divBdr>
    </w:div>
    <w:div w:id="1103109366">
      <w:bodyDiv w:val="1"/>
      <w:marLeft w:val="0"/>
      <w:marRight w:val="0"/>
      <w:marTop w:val="0"/>
      <w:marBottom w:val="0"/>
      <w:divBdr>
        <w:top w:val="none" w:sz="0" w:space="0" w:color="auto"/>
        <w:left w:val="none" w:sz="0" w:space="0" w:color="auto"/>
        <w:bottom w:val="none" w:sz="0" w:space="0" w:color="auto"/>
        <w:right w:val="none" w:sz="0" w:space="0" w:color="auto"/>
      </w:divBdr>
    </w:div>
    <w:div w:id="1216746018">
      <w:bodyDiv w:val="1"/>
      <w:marLeft w:val="0"/>
      <w:marRight w:val="0"/>
      <w:marTop w:val="0"/>
      <w:marBottom w:val="0"/>
      <w:divBdr>
        <w:top w:val="none" w:sz="0" w:space="0" w:color="auto"/>
        <w:left w:val="none" w:sz="0" w:space="0" w:color="auto"/>
        <w:bottom w:val="none" w:sz="0" w:space="0" w:color="auto"/>
        <w:right w:val="none" w:sz="0" w:space="0" w:color="auto"/>
      </w:divBdr>
      <w:divsChild>
        <w:div w:id="525217808">
          <w:marLeft w:val="0"/>
          <w:marRight w:val="0"/>
          <w:marTop w:val="0"/>
          <w:marBottom w:val="0"/>
          <w:divBdr>
            <w:top w:val="none" w:sz="0" w:space="0" w:color="auto"/>
            <w:left w:val="none" w:sz="0" w:space="0" w:color="auto"/>
            <w:bottom w:val="none" w:sz="0" w:space="0" w:color="auto"/>
            <w:right w:val="none" w:sz="0" w:space="0" w:color="auto"/>
          </w:divBdr>
        </w:div>
        <w:div w:id="703485800">
          <w:marLeft w:val="0"/>
          <w:marRight w:val="0"/>
          <w:marTop w:val="0"/>
          <w:marBottom w:val="0"/>
          <w:divBdr>
            <w:top w:val="none" w:sz="0" w:space="0" w:color="auto"/>
            <w:left w:val="none" w:sz="0" w:space="0" w:color="auto"/>
            <w:bottom w:val="none" w:sz="0" w:space="0" w:color="auto"/>
            <w:right w:val="none" w:sz="0" w:space="0" w:color="auto"/>
          </w:divBdr>
          <w:divsChild>
            <w:div w:id="1526166521">
              <w:marLeft w:val="0"/>
              <w:marRight w:val="0"/>
              <w:marTop w:val="0"/>
              <w:marBottom w:val="0"/>
              <w:divBdr>
                <w:top w:val="none" w:sz="0" w:space="0" w:color="auto"/>
                <w:left w:val="none" w:sz="0" w:space="0" w:color="auto"/>
                <w:bottom w:val="none" w:sz="0" w:space="0" w:color="auto"/>
                <w:right w:val="none" w:sz="0" w:space="0" w:color="auto"/>
              </w:divBdr>
            </w:div>
            <w:div w:id="982076716">
              <w:marLeft w:val="0"/>
              <w:marRight w:val="0"/>
              <w:marTop w:val="0"/>
              <w:marBottom w:val="0"/>
              <w:divBdr>
                <w:top w:val="none" w:sz="0" w:space="0" w:color="auto"/>
                <w:left w:val="none" w:sz="0" w:space="0" w:color="auto"/>
                <w:bottom w:val="none" w:sz="0" w:space="0" w:color="auto"/>
                <w:right w:val="none" w:sz="0" w:space="0" w:color="auto"/>
              </w:divBdr>
            </w:div>
            <w:div w:id="2025206378">
              <w:marLeft w:val="0"/>
              <w:marRight w:val="0"/>
              <w:marTop w:val="0"/>
              <w:marBottom w:val="0"/>
              <w:divBdr>
                <w:top w:val="none" w:sz="0" w:space="0" w:color="auto"/>
                <w:left w:val="none" w:sz="0" w:space="0" w:color="auto"/>
                <w:bottom w:val="none" w:sz="0" w:space="0" w:color="auto"/>
                <w:right w:val="none" w:sz="0" w:space="0" w:color="auto"/>
              </w:divBdr>
              <w:divsChild>
                <w:div w:id="1123040084">
                  <w:marLeft w:val="0"/>
                  <w:marRight w:val="0"/>
                  <w:marTop w:val="0"/>
                  <w:marBottom w:val="0"/>
                  <w:divBdr>
                    <w:top w:val="none" w:sz="0" w:space="0" w:color="auto"/>
                    <w:left w:val="none" w:sz="0" w:space="0" w:color="auto"/>
                    <w:bottom w:val="none" w:sz="0" w:space="0" w:color="auto"/>
                    <w:right w:val="none" w:sz="0" w:space="0" w:color="auto"/>
                  </w:divBdr>
                </w:div>
                <w:div w:id="616331802">
                  <w:marLeft w:val="0"/>
                  <w:marRight w:val="0"/>
                  <w:marTop w:val="0"/>
                  <w:marBottom w:val="0"/>
                  <w:divBdr>
                    <w:top w:val="none" w:sz="0" w:space="0" w:color="auto"/>
                    <w:left w:val="none" w:sz="0" w:space="0" w:color="auto"/>
                    <w:bottom w:val="none" w:sz="0" w:space="0" w:color="auto"/>
                    <w:right w:val="none" w:sz="0" w:space="0" w:color="auto"/>
                  </w:divBdr>
                </w:div>
                <w:div w:id="1684699562">
                  <w:marLeft w:val="0"/>
                  <w:marRight w:val="0"/>
                  <w:marTop w:val="0"/>
                  <w:marBottom w:val="0"/>
                  <w:divBdr>
                    <w:top w:val="none" w:sz="0" w:space="0" w:color="auto"/>
                    <w:left w:val="none" w:sz="0" w:space="0" w:color="auto"/>
                    <w:bottom w:val="none" w:sz="0" w:space="0" w:color="auto"/>
                    <w:right w:val="none" w:sz="0" w:space="0" w:color="auto"/>
                  </w:divBdr>
                </w:div>
                <w:div w:id="353462116">
                  <w:marLeft w:val="0"/>
                  <w:marRight w:val="0"/>
                  <w:marTop w:val="0"/>
                  <w:marBottom w:val="0"/>
                  <w:divBdr>
                    <w:top w:val="none" w:sz="0" w:space="0" w:color="auto"/>
                    <w:left w:val="none" w:sz="0" w:space="0" w:color="auto"/>
                    <w:bottom w:val="none" w:sz="0" w:space="0" w:color="auto"/>
                    <w:right w:val="none" w:sz="0" w:space="0" w:color="auto"/>
                  </w:divBdr>
                </w:div>
                <w:div w:id="513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868074">
      <w:bodyDiv w:val="1"/>
      <w:marLeft w:val="0"/>
      <w:marRight w:val="0"/>
      <w:marTop w:val="0"/>
      <w:marBottom w:val="0"/>
      <w:divBdr>
        <w:top w:val="none" w:sz="0" w:space="0" w:color="auto"/>
        <w:left w:val="none" w:sz="0" w:space="0" w:color="auto"/>
        <w:bottom w:val="none" w:sz="0" w:space="0" w:color="auto"/>
        <w:right w:val="none" w:sz="0" w:space="0" w:color="auto"/>
      </w:divBdr>
    </w:div>
    <w:div w:id="1384213973">
      <w:bodyDiv w:val="1"/>
      <w:marLeft w:val="0"/>
      <w:marRight w:val="0"/>
      <w:marTop w:val="0"/>
      <w:marBottom w:val="0"/>
      <w:divBdr>
        <w:top w:val="none" w:sz="0" w:space="0" w:color="auto"/>
        <w:left w:val="none" w:sz="0" w:space="0" w:color="auto"/>
        <w:bottom w:val="none" w:sz="0" w:space="0" w:color="auto"/>
        <w:right w:val="none" w:sz="0" w:space="0" w:color="auto"/>
      </w:divBdr>
    </w:div>
    <w:div w:id="1462334912">
      <w:bodyDiv w:val="1"/>
      <w:marLeft w:val="0"/>
      <w:marRight w:val="0"/>
      <w:marTop w:val="0"/>
      <w:marBottom w:val="0"/>
      <w:divBdr>
        <w:top w:val="none" w:sz="0" w:space="0" w:color="auto"/>
        <w:left w:val="none" w:sz="0" w:space="0" w:color="auto"/>
        <w:bottom w:val="none" w:sz="0" w:space="0" w:color="auto"/>
        <w:right w:val="none" w:sz="0" w:space="0" w:color="auto"/>
      </w:divBdr>
    </w:div>
    <w:div w:id="1495804930">
      <w:bodyDiv w:val="1"/>
      <w:marLeft w:val="0"/>
      <w:marRight w:val="0"/>
      <w:marTop w:val="0"/>
      <w:marBottom w:val="0"/>
      <w:divBdr>
        <w:top w:val="none" w:sz="0" w:space="0" w:color="auto"/>
        <w:left w:val="none" w:sz="0" w:space="0" w:color="auto"/>
        <w:bottom w:val="none" w:sz="0" w:space="0" w:color="auto"/>
        <w:right w:val="none" w:sz="0" w:space="0" w:color="auto"/>
      </w:divBdr>
    </w:div>
    <w:div w:id="1518157548">
      <w:bodyDiv w:val="1"/>
      <w:marLeft w:val="0"/>
      <w:marRight w:val="0"/>
      <w:marTop w:val="0"/>
      <w:marBottom w:val="0"/>
      <w:divBdr>
        <w:top w:val="none" w:sz="0" w:space="0" w:color="auto"/>
        <w:left w:val="none" w:sz="0" w:space="0" w:color="auto"/>
        <w:bottom w:val="none" w:sz="0" w:space="0" w:color="auto"/>
        <w:right w:val="none" w:sz="0" w:space="0" w:color="auto"/>
      </w:divBdr>
      <w:divsChild>
        <w:div w:id="119300290">
          <w:marLeft w:val="0"/>
          <w:marRight w:val="0"/>
          <w:marTop w:val="0"/>
          <w:marBottom w:val="0"/>
          <w:divBdr>
            <w:top w:val="none" w:sz="0" w:space="0" w:color="auto"/>
            <w:left w:val="none" w:sz="0" w:space="0" w:color="auto"/>
            <w:bottom w:val="none" w:sz="0" w:space="0" w:color="auto"/>
            <w:right w:val="none" w:sz="0" w:space="0" w:color="auto"/>
          </w:divBdr>
        </w:div>
        <w:div w:id="133526049">
          <w:marLeft w:val="0"/>
          <w:marRight w:val="0"/>
          <w:marTop w:val="0"/>
          <w:marBottom w:val="0"/>
          <w:divBdr>
            <w:top w:val="none" w:sz="0" w:space="0" w:color="auto"/>
            <w:left w:val="none" w:sz="0" w:space="0" w:color="auto"/>
            <w:bottom w:val="none" w:sz="0" w:space="0" w:color="auto"/>
            <w:right w:val="none" w:sz="0" w:space="0" w:color="auto"/>
          </w:divBdr>
        </w:div>
        <w:div w:id="143470409">
          <w:marLeft w:val="0"/>
          <w:marRight w:val="0"/>
          <w:marTop w:val="0"/>
          <w:marBottom w:val="0"/>
          <w:divBdr>
            <w:top w:val="none" w:sz="0" w:space="0" w:color="auto"/>
            <w:left w:val="none" w:sz="0" w:space="0" w:color="auto"/>
            <w:bottom w:val="none" w:sz="0" w:space="0" w:color="auto"/>
            <w:right w:val="none" w:sz="0" w:space="0" w:color="auto"/>
          </w:divBdr>
        </w:div>
        <w:div w:id="197280176">
          <w:marLeft w:val="0"/>
          <w:marRight w:val="0"/>
          <w:marTop w:val="0"/>
          <w:marBottom w:val="0"/>
          <w:divBdr>
            <w:top w:val="none" w:sz="0" w:space="0" w:color="auto"/>
            <w:left w:val="none" w:sz="0" w:space="0" w:color="auto"/>
            <w:bottom w:val="none" w:sz="0" w:space="0" w:color="auto"/>
            <w:right w:val="none" w:sz="0" w:space="0" w:color="auto"/>
          </w:divBdr>
        </w:div>
        <w:div w:id="220747598">
          <w:marLeft w:val="0"/>
          <w:marRight w:val="0"/>
          <w:marTop w:val="0"/>
          <w:marBottom w:val="0"/>
          <w:divBdr>
            <w:top w:val="none" w:sz="0" w:space="0" w:color="auto"/>
            <w:left w:val="none" w:sz="0" w:space="0" w:color="auto"/>
            <w:bottom w:val="none" w:sz="0" w:space="0" w:color="auto"/>
            <w:right w:val="none" w:sz="0" w:space="0" w:color="auto"/>
          </w:divBdr>
        </w:div>
        <w:div w:id="718214169">
          <w:marLeft w:val="0"/>
          <w:marRight w:val="0"/>
          <w:marTop w:val="0"/>
          <w:marBottom w:val="0"/>
          <w:divBdr>
            <w:top w:val="none" w:sz="0" w:space="0" w:color="auto"/>
            <w:left w:val="none" w:sz="0" w:space="0" w:color="auto"/>
            <w:bottom w:val="none" w:sz="0" w:space="0" w:color="auto"/>
            <w:right w:val="none" w:sz="0" w:space="0" w:color="auto"/>
          </w:divBdr>
        </w:div>
        <w:div w:id="1282809331">
          <w:marLeft w:val="0"/>
          <w:marRight w:val="0"/>
          <w:marTop w:val="0"/>
          <w:marBottom w:val="0"/>
          <w:divBdr>
            <w:top w:val="none" w:sz="0" w:space="0" w:color="auto"/>
            <w:left w:val="none" w:sz="0" w:space="0" w:color="auto"/>
            <w:bottom w:val="none" w:sz="0" w:space="0" w:color="auto"/>
            <w:right w:val="none" w:sz="0" w:space="0" w:color="auto"/>
          </w:divBdr>
        </w:div>
      </w:divsChild>
    </w:div>
    <w:div w:id="1525247003">
      <w:bodyDiv w:val="1"/>
      <w:marLeft w:val="0"/>
      <w:marRight w:val="0"/>
      <w:marTop w:val="0"/>
      <w:marBottom w:val="0"/>
      <w:divBdr>
        <w:top w:val="none" w:sz="0" w:space="0" w:color="auto"/>
        <w:left w:val="none" w:sz="0" w:space="0" w:color="auto"/>
        <w:bottom w:val="none" w:sz="0" w:space="0" w:color="auto"/>
        <w:right w:val="none" w:sz="0" w:space="0" w:color="auto"/>
      </w:divBdr>
    </w:div>
    <w:div w:id="1551188434">
      <w:bodyDiv w:val="1"/>
      <w:marLeft w:val="0"/>
      <w:marRight w:val="0"/>
      <w:marTop w:val="0"/>
      <w:marBottom w:val="0"/>
      <w:divBdr>
        <w:top w:val="none" w:sz="0" w:space="0" w:color="auto"/>
        <w:left w:val="none" w:sz="0" w:space="0" w:color="auto"/>
        <w:bottom w:val="none" w:sz="0" w:space="0" w:color="auto"/>
        <w:right w:val="none" w:sz="0" w:space="0" w:color="auto"/>
      </w:divBdr>
    </w:div>
    <w:div w:id="1653632081">
      <w:bodyDiv w:val="1"/>
      <w:marLeft w:val="0"/>
      <w:marRight w:val="0"/>
      <w:marTop w:val="0"/>
      <w:marBottom w:val="0"/>
      <w:divBdr>
        <w:top w:val="none" w:sz="0" w:space="0" w:color="auto"/>
        <w:left w:val="none" w:sz="0" w:space="0" w:color="auto"/>
        <w:bottom w:val="none" w:sz="0" w:space="0" w:color="auto"/>
        <w:right w:val="none" w:sz="0" w:space="0" w:color="auto"/>
      </w:divBdr>
      <w:divsChild>
        <w:div w:id="815145649">
          <w:marLeft w:val="0"/>
          <w:marRight w:val="0"/>
          <w:marTop w:val="0"/>
          <w:marBottom w:val="0"/>
          <w:divBdr>
            <w:top w:val="none" w:sz="0" w:space="0" w:color="auto"/>
            <w:left w:val="none" w:sz="0" w:space="0" w:color="auto"/>
            <w:bottom w:val="none" w:sz="0" w:space="0" w:color="auto"/>
            <w:right w:val="none" w:sz="0" w:space="0" w:color="auto"/>
          </w:divBdr>
        </w:div>
        <w:div w:id="1614090500">
          <w:marLeft w:val="0"/>
          <w:marRight w:val="0"/>
          <w:marTop w:val="0"/>
          <w:marBottom w:val="0"/>
          <w:divBdr>
            <w:top w:val="none" w:sz="0" w:space="0" w:color="auto"/>
            <w:left w:val="none" w:sz="0" w:space="0" w:color="auto"/>
            <w:bottom w:val="none" w:sz="0" w:space="0" w:color="auto"/>
            <w:right w:val="none" w:sz="0" w:space="0" w:color="auto"/>
          </w:divBdr>
        </w:div>
      </w:divsChild>
    </w:div>
    <w:div w:id="1751926461">
      <w:bodyDiv w:val="1"/>
      <w:marLeft w:val="0"/>
      <w:marRight w:val="0"/>
      <w:marTop w:val="0"/>
      <w:marBottom w:val="0"/>
      <w:divBdr>
        <w:top w:val="none" w:sz="0" w:space="0" w:color="auto"/>
        <w:left w:val="none" w:sz="0" w:space="0" w:color="auto"/>
        <w:bottom w:val="none" w:sz="0" w:space="0" w:color="auto"/>
        <w:right w:val="none" w:sz="0" w:space="0" w:color="auto"/>
      </w:divBdr>
      <w:divsChild>
        <w:div w:id="530192466">
          <w:marLeft w:val="0"/>
          <w:marRight w:val="0"/>
          <w:marTop w:val="0"/>
          <w:marBottom w:val="0"/>
          <w:divBdr>
            <w:top w:val="none" w:sz="0" w:space="0" w:color="auto"/>
            <w:left w:val="none" w:sz="0" w:space="0" w:color="auto"/>
            <w:bottom w:val="none" w:sz="0" w:space="0" w:color="auto"/>
            <w:right w:val="none" w:sz="0" w:space="0" w:color="auto"/>
          </w:divBdr>
        </w:div>
        <w:div w:id="604117626">
          <w:marLeft w:val="0"/>
          <w:marRight w:val="0"/>
          <w:marTop w:val="0"/>
          <w:marBottom w:val="0"/>
          <w:divBdr>
            <w:top w:val="none" w:sz="0" w:space="0" w:color="auto"/>
            <w:left w:val="none" w:sz="0" w:space="0" w:color="auto"/>
            <w:bottom w:val="none" w:sz="0" w:space="0" w:color="auto"/>
            <w:right w:val="none" w:sz="0" w:space="0" w:color="auto"/>
          </w:divBdr>
        </w:div>
        <w:div w:id="808328230">
          <w:marLeft w:val="0"/>
          <w:marRight w:val="0"/>
          <w:marTop w:val="0"/>
          <w:marBottom w:val="0"/>
          <w:divBdr>
            <w:top w:val="none" w:sz="0" w:space="0" w:color="auto"/>
            <w:left w:val="none" w:sz="0" w:space="0" w:color="auto"/>
            <w:bottom w:val="none" w:sz="0" w:space="0" w:color="auto"/>
            <w:right w:val="none" w:sz="0" w:space="0" w:color="auto"/>
          </w:divBdr>
        </w:div>
        <w:div w:id="1371300245">
          <w:marLeft w:val="0"/>
          <w:marRight w:val="0"/>
          <w:marTop w:val="0"/>
          <w:marBottom w:val="0"/>
          <w:divBdr>
            <w:top w:val="none" w:sz="0" w:space="0" w:color="auto"/>
            <w:left w:val="none" w:sz="0" w:space="0" w:color="auto"/>
            <w:bottom w:val="none" w:sz="0" w:space="0" w:color="auto"/>
            <w:right w:val="none" w:sz="0" w:space="0" w:color="auto"/>
          </w:divBdr>
        </w:div>
      </w:divsChild>
    </w:div>
    <w:div w:id="1869441566">
      <w:bodyDiv w:val="1"/>
      <w:marLeft w:val="0"/>
      <w:marRight w:val="0"/>
      <w:marTop w:val="0"/>
      <w:marBottom w:val="0"/>
      <w:divBdr>
        <w:top w:val="none" w:sz="0" w:space="0" w:color="auto"/>
        <w:left w:val="none" w:sz="0" w:space="0" w:color="auto"/>
        <w:bottom w:val="none" w:sz="0" w:space="0" w:color="auto"/>
        <w:right w:val="none" w:sz="0" w:space="0" w:color="auto"/>
      </w:divBdr>
    </w:div>
    <w:div w:id="1881697830">
      <w:bodyDiv w:val="1"/>
      <w:marLeft w:val="0"/>
      <w:marRight w:val="0"/>
      <w:marTop w:val="0"/>
      <w:marBottom w:val="0"/>
      <w:divBdr>
        <w:top w:val="none" w:sz="0" w:space="0" w:color="auto"/>
        <w:left w:val="none" w:sz="0" w:space="0" w:color="auto"/>
        <w:bottom w:val="none" w:sz="0" w:space="0" w:color="auto"/>
        <w:right w:val="none" w:sz="0" w:space="0" w:color="auto"/>
      </w:divBdr>
    </w:div>
    <w:div w:id="1882130566">
      <w:bodyDiv w:val="1"/>
      <w:marLeft w:val="0"/>
      <w:marRight w:val="0"/>
      <w:marTop w:val="0"/>
      <w:marBottom w:val="0"/>
      <w:divBdr>
        <w:top w:val="none" w:sz="0" w:space="0" w:color="auto"/>
        <w:left w:val="none" w:sz="0" w:space="0" w:color="auto"/>
        <w:bottom w:val="none" w:sz="0" w:space="0" w:color="auto"/>
        <w:right w:val="none" w:sz="0" w:space="0" w:color="auto"/>
      </w:divBdr>
      <w:divsChild>
        <w:div w:id="76951725">
          <w:marLeft w:val="0"/>
          <w:marRight w:val="0"/>
          <w:marTop w:val="0"/>
          <w:marBottom w:val="0"/>
          <w:divBdr>
            <w:top w:val="none" w:sz="0" w:space="0" w:color="auto"/>
            <w:left w:val="none" w:sz="0" w:space="0" w:color="auto"/>
            <w:bottom w:val="none" w:sz="0" w:space="0" w:color="auto"/>
            <w:right w:val="none" w:sz="0" w:space="0" w:color="auto"/>
          </w:divBdr>
        </w:div>
        <w:div w:id="240456453">
          <w:marLeft w:val="0"/>
          <w:marRight w:val="0"/>
          <w:marTop w:val="0"/>
          <w:marBottom w:val="0"/>
          <w:divBdr>
            <w:top w:val="none" w:sz="0" w:space="0" w:color="auto"/>
            <w:left w:val="none" w:sz="0" w:space="0" w:color="auto"/>
            <w:bottom w:val="none" w:sz="0" w:space="0" w:color="auto"/>
            <w:right w:val="none" w:sz="0" w:space="0" w:color="auto"/>
          </w:divBdr>
        </w:div>
        <w:div w:id="1025599919">
          <w:marLeft w:val="0"/>
          <w:marRight w:val="0"/>
          <w:marTop w:val="0"/>
          <w:marBottom w:val="0"/>
          <w:divBdr>
            <w:top w:val="none" w:sz="0" w:space="0" w:color="auto"/>
            <w:left w:val="none" w:sz="0" w:space="0" w:color="auto"/>
            <w:bottom w:val="none" w:sz="0" w:space="0" w:color="auto"/>
            <w:right w:val="none" w:sz="0" w:space="0" w:color="auto"/>
          </w:divBdr>
        </w:div>
        <w:div w:id="1148785742">
          <w:marLeft w:val="0"/>
          <w:marRight w:val="0"/>
          <w:marTop w:val="0"/>
          <w:marBottom w:val="0"/>
          <w:divBdr>
            <w:top w:val="none" w:sz="0" w:space="0" w:color="auto"/>
            <w:left w:val="none" w:sz="0" w:space="0" w:color="auto"/>
            <w:bottom w:val="none" w:sz="0" w:space="0" w:color="auto"/>
            <w:right w:val="none" w:sz="0" w:space="0" w:color="auto"/>
          </w:divBdr>
        </w:div>
        <w:div w:id="1865632476">
          <w:marLeft w:val="0"/>
          <w:marRight w:val="0"/>
          <w:marTop w:val="0"/>
          <w:marBottom w:val="0"/>
          <w:divBdr>
            <w:top w:val="none" w:sz="0" w:space="0" w:color="auto"/>
            <w:left w:val="none" w:sz="0" w:space="0" w:color="auto"/>
            <w:bottom w:val="none" w:sz="0" w:space="0" w:color="auto"/>
            <w:right w:val="none" w:sz="0" w:space="0" w:color="auto"/>
          </w:divBdr>
        </w:div>
      </w:divsChild>
    </w:div>
    <w:div w:id="1916696059">
      <w:bodyDiv w:val="1"/>
      <w:marLeft w:val="0"/>
      <w:marRight w:val="0"/>
      <w:marTop w:val="0"/>
      <w:marBottom w:val="0"/>
      <w:divBdr>
        <w:top w:val="none" w:sz="0" w:space="0" w:color="auto"/>
        <w:left w:val="none" w:sz="0" w:space="0" w:color="auto"/>
        <w:bottom w:val="none" w:sz="0" w:space="0" w:color="auto"/>
        <w:right w:val="none" w:sz="0" w:space="0" w:color="auto"/>
      </w:divBdr>
    </w:div>
    <w:div w:id="212090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rm.md/activitatea-curtii-de-conturi-1-2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44DB1-868D-44B7-A6D8-2AA3FC3EF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9313</Words>
  <Characters>53086</Characters>
  <Application>Microsoft Office Word</Application>
  <DocSecurity>0</DocSecurity>
  <Lines>442</Lines>
  <Paragraphs>124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Ciochină Elena</dc:creator>
  <cp:keywords/>
  <dc:description/>
  <cp:lastModifiedBy>Paiu Eugenia</cp:lastModifiedBy>
  <cp:revision>2</cp:revision>
  <cp:lastPrinted>2021-07-20T08:16:00Z</cp:lastPrinted>
  <dcterms:created xsi:type="dcterms:W3CDTF">2021-08-01T09:37:00Z</dcterms:created>
  <dcterms:modified xsi:type="dcterms:W3CDTF">2021-08-01T09:37:00Z</dcterms:modified>
</cp:coreProperties>
</file>