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D2DB2" w14:textId="77777777" w:rsidR="002A7174" w:rsidRPr="00F96CC6" w:rsidRDefault="002A7174" w:rsidP="00C05E71">
      <w:pPr>
        <w:spacing w:after="0" w:line="276" w:lineRule="auto"/>
        <w:jc w:val="right"/>
        <w:rPr>
          <w:rFonts w:asciiTheme="majorHAnsi" w:eastAsia="Times New Roman" w:hAnsiTheme="majorHAnsi" w:cstheme="majorHAnsi"/>
          <w:i/>
          <w:noProof/>
          <w:sz w:val="24"/>
          <w:szCs w:val="24"/>
          <w:lang w:val="ro-MD"/>
        </w:rPr>
      </w:pPr>
      <w:bookmarkStart w:id="0" w:name="_GoBack"/>
      <w:bookmarkEnd w:id="0"/>
      <w:r w:rsidRPr="00F96CC6">
        <w:rPr>
          <w:rFonts w:asciiTheme="majorHAnsi" w:eastAsia="Times New Roman" w:hAnsiTheme="majorHAnsi" w:cstheme="majorHAnsi"/>
          <w:bCs/>
          <w:i/>
          <w:noProof/>
          <w:sz w:val="24"/>
          <w:szCs w:val="24"/>
          <w:lang w:val="ro-MD"/>
        </w:rPr>
        <w:t>A</w:t>
      </w:r>
      <w:r w:rsidRPr="00F96CC6">
        <w:rPr>
          <w:rFonts w:asciiTheme="majorHAnsi" w:eastAsia="Times New Roman" w:hAnsiTheme="majorHAnsi" w:cstheme="majorHAnsi"/>
          <w:i/>
          <w:noProof/>
          <w:sz w:val="24"/>
          <w:szCs w:val="24"/>
          <w:lang w:val="ro-MD"/>
        </w:rPr>
        <w:t xml:space="preserve">nexă </w:t>
      </w:r>
    </w:p>
    <w:p w14:paraId="011EDD1D" w14:textId="77777777" w:rsidR="002A7174" w:rsidRPr="00F96CC6" w:rsidRDefault="002A7174" w:rsidP="00C05E71">
      <w:pPr>
        <w:spacing w:after="0" w:line="276" w:lineRule="auto"/>
        <w:jc w:val="right"/>
        <w:rPr>
          <w:rFonts w:asciiTheme="majorHAnsi" w:eastAsia="Times New Roman" w:hAnsiTheme="majorHAnsi" w:cstheme="majorHAnsi"/>
          <w:noProof/>
          <w:sz w:val="24"/>
          <w:szCs w:val="24"/>
          <w:lang w:val="ro-MD"/>
        </w:rPr>
      </w:pPr>
      <w:r w:rsidRPr="00F96CC6">
        <w:rPr>
          <w:rFonts w:asciiTheme="majorHAnsi" w:eastAsia="Times New Roman" w:hAnsiTheme="majorHAnsi" w:cstheme="majorHAnsi"/>
          <w:noProof/>
          <w:sz w:val="24"/>
          <w:szCs w:val="24"/>
          <w:lang w:val="ro-MD"/>
        </w:rPr>
        <w:t xml:space="preserve">la Hotărârea Curții de Conturi </w:t>
      </w:r>
    </w:p>
    <w:p w14:paraId="181544AE" w14:textId="63359C00" w:rsidR="002A7174" w:rsidRPr="00F96CC6" w:rsidRDefault="002A7174" w:rsidP="00C05E71">
      <w:pPr>
        <w:spacing w:after="0" w:line="276" w:lineRule="auto"/>
        <w:jc w:val="right"/>
        <w:rPr>
          <w:rFonts w:asciiTheme="majorHAnsi" w:eastAsia="Times New Roman" w:hAnsiTheme="majorHAnsi" w:cstheme="majorHAnsi"/>
          <w:noProof/>
          <w:sz w:val="24"/>
          <w:szCs w:val="24"/>
          <w:lang w:val="ro-MD"/>
        </w:rPr>
      </w:pPr>
      <w:r w:rsidRPr="00F96CC6">
        <w:rPr>
          <w:rFonts w:asciiTheme="majorHAnsi" w:eastAsia="Times New Roman" w:hAnsiTheme="majorHAnsi" w:cstheme="majorHAnsi"/>
          <w:noProof/>
          <w:sz w:val="24"/>
          <w:szCs w:val="24"/>
          <w:lang w:val="ro-MD"/>
        </w:rPr>
        <w:t xml:space="preserve">nr. </w:t>
      </w:r>
      <w:r w:rsidR="00C05E71">
        <w:rPr>
          <w:rFonts w:asciiTheme="majorHAnsi" w:eastAsia="Times New Roman" w:hAnsiTheme="majorHAnsi" w:cstheme="majorHAnsi"/>
          <w:noProof/>
          <w:sz w:val="24"/>
          <w:szCs w:val="24"/>
          <w:lang w:val="ro-MD"/>
        </w:rPr>
        <w:t>55</w:t>
      </w:r>
      <w:r w:rsidRPr="00F96CC6">
        <w:rPr>
          <w:rFonts w:asciiTheme="majorHAnsi" w:eastAsia="Times New Roman" w:hAnsiTheme="majorHAnsi" w:cstheme="majorHAnsi"/>
          <w:noProof/>
          <w:sz w:val="24"/>
          <w:szCs w:val="24"/>
          <w:lang w:val="ro-MD"/>
        </w:rPr>
        <w:t xml:space="preserve"> din </w:t>
      </w:r>
      <w:r w:rsidR="00F634BF">
        <w:rPr>
          <w:rFonts w:asciiTheme="majorHAnsi" w:eastAsia="Times New Roman" w:hAnsiTheme="majorHAnsi" w:cstheme="majorHAnsi"/>
          <w:noProof/>
          <w:sz w:val="24"/>
          <w:szCs w:val="24"/>
          <w:lang w:val="ro-MD"/>
        </w:rPr>
        <w:t>07 octombrie</w:t>
      </w:r>
      <w:r w:rsidR="004736B8" w:rsidRPr="00F96CC6">
        <w:rPr>
          <w:rFonts w:asciiTheme="majorHAnsi" w:eastAsia="Times New Roman" w:hAnsiTheme="majorHAnsi" w:cstheme="majorHAnsi"/>
          <w:noProof/>
          <w:sz w:val="24"/>
          <w:szCs w:val="24"/>
          <w:lang w:val="ro-MD"/>
        </w:rPr>
        <w:t xml:space="preserve"> </w:t>
      </w:r>
      <w:r w:rsidRPr="00F96CC6">
        <w:rPr>
          <w:rFonts w:asciiTheme="majorHAnsi" w:eastAsia="Times New Roman" w:hAnsiTheme="majorHAnsi" w:cstheme="majorHAnsi"/>
          <w:noProof/>
          <w:sz w:val="24"/>
          <w:szCs w:val="24"/>
          <w:lang w:val="ro-MD"/>
        </w:rPr>
        <w:t>2021</w:t>
      </w:r>
    </w:p>
    <w:p w14:paraId="02F881F6" w14:textId="77777777" w:rsidR="002A7174" w:rsidRPr="00F96CC6" w:rsidRDefault="002A7174" w:rsidP="00C05E71">
      <w:pPr>
        <w:spacing w:after="0" w:line="276" w:lineRule="auto"/>
        <w:jc w:val="right"/>
        <w:rPr>
          <w:rFonts w:asciiTheme="majorHAnsi" w:eastAsia="Calibri" w:hAnsiTheme="majorHAnsi" w:cstheme="majorHAnsi"/>
          <w:i/>
          <w:noProof/>
          <w:sz w:val="24"/>
          <w:szCs w:val="24"/>
          <w:lang w:val="ro-MD"/>
        </w:rPr>
      </w:pPr>
    </w:p>
    <w:p w14:paraId="129E6292" w14:textId="77777777" w:rsidR="002A7174" w:rsidRPr="00F96CC6" w:rsidRDefault="002A7174" w:rsidP="00C05E71">
      <w:pPr>
        <w:spacing w:after="0" w:line="276" w:lineRule="auto"/>
        <w:jc w:val="center"/>
        <w:rPr>
          <w:rFonts w:asciiTheme="majorHAnsi" w:eastAsia="Calibri" w:hAnsiTheme="majorHAnsi" w:cstheme="majorHAnsi"/>
          <w:i/>
          <w:noProof/>
          <w:sz w:val="24"/>
          <w:szCs w:val="24"/>
          <w:lang w:val="ro-MD"/>
        </w:rPr>
      </w:pPr>
    </w:p>
    <w:p w14:paraId="61382C9B" w14:textId="77777777" w:rsidR="002A7174" w:rsidRPr="00F96CC6" w:rsidRDefault="002A7174" w:rsidP="00C05E71">
      <w:pPr>
        <w:spacing w:after="0" w:line="276" w:lineRule="auto"/>
        <w:jc w:val="center"/>
        <w:rPr>
          <w:rFonts w:asciiTheme="majorHAnsi" w:eastAsia="Calibri" w:hAnsiTheme="majorHAnsi" w:cstheme="majorHAnsi"/>
          <w:i/>
          <w:noProof/>
          <w:sz w:val="24"/>
          <w:szCs w:val="24"/>
          <w:lang w:val="ro-MD"/>
        </w:rPr>
      </w:pPr>
    </w:p>
    <w:p w14:paraId="431419ED" w14:textId="77777777" w:rsidR="002A7174" w:rsidRPr="00F96CC6" w:rsidRDefault="002A7174" w:rsidP="00C05E71">
      <w:pPr>
        <w:spacing w:after="0" w:line="276" w:lineRule="auto"/>
        <w:jc w:val="center"/>
        <w:rPr>
          <w:rFonts w:asciiTheme="majorHAnsi" w:eastAsia="Calibri" w:hAnsiTheme="majorHAnsi" w:cstheme="majorHAnsi"/>
          <w:i/>
          <w:noProof/>
          <w:sz w:val="24"/>
          <w:szCs w:val="24"/>
          <w:lang w:val="ro-MD"/>
        </w:rPr>
      </w:pPr>
    </w:p>
    <w:p w14:paraId="7533728F" w14:textId="77777777" w:rsidR="002A7174" w:rsidRPr="00F96CC6" w:rsidRDefault="002A7174" w:rsidP="00C05E71">
      <w:pPr>
        <w:spacing w:after="0" w:line="276" w:lineRule="auto"/>
        <w:jc w:val="center"/>
        <w:rPr>
          <w:rFonts w:asciiTheme="majorHAnsi" w:eastAsia="Calibri" w:hAnsiTheme="majorHAnsi" w:cstheme="majorHAnsi"/>
          <w:i/>
          <w:noProof/>
          <w:sz w:val="24"/>
          <w:szCs w:val="24"/>
          <w:lang w:val="ro-MD"/>
        </w:rPr>
      </w:pPr>
    </w:p>
    <w:p w14:paraId="51BED381" w14:textId="77777777" w:rsidR="002A7174" w:rsidRPr="00F96CC6" w:rsidRDefault="00B34B19" w:rsidP="00C05E71">
      <w:pPr>
        <w:spacing w:after="0" w:line="276" w:lineRule="auto"/>
        <w:jc w:val="center"/>
        <w:rPr>
          <w:rFonts w:asciiTheme="majorHAnsi" w:eastAsia="Calibri" w:hAnsiTheme="majorHAnsi" w:cstheme="majorHAnsi"/>
          <w:i/>
          <w:noProof/>
          <w:sz w:val="24"/>
          <w:szCs w:val="24"/>
          <w:lang w:val="ro-MD"/>
        </w:rPr>
      </w:pPr>
      <w:r w:rsidRPr="00F96CC6">
        <w:rPr>
          <w:rFonts w:asciiTheme="majorHAnsi" w:hAnsiTheme="majorHAnsi" w:cstheme="majorHAnsi"/>
          <w:b/>
          <w:noProof/>
          <w:color w:val="000000" w:themeColor="text1"/>
          <w:sz w:val="28"/>
          <w:szCs w:val="28"/>
        </w:rPr>
        <w:drawing>
          <wp:inline distT="0" distB="0" distL="0" distR="0" wp14:anchorId="13800772" wp14:editId="31AA6A12">
            <wp:extent cx="1059180" cy="1063573"/>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325" cy="1070748"/>
                    </a:xfrm>
                    <a:prstGeom prst="rect">
                      <a:avLst/>
                    </a:prstGeom>
                    <a:noFill/>
                  </pic:spPr>
                </pic:pic>
              </a:graphicData>
            </a:graphic>
          </wp:inline>
        </w:drawing>
      </w:r>
    </w:p>
    <w:p w14:paraId="20C4E9EF" w14:textId="77777777" w:rsidR="002A7174" w:rsidRPr="00F96CC6" w:rsidRDefault="002A7174" w:rsidP="00C05E71">
      <w:pPr>
        <w:spacing w:after="0" w:line="276" w:lineRule="auto"/>
        <w:jc w:val="center"/>
        <w:rPr>
          <w:rFonts w:asciiTheme="majorHAnsi" w:eastAsia="Calibri" w:hAnsiTheme="majorHAnsi" w:cstheme="majorHAnsi"/>
          <w:i/>
          <w:noProof/>
          <w:sz w:val="24"/>
          <w:szCs w:val="24"/>
          <w:lang w:val="ro-MD"/>
        </w:rPr>
      </w:pPr>
    </w:p>
    <w:p w14:paraId="3D4F4925" w14:textId="77777777" w:rsidR="002A7174" w:rsidRPr="00F96CC6" w:rsidRDefault="002A7174" w:rsidP="00C05E71">
      <w:pPr>
        <w:spacing w:after="0" w:line="276" w:lineRule="auto"/>
        <w:jc w:val="center"/>
        <w:rPr>
          <w:rFonts w:asciiTheme="majorHAnsi" w:eastAsia="Calibri" w:hAnsiTheme="majorHAnsi" w:cstheme="majorHAnsi"/>
          <w:b/>
          <w:noProof/>
          <w:sz w:val="24"/>
          <w:szCs w:val="24"/>
          <w:lang w:val="ro-MD"/>
        </w:rPr>
      </w:pPr>
    </w:p>
    <w:p w14:paraId="25B5E9AF" w14:textId="77777777" w:rsidR="002A7174" w:rsidRPr="00F96CC6" w:rsidRDefault="002A7174" w:rsidP="00C05E71">
      <w:pPr>
        <w:spacing w:after="0" w:line="276" w:lineRule="auto"/>
        <w:jc w:val="center"/>
        <w:rPr>
          <w:rFonts w:asciiTheme="majorHAnsi" w:eastAsia="Calibri" w:hAnsiTheme="majorHAnsi" w:cstheme="majorHAnsi"/>
          <w:b/>
          <w:noProof/>
          <w:sz w:val="24"/>
          <w:szCs w:val="24"/>
          <w:lang w:val="ro-MD"/>
        </w:rPr>
      </w:pPr>
    </w:p>
    <w:p w14:paraId="4ED29EDD" w14:textId="77777777" w:rsidR="002A7174" w:rsidRPr="00F96CC6" w:rsidRDefault="002A7174" w:rsidP="00C05E71">
      <w:pPr>
        <w:spacing w:after="0" w:line="276" w:lineRule="auto"/>
        <w:jc w:val="center"/>
        <w:rPr>
          <w:rFonts w:asciiTheme="majorHAnsi" w:eastAsia="Calibri" w:hAnsiTheme="majorHAnsi" w:cstheme="majorHAnsi"/>
          <w:b/>
          <w:noProof/>
          <w:sz w:val="24"/>
          <w:szCs w:val="24"/>
          <w:lang w:val="ro-MD"/>
        </w:rPr>
      </w:pPr>
    </w:p>
    <w:p w14:paraId="01255849" w14:textId="77777777" w:rsidR="002A7174" w:rsidRPr="00F96CC6" w:rsidRDefault="002A7174" w:rsidP="00C05E71">
      <w:pPr>
        <w:spacing w:after="0" w:line="276" w:lineRule="auto"/>
        <w:jc w:val="center"/>
        <w:rPr>
          <w:rFonts w:asciiTheme="majorHAnsi" w:eastAsia="Calibri" w:hAnsiTheme="majorHAnsi" w:cstheme="majorHAnsi"/>
          <w:b/>
          <w:noProof/>
          <w:sz w:val="36"/>
          <w:szCs w:val="36"/>
          <w:lang w:val="ro-MD"/>
        </w:rPr>
      </w:pPr>
      <w:r w:rsidRPr="00F96CC6">
        <w:rPr>
          <w:rFonts w:asciiTheme="majorHAnsi" w:eastAsia="Calibri" w:hAnsiTheme="majorHAnsi" w:cstheme="majorHAnsi"/>
          <w:b/>
          <w:noProof/>
          <w:sz w:val="36"/>
          <w:szCs w:val="36"/>
          <w:lang w:val="ro-MD"/>
        </w:rPr>
        <w:t>CURTEA DE CONTURI A REPUBLICII MOLDOVA</w:t>
      </w:r>
    </w:p>
    <w:p w14:paraId="10B88D63" w14:textId="77777777" w:rsidR="002A7174" w:rsidRPr="00F96CC6" w:rsidRDefault="002A7174" w:rsidP="00C05E71">
      <w:pPr>
        <w:spacing w:after="0" w:line="276" w:lineRule="auto"/>
        <w:rPr>
          <w:rFonts w:asciiTheme="majorHAnsi" w:eastAsia="Calibri" w:hAnsiTheme="majorHAnsi" w:cstheme="majorHAnsi"/>
          <w:noProof/>
          <w:sz w:val="24"/>
          <w:szCs w:val="24"/>
          <w:lang w:val="ro-MD"/>
        </w:rPr>
      </w:pPr>
    </w:p>
    <w:tbl>
      <w:tblPr>
        <w:tblW w:w="0" w:type="auto"/>
        <w:jc w:val="center"/>
        <w:tblBorders>
          <w:top w:val="thinThickSmallGap" w:sz="12" w:space="0" w:color="auto"/>
          <w:bottom w:val="thickThinSmallGap" w:sz="12" w:space="0" w:color="auto"/>
        </w:tblBorders>
        <w:tblLook w:val="04A0" w:firstRow="1" w:lastRow="0" w:firstColumn="1" w:lastColumn="0" w:noHBand="0" w:noVBand="1"/>
      </w:tblPr>
      <w:tblGrid>
        <w:gridCol w:w="9350"/>
      </w:tblGrid>
      <w:tr w:rsidR="002A7174" w:rsidRPr="00F96CC6" w14:paraId="696CA430" w14:textId="77777777" w:rsidTr="003E4735">
        <w:trPr>
          <w:trHeight w:val="396"/>
          <w:jc w:val="center"/>
        </w:trPr>
        <w:tc>
          <w:tcPr>
            <w:tcW w:w="9350" w:type="dxa"/>
          </w:tcPr>
          <w:p w14:paraId="1314D088" w14:textId="77777777" w:rsidR="002A7174" w:rsidRPr="00F96CC6" w:rsidRDefault="002A7174" w:rsidP="00C05E71">
            <w:pPr>
              <w:tabs>
                <w:tab w:val="left" w:pos="720"/>
              </w:tabs>
              <w:spacing w:after="0" w:line="276" w:lineRule="auto"/>
              <w:jc w:val="center"/>
              <w:rPr>
                <w:rFonts w:asciiTheme="majorHAnsi" w:eastAsia="Calibri" w:hAnsiTheme="majorHAnsi" w:cstheme="majorHAnsi"/>
                <w:b/>
                <w:bCs/>
                <w:iCs/>
                <w:noProof/>
                <w:sz w:val="20"/>
                <w:szCs w:val="20"/>
                <w:lang w:val="ro-MD"/>
              </w:rPr>
            </w:pPr>
            <w:r w:rsidRPr="00F96CC6">
              <w:rPr>
                <w:rFonts w:asciiTheme="majorHAnsi" w:eastAsia="Calibri" w:hAnsiTheme="majorHAnsi" w:cstheme="majorHAnsi"/>
                <w:b/>
                <w:bCs/>
                <w:iCs/>
                <w:noProof/>
                <w:sz w:val="20"/>
                <w:szCs w:val="20"/>
                <w:lang w:val="ro-MD"/>
              </w:rPr>
              <w:t xml:space="preserve">MD-2001, mun. Chișinău, bd. Ștefan cel Mare și Sfânt nr.69, tel. (+373 22) 26 60 02, </w:t>
            </w:r>
          </w:p>
          <w:p w14:paraId="2090ADEA" w14:textId="77777777" w:rsidR="002A7174" w:rsidRPr="00F96CC6" w:rsidRDefault="002A7174" w:rsidP="00C05E71">
            <w:pPr>
              <w:tabs>
                <w:tab w:val="left" w:pos="720"/>
              </w:tabs>
              <w:spacing w:after="0" w:line="276" w:lineRule="auto"/>
              <w:jc w:val="center"/>
              <w:rPr>
                <w:rFonts w:asciiTheme="majorHAnsi" w:eastAsia="Calibri" w:hAnsiTheme="majorHAnsi" w:cstheme="majorHAnsi"/>
                <w:noProof/>
                <w:color w:val="1F4E79"/>
                <w:sz w:val="20"/>
                <w:szCs w:val="20"/>
                <w:lang w:val="ro-MD"/>
              </w:rPr>
            </w:pPr>
            <w:r w:rsidRPr="00F96CC6">
              <w:rPr>
                <w:rFonts w:asciiTheme="majorHAnsi" w:eastAsia="Calibri" w:hAnsiTheme="majorHAnsi" w:cstheme="majorHAnsi"/>
                <w:b/>
                <w:bCs/>
                <w:iCs/>
                <w:noProof/>
                <w:sz w:val="20"/>
                <w:szCs w:val="20"/>
                <w:lang w:val="ro-MD"/>
              </w:rPr>
              <w:t xml:space="preserve">fax: (+373 22) 26 61 00, web: </w:t>
            </w:r>
            <w:hyperlink r:id="rId9" w:history="1">
              <w:r w:rsidRPr="00F96CC6">
                <w:rPr>
                  <w:rStyle w:val="Hyperlink"/>
                  <w:rFonts w:asciiTheme="majorHAnsi" w:eastAsia="Calibri" w:hAnsiTheme="majorHAnsi" w:cstheme="majorHAnsi"/>
                  <w:b/>
                  <w:bCs/>
                  <w:iCs/>
                  <w:noProof/>
                  <w:sz w:val="20"/>
                  <w:szCs w:val="20"/>
                  <w:lang w:val="ro-MD"/>
                </w:rPr>
                <w:t>www.ccrm.md</w:t>
              </w:r>
            </w:hyperlink>
            <w:r w:rsidRPr="00F96CC6">
              <w:rPr>
                <w:rFonts w:asciiTheme="majorHAnsi" w:eastAsia="Calibri" w:hAnsiTheme="majorHAnsi" w:cstheme="majorHAnsi"/>
                <w:b/>
                <w:bCs/>
                <w:iCs/>
                <w:noProof/>
                <w:sz w:val="20"/>
                <w:szCs w:val="20"/>
                <w:lang w:val="ro-MD"/>
              </w:rPr>
              <w:t xml:space="preserve">, e-mail: </w:t>
            </w:r>
            <w:hyperlink r:id="rId10" w:history="1">
              <w:r w:rsidRPr="00F96CC6">
                <w:rPr>
                  <w:rStyle w:val="Hyperlink"/>
                  <w:rFonts w:asciiTheme="majorHAnsi" w:eastAsia="Calibri" w:hAnsiTheme="majorHAnsi" w:cstheme="majorHAnsi"/>
                  <w:b/>
                  <w:bCs/>
                  <w:iCs/>
                  <w:noProof/>
                  <w:sz w:val="20"/>
                  <w:szCs w:val="20"/>
                  <w:lang w:val="ro-MD"/>
                </w:rPr>
                <w:t>ccrm@ccrm.md</w:t>
              </w:r>
            </w:hyperlink>
          </w:p>
        </w:tc>
      </w:tr>
    </w:tbl>
    <w:p w14:paraId="07E3B426" w14:textId="77777777" w:rsidR="002A7174" w:rsidRPr="00F96CC6" w:rsidRDefault="002A7174" w:rsidP="00C05E71">
      <w:pPr>
        <w:spacing w:after="0" w:line="276" w:lineRule="auto"/>
        <w:jc w:val="center"/>
        <w:rPr>
          <w:rFonts w:asciiTheme="majorHAnsi" w:eastAsia="Times New Roman" w:hAnsiTheme="majorHAnsi" w:cstheme="majorHAnsi"/>
          <w:noProof/>
          <w:sz w:val="24"/>
          <w:szCs w:val="24"/>
          <w:lang w:val="ro-MD"/>
        </w:rPr>
      </w:pPr>
    </w:p>
    <w:p w14:paraId="4582C469" w14:textId="77777777" w:rsidR="00EC7DA6" w:rsidRPr="00F96CC6" w:rsidRDefault="00EC7DA6" w:rsidP="00C05E71">
      <w:pPr>
        <w:spacing w:after="0" w:line="276" w:lineRule="auto"/>
        <w:jc w:val="center"/>
        <w:rPr>
          <w:rFonts w:asciiTheme="majorHAnsi" w:eastAsia="Times New Roman" w:hAnsiTheme="majorHAnsi" w:cstheme="majorHAnsi"/>
          <w:b/>
          <w:bCs/>
          <w:noProof/>
          <w:sz w:val="28"/>
          <w:szCs w:val="28"/>
          <w:lang w:val="ro-MD"/>
        </w:rPr>
      </w:pPr>
      <w:r w:rsidRPr="00F96CC6">
        <w:rPr>
          <w:rFonts w:asciiTheme="majorHAnsi" w:eastAsia="Times New Roman" w:hAnsiTheme="majorHAnsi" w:cstheme="majorHAnsi"/>
          <w:b/>
          <w:bCs/>
          <w:noProof/>
          <w:sz w:val="28"/>
          <w:szCs w:val="28"/>
          <w:lang w:val="ro-MD"/>
        </w:rPr>
        <w:t xml:space="preserve">RAPORTUL </w:t>
      </w:r>
    </w:p>
    <w:p w14:paraId="44B5C93C" w14:textId="77777777" w:rsidR="00EC7DA6" w:rsidRPr="00F96CC6" w:rsidRDefault="00EC7DA6" w:rsidP="00C05E71">
      <w:pPr>
        <w:spacing w:after="0" w:line="276" w:lineRule="auto"/>
        <w:jc w:val="center"/>
        <w:rPr>
          <w:rFonts w:asciiTheme="majorHAnsi" w:eastAsia="Calibri" w:hAnsiTheme="majorHAnsi" w:cstheme="majorHAnsi"/>
          <w:sz w:val="28"/>
          <w:szCs w:val="28"/>
          <w:lang w:val="ro-MD"/>
        </w:rPr>
      </w:pPr>
      <w:r w:rsidRPr="00F96CC6">
        <w:rPr>
          <w:rFonts w:asciiTheme="majorHAnsi" w:eastAsia="Calibri" w:hAnsiTheme="majorHAnsi" w:cstheme="majorHAnsi"/>
          <w:b/>
          <w:noProof/>
          <w:sz w:val="28"/>
          <w:szCs w:val="28"/>
          <w:lang w:val="ro-MD"/>
        </w:rPr>
        <w:t xml:space="preserve">auditului asupra </w:t>
      </w:r>
      <w:r w:rsidR="006A7C80" w:rsidRPr="00F96CC6">
        <w:rPr>
          <w:rFonts w:asciiTheme="majorHAnsi" w:eastAsia="Calibri" w:hAnsiTheme="majorHAnsi" w:cstheme="majorHAnsi"/>
          <w:b/>
          <w:noProof/>
          <w:sz w:val="28"/>
          <w:szCs w:val="28"/>
          <w:lang w:val="ro-MD"/>
        </w:rPr>
        <w:t>rapoartelor financiare ale Unității  Teritoriale Autonome Găgăuzia (bugetul central)</w:t>
      </w:r>
      <w:r w:rsidRPr="00F96CC6">
        <w:rPr>
          <w:rFonts w:asciiTheme="majorHAnsi" w:eastAsia="Calibri" w:hAnsiTheme="majorHAnsi" w:cstheme="majorHAnsi"/>
          <w:b/>
          <w:noProof/>
          <w:sz w:val="28"/>
          <w:szCs w:val="28"/>
          <w:lang w:val="ro-MD"/>
        </w:rPr>
        <w:t xml:space="preserve"> încheiate la 31</w:t>
      </w:r>
      <w:r w:rsidR="005954CC" w:rsidRPr="00F96CC6">
        <w:rPr>
          <w:rFonts w:asciiTheme="majorHAnsi" w:eastAsia="Calibri" w:hAnsiTheme="majorHAnsi" w:cstheme="majorHAnsi"/>
          <w:b/>
          <w:noProof/>
          <w:sz w:val="28"/>
          <w:szCs w:val="28"/>
          <w:lang w:val="ro-MD"/>
        </w:rPr>
        <w:t xml:space="preserve"> decembrie </w:t>
      </w:r>
      <w:r w:rsidR="006A7C80" w:rsidRPr="00F96CC6">
        <w:rPr>
          <w:rFonts w:asciiTheme="majorHAnsi" w:eastAsia="Calibri" w:hAnsiTheme="majorHAnsi" w:cstheme="majorHAnsi"/>
          <w:b/>
          <w:noProof/>
          <w:sz w:val="28"/>
          <w:szCs w:val="28"/>
          <w:lang w:val="ro-MD"/>
        </w:rPr>
        <w:t>2020</w:t>
      </w:r>
    </w:p>
    <w:p w14:paraId="0CF5DB84" w14:textId="77777777" w:rsidR="002A7174" w:rsidRPr="00F96CC6" w:rsidRDefault="002A7174" w:rsidP="00C05E71">
      <w:pPr>
        <w:spacing w:after="0" w:line="276" w:lineRule="auto"/>
        <w:rPr>
          <w:lang w:val="ro-MD"/>
        </w:rPr>
      </w:pPr>
    </w:p>
    <w:p w14:paraId="4EF30CD3" w14:textId="77777777" w:rsidR="00EC7DA6" w:rsidRPr="00F96CC6" w:rsidRDefault="00EC7DA6" w:rsidP="00C05E71">
      <w:pPr>
        <w:spacing w:after="0" w:line="276" w:lineRule="auto"/>
        <w:rPr>
          <w:lang w:val="ro-MD"/>
        </w:rPr>
      </w:pPr>
    </w:p>
    <w:p w14:paraId="5D3FEB7E" w14:textId="77777777" w:rsidR="002A7174" w:rsidRPr="00F96CC6" w:rsidRDefault="002A7174" w:rsidP="00C05E71">
      <w:pPr>
        <w:spacing w:after="0" w:line="276" w:lineRule="auto"/>
        <w:rPr>
          <w:lang w:val="ro-MD"/>
        </w:rPr>
      </w:pPr>
    </w:p>
    <w:p w14:paraId="783A2FBD" w14:textId="77777777" w:rsidR="002A7174" w:rsidRPr="00F96CC6" w:rsidRDefault="002A7174" w:rsidP="00C05E71">
      <w:pPr>
        <w:spacing w:after="0" w:line="276" w:lineRule="auto"/>
        <w:rPr>
          <w:lang w:val="ro-MD"/>
        </w:rPr>
      </w:pPr>
    </w:p>
    <w:p w14:paraId="6B46663C" w14:textId="77777777" w:rsidR="002A7174" w:rsidRPr="00F96CC6" w:rsidRDefault="002A7174" w:rsidP="00C05E71">
      <w:pPr>
        <w:spacing w:after="0" w:line="276" w:lineRule="auto"/>
        <w:rPr>
          <w:lang w:val="ro-MD"/>
        </w:rPr>
      </w:pPr>
    </w:p>
    <w:p w14:paraId="06CD0050" w14:textId="77777777" w:rsidR="002A7174" w:rsidRPr="00F96CC6" w:rsidRDefault="002A7174" w:rsidP="00C05E71">
      <w:pPr>
        <w:spacing w:after="0" w:line="276" w:lineRule="auto"/>
        <w:rPr>
          <w:lang w:val="ro-MD"/>
        </w:rPr>
      </w:pPr>
    </w:p>
    <w:p w14:paraId="0191C1ED" w14:textId="77777777" w:rsidR="002A7174" w:rsidRPr="00F96CC6" w:rsidRDefault="002A7174" w:rsidP="00C05E71">
      <w:pPr>
        <w:spacing w:after="0" w:line="276" w:lineRule="auto"/>
        <w:rPr>
          <w:lang w:val="ro-MD"/>
        </w:rPr>
      </w:pPr>
    </w:p>
    <w:p w14:paraId="4FC951CD" w14:textId="77777777" w:rsidR="002A7174" w:rsidRPr="00F96CC6" w:rsidRDefault="002A7174" w:rsidP="00C05E71">
      <w:pPr>
        <w:spacing w:after="0" w:line="276" w:lineRule="auto"/>
        <w:rPr>
          <w:lang w:val="ro-MD"/>
        </w:rPr>
      </w:pPr>
    </w:p>
    <w:p w14:paraId="795401DB" w14:textId="77777777" w:rsidR="002A7174" w:rsidRPr="00F96CC6" w:rsidRDefault="002A7174" w:rsidP="00C05E71">
      <w:pPr>
        <w:spacing w:after="0" w:line="276" w:lineRule="auto"/>
        <w:rPr>
          <w:lang w:val="ro-MD"/>
        </w:rPr>
      </w:pPr>
    </w:p>
    <w:p w14:paraId="26D838CE" w14:textId="77777777" w:rsidR="002A7174" w:rsidRPr="00F96CC6" w:rsidRDefault="002A7174" w:rsidP="00C05E71">
      <w:pPr>
        <w:spacing w:after="0" w:line="276" w:lineRule="auto"/>
        <w:rPr>
          <w:lang w:val="ro-MD"/>
        </w:rPr>
      </w:pPr>
    </w:p>
    <w:p w14:paraId="5007EF42" w14:textId="77777777" w:rsidR="00151AF8" w:rsidRPr="00F96CC6" w:rsidRDefault="00151AF8" w:rsidP="00C05E71">
      <w:pPr>
        <w:spacing w:after="0" w:line="276" w:lineRule="auto"/>
        <w:rPr>
          <w:lang w:val="ro-MD"/>
        </w:rPr>
        <w:sectPr w:rsidR="00151AF8" w:rsidRPr="00F96CC6" w:rsidSect="003466C9">
          <w:footerReference w:type="default" r:id="rId11"/>
          <w:pgSz w:w="11907" w:h="16840" w:code="9"/>
          <w:pgMar w:top="851" w:right="851" w:bottom="851" w:left="1701" w:header="709" w:footer="429" w:gutter="0"/>
          <w:cols w:space="720"/>
          <w:docGrid w:linePitch="360"/>
        </w:sectPr>
      </w:pPr>
    </w:p>
    <w:p w14:paraId="5B728833" w14:textId="772EDA35" w:rsidR="002A7174" w:rsidRPr="00C05E71" w:rsidRDefault="002A7174" w:rsidP="00C05E71">
      <w:pPr>
        <w:pStyle w:val="ListParagraph"/>
        <w:numPr>
          <w:ilvl w:val="0"/>
          <w:numId w:val="2"/>
        </w:numPr>
        <w:tabs>
          <w:tab w:val="left" w:pos="0"/>
          <w:tab w:val="left" w:pos="284"/>
        </w:tabs>
        <w:spacing w:after="0" w:line="276" w:lineRule="auto"/>
        <w:ind w:left="0" w:firstLine="0"/>
        <w:outlineLvl w:val="0"/>
        <w:rPr>
          <w:rFonts w:asciiTheme="majorHAnsi" w:eastAsia="Calibri" w:hAnsiTheme="majorHAnsi" w:cstheme="majorHAnsi"/>
          <w:b/>
          <w:sz w:val="24"/>
          <w:szCs w:val="24"/>
          <w:lang w:val="ro-MD"/>
        </w:rPr>
      </w:pPr>
      <w:bookmarkStart w:id="1" w:name="_Toc529533665"/>
      <w:r w:rsidRPr="00C05E71">
        <w:rPr>
          <w:rFonts w:asciiTheme="majorHAnsi" w:eastAsia="Calibri" w:hAnsiTheme="majorHAnsi" w:cstheme="majorHAnsi"/>
          <w:b/>
          <w:sz w:val="24"/>
          <w:szCs w:val="24"/>
          <w:lang w:val="ro-MD"/>
        </w:rPr>
        <w:lastRenderedPageBreak/>
        <w:t>OPINIE C</w:t>
      </w:r>
      <w:bookmarkEnd w:id="1"/>
      <w:r w:rsidR="00A21F23" w:rsidRPr="00C05E71">
        <w:rPr>
          <w:rFonts w:asciiTheme="majorHAnsi" w:eastAsia="Calibri" w:hAnsiTheme="majorHAnsi" w:cstheme="majorHAnsi"/>
          <w:b/>
          <w:sz w:val="24"/>
          <w:szCs w:val="24"/>
          <w:lang w:val="ro-MD"/>
        </w:rPr>
        <w:t>U REZERVE</w:t>
      </w:r>
    </w:p>
    <w:p w14:paraId="53DFE278" w14:textId="46F3446E" w:rsidR="002A7174" w:rsidRPr="00C05E71" w:rsidRDefault="002A7174" w:rsidP="00C05E71">
      <w:pPr>
        <w:tabs>
          <w:tab w:val="left" w:pos="709"/>
        </w:tabs>
        <w:spacing w:after="0" w:line="276" w:lineRule="auto"/>
        <w:jc w:val="both"/>
        <w:rPr>
          <w:rFonts w:asciiTheme="majorHAnsi" w:eastAsia="Times New Roman" w:hAnsiTheme="majorHAnsi" w:cstheme="majorHAnsi"/>
          <w:sz w:val="24"/>
          <w:szCs w:val="24"/>
          <w:lang w:val="ro-MD"/>
        </w:rPr>
      </w:pPr>
      <w:r w:rsidRPr="00C05E71">
        <w:rPr>
          <w:rFonts w:asciiTheme="majorHAnsi" w:eastAsia="Times New Roman" w:hAnsiTheme="majorHAnsi" w:cstheme="majorHAnsi"/>
          <w:sz w:val="24"/>
          <w:szCs w:val="24"/>
          <w:lang w:val="ro-MD"/>
        </w:rPr>
        <w:t>Am audi</w:t>
      </w:r>
      <w:r w:rsidR="006A7C80" w:rsidRPr="00C05E71">
        <w:rPr>
          <w:rFonts w:asciiTheme="majorHAnsi" w:eastAsia="Times New Roman" w:hAnsiTheme="majorHAnsi" w:cstheme="majorHAnsi"/>
          <w:sz w:val="24"/>
          <w:szCs w:val="24"/>
          <w:lang w:val="ro-MD"/>
        </w:rPr>
        <w:t xml:space="preserve">tat rapoartele financiare ale </w:t>
      </w:r>
      <w:r w:rsidR="0088194F" w:rsidRPr="00C05E71">
        <w:rPr>
          <w:rFonts w:asciiTheme="majorHAnsi" w:eastAsia="Times New Roman" w:hAnsiTheme="majorHAnsi" w:cstheme="majorHAnsi"/>
          <w:sz w:val="24"/>
          <w:szCs w:val="24"/>
          <w:lang w:val="ro-MD"/>
        </w:rPr>
        <w:t>Unității Teritoriale Autonome (</w:t>
      </w:r>
      <w:r w:rsidR="006A7C80" w:rsidRPr="00C05E71">
        <w:rPr>
          <w:rFonts w:asciiTheme="majorHAnsi" w:eastAsia="Times New Roman" w:hAnsiTheme="majorHAnsi" w:cstheme="majorHAnsi"/>
          <w:sz w:val="24"/>
          <w:szCs w:val="24"/>
          <w:lang w:val="ro-MD"/>
        </w:rPr>
        <w:t>U</w:t>
      </w:r>
      <w:r w:rsidRPr="00C05E71">
        <w:rPr>
          <w:rFonts w:asciiTheme="majorHAnsi" w:eastAsia="Times New Roman" w:hAnsiTheme="majorHAnsi" w:cstheme="majorHAnsi"/>
          <w:sz w:val="24"/>
          <w:szCs w:val="24"/>
          <w:lang w:val="ro-MD"/>
        </w:rPr>
        <w:t>T</w:t>
      </w:r>
      <w:r w:rsidR="006A7C80" w:rsidRPr="00C05E71">
        <w:rPr>
          <w:rFonts w:asciiTheme="majorHAnsi" w:eastAsia="Times New Roman" w:hAnsiTheme="majorHAnsi" w:cstheme="majorHAnsi"/>
          <w:sz w:val="24"/>
          <w:szCs w:val="24"/>
          <w:lang w:val="ro-MD"/>
        </w:rPr>
        <w:t>A</w:t>
      </w:r>
      <w:r w:rsidR="0088194F" w:rsidRPr="00C05E71">
        <w:rPr>
          <w:rFonts w:asciiTheme="majorHAnsi" w:eastAsia="Times New Roman" w:hAnsiTheme="majorHAnsi" w:cstheme="majorHAnsi"/>
          <w:sz w:val="24"/>
          <w:szCs w:val="24"/>
          <w:lang w:val="ro-MD"/>
        </w:rPr>
        <w:t>)</w:t>
      </w:r>
      <w:r w:rsidR="006A7C80" w:rsidRPr="00C05E71">
        <w:rPr>
          <w:rFonts w:asciiTheme="majorHAnsi" w:eastAsia="Times New Roman" w:hAnsiTheme="majorHAnsi" w:cstheme="majorHAnsi"/>
          <w:sz w:val="24"/>
          <w:szCs w:val="24"/>
          <w:lang w:val="ro-MD"/>
        </w:rPr>
        <w:t xml:space="preserve"> Găgăuzia (bugetul central)</w:t>
      </w:r>
      <w:r w:rsidRPr="00C05E71">
        <w:rPr>
          <w:rFonts w:asciiTheme="majorHAnsi" w:eastAsia="Times New Roman" w:hAnsiTheme="majorHAnsi" w:cstheme="majorHAnsi"/>
          <w:sz w:val="24"/>
          <w:szCs w:val="24"/>
          <w:lang w:val="ro-MD"/>
        </w:rPr>
        <w:t xml:space="preserve"> pentru exerciți</w:t>
      </w:r>
      <w:r w:rsidR="006A7C80" w:rsidRPr="00C05E71">
        <w:rPr>
          <w:rFonts w:asciiTheme="majorHAnsi" w:eastAsia="Times New Roman" w:hAnsiTheme="majorHAnsi" w:cstheme="majorHAnsi"/>
          <w:sz w:val="24"/>
          <w:szCs w:val="24"/>
          <w:lang w:val="ro-MD"/>
        </w:rPr>
        <w:t>ul încheiat la 31 decembrie 2020</w:t>
      </w:r>
      <w:r w:rsidRPr="00C05E71">
        <w:rPr>
          <w:rFonts w:asciiTheme="majorHAnsi" w:eastAsia="Times New Roman" w:hAnsiTheme="majorHAnsi" w:cstheme="majorHAnsi"/>
          <w:sz w:val="24"/>
          <w:szCs w:val="24"/>
          <w:lang w:val="ro-MD"/>
        </w:rPr>
        <w:t>, c</w:t>
      </w:r>
      <w:r w:rsidR="003F0936" w:rsidRPr="00C05E71">
        <w:rPr>
          <w:rFonts w:asciiTheme="majorHAnsi" w:eastAsia="Times New Roman" w:hAnsiTheme="majorHAnsi" w:cstheme="majorHAnsi"/>
          <w:sz w:val="24"/>
          <w:szCs w:val="24"/>
          <w:lang w:val="ro-MD"/>
        </w:rPr>
        <w:t>ar</w:t>
      </w:r>
      <w:r w:rsidRPr="00C05E71">
        <w:rPr>
          <w:rFonts w:asciiTheme="majorHAnsi" w:eastAsia="Times New Roman" w:hAnsiTheme="majorHAnsi" w:cstheme="majorHAnsi"/>
          <w:sz w:val="24"/>
          <w:szCs w:val="24"/>
          <w:lang w:val="ro-MD"/>
        </w:rPr>
        <w:t xml:space="preserve">e cuprind Bilanțul contabil, Rapoartele privind veniturile și cheltuielile, Raportul privind fluxul mijloacelor bănești, Raportul privind executarea bugetului și Raportul narativ privind executarea bugetului. În opinia noastră, </w:t>
      </w:r>
      <w:r w:rsidR="0083172C" w:rsidRPr="00C05E71">
        <w:rPr>
          <w:rFonts w:asciiTheme="majorHAnsi" w:eastAsia="Times New Roman" w:hAnsiTheme="majorHAnsi" w:cstheme="majorHAnsi"/>
          <w:sz w:val="24"/>
          <w:szCs w:val="24"/>
          <w:lang w:val="ro-MD"/>
        </w:rPr>
        <w:t xml:space="preserve">cu excepția </w:t>
      </w:r>
      <w:r w:rsidR="00C05E71" w:rsidRPr="00C05E71">
        <w:rPr>
          <w:rFonts w:asciiTheme="majorHAnsi" w:eastAsia="Times New Roman" w:hAnsiTheme="majorHAnsi" w:cstheme="majorHAnsi"/>
          <w:sz w:val="24"/>
          <w:szCs w:val="24"/>
          <w:lang w:val="ro-MD"/>
        </w:rPr>
        <w:t xml:space="preserve">unor </w:t>
      </w:r>
      <w:r w:rsidR="0083172C" w:rsidRPr="00C05E71">
        <w:rPr>
          <w:rFonts w:asciiTheme="majorHAnsi" w:eastAsia="Times New Roman" w:hAnsiTheme="majorHAnsi" w:cstheme="majorHAnsi"/>
          <w:sz w:val="24"/>
          <w:szCs w:val="24"/>
          <w:lang w:val="ro-MD"/>
        </w:rPr>
        <w:t xml:space="preserve">aspecte descrise în secțiunea </w:t>
      </w:r>
      <w:r w:rsidR="0083172C" w:rsidRPr="00C05E71">
        <w:rPr>
          <w:rFonts w:asciiTheme="majorHAnsi" w:eastAsia="Times New Roman" w:hAnsiTheme="majorHAnsi" w:cstheme="majorHAnsi"/>
          <w:i/>
          <w:sz w:val="24"/>
          <w:szCs w:val="24"/>
          <w:lang w:val="ro-MD"/>
        </w:rPr>
        <w:t>Baza pentru opinia cu rezerve</w:t>
      </w:r>
      <w:r w:rsidR="0083172C" w:rsidRPr="00C05E71">
        <w:rPr>
          <w:rFonts w:asciiTheme="majorHAnsi" w:eastAsia="Times New Roman" w:hAnsiTheme="majorHAnsi" w:cstheme="majorHAnsi"/>
          <w:sz w:val="24"/>
          <w:szCs w:val="24"/>
          <w:lang w:val="ro-MD"/>
        </w:rPr>
        <w:t>, rapoartele financiare oferă, sub toate aspectele semnificative, o imagine corectă și fidelă în conformitate cu cadrul de raportare financiară aplicabil</w:t>
      </w:r>
      <w:r w:rsidR="0083172C" w:rsidRPr="00C05E71">
        <w:rPr>
          <w:rFonts w:asciiTheme="majorHAnsi" w:eastAsia="Times New Roman" w:hAnsiTheme="majorHAnsi" w:cstheme="majorHAnsi"/>
          <w:sz w:val="24"/>
          <w:szCs w:val="24"/>
          <w:vertAlign w:val="superscript"/>
          <w:lang w:val="ro-MD"/>
        </w:rPr>
        <w:footnoteReference w:id="1"/>
      </w:r>
      <w:r w:rsidR="0083172C" w:rsidRPr="00C05E71">
        <w:rPr>
          <w:rFonts w:asciiTheme="majorHAnsi" w:eastAsia="Times New Roman" w:hAnsiTheme="majorHAnsi" w:cstheme="majorHAnsi"/>
          <w:sz w:val="24"/>
          <w:szCs w:val="24"/>
          <w:lang w:val="ro-MD"/>
        </w:rPr>
        <w:t>.</w:t>
      </w:r>
    </w:p>
    <w:p w14:paraId="4EFFFC8B" w14:textId="77777777" w:rsidR="0072787C" w:rsidRPr="00C05E71" w:rsidRDefault="0072787C" w:rsidP="00C05E71">
      <w:pPr>
        <w:tabs>
          <w:tab w:val="left" w:pos="709"/>
        </w:tabs>
        <w:spacing w:after="0" w:line="276" w:lineRule="auto"/>
        <w:jc w:val="both"/>
        <w:rPr>
          <w:rFonts w:asciiTheme="majorHAnsi" w:eastAsia="Times New Roman" w:hAnsiTheme="majorHAnsi" w:cstheme="majorHAnsi"/>
          <w:sz w:val="24"/>
          <w:szCs w:val="24"/>
          <w:lang w:val="ro-MD"/>
        </w:rPr>
      </w:pPr>
    </w:p>
    <w:p w14:paraId="1A00DB6B" w14:textId="2992191B" w:rsidR="00BA69DB" w:rsidRPr="00C05E71" w:rsidRDefault="002A7174" w:rsidP="00C05E71">
      <w:pPr>
        <w:keepNext/>
        <w:keepLines/>
        <w:numPr>
          <w:ilvl w:val="0"/>
          <w:numId w:val="1"/>
        </w:numPr>
        <w:tabs>
          <w:tab w:val="left" w:pos="284"/>
        </w:tabs>
        <w:spacing w:after="0" w:line="276" w:lineRule="auto"/>
        <w:ind w:left="0" w:firstLine="0"/>
        <w:outlineLvl w:val="0"/>
        <w:rPr>
          <w:rFonts w:asciiTheme="majorHAnsi" w:eastAsia="Times New Roman" w:hAnsiTheme="majorHAnsi" w:cstheme="majorHAnsi"/>
          <w:b/>
          <w:bCs/>
          <w:sz w:val="24"/>
          <w:szCs w:val="24"/>
          <w:lang w:val="ro-MD"/>
        </w:rPr>
      </w:pPr>
      <w:bookmarkStart w:id="2" w:name="_Toc529533666"/>
      <w:r w:rsidRPr="00C05E71">
        <w:rPr>
          <w:rFonts w:asciiTheme="majorHAnsi" w:eastAsia="Times New Roman" w:hAnsiTheme="majorHAnsi" w:cstheme="majorHAnsi"/>
          <w:b/>
          <w:bCs/>
          <w:sz w:val="24"/>
          <w:szCs w:val="24"/>
          <w:lang w:val="ro-MD"/>
        </w:rPr>
        <w:t xml:space="preserve">BAZA PENTRU OPINIA </w:t>
      </w:r>
      <w:bookmarkEnd w:id="2"/>
      <w:r w:rsidRPr="00C05E71">
        <w:rPr>
          <w:rFonts w:asciiTheme="majorHAnsi" w:eastAsia="Times New Roman" w:hAnsiTheme="majorHAnsi" w:cstheme="majorHAnsi"/>
          <w:b/>
          <w:bCs/>
          <w:sz w:val="24"/>
          <w:szCs w:val="24"/>
          <w:lang w:val="ro-MD"/>
        </w:rPr>
        <w:t>C</w:t>
      </w:r>
      <w:r w:rsidR="0083172C" w:rsidRPr="00C05E71">
        <w:rPr>
          <w:rFonts w:asciiTheme="majorHAnsi" w:eastAsia="Times New Roman" w:hAnsiTheme="majorHAnsi" w:cstheme="majorHAnsi"/>
          <w:b/>
          <w:bCs/>
          <w:sz w:val="24"/>
          <w:szCs w:val="24"/>
          <w:lang w:val="ro-MD"/>
        </w:rPr>
        <w:t>U REZERV</w:t>
      </w:r>
      <w:r w:rsidR="009408DE" w:rsidRPr="00C05E71">
        <w:rPr>
          <w:rFonts w:asciiTheme="majorHAnsi" w:eastAsia="Times New Roman" w:hAnsiTheme="majorHAnsi" w:cstheme="majorHAnsi"/>
          <w:b/>
          <w:bCs/>
          <w:sz w:val="24"/>
          <w:szCs w:val="24"/>
          <w:lang w:val="ro-MD"/>
        </w:rPr>
        <w:t>E</w:t>
      </w:r>
      <w:r w:rsidR="008B5C83" w:rsidRPr="00C05E71">
        <w:rPr>
          <w:rFonts w:asciiTheme="majorHAnsi" w:eastAsia="Times New Roman" w:hAnsiTheme="majorHAnsi" w:cstheme="majorHAnsi"/>
          <w:sz w:val="24"/>
          <w:szCs w:val="24"/>
          <w:lang w:val="ro-MD"/>
        </w:rPr>
        <w:t xml:space="preserve"> </w:t>
      </w:r>
    </w:p>
    <w:p w14:paraId="51E21C8B" w14:textId="7EFA82C7" w:rsidR="002D3C3D" w:rsidRPr="00C05E71" w:rsidRDefault="006858F6" w:rsidP="00C05E71">
      <w:pPr>
        <w:spacing w:after="0" w:line="276" w:lineRule="auto"/>
        <w:ind w:right="1"/>
        <w:jc w:val="both"/>
        <w:rPr>
          <w:rFonts w:asciiTheme="majorHAnsi" w:eastAsia="Times New Roman" w:hAnsiTheme="majorHAnsi" w:cstheme="majorHAnsi"/>
          <w:sz w:val="24"/>
          <w:szCs w:val="24"/>
          <w:lang w:val="ro-MD"/>
        </w:rPr>
      </w:pPr>
      <w:r w:rsidRPr="00C05E71">
        <w:rPr>
          <w:rFonts w:asciiTheme="majorHAnsi" w:eastAsia="Times New Roman" w:hAnsiTheme="majorHAnsi" w:cstheme="majorHAnsi"/>
          <w:b/>
          <w:sz w:val="24"/>
          <w:szCs w:val="24"/>
          <w:lang w:val="ro-MD"/>
        </w:rPr>
        <w:t>2.</w:t>
      </w:r>
      <w:r w:rsidR="0083172C" w:rsidRPr="00C05E71">
        <w:rPr>
          <w:rFonts w:asciiTheme="majorHAnsi" w:eastAsia="Times New Roman" w:hAnsiTheme="majorHAnsi" w:cstheme="majorHAnsi"/>
          <w:b/>
          <w:sz w:val="24"/>
          <w:szCs w:val="24"/>
          <w:lang w:val="ro-MD"/>
        </w:rPr>
        <w:t>1</w:t>
      </w:r>
      <w:r w:rsidRPr="00C05E71">
        <w:rPr>
          <w:rFonts w:asciiTheme="majorHAnsi" w:eastAsia="Times New Roman" w:hAnsiTheme="majorHAnsi" w:cstheme="majorHAnsi"/>
          <w:b/>
          <w:sz w:val="24"/>
          <w:szCs w:val="24"/>
          <w:lang w:val="ro-MD"/>
        </w:rPr>
        <w:t xml:space="preserve">. </w:t>
      </w:r>
      <w:r w:rsidR="002D3C3D" w:rsidRPr="00C05E71">
        <w:rPr>
          <w:rFonts w:asciiTheme="majorHAnsi" w:eastAsia="Times New Roman" w:hAnsiTheme="majorHAnsi" w:cstheme="majorHAnsi"/>
          <w:sz w:val="24"/>
          <w:szCs w:val="24"/>
          <w:lang w:val="ro-MD"/>
        </w:rPr>
        <w:t xml:space="preserve">Diminuarea valorii contului 415 „Acțiuni și alte forme de participare în capital în interiorul țării” cu </w:t>
      </w:r>
      <w:r w:rsidR="00E77DFE" w:rsidRPr="00C05E71">
        <w:rPr>
          <w:rFonts w:asciiTheme="majorHAnsi" w:eastAsia="Times New Roman" w:hAnsiTheme="majorHAnsi" w:cstheme="majorHAnsi"/>
          <w:sz w:val="24"/>
          <w:szCs w:val="24"/>
          <w:lang w:val="ro-MD"/>
        </w:rPr>
        <w:t xml:space="preserve">cel puțin </w:t>
      </w:r>
      <w:r w:rsidR="00E77DFE" w:rsidRPr="00C05E71">
        <w:rPr>
          <w:rFonts w:asciiTheme="majorHAnsi" w:eastAsia="Times New Roman" w:hAnsiTheme="majorHAnsi" w:cstheme="majorHAnsi"/>
          <w:b/>
          <w:sz w:val="24"/>
          <w:szCs w:val="24"/>
          <w:lang w:val="ro-MD"/>
        </w:rPr>
        <w:t>27193,9</w:t>
      </w:r>
      <w:r w:rsidR="002D3C3D" w:rsidRPr="00C05E71">
        <w:rPr>
          <w:rFonts w:asciiTheme="majorHAnsi" w:eastAsia="Times New Roman" w:hAnsiTheme="majorHAnsi" w:cstheme="majorHAnsi"/>
          <w:b/>
          <w:sz w:val="24"/>
          <w:szCs w:val="24"/>
          <w:lang w:val="ro-MD"/>
        </w:rPr>
        <w:t xml:space="preserve"> mii lei</w:t>
      </w:r>
      <w:r w:rsidR="002D3C3D" w:rsidRPr="00C05E71">
        <w:rPr>
          <w:rFonts w:asciiTheme="majorHAnsi" w:eastAsia="Times New Roman" w:hAnsiTheme="majorHAnsi" w:cstheme="majorHAnsi"/>
          <w:sz w:val="24"/>
          <w:szCs w:val="24"/>
          <w:lang w:val="ro-MD"/>
        </w:rPr>
        <w:t xml:space="preserve">, determinată de necontabilizarea </w:t>
      </w:r>
      <w:r w:rsidR="00611CBF" w:rsidRPr="00C05E71">
        <w:rPr>
          <w:rFonts w:asciiTheme="majorHAnsi" w:eastAsia="Times New Roman" w:hAnsiTheme="majorHAnsi" w:cstheme="majorHAnsi"/>
          <w:sz w:val="24"/>
          <w:szCs w:val="24"/>
          <w:lang w:val="ro-MD"/>
        </w:rPr>
        <w:t xml:space="preserve">valorii patrimoniului </w:t>
      </w:r>
      <w:r w:rsidR="00E77DFE" w:rsidRPr="00C05E71">
        <w:rPr>
          <w:rFonts w:asciiTheme="majorHAnsi" w:eastAsia="Times New Roman" w:hAnsiTheme="majorHAnsi" w:cstheme="majorHAnsi"/>
          <w:sz w:val="24"/>
          <w:szCs w:val="24"/>
          <w:lang w:val="ro-MD"/>
        </w:rPr>
        <w:t xml:space="preserve">transmis în </w:t>
      </w:r>
      <w:r w:rsidR="00611CBF" w:rsidRPr="00C05E71">
        <w:rPr>
          <w:rFonts w:asciiTheme="majorHAnsi" w:eastAsia="Times New Roman" w:hAnsiTheme="majorHAnsi" w:cstheme="majorHAnsi"/>
          <w:sz w:val="24"/>
          <w:szCs w:val="24"/>
          <w:lang w:val="ro-MD"/>
        </w:rPr>
        <w:t>gesti</w:t>
      </w:r>
      <w:r w:rsidR="00E77DFE" w:rsidRPr="00C05E71">
        <w:rPr>
          <w:rFonts w:asciiTheme="majorHAnsi" w:eastAsia="Times New Roman" w:hAnsiTheme="majorHAnsi" w:cstheme="majorHAnsi"/>
          <w:sz w:val="24"/>
          <w:szCs w:val="24"/>
          <w:lang w:val="ro-MD"/>
        </w:rPr>
        <w:t xml:space="preserve">unea </w:t>
      </w:r>
      <w:r w:rsidR="0088194F" w:rsidRPr="00C05E71">
        <w:rPr>
          <w:rFonts w:asciiTheme="majorHAnsi" w:eastAsia="Times New Roman" w:hAnsiTheme="majorHAnsi" w:cstheme="majorHAnsi"/>
          <w:sz w:val="24"/>
          <w:szCs w:val="24"/>
          <w:lang w:val="ro-MD"/>
        </w:rPr>
        <w:t>instituțiilor medico-sanitare publice</w:t>
      </w:r>
      <w:r w:rsidR="009408DE" w:rsidRPr="00C05E71">
        <w:rPr>
          <w:rFonts w:asciiTheme="majorHAnsi" w:eastAsia="Times New Roman" w:hAnsiTheme="majorHAnsi" w:cstheme="majorHAnsi"/>
          <w:sz w:val="24"/>
          <w:szCs w:val="24"/>
          <w:lang w:val="ro-MD"/>
        </w:rPr>
        <w:t xml:space="preserve"> </w:t>
      </w:r>
      <w:r w:rsidR="0088194F" w:rsidRPr="00C05E71">
        <w:rPr>
          <w:rFonts w:asciiTheme="majorHAnsi" w:eastAsia="Times New Roman" w:hAnsiTheme="majorHAnsi" w:cstheme="majorHAnsi"/>
          <w:sz w:val="24"/>
          <w:szCs w:val="24"/>
          <w:lang w:val="ro-MD"/>
        </w:rPr>
        <w:t>(IMSP)</w:t>
      </w:r>
      <w:r w:rsidR="00611CBF" w:rsidRPr="00C05E71">
        <w:rPr>
          <w:rFonts w:asciiTheme="majorHAnsi" w:eastAsia="Times New Roman" w:hAnsiTheme="majorHAnsi" w:cstheme="majorHAnsi"/>
          <w:sz w:val="24"/>
          <w:szCs w:val="24"/>
          <w:lang w:val="ro-MD"/>
        </w:rPr>
        <w:t xml:space="preserve"> din sectorul Vulcănești</w:t>
      </w:r>
      <w:r w:rsidR="00E77DFE" w:rsidRPr="00C05E71">
        <w:rPr>
          <w:rStyle w:val="FootnoteReference"/>
          <w:rFonts w:asciiTheme="majorHAnsi" w:eastAsia="Times New Roman" w:hAnsiTheme="majorHAnsi" w:cstheme="majorHAnsi"/>
          <w:sz w:val="24"/>
          <w:szCs w:val="24"/>
          <w:lang w:val="ro-MD"/>
        </w:rPr>
        <w:footnoteReference w:id="2"/>
      </w:r>
      <w:r w:rsidR="00E77DFE" w:rsidRPr="00C05E71">
        <w:rPr>
          <w:rFonts w:asciiTheme="majorHAnsi" w:eastAsia="Times New Roman" w:hAnsiTheme="majorHAnsi" w:cstheme="majorHAnsi"/>
          <w:sz w:val="24"/>
          <w:szCs w:val="24"/>
          <w:lang w:val="ro-MD"/>
        </w:rPr>
        <w:t>, din care doar valoarea clădirilor constituie 27193,9 mii lei</w:t>
      </w:r>
      <w:r w:rsidR="00902754" w:rsidRPr="00C05E71">
        <w:rPr>
          <w:rFonts w:asciiTheme="majorHAnsi" w:eastAsia="Times New Roman" w:hAnsiTheme="majorHAnsi" w:cstheme="majorHAnsi"/>
          <w:sz w:val="24"/>
          <w:szCs w:val="24"/>
          <w:lang w:val="ro-MD"/>
        </w:rPr>
        <w:t>,</w:t>
      </w:r>
      <w:r w:rsidR="00E77DFE" w:rsidRPr="00C05E71">
        <w:rPr>
          <w:rFonts w:asciiTheme="majorHAnsi" w:eastAsia="Times New Roman" w:hAnsiTheme="majorHAnsi" w:cstheme="majorHAnsi"/>
          <w:sz w:val="24"/>
          <w:szCs w:val="24"/>
          <w:lang w:val="ro-MD"/>
        </w:rPr>
        <w:t xml:space="preserve"> cu uzur</w:t>
      </w:r>
      <w:r w:rsidR="00902754" w:rsidRPr="00C05E71">
        <w:rPr>
          <w:rFonts w:asciiTheme="majorHAnsi" w:eastAsia="Times New Roman" w:hAnsiTheme="majorHAnsi" w:cstheme="majorHAnsi"/>
          <w:sz w:val="24"/>
          <w:szCs w:val="24"/>
          <w:lang w:val="ro-MD"/>
        </w:rPr>
        <w:t>a</w:t>
      </w:r>
      <w:r w:rsidR="00E77DFE" w:rsidRPr="00C05E71">
        <w:rPr>
          <w:rFonts w:asciiTheme="majorHAnsi" w:eastAsia="Times New Roman" w:hAnsiTheme="majorHAnsi" w:cstheme="majorHAnsi"/>
          <w:sz w:val="24"/>
          <w:szCs w:val="24"/>
          <w:lang w:val="ro-MD"/>
        </w:rPr>
        <w:t xml:space="preserve"> de 12685,2 mii lei.</w:t>
      </w:r>
    </w:p>
    <w:p w14:paraId="75FAC43A" w14:textId="77777777" w:rsidR="00F16898" w:rsidRPr="00F16898" w:rsidRDefault="006858F6" w:rsidP="00C05E71">
      <w:pPr>
        <w:pStyle w:val="ListParagraph"/>
        <w:spacing w:after="0" w:line="276" w:lineRule="auto"/>
        <w:ind w:left="35"/>
        <w:jc w:val="both"/>
        <w:rPr>
          <w:rFonts w:asciiTheme="majorHAnsi" w:eastAsia="Calibri" w:hAnsiTheme="majorHAnsi" w:cstheme="majorHAnsi"/>
          <w:noProof/>
          <w:color w:val="000000" w:themeColor="text1"/>
          <w:sz w:val="24"/>
          <w:szCs w:val="24"/>
          <w:lang w:val="ro-MD"/>
        </w:rPr>
      </w:pPr>
      <w:r w:rsidRPr="00C05E71">
        <w:rPr>
          <w:rFonts w:asciiTheme="majorHAnsi" w:eastAsia="Calibri" w:hAnsiTheme="majorHAnsi" w:cstheme="majorHAnsi"/>
          <w:b/>
          <w:sz w:val="24"/>
          <w:szCs w:val="24"/>
          <w:lang w:val="ro-MD"/>
        </w:rPr>
        <w:t>2.</w:t>
      </w:r>
      <w:r w:rsidR="0083172C" w:rsidRPr="00C05E71">
        <w:rPr>
          <w:rFonts w:asciiTheme="majorHAnsi" w:eastAsia="Calibri" w:hAnsiTheme="majorHAnsi" w:cstheme="majorHAnsi"/>
          <w:b/>
          <w:sz w:val="24"/>
          <w:szCs w:val="24"/>
          <w:lang w:val="ro-MD"/>
        </w:rPr>
        <w:t>2</w:t>
      </w:r>
      <w:r w:rsidRPr="00C05E71">
        <w:rPr>
          <w:rFonts w:asciiTheme="majorHAnsi" w:eastAsia="Calibri" w:hAnsiTheme="majorHAnsi" w:cstheme="majorHAnsi"/>
          <w:b/>
          <w:sz w:val="24"/>
          <w:szCs w:val="24"/>
          <w:lang w:val="ro-MD"/>
        </w:rPr>
        <w:t>.</w:t>
      </w:r>
      <w:r w:rsidRPr="00C05E71">
        <w:rPr>
          <w:rFonts w:asciiTheme="majorHAnsi" w:eastAsia="Calibri" w:hAnsiTheme="majorHAnsi" w:cstheme="majorHAnsi"/>
          <w:sz w:val="24"/>
          <w:szCs w:val="24"/>
          <w:lang w:val="ro-MD"/>
        </w:rPr>
        <w:t xml:space="preserve"> </w:t>
      </w:r>
      <w:r w:rsidR="0033793C" w:rsidRPr="00C05E71">
        <w:rPr>
          <w:rFonts w:asciiTheme="majorHAnsi" w:eastAsia="Calibri" w:hAnsiTheme="majorHAnsi" w:cstheme="majorHAnsi"/>
          <w:sz w:val="24"/>
          <w:szCs w:val="24"/>
          <w:lang w:val="ro-MD"/>
        </w:rPr>
        <w:t xml:space="preserve">Prin </w:t>
      </w:r>
      <w:r w:rsidR="0033793C" w:rsidRPr="00C05E71">
        <w:rPr>
          <w:rFonts w:asciiTheme="majorHAnsi" w:eastAsia="Calibri" w:hAnsiTheme="majorHAnsi" w:cstheme="majorHAnsi"/>
          <w:noProof/>
          <w:sz w:val="24"/>
          <w:szCs w:val="24"/>
          <w:lang w:val="ro-MD"/>
        </w:rPr>
        <w:t>a</w:t>
      </w:r>
      <w:r w:rsidR="002F3BB2" w:rsidRPr="00C05E71">
        <w:rPr>
          <w:rFonts w:asciiTheme="majorHAnsi" w:eastAsia="Calibri" w:hAnsiTheme="majorHAnsi" w:cstheme="majorHAnsi"/>
          <w:noProof/>
          <w:sz w:val="24"/>
          <w:szCs w:val="24"/>
          <w:lang w:val="ro-MD"/>
        </w:rPr>
        <w:t>cte</w:t>
      </w:r>
      <w:r w:rsidR="00585A43" w:rsidRPr="00C05E71">
        <w:rPr>
          <w:rFonts w:asciiTheme="majorHAnsi" w:eastAsia="Calibri" w:hAnsiTheme="majorHAnsi" w:cstheme="majorHAnsi"/>
          <w:noProof/>
          <w:sz w:val="24"/>
          <w:szCs w:val="24"/>
          <w:lang w:val="ro-MD"/>
        </w:rPr>
        <w:t>le</w:t>
      </w:r>
      <w:r w:rsidR="002F3BB2" w:rsidRPr="00C05E71">
        <w:rPr>
          <w:rFonts w:asciiTheme="majorHAnsi" w:eastAsia="Calibri" w:hAnsiTheme="majorHAnsi" w:cstheme="majorHAnsi"/>
          <w:noProof/>
          <w:sz w:val="24"/>
          <w:szCs w:val="24"/>
          <w:lang w:val="ro-MD"/>
        </w:rPr>
        <w:t xml:space="preserve"> administrative</w:t>
      </w:r>
      <w:r w:rsidR="00585A43" w:rsidRPr="00C05E71">
        <w:rPr>
          <w:rFonts w:asciiTheme="majorHAnsi" w:eastAsia="Calibri" w:hAnsiTheme="majorHAnsi" w:cstheme="majorHAnsi"/>
          <w:noProof/>
          <w:sz w:val="24"/>
          <w:szCs w:val="24"/>
          <w:lang w:val="ro-MD"/>
        </w:rPr>
        <w:t xml:space="preserve"> ale Comitetului Executiv al UTA Găgăuzia</w:t>
      </w:r>
      <w:r w:rsidR="00375314" w:rsidRPr="00C05E71">
        <w:rPr>
          <w:rStyle w:val="FootnoteReference"/>
          <w:rFonts w:asciiTheme="majorHAnsi" w:eastAsia="Calibri" w:hAnsiTheme="majorHAnsi" w:cstheme="majorHAnsi"/>
          <w:noProof/>
          <w:sz w:val="24"/>
          <w:szCs w:val="24"/>
          <w:lang w:val="ro-MD"/>
        </w:rPr>
        <w:footnoteReference w:id="3"/>
      </w:r>
      <w:r w:rsidR="00902754" w:rsidRPr="00C05E71">
        <w:rPr>
          <w:rFonts w:asciiTheme="majorHAnsi" w:eastAsia="Calibri" w:hAnsiTheme="majorHAnsi" w:cstheme="majorHAnsi"/>
          <w:noProof/>
          <w:sz w:val="24"/>
          <w:szCs w:val="24"/>
          <w:lang w:val="ro-MD"/>
        </w:rPr>
        <w:t xml:space="preserve">, </w:t>
      </w:r>
      <w:r w:rsidR="00585A43" w:rsidRPr="00C05E71">
        <w:rPr>
          <w:rFonts w:asciiTheme="majorHAnsi" w:eastAsia="Calibri" w:hAnsiTheme="majorHAnsi" w:cstheme="majorHAnsi"/>
          <w:noProof/>
          <w:sz w:val="24"/>
          <w:szCs w:val="24"/>
          <w:lang w:val="ro-MD"/>
        </w:rPr>
        <w:t>s-a hotăr</w:t>
      </w:r>
      <w:r w:rsidR="00902754" w:rsidRPr="00C05E71">
        <w:rPr>
          <w:rFonts w:asciiTheme="majorHAnsi" w:eastAsia="Calibri" w:hAnsiTheme="majorHAnsi" w:cstheme="majorHAnsi"/>
          <w:noProof/>
          <w:sz w:val="24"/>
          <w:szCs w:val="24"/>
          <w:lang w:val="ro-MD"/>
        </w:rPr>
        <w:t>â</w:t>
      </w:r>
      <w:r w:rsidR="00585A43" w:rsidRPr="00C05E71">
        <w:rPr>
          <w:rFonts w:asciiTheme="majorHAnsi" w:eastAsia="Calibri" w:hAnsiTheme="majorHAnsi" w:cstheme="majorHAnsi"/>
          <w:noProof/>
          <w:sz w:val="24"/>
          <w:szCs w:val="24"/>
          <w:lang w:val="ro-MD"/>
        </w:rPr>
        <w:t>t lichidarea din 31.03.2019 a Î</w:t>
      </w:r>
      <w:r w:rsidR="00902754" w:rsidRPr="00C05E71">
        <w:rPr>
          <w:rFonts w:asciiTheme="majorHAnsi" w:eastAsia="Calibri" w:hAnsiTheme="majorHAnsi" w:cstheme="majorHAnsi"/>
          <w:noProof/>
          <w:sz w:val="24"/>
          <w:szCs w:val="24"/>
          <w:lang w:val="ro-MD"/>
        </w:rPr>
        <w:t>.</w:t>
      </w:r>
      <w:r w:rsidR="00585A43" w:rsidRPr="00C05E71">
        <w:rPr>
          <w:rFonts w:asciiTheme="majorHAnsi" w:eastAsia="Calibri" w:hAnsiTheme="majorHAnsi" w:cstheme="majorHAnsi"/>
          <w:noProof/>
          <w:sz w:val="24"/>
          <w:szCs w:val="24"/>
          <w:lang w:val="ro-MD"/>
        </w:rPr>
        <w:t>S</w:t>
      </w:r>
      <w:r w:rsidR="00902754" w:rsidRPr="00C05E71">
        <w:rPr>
          <w:rFonts w:asciiTheme="majorHAnsi" w:eastAsia="Calibri" w:hAnsiTheme="majorHAnsi" w:cstheme="majorHAnsi"/>
          <w:noProof/>
          <w:sz w:val="24"/>
          <w:szCs w:val="24"/>
          <w:lang w:val="ro-MD"/>
        </w:rPr>
        <w:t>.</w:t>
      </w:r>
      <w:r w:rsidR="00585A43" w:rsidRPr="00C05E71">
        <w:rPr>
          <w:rFonts w:asciiTheme="majorHAnsi" w:eastAsia="Calibri" w:hAnsiTheme="majorHAnsi" w:cstheme="majorHAnsi"/>
          <w:noProof/>
          <w:sz w:val="24"/>
          <w:szCs w:val="24"/>
          <w:lang w:val="ro-MD"/>
        </w:rPr>
        <w:t xml:space="preserve"> „Sud-A-Con”</w:t>
      </w:r>
      <w:r w:rsidR="00375314" w:rsidRPr="00C05E71">
        <w:rPr>
          <w:rStyle w:val="FootnoteReference"/>
          <w:rFonts w:asciiTheme="majorHAnsi" w:eastAsia="Calibri" w:hAnsiTheme="majorHAnsi" w:cstheme="majorHAnsi"/>
          <w:noProof/>
          <w:sz w:val="24"/>
          <w:szCs w:val="24"/>
          <w:lang w:val="ro-MD"/>
        </w:rPr>
        <w:footnoteReference w:id="4"/>
      </w:r>
      <w:r w:rsidR="004C1E2B" w:rsidRPr="00C05E71">
        <w:rPr>
          <w:rFonts w:asciiTheme="majorHAnsi" w:eastAsia="Calibri" w:hAnsiTheme="majorHAnsi" w:cstheme="majorHAnsi"/>
          <w:noProof/>
          <w:sz w:val="24"/>
          <w:szCs w:val="24"/>
          <w:lang w:val="ro-MD"/>
        </w:rPr>
        <w:t>, care</w:t>
      </w:r>
      <w:r w:rsidR="00902754" w:rsidRPr="00C05E71">
        <w:rPr>
          <w:rFonts w:asciiTheme="majorHAnsi" w:eastAsia="Calibri" w:hAnsiTheme="majorHAnsi" w:cstheme="majorHAnsi"/>
          <w:noProof/>
          <w:sz w:val="24"/>
          <w:szCs w:val="24"/>
          <w:lang w:val="ro-MD"/>
        </w:rPr>
        <w:t>,</w:t>
      </w:r>
      <w:r w:rsidR="004C1E2B" w:rsidRPr="00C05E71">
        <w:rPr>
          <w:rFonts w:asciiTheme="majorHAnsi" w:eastAsia="Calibri" w:hAnsiTheme="majorHAnsi" w:cstheme="majorHAnsi"/>
          <w:noProof/>
          <w:sz w:val="24"/>
          <w:szCs w:val="24"/>
          <w:lang w:val="ro-MD"/>
        </w:rPr>
        <w:t xml:space="preserve"> </w:t>
      </w:r>
      <w:r w:rsidR="00902754" w:rsidRPr="00C05E71">
        <w:rPr>
          <w:rFonts w:asciiTheme="majorHAnsi" w:eastAsia="Calibri" w:hAnsiTheme="majorHAnsi" w:cstheme="majorHAnsi"/>
          <w:noProof/>
          <w:sz w:val="24"/>
          <w:szCs w:val="24"/>
          <w:lang w:val="ro-MD"/>
        </w:rPr>
        <w:t xml:space="preserve">până la 31.12.2017, </w:t>
      </w:r>
      <w:r w:rsidR="004C1E2B" w:rsidRPr="00C05E71">
        <w:rPr>
          <w:rFonts w:asciiTheme="majorHAnsi" w:eastAsia="Calibri" w:hAnsiTheme="majorHAnsi" w:cstheme="majorHAnsi"/>
          <w:noProof/>
          <w:sz w:val="24"/>
          <w:szCs w:val="24"/>
          <w:lang w:val="ro-MD"/>
        </w:rPr>
        <w:t>a efectuat investiții</w:t>
      </w:r>
      <w:r w:rsidR="00902754" w:rsidRPr="00C05E71">
        <w:rPr>
          <w:rFonts w:asciiTheme="majorHAnsi" w:eastAsia="Calibri" w:hAnsiTheme="majorHAnsi" w:cstheme="majorHAnsi"/>
          <w:noProof/>
          <w:sz w:val="24"/>
          <w:szCs w:val="24"/>
          <w:lang w:val="ro-MD"/>
        </w:rPr>
        <w:t xml:space="preserve"> de</w:t>
      </w:r>
      <w:r w:rsidR="004C1E2B" w:rsidRPr="00C05E71">
        <w:rPr>
          <w:rFonts w:asciiTheme="majorHAnsi" w:eastAsia="Calibri" w:hAnsiTheme="majorHAnsi" w:cstheme="majorHAnsi"/>
          <w:noProof/>
          <w:sz w:val="24"/>
          <w:szCs w:val="24"/>
          <w:lang w:val="ro-MD"/>
        </w:rPr>
        <w:t xml:space="preserve"> </w:t>
      </w:r>
      <w:r w:rsidR="004C1E2B" w:rsidRPr="00C05E71">
        <w:rPr>
          <w:rFonts w:asciiTheme="majorHAnsi" w:eastAsia="Calibri" w:hAnsiTheme="majorHAnsi" w:cstheme="majorHAnsi"/>
          <w:b/>
          <w:noProof/>
          <w:sz w:val="24"/>
          <w:szCs w:val="24"/>
          <w:lang w:val="ro-MD"/>
        </w:rPr>
        <w:t>55</w:t>
      </w:r>
      <w:r w:rsidR="00DC7063" w:rsidRPr="00C05E71">
        <w:rPr>
          <w:rFonts w:asciiTheme="majorHAnsi" w:eastAsia="Calibri" w:hAnsiTheme="majorHAnsi" w:cstheme="majorHAnsi"/>
          <w:b/>
          <w:noProof/>
          <w:sz w:val="24"/>
          <w:szCs w:val="24"/>
          <w:lang w:val="ro-MD"/>
        </w:rPr>
        <w:t xml:space="preserve"> </w:t>
      </w:r>
      <w:r w:rsidR="004C1E2B" w:rsidRPr="00C05E71">
        <w:rPr>
          <w:rFonts w:asciiTheme="majorHAnsi" w:eastAsia="Calibri" w:hAnsiTheme="majorHAnsi" w:cstheme="majorHAnsi"/>
          <w:b/>
          <w:noProof/>
          <w:sz w:val="24"/>
          <w:szCs w:val="24"/>
          <w:lang w:val="ro-MD"/>
        </w:rPr>
        <w:t>731,9 mii lei</w:t>
      </w:r>
      <w:r w:rsidR="004C1E2B" w:rsidRPr="00C05E71">
        <w:rPr>
          <w:rFonts w:asciiTheme="majorHAnsi" w:hAnsiTheme="majorHAnsi" w:cstheme="majorHAnsi"/>
          <w:noProof/>
          <w:sz w:val="24"/>
          <w:szCs w:val="24"/>
          <w:vertAlign w:val="superscript"/>
          <w:lang w:val="ro-MD"/>
        </w:rPr>
        <w:footnoteReference w:id="5"/>
      </w:r>
      <w:r w:rsidR="004C1E2B" w:rsidRPr="00C05E71">
        <w:rPr>
          <w:rFonts w:asciiTheme="majorHAnsi" w:eastAsia="Calibri" w:hAnsiTheme="majorHAnsi" w:cstheme="majorHAnsi"/>
          <w:noProof/>
          <w:sz w:val="24"/>
          <w:szCs w:val="24"/>
          <w:lang w:val="ro-MD"/>
        </w:rPr>
        <w:t xml:space="preserve"> </w:t>
      </w:r>
      <w:r w:rsidR="004C1E2B" w:rsidRPr="00F16898">
        <w:rPr>
          <w:rFonts w:asciiTheme="majorHAnsi" w:eastAsia="Calibri" w:hAnsiTheme="majorHAnsi" w:cstheme="majorHAnsi"/>
          <w:noProof/>
          <w:sz w:val="24"/>
          <w:szCs w:val="24"/>
          <w:lang w:val="ro-MD"/>
        </w:rPr>
        <w:t xml:space="preserve">(necontabilizate de Comitetul Executiv), </w:t>
      </w:r>
      <w:r w:rsidR="003F1831" w:rsidRPr="00F16898">
        <w:rPr>
          <w:rFonts w:asciiTheme="majorHAnsi" w:eastAsia="Calibri" w:hAnsiTheme="majorHAnsi" w:cstheme="majorHAnsi"/>
          <w:noProof/>
          <w:sz w:val="24"/>
          <w:szCs w:val="24"/>
          <w:lang w:val="ro-MD"/>
        </w:rPr>
        <w:t>iar</w:t>
      </w:r>
      <w:r w:rsidR="003F1831" w:rsidRPr="00C05E71">
        <w:rPr>
          <w:rFonts w:asciiTheme="majorHAnsi" w:eastAsia="Calibri" w:hAnsiTheme="majorHAnsi" w:cstheme="majorHAnsi"/>
          <w:noProof/>
          <w:sz w:val="24"/>
          <w:szCs w:val="24"/>
          <w:lang w:val="ro-MD"/>
        </w:rPr>
        <w:t xml:space="preserve"> </w:t>
      </w:r>
      <w:r w:rsidR="004C1E2B" w:rsidRPr="00C05E71">
        <w:rPr>
          <w:rFonts w:asciiTheme="majorHAnsi" w:eastAsia="Calibri" w:hAnsiTheme="majorHAnsi" w:cstheme="majorHAnsi"/>
          <w:noProof/>
          <w:sz w:val="24"/>
          <w:szCs w:val="24"/>
          <w:lang w:val="ro-MD"/>
        </w:rPr>
        <w:t xml:space="preserve">pe parcursul anului 2018 </w:t>
      </w:r>
      <w:r w:rsidR="003F1831" w:rsidRPr="00C05E71">
        <w:rPr>
          <w:rFonts w:asciiTheme="majorHAnsi" w:eastAsia="Calibri" w:hAnsiTheme="majorHAnsi" w:cstheme="majorHAnsi"/>
          <w:noProof/>
          <w:sz w:val="24"/>
          <w:szCs w:val="24"/>
          <w:lang w:val="ro-MD"/>
        </w:rPr>
        <w:t xml:space="preserve">- </w:t>
      </w:r>
      <w:r w:rsidR="004C1E2B" w:rsidRPr="00C05E71">
        <w:rPr>
          <w:rFonts w:asciiTheme="majorHAnsi" w:eastAsia="Calibri" w:hAnsiTheme="majorHAnsi" w:cstheme="majorHAnsi"/>
          <w:noProof/>
          <w:sz w:val="24"/>
          <w:szCs w:val="24"/>
          <w:lang w:val="ro-MD"/>
        </w:rPr>
        <w:t xml:space="preserve">în valoare </w:t>
      </w:r>
      <w:r w:rsidR="004C1E2B" w:rsidRPr="00F16898">
        <w:rPr>
          <w:rFonts w:asciiTheme="majorHAnsi" w:eastAsia="Calibri" w:hAnsiTheme="majorHAnsi" w:cstheme="majorHAnsi"/>
          <w:noProof/>
          <w:sz w:val="24"/>
          <w:szCs w:val="24"/>
          <w:lang w:val="ro-MD"/>
        </w:rPr>
        <w:t>de 63</w:t>
      </w:r>
      <w:r w:rsidR="00DC7063" w:rsidRPr="00F16898">
        <w:rPr>
          <w:rFonts w:asciiTheme="majorHAnsi" w:eastAsia="Calibri" w:hAnsiTheme="majorHAnsi" w:cstheme="majorHAnsi"/>
          <w:noProof/>
          <w:sz w:val="24"/>
          <w:szCs w:val="24"/>
          <w:lang w:val="ro-MD"/>
        </w:rPr>
        <w:t xml:space="preserve"> </w:t>
      </w:r>
      <w:r w:rsidR="004C1E2B" w:rsidRPr="00F16898">
        <w:rPr>
          <w:rFonts w:asciiTheme="majorHAnsi" w:eastAsia="Calibri" w:hAnsiTheme="majorHAnsi" w:cstheme="majorHAnsi"/>
          <w:noProof/>
          <w:sz w:val="24"/>
          <w:szCs w:val="24"/>
          <w:lang w:val="ro-MD"/>
        </w:rPr>
        <w:t>430,6 mii lei (din care 22</w:t>
      </w:r>
      <w:r w:rsidR="00DC7063" w:rsidRPr="00F16898">
        <w:rPr>
          <w:rFonts w:asciiTheme="majorHAnsi" w:eastAsia="Calibri" w:hAnsiTheme="majorHAnsi" w:cstheme="majorHAnsi"/>
          <w:noProof/>
          <w:sz w:val="24"/>
          <w:szCs w:val="24"/>
          <w:lang w:val="ro-MD"/>
        </w:rPr>
        <w:t xml:space="preserve"> </w:t>
      </w:r>
      <w:r w:rsidR="004C1E2B" w:rsidRPr="00F16898">
        <w:rPr>
          <w:rFonts w:asciiTheme="majorHAnsi" w:eastAsia="Calibri" w:hAnsiTheme="majorHAnsi" w:cstheme="majorHAnsi"/>
          <w:noProof/>
          <w:sz w:val="24"/>
          <w:szCs w:val="24"/>
          <w:lang w:val="ro-MD"/>
        </w:rPr>
        <w:t xml:space="preserve">254,8 mii lei – reparații capitale ale drumurilor de interes raional; </w:t>
      </w:r>
      <w:r w:rsidR="004C1E2B" w:rsidRPr="00F16898">
        <w:rPr>
          <w:rFonts w:asciiTheme="majorHAnsi" w:eastAsia="Calibri" w:hAnsiTheme="majorHAnsi" w:cstheme="majorHAnsi"/>
          <w:noProof/>
          <w:color w:val="000000" w:themeColor="text1"/>
          <w:sz w:val="24"/>
          <w:szCs w:val="24"/>
          <w:lang w:val="ro-MD"/>
        </w:rPr>
        <w:t>41</w:t>
      </w:r>
      <w:r w:rsidR="00DC7063" w:rsidRPr="00F16898">
        <w:rPr>
          <w:rFonts w:asciiTheme="majorHAnsi" w:eastAsia="Calibri" w:hAnsiTheme="majorHAnsi" w:cstheme="majorHAnsi"/>
          <w:noProof/>
          <w:color w:val="000000" w:themeColor="text1"/>
          <w:sz w:val="24"/>
          <w:szCs w:val="24"/>
          <w:lang w:val="ro-MD"/>
        </w:rPr>
        <w:t xml:space="preserve"> </w:t>
      </w:r>
      <w:r w:rsidR="004C1E2B" w:rsidRPr="00F16898">
        <w:rPr>
          <w:rFonts w:asciiTheme="majorHAnsi" w:eastAsia="Calibri" w:hAnsiTheme="majorHAnsi" w:cstheme="majorHAnsi"/>
          <w:noProof/>
          <w:color w:val="000000" w:themeColor="text1"/>
          <w:sz w:val="24"/>
          <w:szCs w:val="24"/>
          <w:lang w:val="ro-MD"/>
        </w:rPr>
        <w:t xml:space="preserve">175,8 mii lei </w:t>
      </w:r>
      <w:r w:rsidR="004C1E2B" w:rsidRPr="00F16898">
        <w:rPr>
          <w:rFonts w:asciiTheme="majorHAnsi" w:eastAsia="Calibri" w:hAnsiTheme="majorHAnsi" w:cstheme="majorHAnsi"/>
          <w:noProof/>
          <w:sz w:val="24"/>
          <w:szCs w:val="24"/>
          <w:lang w:val="ro-MD"/>
        </w:rPr>
        <w:t xml:space="preserve">– </w:t>
      </w:r>
      <w:r w:rsidR="0088194F" w:rsidRPr="00F16898">
        <w:rPr>
          <w:rFonts w:asciiTheme="majorHAnsi" w:eastAsia="Calibri" w:hAnsiTheme="majorHAnsi" w:cstheme="majorHAnsi"/>
          <w:noProof/>
          <w:sz w:val="24"/>
          <w:szCs w:val="24"/>
          <w:lang w:val="ro-MD"/>
        </w:rPr>
        <w:t xml:space="preserve">investiții și </w:t>
      </w:r>
      <w:r w:rsidR="004C1E2B" w:rsidRPr="00F16898">
        <w:rPr>
          <w:rFonts w:asciiTheme="majorHAnsi" w:eastAsia="Calibri" w:hAnsiTheme="majorHAnsi" w:cstheme="majorHAnsi"/>
          <w:noProof/>
          <w:sz w:val="24"/>
          <w:szCs w:val="24"/>
          <w:lang w:val="ro-MD"/>
        </w:rPr>
        <w:t>reparații capitale ale patrimoniul</w:t>
      </w:r>
      <w:r w:rsidR="003F1831" w:rsidRPr="00F16898">
        <w:rPr>
          <w:rFonts w:asciiTheme="majorHAnsi" w:eastAsia="Calibri" w:hAnsiTheme="majorHAnsi" w:cstheme="majorHAnsi"/>
          <w:noProof/>
          <w:sz w:val="24"/>
          <w:szCs w:val="24"/>
          <w:lang w:val="ro-MD"/>
        </w:rPr>
        <w:t>ui</w:t>
      </w:r>
      <w:r w:rsidR="004C1E2B" w:rsidRPr="00F16898">
        <w:rPr>
          <w:rFonts w:asciiTheme="majorHAnsi" w:eastAsia="Calibri" w:hAnsiTheme="majorHAnsi" w:cstheme="majorHAnsi"/>
          <w:noProof/>
          <w:sz w:val="24"/>
          <w:szCs w:val="24"/>
          <w:lang w:val="ro-MD"/>
        </w:rPr>
        <w:t xml:space="preserve"> instituțiilor din subordinea Comitetului Executiv și APL</w:t>
      </w:r>
      <w:r w:rsidR="003F1831" w:rsidRPr="00F16898">
        <w:rPr>
          <w:rFonts w:asciiTheme="majorHAnsi" w:eastAsia="Calibri" w:hAnsiTheme="majorHAnsi" w:cstheme="majorHAnsi"/>
          <w:noProof/>
          <w:sz w:val="24"/>
          <w:szCs w:val="24"/>
          <w:lang w:val="ro-MD"/>
        </w:rPr>
        <w:t xml:space="preserve"> de</w:t>
      </w:r>
      <w:r w:rsidR="004C1E2B" w:rsidRPr="00F16898">
        <w:rPr>
          <w:rFonts w:asciiTheme="majorHAnsi" w:eastAsia="Calibri" w:hAnsiTheme="majorHAnsi" w:cstheme="majorHAnsi"/>
          <w:noProof/>
          <w:sz w:val="24"/>
          <w:szCs w:val="24"/>
          <w:lang w:val="ro-MD"/>
        </w:rPr>
        <w:t xml:space="preserve"> nivelul I), în total </w:t>
      </w:r>
      <w:r w:rsidR="003F1831" w:rsidRPr="00F16898">
        <w:rPr>
          <w:rFonts w:asciiTheme="majorHAnsi" w:eastAsia="Calibri" w:hAnsiTheme="majorHAnsi" w:cstheme="majorHAnsi"/>
          <w:noProof/>
          <w:sz w:val="24"/>
          <w:szCs w:val="24"/>
          <w:lang w:val="ro-MD"/>
        </w:rPr>
        <w:t xml:space="preserve">- </w:t>
      </w:r>
      <w:r w:rsidR="004C1E2B" w:rsidRPr="00F16898">
        <w:rPr>
          <w:rFonts w:asciiTheme="majorHAnsi" w:eastAsia="Calibri" w:hAnsiTheme="majorHAnsi" w:cstheme="majorHAnsi"/>
          <w:noProof/>
          <w:color w:val="000000" w:themeColor="text1"/>
          <w:sz w:val="24"/>
          <w:szCs w:val="24"/>
          <w:lang w:val="ro-MD"/>
        </w:rPr>
        <w:t>119</w:t>
      </w:r>
      <w:r w:rsidR="00DC7063" w:rsidRPr="00F16898">
        <w:rPr>
          <w:rFonts w:asciiTheme="majorHAnsi" w:eastAsia="Calibri" w:hAnsiTheme="majorHAnsi" w:cstheme="majorHAnsi"/>
          <w:noProof/>
          <w:color w:val="000000" w:themeColor="text1"/>
          <w:sz w:val="24"/>
          <w:szCs w:val="24"/>
          <w:lang w:val="ro-MD"/>
        </w:rPr>
        <w:t xml:space="preserve"> </w:t>
      </w:r>
      <w:r w:rsidR="004C1E2B" w:rsidRPr="00F16898">
        <w:rPr>
          <w:rFonts w:asciiTheme="majorHAnsi" w:eastAsia="Calibri" w:hAnsiTheme="majorHAnsi" w:cstheme="majorHAnsi"/>
          <w:noProof/>
          <w:color w:val="000000" w:themeColor="text1"/>
          <w:sz w:val="24"/>
          <w:szCs w:val="24"/>
          <w:lang w:val="ro-MD"/>
        </w:rPr>
        <w:t>162,5 mii lei</w:t>
      </w:r>
      <w:r w:rsidR="004C1E2B" w:rsidRPr="00F16898">
        <w:rPr>
          <w:rFonts w:asciiTheme="majorHAnsi" w:hAnsiTheme="majorHAnsi" w:cstheme="majorHAnsi"/>
          <w:noProof/>
          <w:color w:val="000000" w:themeColor="text1"/>
          <w:sz w:val="24"/>
          <w:szCs w:val="24"/>
          <w:vertAlign w:val="superscript"/>
          <w:lang w:val="ro-MD"/>
        </w:rPr>
        <w:footnoteReference w:id="6"/>
      </w:r>
      <w:r w:rsidR="0033793C" w:rsidRPr="00F16898">
        <w:rPr>
          <w:rFonts w:asciiTheme="majorHAnsi" w:eastAsia="Calibri" w:hAnsiTheme="majorHAnsi" w:cstheme="majorHAnsi"/>
          <w:noProof/>
          <w:sz w:val="24"/>
          <w:szCs w:val="24"/>
          <w:lang w:val="ro-MD"/>
        </w:rPr>
        <w:t xml:space="preserve">. </w:t>
      </w:r>
      <w:r w:rsidR="004C1E2B" w:rsidRPr="00F16898">
        <w:rPr>
          <w:rFonts w:asciiTheme="majorHAnsi" w:eastAsia="Calibri" w:hAnsiTheme="majorHAnsi" w:cstheme="majorHAnsi"/>
          <w:noProof/>
          <w:sz w:val="24"/>
          <w:szCs w:val="24"/>
          <w:lang w:val="ro-MD"/>
        </w:rPr>
        <w:t xml:space="preserve">Succesorul </w:t>
      </w:r>
      <w:r w:rsidR="00592827" w:rsidRPr="00F16898">
        <w:rPr>
          <w:rFonts w:asciiTheme="majorHAnsi" w:eastAsia="Calibri" w:hAnsiTheme="majorHAnsi" w:cstheme="majorHAnsi"/>
          <w:noProof/>
          <w:sz w:val="24"/>
          <w:szCs w:val="24"/>
          <w:lang w:val="ro-MD"/>
        </w:rPr>
        <w:t>de</w:t>
      </w:r>
      <w:r w:rsidR="004C1E2B" w:rsidRPr="00F16898">
        <w:rPr>
          <w:rFonts w:asciiTheme="majorHAnsi" w:eastAsia="Calibri" w:hAnsiTheme="majorHAnsi" w:cstheme="majorHAnsi"/>
          <w:noProof/>
          <w:sz w:val="24"/>
          <w:szCs w:val="24"/>
          <w:lang w:val="ro-MD"/>
        </w:rPr>
        <w:t xml:space="preserve"> drepturi a</w:t>
      </w:r>
      <w:r w:rsidR="00592827" w:rsidRPr="00F16898">
        <w:rPr>
          <w:rFonts w:asciiTheme="majorHAnsi" w:eastAsia="Calibri" w:hAnsiTheme="majorHAnsi" w:cstheme="majorHAnsi"/>
          <w:noProof/>
          <w:sz w:val="24"/>
          <w:szCs w:val="24"/>
          <w:lang w:val="ro-MD"/>
        </w:rPr>
        <w:t>l</w:t>
      </w:r>
      <w:r w:rsidR="004C1E2B" w:rsidRPr="00F16898">
        <w:rPr>
          <w:rFonts w:asciiTheme="majorHAnsi" w:eastAsia="Calibri" w:hAnsiTheme="majorHAnsi" w:cstheme="majorHAnsi"/>
          <w:noProof/>
          <w:sz w:val="24"/>
          <w:szCs w:val="24"/>
          <w:lang w:val="ro-MD"/>
        </w:rPr>
        <w:t xml:space="preserve"> </w:t>
      </w:r>
      <w:r w:rsidR="002F3BB2" w:rsidRPr="00F16898">
        <w:rPr>
          <w:rFonts w:asciiTheme="majorHAnsi" w:eastAsia="Calibri" w:hAnsiTheme="majorHAnsi" w:cstheme="majorHAnsi"/>
          <w:noProof/>
          <w:sz w:val="24"/>
          <w:szCs w:val="24"/>
          <w:lang w:val="ro-MD"/>
        </w:rPr>
        <w:t>Î</w:t>
      </w:r>
      <w:r w:rsidR="00592827" w:rsidRPr="00F16898">
        <w:rPr>
          <w:rFonts w:asciiTheme="majorHAnsi" w:eastAsia="Calibri" w:hAnsiTheme="majorHAnsi" w:cstheme="majorHAnsi"/>
          <w:noProof/>
          <w:sz w:val="24"/>
          <w:szCs w:val="24"/>
          <w:lang w:val="ro-MD"/>
        </w:rPr>
        <w:t>.</w:t>
      </w:r>
      <w:r w:rsidR="002F3BB2" w:rsidRPr="00F16898">
        <w:rPr>
          <w:rFonts w:asciiTheme="majorHAnsi" w:eastAsia="Calibri" w:hAnsiTheme="majorHAnsi" w:cstheme="majorHAnsi"/>
          <w:noProof/>
          <w:sz w:val="24"/>
          <w:szCs w:val="24"/>
          <w:lang w:val="ro-MD"/>
        </w:rPr>
        <w:t>S</w:t>
      </w:r>
      <w:r w:rsidR="00592827" w:rsidRPr="00F16898">
        <w:rPr>
          <w:rFonts w:asciiTheme="majorHAnsi" w:eastAsia="Calibri" w:hAnsiTheme="majorHAnsi" w:cstheme="majorHAnsi"/>
          <w:noProof/>
          <w:sz w:val="24"/>
          <w:szCs w:val="24"/>
          <w:lang w:val="ro-MD"/>
        </w:rPr>
        <w:t>.</w:t>
      </w:r>
      <w:r w:rsidR="002F3BB2" w:rsidRPr="00F16898">
        <w:rPr>
          <w:rFonts w:asciiTheme="majorHAnsi" w:eastAsia="Calibri" w:hAnsiTheme="majorHAnsi" w:cstheme="majorHAnsi"/>
          <w:noProof/>
          <w:sz w:val="24"/>
          <w:szCs w:val="24"/>
          <w:lang w:val="ro-MD"/>
        </w:rPr>
        <w:t xml:space="preserve"> „Sud-A-Con”</w:t>
      </w:r>
      <w:r w:rsidR="009408DE" w:rsidRPr="00F16898">
        <w:rPr>
          <w:rFonts w:asciiTheme="majorHAnsi" w:eastAsia="Calibri" w:hAnsiTheme="majorHAnsi" w:cstheme="majorHAnsi"/>
          <w:noProof/>
          <w:sz w:val="24"/>
          <w:szCs w:val="24"/>
          <w:lang w:val="ro-MD"/>
        </w:rPr>
        <w:t xml:space="preserve"> - </w:t>
      </w:r>
      <w:r w:rsidR="002F3BB2" w:rsidRPr="00F16898">
        <w:rPr>
          <w:rFonts w:asciiTheme="majorHAnsi" w:eastAsia="Calibri" w:hAnsiTheme="majorHAnsi" w:cstheme="majorHAnsi"/>
          <w:noProof/>
          <w:sz w:val="24"/>
          <w:szCs w:val="24"/>
          <w:lang w:val="ro-MD"/>
        </w:rPr>
        <w:t xml:space="preserve"> </w:t>
      </w:r>
      <w:r w:rsidR="004C1E2B" w:rsidRPr="00F16898">
        <w:rPr>
          <w:rFonts w:asciiTheme="majorHAnsi" w:eastAsia="Calibri" w:hAnsiTheme="majorHAnsi" w:cstheme="majorHAnsi"/>
          <w:noProof/>
          <w:sz w:val="24"/>
          <w:szCs w:val="24"/>
          <w:lang w:val="ro-MD"/>
        </w:rPr>
        <w:t>D</w:t>
      </w:r>
      <w:r w:rsidR="0088194F" w:rsidRPr="00F16898">
        <w:rPr>
          <w:rFonts w:asciiTheme="majorHAnsi" w:eastAsia="Calibri" w:hAnsiTheme="majorHAnsi" w:cstheme="majorHAnsi"/>
          <w:noProof/>
          <w:sz w:val="24"/>
          <w:szCs w:val="24"/>
          <w:lang w:val="ro-MD"/>
        </w:rPr>
        <w:t xml:space="preserve">irecția Generală </w:t>
      </w:r>
      <w:r w:rsidR="004C1E2B" w:rsidRPr="00F16898">
        <w:rPr>
          <w:rFonts w:asciiTheme="majorHAnsi" w:eastAsia="Calibri" w:hAnsiTheme="majorHAnsi" w:cstheme="majorHAnsi"/>
          <w:noProof/>
          <w:sz w:val="24"/>
          <w:szCs w:val="24"/>
          <w:lang w:val="ro-MD"/>
        </w:rPr>
        <w:t>C</w:t>
      </w:r>
      <w:r w:rsidR="0088194F" w:rsidRPr="00F16898">
        <w:rPr>
          <w:rFonts w:asciiTheme="majorHAnsi" w:eastAsia="Calibri" w:hAnsiTheme="majorHAnsi" w:cstheme="majorHAnsi"/>
          <w:noProof/>
          <w:sz w:val="24"/>
          <w:szCs w:val="24"/>
          <w:lang w:val="ro-MD"/>
        </w:rPr>
        <w:t xml:space="preserve">onstrucții și </w:t>
      </w:r>
      <w:r w:rsidR="004C1E2B" w:rsidRPr="00F16898">
        <w:rPr>
          <w:rFonts w:asciiTheme="majorHAnsi" w:eastAsia="Calibri" w:hAnsiTheme="majorHAnsi" w:cstheme="majorHAnsi"/>
          <w:noProof/>
          <w:sz w:val="24"/>
          <w:szCs w:val="24"/>
          <w:lang w:val="ro-MD"/>
        </w:rPr>
        <w:t>I</w:t>
      </w:r>
      <w:r w:rsidR="0088194F" w:rsidRPr="00F16898">
        <w:rPr>
          <w:rFonts w:asciiTheme="majorHAnsi" w:eastAsia="Calibri" w:hAnsiTheme="majorHAnsi" w:cstheme="majorHAnsi"/>
          <w:noProof/>
          <w:sz w:val="24"/>
          <w:szCs w:val="24"/>
          <w:lang w:val="ro-MD"/>
        </w:rPr>
        <w:t>nfrastructură</w:t>
      </w:r>
      <w:r w:rsidR="004C1E2B" w:rsidRPr="00F16898">
        <w:rPr>
          <w:rFonts w:asciiTheme="majorHAnsi" w:eastAsia="Calibri" w:hAnsiTheme="majorHAnsi" w:cstheme="majorHAnsi"/>
          <w:noProof/>
          <w:sz w:val="24"/>
          <w:szCs w:val="24"/>
          <w:lang w:val="ro-MD"/>
        </w:rPr>
        <w:t xml:space="preserve"> a UTA Găgăuzia, nu a preluat investițiile efectuate</w:t>
      </w:r>
      <w:r w:rsidR="00C33C94" w:rsidRPr="00F16898">
        <w:rPr>
          <w:rFonts w:asciiTheme="majorHAnsi" w:eastAsia="Calibri" w:hAnsiTheme="majorHAnsi" w:cstheme="majorHAnsi"/>
          <w:noProof/>
          <w:color w:val="000000" w:themeColor="text1"/>
          <w:sz w:val="24"/>
          <w:szCs w:val="24"/>
          <w:lang w:val="ro-MD"/>
        </w:rPr>
        <w:t>. L</w:t>
      </w:r>
      <w:r w:rsidR="004C1E2B" w:rsidRPr="00F16898">
        <w:rPr>
          <w:rFonts w:asciiTheme="majorHAnsi" w:eastAsia="Calibri" w:hAnsiTheme="majorHAnsi" w:cstheme="majorHAnsi"/>
          <w:noProof/>
          <w:color w:val="000000" w:themeColor="text1"/>
          <w:sz w:val="24"/>
          <w:szCs w:val="24"/>
          <w:lang w:val="ro-MD"/>
        </w:rPr>
        <w:t>a 31.12.2020</w:t>
      </w:r>
      <w:r w:rsidR="00F471FB" w:rsidRPr="00F16898">
        <w:rPr>
          <w:rFonts w:asciiTheme="majorHAnsi" w:eastAsia="Calibri" w:hAnsiTheme="majorHAnsi" w:cstheme="majorHAnsi"/>
          <w:noProof/>
          <w:color w:val="000000" w:themeColor="text1"/>
          <w:sz w:val="24"/>
          <w:szCs w:val="24"/>
          <w:lang w:val="ro-MD"/>
        </w:rPr>
        <w:t>,</w:t>
      </w:r>
      <w:r w:rsidR="004C1E2B" w:rsidRPr="00F16898">
        <w:rPr>
          <w:rFonts w:asciiTheme="majorHAnsi" w:eastAsia="Calibri" w:hAnsiTheme="majorHAnsi" w:cstheme="majorHAnsi"/>
          <w:noProof/>
          <w:color w:val="000000" w:themeColor="text1"/>
          <w:sz w:val="24"/>
          <w:szCs w:val="24"/>
          <w:lang w:val="ro-MD"/>
        </w:rPr>
        <w:t xml:space="preserve"> Î</w:t>
      </w:r>
      <w:r w:rsidR="00C33C94" w:rsidRPr="00F16898">
        <w:rPr>
          <w:rFonts w:asciiTheme="majorHAnsi" w:eastAsia="Calibri" w:hAnsiTheme="majorHAnsi" w:cstheme="majorHAnsi"/>
          <w:noProof/>
          <w:color w:val="000000" w:themeColor="text1"/>
          <w:sz w:val="24"/>
          <w:szCs w:val="24"/>
          <w:lang w:val="ro-MD"/>
        </w:rPr>
        <w:t>.</w:t>
      </w:r>
      <w:r w:rsidR="004C1E2B" w:rsidRPr="00F16898">
        <w:rPr>
          <w:rFonts w:asciiTheme="majorHAnsi" w:eastAsia="Calibri" w:hAnsiTheme="majorHAnsi" w:cstheme="majorHAnsi"/>
          <w:noProof/>
          <w:color w:val="000000" w:themeColor="text1"/>
          <w:sz w:val="24"/>
          <w:szCs w:val="24"/>
          <w:lang w:val="ro-MD"/>
        </w:rPr>
        <w:t>S</w:t>
      </w:r>
      <w:r w:rsidR="00C33C94" w:rsidRPr="00F16898">
        <w:rPr>
          <w:rFonts w:asciiTheme="majorHAnsi" w:eastAsia="Calibri" w:hAnsiTheme="majorHAnsi" w:cstheme="majorHAnsi"/>
          <w:noProof/>
          <w:color w:val="000000" w:themeColor="text1"/>
          <w:sz w:val="24"/>
          <w:szCs w:val="24"/>
          <w:lang w:val="ro-MD"/>
        </w:rPr>
        <w:t>.</w:t>
      </w:r>
      <w:r w:rsidR="004C1E2B" w:rsidRPr="00F16898">
        <w:rPr>
          <w:rFonts w:asciiTheme="majorHAnsi" w:eastAsia="Calibri" w:hAnsiTheme="majorHAnsi" w:cstheme="majorHAnsi"/>
          <w:noProof/>
          <w:color w:val="000000" w:themeColor="text1"/>
          <w:sz w:val="24"/>
          <w:szCs w:val="24"/>
          <w:lang w:val="ro-MD"/>
        </w:rPr>
        <w:t xml:space="preserve"> „Sud-A-Con” a raportat doar suma de </w:t>
      </w:r>
      <w:r w:rsidR="004C1E2B" w:rsidRPr="00F16898">
        <w:rPr>
          <w:rFonts w:asciiTheme="majorHAnsi" w:eastAsia="Calibri" w:hAnsiTheme="majorHAnsi" w:cstheme="majorHAnsi"/>
          <w:noProof/>
          <w:sz w:val="24"/>
          <w:szCs w:val="24"/>
          <w:lang w:val="ro-MD"/>
        </w:rPr>
        <w:t>63</w:t>
      </w:r>
      <w:r w:rsidR="00DC7063" w:rsidRPr="00F16898">
        <w:rPr>
          <w:rFonts w:asciiTheme="majorHAnsi" w:eastAsia="Calibri" w:hAnsiTheme="majorHAnsi" w:cstheme="majorHAnsi"/>
          <w:noProof/>
          <w:sz w:val="24"/>
          <w:szCs w:val="24"/>
          <w:lang w:val="ro-MD"/>
        </w:rPr>
        <w:t xml:space="preserve"> </w:t>
      </w:r>
      <w:r w:rsidR="004C1E2B" w:rsidRPr="00F16898">
        <w:rPr>
          <w:rFonts w:asciiTheme="majorHAnsi" w:eastAsia="Calibri" w:hAnsiTheme="majorHAnsi" w:cstheme="majorHAnsi"/>
          <w:noProof/>
          <w:sz w:val="24"/>
          <w:szCs w:val="24"/>
          <w:lang w:val="ro-MD"/>
        </w:rPr>
        <w:t xml:space="preserve">430,6 mii lei, </w:t>
      </w:r>
      <w:r w:rsidR="004C1E2B" w:rsidRPr="00F16898">
        <w:rPr>
          <w:rFonts w:asciiTheme="majorHAnsi" w:eastAsia="Calibri" w:hAnsiTheme="majorHAnsi" w:cstheme="majorHAnsi"/>
          <w:noProof/>
          <w:color w:val="000000" w:themeColor="text1"/>
          <w:sz w:val="24"/>
          <w:szCs w:val="24"/>
          <w:lang w:val="ro-MD"/>
        </w:rPr>
        <w:t xml:space="preserve">din care la contul </w:t>
      </w:r>
      <w:r w:rsidR="00F471FB" w:rsidRPr="00F16898">
        <w:rPr>
          <w:rFonts w:asciiTheme="majorHAnsi" w:eastAsia="Calibri" w:hAnsiTheme="majorHAnsi" w:cstheme="majorHAnsi"/>
          <w:noProof/>
          <w:color w:val="000000" w:themeColor="text1"/>
          <w:sz w:val="24"/>
          <w:szCs w:val="24"/>
          <w:lang w:val="ro-MD"/>
        </w:rPr>
        <w:t xml:space="preserve">311 </w:t>
      </w:r>
      <w:r w:rsidR="00C33C94" w:rsidRPr="00F16898">
        <w:rPr>
          <w:rFonts w:asciiTheme="majorHAnsi" w:eastAsia="Calibri" w:hAnsiTheme="majorHAnsi" w:cstheme="majorHAnsi"/>
          <w:noProof/>
          <w:color w:val="000000" w:themeColor="text1"/>
          <w:sz w:val="24"/>
          <w:szCs w:val="24"/>
          <w:lang w:val="ro-MD"/>
        </w:rPr>
        <w:t>„</w:t>
      </w:r>
      <w:r w:rsidR="004C1E2B" w:rsidRPr="00F16898">
        <w:rPr>
          <w:rFonts w:asciiTheme="majorHAnsi" w:eastAsia="Calibri" w:hAnsiTheme="majorHAnsi" w:cstheme="majorHAnsi"/>
          <w:noProof/>
          <w:color w:val="000000" w:themeColor="text1"/>
          <w:sz w:val="24"/>
          <w:szCs w:val="24"/>
          <w:lang w:val="ro-MD"/>
        </w:rPr>
        <w:t>Clădiri</w:t>
      </w:r>
      <w:r w:rsidR="00C33C94" w:rsidRPr="00F16898">
        <w:rPr>
          <w:rFonts w:asciiTheme="majorHAnsi" w:eastAsia="Calibri" w:hAnsiTheme="majorHAnsi" w:cstheme="majorHAnsi"/>
          <w:noProof/>
          <w:color w:val="000000" w:themeColor="text1"/>
          <w:sz w:val="24"/>
          <w:szCs w:val="24"/>
          <w:lang w:val="ro-MD"/>
        </w:rPr>
        <w:t>”</w:t>
      </w:r>
      <w:r w:rsidR="004C1E2B" w:rsidRPr="00F16898">
        <w:rPr>
          <w:rFonts w:asciiTheme="majorHAnsi" w:eastAsia="Calibri" w:hAnsiTheme="majorHAnsi" w:cstheme="majorHAnsi"/>
          <w:noProof/>
          <w:color w:val="000000" w:themeColor="text1"/>
          <w:sz w:val="24"/>
          <w:szCs w:val="24"/>
          <w:lang w:val="ro-MD"/>
        </w:rPr>
        <w:t xml:space="preserve"> </w:t>
      </w:r>
      <w:r w:rsidR="00DC7063" w:rsidRPr="00F16898">
        <w:rPr>
          <w:rFonts w:asciiTheme="majorHAnsi" w:eastAsia="Calibri" w:hAnsiTheme="majorHAnsi" w:cstheme="majorHAnsi"/>
          <w:noProof/>
          <w:color w:val="000000" w:themeColor="text1"/>
          <w:sz w:val="24"/>
          <w:szCs w:val="24"/>
          <w:lang w:val="ro-MD"/>
        </w:rPr>
        <w:t>–</w:t>
      </w:r>
      <w:r w:rsidR="004C1E2B" w:rsidRPr="00F16898">
        <w:rPr>
          <w:rFonts w:asciiTheme="majorHAnsi" w:eastAsia="Calibri" w:hAnsiTheme="majorHAnsi" w:cstheme="majorHAnsi"/>
          <w:noProof/>
          <w:color w:val="000000" w:themeColor="text1"/>
          <w:sz w:val="24"/>
          <w:szCs w:val="24"/>
          <w:lang w:val="ro-MD"/>
        </w:rPr>
        <w:t xml:space="preserve"> 1</w:t>
      </w:r>
      <w:r w:rsidR="00DC7063" w:rsidRPr="00F16898">
        <w:rPr>
          <w:rFonts w:asciiTheme="majorHAnsi" w:eastAsia="Calibri" w:hAnsiTheme="majorHAnsi" w:cstheme="majorHAnsi"/>
          <w:noProof/>
          <w:color w:val="000000" w:themeColor="text1"/>
          <w:sz w:val="24"/>
          <w:szCs w:val="24"/>
          <w:lang w:val="ro-MD"/>
        </w:rPr>
        <w:t xml:space="preserve"> </w:t>
      </w:r>
      <w:r w:rsidR="004C1E2B" w:rsidRPr="00F16898">
        <w:rPr>
          <w:rFonts w:asciiTheme="majorHAnsi" w:eastAsia="Calibri" w:hAnsiTheme="majorHAnsi" w:cstheme="majorHAnsi"/>
          <w:noProof/>
          <w:color w:val="000000" w:themeColor="text1"/>
          <w:sz w:val="24"/>
          <w:szCs w:val="24"/>
          <w:lang w:val="ro-MD"/>
        </w:rPr>
        <w:t xml:space="preserve">384,3 mii lei, </w:t>
      </w:r>
      <w:r w:rsidR="00C33C94" w:rsidRPr="00F16898">
        <w:rPr>
          <w:rFonts w:asciiTheme="majorHAnsi" w:eastAsia="Calibri" w:hAnsiTheme="majorHAnsi" w:cstheme="majorHAnsi"/>
          <w:noProof/>
          <w:color w:val="000000" w:themeColor="text1"/>
          <w:sz w:val="24"/>
          <w:szCs w:val="24"/>
          <w:lang w:val="ro-MD"/>
        </w:rPr>
        <w:t xml:space="preserve">la </w:t>
      </w:r>
      <w:r w:rsidR="00F471FB" w:rsidRPr="00F16898">
        <w:rPr>
          <w:rFonts w:asciiTheme="majorHAnsi" w:eastAsia="Calibri" w:hAnsiTheme="majorHAnsi" w:cstheme="majorHAnsi"/>
          <w:noProof/>
          <w:color w:val="000000" w:themeColor="text1"/>
          <w:sz w:val="24"/>
          <w:szCs w:val="24"/>
          <w:lang w:val="ro-MD"/>
        </w:rPr>
        <w:t xml:space="preserve">contul 312 </w:t>
      </w:r>
      <w:r w:rsidR="00C33C94" w:rsidRPr="00F16898">
        <w:rPr>
          <w:rFonts w:asciiTheme="majorHAnsi" w:eastAsia="Calibri" w:hAnsiTheme="majorHAnsi" w:cstheme="majorHAnsi"/>
          <w:noProof/>
          <w:color w:val="000000" w:themeColor="text1"/>
          <w:sz w:val="24"/>
          <w:szCs w:val="24"/>
          <w:lang w:val="ro-MD"/>
        </w:rPr>
        <w:t>„</w:t>
      </w:r>
      <w:r w:rsidR="004C1E2B" w:rsidRPr="00F16898">
        <w:rPr>
          <w:rFonts w:asciiTheme="majorHAnsi" w:eastAsia="Calibri" w:hAnsiTheme="majorHAnsi" w:cstheme="majorHAnsi"/>
          <w:noProof/>
          <w:color w:val="000000" w:themeColor="text1"/>
          <w:sz w:val="24"/>
          <w:szCs w:val="24"/>
          <w:lang w:val="ro-MD"/>
        </w:rPr>
        <w:t>Construcții speciale</w:t>
      </w:r>
      <w:r w:rsidR="00C33C94" w:rsidRPr="00F16898">
        <w:rPr>
          <w:rFonts w:asciiTheme="majorHAnsi" w:eastAsia="Calibri" w:hAnsiTheme="majorHAnsi" w:cstheme="majorHAnsi"/>
          <w:noProof/>
          <w:color w:val="000000" w:themeColor="text1"/>
          <w:sz w:val="24"/>
          <w:szCs w:val="24"/>
          <w:lang w:val="ro-MD"/>
        </w:rPr>
        <w:t>”</w:t>
      </w:r>
      <w:r w:rsidR="004C1E2B" w:rsidRPr="00F16898">
        <w:rPr>
          <w:rFonts w:asciiTheme="majorHAnsi" w:eastAsia="Calibri" w:hAnsiTheme="majorHAnsi" w:cstheme="majorHAnsi"/>
          <w:noProof/>
          <w:color w:val="000000" w:themeColor="text1"/>
          <w:sz w:val="24"/>
          <w:szCs w:val="24"/>
          <w:lang w:val="ro-MD"/>
        </w:rPr>
        <w:t xml:space="preserve">  – 2</w:t>
      </w:r>
      <w:r w:rsidR="00DC7063" w:rsidRPr="00F16898">
        <w:rPr>
          <w:rFonts w:asciiTheme="majorHAnsi" w:eastAsia="Calibri" w:hAnsiTheme="majorHAnsi" w:cstheme="majorHAnsi"/>
          <w:noProof/>
          <w:color w:val="000000" w:themeColor="text1"/>
          <w:sz w:val="24"/>
          <w:szCs w:val="24"/>
          <w:lang w:val="ro-MD"/>
        </w:rPr>
        <w:t xml:space="preserve"> </w:t>
      </w:r>
      <w:r w:rsidR="004C1E2B" w:rsidRPr="00F16898">
        <w:rPr>
          <w:rFonts w:asciiTheme="majorHAnsi" w:eastAsia="Calibri" w:hAnsiTheme="majorHAnsi" w:cstheme="majorHAnsi"/>
          <w:noProof/>
          <w:color w:val="000000" w:themeColor="text1"/>
          <w:sz w:val="24"/>
          <w:szCs w:val="24"/>
          <w:lang w:val="ro-MD"/>
        </w:rPr>
        <w:t>493,1 mii lei</w:t>
      </w:r>
      <w:r w:rsidR="00C33C94" w:rsidRPr="00F16898">
        <w:rPr>
          <w:rFonts w:asciiTheme="majorHAnsi" w:eastAsia="Calibri" w:hAnsiTheme="majorHAnsi" w:cstheme="majorHAnsi"/>
          <w:noProof/>
          <w:color w:val="000000" w:themeColor="text1"/>
          <w:sz w:val="24"/>
          <w:szCs w:val="24"/>
          <w:lang w:val="ro-MD"/>
        </w:rPr>
        <w:t>,</w:t>
      </w:r>
      <w:r w:rsidR="004C1E2B" w:rsidRPr="00F16898">
        <w:rPr>
          <w:rFonts w:asciiTheme="majorHAnsi" w:eastAsia="Calibri" w:hAnsiTheme="majorHAnsi" w:cstheme="majorHAnsi"/>
          <w:noProof/>
          <w:color w:val="000000" w:themeColor="text1"/>
          <w:sz w:val="24"/>
          <w:szCs w:val="24"/>
          <w:lang w:val="ro-MD"/>
        </w:rPr>
        <w:t xml:space="preserve"> și </w:t>
      </w:r>
      <w:r w:rsidR="00C33C94" w:rsidRPr="00F16898">
        <w:rPr>
          <w:rFonts w:asciiTheme="majorHAnsi" w:eastAsia="Calibri" w:hAnsiTheme="majorHAnsi" w:cstheme="majorHAnsi"/>
          <w:noProof/>
          <w:color w:val="000000" w:themeColor="text1"/>
          <w:sz w:val="24"/>
          <w:szCs w:val="24"/>
          <w:lang w:val="ro-MD"/>
        </w:rPr>
        <w:t xml:space="preserve">la </w:t>
      </w:r>
      <w:r w:rsidR="00F471FB" w:rsidRPr="00F16898">
        <w:rPr>
          <w:rFonts w:asciiTheme="majorHAnsi" w:eastAsia="Calibri" w:hAnsiTheme="majorHAnsi" w:cstheme="majorHAnsi"/>
          <w:noProof/>
          <w:color w:val="000000" w:themeColor="text1"/>
          <w:sz w:val="24"/>
          <w:szCs w:val="24"/>
          <w:lang w:val="ro-MD"/>
        </w:rPr>
        <w:t xml:space="preserve">contul 319 </w:t>
      </w:r>
      <w:r w:rsidR="00C33C94" w:rsidRPr="00F16898">
        <w:rPr>
          <w:rFonts w:asciiTheme="majorHAnsi" w:eastAsia="Calibri" w:hAnsiTheme="majorHAnsi" w:cstheme="majorHAnsi"/>
          <w:noProof/>
          <w:color w:val="000000" w:themeColor="text1"/>
          <w:sz w:val="24"/>
          <w:szCs w:val="24"/>
          <w:lang w:val="ro-MD"/>
        </w:rPr>
        <w:t>„I</w:t>
      </w:r>
      <w:r w:rsidR="004C1E2B" w:rsidRPr="00F16898">
        <w:rPr>
          <w:rFonts w:asciiTheme="majorHAnsi" w:eastAsia="Calibri" w:hAnsiTheme="majorHAnsi" w:cstheme="majorHAnsi"/>
          <w:noProof/>
          <w:color w:val="000000" w:themeColor="text1"/>
          <w:sz w:val="24"/>
          <w:szCs w:val="24"/>
          <w:lang w:val="ro-MD"/>
        </w:rPr>
        <w:t>nvestiții capitale în active în curs de execuție</w:t>
      </w:r>
      <w:r w:rsidR="00C33C94" w:rsidRPr="00F16898">
        <w:rPr>
          <w:rFonts w:asciiTheme="majorHAnsi" w:eastAsia="Calibri" w:hAnsiTheme="majorHAnsi" w:cstheme="majorHAnsi"/>
          <w:noProof/>
          <w:color w:val="000000" w:themeColor="text1"/>
          <w:sz w:val="24"/>
          <w:szCs w:val="24"/>
          <w:lang w:val="ro-MD"/>
        </w:rPr>
        <w:t>”</w:t>
      </w:r>
      <w:r w:rsidR="004C1E2B" w:rsidRPr="00F16898">
        <w:rPr>
          <w:rFonts w:asciiTheme="majorHAnsi" w:eastAsia="Calibri" w:hAnsiTheme="majorHAnsi" w:cstheme="majorHAnsi"/>
          <w:noProof/>
          <w:color w:val="000000" w:themeColor="text1"/>
          <w:sz w:val="24"/>
          <w:szCs w:val="24"/>
          <w:lang w:val="ro-MD"/>
        </w:rPr>
        <w:t xml:space="preserve"> – 59</w:t>
      </w:r>
      <w:r w:rsidR="00DC7063" w:rsidRPr="00F16898">
        <w:rPr>
          <w:rFonts w:asciiTheme="majorHAnsi" w:eastAsia="Calibri" w:hAnsiTheme="majorHAnsi" w:cstheme="majorHAnsi"/>
          <w:noProof/>
          <w:color w:val="000000" w:themeColor="text1"/>
          <w:sz w:val="24"/>
          <w:szCs w:val="24"/>
          <w:lang w:val="ro-MD"/>
        </w:rPr>
        <w:t xml:space="preserve"> </w:t>
      </w:r>
      <w:r w:rsidR="004C1E2B" w:rsidRPr="00F16898">
        <w:rPr>
          <w:rFonts w:asciiTheme="majorHAnsi" w:eastAsia="Calibri" w:hAnsiTheme="majorHAnsi" w:cstheme="majorHAnsi"/>
          <w:noProof/>
          <w:color w:val="000000" w:themeColor="text1"/>
          <w:sz w:val="24"/>
          <w:szCs w:val="24"/>
          <w:lang w:val="ro-MD"/>
        </w:rPr>
        <w:t>553,2 mii lei</w:t>
      </w:r>
      <w:r w:rsidR="004C1E2B" w:rsidRPr="00F16898">
        <w:rPr>
          <w:rFonts w:asciiTheme="majorHAnsi" w:hAnsiTheme="majorHAnsi" w:cstheme="majorHAnsi"/>
          <w:noProof/>
          <w:color w:val="000000" w:themeColor="text1"/>
          <w:sz w:val="24"/>
          <w:szCs w:val="24"/>
          <w:vertAlign w:val="superscript"/>
          <w:lang w:val="ro-MD"/>
        </w:rPr>
        <w:footnoteReference w:id="7"/>
      </w:r>
      <w:r w:rsidR="004C1E2B" w:rsidRPr="00F16898">
        <w:rPr>
          <w:rFonts w:asciiTheme="majorHAnsi" w:eastAsia="Calibri" w:hAnsiTheme="majorHAnsi" w:cstheme="majorHAnsi"/>
          <w:noProof/>
          <w:color w:val="000000" w:themeColor="text1"/>
          <w:sz w:val="24"/>
          <w:szCs w:val="24"/>
          <w:lang w:val="ro-MD"/>
        </w:rPr>
        <w:t xml:space="preserve">. </w:t>
      </w:r>
    </w:p>
    <w:p w14:paraId="5E7BEAE5" w14:textId="30F65A81" w:rsidR="002F3BB2" w:rsidRPr="00C05E71" w:rsidRDefault="002F3BB2" w:rsidP="00C05E71">
      <w:pPr>
        <w:pStyle w:val="ListParagraph"/>
        <w:spacing w:after="0" w:line="276" w:lineRule="auto"/>
        <w:ind w:left="35"/>
        <w:jc w:val="both"/>
        <w:rPr>
          <w:rFonts w:asciiTheme="majorHAnsi" w:eastAsia="Calibri" w:hAnsiTheme="majorHAnsi" w:cstheme="majorHAnsi"/>
          <w:sz w:val="24"/>
          <w:szCs w:val="24"/>
          <w:lang w:val="ro-MD"/>
        </w:rPr>
      </w:pPr>
      <w:r w:rsidRPr="00C05E71">
        <w:rPr>
          <w:rFonts w:asciiTheme="majorHAnsi" w:eastAsia="Calibri" w:hAnsiTheme="majorHAnsi" w:cstheme="majorHAnsi"/>
          <w:noProof/>
          <w:color w:val="000000" w:themeColor="text1"/>
          <w:sz w:val="24"/>
          <w:szCs w:val="24"/>
          <w:lang w:val="ro-MD"/>
        </w:rPr>
        <w:t>Cele relatate mai sus au condiționat supraevaluarea valorii contului 311 „Clădiri”</w:t>
      </w:r>
      <w:r w:rsidR="00C33C94" w:rsidRPr="00C05E71">
        <w:rPr>
          <w:rFonts w:asciiTheme="majorHAnsi" w:eastAsia="Calibri" w:hAnsiTheme="majorHAnsi" w:cstheme="majorHAnsi"/>
          <w:noProof/>
          <w:color w:val="000000" w:themeColor="text1"/>
          <w:sz w:val="24"/>
          <w:szCs w:val="24"/>
          <w:lang w:val="ro-MD"/>
        </w:rPr>
        <w:t xml:space="preserve"> </w:t>
      </w:r>
      <w:r w:rsidRPr="00C05E71">
        <w:rPr>
          <w:rFonts w:asciiTheme="majorHAnsi" w:eastAsia="Calibri" w:hAnsiTheme="majorHAnsi" w:cstheme="majorHAnsi"/>
          <w:noProof/>
          <w:color w:val="000000" w:themeColor="text1"/>
          <w:sz w:val="24"/>
          <w:szCs w:val="24"/>
          <w:lang w:val="ro-MD"/>
        </w:rPr>
        <w:t xml:space="preserve">cu suma de </w:t>
      </w:r>
      <w:r w:rsidRPr="00C05E71">
        <w:rPr>
          <w:rFonts w:asciiTheme="majorHAnsi" w:eastAsia="Calibri" w:hAnsiTheme="majorHAnsi" w:cstheme="majorHAnsi"/>
          <w:b/>
          <w:noProof/>
          <w:color w:val="000000" w:themeColor="text1"/>
          <w:sz w:val="24"/>
          <w:szCs w:val="24"/>
          <w:lang w:val="ro-MD"/>
        </w:rPr>
        <w:t>1</w:t>
      </w:r>
      <w:r w:rsidR="00DC7063" w:rsidRPr="00C05E71">
        <w:rPr>
          <w:rFonts w:asciiTheme="majorHAnsi" w:eastAsia="Calibri" w:hAnsiTheme="majorHAnsi" w:cstheme="majorHAnsi"/>
          <w:b/>
          <w:noProof/>
          <w:color w:val="000000" w:themeColor="text1"/>
          <w:sz w:val="24"/>
          <w:szCs w:val="24"/>
          <w:lang w:val="ro-MD"/>
        </w:rPr>
        <w:t xml:space="preserve"> </w:t>
      </w:r>
      <w:r w:rsidRPr="00C05E71">
        <w:rPr>
          <w:rFonts w:asciiTheme="majorHAnsi" w:eastAsia="Calibri" w:hAnsiTheme="majorHAnsi" w:cstheme="majorHAnsi"/>
          <w:b/>
          <w:noProof/>
          <w:color w:val="000000" w:themeColor="text1"/>
          <w:sz w:val="24"/>
          <w:szCs w:val="24"/>
          <w:lang w:val="ro-MD"/>
        </w:rPr>
        <w:t>384,3 mii lei;</w:t>
      </w:r>
      <w:r w:rsidRPr="00C05E71">
        <w:rPr>
          <w:rFonts w:asciiTheme="majorHAnsi" w:eastAsia="Calibri" w:hAnsiTheme="majorHAnsi" w:cstheme="majorHAnsi"/>
          <w:noProof/>
          <w:color w:val="000000" w:themeColor="text1"/>
          <w:sz w:val="24"/>
          <w:szCs w:val="24"/>
          <w:lang w:val="ro-MD"/>
        </w:rPr>
        <w:t xml:space="preserve"> subevaluarea valorii contului 312 „Construcții speciale” – cu suma de </w:t>
      </w:r>
      <w:r w:rsidRPr="00C05E71">
        <w:rPr>
          <w:rFonts w:asciiTheme="majorHAnsi" w:eastAsia="Calibri" w:hAnsiTheme="majorHAnsi" w:cstheme="majorHAnsi"/>
          <w:b/>
          <w:noProof/>
          <w:color w:val="000000" w:themeColor="text1"/>
          <w:sz w:val="24"/>
          <w:szCs w:val="24"/>
          <w:lang w:val="ro-MD"/>
        </w:rPr>
        <w:t>19</w:t>
      </w:r>
      <w:r w:rsidR="00DC7063" w:rsidRPr="00C05E71">
        <w:rPr>
          <w:rFonts w:asciiTheme="majorHAnsi" w:eastAsia="Calibri" w:hAnsiTheme="majorHAnsi" w:cstheme="majorHAnsi"/>
          <w:b/>
          <w:noProof/>
          <w:color w:val="000000" w:themeColor="text1"/>
          <w:sz w:val="24"/>
          <w:szCs w:val="24"/>
          <w:lang w:val="ro-MD"/>
        </w:rPr>
        <w:t xml:space="preserve"> </w:t>
      </w:r>
      <w:r w:rsidRPr="00C05E71">
        <w:rPr>
          <w:rFonts w:asciiTheme="majorHAnsi" w:eastAsia="Calibri" w:hAnsiTheme="majorHAnsi" w:cstheme="majorHAnsi"/>
          <w:b/>
          <w:noProof/>
          <w:color w:val="000000" w:themeColor="text1"/>
          <w:sz w:val="24"/>
          <w:szCs w:val="24"/>
          <w:lang w:val="ro-MD"/>
        </w:rPr>
        <w:t>761,7 mii lei</w:t>
      </w:r>
      <w:r w:rsidR="00C33C94" w:rsidRPr="00C05E71">
        <w:rPr>
          <w:rFonts w:asciiTheme="majorHAnsi" w:eastAsia="Calibri" w:hAnsiTheme="majorHAnsi" w:cstheme="majorHAnsi"/>
          <w:noProof/>
          <w:color w:val="000000" w:themeColor="text1"/>
          <w:sz w:val="24"/>
          <w:szCs w:val="24"/>
          <w:lang w:val="ro-MD"/>
        </w:rPr>
        <w:t>,</w:t>
      </w:r>
      <w:r w:rsidRPr="00C05E71">
        <w:rPr>
          <w:rFonts w:asciiTheme="majorHAnsi" w:eastAsia="Calibri" w:hAnsiTheme="majorHAnsi" w:cstheme="majorHAnsi"/>
          <w:noProof/>
          <w:color w:val="000000" w:themeColor="text1"/>
          <w:sz w:val="24"/>
          <w:szCs w:val="24"/>
          <w:lang w:val="ro-MD"/>
        </w:rPr>
        <w:t xml:space="preserve"> și</w:t>
      </w:r>
      <w:r w:rsidR="00C33C94" w:rsidRPr="00C05E71">
        <w:rPr>
          <w:rFonts w:asciiTheme="majorHAnsi" w:eastAsia="Calibri" w:hAnsiTheme="majorHAnsi" w:cstheme="majorHAnsi"/>
          <w:noProof/>
          <w:color w:val="000000" w:themeColor="text1"/>
          <w:sz w:val="24"/>
          <w:szCs w:val="24"/>
          <w:lang w:val="ro-MD"/>
        </w:rPr>
        <w:t>, respectiv,</w:t>
      </w:r>
      <w:r w:rsidRPr="00C05E71">
        <w:rPr>
          <w:rFonts w:asciiTheme="majorHAnsi" w:eastAsia="Calibri" w:hAnsiTheme="majorHAnsi" w:cstheme="majorHAnsi"/>
          <w:noProof/>
          <w:color w:val="000000" w:themeColor="text1"/>
          <w:sz w:val="24"/>
          <w:szCs w:val="24"/>
          <w:lang w:val="ro-MD"/>
        </w:rPr>
        <w:t xml:space="preserve"> a contului 319 „Investiții capitale în active în curs de execuție” </w:t>
      </w:r>
      <w:r w:rsidR="00C33C94" w:rsidRPr="00C05E71">
        <w:rPr>
          <w:rFonts w:asciiTheme="majorHAnsi" w:eastAsia="Calibri" w:hAnsiTheme="majorHAnsi" w:cstheme="majorHAnsi"/>
          <w:noProof/>
          <w:color w:val="000000" w:themeColor="text1"/>
          <w:sz w:val="24"/>
          <w:szCs w:val="24"/>
          <w:lang w:val="ro-MD"/>
        </w:rPr>
        <w:t xml:space="preserve">- </w:t>
      </w:r>
      <w:r w:rsidRPr="00C05E71">
        <w:rPr>
          <w:rFonts w:asciiTheme="majorHAnsi" w:eastAsia="Calibri" w:hAnsiTheme="majorHAnsi" w:cstheme="majorHAnsi"/>
          <w:noProof/>
          <w:color w:val="000000" w:themeColor="text1"/>
          <w:sz w:val="24"/>
          <w:szCs w:val="24"/>
          <w:lang w:val="ro-MD"/>
        </w:rPr>
        <w:t xml:space="preserve">cu suma de </w:t>
      </w:r>
      <w:r w:rsidRPr="00C05E71">
        <w:rPr>
          <w:rFonts w:asciiTheme="majorHAnsi" w:eastAsia="Calibri" w:hAnsiTheme="majorHAnsi" w:cstheme="majorHAnsi"/>
          <w:b/>
          <w:noProof/>
          <w:color w:val="000000" w:themeColor="text1"/>
          <w:sz w:val="24"/>
          <w:szCs w:val="24"/>
          <w:lang w:val="ro-MD"/>
        </w:rPr>
        <w:t>37</w:t>
      </w:r>
      <w:r w:rsidR="00DC7063" w:rsidRPr="00C05E71">
        <w:rPr>
          <w:rFonts w:asciiTheme="majorHAnsi" w:eastAsia="Calibri" w:hAnsiTheme="majorHAnsi" w:cstheme="majorHAnsi"/>
          <w:b/>
          <w:noProof/>
          <w:color w:val="000000" w:themeColor="text1"/>
          <w:sz w:val="24"/>
          <w:szCs w:val="24"/>
          <w:lang w:val="ro-MD"/>
        </w:rPr>
        <w:t xml:space="preserve"> </w:t>
      </w:r>
      <w:r w:rsidRPr="00C05E71">
        <w:rPr>
          <w:rFonts w:asciiTheme="majorHAnsi" w:eastAsia="Calibri" w:hAnsiTheme="majorHAnsi" w:cstheme="majorHAnsi"/>
          <w:b/>
          <w:noProof/>
          <w:color w:val="000000" w:themeColor="text1"/>
          <w:sz w:val="24"/>
          <w:szCs w:val="24"/>
          <w:lang w:val="ro-MD"/>
        </w:rPr>
        <w:t>354,5 mii lei</w:t>
      </w:r>
      <w:r w:rsidRPr="00C05E71">
        <w:rPr>
          <w:rFonts w:asciiTheme="majorHAnsi" w:hAnsiTheme="majorHAnsi" w:cstheme="majorHAnsi"/>
          <w:noProof/>
          <w:color w:val="000000" w:themeColor="text1"/>
          <w:sz w:val="24"/>
          <w:szCs w:val="24"/>
          <w:vertAlign w:val="superscript"/>
          <w:lang w:val="ro-MD"/>
        </w:rPr>
        <w:footnoteReference w:id="8"/>
      </w:r>
      <w:r w:rsidRPr="00C05E71">
        <w:rPr>
          <w:rFonts w:asciiTheme="majorHAnsi" w:eastAsia="Calibri" w:hAnsiTheme="majorHAnsi" w:cstheme="majorHAnsi"/>
          <w:b/>
          <w:noProof/>
          <w:color w:val="000000" w:themeColor="text1"/>
          <w:sz w:val="24"/>
          <w:szCs w:val="24"/>
          <w:lang w:val="ro-MD"/>
        </w:rPr>
        <w:t>.</w:t>
      </w:r>
    </w:p>
    <w:p w14:paraId="52EF3143" w14:textId="485BB64A" w:rsidR="00E75C37" w:rsidRPr="00C05E71" w:rsidRDefault="002F3BB2" w:rsidP="00C05E71">
      <w:pPr>
        <w:pStyle w:val="ListParagraph"/>
        <w:spacing w:after="0" w:line="276" w:lineRule="auto"/>
        <w:ind w:left="35"/>
        <w:jc w:val="both"/>
        <w:rPr>
          <w:rFonts w:asciiTheme="majorHAnsi" w:eastAsia="Calibri" w:hAnsiTheme="majorHAnsi" w:cstheme="majorHAnsi"/>
          <w:noProof/>
          <w:color w:val="000000" w:themeColor="text1"/>
          <w:sz w:val="24"/>
          <w:szCs w:val="24"/>
          <w:lang w:val="ro-MD"/>
        </w:rPr>
      </w:pPr>
      <w:r w:rsidRPr="00C05E71">
        <w:rPr>
          <w:rFonts w:asciiTheme="majorHAnsi" w:eastAsia="Calibri" w:hAnsiTheme="majorHAnsi" w:cstheme="majorHAnsi"/>
          <w:noProof/>
          <w:color w:val="000000" w:themeColor="text1"/>
          <w:sz w:val="24"/>
          <w:szCs w:val="24"/>
          <w:lang w:val="ro-MD"/>
        </w:rPr>
        <w:t xml:space="preserve">Netransmiterea </w:t>
      </w:r>
      <w:r w:rsidR="00911844" w:rsidRPr="00C05E71">
        <w:rPr>
          <w:rFonts w:asciiTheme="majorHAnsi" w:eastAsia="Calibri" w:hAnsiTheme="majorHAnsi" w:cstheme="majorHAnsi"/>
          <w:noProof/>
          <w:color w:val="000000" w:themeColor="text1"/>
          <w:sz w:val="24"/>
          <w:szCs w:val="24"/>
          <w:lang w:val="ro-MD"/>
        </w:rPr>
        <w:t xml:space="preserve">către </w:t>
      </w:r>
      <w:r w:rsidRPr="00C05E71">
        <w:rPr>
          <w:rFonts w:asciiTheme="majorHAnsi" w:eastAsia="Calibri" w:hAnsiTheme="majorHAnsi" w:cstheme="majorHAnsi"/>
          <w:noProof/>
          <w:color w:val="000000" w:themeColor="text1"/>
          <w:sz w:val="24"/>
          <w:szCs w:val="24"/>
          <w:lang w:val="ro-MD"/>
        </w:rPr>
        <w:t>beneficiar</w:t>
      </w:r>
      <w:r w:rsidR="00911844" w:rsidRPr="00C05E71">
        <w:rPr>
          <w:rFonts w:asciiTheme="majorHAnsi" w:eastAsia="Calibri" w:hAnsiTheme="majorHAnsi" w:cstheme="majorHAnsi"/>
          <w:noProof/>
          <w:color w:val="000000" w:themeColor="text1"/>
          <w:sz w:val="24"/>
          <w:szCs w:val="24"/>
          <w:lang w:val="ro-MD"/>
        </w:rPr>
        <w:t xml:space="preserve"> </w:t>
      </w:r>
      <w:r w:rsidRPr="00C05E71">
        <w:rPr>
          <w:rFonts w:asciiTheme="majorHAnsi" w:eastAsia="Calibri" w:hAnsiTheme="majorHAnsi" w:cstheme="majorHAnsi"/>
          <w:noProof/>
          <w:color w:val="000000" w:themeColor="text1"/>
          <w:sz w:val="24"/>
          <w:szCs w:val="24"/>
          <w:lang w:val="ro-MD"/>
        </w:rPr>
        <w:t>a valorii reparațiilor capitale ale drumurilor, executate în anul 2018</w:t>
      </w:r>
      <w:r w:rsidR="00911844" w:rsidRPr="00C05E71">
        <w:rPr>
          <w:rFonts w:asciiTheme="majorHAnsi" w:eastAsia="Calibri" w:hAnsiTheme="majorHAnsi" w:cstheme="majorHAnsi"/>
          <w:noProof/>
          <w:color w:val="000000" w:themeColor="text1"/>
          <w:sz w:val="24"/>
          <w:szCs w:val="24"/>
          <w:lang w:val="ro-MD"/>
        </w:rPr>
        <w:t>,</w:t>
      </w:r>
      <w:r w:rsidRPr="00C05E71">
        <w:rPr>
          <w:rFonts w:asciiTheme="majorHAnsi" w:eastAsia="Calibri" w:hAnsiTheme="majorHAnsi" w:cstheme="majorHAnsi"/>
          <w:noProof/>
          <w:color w:val="000000" w:themeColor="text1"/>
          <w:sz w:val="24"/>
          <w:szCs w:val="24"/>
          <w:lang w:val="ro-MD"/>
        </w:rPr>
        <w:t xml:space="preserve"> în valoare de </w:t>
      </w:r>
      <w:r w:rsidRPr="00C05E71">
        <w:rPr>
          <w:rFonts w:asciiTheme="majorHAnsi" w:eastAsia="Calibri" w:hAnsiTheme="majorHAnsi" w:cstheme="majorHAnsi"/>
          <w:b/>
          <w:noProof/>
          <w:color w:val="000000" w:themeColor="text1"/>
          <w:sz w:val="24"/>
          <w:szCs w:val="24"/>
          <w:lang w:val="ro-MD"/>
        </w:rPr>
        <w:t>22</w:t>
      </w:r>
      <w:r w:rsidR="00DC7063" w:rsidRPr="00C05E71">
        <w:rPr>
          <w:rFonts w:asciiTheme="majorHAnsi" w:eastAsia="Calibri" w:hAnsiTheme="majorHAnsi" w:cstheme="majorHAnsi"/>
          <w:b/>
          <w:noProof/>
          <w:color w:val="000000" w:themeColor="text1"/>
          <w:sz w:val="24"/>
          <w:szCs w:val="24"/>
          <w:lang w:val="ro-MD"/>
        </w:rPr>
        <w:t xml:space="preserve"> </w:t>
      </w:r>
      <w:r w:rsidRPr="00C05E71">
        <w:rPr>
          <w:rFonts w:asciiTheme="majorHAnsi" w:eastAsia="Calibri" w:hAnsiTheme="majorHAnsi" w:cstheme="majorHAnsi"/>
          <w:b/>
          <w:noProof/>
          <w:color w:val="000000" w:themeColor="text1"/>
          <w:sz w:val="24"/>
          <w:szCs w:val="24"/>
          <w:lang w:val="ro-MD"/>
        </w:rPr>
        <w:t>254,8 mii lei</w:t>
      </w:r>
      <w:r w:rsidRPr="00C05E71">
        <w:rPr>
          <w:rFonts w:asciiTheme="majorHAnsi" w:eastAsia="Calibri" w:hAnsiTheme="majorHAnsi" w:cstheme="majorHAnsi"/>
          <w:noProof/>
          <w:color w:val="000000" w:themeColor="text1"/>
          <w:sz w:val="24"/>
          <w:szCs w:val="24"/>
          <w:lang w:val="ro-MD"/>
        </w:rPr>
        <w:t xml:space="preserve">, a condiționat și necalcularea uzurii acestora în perioada </w:t>
      </w:r>
      <w:r w:rsidR="00911844" w:rsidRPr="00C05E71">
        <w:rPr>
          <w:rFonts w:asciiTheme="majorHAnsi" w:eastAsia="Calibri" w:hAnsiTheme="majorHAnsi" w:cstheme="majorHAnsi"/>
          <w:noProof/>
          <w:color w:val="000000" w:themeColor="text1"/>
          <w:sz w:val="24"/>
          <w:szCs w:val="24"/>
          <w:lang w:val="ro-MD"/>
        </w:rPr>
        <w:t xml:space="preserve">anilor </w:t>
      </w:r>
      <w:r w:rsidR="00F471FB" w:rsidRPr="00C05E71">
        <w:rPr>
          <w:rFonts w:asciiTheme="majorHAnsi" w:eastAsia="Calibri" w:hAnsiTheme="majorHAnsi" w:cstheme="majorHAnsi"/>
          <w:noProof/>
          <w:color w:val="000000" w:themeColor="text1"/>
          <w:sz w:val="24"/>
          <w:szCs w:val="24"/>
          <w:lang w:val="ro-MD"/>
        </w:rPr>
        <w:t>2019</w:t>
      </w:r>
      <w:r w:rsidRPr="00C05E71">
        <w:rPr>
          <w:rFonts w:asciiTheme="majorHAnsi" w:eastAsia="Calibri" w:hAnsiTheme="majorHAnsi" w:cstheme="majorHAnsi"/>
          <w:noProof/>
          <w:color w:val="000000" w:themeColor="text1"/>
          <w:sz w:val="24"/>
          <w:szCs w:val="24"/>
          <w:lang w:val="ro-MD"/>
        </w:rPr>
        <w:t xml:space="preserve">-2020, astfel </w:t>
      </w:r>
      <w:r w:rsidR="00911844" w:rsidRPr="00C05E71">
        <w:rPr>
          <w:rFonts w:asciiTheme="majorHAnsi" w:eastAsia="Calibri" w:hAnsiTheme="majorHAnsi" w:cstheme="majorHAnsi"/>
          <w:noProof/>
          <w:color w:val="000000" w:themeColor="text1"/>
          <w:sz w:val="24"/>
          <w:szCs w:val="24"/>
          <w:lang w:val="ro-MD"/>
        </w:rPr>
        <w:t xml:space="preserve">fiind </w:t>
      </w:r>
      <w:r w:rsidRPr="00C05E71">
        <w:rPr>
          <w:rFonts w:asciiTheme="majorHAnsi" w:eastAsia="Calibri" w:hAnsiTheme="majorHAnsi" w:cstheme="majorHAnsi"/>
          <w:noProof/>
          <w:color w:val="000000" w:themeColor="text1"/>
          <w:sz w:val="24"/>
          <w:szCs w:val="24"/>
          <w:lang w:val="ro-MD"/>
        </w:rPr>
        <w:t>subeval</w:t>
      </w:r>
      <w:r w:rsidR="00911844" w:rsidRPr="00C05E71">
        <w:rPr>
          <w:rFonts w:asciiTheme="majorHAnsi" w:eastAsia="Calibri" w:hAnsiTheme="majorHAnsi" w:cstheme="majorHAnsi"/>
          <w:noProof/>
          <w:color w:val="000000" w:themeColor="text1"/>
          <w:sz w:val="24"/>
          <w:szCs w:val="24"/>
          <w:lang w:val="ro-MD"/>
        </w:rPr>
        <w:t>uată</w:t>
      </w:r>
      <w:r w:rsidRPr="00C05E71">
        <w:rPr>
          <w:rFonts w:asciiTheme="majorHAnsi" w:eastAsia="Calibri" w:hAnsiTheme="majorHAnsi" w:cstheme="majorHAnsi"/>
          <w:noProof/>
          <w:color w:val="000000" w:themeColor="text1"/>
          <w:sz w:val="24"/>
          <w:szCs w:val="24"/>
          <w:lang w:val="ro-MD"/>
        </w:rPr>
        <w:t xml:space="preserve"> valoarea contului </w:t>
      </w:r>
      <w:r w:rsidRPr="00C05E71">
        <w:rPr>
          <w:rFonts w:asciiTheme="majorHAnsi" w:eastAsia="Calibri" w:hAnsiTheme="majorHAnsi" w:cstheme="majorHAnsi"/>
          <w:b/>
          <w:noProof/>
          <w:color w:val="000000" w:themeColor="text1"/>
          <w:sz w:val="24"/>
          <w:szCs w:val="24"/>
          <w:lang w:val="ro-MD"/>
        </w:rPr>
        <w:t>391</w:t>
      </w:r>
      <w:r w:rsidRPr="00C05E71">
        <w:rPr>
          <w:rFonts w:asciiTheme="majorHAnsi" w:eastAsia="Calibri" w:hAnsiTheme="majorHAnsi" w:cstheme="majorHAnsi"/>
          <w:noProof/>
          <w:color w:val="000000" w:themeColor="text1"/>
          <w:sz w:val="24"/>
          <w:szCs w:val="24"/>
          <w:lang w:val="ro-MD"/>
        </w:rPr>
        <w:t xml:space="preserve"> „Uzura mijloacelor fixe”</w:t>
      </w:r>
      <w:r w:rsidRPr="00C05E71">
        <w:rPr>
          <w:rFonts w:asciiTheme="majorHAnsi" w:eastAsia="Calibri" w:hAnsiTheme="majorHAnsi" w:cstheme="majorHAnsi"/>
          <w:noProof/>
          <w:color w:val="000000" w:themeColor="text1"/>
          <w:sz w:val="24"/>
          <w:szCs w:val="24"/>
          <w:vertAlign w:val="superscript"/>
          <w:lang w:val="ro-MD"/>
        </w:rPr>
        <w:footnoteReference w:id="9"/>
      </w:r>
      <w:r w:rsidRPr="00C05E71">
        <w:rPr>
          <w:rFonts w:asciiTheme="majorHAnsi" w:eastAsia="Calibri" w:hAnsiTheme="majorHAnsi" w:cstheme="majorHAnsi"/>
          <w:noProof/>
          <w:color w:val="000000" w:themeColor="text1"/>
          <w:sz w:val="24"/>
          <w:szCs w:val="24"/>
          <w:lang w:val="ro-MD"/>
        </w:rPr>
        <w:t xml:space="preserve"> cu circa </w:t>
      </w:r>
      <w:r w:rsidR="00F471FB" w:rsidRPr="00C05E71">
        <w:rPr>
          <w:rFonts w:asciiTheme="majorHAnsi" w:eastAsia="Calibri" w:hAnsiTheme="majorHAnsi" w:cstheme="majorHAnsi"/>
          <w:b/>
          <w:noProof/>
          <w:color w:val="000000" w:themeColor="text1"/>
          <w:sz w:val="24"/>
          <w:szCs w:val="24"/>
          <w:lang w:val="ro-MD"/>
        </w:rPr>
        <w:t>2</w:t>
      </w:r>
      <w:r w:rsidR="00DC7063" w:rsidRPr="00C05E71">
        <w:rPr>
          <w:rFonts w:asciiTheme="majorHAnsi" w:eastAsia="Calibri" w:hAnsiTheme="majorHAnsi" w:cstheme="majorHAnsi"/>
          <w:b/>
          <w:noProof/>
          <w:color w:val="000000" w:themeColor="text1"/>
          <w:sz w:val="24"/>
          <w:szCs w:val="24"/>
          <w:lang w:val="ro-MD"/>
        </w:rPr>
        <w:t xml:space="preserve"> </w:t>
      </w:r>
      <w:r w:rsidR="0020031F" w:rsidRPr="00C05E71">
        <w:rPr>
          <w:rFonts w:asciiTheme="majorHAnsi" w:eastAsia="Calibri" w:hAnsiTheme="majorHAnsi" w:cstheme="majorHAnsi"/>
          <w:b/>
          <w:noProof/>
          <w:color w:val="000000" w:themeColor="text1"/>
          <w:sz w:val="24"/>
          <w:szCs w:val="24"/>
          <w:lang w:val="ro-MD"/>
        </w:rPr>
        <w:lastRenderedPageBreak/>
        <w:t xml:space="preserve">781,8 </w:t>
      </w:r>
      <w:r w:rsidRPr="00C05E71">
        <w:rPr>
          <w:rFonts w:asciiTheme="majorHAnsi" w:eastAsia="Calibri" w:hAnsiTheme="majorHAnsi" w:cstheme="majorHAnsi"/>
          <w:b/>
          <w:noProof/>
          <w:color w:val="000000" w:themeColor="text1"/>
          <w:sz w:val="24"/>
          <w:szCs w:val="24"/>
          <w:lang w:val="ro-MD"/>
        </w:rPr>
        <w:t>mii lei</w:t>
      </w:r>
      <w:r w:rsidRPr="00C05E71">
        <w:rPr>
          <w:rFonts w:asciiTheme="majorHAnsi" w:eastAsia="Calibri" w:hAnsiTheme="majorHAnsi" w:cstheme="majorHAnsi"/>
          <w:noProof/>
          <w:color w:val="000000" w:themeColor="text1"/>
          <w:sz w:val="24"/>
          <w:szCs w:val="24"/>
          <w:lang w:val="ro-MD"/>
        </w:rPr>
        <w:t xml:space="preserve">, </w:t>
      </w:r>
      <w:r w:rsidR="00504AB1" w:rsidRPr="00C05E71">
        <w:rPr>
          <w:rFonts w:asciiTheme="majorHAnsi" w:eastAsia="Calibri" w:hAnsiTheme="majorHAnsi" w:cstheme="majorHAnsi"/>
          <w:noProof/>
          <w:color w:val="000000" w:themeColor="text1"/>
          <w:sz w:val="24"/>
          <w:szCs w:val="24"/>
          <w:lang w:val="ro-MD"/>
        </w:rPr>
        <w:t>a</w:t>
      </w:r>
      <w:r w:rsidRPr="00C05E71">
        <w:rPr>
          <w:rFonts w:asciiTheme="majorHAnsi" w:eastAsia="Calibri" w:hAnsiTheme="majorHAnsi" w:cstheme="majorHAnsi"/>
          <w:noProof/>
          <w:color w:val="000000" w:themeColor="text1"/>
          <w:sz w:val="24"/>
          <w:szCs w:val="24"/>
          <w:lang w:val="ro-MD"/>
        </w:rPr>
        <w:t xml:space="preserve"> contului </w:t>
      </w:r>
      <w:r w:rsidRPr="00C05E71">
        <w:rPr>
          <w:rFonts w:asciiTheme="majorHAnsi" w:eastAsia="Calibri" w:hAnsiTheme="majorHAnsi" w:cstheme="majorHAnsi"/>
          <w:b/>
          <w:noProof/>
          <w:color w:val="000000" w:themeColor="text1"/>
          <w:sz w:val="24"/>
          <w:szCs w:val="24"/>
          <w:lang w:val="ro-MD"/>
        </w:rPr>
        <w:t>231200</w:t>
      </w:r>
      <w:r w:rsidRPr="00C05E71">
        <w:rPr>
          <w:rFonts w:asciiTheme="majorHAnsi" w:eastAsia="Calibri" w:hAnsiTheme="majorHAnsi" w:cstheme="majorHAnsi"/>
          <w:noProof/>
          <w:color w:val="000000" w:themeColor="text1"/>
          <w:sz w:val="24"/>
          <w:szCs w:val="24"/>
          <w:lang w:val="ro-MD"/>
        </w:rPr>
        <w:t xml:space="preserve"> „Cheltuieli privind uzura construcțiilor speciale”</w:t>
      </w:r>
      <w:r w:rsidR="00A87B46" w:rsidRPr="00C05E71">
        <w:rPr>
          <w:rFonts w:asciiTheme="majorHAnsi" w:eastAsia="Calibri" w:hAnsiTheme="majorHAnsi" w:cstheme="majorHAnsi"/>
          <w:noProof/>
          <w:color w:val="000000" w:themeColor="text1"/>
          <w:sz w:val="24"/>
          <w:szCs w:val="24"/>
          <w:lang w:val="ro-MD"/>
        </w:rPr>
        <w:t xml:space="preserve"> </w:t>
      </w:r>
      <w:r w:rsidR="007814C6" w:rsidRPr="00C05E71">
        <w:rPr>
          <w:rFonts w:asciiTheme="majorHAnsi" w:eastAsia="Calibri" w:hAnsiTheme="majorHAnsi" w:cstheme="majorHAnsi"/>
          <w:noProof/>
          <w:color w:val="000000" w:themeColor="text1"/>
          <w:sz w:val="24"/>
          <w:szCs w:val="24"/>
          <w:lang w:val="ro-MD"/>
        </w:rPr>
        <w:t xml:space="preserve">– cu </w:t>
      </w:r>
      <w:r w:rsidR="0020031F" w:rsidRPr="00C05E71">
        <w:rPr>
          <w:rFonts w:asciiTheme="majorHAnsi" w:eastAsia="Calibri" w:hAnsiTheme="majorHAnsi" w:cstheme="majorHAnsi"/>
          <w:noProof/>
          <w:color w:val="FF0000"/>
          <w:sz w:val="24"/>
          <w:szCs w:val="24"/>
          <w:lang w:val="ro-MD"/>
        </w:rPr>
        <w:t xml:space="preserve"> </w:t>
      </w:r>
      <w:r w:rsidR="0020031F" w:rsidRPr="00C05E71">
        <w:rPr>
          <w:rFonts w:asciiTheme="majorHAnsi" w:eastAsia="Calibri" w:hAnsiTheme="majorHAnsi" w:cstheme="majorHAnsi"/>
          <w:b/>
          <w:noProof/>
          <w:sz w:val="24"/>
          <w:szCs w:val="24"/>
          <w:lang w:val="ro-MD"/>
        </w:rPr>
        <w:t>1390,9</w:t>
      </w:r>
      <w:r w:rsidR="00472F3A" w:rsidRPr="00C05E71">
        <w:rPr>
          <w:rFonts w:asciiTheme="majorHAnsi" w:eastAsia="Calibri" w:hAnsiTheme="majorHAnsi" w:cstheme="majorHAnsi"/>
          <w:noProof/>
          <w:sz w:val="24"/>
          <w:szCs w:val="24"/>
          <w:lang w:val="ro-MD"/>
        </w:rPr>
        <w:t xml:space="preserve"> </w:t>
      </w:r>
      <w:r w:rsidR="006D47CF" w:rsidRPr="00C05E71">
        <w:rPr>
          <w:rFonts w:asciiTheme="majorHAnsi" w:eastAsia="Calibri" w:hAnsiTheme="majorHAnsi" w:cstheme="majorHAnsi"/>
          <w:noProof/>
          <w:sz w:val="24"/>
          <w:szCs w:val="24"/>
          <w:lang w:val="ro-MD"/>
        </w:rPr>
        <w:t>și</w:t>
      </w:r>
      <w:r w:rsidR="00911844" w:rsidRPr="00C05E71">
        <w:rPr>
          <w:rFonts w:asciiTheme="majorHAnsi" w:eastAsia="Calibri" w:hAnsiTheme="majorHAnsi" w:cstheme="majorHAnsi"/>
          <w:noProof/>
          <w:color w:val="000000" w:themeColor="text1"/>
          <w:sz w:val="24"/>
          <w:szCs w:val="24"/>
          <w:lang w:val="ro-MD"/>
        </w:rPr>
        <w:t>,</w:t>
      </w:r>
      <w:r w:rsidR="006D47CF" w:rsidRPr="00C05E71">
        <w:rPr>
          <w:rFonts w:asciiTheme="majorHAnsi" w:eastAsia="Calibri" w:hAnsiTheme="majorHAnsi" w:cstheme="majorHAnsi"/>
          <w:noProof/>
          <w:color w:val="000000" w:themeColor="text1"/>
          <w:sz w:val="24"/>
          <w:szCs w:val="24"/>
          <w:lang w:val="ro-MD"/>
        </w:rPr>
        <w:t xml:space="preserve"> respectiv</w:t>
      </w:r>
      <w:r w:rsidR="00911844" w:rsidRPr="00C05E71">
        <w:rPr>
          <w:rFonts w:asciiTheme="majorHAnsi" w:eastAsia="Calibri" w:hAnsiTheme="majorHAnsi" w:cstheme="majorHAnsi"/>
          <w:noProof/>
          <w:color w:val="000000" w:themeColor="text1"/>
          <w:sz w:val="24"/>
          <w:szCs w:val="24"/>
          <w:lang w:val="ro-MD"/>
        </w:rPr>
        <w:t>,</w:t>
      </w:r>
      <w:r w:rsidR="006D47CF" w:rsidRPr="00C05E71">
        <w:rPr>
          <w:rFonts w:asciiTheme="majorHAnsi" w:eastAsia="Calibri" w:hAnsiTheme="majorHAnsi" w:cstheme="majorHAnsi"/>
          <w:noProof/>
          <w:color w:val="000000" w:themeColor="text1"/>
          <w:sz w:val="24"/>
          <w:szCs w:val="24"/>
          <w:lang w:val="ro-MD"/>
        </w:rPr>
        <w:t xml:space="preserve"> a contului </w:t>
      </w:r>
      <w:r w:rsidR="006D47CF" w:rsidRPr="00C05E71">
        <w:rPr>
          <w:rFonts w:asciiTheme="majorHAnsi" w:eastAsia="Calibri" w:hAnsiTheme="majorHAnsi" w:cstheme="majorHAnsi"/>
          <w:b/>
          <w:noProof/>
          <w:color w:val="000000" w:themeColor="text1"/>
          <w:sz w:val="24"/>
          <w:szCs w:val="24"/>
          <w:lang w:val="ro-MD"/>
        </w:rPr>
        <w:t>721</w:t>
      </w:r>
      <w:r w:rsidR="006D47CF" w:rsidRPr="00C05E71">
        <w:rPr>
          <w:rFonts w:asciiTheme="majorHAnsi" w:eastAsia="Calibri" w:hAnsiTheme="majorHAnsi" w:cstheme="majorHAnsi"/>
          <w:noProof/>
          <w:color w:val="000000" w:themeColor="text1"/>
          <w:sz w:val="24"/>
          <w:szCs w:val="24"/>
          <w:lang w:val="ro-MD"/>
        </w:rPr>
        <w:t xml:space="preserve"> „Rezultatul financiar al autorității/instituției bugetare din anul curent” - </w:t>
      </w:r>
      <w:r w:rsidRPr="00C05E71">
        <w:rPr>
          <w:rFonts w:asciiTheme="majorHAnsi" w:eastAsia="Calibri" w:hAnsiTheme="majorHAnsi" w:cstheme="majorHAnsi"/>
          <w:noProof/>
          <w:color w:val="000000" w:themeColor="text1"/>
          <w:sz w:val="24"/>
          <w:szCs w:val="24"/>
          <w:lang w:val="ro-MD"/>
        </w:rPr>
        <w:t xml:space="preserve">cu suma de circa </w:t>
      </w:r>
      <w:r w:rsidRPr="00C05E71">
        <w:rPr>
          <w:rFonts w:asciiTheme="majorHAnsi" w:eastAsia="Calibri" w:hAnsiTheme="majorHAnsi" w:cstheme="majorHAnsi"/>
          <w:b/>
          <w:noProof/>
          <w:color w:val="000000" w:themeColor="text1"/>
          <w:sz w:val="24"/>
          <w:szCs w:val="24"/>
          <w:lang w:val="ro-MD"/>
        </w:rPr>
        <w:t>1</w:t>
      </w:r>
      <w:r w:rsidR="00DC7063" w:rsidRPr="00C05E71">
        <w:rPr>
          <w:rFonts w:asciiTheme="majorHAnsi" w:eastAsia="Calibri" w:hAnsiTheme="majorHAnsi" w:cstheme="majorHAnsi"/>
          <w:b/>
          <w:noProof/>
          <w:color w:val="000000" w:themeColor="text1"/>
          <w:sz w:val="24"/>
          <w:szCs w:val="24"/>
          <w:lang w:val="ro-MD"/>
        </w:rPr>
        <w:t xml:space="preserve"> </w:t>
      </w:r>
      <w:r w:rsidR="0020031F" w:rsidRPr="00C05E71">
        <w:rPr>
          <w:rFonts w:asciiTheme="majorHAnsi" w:eastAsia="Calibri" w:hAnsiTheme="majorHAnsi" w:cstheme="majorHAnsi"/>
          <w:b/>
          <w:noProof/>
          <w:color w:val="000000" w:themeColor="text1"/>
          <w:sz w:val="24"/>
          <w:szCs w:val="24"/>
          <w:lang w:val="ro-MD"/>
        </w:rPr>
        <w:t>390</w:t>
      </w:r>
      <w:r w:rsidRPr="00C05E71">
        <w:rPr>
          <w:rFonts w:asciiTheme="majorHAnsi" w:eastAsia="Calibri" w:hAnsiTheme="majorHAnsi" w:cstheme="majorHAnsi"/>
          <w:b/>
          <w:noProof/>
          <w:color w:val="000000" w:themeColor="text1"/>
          <w:sz w:val="24"/>
          <w:szCs w:val="24"/>
          <w:lang w:val="ro-MD"/>
        </w:rPr>
        <w:t>,9 mii lei</w:t>
      </w:r>
      <w:r w:rsidRPr="00C05E71">
        <w:rPr>
          <w:rFonts w:asciiTheme="majorHAnsi" w:eastAsia="Calibri" w:hAnsiTheme="majorHAnsi" w:cstheme="majorHAnsi"/>
          <w:noProof/>
          <w:color w:val="000000" w:themeColor="text1"/>
          <w:sz w:val="24"/>
          <w:szCs w:val="24"/>
          <w:lang w:val="ro-MD"/>
        </w:rPr>
        <w:t xml:space="preserve"> (uzura calculată pentru anul 2020)</w:t>
      </w:r>
      <w:r w:rsidR="00911844" w:rsidRPr="00C05E71">
        <w:rPr>
          <w:rFonts w:asciiTheme="majorHAnsi" w:eastAsia="Calibri" w:hAnsiTheme="majorHAnsi" w:cstheme="majorHAnsi"/>
          <w:noProof/>
          <w:color w:val="000000" w:themeColor="text1"/>
          <w:sz w:val="24"/>
          <w:szCs w:val="24"/>
          <w:lang w:val="ro-MD"/>
        </w:rPr>
        <w:t>,</w:t>
      </w:r>
      <w:r w:rsidRPr="00C05E71">
        <w:rPr>
          <w:rFonts w:asciiTheme="majorHAnsi" w:eastAsia="Calibri" w:hAnsiTheme="majorHAnsi" w:cstheme="majorHAnsi"/>
          <w:noProof/>
          <w:color w:val="000000" w:themeColor="text1"/>
          <w:sz w:val="24"/>
          <w:szCs w:val="24"/>
          <w:lang w:val="ro-MD"/>
        </w:rPr>
        <w:t xml:space="preserve"> și a contului </w:t>
      </w:r>
      <w:r w:rsidRPr="00C05E71">
        <w:rPr>
          <w:rFonts w:asciiTheme="majorHAnsi" w:eastAsia="Calibri" w:hAnsiTheme="majorHAnsi" w:cstheme="majorHAnsi"/>
          <w:b/>
          <w:noProof/>
          <w:color w:val="000000" w:themeColor="text1"/>
          <w:sz w:val="24"/>
          <w:szCs w:val="24"/>
          <w:lang w:val="ro-MD"/>
        </w:rPr>
        <w:t>722</w:t>
      </w:r>
      <w:r w:rsidRPr="00C05E71">
        <w:rPr>
          <w:rFonts w:asciiTheme="majorHAnsi" w:eastAsia="Calibri" w:hAnsiTheme="majorHAnsi" w:cstheme="majorHAnsi"/>
          <w:noProof/>
          <w:color w:val="000000" w:themeColor="text1"/>
          <w:sz w:val="24"/>
          <w:szCs w:val="24"/>
          <w:lang w:val="ro-MD"/>
        </w:rPr>
        <w:t xml:space="preserve"> „Rezultatul financiar al instituției publice din anii precedenți” – cu suma de circa </w:t>
      </w:r>
      <w:r w:rsidRPr="00C05E71">
        <w:rPr>
          <w:rFonts w:asciiTheme="majorHAnsi" w:eastAsia="Calibri" w:hAnsiTheme="majorHAnsi" w:cstheme="majorHAnsi"/>
          <w:b/>
          <w:noProof/>
          <w:color w:val="000000" w:themeColor="text1"/>
          <w:sz w:val="24"/>
          <w:szCs w:val="24"/>
          <w:lang w:val="ro-MD"/>
        </w:rPr>
        <w:t>1</w:t>
      </w:r>
      <w:r w:rsidR="00DC7063" w:rsidRPr="00C05E71">
        <w:rPr>
          <w:rFonts w:asciiTheme="majorHAnsi" w:eastAsia="Calibri" w:hAnsiTheme="majorHAnsi" w:cstheme="majorHAnsi"/>
          <w:b/>
          <w:noProof/>
          <w:color w:val="000000" w:themeColor="text1"/>
          <w:sz w:val="24"/>
          <w:szCs w:val="24"/>
          <w:lang w:val="ro-MD"/>
        </w:rPr>
        <w:t xml:space="preserve"> </w:t>
      </w:r>
      <w:r w:rsidRPr="00C05E71">
        <w:rPr>
          <w:rFonts w:asciiTheme="majorHAnsi" w:eastAsia="Calibri" w:hAnsiTheme="majorHAnsi" w:cstheme="majorHAnsi"/>
          <w:b/>
          <w:noProof/>
          <w:color w:val="000000" w:themeColor="text1"/>
          <w:sz w:val="24"/>
          <w:szCs w:val="24"/>
          <w:lang w:val="ro-MD"/>
        </w:rPr>
        <w:t>3</w:t>
      </w:r>
      <w:r w:rsidR="0020031F" w:rsidRPr="00C05E71">
        <w:rPr>
          <w:rFonts w:asciiTheme="majorHAnsi" w:eastAsia="Calibri" w:hAnsiTheme="majorHAnsi" w:cstheme="majorHAnsi"/>
          <w:b/>
          <w:noProof/>
          <w:color w:val="000000" w:themeColor="text1"/>
          <w:sz w:val="24"/>
          <w:szCs w:val="24"/>
          <w:lang w:val="ro-MD"/>
        </w:rPr>
        <w:t>90</w:t>
      </w:r>
      <w:r w:rsidRPr="00C05E71">
        <w:rPr>
          <w:rFonts w:asciiTheme="majorHAnsi" w:eastAsia="Calibri" w:hAnsiTheme="majorHAnsi" w:cstheme="majorHAnsi"/>
          <w:b/>
          <w:noProof/>
          <w:color w:val="000000" w:themeColor="text1"/>
          <w:sz w:val="24"/>
          <w:szCs w:val="24"/>
          <w:lang w:val="ro-MD"/>
        </w:rPr>
        <w:t>,9 mii lei</w:t>
      </w:r>
      <w:r w:rsidRPr="00C05E71">
        <w:rPr>
          <w:rFonts w:asciiTheme="majorHAnsi" w:eastAsia="Calibri" w:hAnsiTheme="majorHAnsi" w:cstheme="majorHAnsi"/>
          <w:noProof/>
          <w:color w:val="000000" w:themeColor="text1"/>
          <w:sz w:val="24"/>
          <w:szCs w:val="24"/>
          <w:lang w:val="ro-MD"/>
        </w:rPr>
        <w:t xml:space="preserve"> (uzura </w:t>
      </w:r>
      <w:r w:rsidR="00F471FB" w:rsidRPr="00C05E71">
        <w:rPr>
          <w:rFonts w:asciiTheme="majorHAnsi" w:eastAsia="Calibri" w:hAnsiTheme="majorHAnsi" w:cstheme="majorHAnsi"/>
          <w:noProof/>
          <w:color w:val="000000" w:themeColor="text1"/>
          <w:sz w:val="24"/>
          <w:szCs w:val="24"/>
          <w:lang w:val="ro-MD"/>
        </w:rPr>
        <w:t xml:space="preserve">calculată </w:t>
      </w:r>
      <w:r w:rsidRPr="00C05E71">
        <w:rPr>
          <w:rFonts w:asciiTheme="majorHAnsi" w:eastAsia="Calibri" w:hAnsiTheme="majorHAnsi" w:cstheme="majorHAnsi"/>
          <w:noProof/>
          <w:color w:val="000000" w:themeColor="text1"/>
          <w:sz w:val="24"/>
          <w:szCs w:val="24"/>
          <w:lang w:val="ro-MD"/>
        </w:rPr>
        <w:t>pentru anul 2019).</w:t>
      </w:r>
    </w:p>
    <w:p w14:paraId="3D41C63C" w14:textId="43E126E7" w:rsidR="00375314" w:rsidRPr="00C05E71" w:rsidRDefault="0073621E" w:rsidP="00C05E71">
      <w:pPr>
        <w:pStyle w:val="ListParagraph"/>
        <w:spacing w:after="0" w:line="276" w:lineRule="auto"/>
        <w:ind w:left="35"/>
        <w:jc w:val="both"/>
        <w:rPr>
          <w:rFonts w:asciiTheme="majorHAnsi" w:eastAsia="Calibri" w:hAnsiTheme="majorHAnsi" w:cstheme="majorHAnsi"/>
          <w:b/>
          <w:noProof/>
          <w:color w:val="000000" w:themeColor="text1"/>
          <w:sz w:val="24"/>
          <w:szCs w:val="24"/>
          <w:lang w:val="ro-MD"/>
        </w:rPr>
      </w:pPr>
      <w:r w:rsidRPr="00C05E71">
        <w:rPr>
          <w:rFonts w:asciiTheme="majorHAnsi" w:eastAsia="Calibri" w:hAnsiTheme="majorHAnsi" w:cstheme="majorHAnsi"/>
          <w:b/>
          <w:noProof/>
          <w:color w:val="000000" w:themeColor="text1"/>
          <w:sz w:val="24"/>
          <w:szCs w:val="24"/>
          <w:lang w:val="ro-MD"/>
        </w:rPr>
        <w:t>2.</w:t>
      </w:r>
      <w:r w:rsidR="0083172C" w:rsidRPr="00C05E71">
        <w:rPr>
          <w:rFonts w:asciiTheme="majorHAnsi" w:eastAsia="Calibri" w:hAnsiTheme="majorHAnsi" w:cstheme="majorHAnsi"/>
          <w:b/>
          <w:noProof/>
          <w:color w:val="000000" w:themeColor="text1"/>
          <w:sz w:val="24"/>
          <w:szCs w:val="24"/>
          <w:lang w:val="ro-MD"/>
        </w:rPr>
        <w:t>3</w:t>
      </w:r>
      <w:r w:rsidRPr="00C05E71">
        <w:rPr>
          <w:rFonts w:asciiTheme="majorHAnsi" w:eastAsia="Calibri" w:hAnsiTheme="majorHAnsi" w:cstheme="majorHAnsi"/>
          <w:b/>
          <w:noProof/>
          <w:color w:val="000000" w:themeColor="text1"/>
          <w:sz w:val="24"/>
          <w:szCs w:val="24"/>
          <w:lang w:val="ro-MD"/>
        </w:rPr>
        <w:t xml:space="preserve">. </w:t>
      </w:r>
      <w:r w:rsidR="00375314" w:rsidRPr="00C05E71">
        <w:rPr>
          <w:rFonts w:asciiTheme="majorHAnsi" w:eastAsia="Calibri" w:hAnsiTheme="majorHAnsi" w:cstheme="majorHAnsi"/>
          <w:noProof/>
          <w:color w:val="000000" w:themeColor="text1"/>
          <w:sz w:val="24"/>
          <w:szCs w:val="24"/>
          <w:lang w:val="ro-MD"/>
        </w:rPr>
        <w:t>Necorespunderea prevederilor Ordinului ministrului finanțelor nr.216 din 28.12.2015 principiilor contabile (contabilitatea de angajamente; consecvența prezentării) și ceracteristicilor calitative (relevanță; credibilitate; compatibilitate), prevăzute de art.6 din Legea contabilității nr.113 din 27.04.2007, a cauzat:</w:t>
      </w:r>
    </w:p>
    <w:p w14:paraId="1F5EBF0B" w14:textId="27B91815" w:rsidR="00F87ECF" w:rsidRPr="00C05E71" w:rsidRDefault="00F87ECF" w:rsidP="00C05E71">
      <w:pPr>
        <w:pStyle w:val="ListParagraph"/>
        <w:spacing w:after="0" w:line="276" w:lineRule="auto"/>
        <w:ind w:left="35"/>
        <w:jc w:val="both"/>
        <w:rPr>
          <w:rFonts w:asciiTheme="majorHAnsi" w:hAnsiTheme="majorHAnsi" w:cstheme="majorHAnsi"/>
          <w:sz w:val="24"/>
          <w:szCs w:val="24"/>
          <w:lang w:val="ro-MD"/>
        </w:rPr>
      </w:pPr>
      <w:r w:rsidRPr="00C05E71">
        <w:rPr>
          <w:rFonts w:asciiTheme="majorHAnsi" w:hAnsiTheme="majorHAnsi" w:cstheme="majorHAnsi"/>
          <w:sz w:val="24"/>
          <w:szCs w:val="24"/>
          <w:lang w:val="ro-MD"/>
        </w:rPr>
        <w:t xml:space="preserve">- subevaluarea valorii contului  </w:t>
      </w:r>
      <w:r w:rsidRPr="00C05E71">
        <w:rPr>
          <w:rFonts w:asciiTheme="majorHAnsi" w:hAnsiTheme="majorHAnsi" w:cstheme="majorHAnsi"/>
          <w:b/>
          <w:sz w:val="24"/>
          <w:szCs w:val="24"/>
          <w:lang w:val="ro-MD"/>
        </w:rPr>
        <w:t>561</w:t>
      </w:r>
      <w:r w:rsidRPr="00C05E71">
        <w:rPr>
          <w:rFonts w:asciiTheme="majorHAnsi" w:hAnsiTheme="majorHAnsi" w:cstheme="majorHAnsi"/>
          <w:sz w:val="24"/>
          <w:szCs w:val="24"/>
          <w:lang w:val="ro-MD"/>
        </w:rPr>
        <w:t xml:space="preserve"> „Împrumuturi recreditate între bugetul de stat și bugetele locale” cu suma de </w:t>
      </w:r>
      <w:r w:rsidRPr="00C05E71">
        <w:rPr>
          <w:rFonts w:asciiTheme="majorHAnsi" w:hAnsiTheme="majorHAnsi" w:cstheme="majorHAnsi"/>
          <w:b/>
          <w:sz w:val="24"/>
          <w:szCs w:val="24"/>
          <w:lang w:val="ro-MD"/>
        </w:rPr>
        <w:t>30 491,8 mii lei</w:t>
      </w:r>
      <w:r w:rsidRPr="00C05E71">
        <w:rPr>
          <w:rFonts w:asciiTheme="majorHAnsi" w:hAnsiTheme="majorHAnsi" w:cstheme="majorHAnsi"/>
          <w:sz w:val="24"/>
          <w:szCs w:val="24"/>
          <w:lang w:val="ro-MD"/>
        </w:rPr>
        <w:t xml:space="preserve"> și supraevaluarea contului extrabilanțier 812223 „Datoria privind împrumuturile externe acordate de organizațiile financiare internaționale” </w:t>
      </w:r>
      <w:r w:rsidR="00B627D9" w:rsidRPr="00C05E71">
        <w:rPr>
          <w:rFonts w:asciiTheme="majorHAnsi" w:hAnsiTheme="majorHAnsi" w:cstheme="majorHAnsi"/>
          <w:sz w:val="24"/>
          <w:szCs w:val="24"/>
          <w:lang w:val="ro-MD"/>
        </w:rPr>
        <w:t xml:space="preserve">- </w:t>
      </w:r>
      <w:r w:rsidRPr="00C05E71">
        <w:rPr>
          <w:rFonts w:asciiTheme="majorHAnsi" w:hAnsiTheme="majorHAnsi" w:cstheme="majorHAnsi"/>
          <w:sz w:val="24"/>
          <w:szCs w:val="24"/>
          <w:lang w:val="ro-MD"/>
        </w:rPr>
        <w:t>cu ace</w:t>
      </w:r>
      <w:r w:rsidR="00B627D9" w:rsidRPr="00C05E71">
        <w:rPr>
          <w:rFonts w:asciiTheme="majorHAnsi" w:hAnsiTheme="majorHAnsi" w:cstheme="majorHAnsi"/>
          <w:sz w:val="24"/>
          <w:szCs w:val="24"/>
          <w:lang w:val="ro-MD"/>
        </w:rPr>
        <w:t>e</w:t>
      </w:r>
      <w:r w:rsidRPr="00C05E71">
        <w:rPr>
          <w:rFonts w:asciiTheme="majorHAnsi" w:hAnsiTheme="majorHAnsi" w:cstheme="majorHAnsi"/>
          <w:sz w:val="24"/>
          <w:szCs w:val="24"/>
          <w:lang w:val="ro-MD"/>
        </w:rPr>
        <w:t>ași sumă</w:t>
      </w:r>
      <w:r w:rsidR="00B627D9" w:rsidRPr="00C05E71">
        <w:rPr>
          <w:rFonts w:asciiTheme="majorHAnsi" w:hAnsiTheme="majorHAnsi" w:cstheme="majorHAnsi"/>
          <w:sz w:val="24"/>
          <w:szCs w:val="24"/>
          <w:lang w:val="ro-MD"/>
        </w:rPr>
        <w:t>;</w:t>
      </w:r>
    </w:p>
    <w:p w14:paraId="10D3DB45" w14:textId="24BB0A99" w:rsidR="0073621E" w:rsidRPr="00C05E71" w:rsidRDefault="00375314" w:rsidP="00C05E71">
      <w:pPr>
        <w:pStyle w:val="ListParagraph"/>
        <w:spacing w:after="0" w:line="276" w:lineRule="auto"/>
        <w:ind w:left="35"/>
        <w:jc w:val="both"/>
        <w:rPr>
          <w:rFonts w:asciiTheme="majorHAnsi" w:hAnsiTheme="majorHAnsi" w:cstheme="majorHAnsi"/>
          <w:sz w:val="24"/>
          <w:szCs w:val="24"/>
          <w:lang w:val="ro-MD"/>
        </w:rPr>
      </w:pPr>
      <w:r w:rsidRPr="00C05E71">
        <w:rPr>
          <w:rFonts w:asciiTheme="majorHAnsi" w:hAnsiTheme="majorHAnsi" w:cstheme="majorHAnsi"/>
          <w:sz w:val="24"/>
          <w:szCs w:val="24"/>
          <w:lang w:val="ro-MD"/>
        </w:rPr>
        <w:t xml:space="preserve">- subevaluarea valorii contului </w:t>
      </w:r>
      <w:r w:rsidR="0073621E" w:rsidRPr="00C05E71">
        <w:rPr>
          <w:rFonts w:asciiTheme="majorHAnsi" w:hAnsiTheme="majorHAnsi" w:cstheme="majorHAnsi"/>
          <w:b/>
          <w:sz w:val="24"/>
          <w:szCs w:val="24"/>
          <w:lang w:val="ro-MD"/>
        </w:rPr>
        <w:t>464</w:t>
      </w:r>
      <w:r w:rsidR="0073621E" w:rsidRPr="00C05E71">
        <w:rPr>
          <w:rFonts w:asciiTheme="majorHAnsi" w:hAnsiTheme="majorHAnsi" w:cstheme="majorHAnsi"/>
          <w:sz w:val="24"/>
          <w:szCs w:val="24"/>
          <w:lang w:val="ro-MD"/>
        </w:rPr>
        <w:t xml:space="preserve"> „Împrumuturi recreditate între bugetele locale ale diferitor unit</w:t>
      </w:r>
      <w:r w:rsidRPr="00C05E71">
        <w:rPr>
          <w:rFonts w:asciiTheme="majorHAnsi" w:hAnsiTheme="majorHAnsi" w:cstheme="majorHAnsi"/>
          <w:sz w:val="24"/>
          <w:szCs w:val="24"/>
          <w:lang w:val="ro-MD"/>
        </w:rPr>
        <w:t>ăți administrativ-teritoriale”</w:t>
      </w:r>
      <w:r w:rsidR="00907741" w:rsidRPr="00C05E71">
        <w:rPr>
          <w:rFonts w:asciiTheme="majorHAnsi" w:hAnsiTheme="majorHAnsi" w:cstheme="majorHAnsi"/>
          <w:sz w:val="24"/>
          <w:szCs w:val="24"/>
          <w:lang w:val="ro-MD"/>
        </w:rPr>
        <w:t xml:space="preserve"> cu suma de </w:t>
      </w:r>
      <w:r w:rsidR="00907741" w:rsidRPr="00C05E71">
        <w:rPr>
          <w:rFonts w:asciiTheme="majorHAnsi" w:hAnsiTheme="majorHAnsi" w:cstheme="majorHAnsi"/>
          <w:b/>
          <w:sz w:val="24"/>
          <w:szCs w:val="24"/>
          <w:lang w:val="ro-MD"/>
        </w:rPr>
        <w:t>30 829,1 mii lei</w:t>
      </w:r>
      <w:r w:rsidR="00907741" w:rsidRPr="00C05E71">
        <w:rPr>
          <w:rFonts w:asciiTheme="majorHAnsi" w:hAnsiTheme="majorHAnsi" w:cstheme="majorHAnsi"/>
          <w:sz w:val="24"/>
          <w:szCs w:val="24"/>
          <w:vertAlign w:val="superscript"/>
          <w:lang w:val="ro-MD"/>
        </w:rPr>
        <w:footnoteReference w:id="10"/>
      </w:r>
      <w:r w:rsidR="00907741" w:rsidRPr="00C05E71">
        <w:rPr>
          <w:rFonts w:asciiTheme="majorHAnsi" w:hAnsiTheme="majorHAnsi" w:cstheme="majorHAnsi"/>
          <w:sz w:val="24"/>
          <w:szCs w:val="24"/>
          <w:lang w:val="ro-MD"/>
        </w:rPr>
        <w:t xml:space="preserve">, care constituie </w:t>
      </w:r>
      <w:r w:rsidR="0073621E" w:rsidRPr="00C05E71">
        <w:rPr>
          <w:rFonts w:asciiTheme="majorHAnsi" w:hAnsiTheme="majorHAnsi" w:cstheme="majorHAnsi"/>
          <w:sz w:val="24"/>
          <w:szCs w:val="24"/>
          <w:lang w:val="ro-MD"/>
        </w:rPr>
        <w:t>creanța beneficiarilor împrumutului recreditat de la Comitetul Executiv</w:t>
      </w:r>
      <w:r w:rsidR="00907741" w:rsidRPr="00C05E71">
        <w:rPr>
          <w:rFonts w:asciiTheme="majorHAnsi" w:hAnsiTheme="majorHAnsi" w:cstheme="majorHAnsi"/>
          <w:sz w:val="24"/>
          <w:szCs w:val="24"/>
          <w:lang w:val="ro-MD"/>
        </w:rPr>
        <w:t>,</w:t>
      </w:r>
      <w:r w:rsidR="0073621E" w:rsidRPr="00C05E71">
        <w:rPr>
          <w:rFonts w:asciiTheme="majorHAnsi" w:hAnsiTheme="majorHAnsi" w:cstheme="majorHAnsi"/>
          <w:sz w:val="24"/>
          <w:szCs w:val="24"/>
          <w:lang w:val="ro-MD"/>
        </w:rPr>
        <w:t xml:space="preserve"> aceasta nefiind raportată în  </w:t>
      </w:r>
      <w:r w:rsidR="00F87ECF" w:rsidRPr="00C05E71">
        <w:rPr>
          <w:rFonts w:asciiTheme="majorHAnsi" w:hAnsiTheme="majorHAnsi" w:cstheme="majorHAnsi"/>
          <w:sz w:val="24"/>
          <w:szCs w:val="24"/>
          <w:lang w:val="ro-MD"/>
        </w:rPr>
        <w:t xml:space="preserve">conturile de </w:t>
      </w:r>
      <w:r w:rsidR="0073621E" w:rsidRPr="00C05E71">
        <w:rPr>
          <w:rFonts w:asciiTheme="majorHAnsi" w:hAnsiTheme="majorHAnsi" w:cstheme="majorHAnsi"/>
          <w:sz w:val="24"/>
          <w:szCs w:val="24"/>
          <w:lang w:val="ro-MD"/>
        </w:rPr>
        <w:t>bilanț</w:t>
      </w:r>
      <w:r w:rsidR="00907741" w:rsidRPr="00C05E71">
        <w:rPr>
          <w:rFonts w:asciiTheme="majorHAnsi" w:hAnsiTheme="majorHAnsi" w:cstheme="majorHAnsi"/>
          <w:sz w:val="24"/>
          <w:szCs w:val="24"/>
          <w:lang w:val="ro-MD"/>
        </w:rPr>
        <w:t>;</w:t>
      </w:r>
    </w:p>
    <w:p w14:paraId="648BDDF0" w14:textId="02DDA69D" w:rsidR="00907741" w:rsidRPr="00C05E71" w:rsidRDefault="00907741" w:rsidP="00C05E71">
      <w:pPr>
        <w:pStyle w:val="ListParagraph"/>
        <w:spacing w:after="0" w:line="276" w:lineRule="auto"/>
        <w:ind w:left="35"/>
        <w:jc w:val="both"/>
        <w:rPr>
          <w:rFonts w:asciiTheme="majorHAnsi" w:hAnsiTheme="majorHAnsi" w:cstheme="majorHAnsi"/>
          <w:color w:val="000000" w:themeColor="text1"/>
          <w:sz w:val="24"/>
          <w:szCs w:val="24"/>
          <w:lang w:val="ro-MD"/>
        </w:rPr>
      </w:pPr>
      <w:r w:rsidRPr="00C05E71">
        <w:rPr>
          <w:rFonts w:asciiTheme="majorHAnsi" w:hAnsiTheme="majorHAnsi" w:cstheme="majorHAnsi"/>
          <w:sz w:val="24"/>
          <w:szCs w:val="24"/>
          <w:lang w:val="ro-MD"/>
        </w:rPr>
        <w:t xml:space="preserve">- </w:t>
      </w:r>
      <w:r w:rsidRPr="00C05E71">
        <w:rPr>
          <w:rFonts w:asciiTheme="majorHAnsi" w:hAnsiTheme="majorHAnsi" w:cstheme="majorHAnsi"/>
          <w:color w:val="000000" w:themeColor="text1"/>
          <w:sz w:val="24"/>
          <w:szCs w:val="24"/>
          <w:lang w:val="ro-MD"/>
        </w:rPr>
        <w:t xml:space="preserve">supraevaluarea contului extrabilanțier 811130 „Creanța privind creditarea altor instituții și organizații” și diminuarea valorii contului 419 „Alte creanțe ale autorităților/instituțiilor bugetare” cu suma de </w:t>
      </w:r>
      <w:r w:rsidRPr="00C05E71">
        <w:rPr>
          <w:rFonts w:asciiTheme="majorHAnsi" w:hAnsiTheme="majorHAnsi" w:cstheme="majorHAnsi"/>
          <w:b/>
          <w:color w:val="000000" w:themeColor="text1"/>
          <w:sz w:val="24"/>
          <w:szCs w:val="24"/>
          <w:lang w:val="ro-MD"/>
        </w:rPr>
        <w:t>10</w:t>
      </w:r>
      <w:r w:rsidR="00DC7063" w:rsidRPr="00C05E71">
        <w:rPr>
          <w:rFonts w:asciiTheme="majorHAnsi" w:hAnsiTheme="majorHAnsi" w:cstheme="majorHAnsi"/>
          <w:b/>
          <w:color w:val="000000" w:themeColor="text1"/>
          <w:sz w:val="24"/>
          <w:szCs w:val="24"/>
          <w:lang w:val="ro-MD"/>
        </w:rPr>
        <w:t xml:space="preserve"> </w:t>
      </w:r>
      <w:r w:rsidRPr="00C05E71">
        <w:rPr>
          <w:rFonts w:asciiTheme="majorHAnsi" w:hAnsiTheme="majorHAnsi" w:cstheme="majorHAnsi"/>
          <w:b/>
          <w:color w:val="000000" w:themeColor="text1"/>
          <w:sz w:val="24"/>
          <w:szCs w:val="24"/>
          <w:lang w:val="ro-MD"/>
        </w:rPr>
        <w:t>050,7 mii lei</w:t>
      </w:r>
      <w:r w:rsidRPr="00C05E71">
        <w:rPr>
          <w:rFonts w:asciiTheme="majorHAnsi" w:hAnsiTheme="majorHAnsi" w:cstheme="majorHAnsi"/>
          <w:color w:val="000000" w:themeColor="text1"/>
          <w:sz w:val="24"/>
          <w:szCs w:val="24"/>
          <w:lang w:val="ro-MD"/>
        </w:rPr>
        <w:t>, aceasta constituind suma creanțelor înregistrate de către entitățile cărora, în perioadele anterioare, li s-a eliberat materiale din rezerva materială a UTA Găgăuzia (gr</w:t>
      </w:r>
      <w:r w:rsidR="00B627D9" w:rsidRPr="00C05E71">
        <w:rPr>
          <w:rFonts w:asciiTheme="majorHAnsi" w:hAnsiTheme="majorHAnsi" w:cstheme="majorHAnsi"/>
          <w:color w:val="000000" w:themeColor="text1"/>
          <w:sz w:val="24"/>
          <w:szCs w:val="24"/>
          <w:lang w:val="ro-MD"/>
        </w:rPr>
        <w:t>â</w:t>
      </w:r>
      <w:r w:rsidRPr="00C05E71">
        <w:rPr>
          <w:rFonts w:asciiTheme="majorHAnsi" w:hAnsiTheme="majorHAnsi" w:cstheme="majorHAnsi"/>
          <w:color w:val="000000" w:themeColor="text1"/>
          <w:sz w:val="24"/>
          <w:szCs w:val="24"/>
          <w:lang w:val="ro-MD"/>
        </w:rPr>
        <w:t>u alimentar și motorină) cu titlul de împrumut.</w:t>
      </w:r>
    </w:p>
    <w:p w14:paraId="64CE354C" w14:textId="2F9E3918" w:rsidR="00E833ED" w:rsidRPr="00C05E71" w:rsidRDefault="00156C3E" w:rsidP="00C05E71">
      <w:pPr>
        <w:pStyle w:val="ListParagraph"/>
        <w:spacing w:after="0" w:line="276" w:lineRule="auto"/>
        <w:ind w:left="35"/>
        <w:jc w:val="both"/>
        <w:rPr>
          <w:rFonts w:asciiTheme="majorHAnsi" w:hAnsiTheme="majorHAnsi" w:cstheme="majorHAnsi"/>
          <w:b/>
          <w:sz w:val="24"/>
          <w:szCs w:val="24"/>
          <w:lang w:val="ro-MD"/>
        </w:rPr>
      </w:pPr>
      <w:r w:rsidRPr="00C05E71">
        <w:rPr>
          <w:rFonts w:asciiTheme="majorHAnsi" w:eastAsia="Calibri" w:hAnsiTheme="majorHAnsi" w:cstheme="majorHAnsi"/>
          <w:b/>
          <w:noProof/>
          <w:color w:val="000000" w:themeColor="text1"/>
          <w:sz w:val="24"/>
          <w:szCs w:val="24"/>
          <w:lang w:val="ro-MD"/>
        </w:rPr>
        <w:t>2.</w:t>
      </w:r>
      <w:r w:rsidR="0083172C" w:rsidRPr="00C05E71">
        <w:rPr>
          <w:rFonts w:asciiTheme="majorHAnsi" w:eastAsia="Calibri" w:hAnsiTheme="majorHAnsi" w:cstheme="majorHAnsi"/>
          <w:b/>
          <w:noProof/>
          <w:color w:val="000000" w:themeColor="text1"/>
          <w:sz w:val="24"/>
          <w:szCs w:val="24"/>
          <w:lang w:val="ro-MD"/>
        </w:rPr>
        <w:t>4</w:t>
      </w:r>
      <w:r w:rsidRPr="00C05E71">
        <w:rPr>
          <w:rFonts w:asciiTheme="majorHAnsi" w:eastAsia="Calibri" w:hAnsiTheme="majorHAnsi" w:cstheme="majorHAnsi"/>
          <w:b/>
          <w:noProof/>
          <w:color w:val="000000" w:themeColor="text1"/>
          <w:sz w:val="24"/>
          <w:szCs w:val="24"/>
          <w:lang w:val="ro-MD"/>
        </w:rPr>
        <w:t>.</w:t>
      </w:r>
      <w:r w:rsidR="0073621E" w:rsidRPr="00C05E71">
        <w:rPr>
          <w:rFonts w:asciiTheme="majorHAnsi" w:hAnsiTheme="majorHAnsi" w:cstheme="majorHAnsi"/>
          <w:sz w:val="24"/>
          <w:szCs w:val="24"/>
          <w:lang w:val="ro-MD"/>
        </w:rPr>
        <w:t xml:space="preserve"> Nerespect</w:t>
      </w:r>
      <w:r w:rsidR="00C84027" w:rsidRPr="00C05E71">
        <w:rPr>
          <w:rFonts w:asciiTheme="majorHAnsi" w:hAnsiTheme="majorHAnsi" w:cstheme="majorHAnsi"/>
          <w:sz w:val="24"/>
          <w:szCs w:val="24"/>
          <w:lang w:val="ro-MD"/>
        </w:rPr>
        <w:t>â</w:t>
      </w:r>
      <w:r w:rsidR="0073621E" w:rsidRPr="00C05E71">
        <w:rPr>
          <w:rFonts w:asciiTheme="majorHAnsi" w:hAnsiTheme="majorHAnsi" w:cstheme="majorHAnsi"/>
          <w:sz w:val="24"/>
          <w:szCs w:val="24"/>
          <w:lang w:val="ro-MD"/>
        </w:rPr>
        <w:t>nd prevederile art.17 alin.(1) din Legea</w:t>
      </w:r>
      <w:r w:rsidR="00BD01EA" w:rsidRPr="00C05E71">
        <w:rPr>
          <w:rFonts w:asciiTheme="majorHAnsi" w:hAnsiTheme="majorHAnsi" w:cstheme="majorHAnsi"/>
          <w:sz w:val="24"/>
          <w:szCs w:val="24"/>
          <w:lang w:val="ro-MD"/>
        </w:rPr>
        <w:t xml:space="preserve"> contabilității</w:t>
      </w:r>
      <w:r w:rsidR="0073621E" w:rsidRPr="00C05E71">
        <w:rPr>
          <w:rFonts w:asciiTheme="majorHAnsi" w:hAnsiTheme="majorHAnsi" w:cstheme="majorHAnsi"/>
          <w:sz w:val="24"/>
          <w:szCs w:val="24"/>
          <w:vertAlign w:val="superscript"/>
          <w:lang w:val="ro-MD"/>
        </w:rPr>
        <w:footnoteReference w:id="11"/>
      </w:r>
      <w:r w:rsidR="0073621E" w:rsidRPr="00C05E71">
        <w:rPr>
          <w:rFonts w:asciiTheme="majorHAnsi" w:hAnsiTheme="majorHAnsi" w:cstheme="majorHAnsi"/>
          <w:sz w:val="24"/>
          <w:szCs w:val="24"/>
          <w:lang w:val="ro-MD"/>
        </w:rPr>
        <w:t xml:space="preserve">, Comitetul Executiv nu a asigurat înregistrarea în evidența contabilă, la momentul efectuării tranzacției, </w:t>
      </w:r>
      <w:r w:rsidR="00907741" w:rsidRPr="00C05E71">
        <w:rPr>
          <w:rFonts w:asciiTheme="majorHAnsi" w:hAnsiTheme="majorHAnsi" w:cstheme="majorHAnsi"/>
          <w:sz w:val="24"/>
          <w:szCs w:val="24"/>
          <w:lang w:val="ro-MD"/>
        </w:rPr>
        <w:t>a valorii</w:t>
      </w:r>
      <w:r w:rsidR="0073621E" w:rsidRPr="00C05E71">
        <w:rPr>
          <w:rFonts w:asciiTheme="majorHAnsi" w:hAnsiTheme="majorHAnsi" w:cstheme="majorHAnsi"/>
          <w:sz w:val="24"/>
          <w:szCs w:val="24"/>
          <w:lang w:val="ro-MD"/>
        </w:rPr>
        <w:t xml:space="preserve"> investițiilor executate în cadrul </w:t>
      </w:r>
      <w:r w:rsidR="0088194F" w:rsidRPr="00C05E71">
        <w:rPr>
          <w:rFonts w:asciiTheme="majorHAnsi" w:hAnsiTheme="majorHAnsi" w:cstheme="majorHAnsi"/>
          <w:sz w:val="24"/>
          <w:szCs w:val="24"/>
          <w:lang w:val="ro-MD"/>
        </w:rPr>
        <w:t>P</w:t>
      </w:r>
      <w:r w:rsidR="0073621E" w:rsidRPr="00C05E71">
        <w:rPr>
          <w:rFonts w:asciiTheme="majorHAnsi" w:hAnsiTheme="majorHAnsi" w:cstheme="majorHAnsi"/>
          <w:sz w:val="24"/>
          <w:szCs w:val="24"/>
          <w:lang w:val="ro-MD"/>
        </w:rPr>
        <w:t>roiectului „Amenajarea teritoriului și conectarea la infrastructura de utilități și drumuri de acces a parcului industrial din mun. Comrat”</w:t>
      </w:r>
      <w:r w:rsidR="0073621E" w:rsidRPr="00C05E71">
        <w:rPr>
          <w:rFonts w:asciiTheme="majorHAnsi" w:hAnsiTheme="majorHAnsi" w:cstheme="majorHAnsi"/>
          <w:sz w:val="24"/>
          <w:szCs w:val="24"/>
          <w:vertAlign w:val="superscript"/>
          <w:lang w:val="ro-MD"/>
        </w:rPr>
        <w:footnoteReference w:id="12"/>
      </w:r>
      <w:r w:rsidR="0073621E" w:rsidRPr="00C05E71">
        <w:rPr>
          <w:rFonts w:asciiTheme="majorHAnsi" w:hAnsiTheme="majorHAnsi" w:cstheme="majorHAnsi"/>
          <w:sz w:val="24"/>
          <w:szCs w:val="24"/>
          <w:lang w:val="ro-MD"/>
        </w:rPr>
        <w:t xml:space="preserve">, ceea ce a condiționat subevaluarea contului 319 „Investiții capitale în active în curs de execuție” cu suma de </w:t>
      </w:r>
      <w:r w:rsidR="0073621E" w:rsidRPr="00C05E71">
        <w:rPr>
          <w:rFonts w:asciiTheme="majorHAnsi" w:hAnsiTheme="majorHAnsi" w:cstheme="majorHAnsi"/>
          <w:b/>
          <w:sz w:val="24"/>
          <w:szCs w:val="24"/>
          <w:lang w:val="ro-MD"/>
        </w:rPr>
        <w:t>27 485,0 mii lei</w:t>
      </w:r>
      <w:r w:rsidR="00907741" w:rsidRPr="00C05E71">
        <w:rPr>
          <w:rStyle w:val="FootnoteReference"/>
          <w:rFonts w:asciiTheme="majorHAnsi" w:hAnsiTheme="majorHAnsi" w:cstheme="majorHAnsi"/>
          <w:sz w:val="24"/>
          <w:szCs w:val="24"/>
          <w:lang w:val="ro-MD"/>
        </w:rPr>
        <w:footnoteReference w:id="13"/>
      </w:r>
      <w:r w:rsidR="0073621E" w:rsidRPr="00C05E71">
        <w:rPr>
          <w:rFonts w:asciiTheme="majorHAnsi" w:hAnsiTheme="majorHAnsi" w:cstheme="majorHAnsi"/>
          <w:sz w:val="24"/>
          <w:szCs w:val="24"/>
          <w:lang w:val="ro-MD"/>
        </w:rPr>
        <w:t xml:space="preserve">. O situație similară a fost admisă de către Comitetul Executiv și în cazul executării lucrărilor de amenajare a sistemelor inginerești ale parcului industrial, din sursele proprii, ceea ce a diminuat valoarea contului 319 cu suma de </w:t>
      </w:r>
      <w:r w:rsidR="0073621E" w:rsidRPr="00C05E71">
        <w:rPr>
          <w:rFonts w:asciiTheme="majorHAnsi" w:hAnsiTheme="majorHAnsi" w:cstheme="majorHAnsi"/>
          <w:b/>
          <w:sz w:val="24"/>
          <w:szCs w:val="24"/>
          <w:lang w:val="ro-MD"/>
        </w:rPr>
        <w:t>778,3 mii lei</w:t>
      </w:r>
      <w:r w:rsidR="00E833ED" w:rsidRPr="00C05E71">
        <w:rPr>
          <w:rStyle w:val="FootnoteReference"/>
          <w:rFonts w:asciiTheme="majorHAnsi" w:hAnsiTheme="majorHAnsi" w:cstheme="majorHAnsi"/>
          <w:sz w:val="24"/>
          <w:szCs w:val="24"/>
          <w:lang w:val="ro-MD"/>
        </w:rPr>
        <w:footnoteReference w:id="14"/>
      </w:r>
      <w:r w:rsidR="0073621E" w:rsidRPr="00C05E71">
        <w:rPr>
          <w:rFonts w:asciiTheme="majorHAnsi" w:hAnsiTheme="majorHAnsi" w:cstheme="majorHAnsi"/>
          <w:sz w:val="24"/>
          <w:szCs w:val="24"/>
          <w:lang w:val="ro-MD"/>
        </w:rPr>
        <w:t>.</w:t>
      </w:r>
      <w:r w:rsidR="0073621E" w:rsidRPr="00C05E71">
        <w:rPr>
          <w:rFonts w:asciiTheme="majorHAnsi" w:hAnsiTheme="majorHAnsi" w:cstheme="majorHAnsi"/>
          <w:b/>
          <w:sz w:val="24"/>
          <w:szCs w:val="24"/>
          <w:lang w:val="ro-MD"/>
        </w:rPr>
        <w:t xml:space="preserve"> </w:t>
      </w:r>
    </w:p>
    <w:p w14:paraId="55DFA124" w14:textId="64012B01" w:rsidR="00E833ED" w:rsidRPr="00C05E71" w:rsidRDefault="0073621E" w:rsidP="00C05E71">
      <w:pPr>
        <w:pStyle w:val="ListParagraph"/>
        <w:spacing w:after="0" w:line="276" w:lineRule="auto"/>
        <w:ind w:left="35"/>
        <w:jc w:val="both"/>
        <w:rPr>
          <w:rFonts w:asciiTheme="majorHAnsi" w:eastAsia="Calibri" w:hAnsiTheme="majorHAnsi" w:cstheme="majorHAnsi"/>
          <w:sz w:val="24"/>
          <w:szCs w:val="24"/>
          <w:lang w:val="ro-MD"/>
        </w:rPr>
      </w:pPr>
      <w:r w:rsidRPr="00C05E71">
        <w:rPr>
          <w:rFonts w:asciiTheme="majorHAnsi" w:eastAsia="Calibri" w:hAnsiTheme="majorHAnsi" w:cstheme="majorHAnsi"/>
          <w:b/>
          <w:noProof/>
          <w:color w:val="000000" w:themeColor="text1"/>
          <w:sz w:val="24"/>
          <w:szCs w:val="24"/>
          <w:lang w:val="ro-MD"/>
        </w:rPr>
        <w:t>2.</w:t>
      </w:r>
      <w:r w:rsidR="0083172C" w:rsidRPr="00C05E71">
        <w:rPr>
          <w:rFonts w:asciiTheme="majorHAnsi" w:eastAsia="Calibri" w:hAnsiTheme="majorHAnsi" w:cstheme="majorHAnsi"/>
          <w:b/>
          <w:noProof/>
          <w:color w:val="000000" w:themeColor="text1"/>
          <w:sz w:val="24"/>
          <w:szCs w:val="24"/>
          <w:lang w:val="ro-MD"/>
        </w:rPr>
        <w:t>5</w:t>
      </w:r>
      <w:r w:rsidRPr="00C05E71">
        <w:rPr>
          <w:rFonts w:asciiTheme="majorHAnsi" w:eastAsia="Calibri" w:hAnsiTheme="majorHAnsi" w:cstheme="majorHAnsi"/>
          <w:b/>
          <w:noProof/>
          <w:color w:val="000000" w:themeColor="text1"/>
          <w:sz w:val="24"/>
          <w:szCs w:val="24"/>
          <w:lang w:val="ro-MD"/>
        </w:rPr>
        <w:t xml:space="preserve">. </w:t>
      </w:r>
      <w:r w:rsidRPr="00C05E71">
        <w:rPr>
          <w:rFonts w:asciiTheme="majorHAnsi" w:eastAsia="Calibri" w:hAnsiTheme="majorHAnsi" w:cstheme="majorHAnsi"/>
          <w:sz w:val="24"/>
          <w:szCs w:val="24"/>
          <w:lang w:val="ro-MD"/>
        </w:rPr>
        <w:t>Comitetul Executiv nu a asigurat transmiterea valorii investițiilor și reparațiilor capitale ale patrimoniului</w:t>
      </w:r>
      <w:r w:rsidR="00995184" w:rsidRPr="00C05E71">
        <w:rPr>
          <w:rFonts w:asciiTheme="majorHAnsi" w:eastAsia="Calibri" w:hAnsiTheme="majorHAnsi" w:cstheme="majorHAnsi"/>
          <w:sz w:val="24"/>
          <w:szCs w:val="24"/>
          <w:lang w:val="ro-MD"/>
        </w:rPr>
        <w:t xml:space="preserve"> ai</w:t>
      </w:r>
      <w:r w:rsidRPr="00C05E71">
        <w:rPr>
          <w:rFonts w:asciiTheme="majorHAnsi" w:eastAsia="Calibri" w:hAnsiTheme="majorHAnsi" w:cstheme="majorHAnsi"/>
          <w:sz w:val="24"/>
          <w:szCs w:val="24"/>
          <w:lang w:val="ro-MD"/>
        </w:rPr>
        <w:t xml:space="preserve"> </w:t>
      </w:r>
      <w:r w:rsidR="003739F1" w:rsidRPr="00C05E71">
        <w:rPr>
          <w:rFonts w:asciiTheme="majorHAnsi" w:eastAsia="Calibri" w:hAnsiTheme="majorHAnsi" w:cstheme="majorHAnsi"/>
          <w:sz w:val="24"/>
          <w:szCs w:val="24"/>
          <w:lang w:val="ro-MD"/>
        </w:rPr>
        <w:t xml:space="preserve">cărui </w:t>
      </w:r>
      <w:r w:rsidRPr="00C05E71">
        <w:rPr>
          <w:rFonts w:asciiTheme="majorHAnsi" w:eastAsia="Calibri" w:hAnsiTheme="majorHAnsi" w:cstheme="majorHAnsi"/>
          <w:sz w:val="24"/>
          <w:szCs w:val="24"/>
          <w:lang w:val="ro-MD"/>
        </w:rPr>
        <w:t>proprietar</w:t>
      </w:r>
      <w:r w:rsidR="00995184" w:rsidRPr="00C05E71">
        <w:rPr>
          <w:rFonts w:asciiTheme="majorHAnsi" w:eastAsia="Calibri" w:hAnsiTheme="majorHAnsi" w:cstheme="majorHAnsi"/>
          <w:sz w:val="24"/>
          <w:szCs w:val="24"/>
          <w:lang w:val="ro-MD"/>
        </w:rPr>
        <w:t>i</w:t>
      </w:r>
      <w:r w:rsidRPr="00C05E71">
        <w:rPr>
          <w:rFonts w:asciiTheme="majorHAnsi" w:eastAsia="Calibri" w:hAnsiTheme="majorHAnsi" w:cstheme="majorHAnsi"/>
          <w:sz w:val="24"/>
          <w:szCs w:val="24"/>
          <w:lang w:val="ro-MD"/>
        </w:rPr>
        <w:t xml:space="preserve"> sunt APL de nivelul I -  beneficiarii finali ai surselor parvenite din grantul oferit de către Uniunea Europeană, în cadrul proiectului SLPA</w:t>
      </w:r>
      <w:r w:rsidRPr="00C05E71">
        <w:rPr>
          <w:rFonts w:asciiTheme="majorHAnsi" w:eastAsia="Calibri" w:hAnsiTheme="majorHAnsi" w:cstheme="majorHAnsi"/>
          <w:sz w:val="24"/>
          <w:szCs w:val="24"/>
          <w:vertAlign w:val="superscript"/>
          <w:lang w:val="ro-MD"/>
        </w:rPr>
        <w:footnoteReference w:id="15"/>
      </w:r>
      <w:r w:rsidRPr="00C05E71">
        <w:rPr>
          <w:rFonts w:asciiTheme="majorHAnsi" w:eastAsia="Calibri" w:hAnsiTheme="majorHAnsi" w:cstheme="majorHAnsi"/>
          <w:sz w:val="24"/>
          <w:szCs w:val="24"/>
          <w:lang w:val="ro-MD"/>
        </w:rPr>
        <w:t xml:space="preserve">, ceea ce a condiționat supraevaluarea valorii mai multor conturi, și anume: </w:t>
      </w:r>
      <w:r w:rsidR="00995184" w:rsidRPr="00C05E71">
        <w:rPr>
          <w:rFonts w:asciiTheme="majorHAnsi" w:eastAsia="Calibri" w:hAnsiTheme="majorHAnsi" w:cstheme="majorHAnsi"/>
          <w:sz w:val="24"/>
          <w:szCs w:val="24"/>
          <w:lang w:val="ro-MD"/>
        </w:rPr>
        <w:t xml:space="preserve">a </w:t>
      </w:r>
      <w:r w:rsidRPr="00C05E71">
        <w:rPr>
          <w:rFonts w:asciiTheme="majorHAnsi" w:eastAsia="Calibri" w:hAnsiTheme="majorHAnsi" w:cstheme="majorHAnsi"/>
          <w:sz w:val="24"/>
          <w:szCs w:val="24"/>
          <w:lang w:val="ro-MD"/>
        </w:rPr>
        <w:t>contul</w:t>
      </w:r>
      <w:r w:rsidR="00995184" w:rsidRPr="00C05E71">
        <w:rPr>
          <w:rFonts w:asciiTheme="majorHAnsi" w:eastAsia="Calibri" w:hAnsiTheme="majorHAnsi" w:cstheme="majorHAnsi"/>
          <w:sz w:val="24"/>
          <w:szCs w:val="24"/>
          <w:lang w:val="ro-MD"/>
        </w:rPr>
        <w:t>ui</w:t>
      </w:r>
      <w:r w:rsidRPr="00C05E71">
        <w:rPr>
          <w:rFonts w:asciiTheme="majorHAnsi" w:eastAsia="Calibri" w:hAnsiTheme="majorHAnsi" w:cstheme="majorHAnsi"/>
          <w:sz w:val="24"/>
          <w:szCs w:val="24"/>
          <w:lang w:val="ro-MD"/>
        </w:rPr>
        <w:t xml:space="preserve"> 311 „Clădiri” – cu suma de </w:t>
      </w:r>
      <w:r w:rsidRPr="00C05E71">
        <w:rPr>
          <w:rFonts w:asciiTheme="majorHAnsi" w:eastAsia="Calibri" w:hAnsiTheme="majorHAnsi" w:cstheme="majorHAnsi"/>
          <w:b/>
          <w:sz w:val="24"/>
          <w:szCs w:val="24"/>
          <w:lang w:val="ro-MD"/>
        </w:rPr>
        <w:t>6 244,8 mii lei</w:t>
      </w:r>
      <w:r w:rsidRPr="00C05E71">
        <w:rPr>
          <w:rFonts w:asciiTheme="majorHAnsi" w:eastAsia="Calibri" w:hAnsiTheme="majorHAnsi" w:cstheme="majorHAnsi"/>
          <w:sz w:val="24"/>
          <w:szCs w:val="24"/>
          <w:lang w:val="ro-MD"/>
        </w:rPr>
        <w:t xml:space="preserve">; </w:t>
      </w:r>
      <w:r w:rsidR="00E13AFB" w:rsidRPr="00C05E71">
        <w:rPr>
          <w:rFonts w:asciiTheme="majorHAnsi" w:eastAsia="Calibri" w:hAnsiTheme="majorHAnsi" w:cstheme="majorHAnsi"/>
          <w:sz w:val="24"/>
          <w:szCs w:val="24"/>
          <w:lang w:val="ro-MD"/>
        </w:rPr>
        <w:t xml:space="preserve">a </w:t>
      </w:r>
      <w:r w:rsidRPr="00C05E71">
        <w:rPr>
          <w:rFonts w:asciiTheme="majorHAnsi" w:eastAsia="Calibri" w:hAnsiTheme="majorHAnsi" w:cstheme="majorHAnsi"/>
          <w:sz w:val="24"/>
          <w:szCs w:val="24"/>
          <w:lang w:val="ro-MD"/>
        </w:rPr>
        <w:t>contul</w:t>
      </w:r>
      <w:r w:rsidR="00E13AFB" w:rsidRPr="00C05E71">
        <w:rPr>
          <w:rFonts w:asciiTheme="majorHAnsi" w:eastAsia="Calibri" w:hAnsiTheme="majorHAnsi" w:cstheme="majorHAnsi"/>
          <w:sz w:val="24"/>
          <w:szCs w:val="24"/>
          <w:lang w:val="ro-MD"/>
        </w:rPr>
        <w:t xml:space="preserve">ui </w:t>
      </w:r>
      <w:r w:rsidRPr="00C05E71">
        <w:rPr>
          <w:rFonts w:asciiTheme="majorHAnsi" w:eastAsia="Calibri" w:hAnsiTheme="majorHAnsi" w:cstheme="majorHAnsi"/>
          <w:sz w:val="24"/>
          <w:szCs w:val="24"/>
          <w:lang w:val="ro-MD"/>
        </w:rPr>
        <w:t xml:space="preserve">312 „Construcții speciale” – cu </w:t>
      </w:r>
      <w:r w:rsidRPr="00C05E71">
        <w:rPr>
          <w:rFonts w:asciiTheme="majorHAnsi" w:eastAsia="Calibri" w:hAnsiTheme="majorHAnsi" w:cstheme="majorHAnsi"/>
          <w:b/>
          <w:sz w:val="24"/>
          <w:szCs w:val="24"/>
          <w:lang w:val="ro-MD"/>
        </w:rPr>
        <w:t>13 254,3 mii lei</w:t>
      </w:r>
      <w:r w:rsidRPr="00C05E71">
        <w:rPr>
          <w:rFonts w:asciiTheme="majorHAnsi" w:eastAsia="Calibri" w:hAnsiTheme="majorHAnsi" w:cstheme="majorHAnsi"/>
          <w:sz w:val="24"/>
          <w:szCs w:val="24"/>
          <w:lang w:val="ro-MD"/>
        </w:rPr>
        <w:t xml:space="preserve">; </w:t>
      </w:r>
      <w:r w:rsidR="00E13AFB" w:rsidRPr="00C05E71">
        <w:rPr>
          <w:rFonts w:asciiTheme="majorHAnsi" w:eastAsia="Calibri" w:hAnsiTheme="majorHAnsi" w:cstheme="majorHAnsi"/>
          <w:sz w:val="24"/>
          <w:szCs w:val="24"/>
          <w:lang w:val="ro-MD"/>
        </w:rPr>
        <w:t xml:space="preserve">a </w:t>
      </w:r>
      <w:r w:rsidRPr="00C05E71">
        <w:rPr>
          <w:rFonts w:asciiTheme="majorHAnsi" w:eastAsia="Calibri" w:hAnsiTheme="majorHAnsi" w:cstheme="majorHAnsi"/>
          <w:sz w:val="24"/>
          <w:szCs w:val="24"/>
          <w:lang w:val="ro-MD"/>
        </w:rPr>
        <w:t>contul</w:t>
      </w:r>
      <w:r w:rsidR="00E13AFB" w:rsidRPr="00C05E71">
        <w:rPr>
          <w:rFonts w:asciiTheme="majorHAnsi" w:eastAsia="Calibri" w:hAnsiTheme="majorHAnsi" w:cstheme="majorHAnsi"/>
          <w:sz w:val="24"/>
          <w:szCs w:val="24"/>
          <w:lang w:val="ro-MD"/>
        </w:rPr>
        <w:t>ui</w:t>
      </w:r>
      <w:r w:rsidRPr="00C05E71">
        <w:rPr>
          <w:rFonts w:asciiTheme="majorHAnsi" w:eastAsia="Calibri" w:hAnsiTheme="majorHAnsi" w:cstheme="majorHAnsi"/>
          <w:sz w:val="24"/>
          <w:szCs w:val="24"/>
          <w:lang w:val="ro-MD"/>
        </w:rPr>
        <w:t xml:space="preserve"> 313 „Instalații de transmisie” – cu </w:t>
      </w:r>
      <w:r w:rsidRPr="00C05E71">
        <w:rPr>
          <w:rFonts w:asciiTheme="majorHAnsi" w:eastAsia="Calibri" w:hAnsiTheme="majorHAnsi" w:cstheme="majorHAnsi"/>
          <w:b/>
          <w:sz w:val="24"/>
          <w:szCs w:val="24"/>
          <w:lang w:val="ro-MD"/>
        </w:rPr>
        <w:t>4 309,0 mii lei</w:t>
      </w:r>
      <w:r w:rsidRPr="00C05E71">
        <w:rPr>
          <w:rFonts w:asciiTheme="majorHAnsi" w:eastAsia="Calibri" w:hAnsiTheme="majorHAnsi" w:cstheme="majorHAnsi"/>
          <w:sz w:val="24"/>
          <w:szCs w:val="24"/>
          <w:lang w:val="ro-MD"/>
        </w:rPr>
        <w:t xml:space="preserve">; </w:t>
      </w:r>
      <w:r w:rsidR="00E13AFB" w:rsidRPr="00C05E71">
        <w:rPr>
          <w:rFonts w:asciiTheme="majorHAnsi" w:eastAsia="Calibri" w:hAnsiTheme="majorHAnsi" w:cstheme="majorHAnsi"/>
          <w:sz w:val="24"/>
          <w:szCs w:val="24"/>
          <w:lang w:val="ro-MD"/>
        </w:rPr>
        <w:t xml:space="preserve">a </w:t>
      </w:r>
      <w:r w:rsidRPr="00C05E71">
        <w:rPr>
          <w:rFonts w:asciiTheme="majorHAnsi" w:eastAsia="Calibri" w:hAnsiTheme="majorHAnsi" w:cstheme="majorHAnsi"/>
          <w:sz w:val="24"/>
          <w:szCs w:val="24"/>
          <w:lang w:val="ro-MD"/>
        </w:rPr>
        <w:t xml:space="preserve">contului 319 „Investiții capitale în active în curs de execuție” – cu suma de </w:t>
      </w:r>
      <w:r w:rsidRPr="00C05E71">
        <w:rPr>
          <w:rFonts w:asciiTheme="majorHAnsi" w:eastAsia="Calibri" w:hAnsiTheme="majorHAnsi" w:cstheme="majorHAnsi"/>
          <w:b/>
          <w:sz w:val="24"/>
          <w:szCs w:val="24"/>
          <w:lang w:val="ro-MD"/>
        </w:rPr>
        <w:t>17 021,6 mii lei;</w:t>
      </w:r>
      <w:r w:rsidRPr="00C05E71">
        <w:rPr>
          <w:rFonts w:asciiTheme="majorHAnsi" w:eastAsia="Calibri" w:hAnsiTheme="majorHAnsi" w:cstheme="majorHAnsi"/>
          <w:sz w:val="24"/>
          <w:szCs w:val="24"/>
          <w:lang w:val="ro-MD"/>
        </w:rPr>
        <w:t xml:space="preserve"> </w:t>
      </w:r>
      <w:r w:rsidR="00E13AFB" w:rsidRPr="00C05E71">
        <w:rPr>
          <w:rFonts w:asciiTheme="majorHAnsi" w:eastAsia="Calibri" w:hAnsiTheme="majorHAnsi" w:cstheme="majorHAnsi"/>
          <w:sz w:val="24"/>
          <w:szCs w:val="24"/>
          <w:lang w:val="ro-MD"/>
        </w:rPr>
        <w:t xml:space="preserve">a </w:t>
      </w:r>
      <w:r w:rsidRPr="00C05E71">
        <w:rPr>
          <w:rFonts w:asciiTheme="majorHAnsi" w:eastAsia="Calibri" w:hAnsiTheme="majorHAnsi" w:cstheme="majorHAnsi"/>
          <w:sz w:val="24"/>
          <w:szCs w:val="24"/>
          <w:lang w:val="ro-MD"/>
        </w:rPr>
        <w:t xml:space="preserve">contului 318 „Alte mijloace fixe” – cu suma de </w:t>
      </w:r>
      <w:r w:rsidRPr="00C05E71">
        <w:rPr>
          <w:rFonts w:asciiTheme="majorHAnsi" w:eastAsia="Calibri" w:hAnsiTheme="majorHAnsi" w:cstheme="majorHAnsi"/>
          <w:b/>
          <w:sz w:val="24"/>
          <w:szCs w:val="24"/>
          <w:lang w:val="ro-MD"/>
        </w:rPr>
        <w:t>339,3 mii lei</w:t>
      </w:r>
      <w:r w:rsidRPr="00C05E71">
        <w:rPr>
          <w:rFonts w:asciiTheme="majorHAnsi" w:eastAsia="Calibri" w:hAnsiTheme="majorHAnsi" w:cstheme="majorHAnsi"/>
          <w:sz w:val="24"/>
          <w:szCs w:val="24"/>
          <w:lang w:val="ro-MD"/>
        </w:rPr>
        <w:t xml:space="preserve">; </w:t>
      </w:r>
      <w:r w:rsidR="00E13AFB" w:rsidRPr="00C05E71">
        <w:rPr>
          <w:rFonts w:asciiTheme="majorHAnsi" w:eastAsia="Calibri" w:hAnsiTheme="majorHAnsi" w:cstheme="majorHAnsi"/>
          <w:sz w:val="24"/>
          <w:szCs w:val="24"/>
          <w:lang w:val="ro-MD"/>
        </w:rPr>
        <w:t xml:space="preserve">a </w:t>
      </w:r>
      <w:r w:rsidRPr="00C05E71">
        <w:rPr>
          <w:rFonts w:asciiTheme="majorHAnsi" w:eastAsia="Calibri" w:hAnsiTheme="majorHAnsi" w:cstheme="majorHAnsi"/>
          <w:sz w:val="24"/>
          <w:szCs w:val="24"/>
          <w:lang w:val="ro-MD"/>
        </w:rPr>
        <w:t>contul</w:t>
      </w:r>
      <w:r w:rsidR="00E13AFB" w:rsidRPr="00C05E71">
        <w:rPr>
          <w:rFonts w:asciiTheme="majorHAnsi" w:eastAsia="Calibri" w:hAnsiTheme="majorHAnsi" w:cstheme="majorHAnsi"/>
          <w:sz w:val="24"/>
          <w:szCs w:val="24"/>
          <w:lang w:val="ro-MD"/>
        </w:rPr>
        <w:t>ui</w:t>
      </w:r>
      <w:r w:rsidRPr="00C05E71">
        <w:rPr>
          <w:rFonts w:asciiTheme="majorHAnsi" w:eastAsia="Calibri" w:hAnsiTheme="majorHAnsi" w:cstheme="majorHAnsi"/>
          <w:sz w:val="24"/>
          <w:szCs w:val="24"/>
          <w:lang w:val="ro-MD"/>
        </w:rPr>
        <w:t xml:space="preserve"> 316 „Unelte și scule, inventar de producere și gospodăresc” – cu suma de </w:t>
      </w:r>
      <w:r w:rsidRPr="00C05E71">
        <w:rPr>
          <w:rFonts w:asciiTheme="majorHAnsi" w:eastAsia="Calibri" w:hAnsiTheme="majorHAnsi" w:cstheme="majorHAnsi"/>
          <w:b/>
          <w:sz w:val="24"/>
          <w:szCs w:val="24"/>
          <w:lang w:val="ro-MD"/>
        </w:rPr>
        <w:t>290,7 mii lei</w:t>
      </w:r>
      <w:r w:rsidR="00E13AFB" w:rsidRPr="00C05E71">
        <w:rPr>
          <w:rFonts w:asciiTheme="majorHAnsi" w:eastAsia="Calibri" w:hAnsiTheme="majorHAnsi" w:cstheme="majorHAnsi"/>
          <w:b/>
          <w:sz w:val="24"/>
          <w:szCs w:val="24"/>
          <w:lang w:val="ro-MD"/>
        </w:rPr>
        <w:t xml:space="preserve">, </w:t>
      </w:r>
      <w:r w:rsidRPr="00C05E71">
        <w:rPr>
          <w:rFonts w:asciiTheme="majorHAnsi" w:eastAsia="Calibri" w:hAnsiTheme="majorHAnsi" w:cstheme="majorHAnsi"/>
          <w:sz w:val="24"/>
          <w:szCs w:val="24"/>
          <w:lang w:val="ro-MD"/>
        </w:rPr>
        <w:t xml:space="preserve"> și </w:t>
      </w:r>
      <w:r w:rsidR="00E13AFB" w:rsidRPr="00C05E71">
        <w:rPr>
          <w:rFonts w:asciiTheme="majorHAnsi" w:eastAsia="Calibri" w:hAnsiTheme="majorHAnsi" w:cstheme="majorHAnsi"/>
          <w:sz w:val="24"/>
          <w:szCs w:val="24"/>
          <w:lang w:val="ro-MD"/>
        </w:rPr>
        <w:t xml:space="preserve">a </w:t>
      </w:r>
      <w:r w:rsidRPr="00C05E71">
        <w:rPr>
          <w:rFonts w:asciiTheme="majorHAnsi" w:eastAsia="Calibri" w:hAnsiTheme="majorHAnsi" w:cstheme="majorHAnsi"/>
          <w:sz w:val="24"/>
          <w:szCs w:val="24"/>
          <w:lang w:val="ro-MD"/>
        </w:rPr>
        <w:t>contul</w:t>
      </w:r>
      <w:r w:rsidR="00E13AFB" w:rsidRPr="00C05E71">
        <w:rPr>
          <w:rFonts w:asciiTheme="majorHAnsi" w:eastAsia="Calibri" w:hAnsiTheme="majorHAnsi" w:cstheme="majorHAnsi"/>
          <w:sz w:val="24"/>
          <w:szCs w:val="24"/>
          <w:lang w:val="ro-MD"/>
        </w:rPr>
        <w:t xml:space="preserve">ui </w:t>
      </w:r>
      <w:r w:rsidRPr="00C05E71">
        <w:rPr>
          <w:rFonts w:asciiTheme="majorHAnsi" w:eastAsia="Calibri" w:hAnsiTheme="majorHAnsi" w:cstheme="majorHAnsi"/>
          <w:sz w:val="24"/>
          <w:szCs w:val="24"/>
          <w:lang w:val="ro-MD"/>
        </w:rPr>
        <w:t xml:space="preserve">314 „Mașini și utilaje” – cu suma de </w:t>
      </w:r>
      <w:r w:rsidRPr="00C05E71">
        <w:rPr>
          <w:rFonts w:asciiTheme="majorHAnsi" w:eastAsia="Calibri" w:hAnsiTheme="majorHAnsi" w:cstheme="majorHAnsi"/>
          <w:b/>
          <w:sz w:val="24"/>
          <w:szCs w:val="24"/>
          <w:lang w:val="ro-MD"/>
        </w:rPr>
        <w:t>72,0 mii lei</w:t>
      </w:r>
      <w:r w:rsidRPr="00C05E71">
        <w:rPr>
          <w:rFonts w:asciiTheme="majorHAnsi" w:eastAsia="Calibri" w:hAnsiTheme="majorHAnsi" w:cstheme="majorHAnsi"/>
          <w:sz w:val="24"/>
          <w:szCs w:val="24"/>
          <w:lang w:val="ro-MD"/>
        </w:rPr>
        <w:t>.</w:t>
      </w:r>
    </w:p>
    <w:p w14:paraId="7F35B791" w14:textId="1BDBA4AD" w:rsidR="00E833ED" w:rsidRPr="00C05E71" w:rsidRDefault="0073621E" w:rsidP="00C05E71">
      <w:pPr>
        <w:pStyle w:val="ListParagraph"/>
        <w:spacing w:after="0" w:line="276" w:lineRule="auto"/>
        <w:ind w:left="35"/>
        <w:jc w:val="both"/>
        <w:rPr>
          <w:rFonts w:asciiTheme="majorHAnsi" w:eastAsia="Calibri" w:hAnsiTheme="majorHAnsi" w:cstheme="majorHAnsi"/>
          <w:sz w:val="24"/>
          <w:szCs w:val="24"/>
          <w:lang w:val="ro-MD"/>
        </w:rPr>
      </w:pPr>
      <w:r w:rsidRPr="00C05E71">
        <w:rPr>
          <w:rFonts w:asciiTheme="majorHAnsi" w:eastAsia="Calibri" w:hAnsiTheme="majorHAnsi" w:cstheme="majorHAnsi"/>
          <w:b/>
          <w:noProof/>
          <w:color w:val="000000" w:themeColor="text1"/>
          <w:sz w:val="24"/>
          <w:szCs w:val="24"/>
          <w:lang w:val="ro-MD"/>
        </w:rPr>
        <w:lastRenderedPageBreak/>
        <w:t>2.</w:t>
      </w:r>
      <w:r w:rsidR="0083172C" w:rsidRPr="00C05E71">
        <w:rPr>
          <w:rFonts w:asciiTheme="majorHAnsi" w:eastAsia="Calibri" w:hAnsiTheme="majorHAnsi" w:cstheme="majorHAnsi"/>
          <w:b/>
          <w:noProof/>
          <w:color w:val="000000" w:themeColor="text1"/>
          <w:sz w:val="24"/>
          <w:szCs w:val="24"/>
          <w:lang w:val="ro-MD"/>
        </w:rPr>
        <w:t>6</w:t>
      </w:r>
      <w:r w:rsidRPr="00C05E71">
        <w:rPr>
          <w:rFonts w:asciiTheme="majorHAnsi" w:eastAsia="Calibri" w:hAnsiTheme="majorHAnsi" w:cstheme="majorHAnsi"/>
          <w:b/>
          <w:noProof/>
          <w:color w:val="000000" w:themeColor="text1"/>
          <w:sz w:val="24"/>
          <w:szCs w:val="24"/>
          <w:lang w:val="ro-MD"/>
        </w:rPr>
        <w:t xml:space="preserve">. </w:t>
      </w:r>
      <w:r w:rsidR="006858F6" w:rsidRPr="00C05E71">
        <w:rPr>
          <w:rFonts w:asciiTheme="majorHAnsi" w:eastAsia="Calibri" w:hAnsiTheme="majorHAnsi" w:cstheme="majorHAnsi"/>
          <w:sz w:val="24"/>
          <w:szCs w:val="24"/>
          <w:lang w:val="ro-MD"/>
        </w:rPr>
        <w:t xml:space="preserve">Supraevaluarea contului 311 „Clădiri” </w:t>
      </w:r>
      <w:r w:rsidR="008D3ED7" w:rsidRPr="00C05E71">
        <w:rPr>
          <w:rFonts w:asciiTheme="majorHAnsi" w:eastAsia="Calibri" w:hAnsiTheme="majorHAnsi" w:cstheme="majorHAnsi"/>
          <w:sz w:val="24"/>
          <w:szCs w:val="24"/>
          <w:lang w:val="ro-MD"/>
        </w:rPr>
        <w:t xml:space="preserve">cu suma de </w:t>
      </w:r>
      <w:r w:rsidR="008D3ED7" w:rsidRPr="00C05E71">
        <w:rPr>
          <w:rFonts w:asciiTheme="majorHAnsi" w:eastAsia="Calibri" w:hAnsiTheme="majorHAnsi" w:cstheme="majorHAnsi"/>
          <w:b/>
          <w:sz w:val="24"/>
          <w:szCs w:val="24"/>
          <w:lang w:val="ro-MD"/>
        </w:rPr>
        <w:t>5</w:t>
      </w:r>
      <w:r w:rsidR="00D1736C" w:rsidRPr="00C05E71">
        <w:rPr>
          <w:rFonts w:asciiTheme="majorHAnsi" w:eastAsia="Calibri" w:hAnsiTheme="majorHAnsi" w:cstheme="majorHAnsi"/>
          <w:b/>
          <w:sz w:val="24"/>
          <w:szCs w:val="24"/>
          <w:lang w:val="ro-MD"/>
        </w:rPr>
        <w:t xml:space="preserve"> </w:t>
      </w:r>
      <w:r w:rsidR="008D3ED7" w:rsidRPr="00C05E71">
        <w:rPr>
          <w:rFonts w:asciiTheme="majorHAnsi" w:eastAsia="Calibri" w:hAnsiTheme="majorHAnsi" w:cstheme="majorHAnsi"/>
          <w:b/>
          <w:sz w:val="24"/>
          <w:szCs w:val="24"/>
          <w:lang w:val="ro-MD"/>
        </w:rPr>
        <w:t xml:space="preserve">823,9 </w:t>
      </w:r>
      <w:r w:rsidR="008D3ED7" w:rsidRPr="00C05E71">
        <w:rPr>
          <w:rFonts w:asciiTheme="majorHAnsi" w:hAnsiTheme="majorHAnsi" w:cstheme="majorHAnsi"/>
          <w:b/>
          <w:sz w:val="24"/>
          <w:szCs w:val="24"/>
          <w:lang w:val="ro-MD"/>
        </w:rPr>
        <w:t>mii lei</w:t>
      </w:r>
      <w:r w:rsidR="002A107D" w:rsidRPr="00C05E71">
        <w:rPr>
          <w:rFonts w:asciiTheme="majorHAnsi" w:hAnsiTheme="majorHAnsi" w:cstheme="majorHAnsi"/>
          <w:b/>
          <w:sz w:val="24"/>
          <w:szCs w:val="24"/>
          <w:lang w:val="ro-MD"/>
        </w:rPr>
        <w:t>,</w:t>
      </w:r>
      <w:r w:rsidR="008D3ED7" w:rsidRPr="00C05E71">
        <w:rPr>
          <w:rFonts w:asciiTheme="majorHAnsi" w:eastAsia="Calibri" w:hAnsiTheme="majorHAnsi" w:cstheme="majorHAnsi"/>
          <w:sz w:val="24"/>
          <w:szCs w:val="24"/>
          <w:lang w:val="ro-MD"/>
        </w:rPr>
        <w:t xml:space="preserve"> </w:t>
      </w:r>
      <w:r w:rsidR="006858F6" w:rsidRPr="00C05E71">
        <w:rPr>
          <w:rFonts w:asciiTheme="majorHAnsi" w:eastAsia="Calibri" w:hAnsiTheme="majorHAnsi" w:cstheme="majorHAnsi"/>
          <w:sz w:val="24"/>
          <w:szCs w:val="24"/>
          <w:lang w:val="ro-MD"/>
        </w:rPr>
        <w:t>condiționată de:</w:t>
      </w:r>
    </w:p>
    <w:p w14:paraId="4AD03F8B" w14:textId="26C2D4ED" w:rsidR="00E833ED" w:rsidRPr="00C05E71" w:rsidRDefault="006858F6" w:rsidP="00C05E71">
      <w:pPr>
        <w:pStyle w:val="ListParagraph"/>
        <w:spacing w:after="0" w:line="276" w:lineRule="auto"/>
        <w:ind w:left="35"/>
        <w:jc w:val="both"/>
        <w:rPr>
          <w:rFonts w:asciiTheme="majorHAnsi" w:hAnsiTheme="majorHAnsi" w:cstheme="majorHAnsi"/>
          <w:b/>
          <w:sz w:val="24"/>
          <w:szCs w:val="24"/>
          <w:lang w:val="ro-MD"/>
        </w:rPr>
      </w:pPr>
      <w:r w:rsidRPr="00C05E71">
        <w:rPr>
          <w:rFonts w:asciiTheme="majorHAnsi" w:eastAsia="Times New Roman" w:hAnsiTheme="majorHAnsi" w:cstheme="majorHAnsi"/>
          <w:b/>
          <w:sz w:val="24"/>
          <w:szCs w:val="24"/>
          <w:lang w:val="ro-MD"/>
        </w:rPr>
        <w:t xml:space="preserve">- </w:t>
      </w:r>
      <w:r w:rsidR="00E833ED" w:rsidRPr="00C05E71">
        <w:rPr>
          <w:rFonts w:asciiTheme="majorHAnsi" w:hAnsiTheme="majorHAnsi" w:cstheme="majorHAnsi"/>
          <w:sz w:val="24"/>
          <w:szCs w:val="24"/>
          <w:lang w:val="ro-MD"/>
        </w:rPr>
        <w:t>r</w:t>
      </w:r>
      <w:r w:rsidRPr="00C05E71">
        <w:rPr>
          <w:rFonts w:asciiTheme="majorHAnsi" w:hAnsiTheme="majorHAnsi" w:cstheme="majorHAnsi"/>
          <w:sz w:val="24"/>
          <w:szCs w:val="24"/>
          <w:lang w:val="ro-MD"/>
        </w:rPr>
        <w:t>aportarea eronată a valorii reparațiilor capitale</w:t>
      </w:r>
      <w:r w:rsidR="002A107D" w:rsidRPr="00C05E71">
        <w:rPr>
          <w:rFonts w:asciiTheme="majorHAnsi" w:hAnsiTheme="majorHAnsi" w:cstheme="majorHAnsi"/>
          <w:sz w:val="24"/>
          <w:szCs w:val="24"/>
          <w:lang w:val="ro-MD"/>
        </w:rPr>
        <w:t>,</w:t>
      </w:r>
      <w:r w:rsidR="008D3ED7" w:rsidRPr="00C05E71">
        <w:rPr>
          <w:rFonts w:asciiTheme="majorHAnsi" w:hAnsiTheme="majorHAnsi" w:cstheme="majorHAnsi"/>
          <w:sz w:val="24"/>
          <w:szCs w:val="24"/>
          <w:lang w:val="ro-MD"/>
        </w:rPr>
        <w:t xml:space="preserve"> în sumă de </w:t>
      </w:r>
      <w:r w:rsidR="008D3ED7" w:rsidRPr="00C05E71">
        <w:rPr>
          <w:rFonts w:asciiTheme="majorHAnsi" w:hAnsiTheme="majorHAnsi" w:cstheme="majorHAnsi"/>
          <w:b/>
          <w:sz w:val="24"/>
          <w:szCs w:val="24"/>
          <w:lang w:val="ro-MD"/>
        </w:rPr>
        <w:t>2 259,0 mii lei</w:t>
      </w:r>
      <w:r w:rsidR="008D3ED7" w:rsidRPr="00C05E71">
        <w:rPr>
          <w:rFonts w:asciiTheme="majorHAnsi" w:hAnsiTheme="majorHAnsi" w:cstheme="majorHAnsi"/>
          <w:sz w:val="24"/>
          <w:szCs w:val="24"/>
          <w:vertAlign w:val="superscript"/>
          <w:lang w:val="ro-MD"/>
        </w:rPr>
        <w:footnoteReference w:id="16"/>
      </w:r>
      <w:r w:rsidRPr="00C05E71">
        <w:rPr>
          <w:rFonts w:asciiTheme="majorHAnsi" w:hAnsiTheme="majorHAnsi" w:cstheme="majorHAnsi"/>
          <w:sz w:val="24"/>
          <w:szCs w:val="24"/>
          <w:lang w:val="ro-MD"/>
        </w:rPr>
        <w:t xml:space="preserve">, </w:t>
      </w:r>
      <w:r w:rsidR="0089416A" w:rsidRPr="00C05E71">
        <w:rPr>
          <w:rFonts w:asciiTheme="majorHAnsi" w:hAnsiTheme="majorHAnsi" w:cstheme="majorHAnsi"/>
          <w:sz w:val="24"/>
          <w:szCs w:val="24"/>
          <w:lang w:val="ro-MD"/>
        </w:rPr>
        <w:t xml:space="preserve">ale bunurilor imobile, </w:t>
      </w:r>
      <w:r w:rsidRPr="00C05E71">
        <w:rPr>
          <w:rFonts w:asciiTheme="majorHAnsi" w:hAnsiTheme="majorHAnsi" w:cstheme="majorHAnsi"/>
          <w:sz w:val="24"/>
          <w:szCs w:val="24"/>
          <w:lang w:val="ro-MD"/>
        </w:rPr>
        <w:t>administrate cu drept de comodat de către 6 instituții de învățământ</w:t>
      </w:r>
      <w:r w:rsidR="002A107D" w:rsidRPr="00C05E71">
        <w:rPr>
          <w:rFonts w:asciiTheme="majorHAnsi" w:hAnsiTheme="majorHAnsi" w:cstheme="majorHAnsi"/>
          <w:sz w:val="24"/>
          <w:szCs w:val="24"/>
          <w:lang w:val="ro-MD"/>
        </w:rPr>
        <w:t>,</w:t>
      </w:r>
      <w:r w:rsidRPr="00C05E71">
        <w:rPr>
          <w:rFonts w:asciiTheme="majorHAnsi" w:hAnsiTheme="majorHAnsi" w:cstheme="majorHAnsi"/>
          <w:sz w:val="24"/>
          <w:szCs w:val="24"/>
          <w:lang w:val="ro-MD"/>
        </w:rPr>
        <w:t xml:space="preserve"> și subevaluarea contului 822100 „Active luate în locațiune/arendă”;</w:t>
      </w:r>
    </w:p>
    <w:p w14:paraId="322299BA" w14:textId="460ACAF1" w:rsidR="00E833ED" w:rsidRPr="00C05E71" w:rsidRDefault="00E833ED" w:rsidP="00C05E71">
      <w:pPr>
        <w:pStyle w:val="ListParagraph"/>
        <w:spacing w:after="0" w:line="276" w:lineRule="auto"/>
        <w:ind w:left="35"/>
        <w:jc w:val="both"/>
        <w:rPr>
          <w:rFonts w:asciiTheme="majorHAnsi" w:hAnsiTheme="majorHAnsi" w:cstheme="majorHAnsi"/>
          <w:b/>
          <w:sz w:val="24"/>
          <w:szCs w:val="24"/>
          <w:lang w:val="ro-MD"/>
        </w:rPr>
      </w:pPr>
      <w:r w:rsidRPr="00C05E71">
        <w:rPr>
          <w:rFonts w:asciiTheme="majorHAnsi" w:eastAsia="Times New Roman" w:hAnsiTheme="majorHAnsi" w:cstheme="majorHAnsi"/>
          <w:b/>
          <w:sz w:val="24"/>
          <w:szCs w:val="24"/>
          <w:lang w:val="ro-MD"/>
        </w:rPr>
        <w:t xml:space="preserve">- </w:t>
      </w:r>
      <w:r w:rsidRPr="00C05E71">
        <w:rPr>
          <w:rFonts w:asciiTheme="majorHAnsi" w:eastAsia="Times New Roman" w:hAnsiTheme="majorHAnsi" w:cstheme="majorHAnsi"/>
          <w:sz w:val="24"/>
          <w:szCs w:val="24"/>
          <w:lang w:val="ro-MD"/>
        </w:rPr>
        <w:t>raportarea</w:t>
      </w:r>
      <w:r w:rsidR="006858F6" w:rsidRPr="00C05E71">
        <w:rPr>
          <w:rFonts w:asciiTheme="majorHAnsi" w:hAnsiTheme="majorHAnsi" w:cstheme="majorHAnsi"/>
          <w:b/>
          <w:sz w:val="24"/>
          <w:szCs w:val="24"/>
          <w:lang w:val="ro-MD"/>
        </w:rPr>
        <w:t xml:space="preserve"> </w:t>
      </w:r>
      <w:r w:rsidR="006858F6" w:rsidRPr="00C05E71">
        <w:rPr>
          <w:rFonts w:asciiTheme="majorHAnsi" w:eastAsia="Calibri" w:hAnsiTheme="majorHAnsi" w:cstheme="majorHAnsi"/>
          <w:noProof/>
          <w:sz w:val="24"/>
          <w:szCs w:val="24"/>
          <w:lang w:val="ro-MD"/>
        </w:rPr>
        <w:t>lucrărilor de reparație capitală a clădirii LT</w:t>
      </w:r>
      <w:r w:rsidRPr="00C05E71">
        <w:rPr>
          <w:rFonts w:asciiTheme="majorHAnsi" w:eastAsia="Calibri" w:hAnsiTheme="majorHAnsi" w:cstheme="majorHAnsi"/>
          <w:noProof/>
          <w:sz w:val="24"/>
          <w:szCs w:val="24"/>
          <w:lang w:val="ro-MD"/>
        </w:rPr>
        <w:t xml:space="preserve"> „M. Eminescu” din mun. Comrat</w:t>
      </w:r>
      <w:r w:rsidR="008D3ED7" w:rsidRPr="00C05E71">
        <w:rPr>
          <w:rFonts w:asciiTheme="majorHAnsi" w:eastAsia="Calibri" w:hAnsiTheme="majorHAnsi" w:cstheme="majorHAnsi"/>
          <w:noProof/>
          <w:sz w:val="24"/>
          <w:szCs w:val="24"/>
          <w:lang w:val="ro-MD"/>
        </w:rPr>
        <w:t>,</w:t>
      </w:r>
      <w:r w:rsidRPr="00C05E71">
        <w:rPr>
          <w:rFonts w:asciiTheme="majorHAnsi" w:eastAsia="Calibri" w:hAnsiTheme="majorHAnsi" w:cstheme="majorHAnsi"/>
          <w:noProof/>
          <w:sz w:val="24"/>
          <w:szCs w:val="24"/>
          <w:lang w:val="ro-MD"/>
        </w:rPr>
        <w:t xml:space="preserve"> </w:t>
      </w:r>
      <w:r w:rsidR="008D3ED7" w:rsidRPr="00C05E71">
        <w:rPr>
          <w:rFonts w:asciiTheme="majorHAnsi" w:eastAsia="Calibri" w:hAnsiTheme="majorHAnsi" w:cstheme="majorHAnsi"/>
          <w:noProof/>
          <w:sz w:val="24"/>
          <w:szCs w:val="24"/>
          <w:lang w:val="ro-MD"/>
        </w:rPr>
        <w:t>în lipsa recepției acest</w:t>
      </w:r>
      <w:r w:rsidR="0089416A" w:rsidRPr="00C05E71">
        <w:rPr>
          <w:rFonts w:asciiTheme="majorHAnsi" w:eastAsia="Calibri" w:hAnsiTheme="majorHAnsi" w:cstheme="majorHAnsi"/>
          <w:noProof/>
          <w:sz w:val="24"/>
          <w:szCs w:val="24"/>
          <w:lang w:val="ro-MD"/>
        </w:rPr>
        <w:t>ora</w:t>
      </w:r>
      <w:r w:rsidR="008D3ED7" w:rsidRPr="00C05E71">
        <w:rPr>
          <w:rFonts w:asciiTheme="majorHAnsi" w:eastAsia="Calibri" w:hAnsiTheme="majorHAnsi" w:cstheme="majorHAnsi"/>
          <w:noProof/>
          <w:sz w:val="24"/>
          <w:szCs w:val="24"/>
          <w:lang w:val="ro-MD"/>
        </w:rPr>
        <w:t xml:space="preserve">, </w:t>
      </w:r>
      <w:r w:rsidR="006858F6" w:rsidRPr="00C05E71">
        <w:rPr>
          <w:rFonts w:asciiTheme="majorHAnsi" w:eastAsia="Calibri" w:hAnsiTheme="majorHAnsi" w:cstheme="majorHAnsi"/>
          <w:noProof/>
          <w:sz w:val="24"/>
          <w:szCs w:val="24"/>
          <w:lang w:val="ro-MD"/>
        </w:rPr>
        <w:t>diminu</w:t>
      </w:r>
      <w:r w:rsidR="003A5862" w:rsidRPr="00C05E71">
        <w:rPr>
          <w:rFonts w:asciiTheme="majorHAnsi" w:eastAsia="Calibri" w:hAnsiTheme="majorHAnsi" w:cstheme="majorHAnsi"/>
          <w:noProof/>
          <w:sz w:val="24"/>
          <w:szCs w:val="24"/>
          <w:lang w:val="ro-MD"/>
        </w:rPr>
        <w:t xml:space="preserve">ând </w:t>
      </w:r>
      <w:r w:rsidR="006858F6" w:rsidRPr="00C05E71">
        <w:rPr>
          <w:rFonts w:asciiTheme="majorHAnsi" w:eastAsia="Calibri" w:hAnsiTheme="majorHAnsi" w:cstheme="majorHAnsi"/>
          <w:noProof/>
          <w:sz w:val="24"/>
          <w:szCs w:val="24"/>
          <w:lang w:val="ro-MD"/>
        </w:rPr>
        <w:t>valo</w:t>
      </w:r>
      <w:r w:rsidR="003A5862" w:rsidRPr="00C05E71">
        <w:rPr>
          <w:rFonts w:asciiTheme="majorHAnsi" w:eastAsia="Calibri" w:hAnsiTheme="majorHAnsi" w:cstheme="majorHAnsi"/>
          <w:noProof/>
          <w:sz w:val="24"/>
          <w:szCs w:val="24"/>
          <w:lang w:val="ro-MD"/>
        </w:rPr>
        <w:t>a</w:t>
      </w:r>
      <w:r w:rsidR="006858F6" w:rsidRPr="00C05E71">
        <w:rPr>
          <w:rFonts w:asciiTheme="majorHAnsi" w:eastAsia="Calibri" w:hAnsiTheme="majorHAnsi" w:cstheme="majorHAnsi"/>
          <w:noProof/>
          <w:sz w:val="24"/>
          <w:szCs w:val="24"/>
          <w:lang w:val="ro-MD"/>
        </w:rPr>
        <w:t>r</w:t>
      </w:r>
      <w:r w:rsidR="003A5862" w:rsidRPr="00C05E71">
        <w:rPr>
          <w:rFonts w:asciiTheme="majorHAnsi" w:eastAsia="Calibri" w:hAnsiTheme="majorHAnsi" w:cstheme="majorHAnsi"/>
          <w:noProof/>
          <w:sz w:val="24"/>
          <w:szCs w:val="24"/>
          <w:lang w:val="ro-MD"/>
        </w:rPr>
        <w:t>ea</w:t>
      </w:r>
      <w:r w:rsidR="006858F6" w:rsidRPr="00C05E71">
        <w:rPr>
          <w:rFonts w:asciiTheme="majorHAnsi" w:eastAsia="Calibri" w:hAnsiTheme="majorHAnsi" w:cstheme="majorHAnsi"/>
          <w:noProof/>
          <w:sz w:val="24"/>
          <w:szCs w:val="24"/>
          <w:lang w:val="ro-MD"/>
        </w:rPr>
        <w:t xml:space="preserve"> contului 319 </w:t>
      </w:r>
      <w:r w:rsidR="0089416A" w:rsidRPr="00C05E71">
        <w:rPr>
          <w:rFonts w:asciiTheme="majorHAnsi" w:eastAsia="Calibri" w:hAnsiTheme="majorHAnsi" w:cstheme="majorHAnsi"/>
          <w:noProof/>
          <w:sz w:val="24"/>
          <w:szCs w:val="24"/>
          <w:lang w:val="ro-MD"/>
        </w:rPr>
        <w:t>„I</w:t>
      </w:r>
      <w:r w:rsidR="006858F6" w:rsidRPr="00C05E71">
        <w:rPr>
          <w:rFonts w:asciiTheme="majorHAnsi" w:eastAsia="Calibri" w:hAnsiTheme="majorHAnsi" w:cstheme="majorHAnsi"/>
          <w:noProof/>
          <w:sz w:val="24"/>
          <w:szCs w:val="24"/>
          <w:lang w:val="ro-MD"/>
        </w:rPr>
        <w:t>nvestiții capitale în active în curs de execuție</w:t>
      </w:r>
      <w:r w:rsidRPr="00C05E71">
        <w:rPr>
          <w:rFonts w:asciiTheme="majorHAnsi" w:eastAsia="Calibri" w:hAnsiTheme="majorHAnsi" w:cstheme="majorHAnsi"/>
          <w:noProof/>
          <w:sz w:val="24"/>
          <w:szCs w:val="24"/>
          <w:lang w:val="ro-MD"/>
        </w:rPr>
        <w:t>”</w:t>
      </w:r>
      <w:r w:rsidRPr="00C05E71">
        <w:rPr>
          <w:rFonts w:asciiTheme="majorHAnsi" w:eastAsia="Calibri" w:hAnsiTheme="majorHAnsi" w:cstheme="majorHAnsi"/>
          <w:i/>
          <w:noProof/>
          <w:sz w:val="24"/>
          <w:szCs w:val="24"/>
          <w:lang w:val="ro-MD"/>
        </w:rPr>
        <w:t xml:space="preserve"> </w:t>
      </w:r>
      <w:r w:rsidR="006858F6" w:rsidRPr="00C05E71">
        <w:rPr>
          <w:rFonts w:asciiTheme="majorHAnsi" w:eastAsia="Calibri" w:hAnsiTheme="majorHAnsi" w:cstheme="majorHAnsi"/>
          <w:i/>
          <w:noProof/>
          <w:sz w:val="24"/>
          <w:szCs w:val="24"/>
          <w:lang w:val="ro-MD"/>
        </w:rPr>
        <w:t xml:space="preserve"> </w:t>
      </w:r>
      <w:r w:rsidR="003A5862" w:rsidRPr="00C05E71">
        <w:rPr>
          <w:rFonts w:asciiTheme="majorHAnsi" w:eastAsia="Calibri" w:hAnsiTheme="majorHAnsi" w:cstheme="majorHAnsi"/>
          <w:noProof/>
          <w:sz w:val="24"/>
          <w:szCs w:val="24"/>
          <w:lang w:val="ro-MD"/>
        </w:rPr>
        <w:t xml:space="preserve">cu </w:t>
      </w:r>
      <w:r w:rsidRPr="00C05E71">
        <w:rPr>
          <w:rFonts w:asciiTheme="majorHAnsi" w:eastAsia="Calibri" w:hAnsiTheme="majorHAnsi" w:cstheme="majorHAnsi"/>
          <w:noProof/>
          <w:sz w:val="24"/>
          <w:szCs w:val="24"/>
          <w:lang w:val="ro-MD"/>
        </w:rPr>
        <w:t>sum</w:t>
      </w:r>
      <w:r w:rsidR="003A5862" w:rsidRPr="00C05E71">
        <w:rPr>
          <w:rFonts w:asciiTheme="majorHAnsi" w:eastAsia="Calibri" w:hAnsiTheme="majorHAnsi" w:cstheme="majorHAnsi"/>
          <w:noProof/>
          <w:sz w:val="24"/>
          <w:szCs w:val="24"/>
          <w:lang w:val="ro-MD"/>
        </w:rPr>
        <w:t>a</w:t>
      </w:r>
      <w:r w:rsidRPr="00C05E71">
        <w:rPr>
          <w:rFonts w:asciiTheme="majorHAnsi" w:eastAsia="Calibri" w:hAnsiTheme="majorHAnsi" w:cstheme="majorHAnsi"/>
          <w:noProof/>
          <w:sz w:val="24"/>
          <w:szCs w:val="24"/>
          <w:lang w:val="ro-MD"/>
        </w:rPr>
        <w:t xml:space="preserve"> de </w:t>
      </w:r>
      <w:r w:rsidRPr="00C05E71">
        <w:rPr>
          <w:rFonts w:asciiTheme="majorHAnsi" w:eastAsia="Calibri" w:hAnsiTheme="majorHAnsi" w:cstheme="majorHAnsi"/>
          <w:b/>
          <w:noProof/>
          <w:sz w:val="24"/>
          <w:szCs w:val="24"/>
          <w:lang w:val="ro-MD"/>
        </w:rPr>
        <w:t>2</w:t>
      </w:r>
      <w:r w:rsidR="00DC7063" w:rsidRPr="00C05E71">
        <w:rPr>
          <w:rFonts w:asciiTheme="majorHAnsi" w:eastAsia="Calibri" w:hAnsiTheme="majorHAnsi" w:cstheme="majorHAnsi"/>
          <w:b/>
          <w:noProof/>
          <w:sz w:val="24"/>
          <w:szCs w:val="24"/>
          <w:lang w:val="ro-MD"/>
        </w:rPr>
        <w:t xml:space="preserve"> </w:t>
      </w:r>
      <w:r w:rsidRPr="00C05E71">
        <w:rPr>
          <w:rFonts w:asciiTheme="majorHAnsi" w:eastAsia="Calibri" w:hAnsiTheme="majorHAnsi" w:cstheme="majorHAnsi"/>
          <w:b/>
          <w:noProof/>
          <w:sz w:val="24"/>
          <w:szCs w:val="24"/>
          <w:lang w:val="ro-MD"/>
        </w:rPr>
        <w:t>107,7 mii lei;</w:t>
      </w:r>
    </w:p>
    <w:p w14:paraId="7470536D" w14:textId="77777777" w:rsidR="00E833ED" w:rsidRPr="00C05E71" w:rsidRDefault="006858F6" w:rsidP="00C05E71">
      <w:pPr>
        <w:pStyle w:val="ListParagraph"/>
        <w:spacing w:after="0" w:line="276" w:lineRule="auto"/>
        <w:ind w:left="35"/>
        <w:jc w:val="both"/>
        <w:rPr>
          <w:rFonts w:asciiTheme="majorHAnsi" w:hAnsiTheme="majorHAnsi" w:cstheme="majorHAnsi"/>
          <w:b/>
          <w:sz w:val="24"/>
          <w:szCs w:val="24"/>
          <w:lang w:val="ro-MD"/>
        </w:rPr>
      </w:pPr>
      <w:r w:rsidRPr="00C05E71">
        <w:rPr>
          <w:rFonts w:asciiTheme="majorHAnsi" w:eastAsia="Calibri" w:hAnsiTheme="majorHAnsi" w:cstheme="majorHAnsi"/>
          <w:noProof/>
          <w:sz w:val="24"/>
          <w:szCs w:val="24"/>
          <w:lang w:val="ro-MD"/>
        </w:rPr>
        <w:t xml:space="preserve">- </w:t>
      </w:r>
      <w:r w:rsidR="00E833ED" w:rsidRPr="00C05E71">
        <w:rPr>
          <w:rFonts w:asciiTheme="majorHAnsi" w:hAnsiTheme="majorHAnsi" w:cstheme="majorHAnsi"/>
          <w:sz w:val="24"/>
          <w:szCs w:val="24"/>
          <w:lang w:val="ro-MD"/>
        </w:rPr>
        <w:t>n</w:t>
      </w:r>
      <w:r w:rsidRPr="00C05E71">
        <w:rPr>
          <w:rFonts w:asciiTheme="majorHAnsi" w:hAnsiTheme="majorHAnsi" w:cstheme="majorHAnsi"/>
          <w:sz w:val="24"/>
          <w:szCs w:val="24"/>
          <w:lang w:val="ro-MD"/>
        </w:rPr>
        <w:t xml:space="preserve">etransmiterea valorii investițiilor, executate în anul 2019, proprietarului bunului imobil cu suma de </w:t>
      </w:r>
      <w:r w:rsidRPr="00C05E71">
        <w:rPr>
          <w:rFonts w:asciiTheme="majorHAnsi" w:hAnsiTheme="majorHAnsi" w:cstheme="majorHAnsi"/>
          <w:b/>
          <w:sz w:val="24"/>
          <w:szCs w:val="24"/>
          <w:lang w:val="ro-MD"/>
        </w:rPr>
        <w:t>1</w:t>
      </w:r>
      <w:r w:rsidR="00C153BA" w:rsidRPr="00C05E71">
        <w:rPr>
          <w:rFonts w:asciiTheme="majorHAnsi" w:hAnsiTheme="majorHAnsi" w:cstheme="majorHAnsi"/>
          <w:b/>
          <w:sz w:val="24"/>
          <w:szCs w:val="24"/>
          <w:lang w:val="ro-MD"/>
        </w:rPr>
        <w:t xml:space="preserve"> </w:t>
      </w:r>
      <w:r w:rsidRPr="00C05E71">
        <w:rPr>
          <w:rFonts w:asciiTheme="majorHAnsi" w:hAnsiTheme="majorHAnsi" w:cstheme="majorHAnsi"/>
          <w:b/>
          <w:sz w:val="24"/>
          <w:szCs w:val="24"/>
          <w:lang w:val="ro-MD"/>
        </w:rPr>
        <w:t>102,7 mii lei</w:t>
      </w:r>
      <w:r w:rsidRPr="00C05E71">
        <w:rPr>
          <w:rFonts w:asciiTheme="majorHAnsi" w:hAnsiTheme="majorHAnsi" w:cstheme="majorHAnsi"/>
          <w:sz w:val="24"/>
          <w:szCs w:val="24"/>
          <w:vertAlign w:val="superscript"/>
          <w:lang w:val="ro-MD"/>
        </w:rPr>
        <w:footnoteReference w:id="17"/>
      </w:r>
      <w:r w:rsidRPr="00C05E71">
        <w:rPr>
          <w:rFonts w:asciiTheme="majorHAnsi" w:hAnsiTheme="majorHAnsi" w:cstheme="majorHAnsi"/>
          <w:b/>
          <w:sz w:val="24"/>
          <w:szCs w:val="24"/>
          <w:lang w:val="ro-MD"/>
        </w:rPr>
        <w:t>;</w:t>
      </w:r>
    </w:p>
    <w:p w14:paraId="143D7B28" w14:textId="27185280" w:rsidR="0073621E" w:rsidRPr="00C05E71" w:rsidRDefault="006858F6" w:rsidP="00C05E71">
      <w:pPr>
        <w:pStyle w:val="ListParagraph"/>
        <w:spacing w:after="0" w:line="276" w:lineRule="auto"/>
        <w:ind w:left="35"/>
        <w:jc w:val="both"/>
        <w:rPr>
          <w:rFonts w:asciiTheme="majorHAnsi" w:hAnsiTheme="majorHAnsi" w:cstheme="majorHAnsi"/>
          <w:sz w:val="24"/>
          <w:szCs w:val="24"/>
          <w:lang w:val="ro-MD"/>
        </w:rPr>
      </w:pPr>
      <w:r w:rsidRPr="00C05E71">
        <w:rPr>
          <w:rFonts w:asciiTheme="majorHAnsi" w:hAnsiTheme="majorHAnsi" w:cstheme="majorHAnsi"/>
          <w:b/>
          <w:sz w:val="24"/>
          <w:szCs w:val="24"/>
          <w:lang w:val="ro-MD"/>
        </w:rPr>
        <w:t xml:space="preserve">- </w:t>
      </w:r>
      <w:r w:rsidR="00DC1DE5" w:rsidRPr="00C05E71">
        <w:rPr>
          <w:rFonts w:asciiTheme="majorHAnsi" w:hAnsiTheme="majorHAnsi" w:cstheme="majorHAnsi"/>
          <w:sz w:val="24"/>
          <w:szCs w:val="24"/>
          <w:lang w:val="ro-MD"/>
        </w:rPr>
        <w:t>c</w:t>
      </w:r>
      <w:r w:rsidRPr="00C05E71">
        <w:rPr>
          <w:rFonts w:asciiTheme="majorHAnsi" w:hAnsiTheme="majorHAnsi" w:cstheme="majorHAnsi"/>
          <w:sz w:val="24"/>
          <w:szCs w:val="24"/>
          <w:lang w:val="ro-MD"/>
        </w:rPr>
        <w:t>lasificarea neconformă a mijloacelor fixe de către LT „M. Guboglo”, mun. Cead</w:t>
      </w:r>
      <w:r w:rsidR="0089416A" w:rsidRPr="00C05E71">
        <w:rPr>
          <w:rFonts w:asciiTheme="majorHAnsi" w:hAnsiTheme="majorHAnsi" w:cstheme="majorHAnsi"/>
          <w:sz w:val="24"/>
          <w:szCs w:val="24"/>
          <w:lang w:val="ro-MD"/>
        </w:rPr>
        <w:t>â</w:t>
      </w:r>
      <w:r w:rsidRPr="00C05E71">
        <w:rPr>
          <w:rFonts w:asciiTheme="majorHAnsi" w:hAnsiTheme="majorHAnsi" w:cstheme="majorHAnsi"/>
          <w:sz w:val="24"/>
          <w:szCs w:val="24"/>
          <w:lang w:val="ro-MD"/>
        </w:rPr>
        <w:t>r-Lunga</w:t>
      </w:r>
      <w:r w:rsidR="0089416A" w:rsidRPr="00C05E71">
        <w:rPr>
          <w:rFonts w:asciiTheme="majorHAnsi" w:hAnsiTheme="majorHAnsi" w:cstheme="majorHAnsi"/>
          <w:sz w:val="24"/>
          <w:szCs w:val="24"/>
          <w:lang w:val="ro-MD"/>
        </w:rPr>
        <w:t>,</w:t>
      </w:r>
      <w:r w:rsidRPr="00C05E71">
        <w:rPr>
          <w:rFonts w:asciiTheme="majorHAnsi" w:hAnsiTheme="majorHAnsi" w:cstheme="majorHAnsi"/>
          <w:sz w:val="24"/>
          <w:szCs w:val="24"/>
          <w:lang w:val="ro-MD"/>
        </w:rPr>
        <w:t xml:space="preserve"> și subevaluarea valorii contului 312 „Const</w:t>
      </w:r>
      <w:r w:rsidR="00DC1DE5" w:rsidRPr="00C05E71">
        <w:rPr>
          <w:rFonts w:asciiTheme="majorHAnsi" w:hAnsiTheme="majorHAnsi" w:cstheme="majorHAnsi"/>
          <w:sz w:val="24"/>
          <w:szCs w:val="24"/>
          <w:lang w:val="ro-MD"/>
        </w:rPr>
        <w:t xml:space="preserve">rucții speciale” cu suma de </w:t>
      </w:r>
      <w:r w:rsidR="00DC1DE5" w:rsidRPr="00C05E71">
        <w:rPr>
          <w:rFonts w:asciiTheme="majorHAnsi" w:hAnsiTheme="majorHAnsi" w:cstheme="majorHAnsi"/>
          <w:b/>
          <w:sz w:val="24"/>
          <w:szCs w:val="24"/>
          <w:lang w:val="ro-MD"/>
        </w:rPr>
        <w:t>354,5 mii lei</w:t>
      </w:r>
      <w:r w:rsidRPr="00C05E71">
        <w:rPr>
          <w:rFonts w:asciiTheme="majorHAnsi" w:hAnsiTheme="majorHAnsi" w:cstheme="majorHAnsi"/>
          <w:b/>
          <w:sz w:val="24"/>
          <w:szCs w:val="24"/>
          <w:lang w:val="ro-MD"/>
        </w:rPr>
        <w:t>.</w:t>
      </w:r>
      <w:r w:rsidR="00D90C5D" w:rsidRPr="00C05E71">
        <w:rPr>
          <w:rFonts w:asciiTheme="majorHAnsi" w:hAnsiTheme="majorHAnsi" w:cstheme="majorHAnsi"/>
          <w:sz w:val="24"/>
          <w:szCs w:val="24"/>
          <w:lang w:val="ro-MD"/>
        </w:rPr>
        <w:t xml:space="preserve"> </w:t>
      </w:r>
    </w:p>
    <w:p w14:paraId="15AA5911" w14:textId="5449361F" w:rsidR="00D90C5D" w:rsidRPr="00C05E71" w:rsidRDefault="0073621E" w:rsidP="00C05E71">
      <w:pPr>
        <w:keepNext/>
        <w:keepLines/>
        <w:tabs>
          <w:tab w:val="left" w:pos="284"/>
        </w:tabs>
        <w:spacing w:after="0" w:line="276" w:lineRule="auto"/>
        <w:jc w:val="both"/>
        <w:outlineLvl w:val="0"/>
        <w:rPr>
          <w:rFonts w:asciiTheme="majorHAnsi" w:hAnsiTheme="majorHAnsi" w:cstheme="majorHAnsi"/>
          <w:sz w:val="24"/>
          <w:szCs w:val="24"/>
          <w:lang w:val="ro-MD"/>
        </w:rPr>
      </w:pPr>
      <w:r w:rsidRPr="00C05E71">
        <w:rPr>
          <w:rFonts w:asciiTheme="majorHAnsi" w:hAnsiTheme="majorHAnsi" w:cstheme="majorHAnsi"/>
          <w:b/>
          <w:sz w:val="24"/>
          <w:szCs w:val="24"/>
          <w:lang w:val="ro-MD"/>
        </w:rPr>
        <w:t>2.</w:t>
      </w:r>
      <w:r w:rsidR="0083172C" w:rsidRPr="00C05E71">
        <w:rPr>
          <w:rFonts w:asciiTheme="majorHAnsi" w:hAnsiTheme="majorHAnsi" w:cstheme="majorHAnsi"/>
          <w:b/>
          <w:sz w:val="24"/>
          <w:szCs w:val="24"/>
          <w:lang w:val="ro-MD"/>
        </w:rPr>
        <w:t>7</w:t>
      </w:r>
      <w:r w:rsidR="006B09E6" w:rsidRPr="00C05E71">
        <w:rPr>
          <w:rFonts w:asciiTheme="majorHAnsi" w:hAnsiTheme="majorHAnsi" w:cstheme="majorHAnsi"/>
          <w:b/>
          <w:sz w:val="24"/>
          <w:szCs w:val="24"/>
          <w:lang w:val="ro-MD"/>
        </w:rPr>
        <w:t xml:space="preserve">. </w:t>
      </w:r>
      <w:r w:rsidR="004C401F" w:rsidRPr="00C05E71">
        <w:rPr>
          <w:rFonts w:asciiTheme="majorHAnsi" w:hAnsiTheme="majorHAnsi" w:cstheme="majorHAnsi"/>
          <w:sz w:val="24"/>
          <w:szCs w:val="24"/>
          <w:lang w:val="ro-MD"/>
        </w:rPr>
        <w:t>Două i</w:t>
      </w:r>
      <w:r w:rsidR="00F6183E" w:rsidRPr="00C05E71">
        <w:rPr>
          <w:rFonts w:asciiTheme="majorHAnsi" w:hAnsiTheme="majorHAnsi" w:cstheme="majorHAnsi"/>
          <w:sz w:val="24"/>
          <w:szCs w:val="24"/>
          <w:lang w:val="ro-MD"/>
        </w:rPr>
        <w:t xml:space="preserve">nstituții muzeale din subordinea </w:t>
      </w:r>
      <w:r w:rsidR="006B09E6" w:rsidRPr="00C05E71">
        <w:rPr>
          <w:rFonts w:asciiTheme="majorHAnsi" w:hAnsiTheme="majorHAnsi" w:cstheme="majorHAnsi"/>
          <w:sz w:val="24"/>
          <w:szCs w:val="24"/>
          <w:lang w:val="ro-MD"/>
        </w:rPr>
        <w:t>Comitetul</w:t>
      </w:r>
      <w:r w:rsidR="00F6183E" w:rsidRPr="00C05E71">
        <w:rPr>
          <w:rFonts w:asciiTheme="majorHAnsi" w:hAnsiTheme="majorHAnsi" w:cstheme="majorHAnsi"/>
          <w:sz w:val="24"/>
          <w:szCs w:val="24"/>
          <w:lang w:val="ro-MD"/>
        </w:rPr>
        <w:t>ui</w:t>
      </w:r>
      <w:r w:rsidR="006B09E6" w:rsidRPr="00C05E71">
        <w:rPr>
          <w:rFonts w:asciiTheme="majorHAnsi" w:hAnsiTheme="majorHAnsi" w:cstheme="majorHAnsi"/>
          <w:sz w:val="24"/>
          <w:szCs w:val="24"/>
          <w:lang w:val="ro-MD"/>
        </w:rPr>
        <w:t xml:space="preserve"> Executiv al UTA Găgăuzia nu raportează valoare</w:t>
      </w:r>
      <w:r w:rsidR="00F6183E" w:rsidRPr="00C05E71">
        <w:rPr>
          <w:rFonts w:asciiTheme="majorHAnsi" w:hAnsiTheme="majorHAnsi" w:cstheme="majorHAnsi"/>
          <w:sz w:val="24"/>
          <w:szCs w:val="24"/>
          <w:lang w:val="ro-MD"/>
        </w:rPr>
        <w:t>a a</w:t>
      </w:r>
      <w:r w:rsidR="006B09E6" w:rsidRPr="00C05E71">
        <w:rPr>
          <w:rFonts w:asciiTheme="majorHAnsi" w:hAnsiTheme="majorHAnsi" w:cstheme="majorHAnsi"/>
          <w:sz w:val="24"/>
          <w:szCs w:val="24"/>
          <w:lang w:val="ro-MD"/>
        </w:rPr>
        <w:t xml:space="preserve"> circa 75416 exponate</w:t>
      </w:r>
      <w:r w:rsidR="006B09E6" w:rsidRPr="00C05E71">
        <w:rPr>
          <w:rFonts w:asciiTheme="majorHAnsi" w:hAnsiTheme="majorHAnsi" w:cstheme="majorHAnsi"/>
          <w:sz w:val="24"/>
          <w:szCs w:val="24"/>
          <w:vertAlign w:val="superscript"/>
          <w:lang w:val="ro-MD"/>
        </w:rPr>
        <w:footnoteReference w:id="18"/>
      </w:r>
      <w:r w:rsidR="006B09E6" w:rsidRPr="00C05E71">
        <w:rPr>
          <w:rFonts w:asciiTheme="majorHAnsi" w:hAnsiTheme="majorHAnsi" w:cstheme="majorHAnsi"/>
          <w:sz w:val="24"/>
          <w:szCs w:val="24"/>
          <w:lang w:val="ro-MD"/>
        </w:rPr>
        <w:t>, c</w:t>
      </w:r>
      <w:r w:rsidR="004C401F" w:rsidRPr="00C05E71">
        <w:rPr>
          <w:rFonts w:asciiTheme="majorHAnsi" w:hAnsiTheme="majorHAnsi" w:cstheme="majorHAnsi"/>
          <w:sz w:val="24"/>
          <w:szCs w:val="24"/>
          <w:lang w:val="ro-MD"/>
        </w:rPr>
        <w:t>a</w:t>
      </w:r>
      <w:r w:rsidR="006B09E6" w:rsidRPr="00C05E71">
        <w:rPr>
          <w:rFonts w:asciiTheme="majorHAnsi" w:hAnsiTheme="majorHAnsi" w:cstheme="majorHAnsi"/>
          <w:sz w:val="24"/>
          <w:szCs w:val="24"/>
          <w:lang w:val="ro-MD"/>
        </w:rPr>
        <w:t>r</w:t>
      </w:r>
      <w:r w:rsidR="004C401F" w:rsidRPr="00C05E71">
        <w:rPr>
          <w:rFonts w:asciiTheme="majorHAnsi" w:hAnsiTheme="majorHAnsi" w:cstheme="majorHAnsi"/>
          <w:sz w:val="24"/>
          <w:szCs w:val="24"/>
          <w:lang w:val="ro-MD"/>
        </w:rPr>
        <w:t>e</w:t>
      </w:r>
      <w:r w:rsidR="006B09E6" w:rsidRPr="00C05E71">
        <w:rPr>
          <w:rFonts w:asciiTheme="majorHAnsi" w:hAnsiTheme="majorHAnsi" w:cstheme="majorHAnsi"/>
          <w:sz w:val="24"/>
          <w:szCs w:val="24"/>
          <w:lang w:val="ro-MD"/>
        </w:rPr>
        <w:t xml:space="preserve"> </w:t>
      </w:r>
      <w:r w:rsidR="004C401F" w:rsidRPr="00C05E71">
        <w:rPr>
          <w:rFonts w:asciiTheme="majorHAnsi" w:hAnsiTheme="majorHAnsi" w:cstheme="majorHAnsi"/>
          <w:sz w:val="24"/>
          <w:szCs w:val="24"/>
          <w:lang w:val="ro-MD"/>
        </w:rPr>
        <w:t xml:space="preserve">n-au fost evaluate, </w:t>
      </w:r>
      <w:r w:rsidR="006B09E6" w:rsidRPr="00C05E71">
        <w:rPr>
          <w:rFonts w:asciiTheme="majorHAnsi" w:hAnsiTheme="majorHAnsi" w:cstheme="majorHAnsi"/>
          <w:sz w:val="24"/>
          <w:szCs w:val="24"/>
          <w:lang w:val="ro-MD"/>
        </w:rPr>
        <w:t xml:space="preserve">nu se regăsesc în evidența contabilă și </w:t>
      </w:r>
      <w:r w:rsidR="00995184" w:rsidRPr="00C05E71">
        <w:rPr>
          <w:rFonts w:asciiTheme="majorHAnsi" w:hAnsiTheme="majorHAnsi" w:cstheme="majorHAnsi"/>
          <w:sz w:val="24"/>
          <w:szCs w:val="24"/>
          <w:lang w:val="ro-MD"/>
        </w:rPr>
        <w:t>asupra cărora</w:t>
      </w:r>
      <w:r w:rsidR="006B09E6" w:rsidRPr="00C05E71">
        <w:rPr>
          <w:rFonts w:asciiTheme="majorHAnsi" w:hAnsiTheme="majorHAnsi" w:cstheme="majorHAnsi"/>
          <w:sz w:val="24"/>
          <w:szCs w:val="24"/>
          <w:lang w:val="ro-MD"/>
        </w:rPr>
        <w:t xml:space="preserve"> nu s-au aplicat regulile generale de recunoaștere prevăzute de Ordinul </w:t>
      </w:r>
      <w:r w:rsidR="00995184" w:rsidRPr="00C05E71">
        <w:rPr>
          <w:rFonts w:asciiTheme="majorHAnsi" w:hAnsiTheme="majorHAnsi" w:cstheme="majorHAnsi"/>
          <w:sz w:val="24"/>
          <w:szCs w:val="24"/>
          <w:lang w:val="ro-MD"/>
        </w:rPr>
        <w:t>ministrului finanțelor</w:t>
      </w:r>
      <w:r w:rsidR="006B09E6" w:rsidRPr="00C05E71">
        <w:rPr>
          <w:rFonts w:asciiTheme="majorHAnsi" w:hAnsiTheme="majorHAnsi" w:cstheme="majorHAnsi"/>
          <w:sz w:val="24"/>
          <w:szCs w:val="24"/>
          <w:lang w:val="ro-MD"/>
        </w:rPr>
        <w:t xml:space="preserve"> nr.216</w:t>
      </w:r>
      <w:r w:rsidR="00BD01EA" w:rsidRPr="00C05E71">
        <w:rPr>
          <w:rFonts w:asciiTheme="majorHAnsi" w:hAnsiTheme="majorHAnsi" w:cstheme="majorHAnsi"/>
          <w:sz w:val="24"/>
          <w:szCs w:val="24"/>
          <w:lang w:val="ro-MD"/>
        </w:rPr>
        <w:t xml:space="preserve"> din 28.12.</w:t>
      </w:r>
      <w:r w:rsidR="006B09E6" w:rsidRPr="00C05E71">
        <w:rPr>
          <w:rFonts w:asciiTheme="majorHAnsi" w:hAnsiTheme="majorHAnsi" w:cstheme="majorHAnsi"/>
          <w:sz w:val="24"/>
          <w:szCs w:val="24"/>
          <w:lang w:val="ro-MD"/>
        </w:rPr>
        <w:t>2015. Țin</w:t>
      </w:r>
      <w:r w:rsidR="00995184" w:rsidRPr="00C05E71">
        <w:rPr>
          <w:rFonts w:asciiTheme="majorHAnsi" w:hAnsiTheme="majorHAnsi" w:cstheme="majorHAnsi"/>
          <w:sz w:val="24"/>
          <w:szCs w:val="24"/>
          <w:lang w:val="ro-MD"/>
        </w:rPr>
        <w:t>â</w:t>
      </w:r>
      <w:r w:rsidR="006B09E6" w:rsidRPr="00C05E71">
        <w:rPr>
          <w:rFonts w:asciiTheme="majorHAnsi" w:hAnsiTheme="majorHAnsi" w:cstheme="majorHAnsi"/>
          <w:sz w:val="24"/>
          <w:szCs w:val="24"/>
          <w:lang w:val="ro-MD"/>
        </w:rPr>
        <w:t xml:space="preserve">nd cont de faptul că </w:t>
      </w:r>
      <w:r w:rsidR="00995184" w:rsidRPr="00C05E71">
        <w:rPr>
          <w:rFonts w:asciiTheme="majorHAnsi" w:hAnsiTheme="majorHAnsi" w:cstheme="majorHAnsi"/>
          <w:sz w:val="24"/>
          <w:szCs w:val="24"/>
          <w:lang w:val="ro-MD"/>
        </w:rPr>
        <w:t>exponatele</w:t>
      </w:r>
      <w:r w:rsidR="006B09E6" w:rsidRPr="00C05E71">
        <w:rPr>
          <w:rFonts w:asciiTheme="majorHAnsi" w:hAnsiTheme="majorHAnsi" w:cstheme="majorHAnsi"/>
          <w:sz w:val="24"/>
          <w:szCs w:val="24"/>
          <w:lang w:val="ro-MD"/>
        </w:rPr>
        <w:t xml:space="preserve"> fac parte din patrimoniul cultural care datează din diferite perioade (sec.</w:t>
      </w:r>
      <w:r w:rsidR="00C153BA" w:rsidRPr="00C05E71">
        <w:rPr>
          <w:rFonts w:asciiTheme="majorHAnsi" w:hAnsiTheme="majorHAnsi" w:cstheme="majorHAnsi"/>
          <w:sz w:val="24"/>
          <w:szCs w:val="24"/>
          <w:lang w:val="ro-MD"/>
        </w:rPr>
        <w:t xml:space="preserve"> </w:t>
      </w:r>
      <w:r w:rsidR="006B09E6" w:rsidRPr="00C05E71">
        <w:rPr>
          <w:rFonts w:asciiTheme="majorHAnsi" w:hAnsiTheme="majorHAnsi" w:cstheme="majorHAnsi"/>
          <w:sz w:val="24"/>
          <w:szCs w:val="24"/>
          <w:lang w:val="ro-MD"/>
        </w:rPr>
        <w:t>X</w:t>
      </w:r>
      <w:r w:rsidR="00461CA3" w:rsidRPr="00C05E71">
        <w:rPr>
          <w:rFonts w:asciiTheme="majorHAnsi" w:hAnsiTheme="majorHAnsi" w:cstheme="majorHAnsi"/>
          <w:sz w:val="24"/>
          <w:szCs w:val="24"/>
          <w:lang w:val="ro-MD"/>
        </w:rPr>
        <w:t>I</w:t>
      </w:r>
      <w:r w:rsidR="006B09E6" w:rsidRPr="00C05E71">
        <w:rPr>
          <w:rFonts w:asciiTheme="majorHAnsi" w:hAnsiTheme="majorHAnsi" w:cstheme="majorHAnsi"/>
          <w:sz w:val="24"/>
          <w:szCs w:val="24"/>
          <w:lang w:val="ro-MD"/>
        </w:rPr>
        <w:t>X – XX), valoarea estimativă a acestora poate fi una semnificativă</w:t>
      </w:r>
      <w:r w:rsidR="00995184" w:rsidRPr="00C05E71">
        <w:rPr>
          <w:rFonts w:asciiTheme="majorHAnsi" w:hAnsiTheme="majorHAnsi" w:cstheme="majorHAnsi"/>
          <w:sz w:val="24"/>
          <w:szCs w:val="24"/>
          <w:lang w:val="ro-MD"/>
        </w:rPr>
        <w:t>. A</w:t>
      </w:r>
      <w:r w:rsidR="006B09E6" w:rsidRPr="00C05E71">
        <w:rPr>
          <w:rFonts w:asciiTheme="majorHAnsi" w:hAnsiTheme="majorHAnsi" w:cstheme="majorHAnsi"/>
          <w:sz w:val="24"/>
          <w:szCs w:val="24"/>
          <w:lang w:val="ro-MD"/>
        </w:rPr>
        <w:t>stfel</w:t>
      </w:r>
      <w:r w:rsidR="00995184" w:rsidRPr="00C05E71">
        <w:rPr>
          <w:rFonts w:asciiTheme="majorHAnsi" w:hAnsiTheme="majorHAnsi" w:cstheme="majorHAnsi"/>
          <w:sz w:val="24"/>
          <w:szCs w:val="24"/>
          <w:lang w:val="ro-MD"/>
        </w:rPr>
        <w:t>,</w:t>
      </w:r>
      <w:r w:rsidR="006B09E6" w:rsidRPr="00C05E71">
        <w:rPr>
          <w:rFonts w:asciiTheme="majorHAnsi" w:hAnsiTheme="majorHAnsi" w:cstheme="majorHAnsi"/>
          <w:sz w:val="24"/>
          <w:szCs w:val="24"/>
          <w:lang w:val="ro-MD"/>
        </w:rPr>
        <w:t xml:space="preserve"> valoarea contului 363 </w:t>
      </w:r>
      <w:r w:rsidR="00995184" w:rsidRPr="00C05E71">
        <w:rPr>
          <w:rFonts w:asciiTheme="majorHAnsi" w:hAnsiTheme="majorHAnsi" w:cstheme="majorHAnsi"/>
          <w:sz w:val="24"/>
          <w:szCs w:val="24"/>
          <w:lang w:val="ro-MD"/>
        </w:rPr>
        <w:t>„A</w:t>
      </w:r>
      <w:r w:rsidR="006B09E6" w:rsidRPr="00C05E71">
        <w:rPr>
          <w:rFonts w:asciiTheme="majorHAnsi" w:hAnsiTheme="majorHAnsi" w:cstheme="majorHAnsi"/>
          <w:sz w:val="24"/>
          <w:szCs w:val="24"/>
          <w:lang w:val="ro-MD"/>
        </w:rPr>
        <w:t>ctivele moștenirii culturale</w:t>
      </w:r>
      <w:r w:rsidR="00995184" w:rsidRPr="00C05E71">
        <w:rPr>
          <w:rFonts w:asciiTheme="majorHAnsi" w:hAnsiTheme="majorHAnsi" w:cstheme="majorHAnsi"/>
          <w:sz w:val="24"/>
          <w:szCs w:val="24"/>
          <w:lang w:val="ro-MD"/>
        </w:rPr>
        <w:t>”</w:t>
      </w:r>
      <w:r w:rsidR="006B09E6" w:rsidRPr="00C05E71">
        <w:rPr>
          <w:rFonts w:asciiTheme="majorHAnsi" w:hAnsiTheme="majorHAnsi" w:cstheme="majorHAnsi"/>
          <w:sz w:val="24"/>
          <w:szCs w:val="24"/>
          <w:lang w:val="ro-MD"/>
        </w:rPr>
        <w:t>, în opinia echipei de audit, este subestimată semnificativ. De menționat că un impediment în evaluarea valorii juste a patrimoniului cultural este faptul că p</w:t>
      </w:r>
      <w:r w:rsidR="00995184" w:rsidRPr="00C05E71">
        <w:rPr>
          <w:rFonts w:asciiTheme="majorHAnsi" w:hAnsiTheme="majorHAnsi" w:cstheme="majorHAnsi"/>
          <w:sz w:val="24"/>
          <w:szCs w:val="24"/>
          <w:lang w:val="ro-MD"/>
        </w:rPr>
        <w:t>â</w:t>
      </w:r>
      <w:r w:rsidR="006B09E6" w:rsidRPr="00C05E71">
        <w:rPr>
          <w:rFonts w:asciiTheme="majorHAnsi" w:hAnsiTheme="majorHAnsi" w:cstheme="majorHAnsi"/>
          <w:sz w:val="24"/>
          <w:szCs w:val="24"/>
          <w:lang w:val="ro-MD"/>
        </w:rPr>
        <w:t>nă la moment</w:t>
      </w:r>
      <w:r w:rsidR="00995184" w:rsidRPr="00C05E71">
        <w:rPr>
          <w:rFonts w:asciiTheme="majorHAnsi" w:hAnsiTheme="majorHAnsi" w:cstheme="majorHAnsi"/>
          <w:sz w:val="24"/>
          <w:szCs w:val="24"/>
          <w:lang w:val="ro-MD"/>
        </w:rPr>
        <w:t>ul actual</w:t>
      </w:r>
      <w:r w:rsidR="006B09E6" w:rsidRPr="00C05E71">
        <w:rPr>
          <w:rFonts w:asciiTheme="majorHAnsi" w:hAnsiTheme="majorHAnsi" w:cstheme="majorHAnsi"/>
          <w:sz w:val="24"/>
          <w:szCs w:val="24"/>
          <w:lang w:val="ro-MD"/>
        </w:rPr>
        <w:t xml:space="preserve"> lipsește o metodologie privind evaluarea patrimoniului cultural</w:t>
      </w:r>
      <w:r w:rsidR="00F6183E" w:rsidRPr="00C05E71">
        <w:rPr>
          <w:rFonts w:asciiTheme="majorHAnsi" w:hAnsiTheme="majorHAnsi" w:cstheme="majorHAnsi"/>
          <w:sz w:val="24"/>
          <w:szCs w:val="24"/>
          <w:lang w:val="ro-MD"/>
        </w:rPr>
        <w:t>, inclusiv din</w:t>
      </w:r>
      <w:r w:rsidR="006B09E6" w:rsidRPr="00C05E71">
        <w:rPr>
          <w:rFonts w:asciiTheme="majorHAnsi" w:hAnsiTheme="majorHAnsi" w:cstheme="majorHAnsi"/>
          <w:sz w:val="24"/>
          <w:szCs w:val="24"/>
          <w:lang w:val="ro-MD"/>
        </w:rPr>
        <w:t xml:space="preserve"> instituțiil</w:t>
      </w:r>
      <w:r w:rsidR="00F6183E" w:rsidRPr="00C05E71">
        <w:rPr>
          <w:rFonts w:asciiTheme="majorHAnsi" w:hAnsiTheme="majorHAnsi" w:cstheme="majorHAnsi"/>
          <w:sz w:val="24"/>
          <w:szCs w:val="24"/>
          <w:lang w:val="ro-MD"/>
        </w:rPr>
        <w:t>e</w:t>
      </w:r>
      <w:r w:rsidR="006B09E6" w:rsidRPr="00C05E71">
        <w:rPr>
          <w:rFonts w:asciiTheme="majorHAnsi" w:hAnsiTheme="majorHAnsi" w:cstheme="majorHAnsi"/>
          <w:sz w:val="24"/>
          <w:szCs w:val="24"/>
          <w:lang w:val="ro-MD"/>
        </w:rPr>
        <w:t xml:space="preserve"> muzeale.  </w:t>
      </w:r>
    </w:p>
    <w:p w14:paraId="4327A91B" w14:textId="6953A85D" w:rsidR="002A7174" w:rsidRDefault="002A7174" w:rsidP="00C05E71">
      <w:pPr>
        <w:pStyle w:val="ListParagraph"/>
        <w:widowControl w:val="0"/>
        <w:shd w:val="clear" w:color="auto" w:fill="FFFFFF"/>
        <w:tabs>
          <w:tab w:val="left" w:pos="0"/>
          <w:tab w:val="left" w:pos="709"/>
        </w:tabs>
        <w:spacing w:after="0" w:line="276" w:lineRule="auto"/>
        <w:ind w:left="0"/>
        <w:jc w:val="both"/>
        <w:rPr>
          <w:rFonts w:asciiTheme="majorHAnsi" w:eastAsia="Calibri" w:hAnsiTheme="majorHAnsi" w:cstheme="majorHAnsi"/>
          <w:sz w:val="24"/>
          <w:szCs w:val="24"/>
          <w:lang w:val="ro-MD"/>
        </w:rPr>
      </w:pPr>
      <w:r w:rsidRPr="00C05E71">
        <w:rPr>
          <w:rFonts w:asciiTheme="majorHAnsi" w:eastAsia="Times New Roman" w:hAnsiTheme="majorHAnsi" w:cstheme="majorHAnsi"/>
          <w:sz w:val="24"/>
          <w:szCs w:val="24"/>
          <w:lang w:val="ro-MD"/>
        </w:rPr>
        <w:t>Am realizat misiunea de audit în conformitate cu Standardele Internaționale de Audit</w:t>
      </w:r>
      <w:r w:rsidRPr="00C05E71">
        <w:rPr>
          <w:rFonts w:asciiTheme="majorHAnsi" w:eastAsia="Times New Roman" w:hAnsiTheme="majorHAnsi" w:cstheme="majorHAnsi"/>
          <w:sz w:val="24"/>
          <w:szCs w:val="24"/>
          <w:vertAlign w:val="superscript"/>
          <w:lang w:val="ro-MD"/>
        </w:rPr>
        <w:footnoteReference w:id="19"/>
      </w:r>
      <w:r w:rsidRPr="00C05E71">
        <w:rPr>
          <w:rFonts w:asciiTheme="majorHAnsi" w:eastAsia="Times New Roman" w:hAnsiTheme="majorHAnsi" w:cstheme="majorHAnsi"/>
          <w:sz w:val="24"/>
          <w:szCs w:val="24"/>
          <w:lang w:val="ro-MD"/>
        </w:rPr>
        <w:t xml:space="preserve">. Responsabilitățile noastre, potrivit standardelor respective, sunt expuse în secțiunea </w:t>
      </w:r>
      <w:r w:rsidRPr="00C05E71">
        <w:rPr>
          <w:rFonts w:asciiTheme="majorHAnsi" w:eastAsia="Times New Roman" w:hAnsiTheme="majorHAnsi" w:cstheme="majorHAnsi"/>
          <w:i/>
          <w:sz w:val="24"/>
          <w:szCs w:val="24"/>
          <w:lang w:val="ro-MD"/>
        </w:rPr>
        <w:t>Responsabilitatea auditorului într-un audit al rapoartelor financiare</w:t>
      </w:r>
      <w:r w:rsidRPr="00C05E71">
        <w:rPr>
          <w:rFonts w:asciiTheme="majorHAnsi" w:eastAsia="Times New Roman" w:hAnsiTheme="majorHAnsi" w:cstheme="majorHAnsi"/>
          <w:sz w:val="24"/>
          <w:szCs w:val="24"/>
          <w:lang w:val="ro-MD"/>
        </w:rPr>
        <w:t xml:space="preserve"> din prezentul Raport. </w:t>
      </w:r>
      <w:r w:rsidRPr="00C05E71">
        <w:rPr>
          <w:rFonts w:asciiTheme="majorHAnsi" w:eastAsia="Calibri" w:hAnsiTheme="majorHAnsi" w:cstheme="majorHAnsi"/>
          <w:sz w:val="24"/>
          <w:szCs w:val="24"/>
          <w:lang w:val="ro-MD"/>
        </w:rPr>
        <w:t>Suntem independenți față de entitatea auditată și am îndeplinit responsabilitățile de etică conform cerințelor Codului etic al Curții de Conturi. Considerăm că probele de audit obținute sunt suficiente și adecvate pentru a furniza o bază pentru opinia noastră.</w:t>
      </w:r>
    </w:p>
    <w:p w14:paraId="496ED4B2" w14:textId="77777777" w:rsidR="007722DB" w:rsidRPr="00C05E71" w:rsidRDefault="007722DB" w:rsidP="00C05E71">
      <w:pPr>
        <w:pStyle w:val="ListParagraph"/>
        <w:widowControl w:val="0"/>
        <w:shd w:val="clear" w:color="auto" w:fill="FFFFFF"/>
        <w:tabs>
          <w:tab w:val="left" w:pos="0"/>
          <w:tab w:val="left" w:pos="709"/>
        </w:tabs>
        <w:spacing w:after="0" w:line="276" w:lineRule="auto"/>
        <w:ind w:left="0"/>
        <w:jc w:val="both"/>
        <w:rPr>
          <w:rFonts w:asciiTheme="majorHAnsi" w:eastAsia="Calibri" w:hAnsiTheme="majorHAnsi" w:cstheme="majorHAnsi"/>
          <w:sz w:val="24"/>
          <w:szCs w:val="24"/>
          <w:lang w:val="ro-MD"/>
        </w:rPr>
      </w:pPr>
    </w:p>
    <w:p w14:paraId="6DCF7851" w14:textId="77777777" w:rsidR="00F96CC6" w:rsidRPr="00C05E71" w:rsidRDefault="00F96CC6" w:rsidP="00C05E71">
      <w:pPr>
        <w:spacing w:after="0" w:line="276" w:lineRule="auto"/>
        <w:contextualSpacing/>
        <w:rPr>
          <w:rFonts w:asciiTheme="majorHAnsi" w:hAnsiTheme="majorHAnsi" w:cstheme="majorHAnsi"/>
          <w:sz w:val="24"/>
          <w:szCs w:val="24"/>
          <w:lang w:val="ro-MD"/>
        </w:rPr>
      </w:pPr>
      <w:r w:rsidRPr="00C05E71">
        <w:rPr>
          <w:rFonts w:asciiTheme="majorHAnsi" w:hAnsiTheme="majorHAnsi" w:cstheme="majorHAnsi"/>
          <w:b/>
          <w:bCs/>
          <w:sz w:val="24"/>
          <w:szCs w:val="24"/>
          <w:lang w:val="ro-MD"/>
        </w:rPr>
        <w:t xml:space="preserve">III. </w:t>
      </w:r>
      <w:r w:rsidRPr="00C05E71">
        <w:rPr>
          <w:rFonts w:asciiTheme="majorHAnsi" w:hAnsiTheme="majorHAnsi" w:cstheme="majorHAnsi"/>
          <w:b/>
          <w:sz w:val="24"/>
          <w:szCs w:val="24"/>
          <w:lang w:val="ro-MD"/>
        </w:rPr>
        <w:t>PARAGRAF DE EVIDENȚIERE A UNOR ASPECTE</w:t>
      </w:r>
      <w:r w:rsidRPr="00C05E71">
        <w:rPr>
          <w:rFonts w:asciiTheme="majorHAnsi" w:hAnsiTheme="majorHAnsi" w:cstheme="majorHAnsi"/>
          <w:sz w:val="24"/>
          <w:szCs w:val="24"/>
          <w:lang w:val="ro-MD"/>
        </w:rPr>
        <w:t xml:space="preserve"> </w:t>
      </w:r>
    </w:p>
    <w:p w14:paraId="469506A8" w14:textId="77777777" w:rsidR="007722DB" w:rsidRDefault="0083172C" w:rsidP="00C05E71">
      <w:pPr>
        <w:spacing w:after="0" w:line="276" w:lineRule="auto"/>
        <w:jc w:val="both"/>
        <w:rPr>
          <w:rFonts w:asciiTheme="majorHAnsi" w:eastAsia="Calibri" w:hAnsiTheme="majorHAnsi" w:cstheme="majorHAnsi"/>
          <w:sz w:val="24"/>
          <w:szCs w:val="24"/>
          <w:lang w:val="ro-MD"/>
        </w:rPr>
      </w:pPr>
      <w:r w:rsidRPr="00C05E71">
        <w:rPr>
          <w:rFonts w:asciiTheme="majorHAnsi" w:hAnsiTheme="majorHAnsi" w:cstheme="majorHAnsi"/>
          <w:sz w:val="24"/>
          <w:szCs w:val="24"/>
          <w:lang w:val="ro-MD"/>
        </w:rPr>
        <w:t>3.1.</w:t>
      </w:r>
      <w:r w:rsidRPr="00C05E71">
        <w:rPr>
          <w:rFonts w:asciiTheme="majorHAnsi" w:eastAsia="Calibri" w:hAnsiTheme="majorHAnsi" w:cstheme="majorHAnsi"/>
          <w:sz w:val="24"/>
          <w:szCs w:val="24"/>
          <w:lang w:val="ro-MD"/>
        </w:rPr>
        <w:t xml:space="preserve"> </w:t>
      </w:r>
      <w:r w:rsidR="009F34BA" w:rsidRPr="00C05E71">
        <w:rPr>
          <w:rFonts w:asciiTheme="majorHAnsi" w:hAnsiTheme="majorHAnsi" w:cstheme="majorHAnsi"/>
          <w:sz w:val="24"/>
          <w:szCs w:val="24"/>
          <w:lang w:val="ro-MD"/>
        </w:rPr>
        <w:t>Remarcăm</w:t>
      </w:r>
      <w:r w:rsidRPr="00C05E71">
        <w:rPr>
          <w:rFonts w:asciiTheme="majorHAnsi" w:hAnsiTheme="majorHAnsi" w:cstheme="majorHAnsi"/>
          <w:sz w:val="24"/>
          <w:szCs w:val="24"/>
          <w:lang w:val="ro-MD"/>
        </w:rPr>
        <w:t xml:space="preserve"> că </w:t>
      </w:r>
      <w:r w:rsidRPr="00C05E71">
        <w:rPr>
          <w:rFonts w:asciiTheme="majorHAnsi" w:eastAsia="Calibri" w:hAnsiTheme="majorHAnsi" w:cstheme="majorHAnsi"/>
          <w:sz w:val="24"/>
          <w:szCs w:val="24"/>
          <w:lang w:val="ro-MD"/>
        </w:rPr>
        <w:t>R</w:t>
      </w:r>
      <w:r w:rsidRPr="00C05E71">
        <w:rPr>
          <w:rFonts w:asciiTheme="majorHAnsi" w:eastAsia="Times New Roman" w:hAnsiTheme="majorHAnsi" w:cstheme="majorHAnsi"/>
          <w:color w:val="000000"/>
          <w:sz w:val="24"/>
          <w:szCs w:val="24"/>
          <w:lang w:val="ro-MD"/>
        </w:rPr>
        <w:t xml:space="preserve">apoartele financiare consolidate ale </w:t>
      </w:r>
      <w:r w:rsidRPr="00C05E71">
        <w:rPr>
          <w:rFonts w:asciiTheme="majorHAnsi" w:eastAsia="Times New Roman" w:hAnsiTheme="majorHAnsi" w:cstheme="majorHAnsi"/>
          <w:sz w:val="24"/>
          <w:szCs w:val="24"/>
          <w:lang w:val="ro-MD"/>
        </w:rPr>
        <w:t xml:space="preserve">UTA Găgăuzia (bugetul central) </w:t>
      </w:r>
      <w:r w:rsidRPr="00C05E71">
        <w:rPr>
          <w:rFonts w:asciiTheme="majorHAnsi" w:eastAsia="Times New Roman" w:hAnsiTheme="majorHAnsi" w:cstheme="majorHAnsi"/>
          <w:color w:val="000000"/>
          <w:sz w:val="24"/>
          <w:szCs w:val="24"/>
          <w:lang w:val="ro-MD"/>
        </w:rPr>
        <w:t xml:space="preserve">sunt diminuate pe toate pozițiile bilanțiere și de venituri și cheltuieli:  </w:t>
      </w:r>
      <w:r w:rsidRPr="00C05E71">
        <w:rPr>
          <w:rFonts w:asciiTheme="majorHAnsi" w:eastAsia="Calibri" w:hAnsiTheme="majorHAnsi" w:cstheme="majorHAnsi"/>
          <w:b/>
          <w:sz w:val="24"/>
          <w:szCs w:val="24"/>
          <w:lang w:val="ro-MD"/>
        </w:rPr>
        <w:t>Bilanțul contabil</w:t>
      </w:r>
      <w:r w:rsidRPr="00C05E71">
        <w:rPr>
          <w:rFonts w:asciiTheme="majorHAnsi" w:eastAsia="Calibri" w:hAnsiTheme="majorHAnsi" w:cstheme="majorHAnsi"/>
          <w:sz w:val="24"/>
          <w:szCs w:val="24"/>
          <w:lang w:val="ro-MD"/>
        </w:rPr>
        <w:t xml:space="preserve"> (Formularul FD 041) - cu </w:t>
      </w:r>
      <w:r w:rsidRPr="00C05E71">
        <w:rPr>
          <w:rFonts w:asciiTheme="majorHAnsi" w:eastAsia="Calibri" w:hAnsiTheme="majorHAnsi" w:cstheme="majorHAnsi"/>
          <w:b/>
          <w:i/>
          <w:sz w:val="24"/>
          <w:szCs w:val="24"/>
          <w:lang w:val="ro-MD"/>
        </w:rPr>
        <w:t>362 717,5</w:t>
      </w:r>
      <w:r w:rsidRPr="00C05E71">
        <w:rPr>
          <w:rFonts w:asciiTheme="majorHAnsi" w:eastAsia="Calibri" w:hAnsiTheme="majorHAnsi" w:cstheme="majorHAnsi"/>
          <w:sz w:val="24"/>
          <w:szCs w:val="24"/>
          <w:lang w:val="ro-MD"/>
        </w:rPr>
        <w:t xml:space="preserve"> </w:t>
      </w:r>
      <w:r w:rsidRPr="00C05E71">
        <w:rPr>
          <w:rFonts w:asciiTheme="majorHAnsi" w:eastAsia="Calibri" w:hAnsiTheme="majorHAnsi" w:cstheme="majorHAnsi"/>
          <w:b/>
          <w:i/>
          <w:sz w:val="24"/>
          <w:szCs w:val="24"/>
          <w:lang w:val="ro-MD"/>
        </w:rPr>
        <w:t>mii lei</w:t>
      </w:r>
      <w:r w:rsidRPr="00C05E71">
        <w:rPr>
          <w:rFonts w:asciiTheme="majorHAnsi" w:eastAsia="Calibri" w:hAnsiTheme="majorHAnsi" w:cstheme="majorHAnsi"/>
          <w:sz w:val="24"/>
          <w:szCs w:val="24"/>
          <w:lang w:val="ro-MD"/>
        </w:rPr>
        <w:t xml:space="preserve">, </w:t>
      </w:r>
      <w:r w:rsidRPr="00C05E71">
        <w:rPr>
          <w:rFonts w:asciiTheme="majorHAnsi" w:eastAsia="Calibri" w:hAnsiTheme="majorHAnsi" w:cstheme="majorHAnsi"/>
          <w:b/>
          <w:sz w:val="24"/>
          <w:szCs w:val="24"/>
          <w:lang w:val="ro-MD"/>
        </w:rPr>
        <w:t xml:space="preserve">Raportul consolidat privind veniturile și cheltuielile </w:t>
      </w:r>
      <w:r w:rsidRPr="00C05E71">
        <w:rPr>
          <w:rFonts w:asciiTheme="majorHAnsi" w:eastAsia="Calibri" w:hAnsiTheme="majorHAnsi" w:cstheme="majorHAnsi"/>
          <w:sz w:val="24"/>
          <w:szCs w:val="24"/>
          <w:lang w:val="ro-MD"/>
        </w:rPr>
        <w:t xml:space="preserve">(Formularul FD 042) – cu </w:t>
      </w:r>
      <w:r w:rsidRPr="00C05E71">
        <w:rPr>
          <w:rFonts w:asciiTheme="majorHAnsi" w:eastAsia="Calibri" w:hAnsiTheme="majorHAnsi" w:cstheme="majorHAnsi"/>
          <w:b/>
          <w:i/>
          <w:sz w:val="24"/>
          <w:szCs w:val="24"/>
          <w:lang w:val="ro-MD"/>
        </w:rPr>
        <w:t xml:space="preserve">58 260,5 mii lei  </w:t>
      </w:r>
      <w:r w:rsidRPr="00C05E71">
        <w:rPr>
          <w:rFonts w:asciiTheme="majorHAnsi" w:eastAsia="Calibri" w:hAnsiTheme="majorHAnsi" w:cstheme="majorHAnsi"/>
          <w:sz w:val="24"/>
          <w:szCs w:val="24"/>
          <w:lang w:val="ro-MD"/>
        </w:rPr>
        <w:t>(venituri)</w:t>
      </w:r>
      <w:r w:rsidRPr="00C05E71">
        <w:rPr>
          <w:rFonts w:asciiTheme="majorHAnsi" w:eastAsia="Calibri" w:hAnsiTheme="majorHAnsi" w:cstheme="majorHAnsi"/>
          <w:b/>
          <w:i/>
          <w:sz w:val="24"/>
          <w:szCs w:val="24"/>
          <w:lang w:val="ro-MD"/>
        </w:rPr>
        <w:t xml:space="preserve"> </w:t>
      </w:r>
      <w:r w:rsidRPr="00C05E71">
        <w:rPr>
          <w:rFonts w:asciiTheme="majorHAnsi" w:eastAsia="Calibri" w:hAnsiTheme="majorHAnsi" w:cstheme="majorHAnsi"/>
          <w:sz w:val="24"/>
          <w:szCs w:val="24"/>
          <w:lang w:val="ro-MD"/>
        </w:rPr>
        <w:t>și, respectiv,</w:t>
      </w:r>
      <w:r w:rsidRPr="00C05E71">
        <w:rPr>
          <w:rFonts w:asciiTheme="majorHAnsi" w:eastAsia="Calibri" w:hAnsiTheme="majorHAnsi" w:cstheme="majorHAnsi"/>
          <w:b/>
          <w:i/>
          <w:sz w:val="24"/>
          <w:szCs w:val="24"/>
          <w:lang w:val="ro-MD"/>
        </w:rPr>
        <w:t xml:space="preserve"> </w:t>
      </w:r>
      <w:r w:rsidRPr="00C05E71">
        <w:rPr>
          <w:rFonts w:asciiTheme="majorHAnsi" w:eastAsia="Calibri" w:hAnsiTheme="majorHAnsi" w:cstheme="majorHAnsi"/>
          <w:i/>
          <w:sz w:val="24"/>
          <w:szCs w:val="24"/>
          <w:lang w:val="ro-MD"/>
        </w:rPr>
        <w:t>cu</w:t>
      </w:r>
      <w:r w:rsidRPr="00C05E71">
        <w:rPr>
          <w:rFonts w:asciiTheme="majorHAnsi" w:eastAsia="Calibri" w:hAnsiTheme="majorHAnsi" w:cstheme="majorHAnsi"/>
          <w:b/>
          <w:i/>
          <w:sz w:val="24"/>
          <w:szCs w:val="24"/>
          <w:lang w:val="ro-MD"/>
        </w:rPr>
        <w:t xml:space="preserve"> 50 884,6 mii lei </w:t>
      </w:r>
      <w:r w:rsidRPr="00C05E71">
        <w:rPr>
          <w:rFonts w:asciiTheme="majorHAnsi" w:eastAsia="Calibri" w:hAnsiTheme="majorHAnsi" w:cstheme="majorHAnsi"/>
          <w:sz w:val="24"/>
          <w:szCs w:val="24"/>
          <w:lang w:val="ro-MD"/>
        </w:rPr>
        <w:t xml:space="preserve">(cheltuieli); </w:t>
      </w:r>
      <w:r w:rsidRPr="00C05E71">
        <w:rPr>
          <w:rFonts w:asciiTheme="majorHAnsi" w:eastAsia="Calibri" w:hAnsiTheme="majorHAnsi" w:cstheme="majorHAnsi"/>
          <w:b/>
          <w:sz w:val="24"/>
          <w:szCs w:val="24"/>
          <w:lang w:val="ro-MD"/>
        </w:rPr>
        <w:t xml:space="preserve">Raportul consolidat privind fluxul mijloacelor bănești  </w:t>
      </w:r>
      <w:r w:rsidRPr="00C05E71">
        <w:rPr>
          <w:rFonts w:asciiTheme="majorHAnsi" w:eastAsia="Calibri" w:hAnsiTheme="majorHAnsi" w:cstheme="majorHAnsi"/>
          <w:sz w:val="24"/>
          <w:szCs w:val="24"/>
          <w:lang w:val="ro-MD"/>
        </w:rPr>
        <w:t xml:space="preserve">(Formularul FD 043) – cu </w:t>
      </w:r>
      <w:r w:rsidRPr="00C05E71">
        <w:rPr>
          <w:rFonts w:asciiTheme="majorHAnsi" w:eastAsia="Calibri" w:hAnsiTheme="majorHAnsi" w:cstheme="majorHAnsi"/>
          <w:b/>
          <w:i/>
          <w:sz w:val="24"/>
          <w:szCs w:val="24"/>
          <w:lang w:val="ro-MD"/>
        </w:rPr>
        <w:t xml:space="preserve">51 451,6 mii lei </w:t>
      </w:r>
      <w:r w:rsidRPr="00C05E71">
        <w:rPr>
          <w:rFonts w:asciiTheme="majorHAnsi" w:eastAsia="Calibri" w:hAnsiTheme="majorHAnsi" w:cstheme="majorHAnsi"/>
          <w:sz w:val="24"/>
          <w:szCs w:val="24"/>
          <w:lang w:val="ro-MD"/>
        </w:rPr>
        <w:t xml:space="preserve">(venituri de casă) și cu </w:t>
      </w:r>
      <w:r w:rsidRPr="00C05E71">
        <w:rPr>
          <w:rFonts w:asciiTheme="majorHAnsi" w:eastAsia="Calibri" w:hAnsiTheme="majorHAnsi" w:cstheme="majorHAnsi"/>
          <w:b/>
          <w:i/>
          <w:sz w:val="24"/>
          <w:szCs w:val="24"/>
          <w:lang w:val="ro-MD"/>
        </w:rPr>
        <w:t xml:space="preserve">44 222,9 mii lei </w:t>
      </w:r>
      <w:r w:rsidRPr="00C05E71">
        <w:rPr>
          <w:rFonts w:asciiTheme="majorHAnsi" w:eastAsia="Calibri" w:hAnsiTheme="majorHAnsi" w:cstheme="majorHAnsi"/>
          <w:sz w:val="24"/>
          <w:szCs w:val="24"/>
          <w:lang w:val="ro-MD"/>
        </w:rPr>
        <w:t>(cheltuieli de casă)</w:t>
      </w:r>
      <w:r w:rsidRPr="00C05E71">
        <w:rPr>
          <w:rFonts w:asciiTheme="majorHAnsi" w:eastAsia="Calibri" w:hAnsiTheme="majorHAnsi" w:cstheme="majorHAnsi"/>
          <w:b/>
          <w:i/>
          <w:sz w:val="24"/>
          <w:szCs w:val="24"/>
          <w:lang w:val="ro-MD"/>
        </w:rPr>
        <w:t>.</w:t>
      </w:r>
      <w:r w:rsidRPr="00C05E71">
        <w:rPr>
          <w:rFonts w:asciiTheme="majorHAnsi" w:eastAsia="Calibri" w:hAnsiTheme="majorHAnsi" w:cstheme="majorHAnsi"/>
          <w:sz w:val="24"/>
          <w:szCs w:val="24"/>
          <w:lang w:val="ro-MD"/>
        </w:rPr>
        <w:t xml:space="preserve"> </w:t>
      </w:r>
    </w:p>
    <w:p w14:paraId="1D5A93B2" w14:textId="13F20420" w:rsidR="0083172C" w:rsidRPr="00C05E71" w:rsidRDefault="0083172C" w:rsidP="00C05E71">
      <w:pPr>
        <w:spacing w:after="0" w:line="276" w:lineRule="auto"/>
        <w:jc w:val="both"/>
        <w:rPr>
          <w:rFonts w:asciiTheme="majorHAnsi" w:eastAsia="Calibri" w:hAnsiTheme="majorHAnsi" w:cstheme="majorHAnsi"/>
          <w:sz w:val="24"/>
          <w:szCs w:val="24"/>
          <w:lang w:val="ro-MD"/>
        </w:rPr>
      </w:pPr>
      <w:r w:rsidRPr="00C05E71">
        <w:rPr>
          <w:rFonts w:asciiTheme="majorHAnsi" w:eastAsia="Calibri" w:hAnsiTheme="majorHAnsi" w:cstheme="majorHAnsi"/>
          <w:sz w:val="24"/>
          <w:szCs w:val="24"/>
          <w:lang w:val="ro-MD"/>
        </w:rPr>
        <w:t>Această situație este cauzată de faptul că</w:t>
      </w:r>
      <w:r w:rsidR="009F34BA" w:rsidRPr="00C05E71">
        <w:rPr>
          <w:rFonts w:asciiTheme="majorHAnsi" w:eastAsia="Calibri" w:hAnsiTheme="majorHAnsi" w:cstheme="majorHAnsi"/>
          <w:sz w:val="24"/>
          <w:szCs w:val="24"/>
          <w:lang w:val="ro-MD"/>
        </w:rPr>
        <w:t>,</w:t>
      </w:r>
      <w:r w:rsidRPr="00C05E71">
        <w:rPr>
          <w:rFonts w:asciiTheme="majorHAnsi" w:eastAsia="Calibri" w:hAnsiTheme="majorHAnsi" w:cstheme="majorHAnsi"/>
          <w:sz w:val="24"/>
          <w:szCs w:val="24"/>
          <w:lang w:val="ro-MD"/>
        </w:rPr>
        <w:t xml:space="preserve"> contrar Legii privind organizarea administrativ-teritorială a Republicii Moldova</w:t>
      </w:r>
      <w:r w:rsidRPr="00C05E71">
        <w:rPr>
          <w:rFonts w:asciiTheme="majorHAnsi" w:eastAsia="Calibri" w:hAnsiTheme="majorHAnsi" w:cstheme="majorHAnsi"/>
          <w:b/>
          <w:bCs/>
          <w:sz w:val="24"/>
          <w:szCs w:val="24"/>
          <w:lang w:val="ro-MD"/>
        </w:rPr>
        <w:t xml:space="preserve"> nr. 764-XV  din  27.12.2001 </w:t>
      </w:r>
      <w:r w:rsidRPr="00C05E71">
        <w:rPr>
          <w:rFonts w:asciiTheme="majorHAnsi" w:eastAsia="Calibri" w:hAnsiTheme="majorHAnsi" w:cstheme="majorHAnsi"/>
          <w:bCs/>
          <w:sz w:val="24"/>
          <w:szCs w:val="24"/>
          <w:lang w:val="ro-MD"/>
        </w:rPr>
        <w:t>și</w:t>
      </w:r>
      <w:r w:rsidRPr="00C05E71">
        <w:rPr>
          <w:rFonts w:asciiTheme="majorHAnsi" w:eastAsia="Calibri" w:hAnsiTheme="majorHAnsi" w:cstheme="majorHAnsi"/>
          <w:sz w:val="24"/>
          <w:szCs w:val="24"/>
          <w:lang w:val="ro-MD"/>
        </w:rPr>
        <w:t xml:space="preserve"> neținând cont de prevederile actelor </w:t>
      </w:r>
      <w:r w:rsidRPr="00C05E71">
        <w:rPr>
          <w:rFonts w:asciiTheme="majorHAnsi" w:eastAsia="Calibri" w:hAnsiTheme="majorHAnsi" w:cstheme="majorHAnsi"/>
          <w:sz w:val="24"/>
          <w:szCs w:val="24"/>
          <w:lang w:val="ro-MD"/>
        </w:rPr>
        <w:lastRenderedPageBreak/>
        <w:t>normative ale Adunării Populare a UTA Găgăuzia</w:t>
      </w:r>
      <w:r w:rsidRPr="00C05E71">
        <w:rPr>
          <w:rStyle w:val="FootnoteReference"/>
          <w:rFonts w:asciiTheme="majorHAnsi" w:eastAsia="Calibri" w:hAnsiTheme="majorHAnsi" w:cstheme="majorHAnsi"/>
          <w:sz w:val="24"/>
          <w:szCs w:val="24"/>
          <w:lang w:val="ro-MD"/>
        </w:rPr>
        <w:footnoteReference w:id="20"/>
      </w:r>
      <w:r w:rsidRPr="00C05E71">
        <w:rPr>
          <w:rFonts w:asciiTheme="majorHAnsi" w:eastAsia="Calibri" w:hAnsiTheme="majorHAnsi" w:cstheme="majorHAnsi"/>
          <w:sz w:val="24"/>
          <w:szCs w:val="24"/>
          <w:lang w:val="ro-MD"/>
        </w:rPr>
        <w:t>, la elaborarea Clasificației bugetare</w:t>
      </w:r>
      <w:r w:rsidRPr="00C05E71">
        <w:rPr>
          <w:rFonts w:asciiTheme="majorHAnsi" w:eastAsia="Calibri" w:hAnsiTheme="majorHAnsi" w:cstheme="majorHAnsi"/>
          <w:sz w:val="24"/>
          <w:szCs w:val="24"/>
          <w:vertAlign w:val="superscript"/>
          <w:lang w:val="ro-MD"/>
        </w:rPr>
        <w:footnoteReference w:id="21"/>
      </w:r>
      <w:r w:rsidRPr="00C05E71">
        <w:rPr>
          <w:rFonts w:asciiTheme="majorHAnsi" w:eastAsia="Calibri" w:hAnsiTheme="majorHAnsi" w:cstheme="majorHAnsi"/>
          <w:sz w:val="24"/>
          <w:szCs w:val="24"/>
          <w:lang w:val="ro-MD"/>
        </w:rPr>
        <w:t>, Ministerul Finanțelor (MF) a clasificat nejustificat Administrațiile dola</w:t>
      </w:r>
      <w:r w:rsidR="009F34BA" w:rsidRPr="00C05E71">
        <w:rPr>
          <w:rFonts w:asciiTheme="majorHAnsi" w:eastAsia="Calibri" w:hAnsiTheme="majorHAnsi" w:cstheme="majorHAnsi"/>
          <w:sz w:val="24"/>
          <w:szCs w:val="24"/>
          <w:lang w:val="ro-MD"/>
        </w:rPr>
        <w:t>y</w:t>
      </w:r>
      <w:r w:rsidRPr="00C05E71">
        <w:rPr>
          <w:rFonts w:asciiTheme="majorHAnsi" w:eastAsia="Calibri" w:hAnsiTheme="majorHAnsi" w:cstheme="majorHAnsi"/>
          <w:sz w:val="24"/>
          <w:szCs w:val="24"/>
          <w:lang w:val="ro-MD"/>
        </w:rPr>
        <w:t xml:space="preserve">urilor Comrat, Ceadâr-Lunga și Vulcănești ca APL de nivelul I, care raportează separat situațiile financiare și nu sunt consolidate în rapoartele financiare ale </w:t>
      </w:r>
      <w:r w:rsidRPr="00C05E71">
        <w:rPr>
          <w:rFonts w:asciiTheme="majorHAnsi" w:eastAsia="Times New Roman" w:hAnsiTheme="majorHAnsi" w:cstheme="majorHAnsi"/>
          <w:sz w:val="24"/>
          <w:szCs w:val="24"/>
          <w:lang w:val="ro-MD"/>
        </w:rPr>
        <w:t xml:space="preserve">UTA Găgăuzia (bugetul central) </w:t>
      </w:r>
      <w:r w:rsidRPr="00C05E71">
        <w:rPr>
          <w:rFonts w:asciiTheme="majorHAnsi" w:eastAsia="Calibri" w:hAnsiTheme="majorHAnsi" w:cstheme="majorHAnsi"/>
          <w:sz w:val="24"/>
          <w:szCs w:val="24"/>
          <w:lang w:val="ro-MD"/>
        </w:rPr>
        <w:t>(nivelul II).</w:t>
      </w:r>
    </w:p>
    <w:p w14:paraId="36E0C8A4" w14:textId="03FD82BE" w:rsidR="0083172C" w:rsidRPr="007722DB" w:rsidRDefault="0083172C" w:rsidP="00C05E71">
      <w:pPr>
        <w:spacing w:after="0" w:line="276" w:lineRule="auto"/>
        <w:jc w:val="both"/>
        <w:rPr>
          <w:rFonts w:asciiTheme="majorHAnsi" w:eastAsia="Times New Roman" w:hAnsiTheme="majorHAnsi" w:cstheme="majorHAnsi"/>
          <w:bCs/>
          <w:sz w:val="24"/>
          <w:szCs w:val="24"/>
          <w:lang w:val="ro-MD"/>
        </w:rPr>
      </w:pPr>
      <w:r w:rsidRPr="007722DB">
        <w:rPr>
          <w:rFonts w:asciiTheme="majorHAnsi" w:eastAsia="Times New Roman" w:hAnsiTheme="majorHAnsi" w:cstheme="majorHAnsi"/>
          <w:bCs/>
          <w:sz w:val="24"/>
          <w:szCs w:val="24"/>
          <w:lang w:val="ro-MD"/>
        </w:rPr>
        <w:t xml:space="preserve">Deși această situație a stat la baza emiterii opiniei contrare asupra situațiilor financiare aferente procesului bugetar și gestionării patrimoniului public de către UTA Găgăuzia </w:t>
      </w:r>
      <w:r w:rsidR="0080058D" w:rsidRPr="007722DB">
        <w:rPr>
          <w:rFonts w:asciiTheme="majorHAnsi" w:eastAsia="Times New Roman" w:hAnsiTheme="majorHAnsi" w:cstheme="majorHAnsi"/>
          <w:bCs/>
          <w:sz w:val="24"/>
          <w:szCs w:val="24"/>
          <w:lang w:val="ro-MD"/>
        </w:rPr>
        <w:t>în</w:t>
      </w:r>
      <w:r w:rsidRPr="007722DB">
        <w:rPr>
          <w:rFonts w:asciiTheme="majorHAnsi" w:eastAsia="Times New Roman" w:hAnsiTheme="majorHAnsi" w:cstheme="majorHAnsi"/>
          <w:bCs/>
          <w:sz w:val="24"/>
          <w:szCs w:val="24"/>
          <w:lang w:val="ro-MD"/>
        </w:rPr>
        <w:t xml:space="preserve"> anii 2016-2017, MF și Comitetul </w:t>
      </w:r>
      <w:r w:rsidR="0080058D" w:rsidRPr="007722DB">
        <w:rPr>
          <w:rFonts w:asciiTheme="majorHAnsi" w:eastAsia="Times New Roman" w:hAnsiTheme="majorHAnsi" w:cstheme="majorHAnsi"/>
          <w:bCs/>
          <w:sz w:val="24"/>
          <w:szCs w:val="24"/>
          <w:lang w:val="ro-MD"/>
        </w:rPr>
        <w:t>E</w:t>
      </w:r>
      <w:r w:rsidRPr="007722DB">
        <w:rPr>
          <w:rFonts w:asciiTheme="majorHAnsi" w:eastAsia="Times New Roman" w:hAnsiTheme="majorHAnsi" w:cstheme="majorHAnsi"/>
          <w:bCs/>
          <w:sz w:val="24"/>
          <w:szCs w:val="24"/>
          <w:lang w:val="ro-MD"/>
        </w:rPr>
        <w:t>xecutiv al UTA Găgăuzia nu au întreprins acțiuni credibile pentru remedierea acestei situații și implementarea recomandărilor Curții de Conturi. Astfel</w:t>
      </w:r>
      <w:r w:rsidR="0080058D" w:rsidRPr="007722DB">
        <w:rPr>
          <w:rFonts w:asciiTheme="majorHAnsi" w:eastAsia="Times New Roman" w:hAnsiTheme="majorHAnsi" w:cstheme="majorHAnsi"/>
          <w:bCs/>
          <w:sz w:val="24"/>
          <w:szCs w:val="24"/>
          <w:lang w:val="ro-MD"/>
        </w:rPr>
        <w:t>,</w:t>
      </w:r>
      <w:r w:rsidRPr="007722DB">
        <w:rPr>
          <w:rFonts w:asciiTheme="majorHAnsi" w:eastAsia="Times New Roman" w:hAnsiTheme="majorHAnsi" w:cstheme="majorHAnsi"/>
          <w:bCs/>
          <w:sz w:val="24"/>
          <w:szCs w:val="24"/>
          <w:lang w:val="ro-MD"/>
        </w:rPr>
        <w:t xml:space="preserve"> MF nu a corelat prevederile Clasificației bugetare, aprobată prin Ordinul ministrului finanțelor nr.208 din 24.12.2015</w:t>
      </w:r>
      <w:r w:rsidR="0080058D" w:rsidRPr="007722DB">
        <w:rPr>
          <w:rFonts w:asciiTheme="majorHAnsi" w:eastAsia="Times New Roman" w:hAnsiTheme="majorHAnsi" w:cstheme="majorHAnsi"/>
          <w:bCs/>
          <w:sz w:val="24"/>
          <w:szCs w:val="24"/>
          <w:lang w:val="ro-MD"/>
        </w:rPr>
        <w:t xml:space="preserve">, cu </w:t>
      </w:r>
      <w:r w:rsidRPr="007722DB">
        <w:rPr>
          <w:rFonts w:asciiTheme="majorHAnsi" w:eastAsia="Times New Roman" w:hAnsiTheme="majorHAnsi" w:cstheme="majorHAnsi"/>
          <w:bCs/>
          <w:sz w:val="24"/>
          <w:szCs w:val="24"/>
          <w:lang w:val="ro-MD"/>
        </w:rPr>
        <w:t xml:space="preserve"> prevederile Legii nr.764 din 27.12.2001 privind organizarea administrativ-teritorială a Republicii Moldova, neasigur</w:t>
      </w:r>
      <w:r w:rsidR="0080058D" w:rsidRPr="007722DB">
        <w:rPr>
          <w:rFonts w:asciiTheme="majorHAnsi" w:eastAsia="Times New Roman" w:hAnsiTheme="majorHAnsi" w:cstheme="majorHAnsi"/>
          <w:bCs/>
          <w:sz w:val="24"/>
          <w:szCs w:val="24"/>
          <w:lang w:val="ro-MD"/>
        </w:rPr>
        <w:t>â</w:t>
      </w:r>
      <w:r w:rsidRPr="007722DB">
        <w:rPr>
          <w:rFonts w:asciiTheme="majorHAnsi" w:eastAsia="Times New Roman" w:hAnsiTheme="majorHAnsi" w:cstheme="majorHAnsi"/>
          <w:bCs/>
          <w:sz w:val="24"/>
          <w:szCs w:val="24"/>
          <w:lang w:val="ro-MD"/>
        </w:rPr>
        <w:t xml:space="preserve">nd excluderea </w:t>
      </w:r>
      <w:r w:rsidR="0080058D" w:rsidRPr="007722DB">
        <w:rPr>
          <w:rFonts w:asciiTheme="majorHAnsi" w:eastAsia="Times New Roman" w:hAnsiTheme="majorHAnsi" w:cstheme="majorHAnsi"/>
          <w:bCs/>
          <w:sz w:val="24"/>
          <w:szCs w:val="24"/>
          <w:lang w:val="ro-MD"/>
        </w:rPr>
        <w:t>d</w:t>
      </w:r>
      <w:r w:rsidRPr="007722DB">
        <w:rPr>
          <w:rFonts w:asciiTheme="majorHAnsi" w:eastAsia="Times New Roman" w:hAnsiTheme="majorHAnsi" w:cstheme="majorHAnsi"/>
          <w:bCs/>
          <w:sz w:val="24"/>
          <w:szCs w:val="24"/>
          <w:lang w:val="ro-MD"/>
        </w:rPr>
        <w:t>ola</w:t>
      </w:r>
      <w:r w:rsidR="0080058D" w:rsidRPr="007722DB">
        <w:rPr>
          <w:rFonts w:asciiTheme="majorHAnsi" w:eastAsia="Times New Roman" w:hAnsiTheme="majorHAnsi" w:cstheme="majorHAnsi"/>
          <w:bCs/>
          <w:sz w:val="24"/>
          <w:szCs w:val="24"/>
          <w:lang w:val="ro-MD"/>
        </w:rPr>
        <w:t>yurilor</w:t>
      </w:r>
      <w:r w:rsidRPr="007722DB">
        <w:rPr>
          <w:rFonts w:asciiTheme="majorHAnsi" w:eastAsia="Times New Roman" w:hAnsiTheme="majorHAnsi" w:cstheme="majorHAnsi"/>
          <w:bCs/>
          <w:sz w:val="24"/>
          <w:szCs w:val="24"/>
          <w:lang w:val="ro-MD"/>
        </w:rPr>
        <w:t xml:space="preserve"> Comrat, Ceadâr-Lunga şi Vulcăneşti din Anexa nr.3 „Organe ale autorităţilor publice locale”, unde ace</w:t>
      </w:r>
      <w:r w:rsidR="0080058D" w:rsidRPr="007722DB">
        <w:rPr>
          <w:rFonts w:asciiTheme="majorHAnsi" w:eastAsia="Times New Roman" w:hAnsiTheme="majorHAnsi" w:cstheme="majorHAnsi"/>
          <w:bCs/>
          <w:sz w:val="24"/>
          <w:szCs w:val="24"/>
          <w:lang w:val="ro-MD"/>
        </w:rPr>
        <w:t>ste</w:t>
      </w:r>
      <w:r w:rsidRPr="007722DB">
        <w:rPr>
          <w:rFonts w:asciiTheme="majorHAnsi" w:eastAsia="Times New Roman" w:hAnsiTheme="majorHAnsi" w:cstheme="majorHAnsi"/>
          <w:bCs/>
          <w:sz w:val="24"/>
          <w:szCs w:val="24"/>
          <w:lang w:val="ro-MD"/>
        </w:rPr>
        <w:t>a sunt indicate ca autorit</w:t>
      </w:r>
      <w:r w:rsidR="0080058D" w:rsidRPr="007722DB">
        <w:rPr>
          <w:rFonts w:asciiTheme="majorHAnsi" w:eastAsia="Times New Roman" w:hAnsiTheme="majorHAnsi" w:cstheme="majorHAnsi"/>
          <w:bCs/>
          <w:sz w:val="24"/>
          <w:szCs w:val="24"/>
          <w:lang w:val="ro-MD"/>
        </w:rPr>
        <w:t>ăți</w:t>
      </w:r>
      <w:r w:rsidRPr="007722DB">
        <w:rPr>
          <w:rFonts w:asciiTheme="majorHAnsi" w:eastAsia="Times New Roman" w:hAnsiTheme="majorHAnsi" w:cstheme="majorHAnsi"/>
          <w:bCs/>
          <w:sz w:val="24"/>
          <w:szCs w:val="24"/>
          <w:lang w:val="ro-MD"/>
        </w:rPr>
        <w:t xml:space="preserve"> public</w:t>
      </w:r>
      <w:r w:rsidR="0080058D" w:rsidRPr="007722DB">
        <w:rPr>
          <w:rFonts w:asciiTheme="majorHAnsi" w:eastAsia="Times New Roman" w:hAnsiTheme="majorHAnsi" w:cstheme="majorHAnsi"/>
          <w:bCs/>
          <w:sz w:val="24"/>
          <w:szCs w:val="24"/>
          <w:lang w:val="ro-MD"/>
        </w:rPr>
        <w:t>e</w:t>
      </w:r>
      <w:r w:rsidRPr="007722DB">
        <w:rPr>
          <w:rFonts w:asciiTheme="majorHAnsi" w:eastAsia="Times New Roman" w:hAnsiTheme="majorHAnsi" w:cstheme="majorHAnsi"/>
          <w:bCs/>
          <w:sz w:val="24"/>
          <w:szCs w:val="24"/>
          <w:lang w:val="ro-MD"/>
        </w:rPr>
        <w:t xml:space="preserve"> local</w:t>
      </w:r>
      <w:r w:rsidR="0080058D" w:rsidRPr="007722DB">
        <w:rPr>
          <w:rFonts w:asciiTheme="majorHAnsi" w:eastAsia="Times New Roman" w:hAnsiTheme="majorHAnsi" w:cstheme="majorHAnsi"/>
          <w:bCs/>
          <w:sz w:val="24"/>
          <w:szCs w:val="24"/>
          <w:lang w:val="ro-MD"/>
        </w:rPr>
        <w:t>e</w:t>
      </w:r>
      <w:r w:rsidRPr="007722DB">
        <w:rPr>
          <w:rFonts w:asciiTheme="majorHAnsi" w:eastAsia="Times New Roman" w:hAnsiTheme="majorHAnsi" w:cstheme="majorHAnsi"/>
          <w:bCs/>
          <w:sz w:val="24"/>
          <w:szCs w:val="24"/>
          <w:lang w:val="ro-MD"/>
        </w:rPr>
        <w:t xml:space="preserve"> de nivelul I. </w:t>
      </w:r>
    </w:p>
    <w:p w14:paraId="687DFF29" w14:textId="0A24F970" w:rsidR="0083172C" w:rsidRPr="007722DB" w:rsidRDefault="0083172C" w:rsidP="00C05E71">
      <w:pPr>
        <w:spacing w:after="0" w:line="276" w:lineRule="auto"/>
        <w:jc w:val="both"/>
        <w:rPr>
          <w:rFonts w:asciiTheme="majorHAnsi" w:eastAsia="Times New Roman" w:hAnsiTheme="majorHAnsi" w:cstheme="majorHAnsi"/>
          <w:bCs/>
          <w:sz w:val="24"/>
          <w:szCs w:val="24"/>
          <w:lang w:val="ro-MD"/>
        </w:rPr>
      </w:pPr>
      <w:r w:rsidRPr="007722DB">
        <w:rPr>
          <w:rFonts w:asciiTheme="majorHAnsi" w:eastAsia="Times New Roman" w:hAnsiTheme="majorHAnsi" w:cstheme="majorHAnsi"/>
          <w:bCs/>
          <w:sz w:val="24"/>
          <w:szCs w:val="24"/>
          <w:lang w:val="ro-MD"/>
        </w:rPr>
        <w:t xml:space="preserve">Totodată, Comitetul </w:t>
      </w:r>
      <w:r w:rsidR="0080058D" w:rsidRPr="007722DB">
        <w:rPr>
          <w:rFonts w:asciiTheme="majorHAnsi" w:eastAsia="Times New Roman" w:hAnsiTheme="majorHAnsi" w:cstheme="majorHAnsi"/>
          <w:bCs/>
          <w:sz w:val="24"/>
          <w:szCs w:val="24"/>
          <w:lang w:val="ro-MD"/>
        </w:rPr>
        <w:t>E</w:t>
      </w:r>
      <w:r w:rsidRPr="007722DB">
        <w:rPr>
          <w:rFonts w:asciiTheme="majorHAnsi" w:eastAsia="Times New Roman" w:hAnsiTheme="majorHAnsi" w:cstheme="majorHAnsi"/>
          <w:bCs/>
          <w:sz w:val="24"/>
          <w:szCs w:val="24"/>
          <w:lang w:val="ro-MD"/>
        </w:rPr>
        <w:t>xecutiv al UTA Găgăuzia nu a prezentat Ministerului Finanțe</w:t>
      </w:r>
      <w:r w:rsidR="00DD6CA2" w:rsidRPr="007722DB">
        <w:rPr>
          <w:rFonts w:asciiTheme="majorHAnsi" w:eastAsia="Times New Roman" w:hAnsiTheme="majorHAnsi" w:cstheme="majorHAnsi"/>
          <w:bCs/>
          <w:sz w:val="24"/>
          <w:szCs w:val="24"/>
          <w:lang w:val="ro-MD"/>
        </w:rPr>
        <w:t>lor</w:t>
      </w:r>
      <w:r w:rsidRPr="007722DB">
        <w:rPr>
          <w:rFonts w:asciiTheme="majorHAnsi" w:eastAsia="Times New Roman" w:hAnsiTheme="majorHAnsi" w:cstheme="majorHAnsi"/>
          <w:bCs/>
          <w:sz w:val="24"/>
          <w:szCs w:val="24"/>
          <w:lang w:val="ro-MD"/>
        </w:rPr>
        <w:t xml:space="preserve"> fișa de clasificare bugetară conformă a </w:t>
      </w:r>
      <w:r w:rsidR="00DD6CA2" w:rsidRPr="007722DB">
        <w:rPr>
          <w:rFonts w:asciiTheme="majorHAnsi" w:eastAsia="Times New Roman" w:hAnsiTheme="majorHAnsi" w:cstheme="majorHAnsi"/>
          <w:bCs/>
          <w:sz w:val="24"/>
          <w:szCs w:val="24"/>
          <w:lang w:val="ro-MD"/>
        </w:rPr>
        <w:t>d</w:t>
      </w:r>
      <w:r w:rsidRPr="007722DB">
        <w:rPr>
          <w:rFonts w:asciiTheme="majorHAnsi" w:eastAsia="Times New Roman" w:hAnsiTheme="majorHAnsi" w:cstheme="majorHAnsi"/>
          <w:bCs/>
          <w:sz w:val="24"/>
          <w:szCs w:val="24"/>
          <w:lang w:val="ro-MD"/>
        </w:rPr>
        <w:t>ola</w:t>
      </w:r>
      <w:r w:rsidR="00DD6CA2" w:rsidRPr="007722DB">
        <w:rPr>
          <w:rFonts w:asciiTheme="majorHAnsi" w:eastAsia="Times New Roman" w:hAnsiTheme="majorHAnsi" w:cstheme="majorHAnsi"/>
          <w:bCs/>
          <w:sz w:val="24"/>
          <w:szCs w:val="24"/>
          <w:lang w:val="ro-MD"/>
        </w:rPr>
        <w:t>yurilor</w:t>
      </w:r>
      <w:r w:rsidRPr="007722DB">
        <w:rPr>
          <w:rFonts w:asciiTheme="majorHAnsi" w:eastAsia="Times New Roman" w:hAnsiTheme="majorHAnsi" w:cstheme="majorHAnsi"/>
          <w:bCs/>
          <w:sz w:val="24"/>
          <w:szCs w:val="24"/>
          <w:lang w:val="ro-MD"/>
        </w:rPr>
        <w:t xml:space="preserve"> Comrat, Ceadâr-Lunga şi Vulcăneşti, astfel ca modul de finanțare a acestora</w:t>
      </w:r>
      <w:r w:rsidR="00DD6CA2" w:rsidRPr="007722DB">
        <w:rPr>
          <w:rFonts w:asciiTheme="majorHAnsi" w:eastAsia="Times New Roman" w:hAnsiTheme="majorHAnsi" w:cstheme="majorHAnsi"/>
          <w:bCs/>
          <w:sz w:val="24"/>
          <w:szCs w:val="24"/>
          <w:lang w:val="ro-MD"/>
        </w:rPr>
        <w:t>,</w:t>
      </w:r>
      <w:r w:rsidRPr="007722DB">
        <w:rPr>
          <w:rFonts w:asciiTheme="majorHAnsi" w:eastAsia="Times New Roman" w:hAnsiTheme="majorHAnsi" w:cstheme="majorHAnsi"/>
          <w:bCs/>
          <w:sz w:val="24"/>
          <w:szCs w:val="24"/>
          <w:lang w:val="ro-MD"/>
        </w:rPr>
        <w:t xml:space="preserve"> stabilit conform actelor </w:t>
      </w:r>
      <w:r w:rsidR="00DD6CA2" w:rsidRPr="007722DB">
        <w:rPr>
          <w:rFonts w:asciiTheme="majorHAnsi" w:eastAsia="Times New Roman" w:hAnsiTheme="majorHAnsi" w:cstheme="majorHAnsi"/>
          <w:bCs/>
          <w:sz w:val="24"/>
          <w:szCs w:val="24"/>
          <w:lang w:val="ro-MD"/>
        </w:rPr>
        <w:t>A</w:t>
      </w:r>
      <w:r w:rsidRPr="007722DB">
        <w:rPr>
          <w:rFonts w:asciiTheme="majorHAnsi" w:eastAsia="Times New Roman" w:hAnsiTheme="majorHAnsi" w:cstheme="majorHAnsi"/>
          <w:bCs/>
          <w:sz w:val="24"/>
          <w:szCs w:val="24"/>
          <w:lang w:val="ro-MD"/>
        </w:rPr>
        <w:t xml:space="preserve">dunării </w:t>
      </w:r>
      <w:r w:rsidR="00DD6CA2" w:rsidRPr="007722DB">
        <w:rPr>
          <w:rFonts w:asciiTheme="majorHAnsi" w:eastAsia="Times New Roman" w:hAnsiTheme="majorHAnsi" w:cstheme="majorHAnsi"/>
          <w:bCs/>
          <w:sz w:val="24"/>
          <w:szCs w:val="24"/>
          <w:lang w:val="ro-MD"/>
        </w:rPr>
        <w:t>P</w:t>
      </w:r>
      <w:r w:rsidRPr="007722DB">
        <w:rPr>
          <w:rFonts w:asciiTheme="majorHAnsi" w:eastAsia="Times New Roman" w:hAnsiTheme="majorHAnsi" w:cstheme="majorHAnsi"/>
          <w:bCs/>
          <w:sz w:val="24"/>
          <w:szCs w:val="24"/>
          <w:lang w:val="ro-MD"/>
        </w:rPr>
        <w:t>opulare a UTA Găgăuzia (finanțarea acestora se efectuează prin intermediul defalcărilor de la impozite și transferuri încasate în bugetul central al UTA Găgăuzia)</w:t>
      </w:r>
      <w:r w:rsidR="00DD6CA2" w:rsidRPr="007722DB">
        <w:rPr>
          <w:rFonts w:asciiTheme="majorHAnsi" w:eastAsia="Times New Roman" w:hAnsiTheme="majorHAnsi" w:cstheme="majorHAnsi"/>
          <w:bCs/>
          <w:sz w:val="24"/>
          <w:szCs w:val="24"/>
          <w:lang w:val="ro-MD"/>
        </w:rPr>
        <w:t>,</w:t>
      </w:r>
      <w:r w:rsidR="007722DB">
        <w:rPr>
          <w:rFonts w:asciiTheme="majorHAnsi" w:eastAsia="Times New Roman" w:hAnsiTheme="majorHAnsi" w:cstheme="majorHAnsi"/>
          <w:bCs/>
          <w:sz w:val="24"/>
          <w:szCs w:val="24"/>
          <w:lang w:val="ro-MD"/>
        </w:rPr>
        <w:t xml:space="preserve"> </w:t>
      </w:r>
      <w:r w:rsidRPr="007722DB">
        <w:rPr>
          <w:rFonts w:asciiTheme="majorHAnsi" w:eastAsia="Times New Roman" w:hAnsiTheme="majorHAnsi" w:cstheme="majorHAnsi"/>
          <w:bCs/>
          <w:sz w:val="24"/>
          <w:szCs w:val="24"/>
          <w:lang w:val="ro-MD"/>
        </w:rPr>
        <w:t>să fie integrat în configurația existentă a sistemului informațional al Ministerului Finanțe</w:t>
      </w:r>
      <w:r w:rsidR="00DD6CA2" w:rsidRPr="007722DB">
        <w:rPr>
          <w:rFonts w:asciiTheme="majorHAnsi" w:eastAsia="Times New Roman" w:hAnsiTheme="majorHAnsi" w:cstheme="majorHAnsi"/>
          <w:bCs/>
          <w:sz w:val="24"/>
          <w:szCs w:val="24"/>
          <w:lang w:val="ro-MD"/>
        </w:rPr>
        <w:t>lor</w:t>
      </w:r>
      <w:r w:rsidRPr="007722DB">
        <w:rPr>
          <w:rFonts w:asciiTheme="majorHAnsi" w:eastAsia="Times New Roman" w:hAnsiTheme="majorHAnsi" w:cstheme="majorHAnsi"/>
          <w:bCs/>
          <w:sz w:val="24"/>
          <w:szCs w:val="24"/>
          <w:lang w:val="ro-MD"/>
        </w:rPr>
        <w:t xml:space="preserve">.  </w:t>
      </w:r>
    </w:p>
    <w:p w14:paraId="4B479B42" w14:textId="1760DEB7" w:rsidR="00F96CC6" w:rsidRPr="00C05E71" w:rsidRDefault="0083172C" w:rsidP="00C05E71">
      <w:pPr>
        <w:spacing w:after="0" w:line="276" w:lineRule="auto"/>
        <w:jc w:val="both"/>
        <w:rPr>
          <w:rFonts w:asciiTheme="majorHAnsi" w:hAnsiTheme="majorHAnsi" w:cstheme="majorHAnsi"/>
          <w:sz w:val="24"/>
          <w:szCs w:val="24"/>
          <w:lang w:val="ro-MD"/>
        </w:rPr>
      </w:pPr>
      <w:r w:rsidRPr="00C05E71">
        <w:rPr>
          <w:rFonts w:asciiTheme="majorHAnsi" w:hAnsiTheme="majorHAnsi" w:cstheme="majorHAnsi"/>
          <w:sz w:val="24"/>
          <w:szCs w:val="24"/>
          <w:lang w:val="ro-MD"/>
        </w:rPr>
        <w:t xml:space="preserve">3.2. </w:t>
      </w:r>
      <w:r w:rsidR="00F96CC6" w:rsidRPr="00C05E71">
        <w:rPr>
          <w:rFonts w:asciiTheme="majorHAnsi" w:hAnsiTheme="majorHAnsi" w:cstheme="majorHAnsi"/>
          <w:sz w:val="24"/>
          <w:szCs w:val="24"/>
          <w:lang w:val="ro-MD"/>
        </w:rPr>
        <w:t>Atragem atenția asupra faptului că actualul Plan de conturi, aprobat</w:t>
      </w:r>
      <w:r w:rsidR="00F96CC6" w:rsidRPr="00C05E71">
        <w:rPr>
          <w:rFonts w:asciiTheme="majorHAnsi" w:eastAsia="Times New Roman" w:hAnsiTheme="majorHAnsi" w:cstheme="majorHAnsi"/>
          <w:sz w:val="24"/>
          <w:szCs w:val="24"/>
          <w:lang w:val="ro-MD"/>
        </w:rPr>
        <w:t xml:space="preserve"> prin Ordinul ministrului finanțelor nr.216 din 28.12.2015,</w:t>
      </w:r>
      <w:r w:rsidR="00F96CC6" w:rsidRPr="00C05E71">
        <w:rPr>
          <w:rFonts w:asciiTheme="majorHAnsi" w:hAnsiTheme="majorHAnsi" w:cstheme="majorHAnsi"/>
          <w:sz w:val="24"/>
          <w:szCs w:val="24"/>
          <w:lang w:val="ro-MD"/>
        </w:rPr>
        <w:t xml:space="preserve"> nu face distincție între bunurile care au fost transmise de către fondator unei entități cu titlu de proprietate și cele care sunt transmise în gestiune, folosință sau comodat, ai căror proprietari reali sunt fondatorul sau alte persoane terțe. Ca urmare, până în prezent nu există o reglementare privind executarea prevederilor art.11 alin.(2) din Legea nr.121-XVI din 04.05.2007, prin care urmează a fi asigurată o evidență contabilă distinctă a bunurilor proprietate publică din domeniul public aflate în gestiunea entităților (instituțiilor publice și întreprinderilor) la autogestiune, precum și </w:t>
      </w:r>
      <w:r w:rsidR="00726C52" w:rsidRPr="00C05E71">
        <w:rPr>
          <w:rFonts w:asciiTheme="majorHAnsi" w:hAnsiTheme="majorHAnsi" w:cstheme="majorHAnsi"/>
          <w:sz w:val="24"/>
          <w:szCs w:val="24"/>
          <w:lang w:val="ro-MD"/>
        </w:rPr>
        <w:t xml:space="preserve">privind </w:t>
      </w:r>
      <w:r w:rsidR="00F96CC6" w:rsidRPr="00C05E71">
        <w:rPr>
          <w:rFonts w:asciiTheme="majorHAnsi" w:hAnsiTheme="majorHAnsi" w:cstheme="majorHAnsi"/>
          <w:sz w:val="24"/>
          <w:szCs w:val="24"/>
          <w:lang w:val="ro-MD"/>
        </w:rPr>
        <w:t xml:space="preserve">modul de înregistrare în evidența contabilă la fondator a tranzacțiilor respective.  </w:t>
      </w:r>
    </w:p>
    <w:p w14:paraId="151C191B" w14:textId="2D002F75" w:rsidR="00F96CC6" w:rsidRPr="00C05E71" w:rsidRDefault="00F96CC6" w:rsidP="00C05E71">
      <w:pPr>
        <w:spacing w:after="0" w:line="276" w:lineRule="auto"/>
        <w:jc w:val="both"/>
        <w:rPr>
          <w:rFonts w:asciiTheme="majorHAnsi" w:hAnsiTheme="majorHAnsi" w:cstheme="majorHAnsi"/>
          <w:sz w:val="24"/>
          <w:szCs w:val="24"/>
          <w:lang w:val="ro-MD"/>
        </w:rPr>
      </w:pPr>
      <w:r w:rsidRPr="00C05E71">
        <w:rPr>
          <w:rFonts w:asciiTheme="majorHAnsi" w:hAnsiTheme="majorHAnsi" w:cstheme="majorHAnsi"/>
          <w:sz w:val="24"/>
          <w:szCs w:val="24"/>
          <w:lang w:val="ro-MD"/>
        </w:rPr>
        <w:t>Deși Planul de conturi include contul 4153 „Investiții în părți legate și nelegate” pentru transmitere în gestiune a bunurilor, acesta nu permite o evidență analitică/distinctă pentru fiecare bun tra</w:t>
      </w:r>
      <w:r w:rsidR="00726C52" w:rsidRPr="00C05E71">
        <w:rPr>
          <w:rFonts w:asciiTheme="majorHAnsi" w:hAnsiTheme="majorHAnsi" w:cstheme="majorHAnsi"/>
          <w:sz w:val="24"/>
          <w:szCs w:val="24"/>
          <w:lang w:val="ro-MD"/>
        </w:rPr>
        <w:t>n</w:t>
      </w:r>
      <w:r w:rsidRPr="00C05E71">
        <w:rPr>
          <w:rFonts w:asciiTheme="majorHAnsi" w:hAnsiTheme="majorHAnsi" w:cstheme="majorHAnsi"/>
          <w:sz w:val="24"/>
          <w:szCs w:val="24"/>
          <w:lang w:val="ro-MD"/>
        </w:rPr>
        <w:t>smis în gestiune, ceea ce, ulterior, practic va face imposibilă identificarea bunurilor proprietate de stat din domeniul public gestionate de entitățile la autogestiune, inclusiv în cazul restituirii lor. La momentul actual, Planul de conturi prevede evidența analitică a clădirilor și terenurilor doar la conturile 311 „Clădiri” și  371 „Terenuri”.</w:t>
      </w:r>
    </w:p>
    <w:p w14:paraId="34CBFD26" w14:textId="2BD97E36" w:rsidR="00F96CC6" w:rsidRPr="00C05E71" w:rsidRDefault="00917038" w:rsidP="00C05E71">
      <w:pPr>
        <w:spacing w:after="0" w:line="276" w:lineRule="auto"/>
        <w:ind w:right="1"/>
        <w:jc w:val="both"/>
        <w:rPr>
          <w:rFonts w:asciiTheme="majorHAnsi" w:eastAsia="Calibri" w:hAnsiTheme="majorHAnsi" w:cstheme="majorHAnsi"/>
          <w:sz w:val="24"/>
          <w:szCs w:val="24"/>
          <w:lang w:val="ro-MD"/>
        </w:rPr>
      </w:pPr>
      <w:r w:rsidRPr="00C05E71">
        <w:rPr>
          <w:rFonts w:asciiTheme="majorHAnsi" w:eastAsia="Calibri" w:hAnsiTheme="majorHAnsi" w:cstheme="majorHAnsi"/>
          <w:sz w:val="24"/>
          <w:szCs w:val="24"/>
          <w:lang w:val="ro-MD"/>
        </w:rPr>
        <w:lastRenderedPageBreak/>
        <w:t xml:space="preserve">Astfel, </w:t>
      </w:r>
      <w:r w:rsidR="00F96CC6" w:rsidRPr="00C05E71">
        <w:rPr>
          <w:rFonts w:asciiTheme="majorHAnsi" w:eastAsia="Calibri" w:hAnsiTheme="majorHAnsi" w:cstheme="majorHAnsi"/>
          <w:sz w:val="24"/>
          <w:szCs w:val="24"/>
          <w:lang w:val="ro-MD"/>
        </w:rPr>
        <w:t xml:space="preserve">Direcția </w:t>
      </w:r>
      <w:r w:rsidR="00930B74" w:rsidRPr="00C05E71">
        <w:rPr>
          <w:rFonts w:asciiTheme="majorHAnsi" w:eastAsia="Calibri" w:hAnsiTheme="majorHAnsi" w:cstheme="majorHAnsi"/>
          <w:sz w:val="24"/>
          <w:szCs w:val="24"/>
          <w:lang w:val="ro-MD"/>
        </w:rPr>
        <w:t>G</w:t>
      </w:r>
      <w:r w:rsidR="00F96CC6" w:rsidRPr="00C05E71">
        <w:rPr>
          <w:rFonts w:asciiTheme="majorHAnsi" w:eastAsia="Calibri" w:hAnsiTheme="majorHAnsi" w:cstheme="majorHAnsi"/>
          <w:sz w:val="24"/>
          <w:szCs w:val="24"/>
          <w:lang w:val="ro-MD"/>
        </w:rPr>
        <w:t xml:space="preserve">enerală </w:t>
      </w:r>
      <w:r w:rsidR="00930B74" w:rsidRPr="00C05E71">
        <w:rPr>
          <w:rFonts w:asciiTheme="majorHAnsi" w:eastAsia="Calibri" w:hAnsiTheme="majorHAnsi" w:cstheme="majorHAnsi"/>
          <w:sz w:val="24"/>
          <w:szCs w:val="24"/>
          <w:lang w:val="ro-MD"/>
        </w:rPr>
        <w:t>S</w:t>
      </w:r>
      <w:r w:rsidR="00F96CC6" w:rsidRPr="00C05E71">
        <w:rPr>
          <w:rFonts w:asciiTheme="majorHAnsi" w:eastAsia="Calibri" w:hAnsiTheme="majorHAnsi" w:cstheme="majorHAnsi"/>
          <w:sz w:val="24"/>
          <w:szCs w:val="24"/>
          <w:lang w:val="ro-MD"/>
        </w:rPr>
        <w:t xml:space="preserve">ănătate și </w:t>
      </w:r>
      <w:r w:rsidR="00930B74" w:rsidRPr="00C05E71">
        <w:rPr>
          <w:rFonts w:asciiTheme="majorHAnsi" w:eastAsia="Calibri" w:hAnsiTheme="majorHAnsi" w:cstheme="majorHAnsi"/>
          <w:sz w:val="24"/>
          <w:szCs w:val="24"/>
          <w:lang w:val="ro-MD"/>
        </w:rPr>
        <w:t>P</w:t>
      </w:r>
      <w:r w:rsidR="00F96CC6" w:rsidRPr="00C05E71">
        <w:rPr>
          <w:rFonts w:asciiTheme="majorHAnsi" w:eastAsia="Calibri" w:hAnsiTheme="majorHAnsi" w:cstheme="majorHAnsi"/>
          <w:sz w:val="24"/>
          <w:szCs w:val="24"/>
          <w:lang w:val="ro-MD"/>
        </w:rPr>
        <w:t xml:space="preserve">rotecție a </w:t>
      </w:r>
      <w:r w:rsidR="00930B74" w:rsidRPr="00C05E71">
        <w:rPr>
          <w:rFonts w:asciiTheme="majorHAnsi" w:eastAsia="Calibri" w:hAnsiTheme="majorHAnsi" w:cstheme="majorHAnsi"/>
          <w:sz w:val="24"/>
          <w:szCs w:val="24"/>
          <w:lang w:val="ro-MD"/>
        </w:rPr>
        <w:t>F</w:t>
      </w:r>
      <w:r w:rsidR="00F96CC6" w:rsidRPr="00C05E71">
        <w:rPr>
          <w:rFonts w:asciiTheme="majorHAnsi" w:eastAsia="Calibri" w:hAnsiTheme="majorHAnsi" w:cstheme="majorHAnsi"/>
          <w:sz w:val="24"/>
          <w:szCs w:val="24"/>
          <w:lang w:val="ro-MD"/>
        </w:rPr>
        <w:t xml:space="preserve">amiliei a UTA Găgăuzia </w:t>
      </w:r>
      <w:r w:rsidRPr="00C05E71">
        <w:rPr>
          <w:rFonts w:asciiTheme="majorHAnsi" w:eastAsia="Calibri" w:hAnsiTheme="majorHAnsi" w:cstheme="majorHAnsi"/>
          <w:sz w:val="24"/>
          <w:szCs w:val="24"/>
          <w:lang w:val="ro-MD"/>
        </w:rPr>
        <w:t xml:space="preserve">nu dispune de o evidență analitică </w:t>
      </w:r>
      <w:r w:rsidR="00F96CC6" w:rsidRPr="00C05E71">
        <w:rPr>
          <w:rFonts w:asciiTheme="majorHAnsi" w:eastAsia="Calibri" w:hAnsiTheme="majorHAnsi" w:cstheme="majorHAnsi"/>
          <w:sz w:val="24"/>
          <w:szCs w:val="24"/>
          <w:lang w:val="ro-MD"/>
        </w:rPr>
        <w:t xml:space="preserve">a </w:t>
      </w:r>
      <w:r w:rsidRPr="00C05E71">
        <w:rPr>
          <w:rFonts w:asciiTheme="majorHAnsi" w:eastAsia="Calibri" w:hAnsiTheme="majorHAnsi" w:cstheme="majorHAnsi"/>
          <w:sz w:val="24"/>
          <w:szCs w:val="24"/>
          <w:lang w:val="ro-MD"/>
        </w:rPr>
        <w:t xml:space="preserve">clădirilor </w:t>
      </w:r>
      <w:r w:rsidR="00F96CC6" w:rsidRPr="00C05E71">
        <w:rPr>
          <w:rFonts w:asciiTheme="majorHAnsi" w:eastAsia="Calibri" w:hAnsiTheme="majorHAnsi" w:cstheme="majorHAnsi"/>
          <w:sz w:val="24"/>
          <w:szCs w:val="24"/>
          <w:lang w:val="ro-MD"/>
        </w:rPr>
        <w:t>gestionat</w:t>
      </w:r>
      <w:r w:rsidRPr="00C05E71">
        <w:rPr>
          <w:rFonts w:asciiTheme="majorHAnsi" w:eastAsia="Calibri" w:hAnsiTheme="majorHAnsi" w:cstheme="majorHAnsi"/>
          <w:sz w:val="24"/>
          <w:szCs w:val="24"/>
          <w:lang w:val="ro-MD"/>
        </w:rPr>
        <w:t>e</w:t>
      </w:r>
      <w:r w:rsidR="00F96CC6" w:rsidRPr="00C05E71">
        <w:rPr>
          <w:rFonts w:asciiTheme="majorHAnsi" w:eastAsia="Calibri" w:hAnsiTheme="majorHAnsi" w:cstheme="majorHAnsi"/>
          <w:sz w:val="24"/>
          <w:szCs w:val="24"/>
          <w:lang w:val="ro-MD"/>
        </w:rPr>
        <w:t xml:space="preserve"> de către IMSP din secto</w:t>
      </w:r>
      <w:r w:rsidR="00930B74" w:rsidRPr="00C05E71">
        <w:rPr>
          <w:rFonts w:asciiTheme="majorHAnsi" w:eastAsia="Calibri" w:hAnsiTheme="majorHAnsi" w:cstheme="majorHAnsi"/>
          <w:sz w:val="24"/>
          <w:szCs w:val="24"/>
          <w:lang w:val="ro-MD"/>
        </w:rPr>
        <w:t>arele</w:t>
      </w:r>
      <w:r w:rsidR="00F96CC6" w:rsidRPr="00C05E71">
        <w:rPr>
          <w:rFonts w:asciiTheme="majorHAnsi" w:eastAsia="Calibri" w:hAnsiTheme="majorHAnsi" w:cstheme="majorHAnsi"/>
          <w:sz w:val="24"/>
          <w:szCs w:val="24"/>
          <w:lang w:val="ro-MD"/>
        </w:rPr>
        <w:t xml:space="preserve"> Comrat, </w:t>
      </w:r>
      <w:r w:rsidRPr="00C05E71">
        <w:rPr>
          <w:rFonts w:asciiTheme="majorHAnsi" w:eastAsia="Calibri" w:hAnsiTheme="majorHAnsi" w:cstheme="majorHAnsi"/>
          <w:sz w:val="24"/>
          <w:szCs w:val="24"/>
          <w:lang w:val="ro-MD"/>
        </w:rPr>
        <w:t>Cead</w:t>
      </w:r>
      <w:r w:rsidR="00930B74" w:rsidRPr="00C05E71">
        <w:rPr>
          <w:rFonts w:asciiTheme="majorHAnsi" w:eastAsia="Calibri" w:hAnsiTheme="majorHAnsi" w:cstheme="majorHAnsi"/>
          <w:sz w:val="24"/>
          <w:szCs w:val="24"/>
          <w:lang w:val="ro-MD"/>
        </w:rPr>
        <w:t>â</w:t>
      </w:r>
      <w:r w:rsidRPr="00C05E71">
        <w:rPr>
          <w:rFonts w:asciiTheme="majorHAnsi" w:eastAsia="Calibri" w:hAnsiTheme="majorHAnsi" w:cstheme="majorHAnsi"/>
          <w:sz w:val="24"/>
          <w:szCs w:val="24"/>
          <w:lang w:val="ro-MD"/>
        </w:rPr>
        <w:t>r-Lunga și Vulcănești</w:t>
      </w:r>
      <w:r w:rsidR="00930B74" w:rsidRPr="00C05E71">
        <w:rPr>
          <w:rFonts w:asciiTheme="majorHAnsi" w:eastAsia="Calibri" w:hAnsiTheme="majorHAnsi" w:cstheme="majorHAnsi"/>
          <w:sz w:val="24"/>
          <w:szCs w:val="24"/>
          <w:lang w:val="ro-MD"/>
        </w:rPr>
        <w:t>,</w:t>
      </w:r>
      <w:r w:rsidRPr="00C05E71">
        <w:rPr>
          <w:rFonts w:asciiTheme="majorHAnsi" w:eastAsia="Calibri" w:hAnsiTheme="majorHAnsi" w:cstheme="majorHAnsi"/>
          <w:sz w:val="24"/>
          <w:szCs w:val="24"/>
          <w:lang w:val="ro-MD"/>
        </w:rPr>
        <w:t xml:space="preserve"> </w:t>
      </w:r>
      <w:r w:rsidR="00F96CC6" w:rsidRPr="00C05E71">
        <w:rPr>
          <w:rFonts w:asciiTheme="majorHAnsi" w:eastAsia="Calibri" w:hAnsiTheme="majorHAnsi" w:cstheme="majorHAnsi"/>
          <w:sz w:val="24"/>
          <w:szCs w:val="24"/>
          <w:lang w:val="ro-MD"/>
        </w:rPr>
        <w:t xml:space="preserve">în sumă de </w:t>
      </w:r>
      <w:r w:rsidR="00F96CC6" w:rsidRPr="00C05E71">
        <w:rPr>
          <w:rFonts w:asciiTheme="majorHAnsi" w:eastAsia="Calibri" w:hAnsiTheme="majorHAnsi" w:cstheme="majorHAnsi"/>
          <w:b/>
          <w:i/>
          <w:sz w:val="24"/>
          <w:szCs w:val="24"/>
          <w:lang w:val="ro-MD"/>
        </w:rPr>
        <w:t>259 315,4 mii lei</w:t>
      </w:r>
      <w:r w:rsidRPr="00C05E71">
        <w:rPr>
          <w:rFonts w:asciiTheme="majorHAnsi" w:eastAsia="Calibri" w:hAnsiTheme="majorHAnsi" w:cstheme="majorHAnsi"/>
          <w:b/>
          <w:i/>
          <w:sz w:val="24"/>
          <w:szCs w:val="24"/>
          <w:lang w:val="ro-MD"/>
        </w:rPr>
        <w:t>, cu uzur</w:t>
      </w:r>
      <w:r w:rsidR="00930B74" w:rsidRPr="00C05E71">
        <w:rPr>
          <w:rFonts w:asciiTheme="majorHAnsi" w:eastAsia="Calibri" w:hAnsiTheme="majorHAnsi" w:cstheme="majorHAnsi"/>
          <w:b/>
          <w:i/>
          <w:sz w:val="24"/>
          <w:szCs w:val="24"/>
          <w:lang w:val="ro-MD"/>
        </w:rPr>
        <w:t>a</w:t>
      </w:r>
      <w:r w:rsidRPr="00C05E71">
        <w:rPr>
          <w:rFonts w:asciiTheme="majorHAnsi" w:eastAsia="Calibri" w:hAnsiTheme="majorHAnsi" w:cstheme="majorHAnsi"/>
          <w:b/>
          <w:i/>
          <w:sz w:val="24"/>
          <w:szCs w:val="24"/>
          <w:lang w:val="ro-MD"/>
        </w:rPr>
        <w:t xml:space="preserve"> </w:t>
      </w:r>
      <w:r w:rsidR="00F96CC6" w:rsidRPr="00C05E71">
        <w:rPr>
          <w:rFonts w:asciiTheme="majorHAnsi" w:eastAsia="Calibri" w:hAnsiTheme="majorHAnsi" w:cstheme="majorHAnsi"/>
          <w:sz w:val="24"/>
          <w:szCs w:val="24"/>
          <w:lang w:val="ro-MD"/>
        </w:rPr>
        <w:t xml:space="preserve">de </w:t>
      </w:r>
      <w:r w:rsidR="00F96CC6" w:rsidRPr="00C05E71">
        <w:rPr>
          <w:rFonts w:asciiTheme="majorHAnsi" w:eastAsia="Calibri" w:hAnsiTheme="majorHAnsi" w:cstheme="majorHAnsi"/>
          <w:b/>
          <w:i/>
          <w:sz w:val="24"/>
          <w:szCs w:val="24"/>
          <w:lang w:val="ro-MD"/>
        </w:rPr>
        <w:t>65 869,4 mii lei</w:t>
      </w:r>
      <w:r w:rsidR="00F96CC6" w:rsidRPr="00C05E71">
        <w:rPr>
          <w:rStyle w:val="FootnoteReference"/>
          <w:rFonts w:asciiTheme="majorHAnsi" w:eastAsia="Calibri" w:hAnsiTheme="majorHAnsi" w:cstheme="majorHAnsi"/>
          <w:sz w:val="24"/>
          <w:szCs w:val="24"/>
          <w:lang w:val="ro-MD"/>
        </w:rPr>
        <w:footnoteReference w:id="22"/>
      </w:r>
      <w:r w:rsidR="00F96CC6" w:rsidRPr="00C05E71">
        <w:rPr>
          <w:rFonts w:asciiTheme="majorHAnsi" w:eastAsia="Calibri" w:hAnsiTheme="majorHAnsi" w:cstheme="majorHAnsi"/>
          <w:sz w:val="24"/>
          <w:szCs w:val="24"/>
          <w:lang w:val="ro-MD"/>
        </w:rPr>
        <w:t>.</w:t>
      </w:r>
    </w:p>
    <w:p w14:paraId="3AE0E27F" w14:textId="77777777" w:rsidR="001D48C3" w:rsidRPr="00C05E71" w:rsidRDefault="001D48C3" w:rsidP="00C05E71">
      <w:pPr>
        <w:spacing w:after="0" w:line="276" w:lineRule="auto"/>
        <w:rPr>
          <w:rFonts w:asciiTheme="majorHAnsi" w:eastAsia="Times New Roman" w:hAnsiTheme="majorHAnsi" w:cstheme="majorHAnsi"/>
          <w:sz w:val="24"/>
          <w:szCs w:val="24"/>
        </w:rPr>
      </w:pPr>
      <w:r w:rsidRPr="00C05E71">
        <w:rPr>
          <w:rFonts w:asciiTheme="majorHAnsi" w:hAnsiTheme="majorHAnsi" w:cstheme="majorHAnsi"/>
          <w:sz w:val="24"/>
          <w:szCs w:val="24"/>
          <w:lang w:val="ro-MD"/>
        </w:rPr>
        <w:t>Opinia nu este modificată din cauza acestor aspecte.</w:t>
      </w:r>
      <w:r w:rsidRPr="00C05E71">
        <w:rPr>
          <w:rFonts w:asciiTheme="majorHAnsi" w:eastAsia="Times New Roman" w:hAnsiTheme="majorHAnsi" w:cstheme="majorHAnsi"/>
          <w:sz w:val="24"/>
          <w:szCs w:val="24"/>
        </w:rPr>
        <w:t xml:space="preserve"> </w:t>
      </w:r>
    </w:p>
    <w:p w14:paraId="24D7938F" w14:textId="77777777" w:rsidR="00713F76" w:rsidRPr="00C05E71" w:rsidRDefault="00713F76" w:rsidP="00C05E71">
      <w:pPr>
        <w:tabs>
          <w:tab w:val="left" w:pos="0"/>
          <w:tab w:val="left" w:pos="284"/>
        </w:tabs>
        <w:spacing w:after="0" w:line="276" w:lineRule="auto"/>
        <w:outlineLvl w:val="0"/>
        <w:rPr>
          <w:rFonts w:asciiTheme="majorHAnsi" w:eastAsia="Times New Roman" w:hAnsiTheme="majorHAnsi" w:cstheme="majorHAnsi"/>
          <w:b/>
          <w:sz w:val="24"/>
          <w:szCs w:val="24"/>
          <w:lang w:val="ro-MD"/>
        </w:rPr>
      </w:pPr>
      <w:bookmarkStart w:id="3" w:name="_Toc529533667"/>
    </w:p>
    <w:p w14:paraId="0D577B26" w14:textId="4BBD4D3C" w:rsidR="002A7174" w:rsidRPr="00C05E71" w:rsidRDefault="002A7174" w:rsidP="00C05E71">
      <w:pPr>
        <w:tabs>
          <w:tab w:val="left" w:pos="0"/>
          <w:tab w:val="left" w:pos="284"/>
        </w:tabs>
        <w:spacing w:after="0" w:line="276" w:lineRule="auto"/>
        <w:outlineLvl w:val="0"/>
        <w:rPr>
          <w:rFonts w:asciiTheme="majorHAnsi" w:eastAsia="Times New Roman" w:hAnsiTheme="majorHAnsi" w:cstheme="majorHAnsi"/>
          <w:b/>
          <w:sz w:val="24"/>
          <w:szCs w:val="24"/>
          <w:lang w:val="ro-MD"/>
        </w:rPr>
      </w:pPr>
      <w:r w:rsidRPr="00C05E71">
        <w:rPr>
          <w:rFonts w:asciiTheme="majorHAnsi" w:eastAsia="Times New Roman" w:hAnsiTheme="majorHAnsi" w:cstheme="majorHAnsi"/>
          <w:b/>
          <w:sz w:val="24"/>
          <w:szCs w:val="24"/>
          <w:lang w:val="ro-MD"/>
        </w:rPr>
        <w:t>I</w:t>
      </w:r>
      <w:r w:rsidR="00713F76" w:rsidRPr="00C05E71">
        <w:rPr>
          <w:rFonts w:asciiTheme="majorHAnsi" w:eastAsia="Times New Roman" w:hAnsiTheme="majorHAnsi" w:cstheme="majorHAnsi"/>
          <w:b/>
          <w:sz w:val="24"/>
          <w:szCs w:val="24"/>
          <w:lang w:val="ro-MD"/>
        </w:rPr>
        <w:t>V</w:t>
      </w:r>
      <w:r w:rsidRPr="00C05E71">
        <w:rPr>
          <w:rFonts w:asciiTheme="majorHAnsi" w:eastAsia="Times New Roman" w:hAnsiTheme="majorHAnsi" w:cstheme="majorHAnsi"/>
          <w:b/>
          <w:sz w:val="24"/>
          <w:szCs w:val="24"/>
          <w:lang w:val="ro-MD"/>
        </w:rPr>
        <w:t>. ASPECTE-CHEIE DE AUDIT</w:t>
      </w:r>
      <w:bookmarkEnd w:id="3"/>
    </w:p>
    <w:p w14:paraId="701C2237" w14:textId="617F0CAE" w:rsidR="002A7174" w:rsidRPr="00C05E71" w:rsidRDefault="002A7174" w:rsidP="00C05E71">
      <w:pPr>
        <w:tabs>
          <w:tab w:val="left" w:pos="0"/>
        </w:tabs>
        <w:spacing w:after="0" w:line="276" w:lineRule="auto"/>
        <w:jc w:val="both"/>
        <w:rPr>
          <w:rFonts w:asciiTheme="majorHAnsi" w:eastAsia="Calibri" w:hAnsiTheme="majorHAnsi" w:cstheme="majorHAnsi"/>
          <w:bCs/>
          <w:sz w:val="24"/>
          <w:szCs w:val="24"/>
          <w:lang w:val="ro-MD"/>
        </w:rPr>
      </w:pPr>
      <w:r w:rsidRPr="00C05E71">
        <w:rPr>
          <w:rFonts w:asciiTheme="majorHAnsi" w:eastAsia="Calibri" w:hAnsiTheme="majorHAnsi" w:cstheme="majorHAnsi"/>
          <w:sz w:val="24"/>
          <w:szCs w:val="24"/>
          <w:lang w:val="ro-MD"/>
        </w:rPr>
        <w:t>Aspecte</w:t>
      </w:r>
      <w:r w:rsidR="00930B74" w:rsidRPr="00C05E71">
        <w:rPr>
          <w:rFonts w:asciiTheme="majorHAnsi" w:eastAsia="Calibri" w:hAnsiTheme="majorHAnsi" w:cstheme="majorHAnsi"/>
          <w:sz w:val="24"/>
          <w:szCs w:val="24"/>
          <w:lang w:val="ro-MD"/>
        </w:rPr>
        <w:t>le</w:t>
      </w:r>
      <w:r w:rsidRPr="00C05E71">
        <w:rPr>
          <w:rFonts w:asciiTheme="majorHAnsi" w:eastAsia="Calibri" w:hAnsiTheme="majorHAnsi" w:cstheme="majorHAnsi"/>
          <w:sz w:val="24"/>
          <w:szCs w:val="24"/>
          <w:lang w:val="ro-MD"/>
        </w:rPr>
        <w:t>-cheie de audit sunt acele aspecte care, în baza raționamentului nostru profesional, au avut cea mai mare impor</w:t>
      </w:r>
      <w:r w:rsidR="00AF715A" w:rsidRPr="00C05E71">
        <w:rPr>
          <w:rFonts w:asciiTheme="majorHAnsi" w:eastAsia="Calibri" w:hAnsiTheme="majorHAnsi" w:cstheme="majorHAnsi"/>
          <w:sz w:val="24"/>
          <w:szCs w:val="24"/>
          <w:lang w:val="ro-MD"/>
        </w:rPr>
        <w:t xml:space="preserve">tanță pentru auditul </w:t>
      </w:r>
      <w:r w:rsidR="00930B74" w:rsidRPr="00C05E71">
        <w:rPr>
          <w:rFonts w:asciiTheme="majorHAnsi" w:eastAsia="Calibri" w:hAnsiTheme="majorHAnsi" w:cstheme="majorHAnsi"/>
          <w:sz w:val="24"/>
          <w:szCs w:val="24"/>
          <w:lang w:val="ro-MD"/>
        </w:rPr>
        <w:t>R</w:t>
      </w:r>
      <w:r w:rsidR="00AF715A" w:rsidRPr="00C05E71">
        <w:rPr>
          <w:rFonts w:asciiTheme="majorHAnsi" w:eastAsia="Calibri" w:hAnsiTheme="majorHAnsi" w:cstheme="majorHAnsi"/>
          <w:sz w:val="24"/>
          <w:szCs w:val="24"/>
          <w:lang w:val="ro-MD"/>
        </w:rPr>
        <w:t>aportului financiar consolidat al</w:t>
      </w:r>
      <w:r w:rsidRPr="00C05E71">
        <w:rPr>
          <w:rFonts w:asciiTheme="majorHAnsi" w:eastAsia="Calibri" w:hAnsiTheme="majorHAnsi" w:cstheme="majorHAnsi"/>
          <w:sz w:val="24"/>
          <w:szCs w:val="24"/>
          <w:lang w:val="ro-MD"/>
        </w:rPr>
        <w:t xml:space="preserve"> </w:t>
      </w:r>
      <w:r w:rsidR="00AF715A" w:rsidRPr="00C05E71">
        <w:rPr>
          <w:rFonts w:asciiTheme="majorHAnsi" w:eastAsia="Calibri" w:hAnsiTheme="majorHAnsi" w:cstheme="majorHAnsi"/>
          <w:sz w:val="24"/>
          <w:szCs w:val="24"/>
          <w:lang w:val="ro-MD"/>
        </w:rPr>
        <w:t>Unității Teritorial</w:t>
      </w:r>
      <w:r w:rsidR="00930B74" w:rsidRPr="00C05E71">
        <w:rPr>
          <w:rFonts w:asciiTheme="majorHAnsi" w:eastAsia="Calibri" w:hAnsiTheme="majorHAnsi" w:cstheme="majorHAnsi"/>
          <w:sz w:val="24"/>
          <w:szCs w:val="24"/>
          <w:lang w:val="ro-MD"/>
        </w:rPr>
        <w:t xml:space="preserve">e </w:t>
      </w:r>
      <w:r w:rsidR="00AF715A" w:rsidRPr="00C05E71">
        <w:rPr>
          <w:rFonts w:asciiTheme="majorHAnsi" w:eastAsia="Calibri" w:hAnsiTheme="majorHAnsi" w:cstheme="majorHAnsi"/>
          <w:sz w:val="24"/>
          <w:szCs w:val="24"/>
          <w:lang w:val="ro-MD"/>
        </w:rPr>
        <w:t xml:space="preserve"> Autonome Găgăuzia (bugetul central)</w:t>
      </w:r>
      <w:r w:rsidRPr="00C05E71">
        <w:rPr>
          <w:rFonts w:asciiTheme="majorHAnsi" w:eastAsia="Calibri" w:hAnsiTheme="majorHAnsi" w:cstheme="majorHAnsi"/>
          <w:sz w:val="24"/>
          <w:szCs w:val="24"/>
          <w:lang w:val="ro-MD"/>
        </w:rPr>
        <w:t>. Aceste aspecte au fost abordate în contextul auditului rapoartelor financiare în ansamblu și al formării opiniei noastre asupra lor,</w:t>
      </w:r>
      <w:r w:rsidR="005954CC" w:rsidRPr="00C05E71">
        <w:rPr>
          <w:rFonts w:asciiTheme="majorHAnsi" w:eastAsia="Calibri" w:hAnsiTheme="majorHAnsi" w:cstheme="majorHAnsi"/>
          <w:sz w:val="24"/>
          <w:szCs w:val="24"/>
          <w:lang w:val="ro-MD"/>
        </w:rPr>
        <w:t xml:space="preserve"> </w:t>
      </w:r>
      <w:r w:rsidRPr="00C05E71">
        <w:rPr>
          <w:rFonts w:asciiTheme="majorHAnsi" w:eastAsia="Calibri" w:hAnsiTheme="majorHAnsi" w:cstheme="majorHAnsi"/>
          <w:sz w:val="24"/>
          <w:szCs w:val="24"/>
          <w:lang w:val="ro-MD"/>
        </w:rPr>
        <w:t xml:space="preserve">și nu oferim o opinie separată cu privire la ele. </w:t>
      </w:r>
      <w:r w:rsidRPr="00C05E71">
        <w:rPr>
          <w:rFonts w:asciiTheme="majorHAnsi" w:eastAsia="Calibri" w:hAnsiTheme="majorHAnsi" w:cstheme="majorHAnsi"/>
          <w:bCs/>
          <w:sz w:val="24"/>
          <w:szCs w:val="24"/>
          <w:lang w:val="ro-MD"/>
        </w:rPr>
        <w:t xml:space="preserve">Cu excepția aspectelor descrise în </w:t>
      </w:r>
      <w:r w:rsidRPr="00C05E71">
        <w:rPr>
          <w:rFonts w:asciiTheme="majorHAnsi" w:eastAsia="Times New Roman" w:hAnsiTheme="majorHAnsi" w:cstheme="majorHAnsi"/>
          <w:color w:val="000000"/>
          <w:sz w:val="24"/>
          <w:szCs w:val="24"/>
          <w:lang w:val="ro-MD"/>
        </w:rPr>
        <w:t>secțiunea</w:t>
      </w:r>
      <w:r w:rsidRPr="00C05E71">
        <w:rPr>
          <w:rFonts w:asciiTheme="majorHAnsi" w:eastAsia="Calibri" w:hAnsiTheme="majorHAnsi" w:cstheme="majorHAnsi"/>
          <w:bCs/>
          <w:sz w:val="24"/>
          <w:szCs w:val="24"/>
          <w:lang w:val="ro-MD"/>
        </w:rPr>
        <w:t xml:space="preserve"> </w:t>
      </w:r>
      <w:r w:rsidRPr="00C05E71">
        <w:rPr>
          <w:rFonts w:asciiTheme="majorHAnsi" w:eastAsia="Calibri" w:hAnsiTheme="majorHAnsi" w:cstheme="majorHAnsi"/>
          <w:bCs/>
          <w:i/>
          <w:sz w:val="24"/>
          <w:szCs w:val="24"/>
          <w:lang w:val="ro-MD"/>
        </w:rPr>
        <w:t>Baza pentru opini</w:t>
      </w:r>
      <w:r w:rsidR="008C7378" w:rsidRPr="00C05E71">
        <w:rPr>
          <w:rFonts w:asciiTheme="majorHAnsi" w:eastAsia="Calibri" w:hAnsiTheme="majorHAnsi" w:cstheme="majorHAnsi"/>
          <w:bCs/>
          <w:i/>
          <w:sz w:val="24"/>
          <w:szCs w:val="24"/>
          <w:lang w:val="ro-MD"/>
        </w:rPr>
        <w:t>a</w:t>
      </w:r>
      <w:r w:rsidRPr="00C05E71">
        <w:rPr>
          <w:rFonts w:asciiTheme="majorHAnsi" w:eastAsia="Calibri" w:hAnsiTheme="majorHAnsi" w:cstheme="majorHAnsi"/>
          <w:bCs/>
          <w:i/>
          <w:sz w:val="24"/>
          <w:szCs w:val="24"/>
          <w:lang w:val="ro-MD"/>
        </w:rPr>
        <w:t xml:space="preserve"> c</w:t>
      </w:r>
      <w:r w:rsidR="004065CE" w:rsidRPr="00C05E71">
        <w:rPr>
          <w:rFonts w:asciiTheme="majorHAnsi" w:eastAsia="Calibri" w:hAnsiTheme="majorHAnsi" w:cstheme="majorHAnsi"/>
          <w:bCs/>
          <w:i/>
          <w:sz w:val="24"/>
          <w:szCs w:val="24"/>
          <w:lang w:val="ro-MD"/>
        </w:rPr>
        <w:t>u rezerve</w:t>
      </w:r>
      <w:r w:rsidRPr="00C05E71">
        <w:rPr>
          <w:rFonts w:asciiTheme="majorHAnsi" w:eastAsia="Calibri" w:hAnsiTheme="majorHAnsi" w:cstheme="majorHAnsi"/>
          <w:bCs/>
          <w:sz w:val="24"/>
          <w:szCs w:val="24"/>
          <w:lang w:val="ro-MD"/>
        </w:rPr>
        <w:t>, am determinat că nu mai există alte aspecte-cheie de audit care trebuie expuse în Raportul de audit.</w:t>
      </w:r>
    </w:p>
    <w:p w14:paraId="025987C7" w14:textId="77777777" w:rsidR="0072787C" w:rsidRPr="00C05E71" w:rsidRDefault="0072787C" w:rsidP="00C05E71">
      <w:pPr>
        <w:tabs>
          <w:tab w:val="left" w:pos="0"/>
        </w:tabs>
        <w:spacing w:after="0" w:line="276" w:lineRule="auto"/>
        <w:jc w:val="both"/>
        <w:rPr>
          <w:rFonts w:asciiTheme="majorHAnsi" w:eastAsia="Calibri" w:hAnsiTheme="majorHAnsi" w:cstheme="majorHAnsi"/>
          <w:bCs/>
          <w:sz w:val="24"/>
          <w:szCs w:val="24"/>
          <w:lang w:val="ro-MD"/>
        </w:rPr>
      </w:pPr>
    </w:p>
    <w:p w14:paraId="3FBA9112" w14:textId="47332841" w:rsidR="002A7174" w:rsidRPr="00C05E71" w:rsidRDefault="00DD59F1" w:rsidP="00C05E71">
      <w:pPr>
        <w:pStyle w:val="ListParagraph"/>
        <w:tabs>
          <w:tab w:val="left" w:pos="0"/>
          <w:tab w:val="left" w:pos="284"/>
          <w:tab w:val="left" w:pos="1134"/>
        </w:tabs>
        <w:spacing w:after="0" w:line="276" w:lineRule="auto"/>
        <w:ind w:left="0"/>
        <w:jc w:val="both"/>
        <w:outlineLvl w:val="0"/>
        <w:rPr>
          <w:rFonts w:asciiTheme="majorHAnsi" w:hAnsiTheme="majorHAnsi" w:cstheme="majorHAnsi"/>
          <w:sz w:val="24"/>
          <w:szCs w:val="24"/>
          <w:lang w:val="ro-MD"/>
        </w:rPr>
      </w:pPr>
      <w:r w:rsidRPr="00C05E71">
        <w:rPr>
          <w:rFonts w:asciiTheme="majorHAnsi" w:eastAsia="Times New Roman" w:hAnsiTheme="majorHAnsi" w:cstheme="majorHAnsi"/>
          <w:b/>
          <w:sz w:val="24"/>
          <w:szCs w:val="24"/>
          <w:lang w:val="ro-MD"/>
        </w:rPr>
        <w:t xml:space="preserve">V. </w:t>
      </w:r>
      <w:r w:rsidR="002A7174" w:rsidRPr="00C05E71">
        <w:rPr>
          <w:rFonts w:asciiTheme="majorHAnsi" w:eastAsia="Times New Roman" w:hAnsiTheme="majorHAnsi" w:cstheme="majorHAnsi"/>
          <w:b/>
          <w:sz w:val="24"/>
          <w:szCs w:val="24"/>
          <w:lang w:val="ro-MD"/>
        </w:rPr>
        <w:t>ALTE INFORMAȚII</w:t>
      </w:r>
    </w:p>
    <w:p w14:paraId="735C26B8" w14:textId="68602D45" w:rsidR="00266CA9" w:rsidRPr="00C05E71" w:rsidRDefault="00DC1DE5" w:rsidP="00C05E71">
      <w:pPr>
        <w:pStyle w:val="ListParagraph"/>
        <w:widowControl w:val="0"/>
        <w:numPr>
          <w:ilvl w:val="1"/>
          <w:numId w:val="8"/>
        </w:numPr>
        <w:shd w:val="clear" w:color="auto" w:fill="FFFFFF"/>
        <w:tabs>
          <w:tab w:val="left" w:pos="0"/>
          <w:tab w:val="left" w:pos="426"/>
        </w:tabs>
        <w:spacing w:after="0" w:line="276" w:lineRule="auto"/>
        <w:jc w:val="both"/>
        <w:outlineLvl w:val="0"/>
        <w:rPr>
          <w:rFonts w:asciiTheme="majorHAnsi" w:hAnsiTheme="majorHAnsi" w:cstheme="majorHAnsi"/>
          <w:sz w:val="24"/>
          <w:szCs w:val="24"/>
          <w:lang w:val="ro-MD"/>
        </w:rPr>
      </w:pPr>
      <w:r w:rsidRPr="00C05E71">
        <w:rPr>
          <w:rFonts w:asciiTheme="majorHAnsi" w:hAnsiTheme="majorHAnsi" w:cstheme="majorHAnsi"/>
          <w:sz w:val="24"/>
          <w:szCs w:val="24"/>
          <w:lang w:val="ro-MD"/>
        </w:rPr>
        <w:t>Supraevaluarea</w:t>
      </w:r>
      <w:r w:rsidRPr="00C05E71">
        <w:rPr>
          <w:rFonts w:asciiTheme="majorHAnsi" w:eastAsia="Calibri" w:hAnsiTheme="majorHAnsi" w:cstheme="majorHAnsi"/>
          <w:sz w:val="24"/>
          <w:szCs w:val="24"/>
          <w:lang w:val="ro-MD" w:eastAsia="lv-LV"/>
        </w:rPr>
        <w:t xml:space="preserve"> contului 222500</w:t>
      </w:r>
      <w:r w:rsidRPr="00C05E71">
        <w:rPr>
          <w:rFonts w:asciiTheme="majorHAnsi" w:hAnsiTheme="majorHAnsi" w:cstheme="majorHAnsi"/>
          <w:sz w:val="24"/>
          <w:szCs w:val="24"/>
          <w:lang w:val="ro-MD"/>
        </w:rPr>
        <w:t xml:space="preserve"> „Servicii de reparații curente”</w:t>
      </w:r>
      <w:r w:rsidR="00930B74" w:rsidRPr="00C05E71">
        <w:rPr>
          <w:rFonts w:asciiTheme="majorHAnsi" w:hAnsiTheme="majorHAnsi" w:cstheme="majorHAnsi"/>
          <w:sz w:val="24"/>
          <w:szCs w:val="24"/>
          <w:lang w:val="ro-MD"/>
        </w:rPr>
        <w:t>,</w:t>
      </w:r>
      <w:r w:rsidR="00266CA9" w:rsidRPr="00C05E71">
        <w:rPr>
          <w:rFonts w:asciiTheme="majorHAnsi" w:hAnsiTheme="majorHAnsi" w:cstheme="majorHAnsi"/>
          <w:sz w:val="24"/>
          <w:szCs w:val="24"/>
          <w:lang w:val="ro-MD"/>
        </w:rPr>
        <w:t xml:space="preserve"> condiționată de:</w:t>
      </w:r>
    </w:p>
    <w:p w14:paraId="3146671E" w14:textId="7FA67EE2" w:rsidR="000D35A8" w:rsidRPr="00C05E71" w:rsidRDefault="00930B74" w:rsidP="00C05E71">
      <w:pPr>
        <w:pStyle w:val="ListParagraph"/>
        <w:widowControl w:val="0"/>
        <w:numPr>
          <w:ilvl w:val="0"/>
          <w:numId w:val="7"/>
        </w:numPr>
        <w:shd w:val="clear" w:color="auto" w:fill="FFFFFF"/>
        <w:tabs>
          <w:tab w:val="left" w:pos="0"/>
          <w:tab w:val="left" w:pos="426"/>
        </w:tabs>
        <w:spacing w:after="0" w:line="276" w:lineRule="auto"/>
        <w:ind w:left="0" w:firstLine="142"/>
        <w:jc w:val="both"/>
        <w:outlineLvl w:val="0"/>
        <w:rPr>
          <w:rFonts w:asciiTheme="majorHAnsi" w:hAnsiTheme="majorHAnsi" w:cstheme="majorHAnsi"/>
          <w:sz w:val="24"/>
          <w:szCs w:val="24"/>
          <w:lang w:val="ro-MD"/>
        </w:rPr>
      </w:pPr>
      <w:r w:rsidRPr="00C05E71">
        <w:rPr>
          <w:rFonts w:asciiTheme="majorHAnsi" w:eastAsia="Calibri" w:hAnsiTheme="majorHAnsi" w:cstheme="majorHAnsi"/>
          <w:sz w:val="24"/>
          <w:szCs w:val="24"/>
          <w:lang w:val="ro-MD" w:eastAsia="lv-LV"/>
        </w:rPr>
        <w:t>r</w:t>
      </w:r>
      <w:r w:rsidR="00266CA9" w:rsidRPr="00C05E71">
        <w:rPr>
          <w:rFonts w:asciiTheme="majorHAnsi" w:eastAsia="Calibri" w:hAnsiTheme="majorHAnsi" w:cstheme="majorHAnsi"/>
          <w:sz w:val="24"/>
          <w:szCs w:val="24"/>
          <w:lang w:val="ro-MD" w:eastAsia="lv-LV"/>
        </w:rPr>
        <w:t>aportarea</w:t>
      </w:r>
      <w:r w:rsidR="00994F62" w:rsidRPr="00C05E71">
        <w:rPr>
          <w:rFonts w:asciiTheme="majorHAnsi" w:eastAsia="Calibri" w:hAnsiTheme="majorHAnsi" w:cstheme="majorHAnsi"/>
          <w:sz w:val="24"/>
          <w:szCs w:val="24"/>
          <w:lang w:val="ro-MD" w:eastAsia="lv-LV"/>
        </w:rPr>
        <w:t xml:space="preserve"> </w:t>
      </w:r>
      <w:r w:rsidR="00BC152A" w:rsidRPr="00C05E71">
        <w:rPr>
          <w:rFonts w:asciiTheme="majorHAnsi" w:eastAsia="Calibri" w:hAnsiTheme="majorHAnsi" w:cstheme="majorHAnsi"/>
          <w:sz w:val="24"/>
          <w:szCs w:val="24"/>
          <w:lang w:val="ro-MD" w:eastAsia="lv-LV"/>
        </w:rPr>
        <w:t>la cheltuieli curente a valorii unor lucrări de reparație capitală a imobilelor deținute cu titlu de comodat</w:t>
      </w:r>
      <w:r w:rsidR="00EC5527" w:rsidRPr="00C05E71">
        <w:rPr>
          <w:rFonts w:asciiTheme="majorHAnsi" w:eastAsia="Calibri" w:hAnsiTheme="majorHAnsi" w:cstheme="majorHAnsi"/>
          <w:sz w:val="24"/>
          <w:szCs w:val="24"/>
          <w:lang w:val="ro-MD" w:eastAsia="lv-LV"/>
        </w:rPr>
        <w:t>,</w:t>
      </w:r>
      <w:r w:rsidR="00BC152A" w:rsidRPr="00C05E71">
        <w:rPr>
          <w:rFonts w:asciiTheme="majorHAnsi" w:eastAsia="Calibri" w:hAnsiTheme="majorHAnsi" w:cstheme="majorHAnsi"/>
          <w:sz w:val="24"/>
          <w:szCs w:val="24"/>
          <w:lang w:val="ro-MD" w:eastAsia="lv-LV"/>
        </w:rPr>
        <w:t xml:space="preserve"> în anul 2020</w:t>
      </w:r>
      <w:r w:rsidR="00EC5527" w:rsidRPr="00C05E71">
        <w:rPr>
          <w:rFonts w:asciiTheme="majorHAnsi" w:eastAsia="Calibri" w:hAnsiTheme="majorHAnsi" w:cstheme="majorHAnsi"/>
          <w:sz w:val="24"/>
          <w:szCs w:val="24"/>
          <w:lang w:val="ro-MD" w:eastAsia="lv-LV"/>
        </w:rPr>
        <w:t>,</w:t>
      </w:r>
      <w:r w:rsidR="00BC152A" w:rsidRPr="00C05E71">
        <w:rPr>
          <w:rFonts w:asciiTheme="majorHAnsi" w:eastAsia="Calibri" w:hAnsiTheme="majorHAnsi" w:cstheme="majorHAnsi"/>
          <w:sz w:val="24"/>
          <w:szCs w:val="24"/>
          <w:lang w:val="ro-MD" w:eastAsia="lv-LV"/>
        </w:rPr>
        <w:t xml:space="preserve"> </w:t>
      </w:r>
      <w:r w:rsidR="00806DCC" w:rsidRPr="00C05E71">
        <w:rPr>
          <w:rFonts w:asciiTheme="majorHAnsi" w:eastAsia="Calibri" w:hAnsiTheme="majorHAnsi" w:cstheme="majorHAnsi"/>
          <w:sz w:val="24"/>
          <w:szCs w:val="24"/>
          <w:lang w:val="ro-MD" w:eastAsia="lv-LV"/>
        </w:rPr>
        <w:t>de către 11 instituții</w:t>
      </w:r>
      <w:r w:rsidR="00806DCC" w:rsidRPr="00C05E71">
        <w:rPr>
          <w:rStyle w:val="FootnoteReference"/>
          <w:rFonts w:asciiTheme="majorHAnsi" w:eastAsia="Calibri" w:hAnsiTheme="majorHAnsi" w:cstheme="majorHAnsi"/>
          <w:sz w:val="24"/>
          <w:szCs w:val="24"/>
          <w:lang w:val="ro-MD" w:eastAsia="lv-LV"/>
        </w:rPr>
        <w:footnoteReference w:id="23"/>
      </w:r>
      <w:r w:rsidRPr="00C05E71">
        <w:rPr>
          <w:rFonts w:asciiTheme="majorHAnsi" w:eastAsia="Calibri" w:hAnsiTheme="majorHAnsi" w:cstheme="majorHAnsi"/>
          <w:sz w:val="24"/>
          <w:szCs w:val="24"/>
          <w:lang w:val="ro-MD" w:eastAsia="lv-LV"/>
        </w:rPr>
        <w:t xml:space="preserve">, </w:t>
      </w:r>
      <w:r w:rsidR="00BC152A" w:rsidRPr="00C05E71">
        <w:rPr>
          <w:rFonts w:asciiTheme="majorHAnsi" w:eastAsia="Calibri" w:hAnsiTheme="majorHAnsi" w:cstheme="majorHAnsi"/>
          <w:sz w:val="24"/>
          <w:szCs w:val="24"/>
          <w:lang w:val="ro-MD" w:eastAsia="lv-LV"/>
        </w:rPr>
        <w:t xml:space="preserve">în </w:t>
      </w:r>
      <w:r w:rsidR="00266CA9" w:rsidRPr="00C05E71">
        <w:rPr>
          <w:rFonts w:asciiTheme="majorHAnsi" w:hAnsiTheme="majorHAnsi" w:cstheme="majorHAnsi"/>
          <w:sz w:val="24"/>
          <w:szCs w:val="24"/>
          <w:lang w:val="ro-MD"/>
        </w:rPr>
        <w:t>sum</w:t>
      </w:r>
      <w:r w:rsidR="00BC152A" w:rsidRPr="00C05E71">
        <w:rPr>
          <w:rFonts w:asciiTheme="majorHAnsi" w:hAnsiTheme="majorHAnsi" w:cstheme="majorHAnsi"/>
          <w:sz w:val="24"/>
          <w:szCs w:val="24"/>
          <w:lang w:val="ro-MD"/>
        </w:rPr>
        <w:t>ă</w:t>
      </w:r>
      <w:r w:rsidR="00266CA9" w:rsidRPr="00C05E71">
        <w:rPr>
          <w:rFonts w:asciiTheme="majorHAnsi" w:hAnsiTheme="majorHAnsi" w:cstheme="majorHAnsi"/>
          <w:sz w:val="24"/>
          <w:szCs w:val="24"/>
          <w:lang w:val="ro-MD"/>
        </w:rPr>
        <w:t xml:space="preserve"> </w:t>
      </w:r>
      <w:r w:rsidR="00EC5527" w:rsidRPr="00C05E71">
        <w:rPr>
          <w:rFonts w:asciiTheme="majorHAnsi" w:hAnsiTheme="majorHAnsi" w:cstheme="majorHAnsi"/>
          <w:sz w:val="24"/>
          <w:szCs w:val="24"/>
          <w:lang w:val="ro-MD"/>
        </w:rPr>
        <w:t xml:space="preserve">totală </w:t>
      </w:r>
      <w:r w:rsidR="00266CA9" w:rsidRPr="00C05E71">
        <w:rPr>
          <w:rFonts w:asciiTheme="majorHAnsi" w:hAnsiTheme="majorHAnsi" w:cstheme="majorHAnsi"/>
          <w:sz w:val="24"/>
          <w:szCs w:val="24"/>
          <w:lang w:val="ro-MD"/>
        </w:rPr>
        <w:t xml:space="preserve">de </w:t>
      </w:r>
      <w:r w:rsidR="00266CA9" w:rsidRPr="00C05E71">
        <w:rPr>
          <w:rFonts w:asciiTheme="majorHAnsi" w:eastAsia="Calibri" w:hAnsiTheme="majorHAnsi" w:cstheme="majorHAnsi"/>
          <w:b/>
          <w:sz w:val="24"/>
          <w:szCs w:val="24"/>
          <w:lang w:val="ro-MD" w:eastAsia="lv-LV"/>
        </w:rPr>
        <w:t>1</w:t>
      </w:r>
      <w:r w:rsidR="00DC7063" w:rsidRPr="00C05E71">
        <w:rPr>
          <w:rFonts w:asciiTheme="majorHAnsi" w:eastAsia="Calibri" w:hAnsiTheme="majorHAnsi" w:cstheme="majorHAnsi"/>
          <w:b/>
          <w:sz w:val="24"/>
          <w:szCs w:val="24"/>
          <w:lang w:val="ro-MD" w:eastAsia="lv-LV"/>
        </w:rPr>
        <w:t xml:space="preserve"> </w:t>
      </w:r>
      <w:r w:rsidR="00266CA9" w:rsidRPr="00C05E71">
        <w:rPr>
          <w:rFonts w:asciiTheme="majorHAnsi" w:eastAsia="Calibri" w:hAnsiTheme="majorHAnsi" w:cstheme="majorHAnsi"/>
          <w:b/>
          <w:sz w:val="24"/>
          <w:szCs w:val="24"/>
          <w:lang w:val="ro-MD" w:eastAsia="lv-LV"/>
        </w:rPr>
        <w:t>066,2 mii lei</w:t>
      </w:r>
      <w:r w:rsidRPr="00C05E71">
        <w:rPr>
          <w:rFonts w:asciiTheme="majorHAnsi" w:eastAsia="Calibri" w:hAnsiTheme="majorHAnsi" w:cstheme="majorHAnsi"/>
          <w:b/>
          <w:sz w:val="24"/>
          <w:szCs w:val="24"/>
          <w:lang w:val="ro-MD" w:eastAsia="lv-LV"/>
        </w:rPr>
        <w:t>,</w:t>
      </w:r>
      <w:r w:rsidR="00BC152A" w:rsidRPr="00C05E71">
        <w:rPr>
          <w:rFonts w:asciiTheme="majorHAnsi" w:eastAsia="Calibri" w:hAnsiTheme="majorHAnsi" w:cstheme="majorHAnsi"/>
          <w:b/>
          <w:sz w:val="24"/>
          <w:szCs w:val="24"/>
          <w:lang w:val="ro-MD" w:eastAsia="lv-LV"/>
        </w:rPr>
        <w:t xml:space="preserve"> </w:t>
      </w:r>
      <w:r w:rsidR="00BC152A" w:rsidRPr="00C05E71">
        <w:rPr>
          <w:rFonts w:asciiTheme="majorHAnsi" w:eastAsia="Calibri" w:hAnsiTheme="majorHAnsi" w:cstheme="majorHAnsi"/>
          <w:sz w:val="24"/>
          <w:szCs w:val="24"/>
          <w:lang w:val="ro-MD" w:eastAsia="lv-LV"/>
        </w:rPr>
        <w:t xml:space="preserve">și în anii </w:t>
      </w:r>
      <w:r w:rsidR="000D35A8" w:rsidRPr="00C05E71">
        <w:rPr>
          <w:rFonts w:asciiTheme="majorHAnsi" w:eastAsia="Calibri" w:hAnsiTheme="majorHAnsi" w:cstheme="majorHAnsi"/>
          <w:sz w:val="24"/>
          <w:szCs w:val="24"/>
          <w:lang w:val="ro-MD" w:eastAsia="lv-LV"/>
        </w:rPr>
        <w:t>2018-2019</w:t>
      </w:r>
      <w:r w:rsidR="00EC5527" w:rsidRPr="00C05E71">
        <w:rPr>
          <w:rFonts w:asciiTheme="majorHAnsi" w:eastAsia="Calibri" w:hAnsiTheme="majorHAnsi" w:cstheme="majorHAnsi"/>
          <w:sz w:val="24"/>
          <w:szCs w:val="24"/>
          <w:lang w:val="ro-MD" w:eastAsia="lv-LV"/>
        </w:rPr>
        <w:t>,</w:t>
      </w:r>
      <w:r w:rsidR="000D35A8" w:rsidRPr="00C05E71">
        <w:rPr>
          <w:rFonts w:asciiTheme="majorHAnsi" w:eastAsia="Calibri" w:hAnsiTheme="majorHAnsi" w:cstheme="majorHAnsi"/>
          <w:sz w:val="24"/>
          <w:szCs w:val="24"/>
          <w:lang w:val="ro-MD" w:eastAsia="lv-LV"/>
        </w:rPr>
        <w:t xml:space="preserve"> de către 8 instituții</w:t>
      </w:r>
      <w:r w:rsidR="00EC5527" w:rsidRPr="00C05E71">
        <w:rPr>
          <w:rFonts w:asciiTheme="majorHAnsi" w:eastAsia="Calibri" w:hAnsiTheme="majorHAnsi" w:cstheme="majorHAnsi"/>
          <w:sz w:val="24"/>
          <w:szCs w:val="24"/>
          <w:lang w:val="ro-MD" w:eastAsia="lv-LV"/>
        </w:rPr>
        <w:t>,</w:t>
      </w:r>
      <w:r w:rsidR="000D35A8" w:rsidRPr="00C05E71">
        <w:rPr>
          <w:rFonts w:asciiTheme="majorHAnsi" w:eastAsia="Calibri" w:hAnsiTheme="majorHAnsi" w:cstheme="majorHAnsi"/>
          <w:sz w:val="24"/>
          <w:szCs w:val="24"/>
          <w:lang w:val="ro-MD" w:eastAsia="lv-LV"/>
        </w:rPr>
        <w:t xml:space="preserve"> </w:t>
      </w:r>
      <w:r w:rsidR="00266CA9" w:rsidRPr="00C05E71">
        <w:rPr>
          <w:rFonts w:asciiTheme="majorHAnsi" w:eastAsia="Calibri" w:hAnsiTheme="majorHAnsi" w:cstheme="majorHAnsi"/>
          <w:sz w:val="24"/>
          <w:szCs w:val="24"/>
          <w:lang w:val="ro-MD" w:eastAsia="lv-LV"/>
        </w:rPr>
        <w:t>în sumă</w:t>
      </w:r>
      <w:r w:rsidR="000D35A8" w:rsidRPr="00C05E71">
        <w:rPr>
          <w:rFonts w:asciiTheme="majorHAnsi" w:eastAsia="Calibri" w:hAnsiTheme="majorHAnsi" w:cstheme="majorHAnsi"/>
          <w:sz w:val="24"/>
          <w:szCs w:val="24"/>
          <w:lang w:val="ro-MD" w:eastAsia="lv-LV"/>
        </w:rPr>
        <w:t xml:space="preserve"> totală de </w:t>
      </w:r>
      <w:r w:rsidR="000D35A8" w:rsidRPr="00C05E71">
        <w:rPr>
          <w:rFonts w:asciiTheme="majorHAnsi" w:eastAsia="Calibri" w:hAnsiTheme="majorHAnsi" w:cstheme="majorHAnsi"/>
          <w:b/>
          <w:sz w:val="24"/>
          <w:szCs w:val="24"/>
          <w:lang w:val="ro-MD" w:eastAsia="lv-LV"/>
        </w:rPr>
        <w:t>2</w:t>
      </w:r>
      <w:r w:rsidR="00DC7063" w:rsidRPr="00C05E71">
        <w:rPr>
          <w:rFonts w:asciiTheme="majorHAnsi" w:eastAsia="Calibri" w:hAnsiTheme="majorHAnsi" w:cstheme="majorHAnsi"/>
          <w:b/>
          <w:sz w:val="24"/>
          <w:szCs w:val="24"/>
          <w:lang w:val="ro-MD" w:eastAsia="lv-LV"/>
        </w:rPr>
        <w:t xml:space="preserve"> </w:t>
      </w:r>
      <w:r w:rsidR="000D35A8" w:rsidRPr="00C05E71">
        <w:rPr>
          <w:rFonts w:asciiTheme="majorHAnsi" w:eastAsia="Calibri" w:hAnsiTheme="majorHAnsi" w:cstheme="majorHAnsi"/>
          <w:b/>
          <w:sz w:val="24"/>
          <w:szCs w:val="24"/>
          <w:lang w:val="ro-MD" w:eastAsia="lv-LV"/>
        </w:rPr>
        <w:t>264,3 mii lei</w:t>
      </w:r>
      <w:r w:rsidR="00BC152A" w:rsidRPr="00C05E71">
        <w:rPr>
          <w:rFonts w:asciiTheme="majorHAnsi" w:eastAsia="Calibri" w:hAnsiTheme="majorHAnsi" w:cstheme="majorHAnsi"/>
          <w:sz w:val="24"/>
          <w:szCs w:val="24"/>
          <w:vertAlign w:val="superscript"/>
          <w:lang w:val="ro-MD" w:eastAsia="lv-LV"/>
        </w:rPr>
        <w:footnoteReference w:id="24"/>
      </w:r>
      <w:r w:rsidR="00BC152A" w:rsidRPr="00C05E71">
        <w:rPr>
          <w:rFonts w:asciiTheme="majorHAnsi" w:eastAsia="Calibri" w:hAnsiTheme="majorHAnsi" w:cstheme="majorHAnsi"/>
          <w:sz w:val="24"/>
          <w:szCs w:val="24"/>
          <w:lang w:val="ro-MD" w:eastAsia="lv-LV"/>
        </w:rPr>
        <w:t>,</w:t>
      </w:r>
      <w:r w:rsidR="00BC152A" w:rsidRPr="00C05E71">
        <w:rPr>
          <w:rFonts w:asciiTheme="majorHAnsi" w:eastAsia="Calibri" w:hAnsiTheme="majorHAnsi" w:cstheme="majorHAnsi"/>
          <w:b/>
          <w:sz w:val="24"/>
          <w:szCs w:val="24"/>
          <w:lang w:val="ro-MD" w:eastAsia="lv-LV"/>
        </w:rPr>
        <w:t xml:space="preserve"> </w:t>
      </w:r>
      <w:r w:rsidR="00BC152A" w:rsidRPr="00C05E71">
        <w:rPr>
          <w:rFonts w:asciiTheme="majorHAnsi" w:eastAsia="Calibri" w:hAnsiTheme="majorHAnsi" w:cstheme="majorHAnsi"/>
          <w:sz w:val="24"/>
          <w:szCs w:val="24"/>
          <w:lang w:val="ro-MD" w:eastAsia="lv-LV"/>
        </w:rPr>
        <w:t>ceea ce</w:t>
      </w:r>
      <w:r w:rsidR="00BC152A" w:rsidRPr="00C05E71">
        <w:rPr>
          <w:rFonts w:asciiTheme="majorHAnsi" w:eastAsia="Calibri" w:hAnsiTheme="majorHAnsi" w:cstheme="majorHAnsi"/>
          <w:b/>
          <w:sz w:val="24"/>
          <w:szCs w:val="24"/>
          <w:lang w:val="ro-MD" w:eastAsia="lv-LV"/>
        </w:rPr>
        <w:t xml:space="preserve"> </w:t>
      </w:r>
      <w:r w:rsidR="000D35A8" w:rsidRPr="00C05E71">
        <w:rPr>
          <w:rFonts w:asciiTheme="majorHAnsi" w:eastAsia="Calibri" w:hAnsiTheme="majorHAnsi" w:cstheme="majorHAnsi"/>
          <w:sz w:val="24"/>
          <w:szCs w:val="24"/>
          <w:lang w:val="ro-MD" w:eastAsia="lv-LV"/>
        </w:rPr>
        <w:t xml:space="preserve">a condiționat supraevaluarea contului  222500 „Servicii de reparații curente” în anul 2020 cu suma de </w:t>
      </w:r>
      <w:r w:rsidR="000D35A8" w:rsidRPr="00C05E71">
        <w:rPr>
          <w:rFonts w:asciiTheme="majorHAnsi" w:eastAsia="Calibri" w:hAnsiTheme="majorHAnsi" w:cstheme="majorHAnsi"/>
          <w:b/>
          <w:sz w:val="24"/>
          <w:szCs w:val="24"/>
          <w:lang w:val="ro-MD" w:eastAsia="lv-LV"/>
        </w:rPr>
        <w:t>1</w:t>
      </w:r>
      <w:r w:rsidR="00DC7063" w:rsidRPr="00C05E71">
        <w:rPr>
          <w:rFonts w:asciiTheme="majorHAnsi" w:eastAsia="Calibri" w:hAnsiTheme="majorHAnsi" w:cstheme="majorHAnsi"/>
          <w:b/>
          <w:sz w:val="24"/>
          <w:szCs w:val="24"/>
          <w:lang w:val="ro-MD" w:eastAsia="lv-LV"/>
        </w:rPr>
        <w:t xml:space="preserve"> </w:t>
      </w:r>
      <w:r w:rsidR="000D35A8" w:rsidRPr="00C05E71">
        <w:rPr>
          <w:rFonts w:asciiTheme="majorHAnsi" w:eastAsia="Calibri" w:hAnsiTheme="majorHAnsi" w:cstheme="majorHAnsi"/>
          <w:b/>
          <w:sz w:val="24"/>
          <w:szCs w:val="24"/>
          <w:lang w:val="ro-MD" w:eastAsia="lv-LV"/>
        </w:rPr>
        <w:t>066,2 mii lei</w:t>
      </w:r>
      <w:r w:rsidR="00BC152A" w:rsidRPr="00C05E71">
        <w:rPr>
          <w:rFonts w:asciiTheme="majorHAnsi" w:eastAsia="Calibri" w:hAnsiTheme="majorHAnsi" w:cstheme="majorHAnsi"/>
          <w:b/>
          <w:sz w:val="24"/>
          <w:szCs w:val="24"/>
          <w:lang w:val="ro-MD" w:eastAsia="lv-LV"/>
        </w:rPr>
        <w:t xml:space="preserve"> </w:t>
      </w:r>
      <w:r w:rsidR="00BC152A" w:rsidRPr="00C05E71">
        <w:rPr>
          <w:rFonts w:asciiTheme="majorHAnsi" w:eastAsia="Calibri" w:hAnsiTheme="majorHAnsi" w:cstheme="majorHAnsi"/>
          <w:sz w:val="24"/>
          <w:szCs w:val="24"/>
          <w:lang w:val="ro-MD" w:eastAsia="lv-LV"/>
        </w:rPr>
        <w:t>și</w:t>
      </w:r>
      <w:r w:rsidR="000D35A8" w:rsidRPr="00C05E71">
        <w:rPr>
          <w:rFonts w:asciiTheme="majorHAnsi" w:eastAsia="Calibri" w:hAnsiTheme="majorHAnsi" w:cstheme="majorHAnsi"/>
          <w:sz w:val="24"/>
          <w:szCs w:val="24"/>
          <w:lang w:val="ro-MD" w:eastAsia="lv-LV"/>
        </w:rPr>
        <w:t xml:space="preserve"> </w:t>
      </w:r>
      <w:r w:rsidR="00EC5527" w:rsidRPr="00C05E71">
        <w:rPr>
          <w:rFonts w:asciiTheme="majorHAnsi" w:eastAsia="Calibri" w:hAnsiTheme="majorHAnsi" w:cstheme="majorHAnsi"/>
          <w:sz w:val="24"/>
          <w:szCs w:val="24"/>
          <w:lang w:val="ro-MD" w:eastAsia="lv-LV"/>
        </w:rPr>
        <w:t xml:space="preserve">a </w:t>
      </w:r>
      <w:r w:rsidR="000D35A8" w:rsidRPr="00C05E71">
        <w:rPr>
          <w:rFonts w:asciiTheme="majorHAnsi" w:eastAsia="Calibri" w:hAnsiTheme="majorHAnsi" w:cstheme="majorHAnsi"/>
          <w:sz w:val="24"/>
          <w:szCs w:val="24"/>
          <w:lang w:val="ro-MD" w:eastAsia="lv-LV"/>
        </w:rPr>
        <w:t xml:space="preserve">contului 722 „Rezultatul financiar al autorității/instituției bugetare din anii precedenți” cu suma de </w:t>
      </w:r>
      <w:r w:rsidR="000D35A8" w:rsidRPr="00C05E71">
        <w:rPr>
          <w:rFonts w:asciiTheme="majorHAnsi" w:eastAsia="Calibri" w:hAnsiTheme="majorHAnsi" w:cstheme="majorHAnsi"/>
          <w:b/>
          <w:sz w:val="24"/>
          <w:szCs w:val="24"/>
          <w:lang w:val="ro-MD" w:eastAsia="lv-LV"/>
        </w:rPr>
        <w:t>2</w:t>
      </w:r>
      <w:r w:rsidR="00DC7063" w:rsidRPr="00C05E71">
        <w:rPr>
          <w:rFonts w:asciiTheme="majorHAnsi" w:eastAsia="Calibri" w:hAnsiTheme="majorHAnsi" w:cstheme="majorHAnsi"/>
          <w:b/>
          <w:sz w:val="24"/>
          <w:szCs w:val="24"/>
          <w:lang w:val="ro-MD" w:eastAsia="lv-LV"/>
        </w:rPr>
        <w:t xml:space="preserve"> </w:t>
      </w:r>
      <w:r w:rsidR="000D35A8" w:rsidRPr="00C05E71">
        <w:rPr>
          <w:rFonts w:asciiTheme="majorHAnsi" w:eastAsia="Calibri" w:hAnsiTheme="majorHAnsi" w:cstheme="majorHAnsi"/>
          <w:b/>
          <w:sz w:val="24"/>
          <w:szCs w:val="24"/>
          <w:lang w:val="ro-MD" w:eastAsia="lv-LV"/>
        </w:rPr>
        <w:t>264,3 mii lei</w:t>
      </w:r>
      <w:r w:rsidR="00EC5527" w:rsidRPr="00C05E71">
        <w:rPr>
          <w:rFonts w:asciiTheme="majorHAnsi" w:eastAsia="Calibri" w:hAnsiTheme="majorHAnsi" w:cstheme="majorHAnsi"/>
          <w:b/>
          <w:sz w:val="24"/>
          <w:szCs w:val="24"/>
          <w:lang w:val="ro-MD" w:eastAsia="lv-LV"/>
        </w:rPr>
        <w:t xml:space="preserve">, </w:t>
      </w:r>
      <w:r w:rsidR="00EC5527" w:rsidRPr="00C05E71">
        <w:rPr>
          <w:rFonts w:asciiTheme="majorHAnsi" w:eastAsia="Calibri" w:hAnsiTheme="majorHAnsi" w:cstheme="majorHAnsi"/>
          <w:sz w:val="24"/>
          <w:szCs w:val="24"/>
          <w:lang w:val="ro-MD" w:eastAsia="lv-LV"/>
        </w:rPr>
        <w:t>precum</w:t>
      </w:r>
      <w:r w:rsidR="000D35A8" w:rsidRPr="00C05E71">
        <w:rPr>
          <w:rFonts w:asciiTheme="majorHAnsi" w:eastAsia="Calibri" w:hAnsiTheme="majorHAnsi" w:cstheme="majorHAnsi"/>
          <w:sz w:val="24"/>
          <w:szCs w:val="24"/>
          <w:lang w:val="ro-MD" w:eastAsia="lv-LV"/>
        </w:rPr>
        <w:t xml:space="preserve"> și diminuarea valorii contului 822100 „Active luate în locațiune/arendă” cu suma de </w:t>
      </w:r>
      <w:r w:rsidR="000D35A8" w:rsidRPr="00C05E71">
        <w:rPr>
          <w:rFonts w:asciiTheme="majorHAnsi" w:eastAsia="Calibri" w:hAnsiTheme="majorHAnsi" w:cstheme="majorHAnsi"/>
          <w:b/>
          <w:sz w:val="24"/>
          <w:szCs w:val="24"/>
          <w:lang w:val="ro-MD" w:eastAsia="lv-LV"/>
        </w:rPr>
        <w:t>3</w:t>
      </w:r>
      <w:r w:rsidR="00DC7063" w:rsidRPr="00C05E71">
        <w:rPr>
          <w:rFonts w:asciiTheme="majorHAnsi" w:eastAsia="Calibri" w:hAnsiTheme="majorHAnsi" w:cstheme="majorHAnsi"/>
          <w:b/>
          <w:sz w:val="24"/>
          <w:szCs w:val="24"/>
          <w:lang w:val="ro-MD" w:eastAsia="lv-LV"/>
        </w:rPr>
        <w:t xml:space="preserve"> </w:t>
      </w:r>
      <w:r w:rsidR="000D35A8" w:rsidRPr="00C05E71">
        <w:rPr>
          <w:rFonts w:asciiTheme="majorHAnsi" w:eastAsia="Calibri" w:hAnsiTheme="majorHAnsi" w:cstheme="majorHAnsi"/>
          <w:b/>
          <w:sz w:val="24"/>
          <w:szCs w:val="24"/>
          <w:lang w:val="ro-MD" w:eastAsia="lv-LV"/>
        </w:rPr>
        <w:t>330,5 mii lei</w:t>
      </w:r>
      <w:r w:rsidR="00EC5527" w:rsidRPr="00C05E71">
        <w:rPr>
          <w:rFonts w:asciiTheme="majorHAnsi" w:eastAsia="Calibri" w:hAnsiTheme="majorHAnsi" w:cstheme="majorHAnsi"/>
          <w:sz w:val="24"/>
          <w:szCs w:val="24"/>
          <w:lang w:val="ro-MD" w:eastAsia="lv-LV"/>
        </w:rPr>
        <w:t>;</w:t>
      </w:r>
    </w:p>
    <w:p w14:paraId="74EEB08E" w14:textId="280D1925" w:rsidR="000D35A8" w:rsidRPr="00C05E71" w:rsidRDefault="00BC152A" w:rsidP="00C05E71">
      <w:pPr>
        <w:pStyle w:val="ListParagraph"/>
        <w:widowControl w:val="0"/>
        <w:numPr>
          <w:ilvl w:val="0"/>
          <w:numId w:val="7"/>
        </w:numPr>
        <w:shd w:val="clear" w:color="auto" w:fill="FFFFFF"/>
        <w:tabs>
          <w:tab w:val="left" w:pos="0"/>
          <w:tab w:val="left" w:pos="426"/>
        </w:tabs>
        <w:spacing w:after="0" w:line="276" w:lineRule="auto"/>
        <w:ind w:left="0" w:firstLine="142"/>
        <w:jc w:val="both"/>
        <w:outlineLvl w:val="0"/>
        <w:rPr>
          <w:rFonts w:asciiTheme="majorHAnsi" w:hAnsiTheme="majorHAnsi" w:cstheme="majorHAnsi"/>
          <w:sz w:val="24"/>
          <w:szCs w:val="24"/>
          <w:lang w:val="ro-MD"/>
        </w:rPr>
      </w:pPr>
      <w:r w:rsidRPr="00C05E71">
        <w:rPr>
          <w:rFonts w:asciiTheme="majorHAnsi" w:eastAsia="Calibri" w:hAnsiTheme="majorHAnsi" w:cstheme="majorHAnsi"/>
          <w:sz w:val="24"/>
          <w:szCs w:val="24"/>
          <w:lang w:val="ro-MD"/>
        </w:rPr>
        <w:t xml:space="preserve">raportarea </w:t>
      </w:r>
      <w:r w:rsidR="000D35A8" w:rsidRPr="00C05E71">
        <w:rPr>
          <w:rFonts w:asciiTheme="majorHAnsi" w:eastAsia="Calibri" w:hAnsiTheme="majorHAnsi" w:cstheme="majorHAnsi"/>
          <w:sz w:val="24"/>
          <w:szCs w:val="24"/>
          <w:lang w:val="ro-MD"/>
        </w:rPr>
        <w:t xml:space="preserve">incorectă a unor lucrări/servicii de reparații capitale ca lucrări de reparație curentă, </w:t>
      </w:r>
      <w:r w:rsidRPr="00C05E71">
        <w:rPr>
          <w:rFonts w:asciiTheme="majorHAnsi" w:eastAsia="Calibri" w:hAnsiTheme="majorHAnsi" w:cstheme="majorHAnsi"/>
          <w:sz w:val="24"/>
          <w:szCs w:val="24"/>
          <w:lang w:val="ro-MD"/>
        </w:rPr>
        <w:t>în anul 2020, de către 5 instituții</w:t>
      </w:r>
      <w:r w:rsidR="00EC5527" w:rsidRPr="00C05E71">
        <w:rPr>
          <w:rFonts w:asciiTheme="majorHAnsi" w:eastAsia="Calibri" w:hAnsiTheme="majorHAnsi" w:cstheme="majorHAnsi"/>
          <w:sz w:val="24"/>
          <w:szCs w:val="24"/>
          <w:lang w:val="ro-MD"/>
        </w:rPr>
        <w:t>,</w:t>
      </w:r>
      <w:r w:rsidRPr="00C05E71">
        <w:rPr>
          <w:rFonts w:asciiTheme="majorHAnsi" w:eastAsia="Calibri" w:hAnsiTheme="majorHAnsi" w:cstheme="majorHAnsi"/>
          <w:sz w:val="24"/>
          <w:szCs w:val="24"/>
          <w:lang w:val="ro-MD"/>
        </w:rPr>
        <w:t xml:space="preserve"> </w:t>
      </w:r>
      <w:r w:rsidR="000D35A8" w:rsidRPr="00C05E71">
        <w:rPr>
          <w:rFonts w:asciiTheme="majorHAnsi" w:eastAsia="Calibri" w:hAnsiTheme="majorHAnsi" w:cstheme="majorHAnsi"/>
          <w:sz w:val="24"/>
          <w:szCs w:val="24"/>
          <w:lang w:val="ro-MD"/>
        </w:rPr>
        <w:t xml:space="preserve">în sumă de </w:t>
      </w:r>
      <w:r w:rsidR="000D35A8" w:rsidRPr="00C05E71">
        <w:rPr>
          <w:rFonts w:asciiTheme="majorHAnsi" w:eastAsia="Calibri" w:hAnsiTheme="majorHAnsi" w:cstheme="majorHAnsi"/>
          <w:b/>
          <w:sz w:val="24"/>
          <w:szCs w:val="24"/>
          <w:lang w:val="ro-MD"/>
        </w:rPr>
        <w:t>378,10 mii lei</w:t>
      </w:r>
      <w:r w:rsidR="000D35A8" w:rsidRPr="00C05E71">
        <w:rPr>
          <w:rFonts w:asciiTheme="majorHAnsi" w:eastAsia="Calibri" w:hAnsiTheme="majorHAnsi" w:cstheme="majorHAnsi"/>
          <w:sz w:val="24"/>
          <w:szCs w:val="24"/>
          <w:vertAlign w:val="superscript"/>
          <w:lang w:val="ro-MD"/>
        </w:rPr>
        <w:footnoteReference w:id="25"/>
      </w:r>
      <w:r w:rsidR="00EC5527" w:rsidRPr="00C05E71">
        <w:rPr>
          <w:rFonts w:asciiTheme="majorHAnsi" w:eastAsia="Calibri" w:hAnsiTheme="majorHAnsi" w:cstheme="majorHAnsi"/>
          <w:sz w:val="24"/>
          <w:szCs w:val="24"/>
          <w:lang w:val="ro-MD"/>
        </w:rPr>
        <w:t>,</w:t>
      </w:r>
      <w:r w:rsidRPr="00C05E71">
        <w:rPr>
          <w:rFonts w:asciiTheme="majorHAnsi" w:eastAsia="Calibri" w:hAnsiTheme="majorHAnsi" w:cstheme="majorHAnsi"/>
          <w:b/>
          <w:sz w:val="24"/>
          <w:szCs w:val="24"/>
          <w:lang w:val="ro-MD"/>
        </w:rPr>
        <w:t xml:space="preserve"> </w:t>
      </w:r>
      <w:r w:rsidRPr="00C05E71">
        <w:rPr>
          <w:rFonts w:asciiTheme="majorHAnsi" w:eastAsia="Calibri" w:hAnsiTheme="majorHAnsi" w:cstheme="majorHAnsi"/>
          <w:sz w:val="24"/>
          <w:szCs w:val="24"/>
          <w:lang w:val="ro-MD"/>
        </w:rPr>
        <w:t>și în anii</w:t>
      </w:r>
      <w:r w:rsidRPr="00C05E71">
        <w:rPr>
          <w:rFonts w:asciiTheme="majorHAnsi" w:eastAsia="Calibri" w:hAnsiTheme="majorHAnsi" w:cstheme="majorHAnsi"/>
          <w:b/>
          <w:sz w:val="24"/>
          <w:szCs w:val="24"/>
          <w:lang w:val="ro-MD"/>
        </w:rPr>
        <w:t xml:space="preserve"> </w:t>
      </w:r>
      <w:r w:rsidRPr="00C05E71">
        <w:rPr>
          <w:rFonts w:asciiTheme="majorHAnsi" w:eastAsia="Calibri" w:hAnsiTheme="majorHAnsi" w:cstheme="majorHAnsi"/>
          <w:sz w:val="24"/>
          <w:szCs w:val="24"/>
          <w:lang w:val="ro-MD"/>
        </w:rPr>
        <w:t>2018-2019</w:t>
      </w:r>
      <w:r w:rsidR="00EC5527" w:rsidRPr="00C05E71">
        <w:rPr>
          <w:rFonts w:asciiTheme="majorHAnsi" w:eastAsia="Calibri" w:hAnsiTheme="majorHAnsi" w:cstheme="majorHAnsi"/>
          <w:sz w:val="24"/>
          <w:szCs w:val="24"/>
          <w:lang w:val="ro-MD"/>
        </w:rPr>
        <w:t>,</w:t>
      </w:r>
      <w:r w:rsidRPr="00C05E71">
        <w:rPr>
          <w:rFonts w:asciiTheme="majorHAnsi" w:eastAsia="Calibri" w:hAnsiTheme="majorHAnsi" w:cstheme="majorHAnsi"/>
          <w:sz w:val="24"/>
          <w:szCs w:val="24"/>
          <w:lang w:val="ro-MD"/>
        </w:rPr>
        <w:t xml:space="preserve"> de către  4 instituții</w:t>
      </w:r>
      <w:r w:rsidR="00EC5527" w:rsidRPr="00C05E71">
        <w:rPr>
          <w:rFonts w:asciiTheme="majorHAnsi" w:eastAsia="Calibri" w:hAnsiTheme="majorHAnsi" w:cstheme="majorHAnsi"/>
          <w:sz w:val="24"/>
          <w:szCs w:val="24"/>
          <w:lang w:val="ro-MD"/>
        </w:rPr>
        <w:t>,</w:t>
      </w:r>
      <w:r w:rsidR="000D35A8" w:rsidRPr="00C05E71">
        <w:rPr>
          <w:rFonts w:asciiTheme="majorHAnsi" w:eastAsia="Calibri" w:hAnsiTheme="majorHAnsi" w:cstheme="majorHAnsi"/>
          <w:sz w:val="24"/>
          <w:szCs w:val="24"/>
          <w:lang w:val="ro-MD"/>
        </w:rPr>
        <w:t xml:space="preserve"> în sumă de </w:t>
      </w:r>
      <w:r w:rsidR="000D35A8" w:rsidRPr="00C05E71">
        <w:rPr>
          <w:rFonts w:asciiTheme="majorHAnsi" w:eastAsia="Calibri" w:hAnsiTheme="majorHAnsi" w:cstheme="majorHAnsi"/>
          <w:b/>
          <w:sz w:val="24"/>
          <w:szCs w:val="24"/>
          <w:lang w:val="ro-MD"/>
        </w:rPr>
        <w:t>620,3 mii lei</w:t>
      </w:r>
      <w:r w:rsidR="000D35A8" w:rsidRPr="00C05E71">
        <w:rPr>
          <w:rFonts w:asciiTheme="majorHAnsi" w:eastAsia="Calibri" w:hAnsiTheme="majorHAnsi" w:cstheme="majorHAnsi"/>
          <w:sz w:val="24"/>
          <w:szCs w:val="24"/>
          <w:vertAlign w:val="superscript"/>
          <w:lang w:val="ro-MD"/>
        </w:rPr>
        <w:footnoteReference w:id="26"/>
      </w:r>
      <w:r w:rsidRPr="00C05E71">
        <w:rPr>
          <w:rFonts w:asciiTheme="majorHAnsi" w:eastAsia="Calibri" w:hAnsiTheme="majorHAnsi" w:cstheme="majorHAnsi"/>
          <w:sz w:val="24"/>
          <w:szCs w:val="24"/>
          <w:lang w:val="ro-MD"/>
        </w:rPr>
        <w:t>, ceea ce</w:t>
      </w:r>
      <w:r w:rsidRPr="00C05E71">
        <w:rPr>
          <w:rFonts w:asciiTheme="majorHAnsi" w:eastAsia="Calibri" w:hAnsiTheme="majorHAnsi" w:cstheme="majorHAnsi"/>
          <w:b/>
          <w:sz w:val="24"/>
          <w:szCs w:val="24"/>
          <w:lang w:val="ro-MD"/>
        </w:rPr>
        <w:t xml:space="preserve"> </w:t>
      </w:r>
      <w:r w:rsidR="000D35A8" w:rsidRPr="00C05E71">
        <w:rPr>
          <w:rFonts w:asciiTheme="majorHAnsi" w:eastAsia="Calibri" w:hAnsiTheme="majorHAnsi" w:cstheme="majorHAnsi"/>
          <w:sz w:val="24"/>
          <w:szCs w:val="24"/>
          <w:lang w:val="ro-MD"/>
        </w:rPr>
        <w:t xml:space="preserve">a condiționat diminuarea valorii </w:t>
      </w:r>
      <w:r w:rsidR="007C46F1" w:rsidRPr="00C05E71">
        <w:rPr>
          <w:rFonts w:asciiTheme="majorHAnsi" w:eastAsia="Calibri" w:hAnsiTheme="majorHAnsi" w:cstheme="majorHAnsi"/>
          <w:sz w:val="24"/>
          <w:szCs w:val="24"/>
          <w:lang w:val="ro-MD"/>
        </w:rPr>
        <w:t>unor conturi de mijloace</w:t>
      </w:r>
      <w:r w:rsidR="000D35A8" w:rsidRPr="00C05E71">
        <w:rPr>
          <w:rFonts w:asciiTheme="majorHAnsi" w:eastAsia="Calibri" w:hAnsiTheme="majorHAnsi" w:cstheme="majorHAnsi"/>
          <w:sz w:val="24"/>
          <w:szCs w:val="24"/>
          <w:lang w:val="ro-MD"/>
        </w:rPr>
        <w:t xml:space="preserve"> fixe</w:t>
      </w:r>
      <w:r w:rsidR="007C46F1" w:rsidRPr="00C05E71">
        <w:rPr>
          <w:rStyle w:val="FootnoteReference"/>
          <w:rFonts w:asciiTheme="majorHAnsi" w:eastAsia="Calibri" w:hAnsiTheme="majorHAnsi" w:cstheme="majorHAnsi"/>
          <w:sz w:val="24"/>
          <w:szCs w:val="24"/>
          <w:lang w:val="ro-MD"/>
        </w:rPr>
        <w:footnoteReference w:id="27"/>
      </w:r>
      <w:r w:rsidR="000D35A8" w:rsidRPr="00C05E71">
        <w:rPr>
          <w:rFonts w:asciiTheme="majorHAnsi" w:eastAsia="Calibri" w:hAnsiTheme="majorHAnsi" w:cstheme="majorHAnsi"/>
          <w:sz w:val="24"/>
          <w:szCs w:val="24"/>
          <w:lang w:val="ro-MD"/>
        </w:rPr>
        <w:t xml:space="preserve"> </w:t>
      </w:r>
      <w:r w:rsidR="004065CE" w:rsidRPr="00C05E71">
        <w:rPr>
          <w:rFonts w:asciiTheme="majorHAnsi" w:eastAsia="Calibri" w:hAnsiTheme="majorHAnsi" w:cstheme="majorHAnsi"/>
          <w:sz w:val="24"/>
          <w:szCs w:val="24"/>
          <w:lang w:val="ro-MD"/>
        </w:rPr>
        <w:t xml:space="preserve">, precum </w:t>
      </w:r>
      <w:r w:rsidR="000D35A8" w:rsidRPr="00C05E71">
        <w:rPr>
          <w:rFonts w:asciiTheme="majorHAnsi" w:eastAsia="Calibri" w:hAnsiTheme="majorHAnsi" w:cstheme="majorHAnsi"/>
          <w:sz w:val="24"/>
          <w:szCs w:val="24"/>
          <w:lang w:val="ro-MD"/>
        </w:rPr>
        <w:t xml:space="preserve">și supraevaluarea contului 222500 „Servicii de reparații curente” cu suma de </w:t>
      </w:r>
      <w:r w:rsidR="000D35A8" w:rsidRPr="00C05E71">
        <w:rPr>
          <w:rFonts w:asciiTheme="majorHAnsi" w:eastAsia="Calibri" w:hAnsiTheme="majorHAnsi" w:cstheme="majorHAnsi"/>
          <w:b/>
          <w:sz w:val="24"/>
          <w:szCs w:val="24"/>
          <w:lang w:val="ro-MD"/>
        </w:rPr>
        <w:t>378,1 mii lei</w:t>
      </w:r>
      <w:r w:rsidR="00432509" w:rsidRPr="00C05E71">
        <w:rPr>
          <w:rFonts w:asciiTheme="majorHAnsi" w:eastAsia="Calibri" w:hAnsiTheme="majorHAnsi" w:cstheme="majorHAnsi"/>
          <w:sz w:val="24"/>
          <w:szCs w:val="24"/>
          <w:lang w:val="ro-MD"/>
        </w:rPr>
        <w:t xml:space="preserve">  și subevaluarea</w:t>
      </w:r>
      <w:r w:rsidR="000D35A8" w:rsidRPr="00C05E71">
        <w:rPr>
          <w:rFonts w:asciiTheme="majorHAnsi" w:eastAsia="Calibri" w:hAnsiTheme="majorHAnsi" w:cstheme="majorHAnsi"/>
          <w:sz w:val="24"/>
          <w:szCs w:val="24"/>
          <w:lang w:val="ro-MD"/>
        </w:rPr>
        <w:t xml:space="preserve"> contului 722 „</w:t>
      </w:r>
      <w:r w:rsidR="000D35A8" w:rsidRPr="00C05E71">
        <w:rPr>
          <w:rFonts w:asciiTheme="majorHAnsi" w:eastAsia="Calibri" w:hAnsiTheme="majorHAnsi" w:cstheme="majorHAnsi"/>
          <w:sz w:val="24"/>
          <w:szCs w:val="24"/>
          <w:lang w:val="ro-MD" w:eastAsia="lv-LV"/>
        </w:rPr>
        <w:t xml:space="preserve">Rezultatul financiar al autorității/instituției bugetare din anii precedenți” cu suma de </w:t>
      </w:r>
      <w:r w:rsidR="000D35A8" w:rsidRPr="00C05E71">
        <w:rPr>
          <w:rFonts w:asciiTheme="majorHAnsi" w:eastAsia="Calibri" w:hAnsiTheme="majorHAnsi" w:cstheme="majorHAnsi"/>
          <w:b/>
          <w:sz w:val="24"/>
          <w:szCs w:val="24"/>
          <w:lang w:val="ro-MD" w:eastAsia="lv-LV"/>
        </w:rPr>
        <w:t>620,3 mii lei.</w:t>
      </w:r>
    </w:p>
    <w:p w14:paraId="5B090D6F" w14:textId="156F70F7" w:rsidR="004A5B91" w:rsidRPr="00C05E71" w:rsidRDefault="00432509" w:rsidP="00C51090">
      <w:pPr>
        <w:pStyle w:val="ListParagraph"/>
        <w:widowControl w:val="0"/>
        <w:numPr>
          <w:ilvl w:val="1"/>
          <w:numId w:val="8"/>
        </w:numPr>
        <w:shd w:val="clear" w:color="auto" w:fill="FFFFFF"/>
        <w:tabs>
          <w:tab w:val="left" w:pos="0"/>
        </w:tabs>
        <w:spacing w:after="0" w:line="276" w:lineRule="auto"/>
        <w:ind w:left="0" w:firstLine="0"/>
        <w:jc w:val="both"/>
        <w:outlineLvl w:val="0"/>
        <w:rPr>
          <w:rFonts w:asciiTheme="majorHAnsi" w:hAnsiTheme="majorHAnsi" w:cstheme="majorHAnsi"/>
          <w:sz w:val="24"/>
          <w:szCs w:val="24"/>
          <w:lang w:val="ro-MD"/>
        </w:rPr>
      </w:pPr>
      <w:r w:rsidRPr="00C05E71">
        <w:rPr>
          <w:rFonts w:asciiTheme="majorHAnsi" w:hAnsiTheme="majorHAnsi" w:cstheme="majorHAnsi"/>
          <w:sz w:val="24"/>
          <w:szCs w:val="24"/>
          <w:lang w:val="ro-MD"/>
        </w:rPr>
        <w:lastRenderedPageBreak/>
        <w:t>Supraevaluarea subcontului 222990 „Servicii neatribuite altor alin</w:t>
      </w:r>
      <w:r w:rsidR="00EC5527" w:rsidRPr="00C05E71">
        <w:rPr>
          <w:rFonts w:asciiTheme="majorHAnsi" w:hAnsiTheme="majorHAnsi" w:cstheme="majorHAnsi"/>
          <w:sz w:val="24"/>
          <w:szCs w:val="24"/>
          <w:lang w:val="ro-MD"/>
        </w:rPr>
        <w:t>e</w:t>
      </w:r>
      <w:r w:rsidRPr="00C05E71">
        <w:rPr>
          <w:rFonts w:asciiTheme="majorHAnsi" w:hAnsiTheme="majorHAnsi" w:cstheme="majorHAnsi"/>
          <w:sz w:val="24"/>
          <w:szCs w:val="24"/>
          <w:lang w:val="ro-MD"/>
        </w:rPr>
        <w:t>ate”</w:t>
      </w:r>
      <w:r w:rsidR="00EC5527" w:rsidRPr="00C05E71">
        <w:rPr>
          <w:rFonts w:asciiTheme="majorHAnsi" w:hAnsiTheme="majorHAnsi" w:cstheme="majorHAnsi"/>
          <w:sz w:val="24"/>
          <w:szCs w:val="24"/>
          <w:lang w:val="ro-MD"/>
        </w:rPr>
        <w:t>,</w:t>
      </w:r>
      <w:r w:rsidRPr="00C05E71">
        <w:rPr>
          <w:rFonts w:asciiTheme="majorHAnsi" w:hAnsiTheme="majorHAnsi" w:cstheme="majorHAnsi"/>
          <w:sz w:val="24"/>
          <w:szCs w:val="24"/>
          <w:lang w:val="ro-MD"/>
        </w:rPr>
        <w:t xml:space="preserve"> condiționată de</w:t>
      </w:r>
      <w:r w:rsidR="00015C86" w:rsidRPr="00C05E71">
        <w:rPr>
          <w:rFonts w:asciiTheme="majorHAnsi" w:hAnsiTheme="majorHAnsi" w:cstheme="majorHAnsi"/>
          <w:sz w:val="24"/>
          <w:szCs w:val="24"/>
          <w:lang w:val="ro-MD"/>
        </w:rPr>
        <w:t xml:space="preserve"> r</w:t>
      </w:r>
      <w:r w:rsidR="00AF3FD7" w:rsidRPr="00C05E71">
        <w:rPr>
          <w:rFonts w:asciiTheme="majorHAnsi" w:hAnsiTheme="majorHAnsi" w:cstheme="majorHAnsi"/>
          <w:sz w:val="24"/>
          <w:szCs w:val="24"/>
          <w:lang w:val="ro-MD"/>
        </w:rPr>
        <w:t>eflectarea</w:t>
      </w:r>
      <w:r w:rsidR="003E4735" w:rsidRPr="00C05E71">
        <w:rPr>
          <w:rFonts w:asciiTheme="majorHAnsi" w:hAnsiTheme="majorHAnsi" w:cstheme="majorHAnsi"/>
          <w:sz w:val="24"/>
          <w:szCs w:val="24"/>
          <w:lang w:val="ro-MD"/>
        </w:rPr>
        <w:t>,</w:t>
      </w:r>
      <w:r w:rsidR="00AF3FD7" w:rsidRPr="00C05E71">
        <w:rPr>
          <w:rFonts w:asciiTheme="majorHAnsi" w:hAnsiTheme="majorHAnsi" w:cstheme="majorHAnsi"/>
          <w:sz w:val="24"/>
          <w:szCs w:val="24"/>
          <w:lang w:val="ro-MD"/>
        </w:rPr>
        <w:t xml:space="preserve"> </w:t>
      </w:r>
      <w:r w:rsidR="004A5B91" w:rsidRPr="00C05E71">
        <w:rPr>
          <w:rFonts w:asciiTheme="majorHAnsi" w:hAnsiTheme="majorHAnsi" w:cstheme="majorHAnsi"/>
          <w:sz w:val="24"/>
          <w:szCs w:val="24"/>
          <w:lang w:val="ro-MD"/>
        </w:rPr>
        <w:t>de către 2 instituții</w:t>
      </w:r>
      <w:r w:rsidR="00461CA3" w:rsidRPr="00C05E71">
        <w:rPr>
          <w:rStyle w:val="FootnoteReference"/>
          <w:rFonts w:asciiTheme="majorHAnsi" w:hAnsiTheme="majorHAnsi" w:cstheme="majorHAnsi"/>
          <w:sz w:val="24"/>
          <w:szCs w:val="24"/>
          <w:lang w:val="ro-MD"/>
        </w:rPr>
        <w:footnoteReference w:id="28"/>
      </w:r>
      <w:r w:rsidR="003E4735" w:rsidRPr="00C05E71">
        <w:rPr>
          <w:rFonts w:asciiTheme="majorHAnsi" w:hAnsiTheme="majorHAnsi" w:cstheme="majorHAnsi"/>
          <w:sz w:val="24"/>
          <w:szCs w:val="24"/>
          <w:lang w:val="ro-MD"/>
        </w:rPr>
        <w:t>, a</w:t>
      </w:r>
      <w:r w:rsidR="004A5B91" w:rsidRPr="00C05E71">
        <w:rPr>
          <w:rFonts w:asciiTheme="majorHAnsi" w:hAnsiTheme="majorHAnsi" w:cstheme="majorHAnsi"/>
          <w:sz w:val="24"/>
          <w:szCs w:val="24"/>
          <w:lang w:val="ro-MD"/>
        </w:rPr>
        <w:t xml:space="preserve"> </w:t>
      </w:r>
      <w:r w:rsidR="003E4735" w:rsidRPr="00C05E71">
        <w:rPr>
          <w:rFonts w:asciiTheme="majorHAnsi" w:hAnsiTheme="majorHAnsi" w:cstheme="majorHAnsi"/>
          <w:sz w:val="24"/>
          <w:szCs w:val="24"/>
          <w:lang w:val="ro-MD"/>
        </w:rPr>
        <w:t xml:space="preserve">lucrărilor de reparație capitală ca servicii neatribuite altor alineate, </w:t>
      </w:r>
      <w:r w:rsidR="004A5B91" w:rsidRPr="00C05E71">
        <w:rPr>
          <w:rFonts w:asciiTheme="majorHAnsi" w:hAnsiTheme="majorHAnsi" w:cstheme="majorHAnsi"/>
          <w:sz w:val="24"/>
          <w:szCs w:val="24"/>
          <w:lang w:val="ro-MD"/>
        </w:rPr>
        <w:t>în valoare de 307,5 mii lei, a cauzat necapitalizarea acestora. Ace</w:t>
      </w:r>
      <w:r w:rsidR="00EC5527" w:rsidRPr="00C05E71">
        <w:rPr>
          <w:rFonts w:asciiTheme="majorHAnsi" w:hAnsiTheme="majorHAnsi" w:cstheme="majorHAnsi"/>
          <w:sz w:val="24"/>
          <w:szCs w:val="24"/>
          <w:lang w:val="ro-MD"/>
        </w:rPr>
        <w:t>e</w:t>
      </w:r>
      <w:r w:rsidR="004A5B91" w:rsidRPr="00C05E71">
        <w:rPr>
          <w:rFonts w:asciiTheme="majorHAnsi" w:hAnsiTheme="majorHAnsi" w:cstheme="majorHAnsi"/>
          <w:sz w:val="24"/>
          <w:szCs w:val="24"/>
          <w:lang w:val="ro-MD"/>
        </w:rPr>
        <w:t>ași eroare a fost admisă</w:t>
      </w:r>
      <w:r w:rsidR="003E4735" w:rsidRPr="00C05E71">
        <w:rPr>
          <w:rFonts w:asciiTheme="majorHAnsi" w:hAnsiTheme="majorHAnsi" w:cstheme="majorHAnsi"/>
          <w:sz w:val="24"/>
          <w:szCs w:val="24"/>
          <w:lang w:val="ro-MD"/>
        </w:rPr>
        <w:t>,</w:t>
      </w:r>
      <w:r w:rsidR="004A5B91" w:rsidRPr="00C05E71">
        <w:rPr>
          <w:rFonts w:asciiTheme="majorHAnsi" w:hAnsiTheme="majorHAnsi" w:cstheme="majorHAnsi"/>
          <w:sz w:val="24"/>
          <w:szCs w:val="24"/>
          <w:lang w:val="ro-MD"/>
        </w:rPr>
        <w:t xml:space="preserve"> în perioada </w:t>
      </w:r>
      <w:r w:rsidR="003E4735" w:rsidRPr="00C05E71">
        <w:rPr>
          <w:rFonts w:asciiTheme="majorHAnsi" w:hAnsiTheme="majorHAnsi" w:cstheme="majorHAnsi"/>
          <w:sz w:val="24"/>
          <w:szCs w:val="24"/>
          <w:lang w:val="ro-MD"/>
        </w:rPr>
        <w:t xml:space="preserve">anilor </w:t>
      </w:r>
      <w:r w:rsidR="004A5B91" w:rsidRPr="00C05E71">
        <w:rPr>
          <w:rFonts w:asciiTheme="majorHAnsi" w:hAnsiTheme="majorHAnsi" w:cstheme="majorHAnsi"/>
          <w:sz w:val="24"/>
          <w:szCs w:val="24"/>
          <w:lang w:val="ro-MD"/>
        </w:rPr>
        <w:t>2018-2019</w:t>
      </w:r>
      <w:r w:rsidR="003E4735" w:rsidRPr="00C05E71">
        <w:rPr>
          <w:rFonts w:asciiTheme="majorHAnsi" w:hAnsiTheme="majorHAnsi" w:cstheme="majorHAnsi"/>
          <w:sz w:val="24"/>
          <w:szCs w:val="24"/>
          <w:lang w:val="ro-MD"/>
        </w:rPr>
        <w:t>,</w:t>
      </w:r>
      <w:r w:rsidR="004A5B91" w:rsidRPr="00C05E71">
        <w:rPr>
          <w:rFonts w:asciiTheme="majorHAnsi" w:hAnsiTheme="majorHAnsi" w:cstheme="majorHAnsi"/>
          <w:sz w:val="24"/>
          <w:szCs w:val="24"/>
          <w:lang w:val="ro-MD"/>
        </w:rPr>
        <w:t xml:space="preserve"> </w:t>
      </w:r>
      <w:r w:rsidR="003E4735" w:rsidRPr="00C05E71">
        <w:rPr>
          <w:rFonts w:asciiTheme="majorHAnsi" w:hAnsiTheme="majorHAnsi" w:cstheme="majorHAnsi"/>
          <w:sz w:val="24"/>
          <w:szCs w:val="24"/>
          <w:lang w:val="ro-MD"/>
        </w:rPr>
        <w:t xml:space="preserve">și </w:t>
      </w:r>
      <w:r w:rsidR="004A5B91" w:rsidRPr="00C05E71">
        <w:rPr>
          <w:rFonts w:asciiTheme="majorHAnsi" w:hAnsiTheme="majorHAnsi" w:cstheme="majorHAnsi"/>
          <w:sz w:val="24"/>
          <w:szCs w:val="24"/>
          <w:lang w:val="ro-MD"/>
        </w:rPr>
        <w:t xml:space="preserve">de către Direcția </w:t>
      </w:r>
      <w:r w:rsidR="003E584D" w:rsidRPr="00C05E71">
        <w:rPr>
          <w:rFonts w:asciiTheme="majorHAnsi" w:hAnsiTheme="majorHAnsi" w:cstheme="majorHAnsi"/>
          <w:sz w:val="24"/>
          <w:szCs w:val="24"/>
          <w:lang w:val="ro-MD"/>
        </w:rPr>
        <w:t>I</w:t>
      </w:r>
      <w:r w:rsidR="004A5B91" w:rsidRPr="00C05E71">
        <w:rPr>
          <w:rFonts w:asciiTheme="majorHAnsi" w:hAnsiTheme="majorHAnsi" w:cstheme="majorHAnsi"/>
          <w:sz w:val="24"/>
          <w:szCs w:val="24"/>
          <w:lang w:val="ro-MD"/>
        </w:rPr>
        <w:t xml:space="preserve">ndustrie, </w:t>
      </w:r>
      <w:r w:rsidR="003E4735" w:rsidRPr="00C05E71">
        <w:rPr>
          <w:rFonts w:asciiTheme="majorHAnsi" w:hAnsiTheme="majorHAnsi" w:cstheme="majorHAnsi"/>
          <w:sz w:val="24"/>
          <w:szCs w:val="24"/>
          <w:lang w:val="ro-MD"/>
        </w:rPr>
        <w:t xml:space="preserve">la reflectarea serviciilor  în </w:t>
      </w:r>
      <w:r w:rsidR="004A5B91" w:rsidRPr="00C05E71">
        <w:rPr>
          <w:rFonts w:asciiTheme="majorHAnsi" w:hAnsiTheme="majorHAnsi" w:cstheme="majorHAnsi"/>
          <w:sz w:val="24"/>
          <w:szCs w:val="24"/>
          <w:lang w:val="ro-MD"/>
        </w:rPr>
        <w:t xml:space="preserve">valoare </w:t>
      </w:r>
      <w:r w:rsidR="003E4735" w:rsidRPr="00C05E71">
        <w:rPr>
          <w:rFonts w:asciiTheme="majorHAnsi" w:hAnsiTheme="majorHAnsi" w:cstheme="majorHAnsi"/>
          <w:sz w:val="24"/>
          <w:szCs w:val="24"/>
          <w:lang w:val="ro-MD"/>
        </w:rPr>
        <w:t xml:space="preserve">de </w:t>
      </w:r>
      <w:r w:rsidR="004A5B91" w:rsidRPr="00C05E71">
        <w:rPr>
          <w:rFonts w:asciiTheme="majorHAnsi" w:hAnsiTheme="majorHAnsi" w:cstheme="majorHAnsi"/>
          <w:sz w:val="24"/>
          <w:szCs w:val="24"/>
          <w:lang w:val="ro-MD"/>
        </w:rPr>
        <w:t>680,3 mii lei,</w:t>
      </w:r>
      <w:r w:rsidR="003E4735" w:rsidRPr="00C05E71">
        <w:rPr>
          <w:rFonts w:asciiTheme="majorHAnsi" w:hAnsiTheme="majorHAnsi" w:cstheme="majorHAnsi"/>
          <w:sz w:val="24"/>
          <w:szCs w:val="24"/>
          <w:lang w:val="ro-MD"/>
        </w:rPr>
        <w:t xml:space="preserve"> </w:t>
      </w:r>
      <w:r w:rsidR="004A5B91" w:rsidRPr="00C05E71">
        <w:rPr>
          <w:rFonts w:asciiTheme="majorHAnsi" w:hAnsiTheme="majorHAnsi" w:cstheme="majorHAnsi"/>
          <w:sz w:val="24"/>
          <w:szCs w:val="24"/>
          <w:lang w:val="ro-MD"/>
        </w:rPr>
        <w:t xml:space="preserve">și de </w:t>
      </w:r>
      <w:r w:rsidR="004A5B91" w:rsidRPr="00C05E71">
        <w:rPr>
          <w:rFonts w:asciiTheme="majorHAnsi" w:eastAsia="Calibri" w:hAnsiTheme="majorHAnsi" w:cstheme="majorHAnsi"/>
          <w:sz w:val="24"/>
          <w:szCs w:val="24"/>
          <w:lang w:val="ro-MD" w:eastAsia="lv-LV"/>
        </w:rPr>
        <w:t>5 instituții</w:t>
      </w:r>
      <w:r w:rsidR="00015C86" w:rsidRPr="00C05E71">
        <w:rPr>
          <w:rFonts w:asciiTheme="majorHAnsi" w:eastAsia="Calibri" w:hAnsiTheme="majorHAnsi" w:cstheme="majorHAnsi"/>
          <w:sz w:val="24"/>
          <w:szCs w:val="24"/>
          <w:lang w:val="ro-MD" w:eastAsia="lv-LV"/>
        </w:rPr>
        <w:t xml:space="preserve"> – respectiv,</w:t>
      </w:r>
      <w:r w:rsidR="004A5B91" w:rsidRPr="00C05E71">
        <w:rPr>
          <w:rFonts w:asciiTheme="majorHAnsi" w:eastAsia="Calibri" w:hAnsiTheme="majorHAnsi" w:cstheme="majorHAnsi"/>
          <w:sz w:val="24"/>
          <w:szCs w:val="24"/>
          <w:lang w:val="ro-MD" w:eastAsia="lv-LV"/>
        </w:rPr>
        <w:t xml:space="preserve"> a unor lucrări de reparație capitală a imobilelor deținute cu titlu de comodat</w:t>
      </w:r>
      <w:r w:rsidR="00015C86" w:rsidRPr="00C05E71">
        <w:rPr>
          <w:rFonts w:asciiTheme="majorHAnsi" w:eastAsia="Calibri" w:hAnsiTheme="majorHAnsi" w:cstheme="majorHAnsi"/>
          <w:sz w:val="24"/>
          <w:szCs w:val="24"/>
          <w:lang w:val="ro-MD" w:eastAsia="lv-LV"/>
        </w:rPr>
        <w:t>, în valoare de 208,6 mii lei</w:t>
      </w:r>
      <w:r w:rsidR="00015C86" w:rsidRPr="00C05E71">
        <w:rPr>
          <w:rFonts w:asciiTheme="majorHAnsi" w:eastAsia="Calibri" w:hAnsiTheme="majorHAnsi" w:cstheme="majorHAnsi"/>
          <w:sz w:val="24"/>
          <w:szCs w:val="24"/>
          <w:vertAlign w:val="superscript"/>
          <w:lang w:val="ro-MD" w:eastAsia="lv-LV"/>
        </w:rPr>
        <w:footnoteReference w:id="29"/>
      </w:r>
      <w:r w:rsidR="00015C86" w:rsidRPr="00C05E71">
        <w:rPr>
          <w:rFonts w:asciiTheme="majorHAnsi" w:eastAsia="Calibri" w:hAnsiTheme="majorHAnsi" w:cstheme="majorHAnsi"/>
          <w:sz w:val="24"/>
          <w:szCs w:val="24"/>
          <w:lang w:val="ro-MD" w:eastAsia="lv-LV"/>
        </w:rPr>
        <w:t>.</w:t>
      </w:r>
    </w:p>
    <w:p w14:paraId="0C3F4221" w14:textId="311AD1A2" w:rsidR="000D35A8" w:rsidRPr="00C05E71" w:rsidRDefault="004A5B91" w:rsidP="00C51090">
      <w:pPr>
        <w:pStyle w:val="ListParagraph"/>
        <w:widowControl w:val="0"/>
        <w:shd w:val="clear" w:color="auto" w:fill="FFFFFF"/>
        <w:tabs>
          <w:tab w:val="left" w:pos="0"/>
          <w:tab w:val="left" w:pos="426"/>
        </w:tabs>
        <w:spacing w:after="0" w:line="276" w:lineRule="auto"/>
        <w:ind w:left="0"/>
        <w:jc w:val="both"/>
        <w:outlineLvl w:val="0"/>
        <w:rPr>
          <w:rFonts w:asciiTheme="majorHAnsi" w:hAnsiTheme="majorHAnsi" w:cstheme="majorHAnsi"/>
          <w:sz w:val="24"/>
          <w:szCs w:val="24"/>
          <w:lang w:val="ro-MD"/>
        </w:rPr>
      </w:pPr>
      <w:r w:rsidRPr="00C05E71">
        <w:rPr>
          <w:rFonts w:asciiTheme="majorHAnsi" w:hAnsiTheme="majorHAnsi" w:cstheme="majorHAnsi"/>
          <w:sz w:val="24"/>
          <w:szCs w:val="24"/>
          <w:lang w:val="ro-MD"/>
        </w:rPr>
        <w:t xml:space="preserve">Cele menționate au cauzat supraevaluarea valorii </w:t>
      </w:r>
      <w:r w:rsidR="00015C86" w:rsidRPr="00C05E71">
        <w:rPr>
          <w:rFonts w:asciiTheme="majorHAnsi" w:hAnsiTheme="majorHAnsi" w:cstheme="majorHAnsi"/>
          <w:sz w:val="24"/>
          <w:szCs w:val="24"/>
          <w:lang w:val="ro-MD"/>
        </w:rPr>
        <w:t>subcontului 222990 „S</w:t>
      </w:r>
      <w:r w:rsidRPr="00C05E71">
        <w:rPr>
          <w:rFonts w:asciiTheme="majorHAnsi" w:hAnsiTheme="majorHAnsi" w:cstheme="majorHAnsi"/>
          <w:sz w:val="24"/>
          <w:szCs w:val="24"/>
          <w:lang w:val="ro-MD"/>
        </w:rPr>
        <w:t>erviciil neatribuite altor alin</w:t>
      </w:r>
      <w:r w:rsidR="00015C86" w:rsidRPr="00C05E71">
        <w:rPr>
          <w:rFonts w:asciiTheme="majorHAnsi" w:hAnsiTheme="majorHAnsi" w:cstheme="majorHAnsi"/>
          <w:sz w:val="24"/>
          <w:szCs w:val="24"/>
          <w:lang w:val="ro-MD"/>
        </w:rPr>
        <w:t>e</w:t>
      </w:r>
      <w:r w:rsidRPr="00C05E71">
        <w:rPr>
          <w:rFonts w:asciiTheme="majorHAnsi" w:hAnsiTheme="majorHAnsi" w:cstheme="majorHAnsi"/>
          <w:sz w:val="24"/>
          <w:szCs w:val="24"/>
          <w:lang w:val="ro-MD"/>
        </w:rPr>
        <w:t>ate</w:t>
      </w:r>
      <w:r w:rsidR="00015C86" w:rsidRPr="00C05E71">
        <w:rPr>
          <w:rFonts w:asciiTheme="majorHAnsi" w:hAnsiTheme="majorHAnsi" w:cstheme="majorHAnsi"/>
          <w:sz w:val="24"/>
          <w:szCs w:val="24"/>
          <w:lang w:val="ro-MD"/>
        </w:rPr>
        <w:t xml:space="preserve">”- </w:t>
      </w:r>
      <w:r w:rsidRPr="00C05E71">
        <w:rPr>
          <w:rFonts w:asciiTheme="majorHAnsi" w:hAnsiTheme="majorHAnsi" w:cstheme="majorHAnsi"/>
          <w:sz w:val="24"/>
          <w:szCs w:val="24"/>
          <w:lang w:val="ro-MD"/>
        </w:rPr>
        <w:t xml:space="preserve"> cu suma de </w:t>
      </w:r>
      <w:r w:rsidRPr="00C05E71">
        <w:rPr>
          <w:rFonts w:asciiTheme="majorHAnsi" w:hAnsiTheme="majorHAnsi" w:cstheme="majorHAnsi"/>
          <w:b/>
          <w:sz w:val="24"/>
          <w:szCs w:val="24"/>
          <w:lang w:val="ro-MD"/>
        </w:rPr>
        <w:t>307,5 mii lei</w:t>
      </w:r>
      <w:r w:rsidR="00015C86" w:rsidRPr="00C05E71">
        <w:rPr>
          <w:rFonts w:asciiTheme="majorHAnsi" w:hAnsiTheme="majorHAnsi" w:cstheme="majorHAnsi"/>
          <w:sz w:val="24"/>
          <w:szCs w:val="24"/>
          <w:lang w:val="ro-MD"/>
        </w:rPr>
        <w:t>, și</w:t>
      </w:r>
      <w:r w:rsidRPr="00C05E71">
        <w:rPr>
          <w:rFonts w:asciiTheme="majorHAnsi" w:hAnsiTheme="majorHAnsi" w:cstheme="majorHAnsi"/>
          <w:sz w:val="24"/>
          <w:szCs w:val="24"/>
          <w:lang w:val="ro-MD"/>
        </w:rPr>
        <w:t xml:space="preserve"> </w:t>
      </w:r>
      <w:r w:rsidR="00015C86" w:rsidRPr="00C05E71">
        <w:rPr>
          <w:rFonts w:asciiTheme="majorHAnsi" w:hAnsiTheme="majorHAnsi" w:cstheme="majorHAnsi"/>
          <w:sz w:val="24"/>
          <w:szCs w:val="24"/>
          <w:lang w:val="ro-MD"/>
        </w:rPr>
        <w:t xml:space="preserve">a </w:t>
      </w:r>
      <w:r w:rsidRPr="00C05E71">
        <w:rPr>
          <w:rFonts w:asciiTheme="majorHAnsi" w:hAnsiTheme="majorHAnsi" w:cstheme="majorHAnsi"/>
          <w:sz w:val="24"/>
          <w:szCs w:val="24"/>
          <w:lang w:val="ro-MD"/>
        </w:rPr>
        <w:t>contului 722</w:t>
      </w:r>
      <w:r w:rsidRPr="00C05E71">
        <w:rPr>
          <w:rFonts w:asciiTheme="majorHAnsi" w:eastAsia="Calibri" w:hAnsiTheme="majorHAnsi" w:cstheme="majorHAnsi"/>
          <w:sz w:val="24"/>
          <w:szCs w:val="24"/>
          <w:lang w:val="ro-MD" w:eastAsia="lv-LV"/>
        </w:rPr>
        <w:t xml:space="preserve"> „Rezultatul financiar al autorității/instituției bugetare din anii precedenți”</w:t>
      </w:r>
      <w:r w:rsidR="00015C86" w:rsidRPr="00C05E71">
        <w:rPr>
          <w:rFonts w:asciiTheme="majorHAnsi" w:eastAsia="Calibri" w:hAnsiTheme="majorHAnsi" w:cstheme="majorHAnsi"/>
          <w:sz w:val="24"/>
          <w:szCs w:val="24"/>
          <w:lang w:val="ro-MD" w:eastAsia="lv-LV"/>
        </w:rPr>
        <w:t xml:space="preserve">- </w:t>
      </w:r>
      <w:r w:rsidRPr="00C05E71">
        <w:rPr>
          <w:rFonts w:asciiTheme="majorHAnsi" w:eastAsia="Calibri" w:hAnsiTheme="majorHAnsi" w:cstheme="majorHAnsi"/>
          <w:sz w:val="24"/>
          <w:szCs w:val="24"/>
          <w:lang w:val="ro-MD" w:eastAsia="lv-LV"/>
        </w:rPr>
        <w:t xml:space="preserve"> cu suma de </w:t>
      </w:r>
      <w:r w:rsidR="00AF3FD7" w:rsidRPr="00C05E71">
        <w:rPr>
          <w:rFonts w:asciiTheme="majorHAnsi" w:eastAsia="Calibri" w:hAnsiTheme="majorHAnsi" w:cstheme="majorHAnsi"/>
          <w:b/>
          <w:sz w:val="24"/>
          <w:szCs w:val="24"/>
          <w:lang w:val="ro-MD" w:eastAsia="lv-LV"/>
        </w:rPr>
        <w:t>8</w:t>
      </w:r>
      <w:r w:rsidRPr="00C05E71">
        <w:rPr>
          <w:rFonts w:asciiTheme="majorHAnsi" w:eastAsia="Calibri" w:hAnsiTheme="majorHAnsi" w:cstheme="majorHAnsi"/>
          <w:b/>
          <w:sz w:val="24"/>
          <w:szCs w:val="24"/>
          <w:lang w:val="ro-MD" w:eastAsia="lv-LV"/>
        </w:rPr>
        <w:t>8</w:t>
      </w:r>
      <w:r w:rsidR="00AF3FD7" w:rsidRPr="00C05E71">
        <w:rPr>
          <w:rFonts w:asciiTheme="majorHAnsi" w:eastAsia="Calibri" w:hAnsiTheme="majorHAnsi" w:cstheme="majorHAnsi"/>
          <w:b/>
          <w:sz w:val="24"/>
          <w:szCs w:val="24"/>
          <w:lang w:val="ro-MD" w:eastAsia="lv-LV"/>
        </w:rPr>
        <w:t>8</w:t>
      </w:r>
      <w:r w:rsidRPr="00C05E71">
        <w:rPr>
          <w:rFonts w:asciiTheme="majorHAnsi" w:eastAsia="Calibri" w:hAnsiTheme="majorHAnsi" w:cstheme="majorHAnsi"/>
          <w:b/>
          <w:sz w:val="24"/>
          <w:szCs w:val="24"/>
          <w:lang w:val="ro-MD" w:eastAsia="lv-LV"/>
        </w:rPr>
        <w:t>,</w:t>
      </w:r>
      <w:r w:rsidR="00AF3FD7" w:rsidRPr="00C05E71">
        <w:rPr>
          <w:rFonts w:asciiTheme="majorHAnsi" w:eastAsia="Calibri" w:hAnsiTheme="majorHAnsi" w:cstheme="majorHAnsi"/>
          <w:b/>
          <w:sz w:val="24"/>
          <w:szCs w:val="24"/>
          <w:lang w:val="ro-MD" w:eastAsia="lv-LV"/>
        </w:rPr>
        <w:t>9</w:t>
      </w:r>
      <w:r w:rsidRPr="00C05E71">
        <w:rPr>
          <w:rFonts w:asciiTheme="majorHAnsi" w:eastAsia="Calibri" w:hAnsiTheme="majorHAnsi" w:cstheme="majorHAnsi"/>
          <w:b/>
          <w:sz w:val="24"/>
          <w:szCs w:val="24"/>
          <w:lang w:val="ro-MD" w:eastAsia="lv-LV"/>
        </w:rPr>
        <w:t xml:space="preserve"> mii lei</w:t>
      </w:r>
      <w:r w:rsidR="00AF3FD7" w:rsidRPr="00C05E71">
        <w:rPr>
          <w:rFonts w:asciiTheme="majorHAnsi" w:eastAsia="Calibri" w:hAnsiTheme="majorHAnsi" w:cstheme="majorHAnsi"/>
          <w:b/>
          <w:sz w:val="24"/>
          <w:szCs w:val="24"/>
          <w:lang w:val="ro-MD" w:eastAsia="lv-LV"/>
        </w:rPr>
        <w:t>,</w:t>
      </w:r>
      <w:r w:rsidRPr="00C05E71">
        <w:rPr>
          <w:rFonts w:asciiTheme="majorHAnsi" w:eastAsia="Calibri" w:hAnsiTheme="majorHAnsi" w:cstheme="majorHAnsi"/>
          <w:sz w:val="24"/>
          <w:szCs w:val="24"/>
          <w:lang w:val="ro-MD" w:eastAsia="lv-LV"/>
        </w:rPr>
        <w:t xml:space="preserve"> </w:t>
      </w:r>
      <w:r w:rsidR="00AF3FD7" w:rsidRPr="00C05E71">
        <w:rPr>
          <w:rFonts w:asciiTheme="majorHAnsi" w:eastAsia="Calibri" w:hAnsiTheme="majorHAnsi" w:cstheme="majorHAnsi"/>
          <w:sz w:val="24"/>
          <w:szCs w:val="24"/>
          <w:lang w:val="ro-MD" w:eastAsia="lv-LV"/>
        </w:rPr>
        <w:t xml:space="preserve">precum și </w:t>
      </w:r>
      <w:r w:rsidRPr="00C05E71">
        <w:rPr>
          <w:rFonts w:asciiTheme="majorHAnsi" w:hAnsiTheme="majorHAnsi" w:cstheme="majorHAnsi"/>
          <w:sz w:val="24"/>
          <w:szCs w:val="24"/>
          <w:lang w:val="ro-MD"/>
        </w:rPr>
        <w:t xml:space="preserve">diminuarea valorii contului 312 „Construcții speciale” </w:t>
      </w:r>
      <w:r w:rsidR="000855F3" w:rsidRPr="00C05E71">
        <w:rPr>
          <w:rFonts w:asciiTheme="majorHAnsi" w:hAnsiTheme="majorHAnsi" w:cstheme="majorHAnsi"/>
          <w:sz w:val="24"/>
          <w:szCs w:val="24"/>
          <w:lang w:val="ro-MD"/>
        </w:rPr>
        <w:t xml:space="preserve">- </w:t>
      </w:r>
      <w:r w:rsidRPr="00C05E71">
        <w:rPr>
          <w:rFonts w:asciiTheme="majorHAnsi" w:hAnsiTheme="majorHAnsi" w:cstheme="majorHAnsi"/>
          <w:sz w:val="24"/>
          <w:szCs w:val="24"/>
          <w:lang w:val="ro-MD"/>
        </w:rPr>
        <w:t xml:space="preserve">cu suma de </w:t>
      </w:r>
      <w:r w:rsidRPr="00C05E71">
        <w:rPr>
          <w:rFonts w:asciiTheme="majorHAnsi" w:hAnsiTheme="majorHAnsi" w:cstheme="majorHAnsi"/>
          <w:b/>
          <w:sz w:val="24"/>
          <w:szCs w:val="24"/>
          <w:lang w:val="ro-MD"/>
        </w:rPr>
        <w:t>987,9 mii lei</w:t>
      </w:r>
      <w:r w:rsidR="000855F3" w:rsidRPr="00C05E71">
        <w:rPr>
          <w:rFonts w:asciiTheme="majorHAnsi" w:hAnsiTheme="majorHAnsi" w:cstheme="majorHAnsi"/>
          <w:sz w:val="24"/>
          <w:szCs w:val="24"/>
          <w:lang w:val="ro-MD"/>
        </w:rPr>
        <w:t>,</w:t>
      </w:r>
      <w:r w:rsidR="00AF3FD7" w:rsidRPr="00C05E71">
        <w:rPr>
          <w:rFonts w:asciiTheme="majorHAnsi" w:hAnsiTheme="majorHAnsi" w:cstheme="majorHAnsi"/>
          <w:sz w:val="24"/>
          <w:szCs w:val="24"/>
          <w:lang w:val="ro-MD"/>
        </w:rPr>
        <w:t xml:space="preserve"> și a</w:t>
      </w:r>
      <w:r w:rsidR="00AF3FD7" w:rsidRPr="00C05E71">
        <w:rPr>
          <w:rFonts w:asciiTheme="majorHAnsi" w:hAnsiTheme="majorHAnsi" w:cstheme="majorHAnsi"/>
          <w:b/>
          <w:sz w:val="24"/>
          <w:szCs w:val="24"/>
          <w:lang w:val="ro-MD"/>
        </w:rPr>
        <w:t xml:space="preserve"> </w:t>
      </w:r>
      <w:r w:rsidR="00432509" w:rsidRPr="00C05E71">
        <w:rPr>
          <w:rFonts w:asciiTheme="majorHAnsi" w:eastAsia="Calibri" w:hAnsiTheme="majorHAnsi" w:cstheme="majorHAnsi"/>
          <w:sz w:val="24"/>
          <w:szCs w:val="24"/>
          <w:lang w:val="ro-MD" w:eastAsia="lv-LV"/>
        </w:rPr>
        <w:t xml:space="preserve">contului 822100 „Active luate în locațiune/arendă” </w:t>
      </w:r>
      <w:r w:rsidR="000855F3" w:rsidRPr="00C05E71">
        <w:rPr>
          <w:rFonts w:asciiTheme="majorHAnsi" w:eastAsia="Calibri" w:hAnsiTheme="majorHAnsi" w:cstheme="majorHAnsi"/>
          <w:sz w:val="24"/>
          <w:szCs w:val="24"/>
          <w:lang w:val="ro-MD" w:eastAsia="lv-LV"/>
        </w:rPr>
        <w:t xml:space="preserve">- </w:t>
      </w:r>
      <w:r w:rsidR="00432509" w:rsidRPr="00C05E71">
        <w:rPr>
          <w:rFonts w:asciiTheme="majorHAnsi" w:eastAsia="Calibri" w:hAnsiTheme="majorHAnsi" w:cstheme="majorHAnsi"/>
          <w:sz w:val="24"/>
          <w:szCs w:val="24"/>
          <w:lang w:val="ro-MD" w:eastAsia="lv-LV"/>
        </w:rPr>
        <w:t xml:space="preserve">cu </w:t>
      </w:r>
      <w:r w:rsidR="00432509" w:rsidRPr="00C05E71">
        <w:rPr>
          <w:rFonts w:asciiTheme="majorHAnsi" w:eastAsia="Calibri" w:hAnsiTheme="majorHAnsi" w:cstheme="majorHAnsi"/>
          <w:b/>
          <w:sz w:val="24"/>
          <w:szCs w:val="24"/>
          <w:lang w:val="ro-MD" w:eastAsia="lv-LV"/>
        </w:rPr>
        <w:t>208,6 mii lei</w:t>
      </w:r>
      <w:r w:rsidR="000855F3" w:rsidRPr="00C05E71">
        <w:rPr>
          <w:rFonts w:asciiTheme="majorHAnsi" w:eastAsia="Calibri" w:hAnsiTheme="majorHAnsi" w:cstheme="majorHAnsi"/>
          <w:sz w:val="24"/>
          <w:szCs w:val="24"/>
          <w:lang w:val="ro-MD" w:eastAsia="lv-LV"/>
        </w:rPr>
        <w:t>.</w:t>
      </w:r>
    </w:p>
    <w:p w14:paraId="71D89C50" w14:textId="77777777" w:rsidR="002A7174" w:rsidRPr="00C05E71" w:rsidRDefault="002A7174" w:rsidP="00C05E71">
      <w:pPr>
        <w:widowControl w:val="0"/>
        <w:shd w:val="clear" w:color="auto" w:fill="FFFFFF"/>
        <w:tabs>
          <w:tab w:val="left" w:pos="0"/>
        </w:tabs>
        <w:spacing w:after="0" w:line="276" w:lineRule="auto"/>
        <w:jc w:val="both"/>
        <w:outlineLvl w:val="0"/>
        <w:rPr>
          <w:rFonts w:asciiTheme="majorHAnsi" w:hAnsiTheme="majorHAnsi" w:cstheme="majorHAnsi"/>
          <w:sz w:val="24"/>
          <w:szCs w:val="24"/>
          <w:lang w:val="ro-MD"/>
        </w:rPr>
      </w:pPr>
    </w:p>
    <w:p w14:paraId="1DF1AF56" w14:textId="793BEFE1" w:rsidR="002A7174" w:rsidRPr="00C05E71" w:rsidRDefault="002A7174" w:rsidP="00C05E71">
      <w:pPr>
        <w:spacing w:after="0" w:line="276" w:lineRule="auto"/>
        <w:jc w:val="both"/>
        <w:rPr>
          <w:rFonts w:asciiTheme="majorHAnsi" w:hAnsiTheme="majorHAnsi" w:cstheme="majorHAnsi"/>
          <w:b/>
          <w:sz w:val="24"/>
          <w:szCs w:val="24"/>
          <w:lang w:val="ro-MD"/>
        </w:rPr>
      </w:pPr>
      <w:r w:rsidRPr="00C05E71">
        <w:rPr>
          <w:rFonts w:asciiTheme="majorHAnsi" w:hAnsiTheme="majorHAnsi" w:cstheme="majorHAnsi"/>
          <w:b/>
          <w:sz w:val="24"/>
          <w:szCs w:val="24"/>
          <w:lang w:val="ro-MD"/>
        </w:rPr>
        <w:t>V</w:t>
      </w:r>
      <w:r w:rsidR="00713F76" w:rsidRPr="00C05E71">
        <w:rPr>
          <w:rFonts w:asciiTheme="majorHAnsi" w:hAnsiTheme="majorHAnsi" w:cstheme="majorHAnsi"/>
          <w:b/>
          <w:sz w:val="24"/>
          <w:szCs w:val="24"/>
          <w:lang w:val="ro-MD"/>
        </w:rPr>
        <w:t>I</w:t>
      </w:r>
      <w:r w:rsidRPr="00C05E71">
        <w:rPr>
          <w:rFonts w:asciiTheme="majorHAnsi" w:hAnsiTheme="majorHAnsi" w:cstheme="majorHAnsi"/>
          <w:b/>
          <w:sz w:val="24"/>
          <w:szCs w:val="24"/>
          <w:lang w:val="ro-MD"/>
        </w:rPr>
        <w:t>. BUNA GUVERNANȚĂ</w:t>
      </w:r>
    </w:p>
    <w:p w14:paraId="5BE03CE6" w14:textId="45FEDA8E" w:rsidR="006B09E6" w:rsidRPr="00C05E71" w:rsidRDefault="00713F76" w:rsidP="00C05E71">
      <w:pPr>
        <w:spacing w:after="0" w:line="276" w:lineRule="auto"/>
        <w:jc w:val="both"/>
        <w:rPr>
          <w:rFonts w:asciiTheme="majorHAnsi" w:hAnsiTheme="majorHAnsi" w:cstheme="majorHAnsi"/>
          <w:sz w:val="24"/>
          <w:szCs w:val="24"/>
          <w:lang w:val="ro-MD"/>
        </w:rPr>
      </w:pPr>
      <w:r w:rsidRPr="00C05E71">
        <w:rPr>
          <w:rFonts w:asciiTheme="majorHAnsi" w:hAnsiTheme="majorHAnsi" w:cstheme="majorHAnsi"/>
          <w:b/>
          <w:sz w:val="24"/>
          <w:szCs w:val="24"/>
          <w:lang w:val="ro-MD"/>
        </w:rPr>
        <w:t>6</w:t>
      </w:r>
      <w:r w:rsidR="002A7174" w:rsidRPr="00C05E71">
        <w:rPr>
          <w:rFonts w:asciiTheme="majorHAnsi" w:hAnsiTheme="majorHAnsi" w:cstheme="majorHAnsi"/>
          <w:b/>
          <w:sz w:val="24"/>
          <w:szCs w:val="24"/>
          <w:lang w:val="ro-MD"/>
        </w:rPr>
        <w:t>.1.</w:t>
      </w:r>
      <w:r w:rsidR="002A7174" w:rsidRPr="00C05E71">
        <w:rPr>
          <w:rFonts w:asciiTheme="majorHAnsi" w:hAnsiTheme="majorHAnsi" w:cstheme="majorHAnsi"/>
          <w:sz w:val="24"/>
          <w:szCs w:val="24"/>
          <w:lang w:val="ro-MD"/>
        </w:rPr>
        <w:tab/>
        <w:t>Sistemul de control intern managerial, reglementat prin Legea nr.229 din 23.09.2010 privind controlul financiar public intern,</w:t>
      </w:r>
      <w:r w:rsidR="006B09E6" w:rsidRPr="00C05E71">
        <w:rPr>
          <w:rFonts w:asciiTheme="majorHAnsi" w:hAnsiTheme="majorHAnsi" w:cstheme="majorHAnsi"/>
          <w:sz w:val="24"/>
          <w:szCs w:val="24"/>
          <w:lang w:val="ro-MD"/>
        </w:rPr>
        <w:t xml:space="preserve"> instituit în cadrul Comitetului Executiv al UTA Găgăuzia (aparatul Comitetului Executiv) este unul ineficient, </w:t>
      </w:r>
      <w:r w:rsidR="006B09E6" w:rsidRPr="00C05E71">
        <w:rPr>
          <w:rFonts w:asciiTheme="majorHAnsi" w:eastAsia="Calibri" w:hAnsiTheme="majorHAnsi" w:cstheme="majorHAnsi"/>
          <w:sz w:val="24"/>
          <w:szCs w:val="24"/>
          <w:lang w:val="ro-MD"/>
        </w:rPr>
        <w:t xml:space="preserve">fapt confirmat de: neidentificarea și nedescrierea proceselor operaționale; </w:t>
      </w:r>
      <w:r w:rsidR="006B09E6" w:rsidRPr="00C05E71">
        <w:rPr>
          <w:rFonts w:asciiTheme="majorHAnsi" w:eastAsia="Times New Roman" w:hAnsiTheme="majorHAnsi" w:cstheme="majorHAnsi"/>
          <w:sz w:val="24"/>
          <w:szCs w:val="24"/>
          <w:lang w:val="ro-MD" w:eastAsia="ro-MD"/>
        </w:rPr>
        <w:t xml:space="preserve">nedefinirea și nedescrierea unor proceduri și activități de control la nivel de sisteme operaționale. </w:t>
      </w:r>
      <w:r w:rsidR="006B09E6" w:rsidRPr="00C05E71">
        <w:rPr>
          <w:rFonts w:asciiTheme="majorHAnsi" w:hAnsiTheme="majorHAnsi" w:cstheme="majorHAnsi"/>
          <w:sz w:val="24"/>
          <w:szCs w:val="24"/>
          <w:lang w:val="ro-MD"/>
        </w:rPr>
        <w:t xml:space="preserve">Evaluarea preliminară a </w:t>
      </w:r>
      <w:r w:rsidR="00544A6B" w:rsidRPr="00C05E71">
        <w:rPr>
          <w:rFonts w:asciiTheme="majorHAnsi" w:hAnsiTheme="majorHAnsi" w:cstheme="majorHAnsi"/>
          <w:sz w:val="24"/>
          <w:szCs w:val="24"/>
          <w:lang w:val="ro-MD"/>
        </w:rPr>
        <w:t>controlului intern managerial</w:t>
      </w:r>
      <w:r w:rsidR="00294FC0">
        <w:rPr>
          <w:rFonts w:asciiTheme="majorHAnsi" w:hAnsiTheme="majorHAnsi" w:cstheme="majorHAnsi"/>
          <w:sz w:val="24"/>
          <w:szCs w:val="24"/>
          <w:lang w:val="ro-MD"/>
        </w:rPr>
        <w:t xml:space="preserve"> </w:t>
      </w:r>
      <w:r w:rsidR="00544A6B" w:rsidRPr="00C05E71">
        <w:rPr>
          <w:rFonts w:asciiTheme="majorHAnsi" w:eastAsia="Calibri" w:hAnsiTheme="majorHAnsi" w:cstheme="majorHAnsi"/>
          <w:sz w:val="24"/>
          <w:szCs w:val="24"/>
          <w:lang w:val="ro-MD"/>
        </w:rPr>
        <w:t>(CIM)</w:t>
      </w:r>
      <w:r w:rsidR="00544A6B" w:rsidRPr="00C05E71">
        <w:rPr>
          <w:rFonts w:asciiTheme="majorHAnsi" w:hAnsiTheme="majorHAnsi" w:cstheme="majorHAnsi"/>
          <w:sz w:val="24"/>
          <w:szCs w:val="24"/>
          <w:lang w:val="ro-MD"/>
        </w:rPr>
        <w:t xml:space="preserve"> </w:t>
      </w:r>
      <w:r w:rsidR="006B09E6" w:rsidRPr="00C05E71">
        <w:rPr>
          <w:rFonts w:asciiTheme="majorHAnsi" w:hAnsiTheme="majorHAnsi" w:cstheme="majorHAnsi"/>
          <w:sz w:val="24"/>
          <w:szCs w:val="24"/>
          <w:lang w:val="ro-MD"/>
        </w:rPr>
        <w:t xml:space="preserve"> denotă că, deși Comitetul Executiv </w:t>
      </w:r>
      <w:r w:rsidR="006B09E6" w:rsidRPr="00C05E71">
        <w:rPr>
          <w:rFonts w:asciiTheme="majorHAnsi" w:eastAsia="Calibri" w:hAnsiTheme="majorHAnsi" w:cstheme="majorHAnsi"/>
          <w:sz w:val="24"/>
          <w:szCs w:val="24"/>
          <w:lang w:val="ro-MD"/>
        </w:rPr>
        <w:t>are instituit</w:t>
      </w:r>
      <w:r w:rsidR="006B09E6" w:rsidRPr="00C05E71">
        <w:rPr>
          <w:rFonts w:asciiTheme="majorHAnsi" w:eastAsia="Calibri" w:hAnsiTheme="majorHAnsi" w:cstheme="majorHAnsi"/>
          <w:sz w:val="24"/>
          <w:szCs w:val="24"/>
          <w:vertAlign w:val="superscript"/>
          <w:lang w:val="ro-MD"/>
        </w:rPr>
        <w:footnoteReference w:id="30"/>
      </w:r>
      <w:r w:rsidR="006B09E6" w:rsidRPr="00C05E71">
        <w:rPr>
          <w:rFonts w:asciiTheme="majorHAnsi" w:eastAsia="Calibri" w:hAnsiTheme="majorHAnsi" w:cstheme="majorHAnsi"/>
          <w:sz w:val="24"/>
          <w:szCs w:val="24"/>
          <w:lang w:val="ro-MD"/>
        </w:rPr>
        <w:t xml:space="preserve"> un sistem de control intern managerial</w:t>
      </w:r>
      <w:r w:rsidR="006B09E6" w:rsidRPr="00C05E71">
        <w:rPr>
          <w:rFonts w:asciiTheme="majorHAnsi" w:eastAsia="Calibri" w:hAnsiTheme="majorHAnsi" w:cstheme="majorHAnsi"/>
          <w:sz w:val="24"/>
          <w:szCs w:val="24"/>
          <w:vertAlign w:val="superscript"/>
          <w:lang w:val="ro-MD"/>
        </w:rPr>
        <w:footnoteReference w:id="31"/>
      </w:r>
      <w:r w:rsidR="006B09E6" w:rsidRPr="00C05E71">
        <w:rPr>
          <w:rFonts w:asciiTheme="majorHAnsi" w:eastAsia="Calibri" w:hAnsiTheme="majorHAnsi" w:cstheme="majorHAnsi"/>
          <w:sz w:val="24"/>
          <w:szCs w:val="24"/>
          <w:lang w:val="ro-MD"/>
        </w:rPr>
        <w:t xml:space="preserve">, acesta nu asigură pe deplin funcționalitatea controalelor-cheie, precum și identificarea și gestionarea unor riscuri specifice aferente procesului financiar-contabil, ceea ce a determinat </w:t>
      </w:r>
      <w:r w:rsidR="00544A6B" w:rsidRPr="00C05E71">
        <w:rPr>
          <w:rFonts w:asciiTheme="majorHAnsi" w:eastAsia="Calibri" w:hAnsiTheme="majorHAnsi" w:cstheme="majorHAnsi"/>
          <w:sz w:val="24"/>
          <w:szCs w:val="24"/>
          <w:lang w:val="ro-MD"/>
        </w:rPr>
        <w:t xml:space="preserve">admiterea </w:t>
      </w:r>
      <w:r w:rsidR="006B09E6" w:rsidRPr="00C05E71">
        <w:rPr>
          <w:rFonts w:asciiTheme="majorHAnsi" w:eastAsia="Calibri" w:hAnsiTheme="majorHAnsi" w:cstheme="majorHAnsi"/>
          <w:sz w:val="24"/>
          <w:szCs w:val="24"/>
          <w:lang w:val="ro-MD"/>
        </w:rPr>
        <w:t>neregularitățil</w:t>
      </w:r>
      <w:r w:rsidR="00544A6B" w:rsidRPr="00C05E71">
        <w:rPr>
          <w:rFonts w:asciiTheme="majorHAnsi" w:eastAsia="Calibri" w:hAnsiTheme="majorHAnsi" w:cstheme="majorHAnsi"/>
          <w:sz w:val="24"/>
          <w:szCs w:val="24"/>
          <w:lang w:val="ro-MD"/>
        </w:rPr>
        <w:t>or</w:t>
      </w:r>
      <w:r w:rsidR="006B09E6" w:rsidRPr="00C05E71">
        <w:rPr>
          <w:rFonts w:asciiTheme="majorHAnsi" w:eastAsia="Calibri" w:hAnsiTheme="majorHAnsi" w:cstheme="majorHAnsi"/>
          <w:sz w:val="24"/>
          <w:szCs w:val="24"/>
          <w:lang w:val="ro-MD"/>
        </w:rPr>
        <w:t xml:space="preserve"> constatate de audit. Această situație are ca impa</w:t>
      </w:r>
      <w:r w:rsidR="003506F6" w:rsidRPr="00C05E71">
        <w:rPr>
          <w:rFonts w:asciiTheme="majorHAnsi" w:eastAsia="Calibri" w:hAnsiTheme="majorHAnsi" w:cstheme="majorHAnsi"/>
          <w:sz w:val="24"/>
          <w:szCs w:val="24"/>
          <w:lang w:val="ro-MD"/>
        </w:rPr>
        <w:t>ct o evidență contabilă de</w:t>
      </w:r>
      <w:r w:rsidR="006B09E6" w:rsidRPr="00C05E71">
        <w:rPr>
          <w:rFonts w:asciiTheme="majorHAnsi" w:eastAsia="Calibri" w:hAnsiTheme="majorHAnsi" w:cstheme="majorHAnsi"/>
          <w:sz w:val="24"/>
          <w:szCs w:val="24"/>
          <w:lang w:val="ro-MD"/>
        </w:rPr>
        <w:t xml:space="preserve">ficitară, ale cărei rezultate sunt redate în constatările din </w:t>
      </w:r>
      <w:r w:rsidR="006B09E6" w:rsidRPr="00C05E71">
        <w:rPr>
          <w:rFonts w:asciiTheme="majorHAnsi" w:eastAsia="Calibri" w:hAnsiTheme="majorHAnsi" w:cstheme="majorHAnsi"/>
          <w:i/>
          <w:sz w:val="24"/>
          <w:szCs w:val="24"/>
          <w:lang w:val="ro-MD"/>
        </w:rPr>
        <w:t xml:space="preserve">Baza pentru opinia </w:t>
      </w:r>
      <w:r w:rsidR="003E798B" w:rsidRPr="00C05E71">
        <w:rPr>
          <w:rFonts w:asciiTheme="majorHAnsi" w:eastAsia="Calibri" w:hAnsiTheme="majorHAnsi" w:cstheme="majorHAnsi"/>
          <w:i/>
          <w:sz w:val="24"/>
          <w:szCs w:val="24"/>
          <w:lang w:val="ro-MD"/>
        </w:rPr>
        <w:t>cu rezerve</w:t>
      </w:r>
      <w:r w:rsidR="006B09E6" w:rsidRPr="00C05E71">
        <w:rPr>
          <w:rFonts w:asciiTheme="majorHAnsi" w:eastAsia="Calibri" w:hAnsiTheme="majorHAnsi" w:cstheme="majorHAnsi"/>
          <w:i/>
          <w:sz w:val="24"/>
          <w:szCs w:val="24"/>
          <w:lang w:val="ro-MD"/>
        </w:rPr>
        <w:t xml:space="preserve"> </w:t>
      </w:r>
      <w:r w:rsidR="006B09E6" w:rsidRPr="00C05E71">
        <w:rPr>
          <w:rFonts w:asciiTheme="majorHAnsi" w:eastAsia="Calibri" w:hAnsiTheme="majorHAnsi" w:cstheme="majorHAnsi"/>
          <w:sz w:val="24"/>
          <w:szCs w:val="24"/>
          <w:lang w:val="ro-MD"/>
        </w:rPr>
        <w:t>și în alte secțiuni ale Raportului de audit.</w:t>
      </w:r>
    </w:p>
    <w:p w14:paraId="448D2869" w14:textId="2E5CC9CE" w:rsidR="002A7174" w:rsidRPr="00C05E71" w:rsidRDefault="00713F76" w:rsidP="00C05E71">
      <w:pPr>
        <w:tabs>
          <w:tab w:val="left" w:pos="270"/>
        </w:tabs>
        <w:spacing w:after="0" w:line="276" w:lineRule="auto"/>
        <w:jc w:val="both"/>
        <w:rPr>
          <w:rFonts w:asciiTheme="majorHAnsi" w:hAnsiTheme="majorHAnsi" w:cstheme="majorHAnsi"/>
          <w:sz w:val="24"/>
          <w:szCs w:val="24"/>
          <w:lang w:val="ro-MD"/>
        </w:rPr>
      </w:pPr>
      <w:r w:rsidRPr="00C05E71">
        <w:rPr>
          <w:rFonts w:asciiTheme="majorHAnsi" w:hAnsiTheme="majorHAnsi" w:cstheme="majorHAnsi"/>
          <w:b/>
          <w:sz w:val="24"/>
          <w:szCs w:val="24"/>
          <w:lang w:val="ro-MD"/>
        </w:rPr>
        <w:t>6</w:t>
      </w:r>
      <w:r w:rsidR="002A7174" w:rsidRPr="00C05E71">
        <w:rPr>
          <w:rFonts w:asciiTheme="majorHAnsi" w:hAnsiTheme="majorHAnsi" w:cstheme="majorHAnsi"/>
          <w:b/>
          <w:sz w:val="24"/>
          <w:szCs w:val="24"/>
          <w:lang w:val="ro-MD"/>
        </w:rPr>
        <w:t>.2.</w:t>
      </w:r>
      <w:r w:rsidR="002A7174" w:rsidRPr="00C05E71">
        <w:rPr>
          <w:rFonts w:asciiTheme="majorHAnsi" w:hAnsiTheme="majorHAnsi" w:cstheme="majorHAnsi"/>
          <w:sz w:val="24"/>
          <w:szCs w:val="24"/>
          <w:lang w:val="ro-MD"/>
        </w:rPr>
        <w:t xml:space="preserve"> </w:t>
      </w:r>
      <w:r w:rsidR="003506F6" w:rsidRPr="00C05E71">
        <w:rPr>
          <w:rFonts w:asciiTheme="majorHAnsi" w:hAnsiTheme="majorHAnsi" w:cstheme="majorHAnsi"/>
          <w:sz w:val="24"/>
          <w:szCs w:val="24"/>
          <w:lang w:val="ro-MD"/>
        </w:rPr>
        <w:t xml:space="preserve">Politicile de contabilitate ale instituțiilor care se consolidează în Raportul UTA Găgăuzia </w:t>
      </w:r>
      <w:r w:rsidR="009D5FCD" w:rsidRPr="00C05E71">
        <w:rPr>
          <w:rFonts w:asciiTheme="majorHAnsi" w:eastAsia="Times New Roman" w:hAnsiTheme="majorHAnsi" w:cstheme="majorHAnsi"/>
          <w:sz w:val="24"/>
          <w:szCs w:val="24"/>
          <w:lang w:val="ro-MD"/>
        </w:rPr>
        <w:t xml:space="preserve">(bugetul central) </w:t>
      </w:r>
      <w:r w:rsidR="003506F6" w:rsidRPr="00C05E71">
        <w:rPr>
          <w:rFonts w:asciiTheme="majorHAnsi" w:hAnsiTheme="majorHAnsi" w:cstheme="majorHAnsi"/>
          <w:sz w:val="24"/>
          <w:szCs w:val="24"/>
          <w:lang w:val="ro-MD"/>
        </w:rPr>
        <w:t>reprezintă un document preluat din cadrul normativ, nefiind ajustate la specificul activității instituționale. Ca rezultat</w:t>
      </w:r>
      <w:r w:rsidR="003E2714" w:rsidRPr="00C05E71">
        <w:rPr>
          <w:rFonts w:asciiTheme="majorHAnsi" w:hAnsiTheme="majorHAnsi" w:cstheme="majorHAnsi"/>
          <w:sz w:val="24"/>
          <w:szCs w:val="24"/>
          <w:lang w:val="ro-MD"/>
        </w:rPr>
        <w:t>,</w:t>
      </w:r>
      <w:r w:rsidR="003506F6" w:rsidRPr="00C05E71">
        <w:rPr>
          <w:rFonts w:asciiTheme="majorHAnsi" w:hAnsiTheme="majorHAnsi" w:cstheme="majorHAnsi"/>
          <w:sz w:val="24"/>
          <w:szCs w:val="24"/>
          <w:lang w:val="ro-MD"/>
        </w:rPr>
        <w:t xml:space="preserve"> au fost admise nereguli la contabilizarea și raportarea investițiilor și reparațiilor capitale, contabilizarea patrimoniului gestionat de către IMSP, contabilizarea corespunzătoare a cheltuielilor.</w:t>
      </w:r>
    </w:p>
    <w:p w14:paraId="76540A59" w14:textId="5781AEA8" w:rsidR="002A7174" w:rsidRPr="00C05E71" w:rsidRDefault="00713F76" w:rsidP="00C05E71">
      <w:pPr>
        <w:spacing w:after="0" w:line="276" w:lineRule="auto"/>
        <w:jc w:val="both"/>
        <w:rPr>
          <w:rFonts w:asciiTheme="majorHAnsi" w:eastAsia="Times New Roman" w:hAnsiTheme="majorHAnsi" w:cstheme="majorHAnsi"/>
          <w:sz w:val="24"/>
          <w:szCs w:val="24"/>
          <w:lang w:val="ro-MD"/>
        </w:rPr>
      </w:pPr>
      <w:r w:rsidRPr="00C05E71">
        <w:rPr>
          <w:rFonts w:asciiTheme="majorHAnsi" w:hAnsiTheme="majorHAnsi" w:cstheme="majorHAnsi"/>
          <w:b/>
          <w:sz w:val="24"/>
          <w:szCs w:val="24"/>
          <w:lang w:val="ro-MD"/>
        </w:rPr>
        <w:t>6</w:t>
      </w:r>
      <w:r w:rsidR="002A7174" w:rsidRPr="00C05E71">
        <w:rPr>
          <w:rFonts w:asciiTheme="majorHAnsi" w:hAnsiTheme="majorHAnsi" w:cstheme="majorHAnsi"/>
          <w:b/>
          <w:sz w:val="24"/>
          <w:szCs w:val="24"/>
          <w:lang w:val="ro-MD"/>
        </w:rPr>
        <w:t>.3.</w:t>
      </w:r>
      <w:r w:rsidR="002A7174" w:rsidRPr="00C05E71">
        <w:rPr>
          <w:rFonts w:asciiTheme="majorHAnsi" w:hAnsiTheme="majorHAnsi" w:cstheme="majorHAnsi"/>
          <w:sz w:val="24"/>
          <w:szCs w:val="24"/>
          <w:lang w:val="ro-MD"/>
        </w:rPr>
        <w:t xml:space="preserve"> </w:t>
      </w:r>
      <w:r w:rsidR="00A60D75" w:rsidRPr="00C05E71">
        <w:rPr>
          <w:rFonts w:asciiTheme="majorHAnsi" w:eastAsia="Times New Roman" w:hAnsiTheme="majorHAnsi" w:cstheme="majorHAnsi"/>
          <w:sz w:val="24"/>
          <w:szCs w:val="24"/>
          <w:lang w:val="ro-MD"/>
        </w:rPr>
        <w:t xml:space="preserve">În vederea remedierii erorilor constatate în </w:t>
      </w:r>
      <w:r w:rsidR="003E2714" w:rsidRPr="00C05E71">
        <w:rPr>
          <w:rFonts w:asciiTheme="majorHAnsi" w:eastAsia="Times New Roman" w:hAnsiTheme="majorHAnsi" w:cstheme="majorHAnsi"/>
          <w:sz w:val="24"/>
          <w:szCs w:val="24"/>
          <w:lang w:val="ro-MD"/>
        </w:rPr>
        <w:t xml:space="preserve">cadrul </w:t>
      </w:r>
      <w:r w:rsidR="00A60D75" w:rsidRPr="00C05E71">
        <w:rPr>
          <w:rFonts w:asciiTheme="majorHAnsi" w:eastAsia="Times New Roman" w:hAnsiTheme="majorHAnsi" w:cstheme="majorHAnsi"/>
          <w:sz w:val="24"/>
          <w:szCs w:val="24"/>
          <w:lang w:val="ro-MD"/>
        </w:rPr>
        <w:t>misiun</w:t>
      </w:r>
      <w:r w:rsidR="003E2714" w:rsidRPr="00C05E71">
        <w:rPr>
          <w:rFonts w:asciiTheme="majorHAnsi" w:eastAsia="Times New Roman" w:hAnsiTheme="majorHAnsi" w:cstheme="majorHAnsi"/>
          <w:sz w:val="24"/>
          <w:szCs w:val="24"/>
          <w:lang w:val="ro-MD"/>
        </w:rPr>
        <w:t>ii</w:t>
      </w:r>
      <w:r w:rsidR="00A60D75" w:rsidRPr="00C05E71">
        <w:rPr>
          <w:rFonts w:asciiTheme="majorHAnsi" w:eastAsia="Times New Roman" w:hAnsiTheme="majorHAnsi" w:cstheme="majorHAnsi"/>
          <w:sz w:val="24"/>
          <w:szCs w:val="24"/>
          <w:lang w:val="ro-MD"/>
        </w:rPr>
        <w:t xml:space="preserve"> de audit</w:t>
      </w:r>
      <w:r w:rsidR="00D4345D" w:rsidRPr="00C05E71">
        <w:rPr>
          <w:rFonts w:asciiTheme="majorHAnsi" w:eastAsia="Times New Roman" w:hAnsiTheme="majorHAnsi" w:cstheme="majorHAnsi"/>
          <w:sz w:val="24"/>
          <w:szCs w:val="24"/>
          <w:lang w:val="ro-MD"/>
        </w:rPr>
        <w:t xml:space="preserve"> precedent</w:t>
      </w:r>
      <w:r w:rsidR="003E2714" w:rsidRPr="00C05E71">
        <w:rPr>
          <w:rFonts w:asciiTheme="majorHAnsi" w:eastAsia="Times New Roman" w:hAnsiTheme="majorHAnsi" w:cstheme="majorHAnsi"/>
          <w:sz w:val="24"/>
          <w:szCs w:val="24"/>
          <w:lang w:val="ro-MD"/>
        </w:rPr>
        <w:t>e</w:t>
      </w:r>
      <w:r w:rsidR="00A60D75" w:rsidRPr="00C05E71">
        <w:rPr>
          <w:rFonts w:asciiTheme="majorHAnsi" w:eastAsia="Times New Roman" w:hAnsiTheme="majorHAnsi" w:cstheme="majorHAnsi"/>
          <w:sz w:val="24"/>
          <w:szCs w:val="24"/>
          <w:lang w:val="ro-MD"/>
        </w:rPr>
        <w:t>, Curtea de Conturi, prin Hotărârea nr.50 din 23.07.2018</w:t>
      </w:r>
      <w:r w:rsidR="00D4345D" w:rsidRPr="00C05E71">
        <w:rPr>
          <w:rFonts w:asciiTheme="majorHAnsi" w:eastAsia="Times New Roman" w:hAnsiTheme="majorHAnsi" w:cstheme="majorHAnsi"/>
          <w:sz w:val="24"/>
          <w:szCs w:val="24"/>
          <w:lang w:val="ro-MD"/>
        </w:rPr>
        <w:t>,</w:t>
      </w:r>
      <w:r w:rsidR="00A60D75" w:rsidRPr="00C05E71">
        <w:rPr>
          <w:rFonts w:asciiTheme="majorHAnsi" w:eastAsia="Times New Roman" w:hAnsiTheme="majorHAnsi" w:cstheme="majorHAnsi"/>
          <w:sz w:val="24"/>
          <w:szCs w:val="24"/>
          <w:lang w:val="ro-MD"/>
        </w:rPr>
        <w:t xml:space="preserve"> a înaintat </w:t>
      </w:r>
      <w:r w:rsidR="00183D3F" w:rsidRPr="00C05E71">
        <w:rPr>
          <w:rFonts w:asciiTheme="majorHAnsi" w:eastAsia="Times New Roman" w:hAnsiTheme="majorHAnsi" w:cstheme="majorHAnsi"/>
          <w:sz w:val="24"/>
          <w:szCs w:val="24"/>
          <w:lang w:val="ro-MD"/>
        </w:rPr>
        <w:t>Comitetului Executiv</w:t>
      </w:r>
      <w:r w:rsidR="00173739" w:rsidRPr="00C05E71">
        <w:rPr>
          <w:rFonts w:asciiTheme="majorHAnsi" w:eastAsia="Times New Roman" w:hAnsiTheme="majorHAnsi" w:cstheme="majorHAnsi"/>
          <w:sz w:val="24"/>
          <w:szCs w:val="24"/>
          <w:lang w:val="ro-MD"/>
        </w:rPr>
        <w:t xml:space="preserve"> și</w:t>
      </w:r>
      <w:r w:rsidR="00183D3F" w:rsidRPr="00C05E71">
        <w:rPr>
          <w:rFonts w:asciiTheme="majorHAnsi" w:eastAsia="Times New Roman" w:hAnsiTheme="majorHAnsi" w:cstheme="majorHAnsi"/>
          <w:sz w:val="24"/>
          <w:szCs w:val="24"/>
          <w:lang w:val="ro-MD"/>
        </w:rPr>
        <w:t xml:space="preserve"> instituțiilor din subordine </w:t>
      </w:r>
      <w:r w:rsidR="00173739" w:rsidRPr="00C05E71">
        <w:rPr>
          <w:rFonts w:asciiTheme="majorHAnsi" w:eastAsia="Times New Roman" w:hAnsiTheme="majorHAnsi" w:cstheme="majorHAnsi"/>
          <w:iCs/>
          <w:sz w:val="24"/>
          <w:szCs w:val="24"/>
          <w:lang w:val="ro-MD"/>
        </w:rPr>
        <w:t>15</w:t>
      </w:r>
      <w:r w:rsidR="00183D3F" w:rsidRPr="00C05E71">
        <w:rPr>
          <w:rFonts w:asciiTheme="majorHAnsi" w:eastAsia="Times New Roman" w:hAnsiTheme="majorHAnsi" w:cstheme="majorHAnsi"/>
          <w:sz w:val="24"/>
          <w:szCs w:val="24"/>
          <w:lang w:val="ro-MD"/>
        </w:rPr>
        <w:t xml:space="preserve"> cerințe</w:t>
      </w:r>
      <w:r w:rsidR="00A60D75" w:rsidRPr="00C05E71">
        <w:rPr>
          <w:rFonts w:asciiTheme="majorHAnsi" w:eastAsia="Times New Roman" w:hAnsiTheme="majorHAnsi" w:cstheme="majorHAnsi"/>
          <w:sz w:val="24"/>
          <w:szCs w:val="24"/>
          <w:lang w:val="ro-MD"/>
        </w:rPr>
        <w:t xml:space="preserve"> și </w:t>
      </w:r>
      <w:r w:rsidR="00173739" w:rsidRPr="00C05E71">
        <w:rPr>
          <w:rFonts w:asciiTheme="majorHAnsi" w:eastAsia="Times New Roman" w:hAnsiTheme="majorHAnsi" w:cstheme="majorHAnsi"/>
          <w:sz w:val="24"/>
          <w:szCs w:val="24"/>
          <w:lang w:val="ro-MD"/>
        </w:rPr>
        <w:t>31</w:t>
      </w:r>
      <w:r w:rsidR="00183D3F" w:rsidRPr="00C05E71">
        <w:rPr>
          <w:rFonts w:asciiTheme="majorHAnsi" w:eastAsia="Times New Roman" w:hAnsiTheme="majorHAnsi" w:cstheme="majorHAnsi"/>
          <w:sz w:val="24"/>
          <w:szCs w:val="24"/>
          <w:lang w:val="ro-MD"/>
        </w:rPr>
        <w:t xml:space="preserve"> </w:t>
      </w:r>
      <w:r w:rsidR="003E2714" w:rsidRPr="00C05E71">
        <w:rPr>
          <w:rFonts w:asciiTheme="majorHAnsi" w:eastAsia="Times New Roman" w:hAnsiTheme="majorHAnsi" w:cstheme="majorHAnsi"/>
          <w:sz w:val="24"/>
          <w:szCs w:val="24"/>
          <w:lang w:val="ro-MD"/>
        </w:rPr>
        <w:t xml:space="preserve">de </w:t>
      </w:r>
      <w:r w:rsidR="00A60D75" w:rsidRPr="00C05E71">
        <w:rPr>
          <w:rFonts w:asciiTheme="majorHAnsi" w:eastAsia="Times New Roman" w:hAnsiTheme="majorHAnsi" w:cstheme="majorHAnsi"/>
          <w:sz w:val="24"/>
          <w:szCs w:val="24"/>
          <w:lang w:val="ro-MD"/>
        </w:rPr>
        <w:t>recomandări</w:t>
      </w:r>
      <w:r w:rsidR="00D4345D" w:rsidRPr="00C05E71">
        <w:rPr>
          <w:rFonts w:asciiTheme="majorHAnsi" w:eastAsia="Times New Roman" w:hAnsiTheme="majorHAnsi" w:cstheme="majorHAnsi"/>
          <w:sz w:val="24"/>
          <w:szCs w:val="24"/>
          <w:lang w:val="ro-MD"/>
        </w:rPr>
        <w:t>,</w:t>
      </w:r>
      <w:r w:rsidR="00A60D75" w:rsidRPr="00C05E71">
        <w:rPr>
          <w:rFonts w:asciiTheme="majorHAnsi" w:eastAsia="Times New Roman" w:hAnsiTheme="majorHAnsi" w:cstheme="majorHAnsi"/>
          <w:sz w:val="24"/>
          <w:szCs w:val="24"/>
          <w:lang w:val="ro-MD"/>
        </w:rPr>
        <w:t xml:space="preserve"> </w:t>
      </w:r>
      <w:r w:rsidR="00A60D75" w:rsidRPr="00C05E71">
        <w:rPr>
          <w:rFonts w:asciiTheme="majorHAnsi" w:hAnsiTheme="majorHAnsi" w:cstheme="majorHAnsi"/>
          <w:color w:val="000000" w:themeColor="text1"/>
          <w:sz w:val="24"/>
          <w:szCs w:val="24"/>
          <w:lang w:val="ro-MD"/>
        </w:rPr>
        <w:t>dintre care</w:t>
      </w:r>
      <w:r w:rsidR="00D4345D" w:rsidRPr="00C05E71">
        <w:rPr>
          <w:rFonts w:asciiTheme="majorHAnsi" w:hAnsiTheme="majorHAnsi" w:cstheme="majorHAnsi"/>
          <w:color w:val="000000" w:themeColor="text1"/>
          <w:sz w:val="24"/>
          <w:szCs w:val="24"/>
          <w:lang w:val="ro-MD"/>
        </w:rPr>
        <w:t>:</w:t>
      </w:r>
      <w:r w:rsidR="00183D3F" w:rsidRPr="00C05E71">
        <w:rPr>
          <w:rFonts w:asciiTheme="majorHAnsi" w:eastAsia="Times New Roman" w:hAnsiTheme="majorHAnsi" w:cstheme="majorHAnsi"/>
          <w:sz w:val="24"/>
          <w:szCs w:val="24"/>
          <w:lang w:val="ro-MD"/>
        </w:rPr>
        <w:t xml:space="preserve"> </w:t>
      </w:r>
      <w:r w:rsidR="00173739" w:rsidRPr="00C05E71">
        <w:rPr>
          <w:rFonts w:asciiTheme="majorHAnsi" w:eastAsia="Times New Roman" w:hAnsiTheme="majorHAnsi" w:cstheme="majorHAnsi"/>
          <w:sz w:val="24"/>
          <w:szCs w:val="24"/>
          <w:lang w:val="ro-MD"/>
        </w:rPr>
        <w:t>5</w:t>
      </w:r>
      <w:r w:rsidR="00A60D75" w:rsidRPr="00C05E71">
        <w:rPr>
          <w:rFonts w:asciiTheme="majorHAnsi" w:eastAsia="Times New Roman" w:hAnsiTheme="majorHAnsi" w:cstheme="majorHAnsi"/>
          <w:sz w:val="24"/>
          <w:szCs w:val="24"/>
          <w:lang w:val="ro-MD"/>
        </w:rPr>
        <w:t xml:space="preserve"> </w:t>
      </w:r>
      <w:r w:rsidR="00173739" w:rsidRPr="00C05E71">
        <w:rPr>
          <w:rFonts w:asciiTheme="majorHAnsi" w:eastAsia="Times New Roman" w:hAnsiTheme="majorHAnsi" w:cstheme="majorHAnsi"/>
          <w:sz w:val="24"/>
          <w:szCs w:val="24"/>
          <w:lang w:val="ro-MD"/>
        </w:rPr>
        <w:t xml:space="preserve">cerințe și recomandări </w:t>
      </w:r>
      <w:r w:rsidR="00A60D75" w:rsidRPr="00C05E71">
        <w:rPr>
          <w:rFonts w:asciiTheme="majorHAnsi" w:eastAsia="Times New Roman" w:hAnsiTheme="majorHAnsi" w:cstheme="majorHAnsi"/>
          <w:sz w:val="24"/>
          <w:szCs w:val="24"/>
          <w:lang w:val="ro-MD"/>
        </w:rPr>
        <w:t xml:space="preserve">au fost </w:t>
      </w:r>
      <w:r w:rsidR="00173739" w:rsidRPr="00C05E71">
        <w:rPr>
          <w:rFonts w:asciiTheme="majorHAnsi" w:eastAsia="Times New Roman" w:hAnsiTheme="majorHAnsi" w:cstheme="majorHAnsi"/>
          <w:sz w:val="24"/>
          <w:szCs w:val="24"/>
          <w:lang w:val="ro-MD"/>
        </w:rPr>
        <w:t>implementate</w:t>
      </w:r>
      <w:r w:rsidR="00A60D75" w:rsidRPr="00C05E71">
        <w:rPr>
          <w:rFonts w:asciiTheme="majorHAnsi" w:eastAsia="Times New Roman" w:hAnsiTheme="majorHAnsi" w:cstheme="majorHAnsi"/>
          <w:sz w:val="24"/>
          <w:szCs w:val="24"/>
          <w:lang w:val="ro-MD"/>
        </w:rPr>
        <w:t xml:space="preserve">, </w:t>
      </w:r>
      <w:r w:rsidR="00173739" w:rsidRPr="00C05E71">
        <w:rPr>
          <w:rFonts w:asciiTheme="majorHAnsi" w:eastAsia="Times New Roman" w:hAnsiTheme="majorHAnsi" w:cstheme="majorHAnsi"/>
          <w:sz w:val="24"/>
          <w:szCs w:val="24"/>
          <w:lang w:val="ro-MD"/>
        </w:rPr>
        <w:t xml:space="preserve">32 - </w:t>
      </w:r>
      <w:r w:rsidR="00183D3F" w:rsidRPr="00C05E71">
        <w:rPr>
          <w:rFonts w:asciiTheme="majorHAnsi" w:eastAsia="Times New Roman" w:hAnsiTheme="majorHAnsi" w:cstheme="majorHAnsi"/>
          <w:sz w:val="24"/>
          <w:szCs w:val="24"/>
          <w:lang w:val="ro-MD"/>
        </w:rPr>
        <w:t>parțial implementate</w:t>
      </w:r>
      <w:r w:rsidR="003E2714" w:rsidRPr="00C05E71">
        <w:rPr>
          <w:rFonts w:asciiTheme="majorHAnsi" w:eastAsia="Times New Roman" w:hAnsiTheme="majorHAnsi" w:cstheme="majorHAnsi"/>
          <w:sz w:val="24"/>
          <w:szCs w:val="24"/>
          <w:lang w:val="ro-MD"/>
        </w:rPr>
        <w:t xml:space="preserve">, </w:t>
      </w:r>
      <w:r w:rsidR="00173739" w:rsidRPr="00C05E71">
        <w:rPr>
          <w:rFonts w:asciiTheme="majorHAnsi" w:eastAsia="Times New Roman" w:hAnsiTheme="majorHAnsi" w:cstheme="majorHAnsi"/>
          <w:sz w:val="24"/>
          <w:szCs w:val="24"/>
          <w:lang w:val="ro-MD"/>
        </w:rPr>
        <w:t>3</w:t>
      </w:r>
      <w:r w:rsidR="00A60D75" w:rsidRPr="00C05E71">
        <w:rPr>
          <w:rFonts w:asciiTheme="majorHAnsi" w:eastAsia="Times New Roman" w:hAnsiTheme="majorHAnsi" w:cstheme="majorHAnsi"/>
          <w:sz w:val="24"/>
          <w:szCs w:val="24"/>
          <w:lang w:val="ro-MD"/>
        </w:rPr>
        <w:t xml:space="preserve"> – neimplementate</w:t>
      </w:r>
      <w:r w:rsidR="00173739" w:rsidRPr="00C05E71">
        <w:rPr>
          <w:rFonts w:asciiTheme="majorHAnsi" w:eastAsia="Times New Roman" w:hAnsiTheme="majorHAnsi" w:cstheme="majorHAnsi"/>
          <w:sz w:val="24"/>
          <w:szCs w:val="24"/>
          <w:lang w:val="ro-MD"/>
        </w:rPr>
        <w:t xml:space="preserve">, iar 4 – </w:t>
      </w:r>
      <w:r w:rsidR="003E2714" w:rsidRPr="00C05E71">
        <w:rPr>
          <w:rFonts w:asciiTheme="majorHAnsi" w:eastAsia="Times New Roman" w:hAnsiTheme="majorHAnsi" w:cstheme="majorHAnsi"/>
          <w:sz w:val="24"/>
          <w:szCs w:val="24"/>
          <w:lang w:val="ro-MD"/>
        </w:rPr>
        <w:t>și-</w:t>
      </w:r>
      <w:r w:rsidR="00173739" w:rsidRPr="00C05E71">
        <w:rPr>
          <w:rFonts w:asciiTheme="majorHAnsi" w:eastAsia="Times New Roman" w:hAnsiTheme="majorHAnsi" w:cstheme="majorHAnsi"/>
          <w:sz w:val="24"/>
          <w:szCs w:val="24"/>
          <w:lang w:val="ro-MD"/>
        </w:rPr>
        <w:t xml:space="preserve">au pierdut actualitatea. </w:t>
      </w:r>
      <w:r w:rsidR="00183D3F" w:rsidRPr="00C05E71">
        <w:rPr>
          <w:rFonts w:asciiTheme="majorHAnsi" w:eastAsia="Times New Roman" w:hAnsiTheme="majorHAnsi" w:cstheme="majorHAnsi"/>
          <w:sz w:val="24"/>
          <w:szCs w:val="24"/>
          <w:lang w:val="ro-MD"/>
        </w:rPr>
        <w:t xml:space="preserve"> Comitetul Executiv a înregistrat un nivel mediu de implementare a recomandărilor înaintate de Curtea de Conturi</w:t>
      </w:r>
      <w:r w:rsidR="00173739" w:rsidRPr="00C05E71">
        <w:rPr>
          <w:rFonts w:asciiTheme="majorHAnsi" w:eastAsia="Times New Roman" w:hAnsiTheme="majorHAnsi" w:cstheme="majorHAnsi"/>
          <w:sz w:val="24"/>
          <w:szCs w:val="24"/>
          <w:lang w:val="ro-MD"/>
        </w:rPr>
        <w:t>.</w:t>
      </w:r>
      <w:r w:rsidR="00821381" w:rsidRPr="00C05E71">
        <w:rPr>
          <w:rFonts w:asciiTheme="majorHAnsi" w:eastAsia="Times New Roman" w:hAnsiTheme="majorHAnsi" w:cstheme="majorHAnsi"/>
          <w:sz w:val="24"/>
          <w:szCs w:val="24"/>
          <w:lang w:val="ro-MD"/>
        </w:rPr>
        <w:t xml:space="preserve"> </w:t>
      </w:r>
    </w:p>
    <w:p w14:paraId="111E001B" w14:textId="77B4505B" w:rsidR="005E48D8" w:rsidRPr="00C05E71" w:rsidRDefault="00713F76" w:rsidP="00C05E71">
      <w:pPr>
        <w:spacing w:after="0" w:line="276" w:lineRule="auto"/>
        <w:jc w:val="both"/>
        <w:rPr>
          <w:rFonts w:asciiTheme="majorHAnsi" w:hAnsiTheme="majorHAnsi" w:cstheme="majorHAnsi"/>
          <w:color w:val="000000" w:themeColor="text1"/>
          <w:sz w:val="24"/>
          <w:szCs w:val="24"/>
          <w:lang w:val="ro-MD"/>
        </w:rPr>
      </w:pPr>
      <w:r w:rsidRPr="00C05E71">
        <w:rPr>
          <w:rFonts w:asciiTheme="majorHAnsi" w:eastAsia="Times New Roman" w:hAnsiTheme="majorHAnsi" w:cstheme="majorHAnsi"/>
          <w:b/>
          <w:sz w:val="24"/>
          <w:szCs w:val="24"/>
          <w:lang w:val="ro-MD"/>
        </w:rPr>
        <w:t>6</w:t>
      </w:r>
      <w:r w:rsidR="002A7174" w:rsidRPr="00C05E71">
        <w:rPr>
          <w:rFonts w:asciiTheme="majorHAnsi" w:eastAsia="Times New Roman" w:hAnsiTheme="majorHAnsi" w:cstheme="majorHAnsi"/>
          <w:b/>
          <w:sz w:val="24"/>
          <w:szCs w:val="24"/>
          <w:lang w:val="ro-MD"/>
        </w:rPr>
        <w:t>.</w:t>
      </w:r>
      <w:r w:rsidR="0072787C" w:rsidRPr="00C05E71">
        <w:rPr>
          <w:rFonts w:asciiTheme="majorHAnsi" w:eastAsia="Times New Roman" w:hAnsiTheme="majorHAnsi" w:cstheme="majorHAnsi"/>
          <w:b/>
          <w:sz w:val="24"/>
          <w:szCs w:val="24"/>
          <w:lang w:val="ro-MD"/>
        </w:rPr>
        <w:t>4</w:t>
      </w:r>
      <w:r w:rsidR="002A7174" w:rsidRPr="00C05E71">
        <w:rPr>
          <w:rFonts w:asciiTheme="majorHAnsi" w:eastAsia="Times New Roman" w:hAnsiTheme="majorHAnsi" w:cstheme="majorHAnsi"/>
          <w:sz w:val="24"/>
          <w:szCs w:val="24"/>
          <w:lang w:val="ro-MD"/>
        </w:rPr>
        <w:t xml:space="preserve">. </w:t>
      </w:r>
      <w:r w:rsidR="002A7174" w:rsidRPr="00C05E71">
        <w:rPr>
          <w:rFonts w:asciiTheme="majorHAnsi" w:hAnsiTheme="majorHAnsi" w:cstheme="majorHAnsi"/>
          <w:sz w:val="24"/>
          <w:szCs w:val="24"/>
          <w:lang w:val="ro-MD"/>
        </w:rPr>
        <w:t xml:space="preserve">Pe parcursul misiunii de audit, </w:t>
      </w:r>
      <w:r w:rsidR="005E48D8" w:rsidRPr="00C05E71">
        <w:rPr>
          <w:rFonts w:asciiTheme="majorHAnsi" w:hAnsiTheme="majorHAnsi" w:cstheme="majorHAnsi"/>
          <w:color w:val="000000"/>
          <w:sz w:val="24"/>
          <w:szCs w:val="24"/>
          <w:lang w:val="ro-MD"/>
        </w:rPr>
        <w:t>Comitetul Executiv al Găgăuziei și instituțiile din subordine</w:t>
      </w:r>
      <w:r w:rsidR="002A7174" w:rsidRPr="00C05E71">
        <w:rPr>
          <w:rFonts w:asciiTheme="majorHAnsi" w:eastAsia="Times New Roman" w:hAnsiTheme="majorHAnsi" w:cstheme="majorHAnsi"/>
          <w:iCs/>
          <w:sz w:val="24"/>
          <w:szCs w:val="24"/>
          <w:lang w:val="ro-MD"/>
        </w:rPr>
        <w:t xml:space="preserve"> </w:t>
      </w:r>
      <w:r w:rsidR="002A7174" w:rsidRPr="00C05E71">
        <w:rPr>
          <w:rFonts w:asciiTheme="majorHAnsi" w:hAnsiTheme="majorHAnsi" w:cstheme="majorHAnsi"/>
          <w:color w:val="000000"/>
          <w:sz w:val="24"/>
          <w:szCs w:val="24"/>
          <w:lang w:val="ro-MD"/>
        </w:rPr>
        <w:t>a</w:t>
      </w:r>
      <w:r w:rsidR="005E48D8" w:rsidRPr="00C05E71">
        <w:rPr>
          <w:rFonts w:asciiTheme="majorHAnsi" w:hAnsiTheme="majorHAnsi" w:cstheme="majorHAnsi"/>
          <w:color w:val="000000"/>
          <w:sz w:val="24"/>
          <w:szCs w:val="24"/>
          <w:lang w:val="ro-MD"/>
        </w:rPr>
        <w:t>u</w:t>
      </w:r>
      <w:r w:rsidR="002A7174" w:rsidRPr="00C05E71">
        <w:rPr>
          <w:rFonts w:asciiTheme="majorHAnsi" w:hAnsiTheme="majorHAnsi" w:cstheme="majorHAnsi"/>
          <w:color w:val="000000"/>
          <w:sz w:val="24"/>
          <w:szCs w:val="24"/>
          <w:lang w:val="ro-MD"/>
        </w:rPr>
        <w:t xml:space="preserve"> efectuat unele corectări în evidența contabilă</w:t>
      </w:r>
      <w:r w:rsidR="002A7174" w:rsidRPr="00C05E71">
        <w:rPr>
          <w:rFonts w:asciiTheme="majorHAnsi" w:hAnsiTheme="majorHAnsi" w:cstheme="majorHAnsi"/>
          <w:sz w:val="24"/>
          <w:szCs w:val="24"/>
          <w:lang w:val="ro-MD"/>
        </w:rPr>
        <w:t>,</w:t>
      </w:r>
      <w:r w:rsidR="002A7174" w:rsidRPr="00C05E71">
        <w:rPr>
          <w:rFonts w:asciiTheme="majorHAnsi" w:hAnsiTheme="majorHAnsi" w:cstheme="majorHAnsi"/>
          <w:color w:val="000000"/>
          <w:sz w:val="24"/>
          <w:szCs w:val="24"/>
          <w:lang w:val="ro-MD"/>
        </w:rPr>
        <w:t xml:space="preserve"> fiind </w:t>
      </w:r>
      <w:r w:rsidR="007F6B0A" w:rsidRPr="00C05E71">
        <w:rPr>
          <w:rFonts w:asciiTheme="majorHAnsi" w:hAnsiTheme="majorHAnsi" w:cstheme="majorHAnsi"/>
          <w:color w:val="000000"/>
          <w:sz w:val="24"/>
          <w:szCs w:val="24"/>
          <w:lang w:val="ro-MD"/>
        </w:rPr>
        <w:t xml:space="preserve">majorată valoarea contului 822110 </w:t>
      </w:r>
      <w:r w:rsidR="007F6B0A" w:rsidRPr="00C05E71">
        <w:rPr>
          <w:rFonts w:asciiTheme="majorHAnsi" w:hAnsiTheme="majorHAnsi" w:cstheme="majorHAnsi"/>
          <w:sz w:val="24"/>
          <w:szCs w:val="24"/>
          <w:lang w:val="ro-MD"/>
        </w:rPr>
        <w:t xml:space="preserve">„Active luate în locațiune/arendă” cu </w:t>
      </w:r>
      <w:r w:rsidR="007F6B0A" w:rsidRPr="00C05E71">
        <w:rPr>
          <w:rFonts w:asciiTheme="majorHAnsi" w:hAnsiTheme="majorHAnsi" w:cstheme="majorHAnsi"/>
          <w:b/>
          <w:sz w:val="24"/>
          <w:szCs w:val="24"/>
          <w:lang w:val="ro-MD"/>
        </w:rPr>
        <w:t>8</w:t>
      </w:r>
      <w:r w:rsidR="00827AB0" w:rsidRPr="00C05E71">
        <w:rPr>
          <w:rFonts w:asciiTheme="majorHAnsi" w:hAnsiTheme="majorHAnsi" w:cstheme="majorHAnsi"/>
          <w:b/>
          <w:sz w:val="24"/>
          <w:szCs w:val="24"/>
          <w:lang w:val="ro-MD"/>
        </w:rPr>
        <w:t>361,6</w:t>
      </w:r>
      <w:r w:rsidR="007F6B0A" w:rsidRPr="00C05E71">
        <w:rPr>
          <w:rFonts w:asciiTheme="majorHAnsi" w:hAnsiTheme="majorHAnsi" w:cstheme="majorHAnsi"/>
          <w:b/>
          <w:sz w:val="24"/>
          <w:szCs w:val="24"/>
          <w:lang w:val="ro-MD"/>
        </w:rPr>
        <w:t xml:space="preserve"> mi</w:t>
      </w:r>
      <w:r w:rsidR="00827AB0" w:rsidRPr="00C05E71">
        <w:rPr>
          <w:rFonts w:asciiTheme="majorHAnsi" w:hAnsiTheme="majorHAnsi" w:cstheme="majorHAnsi"/>
          <w:b/>
          <w:sz w:val="24"/>
          <w:szCs w:val="24"/>
          <w:lang w:val="ro-MD"/>
        </w:rPr>
        <w:t>i</w:t>
      </w:r>
      <w:r w:rsidR="007F6B0A" w:rsidRPr="00C05E71">
        <w:rPr>
          <w:rFonts w:asciiTheme="majorHAnsi" w:hAnsiTheme="majorHAnsi" w:cstheme="majorHAnsi"/>
          <w:b/>
          <w:sz w:val="24"/>
          <w:szCs w:val="24"/>
          <w:lang w:val="ro-MD"/>
        </w:rPr>
        <w:t xml:space="preserve"> lei</w:t>
      </w:r>
      <w:r w:rsidR="007F6B0A" w:rsidRPr="00C05E71">
        <w:rPr>
          <w:rFonts w:asciiTheme="majorHAnsi" w:hAnsiTheme="majorHAnsi" w:cstheme="majorHAnsi"/>
          <w:sz w:val="24"/>
          <w:szCs w:val="24"/>
          <w:lang w:val="ro-MD"/>
        </w:rPr>
        <w:t>; restabilită în evidența contabil</w:t>
      </w:r>
      <w:r w:rsidR="003E2714" w:rsidRPr="00C05E71">
        <w:rPr>
          <w:rFonts w:asciiTheme="majorHAnsi" w:hAnsiTheme="majorHAnsi" w:cstheme="majorHAnsi"/>
          <w:sz w:val="24"/>
          <w:szCs w:val="24"/>
          <w:lang w:val="ro-MD"/>
        </w:rPr>
        <w:t>ă</w:t>
      </w:r>
      <w:r w:rsidR="007F6B0A" w:rsidRPr="00C05E71">
        <w:rPr>
          <w:rFonts w:asciiTheme="majorHAnsi" w:hAnsiTheme="majorHAnsi" w:cstheme="majorHAnsi"/>
          <w:sz w:val="24"/>
          <w:szCs w:val="24"/>
          <w:lang w:val="ro-MD"/>
        </w:rPr>
        <w:t xml:space="preserve"> valoarea reparațiilor capitale, trecută la cheltuieli, în sumă de </w:t>
      </w:r>
      <w:r w:rsidR="00C66E2A" w:rsidRPr="00C05E71">
        <w:rPr>
          <w:rFonts w:asciiTheme="majorHAnsi" w:hAnsiTheme="majorHAnsi" w:cstheme="majorHAnsi"/>
          <w:b/>
          <w:sz w:val="24"/>
          <w:szCs w:val="24"/>
          <w:lang w:val="ro-MD"/>
        </w:rPr>
        <w:t>4</w:t>
      </w:r>
      <w:r w:rsidR="00827AB0" w:rsidRPr="00C05E71">
        <w:rPr>
          <w:rFonts w:asciiTheme="majorHAnsi" w:hAnsiTheme="majorHAnsi" w:cstheme="majorHAnsi"/>
          <w:b/>
          <w:sz w:val="24"/>
          <w:szCs w:val="24"/>
          <w:lang w:val="ro-MD"/>
        </w:rPr>
        <w:t>845,0</w:t>
      </w:r>
      <w:r w:rsidR="007F6B0A" w:rsidRPr="00C05E71">
        <w:rPr>
          <w:rFonts w:asciiTheme="majorHAnsi" w:hAnsiTheme="majorHAnsi" w:cstheme="majorHAnsi"/>
          <w:b/>
          <w:sz w:val="24"/>
          <w:szCs w:val="24"/>
          <w:lang w:val="ro-MD"/>
        </w:rPr>
        <w:t xml:space="preserve"> mi</w:t>
      </w:r>
      <w:r w:rsidR="00827AB0" w:rsidRPr="00C05E71">
        <w:rPr>
          <w:rFonts w:asciiTheme="majorHAnsi" w:hAnsiTheme="majorHAnsi" w:cstheme="majorHAnsi"/>
          <w:b/>
          <w:sz w:val="24"/>
          <w:szCs w:val="24"/>
          <w:lang w:val="ro-MD"/>
        </w:rPr>
        <w:t>i</w:t>
      </w:r>
      <w:r w:rsidR="007F6B0A" w:rsidRPr="00C05E71">
        <w:rPr>
          <w:rFonts w:asciiTheme="majorHAnsi" w:hAnsiTheme="majorHAnsi" w:cstheme="majorHAnsi"/>
          <w:b/>
          <w:sz w:val="24"/>
          <w:szCs w:val="24"/>
          <w:lang w:val="ro-MD"/>
        </w:rPr>
        <w:t xml:space="preserve"> lei</w:t>
      </w:r>
      <w:r w:rsidR="007F6B0A" w:rsidRPr="00C05E71">
        <w:rPr>
          <w:rFonts w:asciiTheme="majorHAnsi" w:hAnsiTheme="majorHAnsi" w:cstheme="majorHAnsi"/>
          <w:sz w:val="24"/>
          <w:szCs w:val="24"/>
          <w:lang w:val="ro-MD"/>
        </w:rPr>
        <w:t xml:space="preserve">, </w:t>
      </w:r>
      <w:r w:rsidR="00C66E2A" w:rsidRPr="00C05E71">
        <w:rPr>
          <w:rFonts w:asciiTheme="majorHAnsi" w:hAnsiTheme="majorHAnsi" w:cstheme="majorHAnsi"/>
          <w:sz w:val="24"/>
          <w:szCs w:val="24"/>
          <w:lang w:val="ro-MD"/>
        </w:rPr>
        <w:t xml:space="preserve">și clasificate conform mijloacele fixe în </w:t>
      </w:r>
      <w:r w:rsidR="003E2714" w:rsidRPr="00C05E71">
        <w:rPr>
          <w:rFonts w:asciiTheme="majorHAnsi" w:hAnsiTheme="majorHAnsi" w:cstheme="majorHAnsi"/>
          <w:sz w:val="24"/>
          <w:szCs w:val="24"/>
          <w:lang w:val="ro-MD"/>
        </w:rPr>
        <w:t>valoare</w:t>
      </w:r>
      <w:r w:rsidR="00C66E2A" w:rsidRPr="00C05E71">
        <w:rPr>
          <w:rFonts w:asciiTheme="majorHAnsi" w:hAnsiTheme="majorHAnsi" w:cstheme="majorHAnsi"/>
          <w:sz w:val="24"/>
          <w:szCs w:val="24"/>
          <w:lang w:val="ro-MD"/>
        </w:rPr>
        <w:t xml:space="preserve"> totală de </w:t>
      </w:r>
      <w:r w:rsidR="00C66E2A" w:rsidRPr="00C05E71">
        <w:rPr>
          <w:rFonts w:asciiTheme="majorHAnsi" w:hAnsiTheme="majorHAnsi" w:cstheme="majorHAnsi"/>
          <w:b/>
          <w:sz w:val="24"/>
          <w:szCs w:val="24"/>
          <w:lang w:val="ro-MD"/>
        </w:rPr>
        <w:t>2</w:t>
      </w:r>
      <w:r w:rsidR="00827AB0" w:rsidRPr="00C05E71">
        <w:rPr>
          <w:rFonts w:asciiTheme="majorHAnsi" w:hAnsiTheme="majorHAnsi" w:cstheme="majorHAnsi"/>
          <w:b/>
          <w:sz w:val="24"/>
          <w:szCs w:val="24"/>
          <w:lang w:val="ro-MD"/>
        </w:rPr>
        <w:t>699,8</w:t>
      </w:r>
      <w:r w:rsidR="00C66E2A" w:rsidRPr="00C05E71">
        <w:rPr>
          <w:rFonts w:asciiTheme="majorHAnsi" w:hAnsiTheme="majorHAnsi" w:cstheme="majorHAnsi"/>
          <w:b/>
          <w:sz w:val="24"/>
          <w:szCs w:val="24"/>
          <w:lang w:val="ro-MD"/>
        </w:rPr>
        <w:t xml:space="preserve"> mi</w:t>
      </w:r>
      <w:r w:rsidR="00827AB0" w:rsidRPr="00C05E71">
        <w:rPr>
          <w:rFonts w:asciiTheme="majorHAnsi" w:hAnsiTheme="majorHAnsi" w:cstheme="majorHAnsi"/>
          <w:b/>
          <w:sz w:val="24"/>
          <w:szCs w:val="24"/>
          <w:lang w:val="ro-MD"/>
        </w:rPr>
        <w:t>i</w:t>
      </w:r>
      <w:r w:rsidR="00C66E2A" w:rsidRPr="00C05E71">
        <w:rPr>
          <w:rFonts w:asciiTheme="majorHAnsi" w:hAnsiTheme="majorHAnsi" w:cstheme="majorHAnsi"/>
          <w:b/>
          <w:sz w:val="24"/>
          <w:szCs w:val="24"/>
          <w:lang w:val="ro-MD"/>
        </w:rPr>
        <w:t xml:space="preserve"> lei</w:t>
      </w:r>
      <w:r w:rsidR="003E2714" w:rsidRPr="00C05E71">
        <w:rPr>
          <w:rFonts w:asciiTheme="majorHAnsi" w:hAnsiTheme="majorHAnsi" w:cstheme="majorHAnsi"/>
          <w:sz w:val="24"/>
          <w:szCs w:val="24"/>
          <w:lang w:val="ro-MD"/>
        </w:rPr>
        <w:t xml:space="preserve">; </w:t>
      </w:r>
      <w:r w:rsidR="007F6B0A" w:rsidRPr="00C05E71">
        <w:rPr>
          <w:rFonts w:asciiTheme="majorHAnsi" w:hAnsiTheme="majorHAnsi" w:cstheme="majorHAnsi"/>
          <w:sz w:val="24"/>
          <w:szCs w:val="24"/>
          <w:lang w:val="ro-MD"/>
        </w:rPr>
        <w:t>majorat</w:t>
      </w:r>
      <w:r w:rsidR="003E2714" w:rsidRPr="00C05E71">
        <w:rPr>
          <w:rFonts w:asciiTheme="majorHAnsi" w:hAnsiTheme="majorHAnsi" w:cstheme="majorHAnsi"/>
          <w:sz w:val="24"/>
          <w:szCs w:val="24"/>
          <w:lang w:val="ro-MD"/>
        </w:rPr>
        <w:t>ă valoarea</w:t>
      </w:r>
      <w:r w:rsidR="007F6B0A" w:rsidRPr="00C05E71">
        <w:rPr>
          <w:rFonts w:asciiTheme="majorHAnsi" w:hAnsiTheme="majorHAnsi" w:cstheme="majorHAnsi"/>
          <w:sz w:val="24"/>
          <w:szCs w:val="24"/>
          <w:lang w:val="ro-MD"/>
        </w:rPr>
        <w:t xml:space="preserve"> contul</w:t>
      </w:r>
      <w:r w:rsidR="003E2714" w:rsidRPr="00C05E71">
        <w:rPr>
          <w:rFonts w:asciiTheme="majorHAnsi" w:hAnsiTheme="majorHAnsi" w:cstheme="majorHAnsi"/>
          <w:sz w:val="24"/>
          <w:szCs w:val="24"/>
          <w:lang w:val="ro-MD"/>
        </w:rPr>
        <w:t>ui</w:t>
      </w:r>
      <w:r w:rsidR="007F6B0A" w:rsidRPr="00C05E71">
        <w:rPr>
          <w:rFonts w:asciiTheme="majorHAnsi" w:hAnsiTheme="majorHAnsi" w:cstheme="majorHAnsi"/>
          <w:sz w:val="24"/>
          <w:szCs w:val="24"/>
          <w:lang w:val="ro-MD"/>
        </w:rPr>
        <w:t xml:space="preserve"> 319 „Investiții capitale în active în curs </w:t>
      </w:r>
      <w:r w:rsidR="007F6B0A" w:rsidRPr="00C05E71">
        <w:rPr>
          <w:rFonts w:asciiTheme="majorHAnsi" w:hAnsiTheme="majorHAnsi" w:cstheme="majorHAnsi"/>
          <w:sz w:val="24"/>
          <w:szCs w:val="24"/>
          <w:lang w:val="ro-MD"/>
        </w:rPr>
        <w:lastRenderedPageBreak/>
        <w:t xml:space="preserve">de execuție” </w:t>
      </w:r>
      <w:r w:rsidR="003E2714" w:rsidRPr="00C05E71">
        <w:rPr>
          <w:rFonts w:asciiTheme="majorHAnsi" w:hAnsiTheme="majorHAnsi" w:cstheme="majorHAnsi"/>
          <w:sz w:val="24"/>
          <w:szCs w:val="24"/>
          <w:lang w:val="ro-MD"/>
        </w:rPr>
        <w:t xml:space="preserve">- </w:t>
      </w:r>
      <w:r w:rsidR="007F6B0A" w:rsidRPr="00C05E71">
        <w:rPr>
          <w:rFonts w:asciiTheme="majorHAnsi" w:hAnsiTheme="majorHAnsi" w:cstheme="majorHAnsi"/>
          <w:sz w:val="24"/>
          <w:szCs w:val="24"/>
          <w:lang w:val="ro-MD"/>
        </w:rPr>
        <w:t>cu</w:t>
      </w:r>
      <w:r w:rsidR="00C66E2A" w:rsidRPr="00C05E71">
        <w:rPr>
          <w:rFonts w:asciiTheme="majorHAnsi" w:hAnsiTheme="majorHAnsi" w:cstheme="majorHAnsi"/>
          <w:sz w:val="24"/>
          <w:szCs w:val="24"/>
          <w:lang w:val="ro-MD"/>
        </w:rPr>
        <w:t xml:space="preserve"> </w:t>
      </w:r>
      <w:r w:rsidR="00C66E2A" w:rsidRPr="00C05E71">
        <w:rPr>
          <w:rFonts w:asciiTheme="majorHAnsi" w:hAnsiTheme="majorHAnsi" w:cstheme="majorHAnsi"/>
          <w:b/>
          <w:sz w:val="24"/>
          <w:szCs w:val="24"/>
          <w:lang w:val="ro-MD"/>
        </w:rPr>
        <w:t>6</w:t>
      </w:r>
      <w:r w:rsidR="00827AB0" w:rsidRPr="00C05E71">
        <w:rPr>
          <w:rFonts w:asciiTheme="majorHAnsi" w:hAnsiTheme="majorHAnsi" w:cstheme="majorHAnsi"/>
          <w:b/>
          <w:sz w:val="24"/>
          <w:szCs w:val="24"/>
          <w:lang w:val="ro-MD"/>
        </w:rPr>
        <w:t>133,6</w:t>
      </w:r>
      <w:r w:rsidR="00A83074" w:rsidRPr="00C05E71">
        <w:rPr>
          <w:rFonts w:asciiTheme="majorHAnsi" w:hAnsiTheme="majorHAnsi" w:cstheme="majorHAnsi"/>
          <w:b/>
          <w:sz w:val="24"/>
          <w:szCs w:val="24"/>
          <w:lang w:val="ro-MD"/>
        </w:rPr>
        <w:t xml:space="preserve"> </w:t>
      </w:r>
      <w:r w:rsidR="00C66E2A" w:rsidRPr="00C05E71">
        <w:rPr>
          <w:rFonts w:asciiTheme="majorHAnsi" w:hAnsiTheme="majorHAnsi" w:cstheme="majorHAnsi"/>
          <w:b/>
          <w:sz w:val="24"/>
          <w:szCs w:val="24"/>
          <w:lang w:val="ro-MD"/>
        </w:rPr>
        <w:t>mi</w:t>
      </w:r>
      <w:r w:rsidR="00827AB0" w:rsidRPr="00C05E71">
        <w:rPr>
          <w:rFonts w:asciiTheme="majorHAnsi" w:hAnsiTheme="majorHAnsi" w:cstheme="majorHAnsi"/>
          <w:b/>
          <w:sz w:val="24"/>
          <w:szCs w:val="24"/>
          <w:lang w:val="ro-MD"/>
        </w:rPr>
        <w:t>i</w:t>
      </w:r>
      <w:r w:rsidR="00C66E2A" w:rsidRPr="00C05E71">
        <w:rPr>
          <w:rFonts w:asciiTheme="majorHAnsi" w:hAnsiTheme="majorHAnsi" w:cstheme="majorHAnsi"/>
          <w:b/>
          <w:sz w:val="24"/>
          <w:szCs w:val="24"/>
          <w:lang w:val="ro-MD"/>
        </w:rPr>
        <w:t xml:space="preserve"> lei</w:t>
      </w:r>
      <w:r w:rsidR="003E2714" w:rsidRPr="00C05E71">
        <w:rPr>
          <w:rFonts w:asciiTheme="majorHAnsi" w:hAnsiTheme="majorHAnsi" w:cstheme="majorHAnsi"/>
          <w:sz w:val="24"/>
          <w:szCs w:val="24"/>
          <w:lang w:val="ro-MD"/>
        </w:rPr>
        <w:t>,</w:t>
      </w:r>
      <w:r w:rsidR="003E2714" w:rsidRPr="00C05E71">
        <w:rPr>
          <w:rFonts w:asciiTheme="majorHAnsi" w:hAnsiTheme="majorHAnsi" w:cstheme="majorHAnsi"/>
          <w:b/>
          <w:sz w:val="24"/>
          <w:szCs w:val="24"/>
          <w:lang w:val="ro-MD"/>
        </w:rPr>
        <w:t xml:space="preserve"> </w:t>
      </w:r>
      <w:r w:rsidR="00C66E2A" w:rsidRPr="00C05E71">
        <w:rPr>
          <w:rFonts w:asciiTheme="majorHAnsi" w:hAnsiTheme="majorHAnsi" w:cstheme="majorHAnsi"/>
          <w:sz w:val="24"/>
          <w:szCs w:val="24"/>
          <w:lang w:val="ro-MD"/>
        </w:rPr>
        <w:t xml:space="preserve"> și </w:t>
      </w:r>
      <w:r w:rsidR="003E2714" w:rsidRPr="00C05E71">
        <w:rPr>
          <w:rFonts w:asciiTheme="majorHAnsi" w:hAnsiTheme="majorHAnsi" w:cstheme="majorHAnsi"/>
          <w:sz w:val="24"/>
          <w:szCs w:val="24"/>
          <w:lang w:val="ro-MD"/>
        </w:rPr>
        <w:t xml:space="preserve">a </w:t>
      </w:r>
      <w:r w:rsidR="00C66E2A" w:rsidRPr="00C05E71">
        <w:rPr>
          <w:rFonts w:asciiTheme="majorHAnsi" w:hAnsiTheme="majorHAnsi" w:cstheme="majorHAnsi"/>
          <w:sz w:val="24"/>
          <w:szCs w:val="24"/>
          <w:lang w:val="ro-MD"/>
        </w:rPr>
        <w:t>contul</w:t>
      </w:r>
      <w:r w:rsidR="003E2714" w:rsidRPr="00C05E71">
        <w:rPr>
          <w:rFonts w:asciiTheme="majorHAnsi" w:hAnsiTheme="majorHAnsi" w:cstheme="majorHAnsi"/>
          <w:sz w:val="24"/>
          <w:szCs w:val="24"/>
          <w:lang w:val="ro-MD"/>
        </w:rPr>
        <w:t>ui</w:t>
      </w:r>
      <w:r w:rsidR="00C66E2A" w:rsidRPr="00C05E71">
        <w:rPr>
          <w:rFonts w:asciiTheme="majorHAnsi" w:hAnsiTheme="majorHAnsi" w:cstheme="majorHAnsi"/>
          <w:sz w:val="24"/>
          <w:szCs w:val="24"/>
          <w:lang w:val="ro-MD"/>
        </w:rPr>
        <w:t xml:space="preserve"> 312 „Construcții speciale” </w:t>
      </w:r>
      <w:r w:rsidR="003E2714" w:rsidRPr="00C05E71">
        <w:rPr>
          <w:rFonts w:asciiTheme="majorHAnsi" w:hAnsiTheme="majorHAnsi" w:cstheme="majorHAnsi"/>
          <w:sz w:val="24"/>
          <w:szCs w:val="24"/>
          <w:lang w:val="ro-MD"/>
        </w:rPr>
        <w:t xml:space="preserve">- </w:t>
      </w:r>
      <w:r w:rsidR="00C66E2A" w:rsidRPr="00C05E71">
        <w:rPr>
          <w:rFonts w:asciiTheme="majorHAnsi" w:hAnsiTheme="majorHAnsi" w:cstheme="majorHAnsi"/>
          <w:sz w:val="24"/>
          <w:szCs w:val="24"/>
          <w:lang w:val="ro-MD"/>
        </w:rPr>
        <w:t xml:space="preserve">cu </w:t>
      </w:r>
      <w:r w:rsidR="00C66E2A" w:rsidRPr="00C05E71">
        <w:rPr>
          <w:rFonts w:asciiTheme="majorHAnsi" w:hAnsiTheme="majorHAnsi" w:cstheme="majorHAnsi"/>
          <w:b/>
          <w:sz w:val="24"/>
          <w:szCs w:val="24"/>
          <w:lang w:val="ro-MD"/>
        </w:rPr>
        <w:t>1</w:t>
      </w:r>
      <w:r w:rsidR="00827AB0" w:rsidRPr="00C05E71">
        <w:rPr>
          <w:rFonts w:asciiTheme="majorHAnsi" w:hAnsiTheme="majorHAnsi" w:cstheme="majorHAnsi"/>
          <w:b/>
          <w:sz w:val="24"/>
          <w:szCs w:val="24"/>
          <w:lang w:val="ro-MD"/>
        </w:rPr>
        <w:t>370,5</w:t>
      </w:r>
      <w:r w:rsidR="00C66E2A" w:rsidRPr="00C05E71">
        <w:rPr>
          <w:rFonts w:asciiTheme="majorHAnsi" w:hAnsiTheme="majorHAnsi" w:cstheme="majorHAnsi"/>
          <w:b/>
          <w:sz w:val="24"/>
          <w:szCs w:val="24"/>
          <w:lang w:val="ro-MD"/>
        </w:rPr>
        <w:t xml:space="preserve"> mi</w:t>
      </w:r>
      <w:r w:rsidR="00827AB0" w:rsidRPr="00C05E71">
        <w:rPr>
          <w:rFonts w:asciiTheme="majorHAnsi" w:hAnsiTheme="majorHAnsi" w:cstheme="majorHAnsi"/>
          <w:b/>
          <w:sz w:val="24"/>
          <w:szCs w:val="24"/>
          <w:lang w:val="ro-MD"/>
        </w:rPr>
        <w:t>i</w:t>
      </w:r>
      <w:r w:rsidR="00C66E2A" w:rsidRPr="00C05E71">
        <w:rPr>
          <w:rFonts w:asciiTheme="majorHAnsi" w:hAnsiTheme="majorHAnsi" w:cstheme="majorHAnsi"/>
          <w:b/>
          <w:sz w:val="24"/>
          <w:szCs w:val="24"/>
          <w:lang w:val="ro-MD"/>
        </w:rPr>
        <w:t xml:space="preserve"> lei</w:t>
      </w:r>
      <w:r w:rsidR="00C66E2A" w:rsidRPr="00C05E71">
        <w:rPr>
          <w:rFonts w:asciiTheme="majorHAnsi" w:hAnsiTheme="majorHAnsi" w:cstheme="majorHAnsi"/>
          <w:sz w:val="24"/>
          <w:szCs w:val="24"/>
          <w:lang w:val="ro-MD"/>
        </w:rPr>
        <w:t xml:space="preserve">; majorată valoarea contului 419 </w:t>
      </w:r>
      <w:r w:rsidR="00C66E2A" w:rsidRPr="00C05E71">
        <w:rPr>
          <w:rFonts w:asciiTheme="majorHAnsi" w:hAnsiTheme="majorHAnsi" w:cstheme="majorHAnsi"/>
          <w:color w:val="000000" w:themeColor="text1"/>
          <w:sz w:val="24"/>
          <w:szCs w:val="24"/>
          <w:lang w:val="ro-MD"/>
        </w:rPr>
        <w:t xml:space="preserve">„Alte creanțe ale autorităților/instituțiilor bugetare” cu </w:t>
      </w:r>
      <w:r w:rsidR="00C66E2A" w:rsidRPr="00C05E71">
        <w:rPr>
          <w:rFonts w:asciiTheme="majorHAnsi" w:hAnsiTheme="majorHAnsi" w:cstheme="majorHAnsi"/>
          <w:b/>
          <w:color w:val="000000" w:themeColor="text1"/>
          <w:sz w:val="24"/>
          <w:szCs w:val="24"/>
          <w:lang w:val="ro-MD"/>
        </w:rPr>
        <w:t>11</w:t>
      </w:r>
      <w:r w:rsidR="00827AB0" w:rsidRPr="00C05E71">
        <w:rPr>
          <w:rFonts w:asciiTheme="majorHAnsi" w:hAnsiTheme="majorHAnsi" w:cstheme="majorHAnsi"/>
          <w:b/>
          <w:color w:val="000000" w:themeColor="text1"/>
          <w:sz w:val="24"/>
          <w:szCs w:val="24"/>
          <w:lang w:val="ro-MD"/>
        </w:rPr>
        <w:t>132,7</w:t>
      </w:r>
      <w:r w:rsidR="00C66E2A" w:rsidRPr="00C05E71">
        <w:rPr>
          <w:rFonts w:asciiTheme="majorHAnsi" w:hAnsiTheme="majorHAnsi" w:cstheme="majorHAnsi"/>
          <w:b/>
          <w:color w:val="000000" w:themeColor="text1"/>
          <w:sz w:val="24"/>
          <w:szCs w:val="24"/>
          <w:lang w:val="ro-MD"/>
        </w:rPr>
        <w:t xml:space="preserve"> mi</w:t>
      </w:r>
      <w:r w:rsidR="00827AB0" w:rsidRPr="00C05E71">
        <w:rPr>
          <w:rFonts w:asciiTheme="majorHAnsi" w:hAnsiTheme="majorHAnsi" w:cstheme="majorHAnsi"/>
          <w:b/>
          <w:color w:val="000000" w:themeColor="text1"/>
          <w:sz w:val="24"/>
          <w:szCs w:val="24"/>
          <w:lang w:val="ro-MD"/>
        </w:rPr>
        <w:t>i</w:t>
      </w:r>
      <w:r w:rsidR="00C66E2A" w:rsidRPr="00C05E71">
        <w:rPr>
          <w:rFonts w:asciiTheme="majorHAnsi" w:hAnsiTheme="majorHAnsi" w:cstheme="majorHAnsi"/>
          <w:b/>
          <w:color w:val="000000" w:themeColor="text1"/>
          <w:sz w:val="24"/>
          <w:szCs w:val="24"/>
          <w:lang w:val="ro-MD"/>
        </w:rPr>
        <w:t xml:space="preserve"> lei.</w:t>
      </w:r>
      <w:r w:rsidR="00C66E2A" w:rsidRPr="00C05E71">
        <w:rPr>
          <w:rFonts w:asciiTheme="majorHAnsi" w:hAnsiTheme="majorHAnsi" w:cstheme="majorHAnsi"/>
          <w:color w:val="000000" w:themeColor="text1"/>
          <w:sz w:val="24"/>
          <w:szCs w:val="24"/>
          <w:lang w:val="ro-MD"/>
        </w:rPr>
        <w:t xml:space="preserve"> </w:t>
      </w:r>
    </w:p>
    <w:p w14:paraId="6B7B7B3F" w14:textId="77777777" w:rsidR="003C15AC" w:rsidRPr="00C05E71" w:rsidRDefault="003C15AC" w:rsidP="00C05E71">
      <w:pPr>
        <w:spacing w:after="0" w:line="276" w:lineRule="auto"/>
        <w:jc w:val="both"/>
        <w:rPr>
          <w:rFonts w:asciiTheme="majorHAnsi" w:hAnsiTheme="majorHAnsi" w:cstheme="majorHAnsi"/>
          <w:color w:val="000000"/>
          <w:sz w:val="24"/>
          <w:szCs w:val="24"/>
          <w:lang w:val="ro-MD"/>
        </w:rPr>
      </w:pPr>
    </w:p>
    <w:p w14:paraId="46F6C461" w14:textId="387D8F32" w:rsidR="002A7174" w:rsidRPr="00C05E71" w:rsidRDefault="002A7174" w:rsidP="00C05E71">
      <w:pPr>
        <w:keepNext/>
        <w:keepLines/>
        <w:spacing w:after="0" w:line="276" w:lineRule="auto"/>
        <w:outlineLvl w:val="0"/>
        <w:rPr>
          <w:rFonts w:asciiTheme="majorHAnsi" w:eastAsia="Times New Roman" w:hAnsiTheme="majorHAnsi" w:cstheme="majorHAnsi"/>
          <w:b/>
          <w:sz w:val="24"/>
          <w:szCs w:val="24"/>
          <w:lang w:val="ro-MD"/>
        </w:rPr>
      </w:pPr>
      <w:r w:rsidRPr="00C05E71">
        <w:rPr>
          <w:rFonts w:asciiTheme="majorHAnsi" w:eastAsia="Times New Roman" w:hAnsiTheme="majorHAnsi" w:cstheme="majorHAnsi"/>
          <w:b/>
          <w:sz w:val="24"/>
          <w:szCs w:val="24"/>
          <w:lang w:val="ro-MD"/>
        </w:rPr>
        <w:t>VI</w:t>
      </w:r>
      <w:r w:rsidR="00713F76" w:rsidRPr="00C05E71">
        <w:rPr>
          <w:rFonts w:asciiTheme="majorHAnsi" w:eastAsia="Times New Roman" w:hAnsiTheme="majorHAnsi" w:cstheme="majorHAnsi"/>
          <w:b/>
          <w:sz w:val="24"/>
          <w:szCs w:val="24"/>
          <w:lang w:val="ro-MD"/>
        </w:rPr>
        <w:t>I</w:t>
      </w:r>
      <w:r w:rsidRPr="00C05E71">
        <w:rPr>
          <w:rFonts w:asciiTheme="majorHAnsi" w:eastAsia="Times New Roman" w:hAnsiTheme="majorHAnsi" w:cstheme="majorHAnsi"/>
          <w:b/>
          <w:sz w:val="24"/>
          <w:szCs w:val="24"/>
          <w:lang w:val="ro-MD"/>
        </w:rPr>
        <w:t>. RESPONSABILITĂȚILE CONDUCERII PENTRU RAPOARTELE FINANCIARE</w:t>
      </w:r>
    </w:p>
    <w:p w14:paraId="03D89C67" w14:textId="52FD6331" w:rsidR="002A7174" w:rsidRPr="00C05E71" w:rsidRDefault="00581A35" w:rsidP="00C05E71">
      <w:pPr>
        <w:spacing w:after="0" w:line="276" w:lineRule="auto"/>
        <w:jc w:val="both"/>
        <w:rPr>
          <w:rFonts w:asciiTheme="majorHAnsi" w:hAnsiTheme="majorHAnsi" w:cstheme="majorHAnsi"/>
          <w:color w:val="000000"/>
          <w:sz w:val="24"/>
          <w:szCs w:val="24"/>
          <w:lang w:val="ro-MD"/>
        </w:rPr>
      </w:pPr>
      <w:r w:rsidRPr="00C05E71">
        <w:rPr>
          <w:rFonts w:asciiTheme="majorHAnsi" w:hAnsiTheme="majorHAnsi" w:cstheme="majorHAnsi"/>
          <w:sz w:val="24"/>
          <w:szCs w:val="24"/>
          <w:lang w:val="ro-MD"/>
        </w:rPr>
        <w:t>Autoritatea executivă a UTA Găgăuzia</w:t>
      </w:r>
      <w:r w:rsidR="002A7174" w:rsidRPr="00C05E71">
        <w:rPr>
          <w:rFonts w:asciiTheme="majorHAnsi" w:eastAsia="Times New Roman" w:hAnsiTheme="majorHAnsi" w:cstheme="majorHAnsi"/>
          <w:iCs/>
          <w:sz w:val="24"/>
          <w:szCs w:val="24"/>
          <w:lang w:val="ro-MD"/>
        </w:rPr>
        <w:t xml:space="preserve"> </w:t>
      </w:r>
      <w:r w:rsidR="002A7174" w:rsidRPr="00C05E71">
        <w:rPr>
          <w:rFonts w:asciiTheme="majorHAnsi" w:hAnsiTheme="majorHAnsi" w:cstheme="majorHAnsi"/>
          <w:sz w:val="24"/>
          <w:szCs w:val="24"/>
          <w:lang w:val="ro-MD"/>
        </w:rPr>
        <w:t>este responsabil</w:t>
      </w:r>
      <w:r w:rsidRPr="00C05E71">
        <w:rPr>
          <w:rFonts w:asciiTheme="majorHAnsi" w:hAnsiTheme="majorHAnsi" w:cstheme="majorHAnsi"/>
          <w:sz w:val="24"/>
          <w:szCs w:val="24"/>
          <w:lang w:val="ro-MD"/>
        </w:rPr>
        <w:t>ă</w:t>
      </w:r>
      <w:r w:rsidR="002A7174" w:rsidRPr="00C05E71">
        <w:rPr>
          <w:rFonts w:asciiTheme="majorHAnsi" w:hAnsiTheme="majorHAnsi" w:cstheme="majorHAnsi"/>
          <w:sz w:val="24"/>
          <w:szCs w:val="24"/>
          <w:lang w:val="ro-MD"/>
        </w:rPr>
        <w:t xml:space="preserve"> de întocmirea și prezentarea fidelă a rapoartelor financiare</w:t>
      </w:r>
      <w:r w:rsidR="002A7174" w:rsidRPr="00C05E71">
        <w:rPr>
          <w:rStyle w:val="FootnoteReference"/>
          <w:rFonts w:asciiTheme="majorHAnsi" w:hAnsiTheme="majorHAnsi" w:cstheme="majorHAnsi"/>
          <w:sz w:val="24"/>
          <w:szCs w:val="24"/>
          <w:lang w:val="ro-MD"/>
        </w:rPr>
        <w:footnoteReference w:id="32"/>
      </w:r>
      <w:r w:rsidR="002A7174" w:rsidRPr="00C05E71">
        <w:rPr>
          <w:rFonts w:asciiTheme="majorHAnsi" w:hAnsiTheme="majorHAnsi" w:cstheme="majorHAnsi"/>
          <w:sz w:val="24"/>
          <w:szCs w:val="24"/>
          <w:lang w:val="ro-MD"/>
        </w:rPr>
        <w:t xml:space="preserve"> în conformitate cu </w:t>
      </w:r>
      <w:r w:rsidR="00A60D75" w:rsidRPr="00C05E71">
        <w:rPr>
          <w:rFonts w:asciiTheme="majorHAnsi" w:hAnsiTheme="majorHAnsi" w:cstheme="majorHAnsi"/>
          <w:color w:val="000000"/>
          <w:sz w:val="24"/>
          <w:szCs w:val="24"/>
          <w:lang w:val="ro-MD"/>
        </w:rPr>
        <w:t>cadrul de raportare financiară aplicabil</w:t>
      </w:r>
      <w:r w:rsidR="002A7174" w:rsidRPr="00C05E71">
        <w:rPr>
          <w:rStyle w:val="FootnoteReference"/>
          <w:rFonts w:asciiTheme="majorHAnsi" w:hAnsiTheme="majorHAnsi" w:cstheme="majorHAnsi"/>
          <w:sz w:val="24"/>
          <w:szCs w:val="24"/>
          <w:lang w:val="ro-MD"/>
        </w:rPr>
        <w:footnoteReference w:id="33"/>
      </w:r>
      <w:r w:rsidR="002A7174" w:rsidRPr="00C05E71">
        <w:rPr>
          <w:rFonts w:asciiTheme="majorHAnsi" w:hAnsiTheme="majorHAnsi" w:cstheme="majorHAnsi"/>
          <w:sz w:val="24"/>
          <w:szCs w:val="24"/>
          <w:lang w:val="ro-MD"/>
        </w:rPr>
        <w:t>. Această responsabilitate include: implementarea, menținerea și</w:t>
      </w:r>
      <w:r w:rsidR="005954CC" w:rsidRPr="00C05E71">
        <w:rPr>
          <w:rFonts w:asciiTheme="majorHAnsi" w:hAnsiTheme="majorHAnsi" w:cstheme="majorHAnsi"/>
          <w:sz w:val="24"/>
          <w:szCs w:val="24"/>
          <w:lang w:val="ro-MD"/>
        </w:rPr>
        <w:t xml:space="preserve"> </w:t>
      </w:r>
      <w:r w:rsidR="002A7174" w:rsidRPr="00C05E71">
        <w:rPr>
          <w:rFonts w:asciiTheme="majorHAnsi" w:hAnsiTheme="majorHAnsi" w:cstheme="majorHAnsi"/>
          <w:sz w:val="24"/>
          <w:szCs w:val="24"/>
          <w:lang w:val="ro-MD"/>
        </w:rPr>
        <w:t>supraveghe</w:t>
      </w:r>
      <w:r w:rsidR="00D4345D" w:rsidRPr="00C05E71">
        <w:rPr>
          <w:rFonts w:asciiTheme="majorHAnsi" w:hAnsiTheme="majorHAnsi" w:cstheme="majorHAnsi"/>
          <w:sz w:val="24"/>
          <w:szCs w:val="24"/>
          <w:lang w:val="ro-MD"/>
        </w:rPr>
        <w:t>re</w:t>
      </w:r>
      <w:r w:rsidR="002A7174" w:rsidRPr="00C05E71">
        <w:rPr>
          <w:rFonts w:asciiTheme="majorHAnsi" w:hAnsiTheme="majorHAnsi" w:cstheme="majorHAnsi"/>
          <w:sz w:val="24"/>
          <w:szCs w:val="24"/>
          <w:lang w:val="ro-MD"/>
        </w:rPr>
        <w:t>a unui control intern relevant pentru întocmirea și prezentarea adecvată a rapoartelor financiare</w:t>
      </w:r>
      <w:r w:rsidR="00D4345D" w:rsidRPr="00C05E71">
        <w:rPr>
          <w:rFonts w:asciiTheme="majorHAnsi" w:hAnsiTheme="majorHAnsi" w:cstheme="majorHAnsi"/>
          <w:sz w:val="24"/>
          <w:szCs w:val="24"/>
          <w:lang w:val="ro-MD"/>
        </w:rPr>
        <w:t>,</w:t>
      </w:r>
      <w:r w:rsidR="002A7174" w:rsidRPr="00C05E71">
        <w:rPr>
          <w:rFonts w:asciiTheme="majorHAnsi" w:hAnsiTheme="majorHAnsi" w:cstheme="majorHAnsi"/>
          <w:sz w:val="24"/>
          <w:szCs w:val="24"/>
          <w:lang w:val="ro-MD"/>
        </w:rPr>
        <w:t xml:space="preserve"> care să nu conțină denaturări semnificative</w:t>
      </w:r>
      <w:r w:rsidR="003E798B" w:rsidRPr="00C05E71">
        <w:rPr>
          <w:rFonts w:asciiTheme="majorHAnsi" w:hAnsiTheme="majorHAnsi" w:cstheme="majorHAnsi"/>
          <w:sz w:val="24"/>
          <w:szCs w:val="24"/>
          <w:lang w:val="ro-MD"/>
        </w:rPr>
        <w:t>,</w:t>
      </w:r>
      <w:r w:rsidR="002A7174" w:rsidRPr="00C05E71">
        <w:rPr>
          <w:rFonts w:asciiTheme="majorHAnsi" w:hAnsiTheme="majorHAnsi" w:cstheme="majorHAnsi"/>
          <w:sz w:val="24"/>
          <w:szCs w:val="24"/>
          <w:lang w:val="ro-MD"/>
        </w:rPr>
        <w:t xml:space="preserve"> cauzate de fraude sau erori</w:t>
      </w:r>
      <w:r w:rsidR="003E2714" w:rsidRPr="00C05E71">
        <w:rPr>
          <w:rFonts w:asciiTheme="majorHAnsi" w:hAnsiTheme="majorHAnsi" w:cstheme="majorHAnsi"/>
          <w:sz w:val="24"/>
          <w:szCs w:val="24"/>
          <w:lang w:val="ro-MD"/>
        </w:rPr>
        <w:t>;</w:t>
      </w:r>
      <w:r w:rsidR="002A7174" w:rsidRPr="00C05E71">
        <w:rPr>
          <w:rFonts w:asciiTheme="majorHAnsi" w:hAnsiTheme="majorHAnsi" w:cstheme="majorHAnsi"/>
          <w:sz w:val="24"/>
          <w:szCs w:val="24"/>
          <w:lang w:val="ro-MD"/>
        </w:rPr>
        <w:t xml:space="preserve"> selectarea și aplicarea politicilor contabile adecvate</w:t>
      </w:r>
      <w:r w:rsidR="00BD01EA" w:rsidRPr="00C05E71">
        <w:rPr>
          <w:rFonts w:asciiTheme="majorHAnsi" w:hAnsiTheme="majorHAnsi" w:cstheme="majorHAnsi"/>
          <w:sz w:val="24"/>
          <w:szCs w:val="24"/>
          <w:lang w:val="ro-MD"/>
        </w:rPr>
        <w:t>;</w:t>
      </w:r>
      <w:r w:rsidR="002A7174" w:rsidRPr="00C05E71">
        <w:rPr>
          <w:rFonts w:asciiTheme="majorHAnsi" w:hAnsiTheme="majorHAnsi" w:cstheme="majorHAnsi"/>
          <w:sz w:val="24"/>
          <w:szCs w:val="24"/>
          <w:lang w:val="ro-MD"/>
        </w:rPr>
        <w:t xml:space="preserve"> </w:t>
      </w:r>
      <w:r w:rsidR="002A7174" w:rsidRPr="00C05E71">
        <w:rPr>
          <w:rFonts w:asciiTheme="majorHAnsi" w:hAnsiTheme="majorHAnsi" w:cstheme="majorHAnsi"/>
          <w:color w:val="000000"/>
          <w:sz w:val="24"/>
          <w:szCs w:val="24"/>
          <w:lang w:val="ro-MD"/>
        </w:rPr>
        <w:t>exactitatea și plenitudinea înregistrărilor contabile, precum și pregătirea oportună a unor informații financiare credibile.</w:t>
      </w:r>
    </w:p>
    <w:p w14:paraId="27F4C2C2" w14:textId="77777777" w:rsidR="0072787C" w:rsidRPr="00C05E71" w:rsidRDefault="0072787C" w:rsidP="00C05E71">
      <w:pPr>
        <w:spacing w:after="0" w:line="276" w:lineRule="auto"/>
        <w:jc w:val="both"/>
        <w:rPr>
          <w:rFonts w:asciiTheme="majorHAnsi" w:hAnsiTheme="majorHAnsi" w:cstheme="majorHAnsi"/>
          <w:color w:val="000000"/>
          <w:sz w:val="24"/>
          <w:szCs w:val="24"/>
          <w:lang w:val="ro-MD"/>
        </w:rPr>
      </w:pPr>
    </w:p>
    <w:p w14:paraId="73E04DD0" w14:textId="66405FBF" w:rsidR="002A7174" w:rsidRPr="00C05E71" w:rsidRDefault="002A7174" w:rsidP="00C05E71">
      <w:pPr>
        <w:keepNext/>
        <w:keepLines/>
        <w:spacing w:after="0" w:line="276" w:lineRule="auto"/>
        <w:outlineLvl w:val="0"/>
        <w:rPr>
          <w:rFonts w:asciiTheme="majorHAnsi" w:eastAsiaTheme="majorEastAsia" w:hAnsiTheme="majorHAnsi" w:cstheme="majorHAnsi"/>
          <w:b/>
          <w:sz w:val="24"/>
          <w:szCs w:val="24"/>
          <w:lang w:val="ro-MD"/>
        </w:rPr>
      </w:pPr>
      <w:r w:rsidRPr="00C05E71">
        <w:rPr>
          <w:rFonts w:asciiTheme="majorHAnsi" w:eastAsiaTheme="majorEastAsia" w:hAnsiTheme="majorHAnsi" w:cstheme="majorHAnsi"/>
          <w:b/>
          <w:sz w:val="24"/>
          <w:szCs w:val="24"/>
          <w:lang w:val="ro-MD"/>
        </w:rPr>
        <w:t>VII</w:t>
      </w:r>
      <w:r w:rsidR="00713F76" w:rsidRPr="00C05E71">
        <w:rPr>
          <w:rFonts w:asciiTheme="majorHAnsi" w:eastAsiaTheme="majorEastAsia" w:hAnsiTheme="majorHAnsi" w:cstheme="majorHAnsi"/>
          <w:b/>
          <w:sz w:val="24"/>
          <w:szCs w:val="24"/>
          <w:lang w:val="ro-MD"/>
        </w:rPr>
        <w:t>I</w:t>
      </w:r>
      <w:r w:rsidRPr="00C05E71">
        <w:rPr>
          <w:rFonts w:asciiTheme="majorHAnsi" w:eastAsiaTheme="majorEastAsia" w:hAnsiTheme="majorHAnsi" w:cstheme="majorHAnsi"/>
          <w:b/>
          <w:sz w:val="24"/>
          <w:szCs w:val="24"/>
          <w:lang w:val="ro-MD"/>
        </w:rPr>
        <w:t>. RESPONSABILITĂȚILE AUDITORULUI ÎNTR-UN AUDIT AL RAPOARTELOR FINANCIARE</w:t>
      </w:r>
    </w:p>
    <w:p w14:paraId="7F160D62" w14:textId="77777777" w:rsidR="002A7174" w:rsidRPr="00C05E71" w:rsidRDefault="002A7174" w:rsidP="00C05E71">
      <w:pPr>
        <w:autoSpaceDE w:val="0"/>
        <w:autoSpaceDN w:val="0"/>
        <w:adjustRightInd w:val="0"/>
        <w:spacing w:after="0" w:line="276" w:lineRule="auto"/>
        <w:jc w:val="both"/>
        <w:rPr>
          <w:rFonts w:asciiTheme="majorHAnsi" w:hAnsiTheme="majorHAnsi" w:cstheme="majorHAnsi"/>
          <w:sz w:val="24"/>
          <w:szCs w:val="24"/>
          <w:lang w:val="ro-MD"/>
        </w:rPr>
      </w:pPr>
      <w:r w:rsidRPr="00C05E71">
        <w:rPr>
          <w:rFonts w:asciiTheme="majorHAnsi" w:hAnsiTheme="majorHAnsi" w:cstheme="majorHAnsi"/>
          <w:sz w:val="24"/>
          <w:szCs w:val="24"/>
          <w:lang w:val="ro-MD"/>
        </w:rPr>
        <w:t>Responsabilitatea noastră este de a planifica și a realiza misiunea de audit, cu obținerea probelor suficiente și adecvate în vederea susținerii bazei pentru opinia de audit. Obiectivele noastre sunt: obținerea unei asigurări rezonabile că rapoartele financiare nu sunt afectate de denaturări semnificative, cauzate de fraude sau erori, precum și emiterea unei opinii.</w:t>
      </w:r>
    </w:p>
    <w:p w14:paraId="0C0C6D4E" w14:textId="77777777" w:rsidR="002A7174" w:rsidRPr="00C05E71" w:rsidRDefault="002A7174" w:rsidP="00C05E71">
      <w:pPr>
        <w:autoSpaceDE w:val="0"/>
        <w:autoSpaceDN w:val="0"/>
        <w:adjustRightInd w:val="0"/>
        <w:spacing w:after="0" w:line="276" w:lineRule="auto"/>
        <w:jc w:val="both"/>
        <w:rPr>
          <w:rFonts w:asciiTheme="majorHAnsi" w:hAnsiTheme="majorHAnsi" w:cstheme="majorHAnsi"/>
          <w:sz w:val="24"/>
          <w:szCs w:val="24"/>
          <w:lang w:val="ro-MD"/>
        </w:rPr>
      </w:pPr>
      <w:r w:rsidRPr="00C05E71">
        <w:rPr>
          <w:rFonts w:asciiTheme="majorHAnsi" w:hAnsiTheme="majorHAnsi" w:cstheme="majorHAnsi"/>
          <w:sz w:val="24"/>
          <w:szCs w:val="24"/>
          <w:lang w:val="ro-MD"/>
        </w:rPr>
        <w:t xml:space="preserve">Asigurarea rezonabilă este un nivel ridicat de asigurare, dar nu este o garanție că un audit efectuat în conformitate cu Standardele Internaționale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situații financiare. O descriere suplimentară a responsabilităților auditorului într-un audit al rapoartelor financiare este plasată pe site-ul Curţii de Conturi, la adresa: </w:t>
      </w:r>
      <w:r w:rsidRPr="00C05E71">
        <w:rPr>
          <w:rFonts w:asciiTheme="majorHAnsi" w:hAnsiTheme="majorHAnsi" w:cstheme="majorHAnsi"/>
          <w:i/>
          <w:color w:val="2E74B5" w:themeColor="accent1" w:themeShade="BF"/>
          <w:sz w:val="24"/>
          <w:szCs w:val="24"/>
          <w:u w:val="single"/>
          <w:lang w:val="ro-MD"/>
        </w:rPr>
        <w:t>http://www.ccrm.md/activitatea-curtii-de-conturi-1-25</w:t>
      </w:r>
      <w:r w:rsidRPr="00C05E71">
        <w:rPr>
          <w:rFonts w:asciiTheme="majorHAnsi" w:hAnsiTheme="majorHAnsi" w:cstheme="majorHAnsi"/>
          <w:i/>
          <w:sz w:val="24"/>
          <w:szCs w:val="24"/>
          <w:lang w:val="ro-MD"/>
        </w:rPr>
        <w:t>.</w:t>
      </w:r>
      <w:r w:rsidRPr="00C05E71">
        <w:rPr>
          <w:rFonts w:asciiTheme="majorHAnsi" w:hAnsiTheme="majorHAnsi" w:cstheme="majorHAnsi"/>
          <w:sz w:val="24"/>
          <w:szCs w:val="24"/>
          <w:lang w:val="ro-MD"/>
        </w:rPr>
        <w:t xml:space="preserve"> Această descriere face parte din Raportul nostru de audit.</w:t>
      </w:r>
    </w:p>
    <w:p w14:paraId="53C9F0D3" w14:textId="5E04CE79" w:rsidR="002A7174" w:rsidRPr="00C05E71" w:rsidRDefault="002A7174" w:rsidP="00C05E71">
      <w:pPr>
        <w:tabs>
          <w:tab w:val="left" w:pos="1080"/>
          <w:tab w:val="left" w:pos="7513"/>
        </w:tabs>
        <w:spacing w:after="0" w:line="276" w:lineRule="auto"/>
        <w:rPr>
          <w:rFonts w:asciiTheme="majorHAnsi" w:eastAsiaTheme="minorEastAsia" w:hAnsiTheme="majorHAnsi" w:cstheme="majorHAnsi"/>
          <w:i/>
          <w:sz w:val="24"/>
          <w:szCs w:val="24"/>
          <w:lang w:val="ro-MD"/>
        </w:rPr>
      </w:pPr>
    </w:p>
    <w:p w14:paraId="731DC850" w14:textId="65C0FFF6" w:rsidR="00B8482E" w:rsidRPr="00C05E71" w:rsidRDefault="00B8482E" w:rsidP="00C05E71">
      <w:pPr>
        <w:pStyle w:val="Heading1"/>
        <w:spacing w:before="0" w:line="276" w:lineRule="auto"/>
        <w:jc w:val="left"/>
        <w:rPr>
          <w:rFonts w:cstheme="majorHAnsi"/>
          <w:color w:val="auto"/>
          <w:szCs w:val="24"/>
          <w:lang w:val="ro-MD"/>
        </w:rPr>
      </w:pPr>
      <w:bookmarkStart w:id="4" w:name="_Toc68528079"/>
      <w:r w:rsidRPr="00C05E71">
        <w:rPr>
          <w:rFonts w:cstheme="majorHAnsi"/>
          <w:color w:val="auto"/>
          <w:szCs w:val="24"/>
          <w:lang w:val="ro-MD"/>
        </w:rPr>
        <w:t>SEMNĂTURILE ECHIPEI DE AUDIT</w:t>
      </w:r>
      <w:bookmarkEnd w:id="4"/>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3513"/>
        <w:gridCol w:w="628"/>
      </w:tblGrid>
      <w:tr w:rsidR="00B8482E" w:rsidRPr="00C05E71" w14:paraId="112A1C7F" w14:textId="77777777" w:rsidTr="00C63DCC">
        <w:trPr>
          <w:trHeight w:val="327"/>
        </w:trPr>
        <w:tc>
          <w:tcPr>
            <w:tcW w:w="5215" w:type="dxa"/>
          </w:tcPr>
          <w:p w14:paraId="6E6FF23A" w14:textId="77289701" w:rsidR="00B8482E" w:rsidRPr="00C05E71" w:rsidRDefault="00B8482E" w:rsidP="00C05E71">
            <w:pPr>
              <w:spacing w:line="276" w:lineRule="auto"/>
              <w:rPr>
                <w:rFonts w:asciiTheme="majorHAnsi" w:hAnsiTheme="majorHAnsi" w:cstheme="majorHAnsi"/>
                <w:sz w:val="24"/>
                <w:szCs w:val="24"/>
                <w:lang w:val="ro-MD"/>
              </w:rPr>
            </w:pPr>
            <w:r w:rsidRPr="00C05E71">
              <w:rPr>
                <w:rFonts w:asciiTheme="majorHAnsi" w:hAnsiTheme="majorHAnsi" w:cstheme="majorHAnsi"/>
                <w:b/>
                <w:sz w:val="24"/>
                <w:szCs w:val="24"/>
                <w:lang w:val="ro-MD"/>
              </w:rPr>
              <w:t xml:space="preserve">Șeful echipei de audit,                                        </w:t>
            </w:r>
            <w:r w:rsidRPr="00C05E71">
              <w:rPr>
                <w:rFonts w:asciiTheme="majorHAnsi" w:eastAsia="Times New Roman" w:hAnsiTheme="majorHAnsi" w:cstheme="majorHAnsi"/>
                <w:b/>
                <w:bCs/>
                <w:i/>
                <w:iCs/>
                <w:sz w:val="24"/>
                <w:szCs w:val="24"/>
                <w:lang w:val="ro-MD"/>
              </w:rPr>
              <w:t xml:space="preserve"> </w:t>
            </w:r>
          </w:p>
        </w:tc>
        <w:tc>
          <w:tcPr>
            <w:tcW w:w="4141" w:type="dxa"/>
            <w:gridSpan w:val="2"/>
          </w:tcPr>
          <w:p w14:paraId="57AC89AA" w14:textId="4DCE0A9B" w:rsidR="00B8482E" w:rsidRPr="00C05E71" w:rsidRDefault="00B8482E" w:rsidP="00C05E71">
            <w:pPr>
              <w:spacing w:line="276" w:lineRule="auto"/>
              <w:jc w:val="right"/>
              <w:rPr>
                <w:rFonts w:asciiTheme="majorHAnsi" w:hAnsiTheme="majorHAnsi" w:cstheme="majorHAnsi"/>
                <w:b/>
                <w:sz w:val="24"/>
                <w:szCs w:val="24"/>
                <w:lang w:val="ro-MD"/>
              </w:rPr>
            </w:pPr>
          </w:p>
        </w:tc>
      </w:tr>
      <w:tr w:rsidR="00B8482E" w:rsidRPr="00C05E71" w14:paraId="2CD28922" w14:textId="77777777" w:rsidTr="00C63DCC">
        <w:tc>
          <w:tcPr>
            <w:tcW w:w="5215" w:type="dxa"/>
          </w:tcPr>
          <w:p w14:paraId="1793F088" w14:textId="457189F3" w:rsidR="00B8482E" w:rsidRPr="00C05E71" w:rsidRDefault="00B8482E" w:rsidP="00C05E71">
            <w:pPr>
              <w:spacing w:line="276" w:lineRule="auto"/>
              <w:rPr>
                <w:rFonts w:asciiTheme="majorHAnsi" w:hAnsiTheme="majorHAnsi" w:cstheme="majorHAnsi"/>
                <w:sz w:val="24"/>
                <w:szCs w:val="24"/>
                <w:lang w:val="ro-MD"/>
              </w:rPr>
            </w:pPr>
            <w:r w:rsidRPr="00C05E71">
              <w:rPr>
                <w:rFonts w:asciiTheme="majorHAnsi" w:eastAsiaTheme="minorEastAsia" w:hAnsiTheme="majorHAnsi" w:cstheme="majorHAnsi"/>
                <w:sz w:val="24"/>
                <w:szCs w:val="24"/>
                <w:lang w:val="ro-MD"/>
              </w:rPr>
              <w:t xml:space="preserve">auditor public </w:t>
            </w:r>
            <w:r w:rsidRPr="00C05E71">
              <w:rPr>
                <w:rFonts w:asciiTheme="majorHAnsi" w:eastAsia="Times New Roman" w:hAnsiTheme="majorHAnsi" w:cstheme="majorHAnsi"/>
                <w:bCs/>
                <w:iCs/>
                <w:sz w:val="24"/>
                <w:szCs w:val="24"/>
                <w:lang w:val="ro-MD"/>
              </w:rPr>
              <w:t>principal</w:t>
            </w:r>
          </w:p>
        </w:tc>
        <w:tc>
          <w:tcPr>
            <w:tcW w:w="4141" w:type="dxa"/>
            <w:gridSpan w:val="2"/>
          </w:tcPr>
          <w:p w14:paraId="3BEA149D" w14:textId="77777777" w:rsidR="00B8482E" w:rsidRDefault="00C63DCC" w:rsidP="00C05E71">
            <w:pPr>
              <w:spacing w:line="276" w:lineRule="auto"/>
              <w:jc w:val="right"/>
              <w:rPr>
                <w:rFonts w:asciiTheme="majorHAnsi" w:eastAsia="Times New Roman" w:hAnsiTheme="majorHAnsi" w:cstheme="majorHAnsi"/>
                <w:b/>
                <w:bCs/>
                <w:iCs/>
                <w:sz w:val="24"/>
                <w:szCs w:val="24"/>
                <w:lang w:val="ro-MD"/>
              </w:rPr>
            </w:pPr>
            <w:r w:rsidRPr="00C05E71">
              <w:rPr>
                <w:rFonts w:asciiTheme="majorHAnsi" w:eastAsia="Times New Roman" w:hAnsiTheme="majorHAnsi" w:cstheme="majorHAnsi"/>
                <w:b/>
                <w:bCs/>
                <w:iCs/>
                <w:sz w:val="24"/>
                <w:szCs w:val="24"/>
                <w:lang w:val="ro-MD"/>
              </w:rPr>
              <w:t>Aurelia USATÎI</w:t>
            </w:r>
          </w:p>
          <w:p w14:paraId="217F5452" w14:textId="37225A2C" w:rsidR="00C63DCC" w:rsidRPr="00C05E71" w:rsidRDefault="00C63DCC" w:rsidP="00C05E71">
            <w:pPr>
              <w:spacing w:line="276" w:lineRule="auto"/>
              <w:jc w:val="right"/>
              <w:rPr>
                <w:rFonts w:asciiTheme="majorHAnsi" w:hAnsiTheme="majorHAnsi" w:cstheme="majorHAnsi"/>
                <w:b/>
                <w:sz w:val="24"/>
                <w:szCs w:val="24"/>
                <w:lang w:val="ro-MD"/>
              </w:rPr>
            </w:pPr>
          </w:p>
        </w:tc>
      </w:tr>
      <w:tr w:rsidR="00B8482E" w:rsidRPr="00C05E71" w14:paraId="409FC738" w14:textId="77777777" w:rsidTr="00C63DCC">
        <w:trPr>
          <w:trHeight w:val="417"/>
        </w:trPr>
        <w:tc>
          <w:tcPr>
            <w:tcW w:w="5215" w:type="dxa"/>
          </w:tcPr>
          <w:p w14:paraId="23E3B1CC" w14:textId="4BB364C3" w:rsidR="00B8482E" w:rsidRPr="00C05E71" w:rsidRDefault="00B8482E" w:rsidP="00C05E71">
            <w:pPr>
              <w:spacing w:line="276" w:lineRule="auto"/>
              <w:rPr>
                <w:rFonts w:asciiTheme="majorHAnsi" w:hAnsiTheme="majorHAnsi" w:cstheme="majorHAnsi"/>
                <w:sz w:val="24"/>
                <w:szCs w:val="24"/>
                <w:lang w:val="ro-MD"/>
              </w:rPr>
            </w:pPr>
            <w:r w:rsidRPr="00C05E71">
              <w:rPr>
                <w:rFonts w:asciiTheme="majorHAnsi" w:eastAsia="Arial" w:hAnsiTheme="majorHAnsi" w:cstheme="majorHAnsi"/>
                <w:spacing w:val="1"/>
                <w:sz w:val="24"/>
                <w:szCs w:val="24"/>
                <w:lang w:val="ro-MD"/>
              </w:rPr>
              <w:t>auditor public principal</w:t>
            </w:r>
          </w:p>
        </w:tc>
        <w:tc>
          <w:tcPr>
            <w:tcW w:w="4141" w:type="dxa"/>
            <w:gridSpan w:val="2"/>
          </w:tcPr>
          <w:p w14:paraId="3DFFA971" w14:textId="77777777" w:rsidR="00B8482E" w:rsidRDefault="00B8482E" w:rsidP="00C05E71">
            <w:pPr>
              <w:spacing w:line="276" w:lineRule="auto"/>
              <w:jc w:val="right"/>
              <w:rPr>
                <w:rFonts w:asciiTheme="majorHAnsi" w:eastAsia="Arial" w:hAnsiTheme="majorHAnsi" w:cstheme="majorHAnsi"/>
                <w:b/>
                <w:spacing w:val="1"/>
                <w:sz w:val="24"/>
                <w:szCs w:val="24"/>
                <w:lang w:val="ro-MD"/>
              </w:rPr>
            </w:pPr>
            <w:r w:rsidRPr="00C05E71">
              <w:rPr>
                <w:rFonts w:asciiTheme="majorHAnsi" w:eastAsia="Times New Roman" w:hAnsiTheme="majorHAnsi" w:cstheme="majorHAnsi"/>
                <w:b/>
                <w:bCs/>
                <w:iCs/>
                <w:sz w:val="24"/>
                <w:szCs w:val="24"/>
                <w:lang w:val="ro-MD"/>
              </w:rPr>
              <w:t>Igor</w:t>
            </w:r>
            <w:r w:rsidRPr="00C05E71">
              <w:rPr>
                <w:rFonts w:asciiTheme="majorHAnsi" w:eastAsia="Arial" w:hAnsiTheme="majorHAnsi" w:cstheme="majorHAnsi"/>
                <w:b/>
                <w:spacing w:val="1"/>
                <w:sz w:val="24"/>
                <w:szCs w:val="24"/>
                <w:lang w:val="ro-MD"/>
              </w:rPr>
              <w:t xml:space="preserve"> LUNGU</w:t>
            </w:r>
          </w:p>
          <w:p w14:paraId="7128ADC8" w14:textId="01DE08AE" w:rsidR="00294FC0" w:rsidRPr="00C05E71" w:rsidRDefault="00294FC0" w:rsidP="00C05E71">
            <w:pPr>
              <w:spacing w:line="276" w:lineRule="auto"/>
              <w:jc w:val="right"/>
              <w:rPr>
                <w:rFonts w:asciiTheme="majorHAnsi" w:hAnsiTheme="majorHAnsi" w:cstheme="majorHAnsi"/>
                <w:b/>
                <w:sz w:val="24"/>
                <w:szCs w:val="24"/>
                <w:lang w:val="ro-MD"/>
              </w:rPr>
            </w:pPr>
          </w:p>
        </w:tc>
      </w:tr>
      <w:tr w:rsidR="00B8482E" w:rsidRPr="00C05E71" w14:paraId="578621FE" w14:textId="77777777" w:rsidTr="00C63DCC">
        <w:tc>
          <w:tcPr>
            <w:tcW w:w="5215" w:type="dxa"/>
          </w:tcPr>
          <w:p w14:paraId="4CAA8908" w14:textId="131E1A8E" w:rsidR="00B8482E" w:rsidRPr="00C05E71" w:rsidRDefault="00B8482E" w:rsidP="00C05E71">
            <w:pPr>
              <w:spacing w:line="276" w:lineRule="auto"/>
              <w:rPr>
                <w:rFonts w:asciiTheme="majorHAnsi" w:hAnsiTheme="majorHAnsi" w:cstheme="majorHAnsi"/>
                <w:sz w:val="24"/>
                <w:szCs w:val="24"/>
                <w:lang w:val="ro-MD"/>
              </w:rPr>
            </w:pPr>
            <w:r w:rsidRPr="00C05E71">
              <w:rPr>
                <w:rFonts w:asciiTheme="majorHAnsi" w:eastAsia="Arial" w:hAnsiTheme="majorHAnsi" w:cstheme="majorHAnsi"/>
                <w:spacing w:val="1"/>
                <w:sz w:val="24"/>
                <w:szCs w:val="24"/>
                <w:lang w:val="ro-MD"/>
              </w:rPr>
              <w:t>auditor public superior</w:t>
            </w:r>
          </w:p>
        </w:tc>
        <w:tc>
          <w:tcPr>
            <w:tcW w:w="4141" w:type="dxa"/>
            <w:gridSpan w:val="2"/>
          </w:tcPr>
          <w:p w14:paraId="2994BFFB" w14:textId="77777777" w:rsidR="00B8482E" w:rsidRDefault="00B8482E" w:rsidP="00C05E71">
            <w:pPr>
              <w:spacing w:line="276" w:lineRule="auto"/>
              <w:jc w:val="right"/>
              <w:rPr>
                <w:rFonts w:asciiTheme="majorHAnsi" w:eastAsia="Arial" w:hAnsiTheme="majorHAnsi" w:cstheme="majorHAnsi"/>
                <w:b/>
                <w:spacing w:val="1"/>
                <w:sz w:val="24"/>
                <w:szCs w:val="24"/>
                <w:lang w:val="ro-MD"/>
              </w:rPr>
            </w:pPr>
            <w:r w:rsidRPr="00C05E71">
              <w:rPr>
                <w:rFonts w:asciiTheme="majorHAnsi" w:eastAsia="Times New Roman" w:hAnsiTheme="majorHAnsi" w:cstheme="majorHAnsi"/>
                <w:b/>
                <w:bCs/>
                <w:iCs/>
                <w:sz w:val="24"/>
                <w:szCs w:val="24"/>
                <w:lang w:val="ro-MD"/>
              </w:rPr>
              <w:t>Maria T</w:t>
            </w:r>
            <w:r w:rsidRPr="00C05E71">
              <w:rPr>
                <w:rFonts w:asciiTheme="majorHAnsi" w:eastAsia="Arial" w:hAnsiTheme="majorHAnsi" w:cstheme="majorHAnsi"/>
                <w:b/>
                <w:spacing w:val="1"/>
                <w:sz w:val="24"/>
                <w:szCs w:val="24"/>
                <w:lang w:val="ro-MD"/>
              </w:rPr>
              <w:t>ABACARI</w:t>
            </w:r>
          </w:p>
          <w:p w14:paraId="4557E201" w14:textId="74C7A1BD" w:rsidR="00C63DCC" w:rsidRPr="00C05E71" w:rsidRDefault="00C63DCC" w:rsidP="00C05E71">
            <w:pPr>
              <w:spacing w:line="276" w:lineRule="auto"/>
              <w:jc w:val="right"/>
              <w:rPr>
                <w:rFonts w:asciiTheme="majorHAnsi" w:hAnsiTheme="majorHAnsi" w:cstheme="majorHAnsi"/>
                <w:b/>
                <w:sz w:val="24"/>
                <w:szCs w:val="24"/>
                <w:lang w:val="ro-MD"/>
              </w:rPr>
            </w:pPr>
          </w:p>
        </w:tc>
      </w:tr>
      <w:tr w:rsidR="00B8482E" w:rsidRPr="00C05E71" w14:paraId="38F3A726" w14:textId="77777777" w:rsidTr="00C63DCC">
        <w:tc>
          <w:tcPr>
            <w:tcW w:w="5215" w:type="dxa"/>
          </w:tcPr>
          <w:p w14:paraId="57008A19" w14:textId="77777777" w:rsidR="00294FC0" w:rsidRDefault="00B8482E" w:rsidP="00C05E71">
            <w:pPr>
              <w:spacing w:line="276" w:lineRule="auto"/>
              <w:rPr>
                <w:rFonts w:asciiTheme="majorHAnsi" w:eastAsia="Times New Roman" w:hAnsiTheme="majorHAnsi" w:cstheme="majorHAnsi"/>
                <w:b/>
                <w:iCs/>
                <w:sz w:val="24"/>
                <w:szCs w:val="24"/>
                <w:lang w:val="ro-MD"/>
              </w:rPr>
            </w:pPr>
            <w:r w:rsidRPr="00C05E71">
              <w:rPr>
                <w:rFonts w:asciiTheme="majorHAnsi" w:eastAsia="Times New Roman" w:hAnsiTheme="majorHAnsi" w:cstheme="majorHAnsi"/>
                <w:b/>
                <w:iCs/>
                <w:sz w:val="24"/>
                <w:szCs w:val="24"/>
                <w:lang w:val="ro-MD"/>
              </w:rPr>
              <w:t xml:space="preserve">Responsabil de monitorizarea </w:t>
            </w:r>
          </w:p>
          <w:p w14:paraId="45EB6C04" w14:textId="559F2FFB" w:rsidR="00B8482E" w:rsidRPr="00C05E71" w:rsidRDefault="00B8482E" w:rsidP="00C05E71">
            <w:pPr>
              <w:spacing w:line="276" w:lineRule="auto"/>
              <w:rPr>
                <w:rFonts w:asciiTheme="majorHAnsi" w:eastAsia="Arial" w:hAnsiTheme="majorHAnsi" w:cstheme="majorHAnsi"/>
                <w:b/>
                <w:spacing w:val="1"/>
                <w:sz w:val="24"/>
                <w:szCs w:val="24"/>
                <w:lang w:val="ro-MD"/>
              </w:rPr>
            </w:pPr>
            <w:r w:rsidRPr="00C05E71">
              <w:rPr>
                <w:rFonts w:asciiTheme="majorHAnsi" w:eastAsia="Times New Roman" w:hAnsiTheme="majorHAnsi" w:cstheme="majorHAnsi"/>
                <w:b/>
                <w:iCs/>
                <w:sz w:val="24"/>
                <w:szCs w:val="24"/>
                <w:lang w:val="ro-MD"/>
              </w:rPr>
              <w:t>și asigurarea calității auditului</w:t>
            </w:r>
          </w:p>
        </w:tc>
        <w:tc>
          <w:tcPr>
            <w:tcW w:w="4141" w:type="dxa"/>
            <w:gridSpan w:val="2"/>
          </w:tcPr>
          <w:p w14:paraId="32A7EE5A" w14:textId="77777777" w:rsidR="00B8482E" w:rsidRPr="00C05E71" w:rsidRDefault="00B8482E" w:rsidP="00C05E71">
            <w:pPr>
              <w:spacing w:line="276" w:lineRule="auto"/>
              <w:jc w:val="right"/>
              <w:rPr>
                <w:rFonts w:asciiTheme="majorHAnsi" w:eastAsia="Times New Roman" w:hAnsiTheme="majorHAnsi" w:cstheme="majorHAnsi"/>
                <w:b/>
                <w:bCs/>
                <w:iCs/>
                <w:sz w:val="24"/>
                <w:szCs w:val="24"/>
                <w:lang w:val="ro-MD"/>
              </w:rPr>
            </w:pPr>
          </w:p>
          <w:p w14:paraId="739BBECD" w14:textId="5EF330E7" w:rsidR="00B8482E" w:rsidRPr="00C05E71" w:rsidRDefault="00B8482E" w:rsidP="00C05E71">
            <w:pPr>
              <w:spacing w:line="276" w:lineRule="auto"/>
              <w:jc w:val="right"/>
              <w:rPr>
                <w:rFonts w:asciiTheme="majorHAnsi" w:eastAsia="Arial" w:hAnsiTheme="majorHAnsi" w:cstheme="majorHAnsi"/>
                <w:b/>
                <w:spacing w:val="1"/>
                <w:sz w:val="24"/>
                <w:szCs w:val="24"/>
                <w:lang w:val="ro-MD"/>
              </w:rPr>
            </w:pPr>
            <w:r w:rsidRPr="00C05E71">
              <w:rPr>
                <w:rFonts w:asciiTheme="majorHAnsi" w:eastAsia="Times New Roman" w:hAnsiTheme="majorHAnsi" w:cstheme="majorHAnsi"/>
                <w:b/>
                <w:bCs/>
                <w:iCs/>
                <w:sz w:val="24"/>
                <w:szCs w:val="24"/>
                <w:lang w:val="ro-MD"/>
              </w:rPr>
              <w:t>Sergiu ȘTIRBU</w:t>
            </w:r>
          </w:p>
        </w:tc>
      </w:tr>
      <w:tr w:rsidR="00B8482E" w:rsidRPr="00C05E71" w14:paraId="17D9F623" w14:textId="77777777" w:rsidTr="00C63DCC">
        <w:trPr>
          <w:gridAfter w:val="1"/>
          <w:wAfter w:w="628" w:type="dxa"/>
        </w:trPr>
        <w:tc>
          <w:tcPr>
            <w:tcW w:w="5215" w:type="dxa"/>
          </w:tcPr>
          <w:p w14:paraId="002EE812" w14:textId="6F3A798E" w:rsidR="00B8482E" w:rsidRPr="00C05E71" w:rsidRDefault="00B8482E" w:rsidP="00C05E71">
            <w:pPr>
              <w:spacing w:line="276" w:lineRule="auto"/>
              <w:rPr>
                <w:rFonts w:asciiTheme="majorHAnsi" w:eastAsia="Times New Roman" w:hAnsiTheme="majorHAnsi" w:cstheme="majorHAnsi"/>
                <w:iCs/>
                <w:sz w:val="24"/>
                <w:szCs w:val="24"/>
                <w:lang w:val="ro-MD"/>
              </w:rPr>
            </w:pPr>
            <w:r w:rsidRPr="00C05E71">
              <w:rPr>
                <w:rFonts w:asciiTheme="majorHAnsi" w:eastAsia="Times New Roman" w:hAnsiTheme="majorHAnsi" w:cstheme="majorHAnsi"/>
                <w:bCs/>
                <w:sz w:val="24"/>
                <w:szCs w:val="24"/>
                <w:lang w:val="ro-MD"/>
              </w:rPr>
              <w:t>Șeful Direcției generale de audit V</w:t>
            </w:r>
            <w:r w:rsidRPr="00C05E71">
              <w:rPr>
                <w:rFonts w:asciiTheme="majorHAnsi" w:eastAsia="Times New Roman" w:hAnsiTheme="majorHAnsi" w:cstheme="majorHAnsi"/>
                <w:b/>
                <w:bCs/>
                <w:sz w:val="24"/>
                <w:szCs w:val="24"/>
                <w:lang w:val="ro-MD"/>
              </w:rPr>
              <w:t xml:space="preserve">  </w:t>
            </w:r>
            <w:r w:rsidRPr="00C05E71">
              <w:rPr>
                <w:rFonts w:asciiTheme="majorHAnsi" w:eastAsia="Times New Roman" w:hAnsiTheme="majorHAnsi" w:cstheme="majorHAnsi"/>
                <w:sz w:val="24"/>
                <w:szCs w:val="24"/>
                <w:lang w:val="ro-MD"/>
              </w:rPr>
              <w:t xml:space="preserve">                                                                       </w:t>
            </w:r>
          </w:p>
        </w:tc>
        <w:tc>
          <w:tcPr>
            <w:tcW w:w="3513" w:type="dxa"/>
          </w:tcPr>
          <w:p w14:paraId="2289B463" w14:textId="77777777" w:rsidR="00B8482E" w:rsidRPr="00C05E71" w:rsidRDefault="00B8482E" w:rsidP="00C05E71">
            <w:pPr>
              <w:spacing w:line="276" w:lineRule="auto"/>
              <w:rPr>
                <w:rFonts w:asciiTheme="majorHAnsi" w:eastAsia="Times New Roman" w:hAnsiTheme="majorHAnsi" w:cstheme="majorHAnsi"/>
                <w:b/>
                <w:bCs/>
                <w:i/>
                <w:iCs/>
                <w:sz w:val="24"/>
                <w:szCs w:val="24"/>
                <w:lang w:val="ro-MD"/>
              </w:rPr>
            </w:pPr>
          </w:p>
        </w:tc>
      </w:tr>
    </w:tbl>
    <w:p w14:paraId="38285B68" w14:textId="5C9A1C33" w:rsidR="00B8482E" w:rsidRPr="00F96CC6" w:rsidRDefault="00B8482E" w:rsidP="00C05E71">
      <w:pPr>
        <w:spacing w:after="0"/>
        <w:rPr>
          <w:lang w:val="ro-MD"/>
        </w:rPr>
      </w:pPr>
    </w:p>
    <w:p w14:paraId="1576D9AC" w14:textId="584D1CB9" w:rsidR="00B8482E" w:rsidRPr="00F96CC6" w:rsidRDefault="00B8482E" w:rsidP="00C05E71">
      <w:pPr>
        <w:spacing w:after="0"/>
        <w:rPr>
          <w:lang w:val="ro-MD"/>
        </w:rPr>
      </w:pPr>
    </w:p>
    <w:p w14:paraId="2153BDC6" w14:textId="77777777" w:rsidR="00B8482E" w:rsidRPr="00F96CC6" w:rsidRDefault="00B8482E" w:rsidP="00C05E71">
      <w:pPr>
        <w:spacing w:after="0"/>
        <w:rPr>
          <w:lang w:val="ro-MD"/>
        </w:rPr>
      </w:pPr>
    </w:p>
    <w:sectPr w:rsidR="00B8482E" w:rsidRPr="00F96CC6" w:rsidSect="00CB305A">
      <w:pgSz w:w="11907" w:h="16840" w:code="9"/>
      <w:pgMar w:top="851" w:right="851" w:bottom="851" w:left="1701" w:header="70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14BDC" w14:textId="77777777" w:rsidR="00710707" w:rsidRDefault="00710707" w:rsidP="002A7174">
      <w:pPr>
        <w:spacing w:after="0" w:line="240" w:lineRule="auto"/>
      </w:pPr>
      <w:r>
        <w:separator/>
      </w:r>
    </w:p>
  </w:endnote>
  <w:endnote w:type="continuationSeparator" w:id="0">
    <w:p w14:paraId="79785D0A" w14:textId="77777777" w:rsidR="00710707" w:rsidRDefault="00710707" w:rsidP="002A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462313"/>
      <w:docPartObj>
        <w:docPartGallery w:val="Page Numbers (Bottom of Page)"/>
        <w:docPartUnique/>
      </w:docPartObj>
    </w:sdtPr>
    <w:sdtEndPr>
      <w:rPr>
        <w:noProof/>
      </w:rPr>
    </w:sdtEndPr>
    <w:sdtContent>
      <w:p w14:paraId="15FECA88" w14:textId="3A784069" w:rsidR="00413149" w:rsidRDefault="00413149">
        <w:pPr>
          <w:pStyle w:val="Footer"/>
          <w:jc w:val="right"/>
        </w:pPr>
        <w:r>
          <w:fldChar w:fldCharType="begin"/>
        </w:r>
        <w:r>
          <w:instrText xml:space="preserve"> PAGE   \* MERGEFORMAT </w:instrText>
        </w:r>
        <w:r>
          <w:fldChar w:fldCharType="separate"/>
        </w:r>
        <w:r w:rsidR="00BD61A3">
          <w:rPr>
            <w:noProof/>
          </w:rPr>
          <w:t>1</w:t>
        </w:r>
        <w:r>
          <w:rPr>
            <w:noProof/>
          </w:rPr>
          <w:fldChar w:fldCharType="end"/>
        </w:r>
      </w:p>
    </w:sdtContent>
  </w:sdt>
  <w:p w14:paraId="6AAC70BC" w14:textId="77777777" w:rsidR="00413149" w:rsidRDefault="0041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7E5D8" w14:textId="77777777" w:rsidR="00710707" w:rsidRDefault="00710707" w:rsidP="002A7174">
      <w:pPr>
        <w:spacing w:after="0" w:line="240" w:lineRule="auto"/>
      </w:pPr>
      <w:r>
        <w:separator/>
      </w:r>
    </w:p>
  </w:footnote>
  <w:footnote w:type="continuationSeparator" w:id="0">
    <w:p w14:paraId="4380B161" w14:textId="77777777" w:rsidR="00710707" w:rsidRDefault="00710707" w:rsidP="002A7174">
      <w:pPr>
        <w:spacing w:after="0" w:line="240" w:lineRule="auto"/>
      </w:pPr>
      <w:r>
        <w:continuationSeparator/>
      </w:r>
    </w:p>
  </w:footnote>
  <w:footnote w:id="1">
    <w:p w14:paraId="641769CB" w14:textId="6628091D" w:rsidR="00413149" w:rsidRPr="00F16898" w:rsidRDefault="00413149" w:rsidP="00F16898">
      <w:pPr>
        <w:pStyle w:val="FootnoteText"/>
        <w:jc w:val="both"/>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Legea contabilității nr.</w:t>
      </w:r>
      <w:r w:rsidRPr="00F16898">
        <w:rPr>
          <w:rFonts w:asciiTheme="majorHAnsi" w:eastAsia="Times New Roman" w:hAnsiTheme="majorHAnsi" w:cstheme="majorHAnsi"/>
          <w:sz w:val="16"/>
          <w:szCs w:val="16"/>
          <w:lang w:val="ro-MD"/>
        </w:rPr>
        <w:t>113-XVI din 27.04.2007;</w:t>
      </w:r>
      <w:r w:rsidRPr="00F16898">
        <w:rPr>
          <w:rFonts w:asciiTheme="majorHAnsi" w:hAnsiTheme="majorHAnsi" w:cstheme="majorHAnsi"/>
          <w:sz w:val="16"/>
          <w:szCs w:val="16"/>
          <w:lang w:val="ro-MD"/>
        </w:rPr>
        <w:t xml:space="preserve"> </w:t>
      </w:r>
      <w:r w:rsidRPr="00F16898">
        <w:rPr>
          <w:rFonts w:asciiTheme="majorHAnsi" w:eastAsia="Times New Roman" w:hAnsiTheme="majorHAnsi" w:cstheme="majorHAnsi"/>
          <w:sz w:val="16"/>
          <w:szCs w:val="16"/>
          <w:lang w:val="ro-MD"/>
        </w:rPr>
        <w:t>Planul de conturi contabile în sistemul bugetar și Normele metodologice privind evidența contabilă și raportarea financiară în sistemul bugetar, aprobate prin Ordinul ministrului finanțelor nr.216 din 28.12.2015; Ordinul ministrului finanțelor nr.164 din 30.12.2016 „Cu privire la aprobarea Cerințelor la întocmirea Raportului narativ privind executarea bugetelor autorităților/instituțiilor bugetare”.</w:t>
      </w:r>
    </w:p>
  </w:footnote>
  <w:footnote w:id="2">
    <w:p w14:paraId="3AA4671E" w14:textId="6850A35E" w:rsidR="00413149" w:rsidRPr="00F16898" w:rsidRDefault="00413149" w:rsidP="00F16898">
      <w:pPr>
        <w:pStyle w:val="FootnoteText"/>
        <w:jc w:val="both"/>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w:t>
      </w:r>
      <w:r w:rsidRPr="00F16898">
        <w:rPr>
          <w:rFonts w:asciiTheme="majorHAnsi" w:eastAsia="Calibri" w:hAnsiTheme="majorHAnsi" w:cstheme="majorHAnsi"/>
          <w:sz w:val="16"/>
          <w:szCs w:val="16"/>
          <w:lang w:val="ro-MD"/>
        </w:rPr>
        <w:t xml:space="preserve">Hotărârea Adunării Populare a Găgăuziei nr.398-XXVI/V din 30.06.2015 privind transmiterea dreptului de fondator al IMSP din UTA Găgăuzia de la Administrațiile raioanelor Comrat, Ceadâr-Lunga și Vulcănești la Comitetul Executiv al Găgăuziei, care a delegat atribuțiile privind controlul, gestionarea și reprezentarea fondatorului a tuturor IMSP fondate Direcției Generale Sănătate și Protecție a Familiei a UTA Găgăuzia.  </w:t>
      </w:r>
    </w:p>
  </w:footnote>
  <w:footnote w:id="3">
    <w:p w14:paraId="441A227A" w14:textId="610F3D19" w:rsidR="00413149" w:rsidRPr="00F16898" w:rsidRDefault="00413149" w:rsidP="00F16898">
      <w:pPr>
        <w:pStyle w:val="FootnoteText"/>
        <w:jc w:val="both"/>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w:t>
      </w:r>
      <w:r w:rsidRPr="00F16898">
        <w:rPr>
          <w:rFonts w:asciiTheme="majorHAnsi" w:eastAsia="Calibri" w:hAnsiTheme="majorHAnsi" w:cstheme="majorHAnsi"/>
          <w:noProof/>
          <w:sz w:val="16"/>
          <w:szCs w:val="16"/>
          <w:lang w:val="ro-MD"/>
        </w:rPr>
        <w:t>Potrivit prevederilor Hotărârii Comitetului Executiv al UTA Găgăuzia nr. 34/9 din 25.10.2018 „Despre lichidarea Î.S. „Sud-A-Con””, modificată prin Hotărârea Comitetului Executiv nr.1/1 din 03.01.2019, s-a hotărât lichidarea din 31.03.2019 a întreprinderii menționate, Direcția Generală Construcții și Infrastructură fiind desemnată ca succesor de drepturi al acesteia, învestită cu responsabilitatea de a asigura primirea-predarea mijloacelor fixe aflate în gestiunea întreprinderii de stat.</w:t>
      </w:r>
    </w:p>
  </w:footnote>
  <w:footnote w:id="4">
    <w:p w14:paraId="39A97531" w14:textId="0C58BBD1" w:rsidR="00413149" w:rsidRPr="00F16898" w:rsidRDefault="00413149" w:rsidP="00F16898">
      <w:pPr>
        <w:pStyle w:val="FootnoteText"/>
        <w:jc w:val="both"/>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Î.S. „Sud-A-Con” este o întreprindere al cărei fondator este Direcția Generală Construcții și Infrastructură a UTA Găgăuzia, prin intermediul căreia se executau cheltuielile pentru reparații și investiții capitale finanțate din bugetul Comitetului Executiv al UTA Găgăuzia și care, în urma procedurilor de achiziție a serviciilor de reparații capitale și curente ale patrimoniului Comitetului Executiv, încheia contracte cu agenții economici declarați câștigători, astfel devenind beneficiarul serviciilor prestate. Valoarea reparațiilor și investițiilor capitale, la situația din 31.12.2017, constituia  55731,9 mii lei, care, potrivit constatărilor din auditul precedent, nu erau raportate și consolidate în Raportul Comitetului Executiv al UTA Găgăuzia (bugetul central). </w:t>
      </w:r>
    </w:p>
  </w:footnote>
  <w:footnote w:id="5">
    <w:p w14:paraId="3501AE98" w14:textId="380DE42C" w:rsidR="00413149" w:rsidRPr="00F16898" w:rsidRDefault="00413149" w:rsidP="00F16898">
      <w:pPr>
        <w:pStyle w:val="FootnoteText"/>
        <w:rPr>
          <w:rFonts w:asciiTheme="majorHAnsi" w:hAnsiTheme="majorHAnsi" w:cstheme="majorHAnsi"/>
          <w:color w:val="000000" w:themeColor="text1"/>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w:t>
      </w:r>
      <w:r w:rsidRPr="00F16898">
        <w:rPr>
          <w:rFonts w:asciiTheme="majorHAnsi" w:hAnsiTheme="majorHAnsi" w:cstheme="majorHAnsi"/>
          <w:color w:val="000000" w:themeColor="text1"/>
          <w:sz w:val="16"/>
          <w:szCs w:val="16"/>
          <w:lang w:val="ro-MD"/>
        </w:rPr>
        <w:t>Valoare preluată din Raportul Curții de Conturi, aprobat prin Hotărârea Curții de Conturi nr.50 din 23.07.2018.</w:t>
      </w:r>
    </w:p>
  </w:footnote>
  <w:footnote w:id="6">
    <w:p w14:paraId="1C93D63C" w14:textId="7F572F9E" w:rsidR="00413149" w:rsidRPr="00F16898" w:rsidRDefault="00413149" w:rsidP="00F16898">
      <w:pPr>
        <w:pStyle w:val="FootnoteText"/>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Soldul care urma a fi reflectat la 01.01.2018 – 55731,9 mii lei + 63430,6 mii lei, valoarea lucrărilor executate în anul 2018 = 119162,5 mii lei.</w:t>
      </w:r>
    </w:p>
  </w:footnote>
  <w:footnote w:id="7">
    <w:p w14:paraId="6DD8EDDA" w14:textId="3546F56D" w:rsidR="00413149" w:rsidRPr="00F16898" w:rsidRDefault="00413149" w:rsidP="00F16898">
      <w:pPr>
        <w:pStyle w:val="FootnoteText"/>
        <w:jc w:val="both"/>
        <w:rPr>
          <w:rFonts w:asciiTheme="majorHAnsi" w:hAnsiTheme="majorHAnsi" w:cstheme="majorHAnsi"/>
          <w:color w:val="000000" w:themeColor="text1"/>
          <w:sz w:val="16"/>
          <w:szCs w:val="16"/>
          <w:lang w:val="ro-MD"/>
        </w:rPr>
      </w:pPr>
      <w:r w:rsidRPr="00F16898">
        <w:rPr>
          <w:rStyle w:val="FootnoteReference"/>
          <w:rFonts w:asciiTheme="majorHAnsi" w:hAnsiTheme="majorHAnsi" w:cstheme="majorHAnsi"/>
          <w:color w:val="000000" w:themeColor="text1"/>
          <w:sz w:val="16"/>
          <w:szCs w:val="16"/>
          <w:lang w:val="ro-MD"/>
        </w:rPr>
        <w:footnoteRef/>
      </w:r>
      <w:r w:rsidRPr="00F16898">
        <w:rPr>
          <w:rFonts w:asciiTheme="majorHAnsi" w:hAnsiTheme="majorHAnsi" w:cstheme="majorHAnsi"/>
          <w:color w:val="000000" w:themeColor="text1"/>
          <w:sz w:val="16"/>
          <w:szCs w:val="16"/>
          <w:lang w:val="ro-MD"/>
        </w:rPr>
        <w:t xml:space="preserve"> Î.S. „Sud-A-Con” raportează până în prezent datele neschimbate, raportate la 31.12.2018.</w:t>
      </w:r>
    </w:p>
  </w:footnote>
  <w:footnote w:id="8">
    <w:p w14:paraId="1F85E593" w14:textId="055E4E0E" w:rsidR="00413149" w:rsidRPr="00F16898" w:rsidRDefault="00413149" w:rsidP="00F16898">
      <w:pPr>
        <w:pStyle w:val="FootnoteText"/>
        <w:jc w:val="both"/>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55731,9 mii lei +63430,6 mii lei – 22254,8 mii lei (valoarea reparațiilor capitale ale drumurilor de interes raional, contul 312)= 96907,7 mii lei (valoarea care urma a fi raportată la contul 319); 96907,7 mii lei – 59553,2 mii lei (valoarea raportată la contul 319) = 37354,5 mii lei.</w:t>
      </w:r>
    </w:p>
  </w:footnote>
  <w:footnote w:id="9">
    <w:p w14:paraId="6EC50174" w14:textId="3CA614CE" w:rsidR="00413149" w:rsidRPr="00F16898" w:rsidRDefault="00413149" w:rsidP="00F16898">
      <w:pPr>
        <w:pStyle w:val="FootnoteText"/>
        <w:rPr>
          <w:rFonts w:asciiTheme="majorHAnsi" w:hAnsiTheme="majorHAnsi" w:cstheme="majorHAnsi"/>
          <w:sz w:val="16"/>
          <w:szCs w:val="16"/>
          <w:lang w:val="ro-MD"/>
        </w:rPr>
      </w:pPr>
      <w:r w:rsidRPr="00F16898">
        <w:rPr>
          <w:rStyle w:val="FootnoteReference"/>
          <w:rFonts w:asciiTheme="majorHAnsi" w:hAnsiTheme="majorHAnsi" w:cstheme="majorHAnsi"/>
          <w:color w:val="000000" w:themeColor="text1"/>
          <w:sz w:val="16"/>
          <w:szCs w:val="16"/>
          <w:lang w:val="ro-MD"/>
        </w:rPr>
        <w:footnoteRef/>
      </w:r>
      <w:r w:rsidRPr="00F16898">
        <w:rPr>
          <w:rFonts w:asciiTheme="majorHAnsi" w:hAnsiTheme="majorHAnsi" w:cstheme="majorHAnsi"/>
          <w:color w:val="000000" w:themeColor="text1"/>
          <w:sz w:val="16"/>
          <w:szCs w:val="16"/>
          <w:lang w:val="ro-MD"/>
        </w:rPr>
        <w:t xml:space="preserve"> Valoarea uzurii estimată de echipa de audit: 22254,8 mii lei /16 ani (durata de funcționare) = 1390,9 mii lei/an;  1390,9* 2 ani = 2781,8 mii lei.</w:t>
      </w:r>
    </w:p>
  </w:footnote>
  <w:footnote w:id="10">
    <w:p w14:paraId="16D5C32B" w14:textId="317AE264" w:rsidR="00413149" w:rsidRPr="00F16898" w:rsidRDefault="00413149" w:rsidP="00F16898">
      <w:pPr>
        <w:pStyle w:val="FootnoteText"/>
        <w:jc w:val="both"/>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SA „Apă Termo” – 22257,7 mii lei; Primăria Baurci – 1867,5 mii lei; Primăria Beșghioz – 3485,1 mii lei; Primăria Cazaclia -1238,9 mii lei, și Primăria Tomai – 1979,9 mii lei.</w:t>
      </w:r>
    </w:p>
  </w:footnote>
  <w:footnote w:id="11">
    <w:p w14:paraId="21ACFE32" w14:textId="4CE44360" w:rsidR="00413149" w:rsidRPr="00F16898" w:rsidRDefault="00413149" w:rsidP="00F16898">
      <w:pPr>
        <w:pStyle w:val="FootnoteText"/>
        <w:jc w:val="both"/>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Legea contabilității nr.113-XVI din 27.04.2007.</w:t>
      </w:r>
    </w:p>
  </w:footnote>
  <w:footnote w:id="12">
    <w:p w14:paraId="04A09923" w14:textId="084D77D2" w:rsidR="00413149" w:rsidRPr="00F16898" w:rsidRDefault="00413149" w:rsidP="00F16898">
      <w:pPr>
        <w:pStyle w:val="FootnoteText"/>
        <w:jc w:val="both"/>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Proiect finanțat de Agenția de Dezvoltare Regională a UTA Găgăuzia, conform contractului de finanțare semnat la 01.09.2017 cu Comitetul Executiv, în calitate de „Lider de proiect” și cofinanțator, și Primăria mun. Comrat, în calitate de „Partener”.</w:t>
      </w:r>
    </w:p>
  </w:footnote>
  <w:footnote w:id="13">
    <w:p w14:paraId="201F8672" w14:textId="53B3858A" w:rsidR="00413149" w:rsidRPr="00F16898" w:rsidRDefault="00413149" w:rsidP="00F16898">
      <w:pPr>
        <w:pStyle w:val="FootnoteText"/>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Valoarea lucrărilor executate și transmise prin Act de primire-predare la 12.03.2019 și la 21.07.2020.</w:t>
      </w:r>
    </w:p>
  </w:footnote>
  <w:footnote w:id="14">
    <w:p w14:paraId="747575C3" w14:textId="77777777" w:rsidR="00413149" w:rsidRPr="00F16898" w:rsidRDefault="00413149" w:rsidP="00F16898">
      <w:pPr>
        <w:pStyle w:val="FootnoteText"/>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Valoarea lucrărilor executate la 26.12.2018.</w:t>
      </w:r>
    </w:p>
  </w:footnote>
  <w:footnote w:id="15">
    <w:p w14:paraId="5933BC70" w14:textId="10B6EAAE" w:rsidR="00413149" w:rsidRPr="00F16898" w:rsidRDefault="00413149" w:rsidP="00F16898">
      <w:pPr>
        <w:pStyle w:val="FootnoteText"/>
        <w:jc w:val="both"/>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SLPA - </w:t>
      </w:r>
      <w:r w:rsidRPr="00F16898">
        <w:rPr>
          <w:rFonts w:asciiTheme="majorHAnsi" w:eastAsia="Calibri" w:hAnsiTheme="majorHAnsi" w:cstheme="majorHAnsi"/>
          <w:sz w:val="16"/>
          <w:szCs w:val="16"/>
          <w:lang w:val="ro-MD"/>
        </w:rPr>
        <w:t>sprijin pentru autoritățile publice locale din UTA Găgăuzia.</w:t>
      </w:r>
    </w:p>
  </w:footnote>
  <w:footnote w:id="16">
    <w:p w14:paraId="30D1059B" w14:textId="6D43B1FB" w:rsidR="00413149" w:rsidRPr="00F16898" w:rsidRDefault="00413149" w:rsidP="00F16898">
      <w:pPr>
        <w:pStyle w:val="FootnoteText"/>
        <w:jc w:val="both"/>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w:t>
      </w:r>
      <w:r w:rsidRPr="00F16898">
        <w:rPr>
          <w:rFonts w:asciiTheme="majorHAnsi" w:eastAsia="Calibri" w:hAnsiTheme="majorHAnsi" w:cstheme="majorHAnsi"/>
          <w:sz w:val="16"/>
          <w:szCs w:val="16"/>
          <w:lang w:val="ro-MD"/>
        </w:rPr>
        <w:t>Liceul sportiv regional, tip internat, mun. Comrat  – 1115,9 mii lei; Liceul Teoretic „M. Eminescu”, mun. Comrat  – 237,6 mii lei; Liceul Teoretic „Gr. Vieru”, s. Chioselia Rusă – 293,6 mii lei;  Liceul Teoretic Moldo-Turc „S. Demireli”, s. Congaz – 61,3 mii lei; Gimnaziul „V. Topal”, s. Congaz – 301,7 mii lei; Liceul Teoretic „B. Ianioglo”, s. Copceac – 248,9 mii lei.</w:t>
      </w:r>
    </w:p>
  </w:footnote>
  <w:footnote w:id="17">
    <w:p w14:paraId="3069E632" w14:textId="036C6EC3" w:rsidR="00413149" w:rsidRPr="00F16898" w:rsidRDefault="00413149" w:rsidP="00F16898">
      <w:pPr>
        <w:pStyle w:val="FootnoteText"/>
        <w:jc w:val="both"/>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w:t>
      </w:r>
      <w:r w:rsidRPr="00F16898">
        <w:rPr>
          <w:rFonts w:asciiTheme="majorHAnsi" w:hAnsiTheme="majorHAnsi" w:cstheme="majorHAnsi"/>
          <w:color w:val="000000" w:themeColor="text1"/>
          <w:sz w:val="16"/>
          <w:szCs w:val="16"/>
          <w:lang w:val="ro-MD"/>
        </w:rPr>
        <w:t xml:space="preserve">În anul 2019, din mijloacele bugetare ale Comitetului Executiv al UTA Găgăuzia au fost executate lucrări de reparație capitală a bunului imobil amplasat în parcul industrial din mun. Comrat, a căror valoare urma a fi transmisă UAT </w:t>
      </w:r>
      <w:r w:rsidR="007722DB">
        <w:rPr>
          <w:rFonts w:asciiTheme="majorHAnsi" w:hAnsiTheme="majorHAnsi" w:cstheme="majorHAnsi"/>
          <w:color w:val="000000" w:themeColor="text1"/>
          <w:sz w:val="16"/>
          <w:szCs w:val="16"/>
          <w:lang w:val="ro-MD"/>
        </w:rPr>
        <w:t>mun.</w:t>
      </w:r>
      <w:r w:rsidRPr="00F16898">
        <w:rPr>
          <w:rFonts w:asciiTheme="majorHAnsi" w:hAnsiTheme="majorHAnsi" w:cstheme="majorHAnsi"/>
          <w:color w:val="000000" w:themeColor="text1"/>
          <w:sz w:val="16"/>
          <w:szCs w:val="16"/>
          <w:lang w:val="ro-MD"/>
        </w:rPr>
        <w:t>Comrat</w:t>
      </w:r>
      <w:r w:rsidRPr="00F16898">
        <w:rPr>
          <w:rFonts w:asciiTheme="majorHAnsi" w:hAnsiTheme="majorHAnsi" w:cstheme="majorHAnsi"/>
          <w:color w:val="FF0000"/>
          <w:sz w:val="16"/>
          <w:szCs w:val="16"/>
          <w:lang w:val="ro-MD"/>
        </w:rPr>
        <w:t xml:space="preserve">. </w:t>
      </w:r>
    </w:p>
  </w:footnote>
  <w:footnote w:id="18">
    <w:p w14:paraId="7FBE6B2A" w14:textId="324226A2" w:rsidR="00413149" w:rsidRPr="00F16898" w:rsidRDefault="00413149" w:rsidP="00F16898">
      <w:pPr>
        <w:pStyle w:val="FootnoteText"/>
        <w:jc w:val="both"/>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Muzeul regional de istorie și studiere din UTA Găgăuzia – 54731 de exponate, și Muzeul național găgăuz de istorie și etnografie „D. Cara-Ciobanu”, s. Beșalma – 20685 de exponate.</w:t>
      </w:r>
    </w:p>
  </w:footnote>
  <w:footnote w:id="19">
    <w:p w14:paraId="47223300" w14:textId="77777777" w:rsidR="00413149" w:rsidRPr="00F16898" w:rsidRDefault="00413149" w:rsidP="00F16898">
      <w:pPr>
        <w:pStyle w:val="FootnoteText"/>
        <w:jc w:val="both"/>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Hotărârea Curții de Conturi nr.60 din 11.12.2013 „Cu privire la aplicarea Standardelor Internaționale de Audit ale Instituțiilor Supreme de Audit de nivelul 3 – ISSAI 100, ISSAI 200, ISSAI 300, ISSAI 400, în cadrul misiunilor de audit ale Curții de Conturi”; Hotărârea Curții de Conturi nr.7 din 10.03.2014 „Cu privire la aplicarea Liniilor Directoare de Audit (ISSAI 1000-9999)”. </w:t>
      </w:r>
    </w:p>
  </w:footnote>
  <w:footnote w:id="20">
    <w:p w14:paraId="18C7835C" w14:textId="250887F9" w:rsidR="00413149" w:rsidRPr="00F16898" w:rsidRDefault="00413149" w:rsidP="00F16898">
      <w:pPr>
        <w:pStyle w:val="FootnoteText"/>
        <w:jc w:val="both"/>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w:t>
      </w:r>
      <w:r w:rsidRPr="00F16898">
        <w:rPr>
          <w:rFonts w:asciiTheme="majorHAnsi" w:eastAsia="Times New Roman" w:hAnsiTheme="majorHAnsi" w:cstheme="majorHAnsi"/>
          <w:sz w:val="16"/>
          <w:szCs w:val="16"/>
          <w:lang w:val="ro-MD"/>
        </w:rPr>
        <w:t xml:space="preserve">Conform Legii UTA Găgăuzia (Gagauz-Yeri) „Privind finanțele publice”, elaborarea şi executarea bugetului central şi a bugetelor dolayurilor se efectuează de către Comitetul Executiv al Găgăuziei, iar examinarea şi aprobarea acestora – de către Adunarea Populară a Găgăuziei; a bugetelor locale ale satelor (comunelor), oraşelor şi municipiilor – de către organele publice locale corespunzătoare. Responsabilitatea pentru executarea bugetelor respective este pusă în sarcina Comitetului Executiv al Găgăuziei şi a organelor publice locale. </w:t>
      </w:r>
      <w:r w:rsidRPr="00F16898">
        <w:rPr>
          <w:rFonts w:asciiTheme="majorHAnsi" w:eastAsia="Calibri" w:hAnsiTheme="majorHAnsi" w:cstheme="majorHAnsi"/>
          <w:sz w:val="16"/>
          <w:szCs w:val="16"/>
          <w:lang w:val="ro-MD"/>
        </w:rPr>
        <w:t>Comitetul Executiv al UTA Găgăuzia – AAPL de nivelul II, are în subordine: administrațiile a trei dolayuri din componența UTA Găgăuzia – Comrat, Ceadâr-Lunga și Vulcănești; 10 direcții generale, 45 de instituții de învățământ preuniversitar și alte 15 instituții, care țin evidența contabilă proprie și raportează situațiile financiare, ce urmează a fi consolidate în Rapoartele financiare ale Comitetului Executiv (bugetul central – APL de nivelul II). Potrivit prevederilor legislației UTA Găgăuzia, Administrațiile dolayurilor sunt subdiviziuni structurale ale Comitetului Executiv al UTA Găgăuzia. Însă, probele de audit acumulate denotă că în Rapoartele consolidate ale Comitetului Executiv al Găgăuziei (bugetul central) pentru anul 2020 nu sunt totalizate datele reflectate în Rapoartele a 3 dolayuri.</w:t>
      </w:r>
    </w:p>
  </w:footnote>
  <w:footnote w:id="21">
    <w:p w14:paraId="39073278" w14:textId="77777777" w:rsidR="00413149" w:rsidRPr="00F16898" w:rsidRDefault="00413149" w:rsidP="00F16898">
      <w:pPr>
        <w:pStyle w:val="FootnoteText"/>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Anexa nr.3 la Ordinul Ministerului Finanțelor nr. 208 din 24.12.2015 „Privind Clasificația bugetară”.</w:t>
      </w:r>
    </w:p>
  </w:footnote>
  <w:footnote w:id="22">
    <w:p w14:paraId="10BB7D6A" w14:textId="0ED478F0" w:rsidR="00413149" w:rsidRPr="00F16898" w:rsidRDefault="00413149" w:rsidP="00F16898">
      <w:pPr>
        <w:spacing w:after="0" w:line="240" w:lineRule="auto"/>
        <w:ind w:right="1"/>
        <w:jc w:val="both"/>
        <w:rPr>
          <w:rFonts w:asciiTheme="majorHAnsi" w:eastAsia="Calibr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w:t>
      </w:r>
      <w:r w:rsidRPr="00F16898">
        <w:rPr>
          <w:rFonts w:asciiTheme="majorHAnsi" w:eastAsia="Calibri" w:hAnsiTheme="majorHAnsi" w:cstheme="majorHAnsi"/>
          <w:sz w:val="16"/>
          <w:szCs w:val="16"/>
          <w:lang w:val="ro-MD"/>
        </w:rPr>
        <w:t>Conform prevederilor art.11 alin. (3) lit.a) și lit.c) din Legea nr.29 din 05.04.2018, clădirile și terenurile în/pe care își desfășoară activitatea instituțiile medico-sanitare publice; obiectivele de infrastructură tehnico-edilitară țin de domeniul public al UAT de nivelul II, inclusiv al UTA Găgăuzia</w:t>
      </w:r>
      <w:r w:rsidRPr="00F16898">
        <w:rPr>
          <w:rFonts w:asciiTheme="majorHAnsi" w:hAnsiTheme="majorHAnsi" w:cstheme="majorHAnsi"/>
          <w:sz w:val="16"/>
          <w:szCs w:val="16"/>
          <w:lang w:val="ro-MD"/>
        </w:rPr>
        <w:t>, iar art. 6 alin. (1) lit. e)</w:t>
      </w:r>
      <w:r w:rsidRPr="00F16898">
        <w:rPr>
          <w:rFonts w:asciiTheme="majorHAnsi" w:hAnsiTheme="majorHAnsi" w:cstheme="majorHAnsi"/>
          <w:sz w:val="16"/>
          <w:szCs w:val="16"/>
          <w:vertAlign w:val="superscript"/>
          <w:lang w:val="ro-MD"/>
        </w:rPr>
        <w:t>1</w:t>
      </w:r>
      <w:r w:rsidRPr="00F16898">
        <w:rPr>
          <w:rFonts w:asciiTheme="majorHAnsi" w:hAnsiTheme="majorHAnsi" w:cstheme="majorHAnsi"/>
          <w:sz w:val="16"/>
          <w:szCs w:val="16"/>
          <w:lang w:val="ro-MD"/>
        </w:rPr>
        <w:t xml:space="preserve"> din Legea ocrotirii sănătății nr. 411- XIII din 28.03.1995 reglementează că </w:t>
      </w:r>
      <w:r w:rsidRPr="00F16898">
        <w:rPr>
          <w:rFonts w:asciiTheme="majorHAnsi" w:hAnsiTheme="majorHAnsi" w:cstheme="majorHAnsi"/>
          <w:i/>
          <w:sz w:val="16"/>
          <w:szCs w:val="16"/>
          <w:lang w:val="ro-MD"/>
        </w:rPr>
        <w:t xml:space="preserve">„autoritățile administrației publice locale pot asigura, cu titlu gratuit, instituțiile medico-sanitare publice și instituțiile de expertiză medico-legală cu încăperi necesare pentru prestarea serviciilor medicale populației, cu obligația de a utiliza spațiul atribuit conform destinației prevăzute în contract”. </w:t>
      </w:r>
      <w:r w:rsidRPr="00F16898">
        <w:rPr>
          <w:rFonts w:asciiTheme="majorHAnsi" w:eastAsia="Calibri" w:hAnsiTheme="majorHAnsi" w:cstheme="majorHAnsi"/>
          <w:sz w:val="16"/>
          <w:szCs w:val="16"/>
          <w:lang w:val="ro-MD"/>
        </w:rPr>
        <w:t>Potrivit prevederilor Hotărârii Adunării Populare a Găgăuziei nr.398-XXVI/V din 30.06.2015, s-a decis transmiterea dreptului de fondator al IMSP din UTA Găgăuzia de la Administrațiile raioanelor Comrat, Ceadâr-Lunga și Vulcănești la Comitetul Executiv al Găgăuziei, care a delegat atribuțiile privind controlul, gestionarea și reprezentarea fondatorului a tuturor IMSP fondate Direcției Generale Sănătate și Protecție a Familiei a UTA Găgăuzia. La 16.08.2019, prin Hotărârea nr.28/1 „Privind transmiterea mijloacelor fixe ale instituțiilor medico-sanitare publice de la balanța dolayului Comrat la balanța Direcției Generale Sănătate și Protecție Socială a Găgăuziei”</w:t>
      </w:r>
      <w:r w:rsidRPr="00F16898">
        <w:rPr>
          <w:rFonts w:asciiTheme="majorHAnsi" w:eastAsia="Calibri" w:hAnsiTheme="majorHAnsi" w:cstheme="majorHAnsi"/>
          <w:sz w:val="16"/>
          <w:szCs w:val="16"/>
          <w:vertAlign w:val="superscript"/>
          <w:lang w:val="ro-MD"/>
        </w:rPr>
        <w:footnoteRef/>
      </w:r>
      <w:r w:rsidRPr="00F16898">
        <w:rPr>
          <w:rFonts w:asciiTheme="majorHAnsi" w:eastAsia="Calibri" w:hAnsiTheme="majorHAnsi" w:cstheme="majorHAnsi"/>
          <w:sz w:val="16"/>
          <w:szCs w:val="16"/>
          <w:lang w:val="ro-MD"/>
        </w:rPr>
        <w:t xml:space="preserve">, s-a dispus efectuarea inventarierii patrimoniului public transmis instituțiilor medico-sanitare publice din sectorul Comrat și transmiterea acestuia la balanța Direcției Generale Sănătate și Protecție Socială a Găgăuziei.  </w:t>
      </w:r>
    </w:p>
  </w:footnote>
  <w:footnote w:id="23">
    <w:p w14:paraId="060B73E0" w14:textId="3C9CD894" w:rsidR="00413149" w:rsidRPr="00F16898" w:rsidRDefault="00413149" w:rsidP="00C51090">
      <w:pPr>
        <w:pStyle w:val="FootnoteText"/>
        <w:jc w:val="both"/>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Liceul sportiv regional, tip internat – 28,6 mii lei; Liceul Teoretic „D. Cara-Ciobanu” – 297,7 mii lei; Liceul Teoretic „G.A. Gaidarji” - 62,8 mii lei; Liceul Teoretic „M. Eminescu” – 74,3 mii lei; Liceul Teoretic „N. Tretiacov” – 76,4 mii lei; Gimnaziul „S. Rudenco”, or. Vulcănești – 24,0 mii lei; Liceul Teoretic Moldo-Turc „S. Demireli” – 53,5 mii lei; Liceul Teoretic, s.Cazaclia – 9,7 mii lei; Gimnaziul „V.Topal” – 6,1 mii lei; Liceul Teoretic, s. Svetlâi – 361,5 mii lei; Liceul Teoretic „M. Chiosea” – 71,6 mii lei.  </w:t>
      </w:r>
    </w:p>
  </w:footnote>
  <w:footnote w:id="24">
    <w:p w14:paraId="0932511F" w14:textId="79C9C3F0" w:rsidR="00413149" w:rsidRPr="00F16898" w:rsidRDefault="00413149" w:rsidP="00F16898">
      <w:pPr>
        <w:pStyle w:val="FootnoteText"/>
        <w:jc w:val="both"/>
        <w:rPr>
          <w:rFonts w:asciiTheme="majorHAnsi" w:hAnsiTheme="majorHAnsi" w:cstheme="majorHAnsi"/>
          <w:sz w:val="16"/>
          <w:szCs w:val="16"/>
          <w:lang w:val="ro-MD"/>
        </w:rPr>
      </w:pPr>
      <w:r w:rsidRPr="00D95167">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Liceul Teoretic „G. Gaidarji”, mun. Comrat – 723,1 mii lei ; Liceul Teoretic „M. Tuzlova”, s. Chirsova – 253,8 mii lei; Liceul Teoretic „F. Ianioglo”, s. Cioc-Maidan – 24,8 mii lei; Liceul Teoretic „D. Cara-Ciobanu”, mun. Comrat – 414,9 mii lei; Liceul Teoretic „N. Tretiacov”, mun. Comrat – 627,1 mii lei; Liceul Teoretic „M. Eminescu”, mun. Comrat – 214,2 mii lei; Gimnaziul „V. Topal”, s. Congaz – 6,4 mii lei</w:t>
      </w:r>
      <w:r w:rsidRPr="00F16898">
        <w:rPr>
          <w:rFonts w:asciiTheme="majorHAnsi" w:hAnsiTheme="majorHAnsi" w:cstheme="majorHAnsi"/>
          <w:sz w:val="16"/>
          <w:szCs w:val="16"/>
          <w:vertAlign w:val="subscript"/>
          <w:lang w:val="ro-MD"/>
        </w:rPr>
        <w:t>.</w:t>
      </w:r>
    </w:p>
  </w:footnote>
  <w:footnote w:id="25">
    <w:p w14:paraId="658A9D56" w14:textId="7775115E" w:rsidR="00413149" w:rsidRPr="00F16898" w:rsidRDefault="00413149" w:rsidP="00F16898">
      <w:pPr>
        <w:pStyle w:val="FootnoteText"/>
        <w:jc w:val="both"/>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Aparatul Comitetului Executiv – 44,4 mii lei; Direcția relații externe și relații publice locale a UTA Găgăuzia – 28,9 mii lei;  Direcția Industrie a UTA Găgăuzia – 223,8 mii lei; Direcția Tineret și Sport – 40,7 mii lei; Centrul științific „Marunevici” – 12,3 mii lei; Liceul Teoretic „Gr. Vieru”, s. Chioselia Rusă – 28,0 mii lei.</w:t>
      </w:r>
    </w:p>
  </w:footnote>
  <w:footnote w:id="26">
    <w:p w14:paraId="78B7567B" w14:textId="1B473271" w:rsidR="00413149" w:rsidRPr="00F16898" w:rsidRDefault="00413149" w:rsidP="00F16898">
      <w:pPr>
        <w:pStyle w:val="FootnoteText"/>
        <w:jc w:val="both"/>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Aparatul Comitetului Executiv – 104,6 mii lei ; Direcția Generală Agricultură și Alimentație – 31,0 mii lei; Direcția Industrie – 264,9 mii lei; Direcția Tineret și Sport – 219,8 mii lei.</w:t>
      </w:r>
    </w:p>
  </w:footnote>
  <w:footnote w:id="27">
    <w:p w14:paraId="2C7DA9BE" w14:textId="7DD9290C" w:rsidR="00413149" w:rsidRPr="00C51090" w:rsidRDefault="00413149" w:rsidP="00F16898">
      <w:pPr>
        <w:pStyle w:val="FootnoteText"/>
        <w:jc w:val="both"/>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w:t>
      </w:r>
      <w:r w:rsidRPr="00F16898">
        <w:rPr>
          <w:rFonts w:asciiTheme="majorHAnsi" w:eastAsia="Calibri" w:hAnsiTheme="majorHAnsi" w:cstheme="majorHAnsi"/>
          <w:sz w:val="16"/>
          <w:szCs w:val="16"/>
          <w:lang w:val="ro-MD"/>
        </w:rPr>
        <w:t xml:space="preserve">Raportate la contul 311 „Clădiri” - cu </w:t>
      </w:r>
      <w:r w:rsidRPr="00C51090">
        <w:rPr>
          <w:rFonts w:asciiTheme="majorHAnsi" w:eastAsia="Calibri" w:hAnsiTheme="majorHAnsi" w:cstheme="majorHAnsi"/>
          <w:sz w:val="16"/>
          <w:szCs w:val="16"/>
          <w:lang w:val="ro-MD"/>
        </w:rPr>
        <w:t>suma de 469,4 mii lei; la contul 312 „Construcții speciale” - cu suma de 501,0 mii lei, și la contul 319 „Investiții capitale în active în curs de execuție” - cu suma de 28,0 mii lei.</w:t>
      </w:r>
    </w:p>
  </w:footnote>
  <w:footnote w:id="28">
    <w:p w14:paraId="19B856D7" w14:textId="1566E9E7" w:rsidR="00413149" w:rsidRPr="00F16898" w:rsidRDefault="00413149" w:rsidP="00F16898">
      <w:pPr>
        <w:pStyle w:val="FootnoteText"/>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Direcția Industrie – 304,5 mii lei; Centrul științific „Marunevici” – 3,0 mii lei.</w:t>
      </w:r>
    </w:p>
  </w:footnote>
  <w:footnote w:id="29">
    <w:p w14:paraId="71614D44" w14:textId="1DAC14CA" w:rsidR="00413149" w:rsidRPr="00F16898" w:rsidRDefault="00413149" w:rsidP="00F16898">
      <w:pPr>
        <w:pStyle w:val="FootnoteText"/>
        <w:jc w:val="both"/>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Liceul Teoretic „G. Gaidarji”, mun. Comrat – 10,3 mii lei; Liceul Teoretic „D. Cara-Ciobanu”, mun. Comrat -17,3 mii lei; Liceul Teoretic „N. Tretiacov”, mun. Comrat – 37,4 mii lei; Liceul Teoretic, s. Cazaclia – 13,8 mii lei; Liceul Teoretic „A. Doljenco”, or. Vulcănești – 129,8 mii lei.</w:t>
      </w:r>
    </w:p>
  </w:footnote>
  <w:footnote w:id="30">
    <w:p w14:paraId="6A8D3568" w14:textId="3ED27D58" w:rsidR="00413149" w:rsidRPr="00F16898" w:rsidRDefault="00413149" w:rsidP="00F16898">
      <w:pPr>
        <w:pStyle w:val="FootnoteText"/>
        <w:jc w:val="both"/>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Coordonatorul CIM, desemnat prin Dispoziția vicepreședintelui Comitetului Executiv nr.100-K din 04.04.2018 (specialist în Direcția juridică). S-a întocmit Raportul anual consolidat privind controlul intern managerial și s-a emis Declarația de răspundere managerială.</w:t>
      </w:r>
    </w:p>
  </w:footnote>
  <w:footnote w:id="31">
    <w:p w14:paraId="4646C3BA" w14:textId="77777777" w:rsidR="00413149" w:rsidRPr="00F16898" w:rsidRDefault="00413149" w:rsidP="00F16898">
      <w:pPr>
        <w:pStyle w:val="FootnoteText"/>
        <w:jc w:val="both"/>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La nivel de Comitet Executiv al UTA Găgăuzia și 15 instituții subordonate.</w:t>
      </w:r>
    </w:p>
  </w:footnote>
  <w:footnote w:id="32">
    <w:p w14:paraId="23CF9475" w14:textId="6B262EE9" w:rsidR="00413149" w:rsidRPr="00F16898" w:rsidRDefault="00413149" w:rsidP="00F16898">
      <w:pPr>
        <w:pStyle w:val="FootnoteText"/>
        <w:jc w:val="both"/>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Art.13 alin.(2) din Legea contabilității nr.113-XVI din 27.04.2007.</w:t>
      </w:r>
    </w:p>
  </w:footnote>
  <w:footnote w:id="33">
    <w:p w14:paraId="6D7F16D5" w14:textId="7DDB4E99" w:rsidR="00413149" w:rsidRPr="00F16898" w:rsidRDefault="00413149" w:rsidP="00F16898">
      <w:pPr>
        <w:pStyle w:val="FootnoteText"/>
        <w:jc w:val="both"/>
        <w:rPr>
          <w:rFonts w:asciiTheme="majorHAnsi" w:hAnsiTheme="majorHAnsi" w:cstheme="majorHAnsi"/>
          <w:sz w:val="16"/>
          <w:szCs w:val="16"/>
          <w:lang w:val="ro-MD"/>
        </w:rPr>
      </w:pPr>
      <w:r w:rsidRPr="00F16898">
        <w:rPr>
          <w:rStyle w:val="FootnoteReference"/>
          <w:rFonts w:asciiTheme="majorHAnsi" w:hAnsiTheme="majorHAnsi" w:cstheme="majorHAnsi"/>
          <w:sz w:val="16"/>
          <w:szCs w:val="16"/>
          <w:lang w:val="ro-MD"/>
        </w:rPr>
        <w:footnoteRef/>
      </w:r>
      <w:r w:rsidRPr="00F16898">
        <w:rPr>
          <w:rFonts w:asciiTheme="majorHAnsi" w:hAnsiTheme="majorHAnsi" w:cstheme="majorHAnsi"/>
          <w:sz w:val="16"/>
          <w:szCs w:val="16"/>
          <w:lang w:val="ro-MD"/>
        </w:rPr>
        <w:t xml:space="preserve"> Legea contabilității nr.113-XVI din 27.04.2007; Planul de conturi contabile în sistemul bugetar și Normele metodologice privind evidența contabilă și raportarea financiară în sistemul bugetar, aprobate prin Ordinul ministrului finanțelor nr.216 din 28.12.2015; Ordinul ministrului finanțelor nr.164 din 30.12.2016 „Cu privire la aprobarea Cerințelor la întocmirea Raportului narativ privind executarea bugetelor autorităților/instituțiilor bugetare”.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3335"/>
    <w:multiLevelType w:val="multilevel"/>
    <w:tmpl w:val="839CA1C0"/>
    <w:lvl w:ilvl="0">
      <w:start w:val="2"/>
      <w:numFmt w:val="upperRoman"/>
      <w:lvlText w:val="%1."/>
      <w:lvlJc w:val="left"/>
      <w:pPr>
        <w:ind w:left="8375" w:hanging="720"/>
      </w:pPr>
      <w:rPr>
        <w:rFonts w:hint="default"/>
        <w:b/>
      </w:rPr>
    </w:lvl>
    <w:lvl w:ilvl="1">
      <w:start w:val="5"/>
      <w:numFmt w:val="decimal"/>
      <w:isLgl/>
      <w:lvlText w:val="%1.%2."/>
      <w:lvlJc w:val="left"/>
      <w:pPr>
        <w:ind w:left="8364" w:hanging="360"/>
      </w:pPr>
      <w:rPr>
        <w:rFonts w:eastAsiaTheme="minorHAnsi" w:hint="default"/>
        <w:color w:val="000000" w:themeColor="text1"/>
      </w:rPr>
    </w:lvl>
    <w:lvl w:ilvl="2">
      <w:start w:val="1"/>
      <w:numFmt w:val="decimal"/>
      <w:isLgl/>
      <w:lvlText w:val="%1.%2.%3."/>
      <w:lvlJc w:val="left"/>
      <w:pPr>
        <w:ind w:left="9073" w:hanging="720"/>
      </w:pPr>
      <w:rPr>
        <w:rFonts w:eastAsiaTheme="minorHAnsi" w:hint="default"/>
        <w:color w:val="000000" w:themeColor="text1"/>
      </w:rPr>
    </w:lvl>
    <w:lvl w:ilvl="3">
      <w:start w:val="1"/>
      <w:numFmt w:val="decimal"/>
      <w:isLgl/>
      <w:lvlText w:val="%1.%2.%3.%4."/>
      <w:lvlJc w:val="left"/>
      <w:pPr>
        <w:ind w:left="9422" w:hanging="720"/>
      </w:pPr>
      <w:rPr>
        <w:rFonts w:eastAsiaTheme="minorHAnsi" w:hint="default"/>
        <w:color w:val="000000" w:themeColor="text1"/>
      </w:rPr>
    </w:lvl>
    <w:lvl w:ilvl="4">
      <w:start w:val="1"/>
      <w:numFmt w:val="decimal"/>
      <w:isLgl/>
      <w:lvlText w:val="%1.%2.%3.%4.%5."/>
      <w:lvlJc w:val="left"/>
      <w:pPr>
        <w:ind w:left="10131" w:hanging="1080"/>
      </w:pPr>
      <w:rPr>
        <w:rFonts w:eastAsiaTheme="minorHAnsi" w:hint="default"/>
        <w:color w:val="000000" w:themeColor="text1"/>
      </w:rPr>
    </w:lvl>
    <w:lvl w:ilvl="5">
      <w:start w:val="1"/>
      <w:numFmt w:val="decimal"/>
      <w:isLgl/>
      <w:lvlText w:val="%1.%2.%3.%4.%5.%6."/>
      <w:lvlJc w:val="left"/>
      <w:pPr>
        <w:ind w:left="10480" w:hanging="1080"/>
      </w:pPr>
      <w:rPr>
        <w:rFonts w:eastAsiaTheme="minorHAnsi" w:hint="default"/>
        <w:color w:val="000000" w:themeColor="text1"/>
      </w:rPr>
    </w:lvl>
    <w:lvl w:ilvl="6">
      <w:start w:val="1"/>
      <w:numFmt w:val="decimal"/>
      <w:isLgl/>
      <w:lvlText w:val="%1.%2.%3.%4.%5.%6.%7."/>
      <w:lvlJc w:val="left"/>
      <w:pPr>
        <w:ind w:left="11189" w:hanging="1440"/>
      </w:pPr>
      <w:rPr>
        <w:rFonts w:eastAsiaTheme="minorHAnsi" w:hint="default"/>
        <w:color w:val="000000" w:themeColor="text1"/>
      </w:rPr>
    </w:lvl>
    <w:lvl w:ilvl="7">
      <w:start w:val="1"/>
      <w:numFmt w:val="decimal"/>
      <w:isLgl/>
      <w:lvlText w:val="%1.%2.%3.%4.%5.%6.%7.%8."/>
      <w:lvlJc w:val="left"/>
      <w:pPr>
        <w:ind w:left="11538" w:hanging="1440"/>
      </w:pPr>
      <w:rPr>
        <w:rFonts w:eastAsiaTheme="minorHAnsi" w:hint="default"/>
        <w:color w:val="000000" w:themeColor="text1"/>
      </w:rPr>
    </w:lvl>
    <w:lvl w:ilvl="8">
      <w:start w:val="1"/>
      <w:numFmt w:val="decimal"/>
      <w:isLgl/>
      <w:lvlText w:val="%1.%2.%3.%4.%5.%6.%7.%8.%9."/>
      <w:lvlJc w:val="left"/>
      <w:pPr>
        <w:ind w:left="12247" w:hanging="1800"/>
      </w:pPr>
      <w:rPr>
        <w:rFonts w:eastAsiaTheme="minorHAnsi" w:hint="default"/>
        <w:color w:val="000000" w:themeColor="text1"/>
      </w:rPr>
    </w:lvl>
  </w:abstractNum>
  <w:abstractNum w:abstractNumId="1" w15:restartNumberingAfterBreak="0">
    <w:nsid w:val="2EB173D1"/>
    <w:multiLevelType w:val="multilevel"/>
    <w:tmpl w:val="206E64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D8244A"/>
    <w:multiLevelType w:val="multilevel"/>
    <w:tmpl w:val="D6C0269A"/>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b/>
        <w:i w:val="0"/>
        <w:sz w:val="24"/>
        <w:szCs w:val="24"/>
        <w:u w:val="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46685295"/>
    <w:multiLevelType w:val="hybridMultilevel"/>
    <w:tmpl w:val="A222A2C6"/>
    <w:lvl w:ilvl="0" w:tplc="66D0C75C">
      <w:start w:val="4"/>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9F439B"/>
    <w:multiLevelType w:val="multilevel"/>
    <w:tmpl w:val="CAB03BAC"/>
    <w:lvl w:ilvl="0">
      <w:start w:val="5"/>
      <w:numFmt w:val="upperRoman"/>
      <w:lvlText w:val="%1."/>
      <w:lvlJc w:val="left"/>
      <w:pPr>
        <w:ind w:left="1080" w:hanging="720"/>
      </w:pPr>
      <w:rPr>
        <w:rFonts w:hint="default"/>
        <w:b/>
        <w:sz w:val="28"/>
        <w:szCs w:val="28"/>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592C3DB5"/>
    <w:multiLevelType w:val="hybridMultilevel"/>
    <w:tmpl w:val="4F084D2A"/>
    <w:lvl w:ilvl="0" w:tplc="DC1CC39C">
      <w:start w:val="1"/>
      <w:numFmt w:val="upperRoman"/>
      <w:lvlText w:val="%1."/>
      <w:lvlJc w:val="left"/>
      <w:pPr>
        <w:ind w:left="720" w:hanging="720"/>
      </w:pPr>
      <w:rPr>
        <w:rFonts w:cs="Times New Roman" w:hint="default"/>
        <w:b/>
        <w:sz w:val="24"/>
        <w:szCs w:val="24"/>
      </w:rPr>
    </w:lvl>
    <w:lvl w:ilvl="1" w:tplc="3F0041D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873CDD"/>
    <w:multiLevelType w:val="hybridMultilevel"/>
    <w:tmpl w:val="F7900F62"/>
    <w:lvl w:ilvl="0" w:tplc="6CC661E8">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66FA9"/>
    <w:multiLevelType w:val="multilevel"/>
    <w:tmpl w:val="954E60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4"/>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31"/>
    <w:rsid w:val="000011D1"/>
    <w:rsid w:val="00015C86"/>
    <w:rsid w:val="00030302"/>
    <w:rsid w:val="00034030"/>
    <w:rsid w:val="000401F0"/>
    <w:rsid w:val="00064096"/>
    <w:rsid w:val="000855F3"/>
    <w:rsid w:val="000B0147"/>
    <w:rsid w:val="000B2931"/>
    <w:rsid w:val="000B45D8"/>
    <w:rsid w:val="000C5C25"/>
    <w:rsid w:val="000D35A8"/>
    <w:rsid w:val="00116A62"/>
    <w:rsid w:val="00134159"/>
    <w:rsid w:val="001349B6"/>
    <w:rsid w:val="00137349"/>
    <w:rsid w:val="00151AF8"/>
    <w:rsid w:val="00156035"/>
    <w:rsid w:val="00156C3E"/>
    <w:rsid w:val="00172CB9"/>
    <w:rsid w:val="00173739"/>
    <w:rsid w:val="00181569"/>
    <w:rsid w:val="001837E5"/>
    <w:rsid w:val="00183D3F"/>
    <w:rsid w:val="001947A8"/>
    <w:rsid w:val="00197F83"/>
    <w:rsid w:val="001A6104"/>
    <w:rsid w:val="001A7114"/>
    <w:rsid w:val="001B24E3"/>
    <w:rsid w:val="001B311E"/>
    <w:rsid w:val="001D48C3"/>
    <w:rsid w:val="001E2C75"/>
    <w:rsid w:val="0020031F"/>
    <w:rsid w:val="0020581E"/>
    <w:rsid w:val="00233EDA"/>
    <w:rsid w:val="00243708"/>
    <w:rsid w:val="00261B79"/>
    <w:rsid w:val="00266CA9"/>
    <w:rsid w:val="002758F7"/>
    <w:rsid w:val="00284063"/>
    <w:rsid w:val="00294FC0"/>
    <w:rsid w:val="002A107D"/>
    <w:rsid w:val="002A7174"/>
    <w:rsid w:val="002C3A16"/>
    <w:rsid w:val="002C42C5"/>
    <w:rsid w:val="002C5680"/>
    <w:rsid w:val="002D3C3D"/>
    <w:rsid w:val="002E0D23"/>
    <w:rsid w:val="002F3BB2"/>
    <w:rsid w:val="00300456"/>
    <w:rsid w:val="003217C3"/>
    <w:rsid w:val="00331F31"/>
    <w:rsid w:val="003369C7"/>
    <w:rsid w:val="0033793C"/>
    <w:rsid w:val="00337A19"/>
    <w:rsid w:val="003466C9"/>
    <w:rsid w:val="003506F6"/>
    <w:rsid w:val="00363487"/>
    <w:rsid w:val="0037121A"/>
    <w:rsid w:val="003739F1"/>
    <w:rsid w:val="00375314"/>
    <w:rsid w:val="00396749"/>
    <w:rsid w:val="003A5862"/>
    <w:rsid w:val="003C15AC"/>
    <w:rsid w:val="003D5B65"/>
    <w:rsid w:val="003E2714"/>
    <w:rsid w:val="003E4735"/>
    <w:rsid w:val="003E584D"/>
    <w:rsid w:val="003E6DB4"/>
    <w:rsid w:val="003E798B"/>
    <w:rsid w:val="003F0936"/>
    <w:rsid w:val="003F1831"/>
    <w:rsid w:val="004065CE"/>
    <w:rsid w:val="00413149"/>
    <w:rsid w:val="00426DF1"/>
    <w:rsid w:val="00426F8C"/>
    <w:rsid w:val="00432509"/>
    <w:rsid w:val="00445D7B"/>
    <w:rsid w:val="004577BE"/>
    <w:rsid w:val="00461CA3"/>
    <w:rsid w:val="00467EF9"/>
    <w:rsid w:val="00472F3A"/>
    <w:rsid w:val="004736B8"/>
    <w:rsid w:val="00474EAB"/>
    <w:rsid w:val="004A19DE"/>
    <w:rsid w:val="004A5B91"/>
    <w:rsid w:val="004B2FD8"/>
    <w:rsid w:val="004B4F7C"/>
    <w:rsid w:val="004B5A85"/>
    <w:rsid w:val="004C1E2B"/>
    <w:rsid w:val="004C401F"/>
    <w:rsid w:val="004F4B47"/>
    <w:rsid w:val="005026D6"/>
    <w:rsid w:val="00504AB1"/>
    <w:rsid w:val="00535C21"/>
    <w:rsid w:val="00544A6B"/>
    <w:rsid w:val="0054786D"/>
    <w:rsid w:val="00555302"/>
    <w:rsid w:val="00581A35"/>
    <w:rsid w:val="00582BA7"/>
    <w:rsid w:val="005859F0"/>
    <w:rsid w:val="00585A43"/>
    <w:rsid w:val="00592827"/>
    <w:rsid w:val="005954CC"/>
    <w:rsid w:val="005A01B7"/>
    <w:rsid w:val="005C4C73"/>
    <w:rsid w:val="005D02D2"/>
    <w:rsid w:val="005D496C"/>
    <w:rsid w:val="005E48D8"/>
    <w:rsid w:val="005F5E38"/>
    <w:rsid w:val="00611CBF"/>
    <w:rsid w:val="00615F7A"/>
    <w:rsid w:val="00616E8C"/>
    <w:rsid w:val="0066575D"/>
    <w:rsid w:val="00677F80"/>
    <w:rsid w:val="0068375E"/>
    <w:rsid w:val="006858F6"/>
    <w:rsid w:val="0068790B"/>
    <w:rsid w:val="006A7C80"/>
    <w:rsid w:val="006B09E6"/>
    <w:rsid w:val="006C0527"/>
    <w:rsid w:val="006C3CC1"/>
    <w:rsid w:val="006D47CF"/>
    <w:rsid w:val="006F0B85"/>
    <w:rsid w:val="006F5D30"/>
    <w:rsid w:val="00702548"/>
    <w:rsid w:val="007033B9"/>
    <w:rsid w:val="00704B6D"/>
    <w:rsid w:val="00710707"/>
    <w:rsid w:val="00713F76"/>
    <w:rsid w:val="00726C52"/>
    <w:rsid w:val="0072787C"/>
    <w:rsid w:val="00731683"/>
    <w:rsid w:val="00731A17"/>
    <w:rsid w:val="0073621E"/>
    <w:rsid w:val="00743FBA"/>
    <w:rsid w:val="0075201E"/>
    <w:rsid w:val="007623F6"/>
    <w:rsid w:val="0076347A"/>
    <w:rsid w:val="007722DB"/>
    <w:rsid w:val="00776F09"/>
    <w:rsid w:val="00777C76"/>
    <w:rsid w:val="007814C6"/>
    <w:rsid w:val="0078200C"/>
    <w:rsid w:val="00793965"/>
    <w:rsid w:val="00793D9A"/>
    <w:rsid w:val="007A4037"/>
    <w:rsid w:val="007A5711"/>
    <w:rsid w:val="007B04AA"/>
    <w:rsid w:val="007B0619"/>
    <w:rsid w:val="007C46F1"/>
    <w:rsid w:val="007E45CD"/>
    <w:rsid w:val="007F6B0A"/>
    <w:rsid w:val="0080058D"/>
    <w:rsid w:val="00802804"/>
    <w:rsid w:val="00806DCC"/>
    <w:rsid w:val="008157B4"/>
    <w:rsid w:val="00821381"/>
    <w:rsid w:val="00827AB0"/>
    <w:rsid w:val="0083172C"/>
    <w:rsid w:val="00831E43"/>
    <w:rsid w:val="00833DA6"/>
    <w:rsid w:val="0087604A"/>
    <w:rsid w:val="0088194F"/>
    <w:rsid w:val="00885368"/>
    <w:rsid w:val="00893AC6"/>
    <w:rsid w:val="0089416A"/>
    <w:rsid w:val="008A071D"/>
    <w:rsid w:val="008A63BF"/>
    <w:rsid w:val="008B0B04"/>
    <w:rsid w:val="008B339F"/>
    <w:rsid w:val="008B4C22"/>
    <w:rsid w:val="008B5C83"/>
    <w:rsid w:val="008C5666"/>
    <w:rsid w:val="008C7378"/>
    <w:rsid w:val="008D3ED7"/>
    <w:rsid w:val="008D78BA"/>
    <w:rsid w:val="008F096E"/>
    <w:rsid w:val="00902754"/>
    <w:rsid w:val="00903C32"/>
    <w:rsid w:val="00907741"/>
    <w:rsid w:val="00911844"/>
    <w:rsid w:val="0091261B"/>
    <w:rsid w:val="00917038"/>
    <w:rsid w:val="00930B74"/>
    <w:rsid w:val="00935FF4"/>
    <w:rsid w:val="0093720D"/>
    <w:rsid w:val="009408DE"/>
    <w:rsid w:val="009447BA"/>
    <w:rsid w:val="009476C0"/>
    <w:rsid w:val="0095026F"/>
    <w:rsid w:val="00971343"/>
    <w:rsid w:val="00994F62"/>
    <w:rsid w:val="00995184"/>
    <w:rsid w:val="009A7804"/>
    <w:rsid w:val="009B4B21"/>
    <w:rsid w:val="009D5FCD"/>
    <w:rsid w:val="009E033B"/>
    <w:rsid w:val="009E47B7"/>
    <w:rsid w:val="009F34BA"/>
    <w:rsid w:val="00A109CE"/>
    <w:rsid w:val="00A112D7"/>
    <w:rsid w:val="00A16125"/>
    <w:rsid w:val="00A21F23"/>
    <w:rsid w:val="00A33986"/>
    <w:rsid w:val="00A358C5"/>
    <w:rsid w:val="00A377DE"/>
    <w:rsid w:val="00A60D75"/>
    <w:rsid w:val="00A754D5"/>
    <w:rsid w:val="00A83074"/>
    <w:rsid w:val="00A87B46"/>
    <w:rsid w:val="00AB5F83"/>
    <w:rsid w:val="00AC114F"/>
    <w:rsid w:val="00AE34DE"/>
    <w:rsid w:val="00AE5A61"/>
    <w:rsid w:val="00AE6F05"/>
    <w:rsid w:val="00AF0DB2"/>
    <w:rsid w:val="00AF3FD7"/>
    <w:rsid w:val="00AF715A"/>
    <w:rsid w:val="00B01994"/>
    <w:rsid w:val="00B20906"/>
    <w:rsid w:val="00B27849"/>
    <w:rsid w:val="00B34B19"/>
    <w:rsid w:val="00B46DD6"/>
    <w:rsid w:val="00B47265"/>
    <w:rsid w:val="00B627D9"/>
    <w:rsid w:val="00B767DD"/>
    <w:rsid w:val="00B8482E"/>
    <w:rsid w:val="00B92083"/>
    <w:rsid w:val="00B968F5"/>
    <w:rsid w:val="00B97078"/>
    <w:rsid w:val="00BA69DB"/>
    <w:rsid w:val="00BA720A"/>
    <w:rsid w:val="00BB333B"/>
    <w:rsid w:val="00BB7042"/>
    <w:rsid w:val="00BC152A"/>
    <w:rsid w:val="00BD01EA"/>
    <w:rsid w:val="00BD61A3"/>
    <w:rsid w:val="00BD6FC1"/>
    <w:rsid w:val="00BE7FBF"/>
    <w:rsid w:val="00BF0E1B"/>
    <w:rsid w:val="00BF265D"/>
    <w:rsid w:val="00BF306A"/>
    <w:rsid w:val="00C05E71"/>
    <w:rsid w:val="00C0697E"/>
    <w:rsid w:val="00C079A2"/>
    <w:rsid w:val="00C153BA"/>
    <w:rsid w:val="00C15DB3"/>
    <w:rsid w:val="00C23FA5"/>
    <w:rsid w:val="00C33C94"/>
    <w:rsid w:val="00C51090"/>
    <w:rsid w:val="00C63DCC"/>
    <w:rsid w:val="00C66E2A"/>
    <w:rsid w:val="00C67B9D"/>
    <w:rsid w:val="00C708D8"/>
    <w:rsid w:val="00C716F7"/>
    <w:rsid w:val="00C71AF4"/>
    <w:rsid w:val="00C84027"/>
    <w:rsid w:val="00C901D3"/>
    <w:rsid w:val="00C903F6"/>
    <w:rsid w:val="00CB305A"/>
    <w:rsid w:val="00CC2F6D"/>
    <w:rsid w:val="00CE2FAD"/>
    <w:rsid w:val="00CE67DD"/>
    <w:rsid w:val="00CF1428"/>
    <w:rsid w:val="00CF2590"/>
    <w:rsid w:val="00D079EE"/>
    <w:rsid w:val="00D14585"/>
    <w:rsid w:val="00D1736C"/>
    <w:rsid w:val="00D17B49"/>
    <w:rsid w:val="00D273AD"/>
    <w:rsid w:val="00D4345D"/>
    <w:rsid w:val="00D45099"/>
    <w:rsid w:val="00D507D1"/>
    <w:rsid w:val="00D62499"/>
    <w:rsid w:val="00D6273F"/>
    <w:rsid w:val="00D66454"/>
    <w:rsid w:val="00D710E5"/>
    <w:rsid w:val="00D72C38"/>
    <w:rsid w:val="00D82B3E"/>
    <w:rsid w:val="00D90C5D"/>
    <w:rsid w:val="00D91410"/>
    <w:rsid w:val="00D91471"/>
    <w:rsid w:val="00D95167"/>
    <w:rsid w:val="00D97B5A"/>
    <w:rsid w:val="00DC1DE5"/>
    <w:rsid w:val="00DC638C"/>
    <w:rsid w:val="00DC7063"/>
    <w:rsid w:val="00DD2685"/>
    <w:rsid w:val="00DD59F1"/>
    <w:rsid w:val="00DD5BA9"/>
    <w:rsid w:val="00DD6CA2"/>
    <w:rsid w:val="00DE7C91"/>
    <w:rsid w:val="00E11A3F"/>
    <w:rsid w:val="00E12F9F"/>
    <w:rsid w:val="00E13AFB"/>
    <w:rsid w:val="00E242E7"/>
    <w:rsid w:val="00E260C2"/>
    <w:rsid w:val="00E615D1"/>
    <w:rsid w:val="00E75C37"/>
    <w:rsid w:val="00E77DFE"/>
    <w:rsid w:val="00E83121"/>
    <w:rsid w:val="00E833ED"/>
    <w:rsid w:val="00E84523"/>
    <w:rsid w:val="00E97DA7"/>
    <w:rsid w:val="00EA27CA"/>
    <w:rsid w:val="00EA5136"/>
    <w:rsid w:val="00EB668A"/>
    <w:rsid w:val="00EC5527"/>
    <w:rsid w:val="00EC7DA6"/>
    <w:rsid w:val="00EF09F2"/>
    <w:rsid w:val="00EF1896"/>
    <w:rsid w:val="00EF4620"/>
    <w:rsid w:val="00F04DA1"/>
    <w:rsid w:val="00F16399"/>
    <w:rsid w:val="00F16898"/>
    <w:rsid w:val="00F17758"/>
    <w:rsid w:val="00F177A3"/>
    <w:rsid w:val="00F2445D"/>
    <w:rsid w:val="00F471FB"/>
    <w:rsid w:val="00F60987"/>
    <w:rsid w:val="00F6183E"/>
    <w:rsid w:val="00F634BF"/>
    <w:rsid w:val="00F7356E"/>
    <w:rsid w:val="00F764E8"/>
    <w:rsid w:val="00F87ECF"/>
    <w:rsid w:val="00F96CC6"/>
    <w:rsid w:val="00FA0405"/>
    <w:rsid w:val="00FB225A"/>
    <w:rsid w:val="00FB3947"/>
    <w:rsid w:val="00FB6F84"/>
    <w:rsid w:val="00FC63C2"/>
    <w:rsid w:val="00FD5076"/>
    <w:rsid w:val="00FE27BF"/>
    <w:rsid w:val="00FE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31A90"/>
  <w15:chartTrackingRefBased/>
  <w15:docId w15:val="{87C02CED-7498-422C-9FD7-960B71B3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74"/>
  </w:style>
  <w:style w:type="paragraph" w:styleId="Heading1">
    <w:name w:val="heading 1"/>
    <w:basedOn w:val="Normal"/>
    <w:next w:val="Normal"/>
    <w:link w:val="Heading1Char"/>
    <w:uiPriority w:val="9"/>
    <w:qFormat/>
    <w:rsid w:val="00B8482E"/>
    <w:pPr>
      <w:keepNext/>
      <w:keepLines/>
      <w:spacing w:before="240" w:after="0" w:line="254" w:lineRule="auto"/>
      <w:jc w:val="center"/>
      <w:outlineLvl w:val="0"/>
    </w:pPr>
    <w:rPr>
      <w:rFonts w:asciiTheme="majorHAnsi" w:eastAsiaTheme="majorEastAsia" w:hAnsiTheme="majorHAnsi" w:cstheme="majorBidi"/>
      <w:b/>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Normal"/>
    <w:link w:val="FootnoteTextChar"/>
    <w:uiPriority w:val="99"/>
    <w:unhideWhenUsed/>
    <w:qFormat/>
    <w:rsid w:val="002A7174"/>
    <w:pPr>
      <w:spacing w:after="0" w:line="240" w:lineRule="auto"/>
    </w:pPr>
    <w:rPr>
      <w:rFonts w:ascii="Times New Roman" w:hAnsi="Times New Roman"/>
      <w:sz w:val="20"/>
      <w:szCs w:val="20"/>
    </w:rPr>
  </w:style>
  <w:style w:type="character" w:customStyle="1" w:styleId="FootnoteTextChar">
    <w:name w:val="Footnote Text Char"/>
    <w:aliases w:val="Char Char,Знак1 Char,Знак Char, Char Char, Знак1 Char, Знак Char,single space Char,footnote text Char,FOOTNOTES Char,fn Char,Footnote Text Char1 Char,Footnote Text Char2 Char Char,Footnote Text Char1 Char Char Char, Cha Char,Cha Char"/>
    <w:basedOn w:val="DefaultParagraphFont"/>
    <w:link w:val="FootnoteText"/>
    <w:uiPriority w:val="99"/>
    <w:rsid w:val="002A7174"/>
    <w:rPr>
      <w:rFonts w:ascii="Times New Roman" w:hAnsi="Times New Roman"/>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R"/>
    <w:basedOn w:val="DefaultParagraphFont"/>
    <w:link w:val="FNRefeCharChar"/>
    <w:uiPriority w:val="99"/>
    <w:unhideWhenUsed/>
    <w:rsid w:val="002A7174"/>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2A7174"/>
    <w:pPr>
      <w:spacing w:after="0" w:line="240" w:lineRule="exact"/>
      <w:jc w:val="both"/>
    </w:pPr>
    <w:rPr>
      <w:vertAlign w:val="superscript"/>
    </w:rPr>
  </w:style>
  <w:style w:type="paragraph" w:styleId="ListParagraph">
    <w:name w:val="List Paragraph"/>
    <w:aliases w:val="List Paragraph 1,Абзац списка1,Scriptoria bullet points,strikethrough,standaard met opsomming,Bullets,References,Liste 1,List Paragraph nowy,Numbered List Paragraph,List Paragraph (numbered (a)),Medium Grid 1 - Accent 21,Dot pt"/>
    <w:basedOn w:val="Normal"/>
    <w:link w:val="ListParagraphChar"/>
    <w:uiPriority w:val="34"/>
    <w:qFormat/>
    <w:rsid w:val="002A7174"/>
    <w:pPr>
      <w:ind w:left="720"/>
      <w:contextualSpacing/>
    </w:pPr>
  </w:style>
  <w:style w:type="character" w:customStyle="1" w:styleId="ListParagraphChar">
    <w:name w:val="List Paragraph Char"/>
    <w:aliases w:val="List Paragraph 1 Char,Абзац списка1 Char,Scriptoria bullet points Char,strikethrough Char,standaard met opsomming Char,Bullets Char,References Char,Liste 1 Char,List Paragraph nowy Char,Numbered List Paragraph Char,Dot pt Char"/>
    <w:link w:val="ListParagraph"/>
    <w:uiPriority w:val="34"/>
    <w:rsid w:val="002A7174"/>
  </w:style>
  <w:style w:type="character" w:styleId="Hyperlink">
    <w:name w:val="Hyperlink"/>
    <w:basedOn w:val="DefaultParagraphFont"/>
    <w:uiPriority w:val="99"/>
    <w:unhideWhenUsed/>
    <w:rsid w:val="002A7174"/>
    <w:rPr>
      <w:color w:val="0563C1" w:themeColor="hyperlink"/>
      <w:u w:val="single"/>
    </w:rPr>
  </w:style>
  <w:style w:type="character" w:styleId="CommentReference">
    <w:name w:val="annotation reference"/>
    <w:basedOn w:val="DefaultParagraphFont"/>
    <w:uiPriority w:val="99"/>
    <w:semiHidden/>
    <w:unhideWhenUsed/>
    <w:rsid w:val="002A7174"/>
    <w:rPr>
      <w:sz w:val="16"/>
      <w:szCs w:val="16"/>
    </w:rPr>
  </w:style>
  <w:style w:type="paragraph" w:styleId="CommentText">
    <w:name w:val="annotation text"/>
    <w:basedOn w:val="Normal"/>
    <w:link w:val="CommentTextChar"/>
    <w:uiPriority w:val="99"/>
    <w:semiHidden/>
    <w:unhideWhenUsed/>
    <w:rsid w:val="002A7174"/>
    <w:pPr>
      <w:spacing w:line="240" w:lineRule="auto"/>
    </w:pPr>
    <w:rPr>
      <w:sz w:val="20"/>
      <w:szCs w:val="20"/>
    </w:rPr>
  </w:style>
  <w:style w:type="character" w:customStyle="1" w:styleId="CommentTextChar">
    <w:name w:val="Comment Text Char"/>
    <w:basedOn w:val="DefaultParagraphFont"/>
    <w:link w:val="CommentText"/>
    <w:uiPriority w:val="99"/>
    <w:semiHidden/>
    <w:rsid w:val="002A7174"/>
    <w:rPr>
      <w:sz w:val="20"/>
      <w:szCs w:val="20"/>
    </w:rPr>
  </w:style>
  <w:style w:type="paragraph" w:styleId="BalloonText">
    <w:name w:val="Balloon Text"/>
    <w:basedOn w:val="Normal"/>
    <w:link w:val="BalloonTextChar"/>
    <w:uiPriority w:val="99"/>
    <w:semiHidden/>
    <w:unhideWhenUsed/>
    <w:rsid w:val="002A7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174"/>
    <w:rPr>
      <w:rFonts w:ascii="Segoe UI" w:hAnsi="Segoe UI" w:cs="Segoe UI"/>
      <w:sz w:val="18"/>
      <w:szCs w:val="18"/>
    </w:rPr>
  </w:style>
  <w:style w:type="paragraph" w:styleId="Header">
    <w:name w:val="header"/>
    <w:basedOn w:val="Normal"/>
    <w:link w:val="HeaderChar"/>
    <w:uiPriority w:val="99"/>
    <w:unhideWhenUsed/>
    <w:rsid w:val="002A7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174"/>
  </w:style>
  <w:style w:type="paragraph" w:styleId="Footer">
    <w:name w:val="footer"/>
    <w:basedOn w:val="Normal"/>
    <w:link w:val="FooterChar"/>
    <w:uiPriority w:val="99"/>
    <w:unhideWhenUsed/>
    <w:rsid w:val="002A7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174"/>
  </w:style>
  <w:style w:type="paragraph" w:customStyle="1" w:styleId="tt">
    <w:name w:val="tt"/>
    <w:basedOn w:val="Normal"/>
    <w:rsid w:val="00331F31"/>
    <w:pPr>
      <w:spacing w:after="0" w:line="240" w:lineRule="auto"/>
      <w:jc w:val="center"/>
    </w:pPr>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F6183E"/>
    <w:rPr>
      <w:b/>
      <w:bCs/>
    </w:rPr>
  </w:style>
  <w:style w:type="character" w:customStyle="1" w:styleId="CommentSubjectChar">
    <w:name w:val="Comment Subject Char"/>
    <w:basedOn w:val="CommentTextChar"/>
    <w:link w:val="CommentSubject"/>
    <w:uiPriority w:val="99"/>
    <w:semiHidden/>
    <w:rsid w:val="00F6183E"/>
    <w:rPr>
      <w:b/>
      <w:bCs/>
      <w:sz w:val="20"/>
      <w:szCs w:val="20"/>
    </w:rPr>
  </w:style>
  <w:style w:type="character" w:customStyle="1" w:styleId="Heading1Char">
    <w:name w:val="Heading 1 Char"/>
    <w:basedOn w:val="DefaultParagraphFont"/>
    <w:link w:val="Heading1"/>
    <w:uiPriority w:val="9"/>
    <w:rsid w:val="00B8482E"/>
    <w:rPr>
      <w:rFonts w:asciiTheme="majorHAnsi" w:eastAsiaTheme="majorEastAsia" w:hAnsiTheme="majorHAnsi" w:cstheme="majorBidi"/>
      <w:b/>
      <w:color w:val="2E74B5" w:themeColor="accent1" w:themeShade="BF"/>
      <w:sz w:val="24"/>
      <w:szCs w:val="32"/>
    </w:rPr>
  </w:style>
  <w:style w:type="table" w:styleId="TableGrid">
    <w:name w:val="Table Grid"/>
    <w:basedOn w:val="TableNormal"/>
    <w:uiPriority w:val="39"/>
    <w:rsid w:val="00B84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89401">
      <w:bodyDiv w:val="1"/>
      <w:marLeft w:val="0"/>
      <w:marRight w:val="0"/>
      <w:marTop w:val="0"/>
      <w:marBottom w:val="0"/>
      <w:divBdr>
        <w:top w:val="none" w:sz="0" w:space="0" w:color="auto"/>
        <w:left w:val="none" w:sz="0" w:space="0" w:color="auto"/>
        <w:bottom w:val="none" w:sz="0" w:space="0" w:color="auto"/>
        <w:right w:val="none" w:sz="0" w:space="0" w:color="auto"/>
      </w:divBdr>
    </w:div>
    <w:div w:id="1166940705">
      <w:bodyDiv w:val="1"/>
      <w:marLeft w:val="0"/>
      <w:marRight w:val="0"/>
      <w:marTop w:val="0"/>
      <w:marBottom w:val="0"/>
      <w:divBdr>
        <w:top w:val="none" w:sz="0" w:space="0" w:color="auto"/>
        <w:left w:val="none" w:sz="0" w:space="0" w:color="auto"/>
        <w:bottom w:val="none" w:sz="0" w:space="0" w:color="auto"/>
        <w:right w:val="none" w:sz="0" w:space="0" w:color="auto"/>
      </w:divBdr>
    </w:div>
    <w:div w:id="1365206854">
      <w:bodyDiv w:val="1"/>
      <w:marLeft w:val="0"/>
      <w:marRight w:val="0"/>
      <w:marTop w:val="0"/>
      <w:marBottom w:val="0"/>
      <w:divBdr>
        <w:top w:val="none" w:sz="0" w:space="0" w:color="auto"/>
        <w:left w:val="none" w:sz="0" w:space="0" w:color="auto"/>
        <w:bottom w:val="none" w:sz="0" w:space="0" w:color="auto"/>
        <w:right w:val="none" w:sz="0" w:space="0" w:color="auto"/>
      </w:divBdr>
    </w:div>
    <w:div w:id="1387072795">
      <w:bodyDiv w:val="1"/>
      <w:marLeft w:val="0"/>
      <w:marRight w:val="0"/>
      <w:marTop w:val="0"/>
      <w:marBottom w:val="0"/>
      <w:divBdr>
        <w:top w:val="none" w:sz="0" w:space="0" w:color="auto"/>
        <w:left w:val="none" w:sz="0" w:space="0" w:color="auto"/>
        <w:bottom w:val="none" w:sz="0" w:space="0" w:color="auto"/>
        <w:right w:val="none" w:sz="0" w:space="0" w:color="auto"/>
      </w:divBdr>
    </w:div>
    <w:div w:id="20516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8E0DA-8FC7-4877-B7B4-4D53AF55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3093</Words>
  <Characters>17636</Characters>
  <Application>Microsoft Office Word</Application>
  <DocSecurity>0</DocSecurity>
  <Lines>146</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Tabacari Maria</dc:creator>
  <cp:keywords/>
  <dc:description/>
  <cp:lastModifiedBy>Paiu Eugenia</cp:lastModifiedBy>
  <cp:revision>2</cp:revision>
  <cp:lastPrinted>2021-10-07T07:33:00Z</cp:lastPrinted>
  <dcterms:created xsi:type="dcterms:W3CDTF">2021-10-21T06:53:00Z</dcterms:created>
  <dcterms:modified xsi:type="dcterms:W3CDTF">2021-10-21T06:53:00Z</dcterms:modified>
</cp:coreProperties>
</file>