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4B92" w14:textId="77777777" w:rsidR="00A51691" w:rsidRPr="00363CFA" w:rsidRDefault="00A51691" w:rsidP="00C23DCE">
      <w:pPr>
        <w:tabs>
          <w:tab w:val="left" w:pos="720"/>
        </w:tabs>
        <w:spacing w:after="0" w:line="276" w:lineRule="auto"/>
        <w:jc w:val="right"/>
        <w:rPr>
          <w:rFonts w:ascii="Calibri Light" w:hAnsi="Calibri Light" w:cs="Calibri Light"/>
          <w:bCs/>
          <w:szCs w:val="28"/>
          <w:lang w:val="ro-MD"/>
        </w:rPr>
      </w:pPr>
      <w:bookmarkStart w:id="0" w:name="_GoBack"/>
      <w:bookmarkEnd w:id="0"/>
    </w:p>
    <w:p w14:paraId="346803B2" w14:textId="77777777" w:rsidR="00C23DCE" w:rsidRPr="00363CFA" w:rsidRDefault="00C23DCE" w:rsidP="00C23DCE">
      <w:pPr>
        <w:tabs>
          <w:tab w:val="left" w:pos="720"/>
        </w:tabs>
        <w:spacing w:after="0" w:line="276" w:lineRule="auto"/>
        <w:jc w:val="right"/>
        <w:rPr>
          <w:rFonts w:ascii="Calibri Light" w:hAnsi="Calibri Light" w:cs="Calibri Light"/>
          <w:bCs/>
          <w:szCs w:val="28"/>
          <w:lang w:val="ro-MD"/>
        </w:rPr>
      </w:pPr>
      <w:r w:rsidRPr="00363CFA">
        <w:rPr>
          <w:rFonts w:ascii="Calibri Light" w:hAnsi="Calibri Light" w:cs="Calibri Light"/>
          <w:bCs/>
          <w:szCs w:val="28"/>
          <w:lang w:val="ro-MD"/>
        </w:rPr>
        <w:t xml:space="preserve">Anexă </w:t>
      </w:r>
    </w:p>
    <w:p w14:paraId="15628D79" w14:textId="77777777" w:rsidR="00C23DCE" w:rsidRPr="00363CFA" w:rsidRDefault="00C23DCE" w:rsidP="00C23DCE">
      <w:pPr>
        <w:tabs>
          <w:tab w:val="left" w:pos="720"/>
        </w:tabs>
        <w:spacing w:after="0" w:line="276" w:lineRule="auto"/>
        <w:jc w:val="right"/>
        <w:rPr>
          <w:rFonts w:ascii="Calibri Light" w:hAnsi="Calibri Light" w:cs="Calibri Light"/>
          <w:bCs/>
          <w:szCs w:val="28"/>
          <w:lang w:val="ro-MD"/>
        </w:rPr>
      </w:pPr>
      <w:r w:rsidRPr="00363CFA">
        <w:rPr>
          <w:rFonts w:ascii="Calibri Light" w:hAnsi="Calibri Light" w:cs="Calibri Light"/>
          <w:bCs/>
          <w:szCs w:val="28"/>
          <w:lang w:val="ro-MD"/>
        </w:rPr>
        <w:t>la Hotărârea Cur</w:t>
      </w:r>
      <w:r w:rsidR="0069374B" w:rsidRPr="00363CFA">
        <w:rPr>
          <w:rFonts w:ascii="Calibri Light" w:hAnsi="Calibri Light" w:cs="Calibri Light"/>
          <w:bCs/>
          <w:szCs w:val="28"/>
          <w:lang w:val="ro-MD"/>
        </w:rPr>
        <w:t>ț</w:t>
      </w:r>
      <w:r w:rsidRPr="00363CFA">
        <w:rPr>
          <w:rFonts w:ascii="Calibri Light" w:hAnsi="Calibri Light" w:cs="Calibri Light"/>
          <w:bCs/>
          <w:szCs w:val="28"/>
          <w:lang w:val="ro-MD"/>
        </w:rPr>
        <w:t xml:space="preserve">ii de Conturi </w:t>
      </w:r>
    </w:p>
    <w:p w14:paraId="00DA0B37" w14:textId="56006E34" w:rsidR="00C23DCE" w:rsidRPr="00363CFA" w:rsidRDefault="00C23DCE" w:rsidP="00C23DCE">
      <w:pPr>
        <w:tabs>
          <w:tab w:val="left" w:pos="720"/>
        </w:tabs>
        <w:spacing w:after="0" w:line="276" w:lineRule="auto"/>
        <w:jc w:val="right"/>
        <w:rPr>
          <w:rFonts w:ascii="Calibri Light" w:hAnsi="Calibri Light" w:cs="Calibri Light"/>
          <w:bCs/>
          <w:szCs w:val="28"/>
          <w:lang w:val="ro-MD"/>
        </w:rPr>
      </w:pPr>
      <w:r w:rsidRPr="00363CFA">
        <w:rPr>
          <w:rFonts w:ascii="Calibri Light" w:hAnsi="Calibri Light" w:cs="Calibri Light"/>
          <w:bCs/>
          <w:szCs w:val="28"/>
          <w:lang w:val="ro-MD"/>
        </w:rPr>
        <w:t xml:space="preserve"> nr.</w:t>
      </w:r>
      <w:r w:rsidR="00D259DF">
        <w:rPr>
          <w:rFonts w:ascii="Calibri Light" w:hAnsi="Calibri Light" w:cs="Calibri Light"/>
          <w:bCs/>
          <w:szCs w:val="28"/>
          <w:lang w:val="ro-MD"/>
        </w:rPr>
        <w:t>56</w:t>
      </w:r>
      <w:r w:rsidRPr="00363CFA">
        <w:rPr>
          <w:rFonts w:ascii="Calibri Light" w:hAnsi="Calibri Light" w:cs="Calibri Light"/>
          <w:bCs/>
          <w:szCs w:val="28"/>
          <w:lang w:val="ro-MD"/>
        </w:rPr>
        <w:t xml:space="preserve"> din </w:t>
      </w:r>
      <w:r w:rsidR="00B1128B">
        <w:rPr>
          <w:rFonts w:ascii="Calibri Light" w:hAnsi="Calibri Light" w:cs="Calibri Light"/>
          <w:bCs/>
          <w:szCs w:val="28"/>
          <w:lang w:val="ro-MD"/>
        </w:rPr>
        <w:t>07 octombrie</w:t>
      </w:r>
      <w:r w:rsidRPr="00363CFA" w:rsidDel="006A18EC">
        <w:rPr>
          <w:rFonts w:ascii="Calibri Light" w:hAnsi="Calibri Light" w:cs="Calibri Light"/>
          <w:bCs/>
          <w:szCs w:val="28"/>
          <w:lang w:val="ro-MD"/>
        </w:rPr>
        <w:t xml:space="preserve"> </w:t>
      </w:r>
      <w:r w:rsidRPr="00363CFA">
        <w:rPr>
          <w:rFonts w:ascii="Calibri Light" w:hAnsi="Calibri Light" w:cs="Calibri Light"/>
          <w:bCs/>
          <w:szCs w:val="28"/>
          <w:lang w:val="ro-MD"/>
        </w:rPr>
        <w:t>2021</w:t>
      </w:r>
    </w:p>
    <w:p w14:paraId="47ECEF8F" w14:textId="77777777" w:rsidR="00C23DCE" w:rsidRPr="00363CFA" w:rsidRDefault="00C23DCE" w:rsidP="00C23DCE">
      <w:pPr>
        <w:spacing w:line="276" w:lineRule="auto"/>
        <w:rPr>
          <w:rFonts w:ascii="Calibri Light" w:hAnsi="Calibri Light" w:cs="Calibri Light"/>
          <w:lang w:val="ro-MD"/>
        </w:rPr>
      </w:pPr>
    </w:p>
    <w:p w14:paraId="67AF0BBA" w14:textId="77777777" w:rsidR="00C23DCE" w:rsidRPr="00363CFA" w:rsidRDefault="00C23DCE" w:rsidP="00C23DCE">
      <w:pPr>
        <w:spacing w:line="276" w:lineRule="auto"/>
        <w:rPr>
          <w:rFonts w:ascii="Calibri Light" w:hAnsi="Calibri Light" w:cs="Calibri Light"/>
          <w:lang w:val="ro-MD"/>
        </w:rPr>
      </w:pPr>
    </w:p>
    <w:p w14:paraId="4161CE83" w14:textId="77777777" w:rsidR="00C23DCE" w:rsidRPr="00363CFA" w:rsidRDefault="00C23DCE" w:rsidP="00C23DCE">
      <w:pPr>
        <w:spacing w:line="276" w:lineRule="auto"/>
        <w:jc w:val="center"/>
        <w:rPr>
          <w:rFonts w:ascii="Calibri Light" w:hAnsi="Calibri Light" w:cs="Calibri Light"/>
          <w:b/>
          <w:szCs w:val="28"/>
          <w:lang w:val="ro-MD"/>
        </w:rPr>
      </w:pPr>
    </w:p>
    <w:p w14:paraId="603C5FAA" w14:textId="77777777" w:rsidR="00C23DCE" w:rsidRPr="00363CFA" w:rsidRDefault="00C23DCE" w:rsidP="00C23DCE">
      <w:pPr>
        <w:spacing w:line="276" w:lineRule="auto"/>
        <w:jc w:val="center"/>
        <w:rPr>
          <w:rFonts w:ascii="Calibri Light" w:hAnsi="Calibri Light" w:cs="Calibri Light"/>
          <w:b/>
          <w:szCs w:val="28"/>
          <w:lang w:val="ro-MD"/>
        </w:rPr>
      </w:pPr>
      <w:r w:rsidRPr="00363CFA">
        <w:rPr>
          <w:rFonts w:ascii="Calibri Light" w:hAnsi="Calibri Light" w:cs="Calibri Light"/>
          <w:b/>
          <w:noProof/>
          <w:szCs w:val="28"/>
        </w:rPr>
        <w:drawing>
          <wp:inline distT="0" distB="0" distL="0" distR="0" wp14:anchorId="08719A2A" wp14:editId="0933FAA1">
            <wp:extent cx="1186775" cy="1193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364" cy="1228112"/>
                    </a:xfrm>
                    <a:prstGeom prst="rect">
                      <a:avLst/>
                    </a:prstGeom>
                    <a:noFill/>
                    <a:ln>
                      <a:noFill/>
                    </a:ln>
                  </pic:spPr>
                </pic:pic>
              </a:graphicData>
            </a:graphic>
          </wp:inline>
        </w:drawing>
      </w:r>
    </w:p>
    <w:p w14:paraId="072EE211" w14:textId="77777777" w:rsidR="00C23DCE" w:rsidRPr="00363CFA" w:rsidRDefault="00C23DCE" w:rsidP="00C23DCE">
      <w:pPr>
        <w:spacing w:line="276" w:lineRule="auto"/>
        <w:jc w:val="center"/>
        <w:rPr>
          <w:rFonts w:ascii="Calibri Light" w:hAnsi="Calibri Light" w:cs="Calibri Light"/>
          <w:b/>
          <w:szCs w:val="28"/>
          <w:lang w:val="ro-MD"/>
        </w:rPr>
      </w:pPr>
    </w:p>
    <w:p w14:paraId="2CA34978" w14:textId="77777777" w:rsidR="00C23DCE" w:rsidRPr="00363CFA" w:rsidRDefault="00C23DCE" w:rsidP="00C23DCE">
      <w:pPr>
        <w:spacing w:line="276" w:lineRule="auto"/>
        <w:jc w:val="center"/>
        <w:rPr>
          <w:rFonts w:ascii="Calibri Light" w:hAnsi="Calibri Light" w:cs="Calibri Light"/>
          <w:b/>
          <w:szCs w:val="28"/>
          <w:lang w:val="ro-MD"/>
        </w:rPr>
      </w:pPr>
    </w:p>
    <w:p w14:paraId="0F464947" w14:textId="77777777" w:rsidR="00C23DCE" w:rsidRPr="00363CFA" w:rsidRDefault="00C23DCE" w:rsidP="00C23DCE">
      <w:pPr>
        <w:spacing w:line="276" w:lineRule="auto"/>
        <w:jc w:val="center"/>
        <w:rPr>
          <w:rFonts w:ascii="Calibri Light" w:hAnsi="Calibri Light" w:cs="Calibri Light"/>
          <w:b/>
          <w:sz w:val="40"/>
          <w:szCs w:val="40"/>
          <w:lang w:val="ro-MD"/>
        </w:rPr>
      </w:pPr>
      <w:r w:rsidRPr="00363CFA">
        <w:rPr>
          <w:rFonts w:ascii="Calibri Light" w:hAnsi="Calibri Light" w:cs="Calibri Light"/>
          <w:b/>
          <w:sz w:val="40"/>
          <w:szCs w:val="40"/>
          <w:lang w:val="ro-MD"/>
        </w:rPr>
        <w:t>CURTEA DE CONTURI A REPUBLICII MOLDOVA</w:t>
      </w:r>
    </w:p>
    <w:p w14:paraId="1675E39D" w14:textId="77777777" w:rsidR="00C23DCE" w:rsidRPr="00363CFA" w:rsidRDefault="00C23DCE" w:rsidP="00C23DCE">
      <w:pPr>
        <w:spacing w:line="276" w:lineRule="auto"/>
        <w:rPr>
          <w:rFonts w:ascii="Calibri Light" w:hAnsi="Calibri Light" w:cs="Calibri Light"/>
          <w:lang w:val="ro-MD"/>
        </w:rPr>
      </w:pPr>
    </w:p>
    <w:p w14:paraId="43A9C810" w14:textId="77777777" w:rsidR="00C23DCE" w:rsidRPr="00363CFA" w:rsidRDefault="00C23DCE" w:rsidP="00C23DCE">
      <w:pPr>
        <w:tabs>
          <w:tab w:val="left" w:pos="720"/>
        </w:tabs>
        <w:spacing w:line="276" w:lineRule="auto"/>
        <w:jc w:val="right"/>
        <w:rPr>
          <w:rFonts w:ascii="Calibri Light" w:hAnsi="Calibri Light" w:cs="Calibri Light"/>
          <w:b/>
          <w:bCs/>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C23DCE" w:rsidRPr="00363CFA" w14:paraId="0EDF5832" w14:textId="77777777" w:rsidTr="00B16B32">
        <w:trPr>
          <w:trHeight w:val="435"/>
        </w:trPr>
        <w:tc>
          <w:tcPr>
            <w:tcW w:w="9350" w:type="dxa"/>
            <w:tcBorders>
              <w:top w:val="thinThickSmallGap" w:sz="12" w:space="0" w:color="auto"/>
              <w:left w:val="nil"/>
              <w:bottom w:val="thickThinSmallGap" w:sz="12" w:space="0" w:color="auto"/>
              <w:right w:val="nil"/>
            </w:tcBorders>
            <w:hideMark/>
          </w:tcPr>
          <w:p w14:paraId="636CF955" w14:textId="77777777" w:rsidR="00C23DCE" w:rsidRPr="00363CFA" w:rsidRDefault="00C23DCE" w:rsidP="00C23DCE">
            <w:pPr>
              <w:tabs>
                <w:tab w:val="left" w:pos="720"/>
              </w:tabs>
              <w:spacing w:after="0" w:line="276" w:lineRule="auto"/>
              <w:jc w:val="center"/>
              <w:rPr>
                <w:rFonts w:ascii="Calibri Light" w:eastAsia="Calibri" w:hAnsi="Calibri Light" w:cs="Calibri Light"/>
                <w:b/>
                <w:bCs/>
                <w:iCs/>
                <w:noProof/>
                <w:sz w:val="20"/>
                <w:szCs w:val="20"/>
                <w:lang w:val="ro-MD"/>
              </w:rPr>
            </w:pPr>
            <w:r w:rsidRPr="00363CFA">
              <w:rPr>
                <w:rFonts w:ascii="Calibri Light" w:eastAsia="Calibri" w:hAnsi="Calibri Light" w:cs="Calibri Light"/>
                <w:b/>
                <w:bCs/>
                <w:iCs/>
                <w:noProof/>
                <w:sz w:val="20"/>
                <w:szCs w:val="20"/>
                <w:lang w:val="ro-MD"/>
              </w:rPr>
              <w:t>MD-2001, mun. Chi</w:t>
            </w:r>
            <w:r w:rsidR="0069374B" w:rsidRPr="00363CFA">
              <w:rPr>
                <w:rFonts w:ascii="Calibri Light" w:eastAsia="Calibri" w:hAnsi="Calibri Light" w:cs="Calibri Light"/>
                <w:b/>
                <w:bCs/>
                <w:iCs/>
                <w:noProof/>
                <w:sz w:val="20"/>
                <w:szCs w:val="20"/>
                <w:lang w:val="ro-MD"/>
              </w:rPr>
              <w:t>ș</w:t>
            </w:r>
            <w:r w:rsidRPr="00363CFA">
              <w:rPr>
                <w:rFonts w:ascii="Calibri Light" w:eastAsia="Calibri" w:hAnsi="Calibri Light" w:cs="Calibri Light"/>
                <w:b/>
                <w:bCs/>
                <w:iCs/>
                <w:noProof/>
                <w:sz w:val="20"/>
                <w:szCs w:val="20"/>
                <w:lang w:val="ro-MD"/>
              </w:rPr>
              <w:t xml:space="preserve">inău, bd. </w:t>
            </w:r>
            <w:r w:rsidR="0069374B" w:rsidRPr="00363CFA">
              <w:rPr>
                <w:rFonts w:ascii="Calibri Light" w:eastAsia="Calibri" w:hAnsi="Calibri Light" w:cs="Calibri Light"/>
                <w:b/>
                <w:bCs/>
                <w:iCs/>
                <w:noProof/>
                <w:sz w:val="20"/>
                <w:szCs w:val="20"/>
                <w:lang w:val="ro-MD"/>
              </w:rPr>
              <w:t>Ș</w:t>
            </w:r>
            <w:r w:rsidRPr="00363CFA">
              <w:rPr>
                <w:rFonts w:ascii="Calibri Light" w:eastAsia="Calibri" w:hAnsi="Calibri Light" w:cs="Calibri Light"/>
                <w:b/>
                <w:bCs/>
                <w:iCs/>
                <w:noProof/>
                <w:sz w:val="20"/>
                <w:szCs w:val="20"/>
                <w:lang w:val="ro-MD"/>
              </w:rPr>
              <w:t xml:space="preserve">tefan cel Mare </w:t>
            </w:r>
            <w:r w:rsidR="0069374B" w:rsidRPr="00363CFA">
              <w:rPr>
                <w:rFonts w:ascii="Calibri Light" w:eastAsia="Calibri" w:hAnsi="Calibri Light" w:cs="Calibri Light"/>
                <w:b/>
                <w:bCs/>
                <w:iCs/>
                <w:noProof/>
                <w:sz w:val="20"/>
                <w:szCs w:val="20"/>
                <w:lang w:val="ro-MD"/>
              </w:rPr>
              <w:t>ș</w:t>
            </w:r>
            <w:r w:rsidRPr="00363CFA">
              <w:rPr>
                <w:rFonts w:ascii="Calibri Light" w:eastAsia="Calibri" w:hAnsi="Calibri Light" w:cs="Calibri Light"/>
                <w:b/>
                <w:bCs/>
                <w:iCs/>
                <w:noProof/>
                <w:sz w:val="20"/>
                <w:szCs w:val="20"/>
                <w:lang w:val="ro-MD"/>
              </w:rPr>
              <w:t xml:space="preserve">i Sfânt nr.69, tel. (+373 22) 26 60 02, </w:t>
            </w:r>
          </w:p>
          <w:p w14:paraId="66A624D1" w14:textId="77777777" w:rsidR="00C23DCE" w:rsidRPr="00363CFA" w:rsidRDefault="00C23DCE" w:rsidP="00C23DCE">
            <w:pPr>
              <w:tabs>
                <w:tab w:val="left" w:pos="720"/>
              </w:tabs>
              <w:spacing w:after="0" w:line="276" w:lineRule="auto"/>
              <w:jc w:val="center"/>
              <w:rPr>
                <w:rFonts w:ascii="Calibri Light" w:hAnsi="Calibri Light" w:cs="Calibri Light"/>
                <w:b/>
                <w:bCs/>
                <w:lang w:val="ro-MD"/>
              </w:rPr>
            </w:pPr>
            <w:r w:rsidRPr="00363CFA">
              <w:rPr>
                <w:rFonts w:ascii="Calibri Light" w:eastAsia="Calibri" w:hAnsi="Calibri Light" w:cs="Calibri Light"/>
                <w:b/>
                <w:bCs/>
                <w:iCs/>
                <w:noProof/>
                <w:sz w:val="20"/>
                <w:szCs w:val="20"/>
                <w:lang w:val="ro-MD"/>
              </w:rPr>
              <w:t xml:space="preserve">fax: (+373 22) 26 61 00, web: </w:t>
            </w:r>
            <w:hyperlink r:id="rId9" w:history="1">
              <w:r w:rsidRPr="00363CFA">
                <w:rPr>
                  <w:rFonts w:ascii="Calibri Light" w:eastAsia="Calibri" w:hAnsi="Calibri Light" w:cs="Calibri Light"/>
                  <w:b/>
                  <w:bCs/>
                  <w:noProof/>
                  <w:color w:val="0563C1"/>
                  <w:sz w:val="20"/>
                  <w:szCs w:val="20"/>
                  <w:u w:val="single"/>
                  <w:lang w:val="ro-MD"/>
                </w:rPr>
                <w:t>www.ccrm.md</w:t>
              </w:r>
            </w:hyperlink>
            <w:r w:rsidRPr="00363CFA">
              <w:rPr>
                <w:rFonts w:ascii="Calibri Light" w:eastAsia="Calibri" w:hAnsi="Calibri Light" w:cs="Calibri Light"/>
                <w:b/>
                <w:bCs/>
                <w:iCs/>
                <w:noProof/>
                <w:sz w:val="20"/>
                <w:szCs w:val="20"/>
                <w:lang w:val="ro-MD"/>
              </w:rPr>
              <w:t xml:space="preserve">, e-mail: </w:t>
            </w:r>
            <w:hyperlink r:id="rId10" w:history="1">
              <w:r w:rsidRPr="00363CFA">
                <w:rPr>
                  <w:rFonts w:ascii="Calibri Light" w:eastAsia="Calibri" w:hAnsi="Calibri Light" w:cs="Calibri Light"/>
                  <w:b/>
                  <w:bCs/>
                  <w:noProof/>
                  <w:color w:val="0563C1"/>
                  <w:sz w:val="20"/>
                  <w:szCs w:val="20"/>
                  <w:u w:val="single"/>
                  <w:lang w:val="ro-MD"/>
                </w:rPr>
                <w:t>ccrm@ccrm.md</w:t>
              </w:r>
            </w:hyperlink>
          </w:p>
        </w:tc>
      </w:tr>
    </w:tbl>
    <w:p w14:paraId="294729B7" w14:textId="7DD08702" w:rsidR="00C23DCE" w:rsidRPr="00363CFA" w:rsidRDefault="00282A54" w:rsidP="00C23DCE">
      <w:pPr>
        <w:tabs>
          <w:tab w:val="left" w:pos="720"/>
        </w:tabs>
        <w:spacing w:line="276" w:lineRule="auto"/>
        <w:jc w:val="right"/>
        <w:rPr>
          <w:rFonts w:ascii="Calibri Light" w:hAnsi="Calibri Light" w:cs="Calibri Light"/>
          <w:b/>
          <w:bCs/>
          <w:lang w:val="ro-MD"/>
        </w:rPr>
      </w:pPr>
      <w:r w:rsidRPr="00363CFA">
        <w:rPr>
          <w:rFonts w:ascii="Calibri Light" w:hAnsi="Calibri Light" w:cs="Calibri Light"/>
          <w:b/>
          <w:bCs/>
          <w:lang w:val="ro-MD"/>
        </w:rPr>
        <w:t xml:space="preserve"> </w:t>
      </w:r>
    </w:p>
    <w:p w14:paraId="2A182A1F" w14:textId="77777777" w:rsidR="00C23DCE" w:rsidRPr="00363CFA" w:rsidRDefault="00C23DCE" w:rsidP="00C23DCE">
      <w:pPr>
        <w:tabs>
          <w:tab w:val="left" w:pos="720"/>
        </w:tabs>
        <w:spacing w:line="276" w:lineRule="auto"/>
        <w:jc w:val="right"/>
        <w:rPr>
          <w:rFonts w:ascii="Calibri Light" w:hAnsi="Calibri Light" w:cs="Calibri Light"/>
          <w:b/>
          <w:bCs/>
          <w:lang w:val="ro-MD"/>
        </w:rPr>
      </w:pPr>
    </w:p>
    <w:p w14:paraId="7C14BC87" w14:textId="77777777" w:rsidR="00C23DCE" w:rsidRPr="00363CFA" w:rsidRDefault="00C23DCE" w:rsidP="00C23DCE">
      <w:pPr>
        <w:spacing w:line="276" w:lineRule="auto"/>
        <w:ind w:right="284"/>
        <w:jc w:val="center"/>
        <w:rPr>
          <w:rFonts w:ascii="Calibri Light" w:hAnsi="Calibri Light" w:cs="Calibri Light"/>
          <w:lang w:val="ro-MD"/>
        </w:rPr>
      </w:pPr>
    </w:p>
    <w:p w14:paraId="42917C02" w14:textId="77777777" w:rsidR="00C23DCE" w:rsidRPr="00363CFA" w:rsidRDefault="00C23DCE" w:rsidP="00C23DCE">
      <w:pPr>
        <w:spacing w:line="276" w:lineRule="auto"/>
        <w:ind w:right="284"/>
        <w:jc w:val="center"/>
        <w:rPr>
          <w:rFonts w:ascii="Calibri Light" w:hAnsi="Calibri Light" w:cs="Calibri Light"/>
          <w:b/>
          <w:sz w:val="28"/>
          <w:szCs w:val="28"/>
          <w:lang w:val="ro-MD"/>
        </w:rPr>
      </w:pPr>
    </w:p>
    <w:p w14:paraId="624F2108" w14:textId="77777777" w:rsidR="00C23DCE" w:rsidRPr="00363CFA" w:rsidRDefault="00C23DCE" w:rsidP="00C23DCE">
      <w:pPr>
        <w:spacing w:line="276" w:lineRule="auto"/>
        <w:ind w:right="284"/>
        <w:jc w:val="center"/>
        <w:rPr>
          <w:rFonts w:ascii="Calibri Light" w:hAnsi="Calibri Light" w:cs="Calibri Light"/>
          <w:sz w:val="32"/>
          <w:szCs w:val="32"/>
          <w:lang w:val="ro-MD"/>
        </w:rPr>
      </w:pPr>
      <w:r w:rsidRPr="00363CFA">
        <w:rPr>
          <w:rFonts w:ascii="Calibri Light" w:hAnsi="Calibri Light" w:cs="Calibri Light"/>
          <w:b/>
          <w:sz w:val="32"/>
          <w:szCs w:val="32"/>
          <w:lang w:val="ro-MD"/>
        </w:rPr>
        <w:t>RAPORTUL</w:t>
      </w:r>
    </w:p>
    <w:p w14:paraId="10B3149D" w14:textId="296D90AE" w:rsidR="00C23DCE" w:rsidRPr="00363CFA" w:rsidRDefault="00C23DCE" w:rsidP="00C23DCE">
      <w:pPr>
        <w:spacing w:line="276" w:lineRule="auto"/>
        <w:ind w:right="284"/>
        <w:jc w:val="center"/>
        <w:rPr>
          <w:rFonts w:ascii="Calibri Light" w:hAnsi="Calibri Light" w:cs="Calibri Light"/>
          <w:sz w:val="32"/>
          <w:szCs w:val="32"/>
          <w:lang w:val="ro-MD"/>
        </w:rPr>
      </w:pPr>
      <w:r w:rsidRPr="00363CFA">
        <w:rPr>
          <w:rFonts w:ascii="Calibri Light" w:hAnsi="Calibri Light" w:cs="Calibri Light"/>
          <w:noProof/>
          <w:sz w:val="32"/>
          <w:szCs w:val="32"/>
          <w:lang w:val="ro-MD"/>
        </w:rPr>
        <w:t>auditului conformită</w:t>
      </w:r>
      <w:r w:rsidR="0069374B" w:rsidRPr="00363CFA">
        <w:rPr>
          <w:rFonts w:ascii="Calibri Light" w:hAnsi="Calibri Light" w:cs="Calibri Light"/>
          <w:noProof/>
          <w:sz w:val="32"/>
          <w:szCs w:val="32"/>
          <w:lang w:val="ro-MD"/>
        </w:rPr>
        <w:t>ț</w:t>
      </w:r>
      <w:r w:rsidRPr="00363CFA">
        <w:rPr>
          <w:rFonts w:ascii="Calibri Light" w:hAnsi="Calibri Light" w:cs="Calibri Light"/>
          <w:noProof/>
          <w:sz w:val="32"/>
          <w:szCs w:val="32"/>
          <w:lang w:val="ro-MD"/>
        </w:rPr>
        <w:t xml:space="preserve">ii procesului bugetar </w:t>
      </w:r>
      <w:r w:rsidR="0069374B" w:rsidRPr="00363CFA">
        <w:rPr>
          <w:rFonts w:ascii="Calibri Light" w:hAnsi="Calibri Light" w:cs="Calibri Light"/>
          <w:noProof/>
          <w:sz w:val="32"/>
          <w:szCs w:val="32"/>
          <w:lang w:val="ro-MD"/>
        </w:rPr>
        <w:t>ș</w:t>
      </w:r>
      <w:r w:rsidRPr="00363CFA">
        <w:rPr>
          <w:rFonts w:ascii="Calibri Light" w:hAnsi="Calibri Light" w:cs="Calibri Light"/>
          <w:noProof/>
          <w:sz w:val="32"/>
          <w:szCs w:val="32"/>
          <w:lang w:val="ro-MD"/>
        </w:rPr>
        <w:t xml:space="preserve">i gestionării patrimoniului public </w:t>
      </w:r>
      <w:r w:rsidR="00723A17" w:rsidRPr="00363CFA">
        <w:rPr>
          <w:rFonts w:ascii="Calibri Light" w:hAnsi="Calibri Light" w:cs="Calibri Light"/>
          <w:noProof/>
          <w:sz w:val="32"/>
          <w:szCs w:val="32"/>
          <w:lang w:val="ro-MD"/>
        </w:rPr>
        <w:t xml:space="preserve">în anii 2018-2020 </w:t>
      </w:r>
      <w:r w:rsidR="009D0744">
        <w:rPr>
          <w:rFonts w:ascii="Calibri Light" w:hAnsi="Calibri Light" w:cs="Calibri Light"/>
          <w:noProof/>
          <w:sz w:val="32"/>
          <w:szCs w:val="32"/>
          <w:lang w:val="ro-MD"/>
        </w:rPr>
        <w:t>la U</w:t>
      </w:r>
      <w:r w:rsidRPr="00363CFA">
        <w:rPr>
          <w:rFonts w:ascii="Calibri Light" w:hAnsi="Calibri Light" w:cs="Calibri Light"/>
          <w:noProof/>
          <w:sz w:val="32"/>
          <w:szCs w:val="32"/>
          <w:lang w:val="ro-MD"/>
        </w:rPr>
        <w:t xml:space="preserve">nitatea </w:t>
      </w:r>
      <w:r w:rsidR="009D0744">
        <w:rPr>
          <w:rFonts w:ascii="Calibri Light" w:hAnsi="Calibri Light" w:cs="Calibri Light"/>
          <w:noProof/>
          <w:sz w:val="32"/>
          <w:szCs w:val="32"/>
          <w:lang w:val="ro-MD"/>
        </w:rPr>
        <w:t>T</w:t>
      </w:r>
      <w:r w:rsidR="00723A17" w:rsidRPr="00363CFA">
        <w:rPr>
          <w:rFonts w:ascii="Calibri Light" w:hAnsi="Calibri Light" w:cs="Calibri Light"/>
          <w:noProof/>
          <w:sz w:val="32"/>
          <w:szCs w:val="32"/>
          <w:lang w:val="ro-MD"/>
        </w:rPr>
        <w:t>eritorial</w:t>
      </w:r>
      <w:r w:rsidR="009D0744">
        <w:rPr>
          <w:rFonts w:ascii="Calibri Light" w:hAnsi="Calibri Light" w:cs="Calibri Light"/>
          <w:noProof/>
          <w:sz w:val="32"/>
          <w:szCs w:val="32"/>
          <w:lang w:val="ro-MD"/>
        </w:rPr>
        <w:t>ă</w:t>
      </w:r>
      <w:r w:rsidR="00723A17" w:rsidRPr="00363CFA">
        <w:rPr>
          <w:rFonts w:ascii="Calibri Light" w:hAnsi="Calibri Light" w:cs="Calibri Light"/>
          <w:noProof/>
          <w:sz w:val="32"/>
          <w:szCs w:val="32"/>
          <w:lang w:val="ro-MD"/>
        </w:rPr>
        <w:t xml:space="preserve"> </w:t>
      </w:r>
      <w:r w:rsidR="009D0744">
        <w:rPr>
          <w:rFonts w:ascii="Calibri Light" w:hAnsi="Calibri Light" w:cs="Calibri Light"/>
          <w:noProof/>
          <w:sz w:val="32"/>
          <w:szCs w:val="32"/>
          <w:lang w:val="ro-MD"/>
        </w:rPr>
        <w:t>Autonomă</w:t>
      </w:r>
      <w:r w:rsidR="00723A17" w:rsidRPr="00363CFA">
        <w:rPr>
          <w:rFonts w:ascii="Calibri Light" w:hAnsi="Calibri Light" w:cs="Calibri Light"/>
          <w:noProof/>
          <w:sz w:val="32"/>
          <w:szCs w:val="32"/>
          <w:lang w:val="ro-MD"/>
        </w:rPr>
        <w:t xml:space="preserve"> </w:t>
      </w:r>
      <w:r w:rsidR="009D0744">
        <w:rPr>
          <w:rFonts w:ascii="Calibri Light" w:hAnsi="Calibri Light" w:cs="Calibri Light"/>
          <w:noProof/>
          <w:sz w:val="32"/>
          <w:szCs w:val="32"/>
          <w:lang w:val="ro-MD"/>
        </w:rPr>
        <w:t xml:space="preserve">Găgăuzia </w:t>
      </w:r>
      <w:r w:rsidR="009D0744" w:rsidRPr="00174032">
        <w:rPr>
          <w:rFonts w:ascii="Calibri Light" w:hAnsi="Calibri Light" w:cs="Calibri Light"/>
          <w:noProof/>
          <w:sz w:val="32"/>
          <w:szCs w:val="32"/>
          <w:lang w:val="ro-MD"/>
        </w:rPr>
        <w:t>(bugetul central</w:t>
      </w:r>
      <w:r w:rsidR="00723A17" w:rsidRPr="00174032">
        <w:rPr>
          <w:rFonts w:ascii="Calibri Light" w:hAnsi="Calibri Light" w:cs="Calibri Light"/>
          <w:noProof/>
          <w:sz w:val="32"/>
          <w:szCs w:val="32"/>
          <w:lang w:val="ro-MD"/>
        </w:rPr>
        <w:t>)</w:t>
      </w:r>
    </w:p>
    <w:p w14:paraId="412A834E" w14:textId="77777777" w:rsidR="00C23DCE" w:rsidRPr="00363CFA" w:rsidRDefault="00C23DCE" w:rsidP="00C23DCE">
      <w:pPr>
        <w:spacing w:line="276" w:lineRule="auto"/>
        <w:ind w:right="284"/>
        <w:jc w:val="center"/>
        <w:rPr>
          <w:rFonts w:ascii="Calibri Light" w:hAnsi="Calibri Light" w:cs="Calibri Light"/>
          <w:sz w:val="28"/>
          <w:szCs w:val="28"/>
          <w:lang w:val="ro-MD"/>
        </w:rPr>
      </w:pPr>
    </w:p>
    <w:p w14:paraId="16FC30FD" w14:textId="77777777" w:rsidR="00C23DCE" w:rsidRPr="00363CFA" w:rsidRDefault="00C23DCE" w:rsidP="00C23DCE">
      <w:pPr>
        <w:spacing w:line="276" w:lineRule="auto"/>
        <w:ind w:right="284"/>
        <w:jc w:val="center"/>
        <w:rPr>
          <w:rFonts w:ascii="Calibri Light" w:hAnsi="Calibri Light" w:cs="Calibri Light"/>
          <w:sz w:val="28"/>
          <w:szCs w:val="28"/>
          <w:lang w:val="ro-MD"/>
        </w:rPr>
      </w:pPr>
    </w:p>
    <w:p w14:paraId="63F011BB" w14:textId="77777777" w:rsidR="00C23DCE" w:rsidRPr="00363CFA" w:rsidRDefault="00C23DCE" w:rsidP="00C23DCE">
      <w:pPr>
        <w:spacing w:line="276" w:lineRule="auto"/>
        <w:ind w:right="284"/>
        <w:jc w:val="center"/>
        <w:rPr>
          <w:rFonts w:ascii="Calibri Light" w:hAnsi="Calibri Light" w:cs="Calibri Light"/>
          <w:b/>
          <w:sz w:val="28"/>
          <w:szCs w:val="28"/>
          <w:lang w:val="ro-MD"/>
        </w:rPr>
      </w:pPr>
    </w:p>
    <w:p w14:paraId="0BE51924" w14:textId="77777777" w:rsidR="00C23DCE" w:rsidRPr="00363CFA" w:rsidRDefault="00C23DCE" w:rsidP="00C23DCE">
      <w:pPr>
        <w:spacing w:line="276" w:lineRule="auto"/>
        <w:ind w:right="284"/>
        <w:jc w:val="center"/>
        <w:rPr>
          <w:rFonts w:ascii="Calibri Light" w:hAnsi="Calibri Light" w:cs="Calibri Light"/>
          <w:lang w:val="ro-MD"/>
        </w:rPr>
      </w:pPr>
    </w:p>
    <w:p w14:paraId="6F022443" w14:textId="77777777" w:rsidR="00C23DCE" w:rsidRPr="00363CFA" w:rsidRDefault="00C23DCE" w:rsidP="00C23DCE">
      <w:pPr>
        <w:spacing w:line="276" w:lineRule="auto"/>
        <w:jc w:val="center"/>
        <w:rPr>
          <w:rFonts w:asciiTheme="majorHAnsi" w:hAnsiTheme="majorHAnsi" w:cstheme="majorHAnsi"/>
          <w:lang w:val="ro-MD"/>
        </w:rPr>
      </w:pPr>
      <w:r w:rsidRPr="00363CFA">
        <w:rPr>
          <w:rFonts w:ascii="Calibri Light" w:hAnsi="Calibri Light" w:cs="Calibri Light"/>
          <w:lang w:val="ro-MD"/>
        </w:rPr>
        <w:t>Chi</w:t>
      </w:r>
      <w:r w:rsidR="0069374B" w:rsidRPr="00363CFA">
        <w:rPr>
          <w:rFonts w:ascii="Calibri Light" w:hAnsi="Calibri Light" w:cs="Calibri Light"/>
          <w:lang w:val="ro-MD"/>
        </w:rPr>
        <w:t>ș</w:t>
      </w:r>
      <w:r w:rsidRPr="00363CFA">
        <w:rPr>
          <w:rFonts w:ascii="Calibri Light" w:hAnsi="Calibri Light" w:cs="Calibri Light"/>
          <w:lang w:val="ro-MD"/>
        </w:rPr>
        <w:t>inău, 2021</w:t>
      </w:r>
    </w:p>
    <w:sdt>
      <w:sdtPr>
        <w:rPr>
          <w:rFonts w:asciiTheme="minorHAnsi" w:eastAsiaTheme="minorHAnsi" w:hAnsiTheme="minorHAnsi" w:cstheme="majorHAnsi"/>
          <w:color w:val="auto"/>
          <w:sz w:val="24"/>
          <w:szCs w:val="24"/>
        </w:rPr>
        <w:id w:val="-1993470695"/>
        <w:docPartObj>
          <w:docPartGallery w:val="Table of Contents"/>
          <w:docPartUnique/>
        </w:docPartObj>
      </w:sdtPr>
      <w:sdtEndPr>
        <w:rPr>
          <w:b/>
          <w:bCs/>
          <w:noProof/>
        </w:rPr>
      </w:sdtEndPr>
      <w:sdtContent>
        <w:p w14:paraId="7F8DDC0E" w14:textId="286F2D6C" w:rsidR="00A33768" w:rsidRPr="004D217B" w:rsidRDefault="00EE476F" w:rsidP="004D217B">
          <w:pPr>
            <w:pStyle w:val="TOCHeading"/>
            <w:spacing w:before="0" w:line="240" w:lineRule="auto"/>
            <w:rPr>
              <w:rFonts w:cstheme="majorHAnsi"/>
              <w:sz w:val="24"/>
              <w:szCs w:val="24"/>
            </w:rPr>
          </w:pPr>
          <w:r w:rsidRPr="004D217B">
            <w:rPr>
              <w:rFonts w:cstheme="majorHAnsi"/>
              <w:sz w:val="24"/>
              <w:szCs w:val="24"/>
            </w:rPr>
            <w:t>Cuprins:</w:t>
          </w:r>
        </w:p>
        <w:p w14:paraId="5D99D6F0" w14:textId="5572B8D5" w:rsidR="00A33768" w:rsidRPr="004D217B" w:rsidRDefault="00A33768" w:rsidP="004D217B">
          <w:pPr>
            <w:pStyle w:val="TOC1"/>
            <w:spacing w:after="0" w:line="240" w:lineRule="auto"/>
            <w:rPr>
              <w:rFonts w:asciiTheme="majorHAnsi" w:eastAsiaTheme="minorEastAsia" w:hAnsiTheme="majorHAnsi" w:cstheme="majorHAnsi"/>
              <w:sz w:val="24"/>
              <w:szCs w:val="24"/>
            </w:rPr>
          </w:pPr>
          <w:r w:rsidRPr="004D217B">
            <w:rPr>
              <w:rFonts w:asciiTheme="majorHAnsi" w:hAnsiTheme="majorHAnsi" w:cstheme="majorHAnsi"/>
              <w:sz w:val="24"/>
              <w:szCs w:val="24"/>
            </w:rPr>
            <w:fldChar w:fldCharType="begin"/>
          </w:r>
          <w:r w:rsidRPr="004D217B">
            <w:rPr>
              <w:rFonts w:asciiTheme="majorHAnsi" w:hAnsiTheme="majorHAnsi" w:cstheme="majorHAnsi"/>
              <w:sz w:val="24"/>
              <w:szCs w:val="24"/>
            </w:rPr>
            <w:instrText xml:space="preserve"> TOC \o "1-3" \h \z \u </w:instrText>
          </w:r>
          <w:r w:rsidRPr="004D217B">
            <w:rPr>
              <w:rFonts w:asciiTheme="majorHAnsi" w:hAnsiTheme="majorHAnsi" w:cstheme="majorHAnsi"/>
              <w:sz w:val="24"/>
              <w:szCs w:val="24"/>
            </w:rPr>
            <w:fldChar w:fldCharType="separate"/>
          </w:r>
          <w:hyperlink w:anchor="_Toc84512895" w:history="1">
            <w:r w:rsidRPr="004D217B">
              <w:rPr>
                <w:rStyle w:val="Hyperlink"/>
                <w:rFonts w:asciiTheme="majorHAnsi" w:eastAsiaTheme="majorEastAsia" w:hAnsiTheme="majorHAnsi" w:cstheme="majorHAnsi"/>
                <w:bCs/>
                <w:sz w:val="24"/>
                <w:szCs w:val="24"/>
                <w:lang w:val="ro-MD"/>
              </w:rPr>
              <w:t>LISTA ACRONIMELOR</w:t>
            </w:r>
            <w:r w:rsidRPr="004D217B">
              <w:rPr>
                <w:rFonts w:asciiTheme="majorHAnsi" w:hAnsiTheme="majorHAnsi" w:cstheme="majorHAnsi"/>
                <w:webHidden/>
                <w:sz w:val="24"/>
                <w:szCs w:val="24"/>
              </w:rPr>
              <w:tab/>
            </w:r>
            <w:r w:rsidRPr="004D217B">
              <w:rPr>
                <w:rFonts w:asciiTheme="majorHAnsi" w:hAnsiTheme="majorHAnsi" w:cstheme="majorHAnsi"/>
                <w:webHidden/>
                <w:sz w:val="24"/>
                <w:szCs w:val="24"/>
              </w:rPr>
              <w:fldChar w:fldCharType="begin"/>
            </w:r>
            <w:r w:rsidRPr="004D217B">
              <w:rPr>
                <w:rFonts w:asciiTheme="majorHAnsi" w:hAnsiTheme="majorHAnsi" w:cstheme="majorHAnsi"/>
                <w:webHidden/>
                <w:sz w:val="24"/>
                <w:szCs w:val="24"/>
              </w:rPr>
              <w:instrText xml:space="preserve"> PAGEREF _Toc84512895 \h </w:instrText>
            </w:r>
            <w:r w:rsidRPr="004D217B">
              <w:rPr>
                <w:rFonts w:asciiTheme="majorHAnsi" w:hAnsiTheme="majorHAnsi" w:cstheme="majorHAnsi"/>
                <w:webHidden/>
                <w:sz w:val="24"/>
                <w:szCs w:val="24"/>
              </w:rPr>
            </w:r>
            <w:r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3</w:t>
            </w:r>
            <w:r w:rsidRPr="004D217B">
              <w:rPr>
                <w:rFonts w:asciiTheme="majorHAnsi" w:hAnsiTheme="majorHAnsi" w:cstheme="majorHAnsi"/>
                <w:webHidden/>
                <w:sz w:val="24"/>
                <w:szCs w:val="24"/>
              </w:rPr>
              <w:fldChar w:fldCharType="end"/>
            </w:r>
          </w:hyperlink>
        </w:p>
        <w:p w14:paraId="71D79B03" w14:textId="05AAB382"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896" w:history="1">
            <w:r w:rsidR="00A33768" w:rsidRPr="004D217B">
              <w:rPr>
                <w:rStyle w:val="Hyperlink"/>
                <w:rFonts w:asciiTheme="majorHAnsi" w:eastAsiaTheme="majorEastAsia" w:hAnsiTheme="majorHAnsi" w:cstheme="majorHAnsi"/>
                <w:bCs/>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GLOSAR</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_Toc84512896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3</w:t>
            </w:r>
            <w:r w:rsidR="00A33768" w:rsidRPr="004D217B">
              <w:rPr>
                <w:rFonts w:asciiTheme="majorHAnsi" w:hAnsiTheme="majorHAnsi" w:cstheme="majorHAnsi"/>
                <w:webHidden/>
                <w:sz w:val="24"/>
                <w:szCs w:val="24"/>
              </w:rPr>
              <w:fldChar w:fldCharType="end"/>
            </w:r>
          </w:hyperlink>
        </w:p>
        <w:p w14:paraId="7762BC85" w14:textId="448938AA"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897" w:history="1">
            <w:r w:rsidR="00A33768" w:rsidRPr="004D217B">
              <w:rPr>
                <w:rStyle w:val="Hyperlink"/>
                <w:rFonts w:asciiTheme="majorHAnsi" w:eastAsiaTheme="majorEastAsia" w:hAnsiTheme="majorHAnsi" w:cstheme="majorHAnsi"/>
                <w:sz w:val="24"/>
                <w:szCs w:val="24"/>
                <w:lang w:val="ro-MD"/>
              </w:rPr>
              <w:t>I. SINTEZA</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_Toc84512897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4</w:t>
            </w:r>
            <w:r w:rsidR="00A33768" w:rsidRPr="004D217B">
              <w:rPr>
                <w:rFonts w:asciiTheme="majorHAnsi" w:hAnsiTheme="majorHAnsi" w:cstheme="majorHAnsi"/>
                <w:webHidden/>
                <w:sz w:val="24"/>
                <w:szCs w:val="24"/>
              </w:rPr>
              <w:fldChar w:fldCharType="end"/>
            </w:r>
          </w:hyperlink>
        </w:p>
        <w:p w14:paraId="21E73307" w14:textId="0DBEF200"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898" w:history="1">
            <w:r w:rsidR="00A33768" w:rsidRPr="004D217B">
              <w:rPr>
                <w:rStyle w:val="Hyperlink"/>
                <w:rFonts w:asciiTheme="majorHAnsi" w:eastAsia="Times New Roman" w:hAnsiTheme="majorHAnsi" w:cstheme="majorHAnsi"/>
                <w:sz w:val="24"/>
                <w:szCs w:val="24"/>
                <w:lang w:val="ro-MD"/>
              </w:rPr>
              <w:t>II. PREZENTARE GENERALĂ</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_Toc84512898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5</w:t>
            </w:r>
            <w:r w:rsidR="00A33768" w:rsidRPr="004D217B">
              <w:rPr>
                <w:rFonts w:asciiTheme="majorHAnsi" w:hAnsiTheme="majorHAnsi" w:cstheme="majorHAnsi"/>
                <w:webHidden/>
                <w:sz w:val="24"/>
                <w:szCs w:val="24"/>
              </w:rPr>
              <w:fldChar w:fldCharType="end"/>
            </w:r>
          </w:hyperlink>
        </w:p>
        <w:p w14:paraId="3D9D5EFF" w14:textId="20E759E3"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899" w:history="1">
            <w:r w:rsidR="00A33768" w:rsidRPr="004D217B">
              <w:rPr>
                <w:rStyle w:val="Hyperlink"/>
                <w:rFonts w:asciiTheme="majorHAnsi" w:eastAsiaTheme="majorEastAsia" w:hAnsiTheme="majorHAnsi" w:cstheme="majorHAnsi"/>
                <w:bCs/>
                <w:sz w:val="24"/>
                <w:szCs w:val="24"/>
                <w:lang w:val="ro-MD"/>
              </w:rPr>
              <w:t>2.1. Domeniul de activitate al entității auditate</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_Toc84512899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5</w:t>
            </w:r>
            <w:r w:rsidR="00A33768" w:rsidRPr="004D217B">
              <w:rPr>
                <w:rFonts w:asciiTheme="majorHAnsi" w:hAnsiTheme="majorHAnsi" w:cstheme="majorHAnsi"/>
                <w:webHidden/>
                <w:sz w:val="24"/>
                <w:szCs w:val="24"/>
              </w:rPr>
              <w:fldChar w:fldCharType="end"/>
            </w:r>
          </w:hyperlink>
        </w:p>
        <w:p w14:paraId="5952331A" w14:textId="73B30AF6"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00" w:history="1">
            <w:r w:rsidR="00A33768" w:rsidRPr="004D217B">
              <w:rPr>
                <w:rStyle w:val="Hyperlink"/>
                <w:rFonts w:asciiTheme="majorHAnsi" w:eastAsiaTheme="majorEastAsia" w:hAnsiTheme="majorHAnsi" w:cstheme="majorHAnsi"/>
                <w:bCs/>
                <w:sz w:val="24"/>
                <w:szCs w:val="24"/>
                <w:lang w:val="ro-MD"/>
              </w:rPr>
              <w:t>2.2. Patrimoniul și bugetul gestionate</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_Toc84512900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6</w:t>
            </w:r>
            <w:r w:rsidR="00A33768" w:rsidRPr="004D217B">
              <w:rPr>
                <w:rFonts w:asciiTheme="majorHAnsi" w:hAnsiTheme="majorHAnsi" w:cstheme="majorHAnsi"/>
                <w:webHidden/>
                <w:sz w:val="24"/>
                <w:szCs w:val="24"/>
              </w:rPr>
              <w:fldChar w:fldCharType="end"/>
            </w:r>
          </w:hyperlink>
        </w:p>
        <w:p w14:paraId="417F5DD0" w14:textId="5DB564C9"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01" w:history="1">
            <w:r w:rsidR="00A33768" w:rsidRPr="004D217B">
              <w:rPr>
                <w:rStyle w:val="Hyperlink"/>
                <w:rFonts w:asciiTheme="majorHAnsi" w:eastAsiaTheme="majorEastAsia" w:hAnsiTheme="majorHAnsi" w:cstheme="majorHAnsi"/>
                <w:sz w:val="24"/>
                <w:szCs w:val="24"/>
                <w:shd w:val="clear" w:color="auto" w:fill="FFFFFF"/>
                <w:lang w:val="ro-MD"/>
              </w:rPr>
              <w:t>III. SFERA ȘI ABORDAREA AUDITULUI</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_Toc84512901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7</w:t>
            </w:r>
            <w:r w:rsidR="00A33768" w:rsidRPr="004D217B">
              <w:rPr>
                <w:rFonts w:asciiTheme="majorHAnsi" w:hAnsiTheme="majorHAnsi" w:cstheme="majorHAnsi"/>
                <w:webHidden/>
                <w:sz w:val="24"/>
                <w:szCs w:val="24"/>
              </w:rPr>
              <w:fldChar w:fldCharType="end"/>
            </w:r>
          </w:hyperlink>
        </w:p>
        <w:p w14:paraId="4E3EC795" w14:textId="7879DBD1" w:rsidR="00A33768" w:rsidRPr="004D217B" w:rsidRDefault="00E11758" w:rsidP="004D217B">
          <w:pPr>
            <w:pStyle w:val="TOC2"/>
            <w:tabs>
              <w:tab w:val="right" w:leader="dot" w:pos="9347"/>
            </w:tabs>
            <w:spacing w:after="0" w:line="240" w:lineRule="auto"/>
            <w:rPr>
              <w:rFonts w:asciiTheme="majorHAnsi" w:eastAsiaTheme="minorEastAsia" w:hAnsiTheme="majorHAnsi" w:cstheme="majorHAnsi"/>
              <w:noProof/>
              <w:sz w:val="24"/>
              <w:szCs w:val="24"/>
            </w:rPr>
          </w:pPr>
          <w:hyperlink w:anchor="_Toc84512902" w:history="1">
            <w:r w:rsidR="00A33768" w:rsidRPr="004D217B">
              <w:rPr>
                <w:rStyle w:val="Hyperlink"/>
                <w:rFonts w:asciiTheme="majorHAnsi" w:hAnsiTheme="majorHAnsi" w:cstheme="majorHAnsi"/>
                <w:noProof/>
                <w:spacing w:val="-3"/>
                <w:sz w:val="24"/>
                <w:szCs w:val="24"/>
                <w:lang w:val="ro-MD"/>
              </w:rPr>
              <w:t xml:space="preserve">3.1. </w:t>
            </w:r>
            <w:r w:rsidR="00A33768" w:rsidRPr="004D217B">
              <w:rPr>
                <w:rStyle w:val="Hyperlink"/>
                <w:rFonts w:asciiTheme="majorHAnsi" w:eastAsia="Calibri" w:hAnsiTheme="majorHAnsi" w:cstheme="majorHAnsi"/>
                <w:noProof/>
                <w:sz w:val="24"/>
                <w:szCs w:val="24"/>
                <w:lang w:val="ro-MD"/>
              </w:rPr>
              <w:t>Mandatul legal și scopul auditului</w:t>
            </w:r>
            <w:r w:rsidR="00A33768" w:rsidRPr="004D217B">
              <w:rPr>
                <w:rFonts w:asciiTheme="majorHAnsi" w:hAnsiTheme="majorHAnsi" w:cstheme="majorHAnsi"/>
                <w:noProof/>
                <w:webHidden/>
                <w:sz w:val="24"/>
                <w:szCs w:val="24"/>
              </w:rPr>
              <w:tab/>
            </w:r>
            <w:r w:rsidR="00A33768" w:rsidRPr="004D217B">
              <w:rPr>
                <w:rFonts w:asciiTheme="majorHAnsi" w:hAnsiTheme="majorHAnsi" w:cstheme="majorHAnsi"/>
                <w:noProof/>
                <w:webHidden/>
                <w:sz w:val="24"/>
                <w:szCs w:val="24"/>
              </w:rPr>
              <w:fldChar w:fldCharType="begin"/>
            </w:r>
            <w:r w:rsidR="00A33768" w:rsidRPr="004D217B">
              <w:rPr>
                <w:rFonts w:asciiTheme="majorHAnsi" w:hAnsiTheme="majorHAnsi" w:cstheme="majorHAnsi"/>
                <w:noProof/>
                <w:webHidden/>
                <w:sz w:val="24"/>
                <w:szCs w:val="24"/>
              </w:rPr>
              <w:instrText xml:space="preserve"> PAGEREF _Toc84512902 \h </w:instrText>
            </w:r>
            <w:r w:rsidR="00A33768" w:rsidRPr="004D217B">
              <w:rPr>
                <w:rFonts w:asciiTheme="majorHAnsi" w:hAnsiTheme="majorHAnsi" w:cstheme="majorHAnsi"/>
                <w:noProof/>
                <w:webHidden/>
                <w:sz w:val="24"/>
                <w:szCs w:val="24"/>
              </w:rPr>
            </w:r>
            <w:r w:rsidR="00A33768" w:rsidRPr="004D217B">
              <w:rPr>
                <w:rFonts w:asciiTheme="majorHAnsi" w:hAnsiTheme="majorHAnsi" w:cstheme="majorHAnsi"/>
                <w:noProof/>
                <w:webHidden/>
                <w:sz w:val="24"/>
                <w:szCs w:val="24"/>
              </w:rPr>
              <w:fldChar w:fldCharType="separate"/>
            </w:r>
            <w:r w:rsidR="00733B65">
              <w:rPr>
                <w:rFonts w:asciiTheme="majorHAnsi" w:hAnsiTheme="majorHAnsi" w:cstheme="majorHAnsi"/>
                <w:noProof/>
                <w:webHidden/>
                <w:sz w:val="24"/>
                <w:szCs w:val="24"/>
              </w:rPr>
              <w:t>7</w:t>
            </w:r>
            <w:r w:rsidR="00A33768" w:rsidRPr="004D217B">
              <w:rPr>
                <w:rFonts w:asciiTheme="majorHAnsi" w:hAnsiTheme="majorHAnsi" w:cstheme="majorHAnsi"/>
                <w:noProof/>
                <w:webHidden/>
                <w:sz w:val="24"/>
                <w:szCs w:val="24"/>
              </w:rPr>
              <w:fldChar w:fldCharType="end"/>
            </w:r>
          </w:hyperlink>
        </w:p>
        <w:p w14:paraId="597B82DB" w14:textId="035FCD65" w:rsidR="00A33768" w:rsidRPr="004D217B" w:rsidRDefault="00E11758" w:rsidP="004D217B">
          <w:pPr>
            <w:pStyle w:val="TOC2"/>
            <w:tabs>
              <w:tab w:val="right" w:leader="dot" w:pos="9347"/>
            </w:tabs>
            <w:spacing w:after="0" w:line="240" w:lineRule="auto"/>
            <w:rPr>
              <w:rFonts w:asciiTheme="majorHAnsi" w:eastAsiaTheme="minorEastAsia" w:hAnsiTheme="majorHAnsi" w:cstheme="majorHAnsi"/>
              <w:noProof/>
              <w:sz w:val="24"/>
              <w:szCs w:val="24"/>
            </w:rPr>
          </w:pPr>
          <w:hyperlink w:anchor="_Toc84512903" w:history="1">
            <w:r w:rsidR="00A33768" w:rsidRPr="004D217B">
              <w:rPr>
                <w:rStyle w:val="Hyperlink"/>
                <w:rFonts w:asciiTheme="majorHAnsi" w:hAnsiTheme="majorHAnsi" w:cstheme="majorHAnsi"/>
                <w:noProof/>
                <w:sz w:val="24"/>
                <w:szCs w:val="24"/>
                <w:lang w:val="ro-MD"/>
              </w:rPr>
              <w:t>3.2. Abordarea auditului</w:t>
            </w:r>
            <w:r w:rsidR="00A33768" w:rsidRPr="004D217B">
              <w:rPr>
                <w:rFonts w:asciiTheme="majorHAnsi" w:hAnsiTheme="majorHAnsi" w:cstheme="majorHAnsi"/>
                <w:noProof/>
                <w:webHidden/>
                <w:sz w:val="24"/>
                <w:szCs w:val="24"/>
              </w:rPr>
              <w:tab/>
            </w:r>
            <w:r w:rsidR="00A33768" w:rsidRPr="004D217B">
              <w:rPr>
                <w:rFonts w:asciiTheme="majorHAnsi" w:hAnsiTheme="majorHAnsi" w:cstheme="majorHAnsi"/>
                <w:noProof/>
                <w:webHidden/>
                <w:sz w:val="24"/>
                <w:szCs w:val="24"/>
              </w:rPr>
              <w:fldChar w:fldCharType="begin"/>
            </w:r>
            <w:r w:rsidR="00A33768" w:rsidRPr="004D217B">
              <w:rPr>
                <w:rFonts w:asciiTheme="majorHAnsi" w:hAnsiTheme="majorHAnsi" w:cstheme="majorHAnsi"/>
                <w:noProof/>
                <w:webHidden/>
                <w:sz w:val="24"/>
                <w:szCs w:val="24"/>
              </w:rPr>
              <w:instrText xml:space="preserve"> PAGEREF _Toc84512903 \h </w:instrText>
            </w:r>
            <w:r w:rsidR="00A33768" w:rsidRPr="004D217B">
              <w:rPr>
                <w:rFonts w:asciiTheme="majorHAnsi" w:hAnsiTheme="majorHAnsi" w:cstheme="majorHAnsi"/>
                <w:noProof/>
                <w:webHidden/>
                <w:sz w:val="24"/>
                <w:szCs w:val="24"/>
              </w:rPr>
            </w:r>
            <w:r w:rsidR="00A33768" w:rsidRPr="004D217B">
              <w:rPr>
                <w:rFonts w:asciiTheme="majorHAnsi" w:hAnsiTheme="majorHAnsi" w:cstheme="majorHAnsi"/>
                <w:noProof/>
                <w:webHidden/>
                <w:sz w:val="24"/>
                <w:szCs w:val="24"/>
              </w:rPr>
              <w:fldChar w:fldCharType="separate"/>
            </w:r>
            <w:r w:rsidR="00733B65">
              <w:rPr>
                <w:rFonts w:asciiTheme="majorHAnsi" w:hAnsiTheme="majorHAnsi" w:cstheme="majorHAnsi"/>
                <w:noProof/>
                <w:webHidden/>
                <w:sz w:val="24"/>
                <w:szCs w:val="24"/>
              </w:rPr>
              <w:t>7</w:t>
            </w:r>
            <w:r w:rsidR="00A33768" w:rsidRPr="004D217B">
              <w:rPr>
                <w:rFonts w:asciiTheme="majorHAnsi" w:hAnsiTheme="majorHAnsi" w:cstheme="majorHAnsi"/>
                <w:noProof/>
                <w:webHidden/>
                <w:sz w:val="24"/>
                <w:szCs w:val="24"/>
              </w:rPr>
              <w:fldChar w:fldCharType="end"/>
            </w:r>
          </w:hyperlink>
        </w:p>
        <w:p w14:paraId="725802B1" w14:textId="696DF753" w:rsidR="00A33768" w:rsidRPr="004D217B" w:rsidRDefault="00E11758" w:rsidP="004D217B">
          <w:pPr>
            <w:pStyle w:val="TOC2"/>
            <w:tabs>
              <w:tab w:val="right" w:leader="dot" w:pos="9347"/>
            </w:tabs>
            <w:spacing w:after="0" w:line="240" w:lineRule="auto"/>
            <w:rPr>
              <w:rFonts w:asciiTheme="majorHAnsi" w:eastAsiaTheme="minorEastAsia" w:hAnsiTheme="majorHAnsi" w:cstheme="majorHAnsi"/>
              <w:noProof/>
              <w:sz w:val="24"/>
              <w:szCs w:val="24"/>
            </w:rPr>
          </w:pPr>
          <w:hyperlink w:anchor="_Toc84512904" w:history="1">
            <w:r w:rsidR="00A33768" w:rsidRPr="004D217B">
              <w:rPr>
                <w:rStyle w:val="Hyperlink"/>
                <w:rFonts w:asciiTheme="majorHAnsi" w:hAnsiTheme="majorHAnsi" w:cstheme="majorHAnsi"/>
                <w:noProof/>
                <w:sz w:val="24"/>
                <w:szCs w:val="24"/>
                <w:lang w:val="ro-MD"/>
              </w:rPr>
              <w:t xml:space="preserve">3.3. </w:t>
            </w:r>
            <w:r w:rsidR="00A33768" w:rsidRPr="004D217B">
              <w:rPr>
                <w:rStyle w:val="Hyperlink"/>
                <w:rFonts w:asciiTheme="majorHAnsi" w:hAnsiTheme="majorHAnsi" w:cstheme="majorHAnsi"/>
                <w:noProof/>
                <w:sz w:val="24"/>
                <w:szCs w:val="24"/>
                <w:lang w:val="ro-MD" w:eastAsia="ro-RO"/>
              </w:rPr>
              <w:t>Criteriile de audit</w:t>
            </w:r>
            <w:r w:rsidR="00A33768" w:rsidRPr="004D217B">
              <w:rPr>
                <w:rFonts w:asciiTheme="majorHAnsi" w:hAnsiTheme="majorHAnsi" w:cstheme="majorHAnsi"/>
                <w:noProof/>
                <w:webHidden/>
                <w:sz w:val="24"/>
                <w:szCs w:val="24"/>
              </w:rPr>
              <w:tab/>
            </w:r>
            <w:r w:rsidR="00A33768" w:rsidRPr="004D217B">
              <w:rPr>
                <w:rFonts w:asciiTheme="majorHAnsi" w:hAnsiTheme="majorHAnsi" w:cstheme="majorHAnsi"/>
                <w:noProof/>
                <w:webHidden/>
                <w:sz w:val="24"/>
                <w:szCs w:val="24"/>
              </w:rPr>
              <w:fldChar w:fldCharType="begin"/>
            </w:r>
            <w:r w:rsidR="00A33768" w:rsidRPr="004D217B">
              <w:rPr>
                <w:rFonts w:asciiTheme="majorHAnsi" w:hAnsiTheme="majorHAnsi" w:cstheme="majorHAnsi"/>
                <w:noProof/>
                <w:webHidden/>
                <w:sz w:val="24"/>
                <w:szCs w:val="24"/>
              </w:rPr>
              <w:instrText xml:space="preserve"> PAGEREF _Toc84512904 \h </w:instrText>
            </w:r>
            <w:r w:rsidR="00A33768" w:rsidRPr="004D217B">
              <w:rPr>
                <w:rFonts w:asciiTheme="majorHAnsi" w:hAnsiTheme="majorHAnsi" w:cstheme="majorHAnsi"/>
                <w:noProof/>
                <w:webHidden/>
                <w:sz w:val="24"/>
                <w:szCs w:val="24"/>
              </w:rPr>
            </w:r>
            <w:r w:rsidR="00A33768" w:rsidRPr="004D217B">
              <w:rPr>
                <w:rFonts w:asciiTheme="majorHAnsi" w:hAnsiTheme="majorHAnsi" w:cstheme="majorHAnsi"/>
                <w:noProof/>
                <w:webHidden/>
                <w:sz w:val="24"/>
                <w:szCs w:val="24"/>
              </w:rPr>
              <w:fldChar w:fldCharType="separate"/>
            </w:r>
            <w:r w:rsidR="00733B65">
              <w:rPr>
                <w:rFonts w:asciiTheme="majorHAnsi" w:hAnsiTheme="majorHAnsi" w:cstheme="majorHAnsi"/>
                <w:noProof/>
                <w:webHidden/>
                <w:sz w:val="24"/>
                <w:szCs w:val="24"/>
              </w:rPr>
              <w:t>7</w:t>
            </w:r>
            <w:r w:rsidR="00A33768" w:rsidRPr="004D217B">
              <w:rPr>
                <w:rFonts w:asciiTheme="majorHAnsi" w:hAnsiTheme="majorHAnsi" w:cstheme="majorHAnsi"/>
                <w:noProof/>
                <w:webHidden/>
                <w:sz w:val="24"/>
                <w:szCs w:val="24"/>
              </w:rPr>
              <w:fldChar w:fldCharType="end"/>
            </w:r>
          </w:hyperlink>
        </w:p>
        <w:p w14:paraId="356C3929" w14:textId="78C9DDD1" w:rsidR="00A33768" w:rsidRPr="004D217B" w:rsidRDefault="00E11758" w:rsidP="004D217B">
          <w:pPr>
            <w:pStyle w:val="TOC2"/>
            <w:tabs>
              <w:tab w:val="right" w:leader="dot" w:pos="9347"/>
            </w:tabs>
            <w:spacing w:after="0" w:line="240" w:lineRule="auto"/>
            <w:rPr>
              <w:rFonts w:asciiTheme="majorHAnsi" w:eastAsiaTheme="minorEastAsia" w:hAnsiTheme="majorHAnsi" w:cstheme="majorHAnsi"/>
              <w:noProof/>
              <w:sz w:val="24"/>
              <w:szCs w:val="24"/>
            </w:rPr>
          </w:pPr>
          <w:hyperlink w:anchor="_Toc84512905" w:history="1">
            <w:r w:rsidR="00A33768" w:rsidRPr="004D217B">
              <w:rPr>
                <w:rStyle w:val="Hyperlink"/>
                <w:rFonts w:asciiTheme="majorHAnsi" w:hAnsiTheme="majorHAnsi" w:cstheme="majorHAnsi"/>
                <w:noProof/>
                <w:sz w:val="24"/>
                <w:szCs w:val="24"/>
                <w:lang w:val="ro-MD"/>
              </w:rPr>
              <w:t>3.4. Responsabilitatea auditorului într-un audit de conformitate</w:t>
            </w:r>
            <w:r w:rsidR="00A33768" w:rsidRPr="004D217B">
              <w:rPr>
                <w:rFonts w:asciiTheme="majorHAnsi" w:hAnsiTheme="majorHAnsi" w:cstheme="majorHAnsi"/>
                <w:noProof/>
                <w:webHidden/>
                <w:sz w:val="24"/>
                <w:szCs w:val="24"/>
              </w:rPr>
              <w:tab/>
            </w:r>
            <w:r w:rsidR="00A33768" w:rsidRPr="004D217B">
              <w:rPr>
                <w:rFonts w:asciiTheme="majorHAnsi" w:hAnsiTheme="majorHAnsi" w:cstheme="majorHAnsi"/>
                <w:noProof/>
                <w:webHidden/>
                <w:sz w:val="24"/>
                <w:szCs w:val="24"/>
              </w:rPr>
              <w:fldChar w:fldCharType="begin"/>
            </w:r>
            <w:r w:rsidR="00A33768" w:rsidRPr="004D217B">
              <w:rPr>
                <w:rFonts w:asciiTheme="majorHAnsi" w:hAnsiTheme="majorHAnsi" w:cstheme="majorHAnsi"/>
                <w:noProof/>
                <w:webHidden/>
                <w:sz w:val="24"/>
                <w:szCs w:val="24"/>
              </w:rPr>
              <w:instrText xml:space="preserve"> PAGEREF _Toc84512905 \h </w:instrText>
            </w:r>
            <w:r w:rsidR="00A33768" w:rsidRPr="004D217B">
              <w:rPr>
                <w:rFonts w:asciiTheme="majorHAnsi" w:hAnsiTheme="majorHAnsi" w:cstheme="majorHAnsi"/>
                <w:noProof/>
                <w:webHidden/>
                <w:sz w:val="24"/>
                <w:szCs w:val="24"/>
              </w:rPr>
            </w:r>
            <w:r w:rsidR="00A33768" w:rsidRPr="004D217B">
              <w:rPr>
                <w:rFonts w:asciiTheme="majorHAnsi" w:hAnsiTheme="majorHAnsi" w:cstheme="majorHAnsi"/>
                <w:noProof/>
                <w:webHidden/>
                <w:sz w:val="24"/>
                <w:szCs w:val="24"/>
              </w:rPr>
              <w:fldChar w:fldCharType="separate"/>
            </w:r>
            <w:r w:rsidR="00733B65">
              <w:rPr>
                <w:rFonts w:asciiTheme="majorHAnsi" w:hAnsiTheme="majorHAnsi" w:cstheme="majorHAnsi"/>
                <w:noProof/>
                <w:webHidden/>
                <w:sz w:val="24"/>
                <w:szCs w:val="24"/>
              </w:rPr>
              <w:t>7</w:t>
            </w:r>
            <w:r w:rsidR="00A33768" w:rsidRPr="004D217B">
              <w:rPr>
                <w:rFonts w:asciiTheme="majorHAnsi" w:hAnsiTheme="majorHAnsi" w:cstheme="majorHAnsi"/>
                <w:noProof/>
                <w:webHidden/>
                <w:sz w:val="24"/>
                <w:szCs w:val="24"/>
              </w:rPr>
              <w:fldChar w:fldCharType="end"/>
            </w:r>
          </w:hyperlink>
        </w:p>
        <w:p w14:paraId="13D9B349" w14:textId="4C5BBCA3"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06" w:history="1">
            <w:r w:rsidR="00A33768" w:rsidRPr="004D217B">
              <w:rPr>
                <w:rStyle w:val="Hyperlink"/>
                <w:rFonts w:asciiTheme="majorHAnsi" w:eastAsiaTheme="majorEastAsia" w:hAnsiTheme="majorHAnsi" w:cstheme="majorHAnsi"/>
                <w:sz w:val="24"/>
                <w:szCs w:val="24"/>
                <w:lang w:val="ro-MD"/>
              </w:rPr>
              <w:t>IV. CONSTATĂRI</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_Toc84512906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8</w:t>
            </w:r>
            <w:r w:rsidR="00A33768" w:rsidRPr="004D217B">
              <w:rPr>
                <w:rFonts w:asciiTheme="majorHAnsi" w:hAnsiTheme="majorHAnsi" w:cstheme="majorHAnsi"/>
                <w:webHidden/>
                <w:sz w:val="24"/>
                <w:szCs w:val="24"/>
              </w:rPr>
              <w:fldChar w:fldCharType="end"/>
            </w:r>
          </w:hyperlink>
        </w:p>
        <w:p w14:paraId="21BFC5BF" w14:textId="71D3D34F" w:rsidR="00A33768" w:rsidRPr="004D217B" w:rsidRDefault="00E11758" w:rsidP="004D217B">
          <w:pPr>
            <w:pStyle w:val="TOC2"/>
            <w:tabs>
              <w:tab w:val="right" w:leader="dot" w:pos="9347"/>
            </w:tabs>
            <w:spacing w:after="0" w:line="240" w:lineRule="auto"/>
            <w:rPr>
              <w:rFonts w:asciiTheme="majorHAnsi" w:eastAsiaTheme="minorEastAsia" w:hAnsiTheme="majorHAnsi" w:cstheme="majorHAnsi"/>
              <w:noProof/>
              <w:sz w:val="24"/>
              <w:szCs w:val="24"/>
            </w:rPr>
          </w:pPr>
          <w:hyperlink w:anchor="_Toc84512907" w:history="1">
            <w:r w:rsidR="00A33768" w:rsidRPr="004D217B">
              <w:rPr>
                <w:rStyle w:val="Hyperlink"/>
                <w:rFonts w:asciiTheme="majorHAnsi" w:eastAsia="Arial" w:hAnsiTheme="majorHAnsi" w:cstheme="majorHAnsi"/>
                <w:noProof/>
                <w:sz w:val="24"/>
                <w:szCs w:val="24"/>
                <w:lang w:val="ro-MD"/>
              </w:rPr>
              <w:t>Obiectivul I: Au fost stabilite principii clare de repartizare a veniturilor UTA Găgăuzia între bugetul central și bugetele locale de nivelul I?</w:t>
            </w:r>
            <w:r w:rsidR="00A33768" w:rsidRPr="004D217B">
              <w:rPr>
                <w:rFonts w:asciiTheme="majorHAnsi" w:hAnsiTheme="majorHAnsi" w:cstheme="majorHAnsi"/>
                <w:noProof/>
                <w:webHidden/>
                <w:sz w:val="24"/>
                <w:szCs w:val="24"/>
              </w:rPr>
              <w:tab/>
            </w:r>
            <w:r w:rsidR="00A33768" w:rsidRPr="004D217B">
              <w:rPr>
                <w:rFonts w:asciiTheme="majorHAnsi" w:hAnsiTheme="majorHAnsi" w:cstheme="majorHAnsi"/>
                <w:noProof/>
                <w:webHidden/>
                <w:sz w:val="24"/>
                <w:szCs w:val="24"/>
              </w:rPr>
              <w:fldChar w:fldCharType="begin"/>
            </w:r>
            <w:r w:rsidR="00A33768" w:rsidRPr="004D217B">
              <w:rPr>
                <w:rFonts w:asciiTheme="majorHAnsi" w:hAnsiTheme="majorHAnsi" w:cstheme="majorHAnsi"/>
                <w:noProof/>
                <w:webHidden/>
                <w:sz w:val="24"/>
                <w:szCs w:val="24"/>
              </w:rPr>
              <w:instrText xml:space="preserve"> PAGEREF _Toc84512907 \h </w:instrText>
            </w:r>
            <w:r w:rsidR="00A33768" w:rsidRPr="004D217B">
              <w:rPr>
                <w:rFonts w:asciiTheme="majorHAnsi" w:hAnsiTheme="majorHAnsi" w:cstheme="majorHAnsi"/>
                <w:noProof/>
                <w:webHidden/>
                <w:sz w:val="24"/>
                <w:szCs w:val="24"/>
              </w:rPr>
            </w:r>
            <w:r w:rsidR="00A33768" w:rsidRPr="004D217B">
              <w:rPr>
                <w:rFonts w:asciiTheme="majorHAnsi" w:hAnsiTheme="majorHAnsi" w:cstheme="majorHAnsi"/>
                <w:noProof/>
                <w:webHidden/>
                <w:sz w:val="24"/>
                <w:szCs w:val="24"/>
              </w:rPr>
              <w:fldChar w:fldCharType="separate"/>
            </w:r>
            <w:r w:rsidR="00733B65">
              <w:rPr>
                <w:rFonts w:asciiTheme="majorHAnsi" w:hAnsiTheme="majorHAnsi" w:cstheme="majorHAnsi"/>
                <w:noProof/>
                <w:webHidden/>
                <w:sz w:val="24"/>
                <w:szCs w:val="24"/>
              </w:rPr>
              <w:t>8</w:t>
            </w:r>
            <w:r w:rsidR="00A33768" w:rsidRPr="004D217B">
              <w:rPr>
                <w:rFonts w:asciiTheme="majorHAnsi" w:hAnsiTheme="majorHAnsi" w:cstheme="majorHAnsi"/>
                <w:noProof/>
                <w:webHidden/>
                <w:sz w:val="24"/>
                <w:szCs w:val="24"/>
              </w:rPr>
              <w:fldChar w:fldCharType="end"/>
            </w:r>
          </w:hyperlink>
        </w:p>
        <w:p w14:paraId="5511FC23" w14:textId="4DEF0842" w:rsidR="00A33768" w:rsidRPr="004D217B" w:rsidRDefault="00E11758" w:rsidP="004D217B">
          <w:pPr>
            <w:pStyle w:val="TOC2"/>
            <w:tabs>
              <w:tab w:val="right" w:leader="dot" w:pos="9347"/>
            </w:tabs>
            <w:spacing w:after="0" w:line="240" w:lineRule="auto"/>
            <w:rPr>
              <w:rFonts w:asciiTheme="majorHAnsi" w:eastAsiaTheme="minorEastAsia" w:hAnsiTheme="majorHAnsi" w:cstheme="majorHAnsi"/>
              <w:noProof/>
              <w:sz w:val="24"/>
              <w:szCs w:val="24"/>
            </w:rPr>
          </w:pPr>
          <w:hyperlink w:anchor="_Toc84512908" w:history="1">
            <w:r w:rsidR="00A33768" w:rsidRPr="004D217B">
              <w:rPr>
                <w:rStyle w:val="Hyperlink"/>
                <w:rFonts w:asciiTheme="majorHAnsi" w:eastAsia="Arial" w:hAnsiTheme="majorHAnsi" w:cstheme="majorHAnsi"/>
                <w:noProof/>
                <w:spacing w:val="1"/>
                <w:sz w:val="24"/>
                <w:szCs w:val="24"/>
                <w:lang w:val="ro-MD"/>
              </w:rPr>
              <w:t>Obiectivul II: A justificat UTA angajarea și gestionarea cheltuielilor potrivit cadrului regulator?</w:t>
            </w:r>
            <w:r w:rsidR="00A33768" w:rsidRPr="004D217B">
              <w:rPr>
                <w:rFonts w:asciiTheme="majorHAnsi" w:hAnsiTheme="majorHAnsi" w:cstheme="majorHAnsi"/>
                <w:noProof/>
                <w:webHidden/>
                <w:sz w:val="24"/>
                <w:szCs w:val="24"/>
              </w:rPr>
              <w:tab/>
            </w:r>
            <w:r w:rsidR="00A33768" w:rsidRPr="004D217B">
              <w:rPr>
                <w:rFonts w:asciiTheme="majorHAnsi" w:hAnsiTheme="majorHAnsi" w:cstheme="majorHAnsi"/>
                <w:noProof/>
                <w:webHidden/>
                <w:sz w:val="24"/>
                <w:szCs w:val="24"/>
              </w:rPr>
              <w:fldChar w:fldCharType="begin"/>
            </w:r>
            <w:r w:rsidR="00A33768" w:rsidRPr="004D217B">
              <w:rPr>
                <w:rFonts w:asciiTheme="majorHAnsi" w:hAnsiTheme="majorHAnsi" w:cstheme="majorHAnsi"/>
                <w:noProof/>
                <w:webHidden/>
                <w:sz w:val="24"/>
                <w:szCs w:val="24"/>
              </w:rPr>
              <w:instrText xml:space="preserve"> PAGEREF _Toc84512908 \h </w:instrText>
            </w:r>
            <w:r w:rsidR="00A33768" w:rsidRPr="004D217B">
              <w:rPr>
                <w:rFonts w:asciiTheme="majorHAnsi" w:hAnsiTheme="majorHAnsi" w:cstheme="majorHAnsi"/>
                <w:noProof/>
                <w:webHidden/>
                <w:sz w:val="24"/>
                <w:szCs w:val="24"/>
              </w:rPr>
            </w:r>
            <w:r w:rsidR="00A33768" w:rsidRPr="004D217B">
              <w:rPr>
                <w:rFonts w:asciiTheme="majorHAnsi" w:hAnsiTheme="majorHAnsi" w:cstheme="majorHAnsi"/>
                <w:noProof/>
                <w:webHidden/>
                <w:sz w:val="24"/>
                <w:szCs w:val="24"/>
              </w:rPr>
              <w:fldChar w:fldCharType="separate"/>
            </w:r>
            <w:r w:rsidR="00733B65">
              <w:rPr>
                <w:rFonts w:asciiTheme="majorHAnsi" w:hAnsiTheme="majorHAnsi" w:cstheme="majorHAnsi"/>
                <w:noProof/>
                <w:webHidden/>
                <w:sz w:val="24"/>
                <w:szCs w:val="24"/>
              </w:rPr>
              <w:t>10</w:t>
            </w:r>
            <w:r w:rsidR="00A33768" w:rsidRPr="004D217B">
              <w:rPr>
                <w:rFonts w:asciiTheme="majorHAnsi" w:hAnsiTheme="majorHAnsi" w:cstheme="majorHAnsi"/>
                <w:noProof/>
                <w:webHidden/>
                <w:sz w:val="24"/>
                <w:szCs w:val="24"/>
              </w:rPr>
              <w:fldChar w:fldCharType="end"/>
            </w:r>
          </w:hyperlink>
        </w:p>
        <w:p w14:paraId="2E02BD0F" w14:textId="725A4862" w:rsidR="00A33768" w:rsidRPr="004D217B" w:rsidRDefault="00E11758" w:rsidP="004D217B">
          <w:pPr>
            <w:pStyle w:val="TOC2"/>
            <w:tabs>
              <w:tab w:val="right" w:leader="dot" w:pos="9347"/>
            </w:tabs>
            <w:spacing w:after="0" w:line="240" w:lineRule="auto"/>
            <w:rPr>
              <w:rFonts w:asciiTheme="majorHAnsi" w:eastAsiaTheme="minorEastAsia" w:hAnsiTheme="majorHAnsi" w:cstheme="majorHAnsi"/>
              <w:noProof/>
              <w:sz w:val="24"/>
              <w:szCs w:val="24"/>
            </w:rPr>
          </w:pPr>
          <w:hyperlink w:anchor="_Toc84512909" w:history="1">
            <w:r w:rsidR="00A33768" w:rsidRPr="004D217B">
              <w:rPr>
                <w:rStyle w:val="Hyperlink"/>
                <w:rFonts w:asciiTheme="majorHAnsi" w:hAnsiTheme="majorHAnsi" w:cstheme="majorHAnsi"/>
                <w:noProof/>
                <w:sz w:val="24"/>
                <w:szCs w:val="24"/>
                <w:lang w:val="ro-MD"/>
              </w:rPr>
              <w:t>Obiectivul III: A înregistrat, a administrat și a gestionat UTA în modul  corespunzător patrimoniul public?</w:t>
            </w:r>
            <w:r w:rsidR="00A33768" w:rsidRPr="004D217B">
              <w:rPr>
                <w:rFonts w:asciiTheme="majorHAnsi" w:hAnsiTheme="majorHAnsi" w:cstheme="majorHAnsi"/>
                <w:noProof/>
                <w:webHidden/>
                <w:sz w:val="24"/>
                <w:szCs w:val="24"/>
              </w:rPr>
              <w:tab/>
            </w:r>
            <w:r w:rsidR="00A33768" w:rsidRPr="004D217B">
              <w:rPr>
                <w:rFonts w:asciiTheme="majorHAnsi" w:hAnsiTheme="majorHAnsi" w:cstheme="majorHAnsi"/>
                <w:noProof/>
                <w:webHidden/>
                <w:sz w:val="24"/>
                <w:szCs w:val="24"/>
              </w:rPr>
              <w:fldChar w:fldCharType="begin"/>
            </w:r>
            <w:r w:rsidR="00A33768" w:rsidRPr="004D217B">
              <w:rPr>
                <w:rFonts w:asciiTheme="majorHAnsi" w:hAnsiTheme="majorHAnsi" w:cstheme="majorHAnsi"/>
                <w:noProof/>
                <w:webHidden/>
                <w:sz w:val="24"/>
                <w:szCs w:val="24"/>
              </w:rPr>
              <w:instrText xml:space="preserve"> PAGEREF _Toc84512909 \h </w:instrText>
            </w:r>
            <w:r w:rsidR="00A33768" w:rsidRPr="004D217B">
              <w:rPr>
                <w:rFonts w:asciiTheme="majorHAnsi" w:hAnsiTheme="majorHAnsi" w:cstheme="majorHAnsi"/>
                <w:noProof/>
                <w:webHidden/>
                <w:sz w:val="24"/>
                <w:szCs w:val="24"/>
              </w:rPr>
            </w:r>
            <w:r w:rsidR="00A33768" w:rsidRPr="004D217B">
              <w:rPr>
                <w:rFonts w:asciiTheme="majorHAnsi" w:hAnsiTheme="majorHAnsi" w:cstheme="majorHAnsi"/>
                <w:noProof/>
                <w:webHidden/>
                <w:sz w:val="24"/>
                <w:szCs w:val="24"/>
              </w:rPr>
              <w:fldChar w:fldCharType="separate"/>
            </w:r>
            <w:r w:rsidR="00733B65">
              <w:rPr>
                <w:rFonts w:asciiTheme="majorHAnsi" w:hAnsiTheme="majorHAnsi" w:cstheme="majorHAnsi"/>
                <w:noProof/>
                <w:webHidden/>
                <w:sz w:val="24"/>
                <w:szCs w:val="24"/>
              </w:rPr>
              <w:t>21</w:t>
            </w:r>
            <w:r w:rsidR="00A33768" w:rsidRPr="004D217B">
              <w:rPr>
                <w:rFonts w:asciiTheme="majorHAnsi" w:hAnsiTheme="majorHAnsi" w:cstheme="majorHAnsi"/>
                <w:noProof/>
                <w:webHidden/>
                <w:sz w:val="24"/>
                <w:szCs w:val="24"/>
              </w:rPr>
              <w:fldChar w:fldCharType="end"/>
            </w:r>
          </w:hyperlink>
        </w:p>
        <w:p w14:paraId="3A1BA2F8" w14:textId="34EED1A9"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10" w:history="1">
            <w:r w:rsidR="00A33768" w:rsidRPr="004D217B">
              <w:rPr>
                <w:rStyle w:val="Hyperlink"/>
                <w:rFonts w:asciiTheme="majorHAnsi" w:hAnsiTheme="majorHAnsi" w:cstheme="majorHAnsi"/>
                <w:b/>
                <w:sz w:val="24"/>
                <w:szCs w:val="24"/>
                <w:lang w:val="ro-MD"/>
              </w:rPr>
              <w:t>V. CONCLUZII GENERALE DE AUDIT</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_Toc84512910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23</w:t>
            </w:r>
            <w:r w:rsidR="00A33768" w:rsidRPr="004D217B">
              <w:rPr>
                <w:rFonts w:asciiTheme="majorHAnsi" w:hAnsiTheme="majorHAnsi" w:cstheme="majorHAnsi"/>
                <w:webHidden/>
                <w:sz w:val="24"/>
                <w:szCs w:val="24"/>
              </w:rPr>
              <w:fldChar w:fldCharType="end"/>
            </w:r>
          </w:hyperlink>
        </w:p>
        <w:p w14:paraId="5147D89D" w14:textId="6F96F6CE"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11" w:history="1">
            <w:r w:rsidR="00A33768" w:rsidRPr="004D217B">
              <w:rPr>
                <w:rStyle w:val="Hyperlink"/>
                <w:rFonts w:asciiTheme="majorHAnsi" w:hAnsiTheme="majorHAnsi" w:cstheme="majorHAnsi"/>
                <w:b/>
                <w:sz w:val="24"/>
                <w:szCs w:val="24"/>
                <w:lang w:val="ro-MD"/>
              </w:rPr>
              <w:t>VI.   RECOMANDĂRI</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_Toc84512911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23</w:t>
            </w:r>
            <w:r w:rsidR="00A33768" w:rsidRPr="004D217B">
              <w:rPr>
                <w:rFonts w:asciiTheme="majorHAnsi" w:hAnsiTheme="majorHAnsi" w:cstheme="majorHAnsi"/>
                <w:webHidden/>
                <w:sz w:val="24"/>
                <w:szCs w:val="24"/>
              </w:rPr>
              <w:fldChar w:fldCharType="end"/>
            </w:r>
          </w:hyperlink>
        </w:p>
        <w:p w14:paraId="4C4DD4AE" w14:textId="1696ED52"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12" w:history="1">
            <w:r w:rsidR="00A33768" w:rsidRPr="004D217B">
              <w:rPr>
                <w:rStyle w:val="Hyperlink"/>
                <w:rFonts w:asciiTheme="majorHAnsi" w:eastAsia="Times New Roman" w:hAnsiTheme="majorHAnsi" w:cstheme="majorHAnsi"/>
                <w:sz w:val="24"/>
                <w:szCs w:val="24"/>
                <w:lang w:val="ro-MD"/>
              </w:rPr>
              <w:t>Anexa nr.1</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_Toc84512912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25</w:t>
            </w:r>
            <w:r w:rsidR="00A33768" w:rsidRPr="004D217B">
              <w:rPr>
                <w:rFonts w:asciiTheme="majorHAnsi" w:hAnsiTheme="majorHAnsi" w:cstheme="majorHAnsi"/>
                <w:webHidden/>
                <w:sz w:val="24"/>
                <w:szCs w:val="24"/>
              </w:rPr>
              <w:fldChar w:fldCharType="end"/>
            </w:r>
          </w:hyperlink>
        </w:p>
        <w:p w14:paraId="60E4E24A" w14:textId="23ED2EFE"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13" w:history="1">
            <w:r w:rsidR="00A33768" w:rsidRPr="004D217B">
              <w:rPr>
                <w:rStyle w:val="Hyperlink"/>
                <w:rFonts w:asciiTheme="majorHAnsi" w:eastAsiaTheme="majorEastAsia" w:hAnsiTheme="majorHAnsi" w:cstheme="majorHAnsi"/>
                <w:bCs/>
                <w:sz w:val="24"/>
                <w:szCs w:val="24"/>
                <w:lang w:val="ro-MD"/>
              </w:rPr>
              <w:t>Anexa nr.2</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_Toc84512913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27</w:t>
            </w:r>
            <w:r w:rsidR="00A33768" w:rsidRPr="004D217B">
              <w:rPr>
                <w:rFonts w:asciiTheme="majorHAnsi" w:hAnsiTheme="majorHAnsi" w:cstheme="majorHAnsi"/>
                <w:webHidden/>
                <w:sz w:val="24"/>
                <w:szCs w:val="24"/>
              </w:rPr>
              <w:fldChar w:fldCharType="end"/>
            </w:r>
          </w:hyperlink>
        </w:p>
        <w:p w14:paraId="47CA0ADF" w14:textId="28766404" w:rsidR="00A33768" w:rsidRPr="004D217B" w:rsidRDefault="00E11758" w:rsidP="004D217B">
          <w:pPr>
            <w:pStyle w:val="TOC1"/>
            <w:spacing w:after="0" w:line="240" w:lineRule="auto"/>
            <w:rPr>
              <w:rFonts w:asciiTheme="majorHAnsi" w:eastAsiaTheme="minorEastAsia" w:hAnsiTheme="majorHAnsi" w:cstheme="majorHAnsi"/>
              <w:sz w:val="24"/>
              <w:szCs w:val="24"/>
            </w:rPr>
          </w:pPr>
          <w:hyperlink w:anchor="_Toc84512914" w:history="1">
            <w:r w:rsidR="00A33768" w:rsidRPr="004D217B">
              <w:rPr>
                <w:rStyle w:val="Hyperlink"/>
                <w:rFonts w:asciiTheme="majorHAnsi" w:eastAsiaTheme="majorEastAsia" w:hAnsiTheme="majorHAnsi" w:cstheme="majorHAnsi"/>
                <w:bCs/>
                <w:sz w:val="24"/>
                <w:szCs w:val="24"/>
                <w:lang w:val="ro-MD"/>
              </w:rPr>
              <w:t>Anexa nr.3</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_Toc84512914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28</w:t>
            </w:r>
            <w:r w:rsidR="00A33768" w:rsidRPr="004D217B">
              <w:rPr>
                <w:rFonts w:asciiTheme="majorHAnsi" w:hAnsiTheme="majorHAnsi" w:cstheme="majorHAnsi"/>
                <w:webHidden/>
                <w:sz w:val="24"/>
                <w:szCs w:val="24"/>
              </w:rPr>
              <w:fldChar w:fldCharType="end"/>
            </w:r>
          </w:hyperlink>
        </w:p>
        <w:p w14:paraId="2D0FEC9F" w14:textId="36DDF988" w:rsidR="00A33768" w:rsidRPr="004D217B" w:rsidRDefault="00E11758" w:rsidP="004D217B">
          <w:pPr>
            <w:pStyle w:val="TOC1"/>
            <w:spacing w:after="0" w:line="240" w:lineRule="auto"/>
            <w:rPr>
              <w:rStyle w:val="Hyperlink"/>
              <w:rFonts w:asciiTheme="majorHAnsi" w:hAnsiTheme="majorHAnsi" w:cstheme="majorHAnsi"/>
              <w:sz w:val="24"/>
              <w:szCs w:val="24"/>
            </w:rPr>
          </w:pPr>
          <w:hyperlink w:anchor="_Toc84512915" w:history="1">
            <w:r w:rsidR="00A33768" w:rsidRPr="004D217B">
              <w:rPr>
                <w:rStyle w:val="Hyperlink"/>
                <w:rFonts w:asciiTheme="majorHAnsi" w:eastAsiaTheme="majorEastAsia" w:hAnsiTheme="majorHAnsi" w:cstheme="majorHAnsi"/>
                <w:bCs/>
                <w:sz w:val="24"/>
                <w:szCs w:val="24"/>
                <w:lang w:val="ro-MD"/>
              </w:rPr>
              <w:t>Anexa nr.4</w:t>
            </w:r>
            <w:r w:rsidR="00A33768" w:rsidRPr="004D217B">
              <w:rPr>
                <w:rFonts w:asciiTheme="majorHAnsi" w:hAnsiTheme="majorHAnsi" w:cstheme="majorHAnsi"/>
                <w:webHidden/>
                <w:sz w:val="24"/>
                <w:szCs w:val="24"/>
              </w:rPr>
              <w:tab/>
            </w:r>
            <w:r w:rsidR="00A33768" w:rsidRPr="004D217B">
              <w:rPr>
                <w:rFonts w:asciiTheme="majorHAnsi" w:hAnsiTheme="majorHAnsi" w:cstheme="majorHAnsi"/>
                <w:webHidden/>
                <w:sz w:val="24"/>
                <w:szCs w:val="24"/>
              </w:rPr>
              <w:fldChar w:fldCharType="begin"/>
            </w:r>
            <w:r w:rsidR="00A33768" w:rsidRPr="004D217B">
              <w:rPr>
                <w:rFonts w:asciiTheme="majorHAnsi" w:hAnsiTheme="majorHAnsi" w:cstheme="majorHAnsi"/>
                <w:webHidden/>
                <w:sz w:val="24"/>
                <w:szCs w:val="24"/>
              </w:rPr>
              <w:instrText xml:space="preserve"> PAGEREF _Toc84512915 \h </w:instrText>
            </w:r>
            <w:r w:rsidR="00A33768" w:rsidRPr="004D217B">
              <w:rPr>
                <w:rFonts w:asciiTheme="majorHAnsi" w:hAnsiTheme="majorHAnsi" w:cstheme="majorHAnsi"/>
                <w:webHidden/>
                <w:sz w:val="24"/>
                <w:szCs w:val="24"/>
              </w:rPr>
            </w:r>
            <w:r w:rsidR="00A33768" w:rsidRPr="004D217B">
              <w:rPr>
                <w:rFonts w:asciiTheme="majorHAnsi" w:hAnsiTheme="majorHAnsi" w:cstheme="majorHAnsi"/>
                <w:webHidden/>
                <w:sz w:val="24"/>
                <w:szCs w:val="24"/>
              </w:rPr>
              <w:fldChar w:fldCharType="separate"/>
            </w:r>
            <w:r w:rsidR="00733B65">
              <w:rPr>
                <w:rFonts w:asciiTheme="majorHAnsi" w:hAnsiTheme="majorHAnsi" w:cstheme="majorHAnsi"/>
                <w:webHidden/>
                <w:sz w:val="24"/>
                <w:szCs w:val="24"/>
              </w:rPr>
              <w:t>29</w:t>
            </w:r>
            <w:r w:rsidR="00A33768" w:rsidRPr="004D217B">
              <w:rPr>
                <w:rFonts w:asciiTheme="majorHAnsi" w:hAnsiTheme="majorHAnsi" w:cstheme="majorHAnsi"/>
                <w:webHidden/>
                <w:sz w:val="24"/>
                <w:szCs w:val="24"/>
              </w:rPr>
              <w:fldChar w:fldCharType="end"/>
            </w:r>
          </w:hyperlink>
        </w:p>
        <w:p w14:paraId="7457C57D" w14:textId="6C169F98" w:rsidR="00A33768" w:rsidRPr="004D217B" w:rsidRDefault="00A33768" w:rsidP="004D217B">
          <w:pPr>
            <w:spacing w:after="0" w:line="240" w:lineRule="auto"/>
            <w:rPr>
              <w:rFonts w:asciiTheme="majorHAnsi" w:hAnsiTheme="majorHAnsi" w:cstheme="majorHAnsi"/>
              <w:noProof/>
              <w:sz w:val="24"/>
              <w:szCs w:val="24"/>
            </w:rPr>
          </w:pPr>
          <w:r w:rsidRPr="004D217B">
            <w:rPr>
              <w:rFonts w:asciiTheme="majorHAnsi" w:hAnsiTheme="majorHAnsi" w:cstheme="majorHAnsi"/>
              <w:noProof/>
              <w:sz w:val="24"/>
              <w:szCs w:val="24"/>
            </w:rPr>
            <w:t xml:space="preserve">Anexa nr.5 </w:t>
          </w:r>
          <w:r w:rsidR="004D217B">
            <w:rPr>
              <w:rFonts w:asciiTheme="majorHAnsi" w:hAnsiTheme="majorHAnsi" w:cstheme="majorHAnsi"/>
              <w:noProof/>
              <w:sz w:val="24"/>
              <w:szCs w:val="24"/>
            </w:rPr>
            <w:t>..</w:t>
          </w:r>
          <w:r w:rsidRPr="004D217B">
            <w:rPr>
              <w:rFonts w:asciiTheme="majorHAnsi" w:hAnsiTheme="majorHAnsi" w:cstheme="majorHAnsi"/>
              <w:noProof/>
              <w:sz w:val="24"/>
              <w:szCs w:val="24"/>
            </w:rPr>
            <w:t>……………………………………………………………………………………………………………………………….3</w:t>
          </w:r>
          <w:r w:rsidR="00206104">
            <w:rPr>
              <w:rFonts w:asciiTheme="majorHAnsi" w:hAnsiTheme="majorHAnsi" w:cstheme="majorHAnsi"/>
              <w:noProof/>
              <w:sz w:val="24"/>
              <w:szCs w:val="24"/>
            </w:rPr>
            <w:t>0</w:t>
          </w:r>
        </w:p>
        <w:p w14:paraId="7E85F0D8" w14:textId="4049F895" w:rsidR="00A33768" w:rsidRPr="004D217B" w:rsidRDefault="00A33768" w:rsidP="004D217B">
          <w:pPr>
            <w:spacing w:after="0" w:line="240" w:lineRule="auto"/>
            <w:rPr>
              <w:rFonts w:asciiTheme="majorHAnsi" w:hAnsiTheme="majorHAnsi" w:cstheme="majorHAnsi"/>
              <w:noProof/>
              <w:sz w:val="24"/>
              <w:szCs w:val="24"/>
            </w:rPr>
          </w:pPr>
          <w:r w:rsidRPr="004D217B">
            <w:rPr>
              <w:rFonts w:asciiTheme="majorHAnsi" w:hAnsiTheme="majorHAnsi" w:cstheme="majorHAnsi"/>
              <w:noProof/>
              <w:sz w:val="24"/>
              <w:szCs w:val="24"/>
            </w:rPr>
            <w:t xml:space="preserve">Anexa nr.6 </w:t>
          </w:r>
          <w:r w:rsidR="004D217B">
            <w:rPr>
              <w:rFonts w:asciiTheme="majorHAnsi" w:hAnsiTheme="majorHAnsi" w:cstheme="majorHAnsi"/>
              <w:noProof/>
              <w:sz w:val="24"/>
              <w:szCs w:val="24"/>
            </w:rPr>
            <w:t>..</w:t>
          </w:r>
          <w:r w:rsidRPr="004D217B">
            <w:rPr>
              <w:rFonts w:asciiTheme="majorHAnsi" w:hAnsiTheme="majorHAnsi" w:cstheme="majorHAnsi"/>
              <w:noProof/>
              <w:sz w:val="24"/>
              <w:szCs w:val="24"/>
            </w:rPr>
            <w:t>……………………………………………………………………………………………………………………………….3</w:t>
          </w:r>
          <w:r w:rsidR="00206104">
            <w:rPr>
              <w:rFonts w:asciiTheme="majorHAnsi" w:hAnsiTheme="majorHAnsi" w:cstheme="majorHAnsi"/>
              <w:noProof/>
              <w:sz w:val="24"/>
              <w:szCs w:val="24"/>
            </w:rPr>
            <w:t>1</w:t>
          </w:r>
        </w:p>
        <w:p w14:paraId="3B78CBD9" w14:textId="0A5B95B8" w:rsidR="00A33768" w:rsidRPr="004D217B" w:rsidRDefault="00A33768" w:rsidP="004D217B">
          <w:pPr>
            <w:spacing w:after="0" w:line="240" w:lineRule="auto"/>
            <w:rPr>
              <w:rFonts w:asciiTheme="majorHAnsi" w:hAnsiTheme="majorHAnsi" w:cstheme="majorHAnsi"/>
              <w:noProof/>
              <w:sz w:val="24"/>
              <w:szCs w:val="24"/>
            </w:rPr>
          </w:pPr>
          <w:r w:rsidRPr="004D217B">
            <w:rPr>
              <w:rFonts w:asciiTheme="majorHAnsi" w:hAnsiTheme="majorHAnsi" w:cstheme="majorHAnsi"/>
              <w:noProof/>
              <w:sz w:val="24"/>
              <w:szCs w:val="24"/>
            </w:rPr>
            <w:t>Anexa nr.6.1 ……………………………………………………</w:t>
          </w:r>
          <w:r w:rsidR="004D217B">
            <w:rPr>
              <w:rFonts w:asciiTheme="majorHAnsi" w:hAnsiTheme="majorHAnsi" w:cstheme="majorHAnsi"/>
              <w:noProof/>
              <w:sz w:val="24"/>
              <w:szCs w:val="24"/>
            </w:rPr>
            <w:t>..</w:t>
          </w:r>
          <w:r w:rsidR="00206104">
            <w:rPr>
              <w:rFonts w:asciiTheme="majorHAnsi" w:hAnsiTheme="majorHAnsi" w:cstheme="majorHAnsi"/>
              <w:noProof/>
              <w:sz w:val="24"/>
              <w:szCs w:val="24"/>
            </w:rPr>
            <w:t>……………………………………………………………………….32</w:t>
          </w:r>
        </w:p>
        <w:p w14:paraId="5470A69D" w14:textId="37D3ACC1" w:rsidR="00A33768" w:rsidRPr="004D217B" w:rsidRDefault="00A33768" w:rsidP="004D217B">
          <w:pPr>
            <w:spacing w:after="0" w:line="240" w:lineRule="auto"/>
            <w:rPr>
              <w:rFonts w:asciiTheme="majorHAnsi" w:hAnsiTheme="majorHAnsi" w:cstheme="majorHAnsi"/>
              <w:noProof/>
              <w:sz w:val="24"/>
              <w:szCs w:val="24"/>
            </w:rPr>
          </w:pPr>
          <w:r w:rsidRPr="004D217B">
            <w:rPr>
              <w:rFonts w:asciiTheme="majorHAnsi" w:hAnsiTheme="majorHAnsi" w:cstheme="majorHAnsi"/>
              <w:noProof/>
              <w:sz w:val="24"/>
              <w:szCs w:val="24"/>
            </w:rPr>
            <w:t>Anexa nr.7 ………………………………………………………</w:t>
          </w:r>
          <w:r w:rsidR="004D217B">
            <w:rPr>
              <w:rFonts w:asciiTheme="majorHAnsi" w:hAnsiTheme="majorHAnsi" w:cstheme="majorHAnsi"/>
              <w:noProof/>
              <w:sz w:val="24"/>
              <w:szCs w:val="24"/>
            </w:rPr>
            <w:t>..</w:t>
          </w:r>
          <w:r w:rsidRPr="004D217B">
            <w:rPr>
              <w:rFonts w:asciiTheme="majorHAnsi" w:hAnsiTheme="majorHAnsi" w:cstheme="majorHAnsi"/>
              <w:noProof/>
              <w:sz w:val="24"/>
              <w:szCs w:val="24"/>
            </w:rPr>
            <w:t>……………………………………………………………………….3</w:t>
          </w:r>
          <w:r w:rsidR="00206104">
            <w:rPr>
              <w:rFonts w:asciiTheme="majorHAnsi" w:hAnsiTheme="majorHAnsi" w:cstheme="majorHAnsi"/>
              <w:noProof/>
              <w:sz w:val="24"/>
              <w:szCs w:val="24"/>
            </w:rPr>
            <w:t>3</w:t>
          </w:r>
        </w:p>
        <w:p w14:paraId="0455FD96" w14:textId="1FC71E37" w:rsidR="00A33768" w:rsidRPr="004D217B" w:rsidRDefault="00A33768" w:rsidP="004D217B">
          <w:pPr>
            <w:spacing w:after="0" w:line="240" w:lineRule="auto"/>
            <w:rPr>
              <w:rFonts w:asciiTheme="majorHAnsi" w:hAnsiTheme="majorHAnsi" w:cstheme="majorHAnsi"/>
              <w:noProof/>
              <w:sz w:val="24"/>
              <w:szCs w:val="24"/>
            </w:rPr>
          </w:pPr>
          <w:r w:rsidRPr="004D217B">
            <w:rPr>
              <w:rFonts w:asciiTheme="majorHAnsi" w:hAnsiTheme="majorHAnsi" w:cstheme="majorHAnsi"/>
              <w:noProof/>
              <w:sz w:val="24"/>
              <w:szCs w:val="24"/>
            </w:rPr>
            <w:t>Anexa nr.8 ………………………………………………………</w:t>
          </w:r>
          <w:r w:rsidR="004D217B">
            <w:rPr>
              <w:rFonts w:asciiTheme="majorHAnsi" w:hAnsiTheme="majorHAnsi" w:cstheme="majorHAnsi"/>
              <w:noProof/>
              <w:sz w:val="24"/>
              <w:szCs w:val="24"/>
            </w:rPr>
            <w:t>..</w:t>
          </w:r>
          <w:r w:rsidRPr="004D217B">
            <w:rPr>
              <w:rFonts w:asciiTheme="majorHAnsi" w:hAnsiTheme="majorHAnsi" w:cstheme="majorHAnsi"/>
              <w:noProof/>
              <w:sz w:val="24"/>
              <w:szCs w:val="24"/>
            </w:rPr>
            <w:t>……………………………………………………………………….3</w:t>
          </w:r>
          <w:r w:rsidR="00206104">
            <w:rPr>
              <w:rFonts w:asciiTheme="majorHAnsi" w:hAnsiTheme="majorHAnsi" w:cstheme="majorHAnsi"/>
              <w:noProof/>
              <w:sz w:val="24"/>
              <w:szCs w:val="24"/>
            </w:rPr>
            <w:t>4</w:t>
          </w:r>
        </w:p>
        <w:p w14:paraId="284DEA3D" w14:textId="4BA8FC8B" w:rsidR="00A33768" w:rsidRPr="004D217B" w:rsidRDefault="00A33768" w:rsidP="004D217B">
          <w:pPr>
            <w:spacing w:after="0" w:line="240" w:lineRule="auto"/>
            <w:rPr>
              <w:rFonts w:asciiTheme="majorHAnsi" w:hAnsiTheme="majorHAnsi" w:cstheme="majorHAnsi"/>
              <w:noProof/>
              <w:sz w:val="24"/>
              <w:szCs w:val="24"/>
            </w:rPr>
          </w:pPr>
          <w:r w:rsidRPr="004D217B">
            <w:rPr>
              <w:rFonts w:asciiTheme="majorHAnsi" w:hAnsiTheme="majorHAnsi" w:cstheme="majorHAnsi"/>
              <w:noProof/>
              <w:sz w:val="24"/>
              <w:szCs w:val="24"/>
            </w:rPr>
            <w:t>Anexa nr.9 ………………………………………………………</w:t>
          </w:r>
          <w:r w:rsidR="004D217B">
            <w:rPr>
              <w:rFonts w:asciiTheme="majorHAnsi" w:hAnsiTheme="majorHAnsi" w:cstheme="majorHAnsi"/>
              <w:noProof/>
              <w:sz w:val="24"/>
              <w:szCs w:val="24"/>
            </w:rPr>
            <w:t>..</w:t>
          </w:r>
          <w:r w:rsidR="00206104">
            <w:rPr>
              <w:rFonts w:asciiTheme="majorHAnsi" w:hAnsiTheme="majorHAnsi" w:cstheme="majorHAnsi"/>
              <w:noProof/>
              <w:sz w:val="24"/>
              <w:szCs w:val="24"/>
            </w:rPr>
            <w:t>……………………………………………………………………….36</w:t>
          </w:r>
        </w:p>
        <w:p w14:paraId="331F0A56" w14:textId="7757FEDA" w:rsidR="00A33768" w:rsidRPr="004D217B" w:rsidRDefault="00A33768" w:rsidP="004D217B">
          <w:pPr>
            <w:spacing w:after="0" w:line="240" w:lineRule="auto"/>
            <w:rPr>
              <w:rFonts w:asciiTheme="majorHAnsi" w:hAnsiTheme="majorHAnsi" w:cstheme="majorHAnsi"/>
              <w:noProof/>
              <w:sz w:val="24"/>
              <w:szCs w:val="24"/>
            </w:rPr>
          </w:pPr>
          <w:r w:rsidRPr="004D217B">
            <w:rPr>
              <w:rFonts w:asciiTheme="majorHAnsi" w:hAnsiTheme="majorHAnsi" w:cstheme="majorHAnsi"/>
              <w:noProof/>
              <w:sz w:val="24"/>
              <w:szCs w:val="24"/>
            </w:rPr>
            <w:t>Anexa nr.10 ………………………………………………………</w:t>
          </w:r>
          <w:r w:rsidR="004D217B">
            <w:rPr>
              <w:rFonts w:asciiTheme="majorHAnsi" w:hAnsiTheme="majorHAnsi" w:cstheme="majorHAnsi"/>
              <w:noProof/>
              <w:sz w:val="24"/>
              <w:szCs w:val="24"/>
            </w:rPr>
            <w:t>..</w:t>
          </w:r>
          <w:r w:rsidR="00206104">
            <w:rPr>
              <w:rFonts w:asciiTheme="majorHAnsi" w:hAnsiTheme="majorHAnsi" w:cstheme="majorHAnsi"/>
              <w:noProof/>
              <w:sz w:val="24"/>
              <w:szCs w:val="24"/>
            </w:rPr>
            <w:t>……………………………………………………………………..37</w:t>
          </w:r>
        </w:p>
        <w:p w14:paraId="00400FA2" w14:textId="3ABA693C" w:rsidR="00A33768" w:rsidRDefault="00A33768" w:rsidP="004D217B">
          <w:pPr>
            <w:spacing w:after="0" w:line="240" w:lineRule="auto"/>
          </w:pPr>
          <w:r w:rsidRPr="004D217B">
            <w:rPr>
              <w:rFonts w:asciiTheme="majorHAnsi" w:hAnsiTheme="majorHAnsi" w:cstheme="majorHAnsi"/>
              <w:b/>
              <w:bCs/>
              <w:noProof/>
              <w:sz w:val="24"/>
              <w:szCs w:val="24"/>
            </w:rPr>
            <w:fldChar w:fldCharType="end"/>
          </w:r>
        </w:p>
      </w:sdtContent>
    </w:sdt>
    <w:p w14:paraId="71930360" w14:textId="77777777" w:rsidR="00C23DCE" w:rsidRPr="00363CFA" w:rsidRDefault="00C23DCE" w:rsidP="00C23DCE">
      <w:pPr>
        <w:spacing w:line="276" w:lineRule="auto"/>
        <w:rPr>
          <w:rFonts w:asciiTheme="majorHAnsi" w:hAnsiTheme="majorHAnsi" w:cstheme="majorHAnsi"/>
          <w:lang w:val="ro-MD"/>
        </w:rPr>
      </w:pPr>
    </w:p>
    <w:p w14:paraId="2FF573A3" w14:textId="77777777" w:rsidR="00C23DCE" w:rsidRPr="00363CFA" w:rsidRDefault="00C23DCE" w:rsidP="00C23DCE">
      <w:pPr>
        <w:spacing w:line="276" w:lineRule="auto"/>
        <w:rPr>
          <w:rFonts w:asciiTheme="majorHAnsi" w:hAnsiTheme="majorHAnsi" w:cstheme="majorHAnsi"/>
          <w:lang w:val="ro-MD"/>
        </w:rPr>
      </w:pPr>
    </w:p>
    <w:p w14:paraId="7661EE22" w14:textId="77777777" w:rsidR="00C23DCE" w:rsidRPr="00363CFA" w:rsidRDefault="00C23DCE" w:rsidP="00C23DCE">
      <w:pPr>
        <w:spacing w:line="276" w:lineRule="auto"/>
        <w:rPr>
          <w:rFonts w:asciiTheme="majorHAnsi" w:hAnsiTheme="majorHAnsi" w:cstheme="majorHAnsi"/>
          <w:lang w:val="ro-MD"/>
        </w:rPr>
      </w:pPr>
    </w:p>
    <w:p w14:paraId="25F977DA" w14:textId="77777777" w:rsidR="00C23DCE" w:rsidRPr="00363CFA" w:rsidRDefault="00C23DCE" w:rsidP="00C23DCE">
      <w:pPr>
        <w:spacing w:line="276" w:lineRule="auto"/>
        <w:rPr>
          <w:rFonts w:asciiTheme="majorHAnsi" w:hAnsiTheme="majorHAnsi" w:cstheme="majorHAnsi"/>
          <w:lang w:val="ro-MD"/>
        </w:rPr>
      </w:pPr>
    </w:p>
    <w:p w14:paraId="6E77B671" w14:textId="77777777" w:rsidR="00C23DCE" w:rsidRPr="00363CFA" w:rsidRDefault="00C23DCE" w:rsidP="00C23DCE">
      <w:pPr>
        <w:spacing w:line="276" w:lineRule="auto"/>
        <w:rPr>
          <w:rFonts w:asciiTheme="majorHAnsi" w:hAnsiTheme="majorHAnsi" w:cstheme="majorHAnsi"/>
          <w:lang w:val="ro-MD"/>
        </w:rPr>
      </w:pPr>
    </w:p>
    <w:p w14:paraId="19D3A991" w14:textId="6CDED76B" w:rsidR="00BF5699" w:rsidRPr="00363CFA" w:rsidRDefault="00BF5699" w:rsidP="00C23DCE">
      <w:pPr>
        <w:spacing w:line="276" w:lineRule="auto"/>
        <w:rPr>
          <w:rFonts w:asciiTheme="majorHAnsi" w:hAnsiTheme="majorHAnsi" w:cstheme="majorHAnsi"/>
          <w:lang w:val="ro-MD"/>
        </w:rPr>
        <w:sectPr w:rsidR="00BF5699" w:rsidRPr="00363CFA" w:rsidSect="00B16B32">
          <w:footerReference w:type="default" r:id="rId11"/>
          <w:footerReference w:type="first" r:id="rId12"/>
          <w:pgSz w:w="11909" w:h="16834" w:code="9"/>
          <w:pgMar w:top="851" w:right="851" w:bottom="851" w:left="1701" w:header="720" w:footer="282" w:gutter="0"/>
          <w:cols w:space="720"/>
          <w:titlePg/>
          <w:docGrid w:linePitch="360"/>
        </w:sectPr>
      </w:pPr>
    </w:p>
    <w:p w14:paraId="681CE50F" w14:textId="30D8FB5F" w:rsidR="00C23DCE" w:rsidRPr="00363CFA" w:rsidRDefault="00C23DCE" w:rsidP="00C23DCE">
      <w:pPr>
        <w:keepNext/>
        <w:keepLines/>
        <w:spacing w:before="240" w:after="240" w:line="276" w:lineRule="auto"/>
        <w:jc w:val="center"/>
        <w:outlineLvl w:val="0"/>
        <w:rPr>
          <w:rFonts w:asciiTheme="majorHAnsi" w:eastAsiaTheme="majorEastAsia" w:hAnsiTheme="majorHAnsi" w:cstheme="majorHAnsi"/>
          <w:b/>
          <w:bCs/>
          <w:sz w:val="28"/>
          <w:szCs w:val="28"/>
          <w:lang w:val="ro-MD"/>
        </w:rPr>
      </w:pPr>
      <w:bookmarkStart w:id="1" w:name="_Toc60045167"/>
      <w:bookmarkStart w:id="2" w:name="_Toc84512895"/>
      <w:r w:rsidRPr="00363CFA">
        <w:rPr>
          <w:rFonts w:asciiTheme="majorHAnsi" w:eastAsiaTheme="majorEastAsia" w:hAnsiTheme="majorHAnsi" w:cstheme="majorHAnsi"/>
          <w:b/>
          <w:bCs/>
          <w:sz w:val="28"/>
          <w:szCs w:val="28"/>
          <w:lang w:val="ro-MD"/>
        </w:rPr>
        <w:lastRenderedPageBreak/>
        <w:t>LISTA ACRONIMELOR</w:t>
      </w:r>
      <w:bookmarkEnd w:id="1"/>
      <w:bookmarkEnd w:id="2"/>
    </w:p>
    <w:tbl>
      <w:tblPr>
        <w:tblStyle w:val="TableGrid"/>
        <w:tblW w:w="0" w:type="auto"/>
        <w:tblLook w:val="04A0" w:firstRow="1" w:lastRow="0" w:firstColumn="1" w:lastColumn="0" w:noHBand="0" w:noVBand="1"/>
      </w:tblPr>
      <w:tblGrid>
        <w:gridCol w:w="2515"/>
        <w:gridCol w:w="6745"/>
      </w:tblGrid>
      <w:tr w:rsidR="00C23DCE" w:rsidRPr="00363CFA" w14:paraId="5517B3D2" w14:textId="77777777" w:rsidTr="00B16B32">
        <w:tc>
          <w:tcPr>
            <w:tcW w:w="2515" w:type="dxa"/>
          </w:tcPr>
          <w:p w14:paraId="378C51EF" w14:textId="77777777" w:rsidR="00C23DCE" w:rsidRPr="00363CFA" w:rsidRDefault="00C23DCE" w:rsidP="00C23DCE">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 xml:space="preserve">AAPL </w:t>
            </w:r>
          </w:p>
        </w:tc>
        <w:tc>
          <w:tcPr>
            <w:tcW w:w="6745" w:type="dxa"/>
          </w:tcPr>
          <w:p w14:paraId="1D2FFD5E" w14:textId="6253CAC8" w:rsidR="00C23DCE" w:rsidRPr="00357830" w:rsidRDefault="00F92C35" w:rsidP="00C23DCE">
            <w:pPr>
              <w:spacing w:line="276" w:lineRule="auto"/>
              <w:rPr>
                <w:rFonts w:asciiTheme="majorHAnsi" w:hAnsiTheme="majorHAnsi" w:cstheme="majorHAnsi"/>
                <w:sz w:val="24"/>
                <w:szCs w:val="24"/>
                <w:lang w:val="ro-MD"/>
              </w:rPr>
            </w:pPr>
            <w:r w:rsidRPr="003C2D6D">
              <w:rPr>
                <w:rFonts w:asciiTheme="majorHAnsi" w:hAnsiTheme="majorHAnsi" w:cstheme="majorHAnsi"/>
                <w:sz w:val="24"/>
                <w:szCs w:val="24"/>
                <w:lang w:val="ro-MD"/>
              </w:rPr>
              <w:t>Autorită</w:t>
            </w:r>
            <w:r w:rsidRPr="00174032">
              <w:rPr>
                <w:rFonts w:asciiTheme="majorHAnsi" w:hAnsiTheme="majorHAnsi" w:cstheme="majorHAnsi"/>
                <w:sz w:val="24"/>
                <w:szCs w:val="24"/>
                <w:lang w:val="ro-MD"/>
              </w:rPr>
              <w:t>ți</w:t>
            </w:r>
            <w:r w:rsidR="00C23DCE" w:rsidRPr="003C2D6D">
              <w:rPr>
                <w:rFonts w:asciiTheme="majorHAnsi" w:hAnsiTheme="majorHAnsi" w:cstheme="majorHAnsi"/>
                <w:sz w:val="24"/>
                <w:szCs w:val="24"/>
                <w:lang w:val="ro-MD"/>
              </w:rPr>
              <w:t xml:space="preserve"> a</w:t>
            </w:r>
            <w:r w:rsidRPr="00357830">
              <w:rPr>
                <w:rFonts w:asciiTheme="majorHAnsi" w:hAnsiTheme="majorHAnsi" w:cstheme="majorHAnsi"/>
                <w:sz w:val="24"/>
                <w:szCs w:val="24"/>
                <w:lang w:val="ro-MD"/>
              </w:rPr>
              <w:t>le</w:t>
            </w:r>
            <w:r w:rsidR="00C23DCE" w:rsidRPr="00357830">
              <w:rPr>
                <w:rFonts w:asciiTheme="majorHAnsi" w:hAnsiTheme="majorHAnsi" w:cstheme="majorHAnsi"/>
                <w:sz w:val="24"/>
                <w:szCs w:val="24"/>
                <w:lang w:val="ro-MD"/>
              </w:rPr>
              <w:t xml:space="preserve"> administra</w:t>
            </w:r>
            <w:r w:rsidR="0069374B" w:rsidRPr="00357830">
              <w:rPr>
                <w:rFonts w:asciiTheme="majorHAnsi" w:hAnsiTheme="majorHAnsi" w:cstheme="majorHAnsi"/>
                <w:sz w:val="24"/>
                <w:szCs w:val="24"/>
                <w:lang w:val="ro-MD"/>
              </w:rPr>
              <w:t>ț</w:t>
            </w:r>
            <w:r w:rsidR="00C23DCE" w:rsidRPr="00357830">
              <w:rPr>
                <w:rFonts w:asciiTheme="majorHAnsi" w:hAnsiTheme="majorHAnsi" w:cstheme="majorHAnsi"/>
                <w:sz w:val="24"/>
                <w:szCs w:val="24"/>
                <w:lang w:val="ro-MD"/>
              </w:rPr>
              <w:t xml:space="preserve">iei publice locale </w:t>
            </w:r>
          </w:p>
        </w:tc>
      </w:tr>
      <w:tr w:rsidR="00BE3161" w:rsidRPr="00363CFA" w14:paraId="71D5BBF7" w14:textId="77777777" w:rsidTr="00B16B32">
        <w:tc>
          <w:tcPr>
            <w:tcW w:w="2515" w:type="dxa"/>
          </w:tcPr>
          <w:p w14:paraId="095A73BB" w14:textId="77777777" w:rsidR="00BE3161" w:rsidRPr="00363CFA" w:rsidRDefault="00BE3161" w:rsidP="00C23DCE">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APC</w:t>
            </w:r>
          </w:p>
        </w:tc>
        <w:tc>
          <w:tcPr>
            <w:tcW w:w="6745" w:type="dxa"/>
          </w:tcPr>
          <w:p w14:paraId="6E168ABF" w14:textId="77777777" w:rsidR="00BE3161" w:rsidRPr="003C2D6D" w:rsidRDefault="00BE3161" w:rsidP="00C23DCE">
            <w:pPr>
              <w:spacing w:line="276" w:lineRule="auto"/>
              <w:rPr>
                <w:rFonts w:asciiTheme="majorHAnsi" w:hAnsiTheme="majorHAnsi" w:cstheme="majorHAnsi"/>
                <w:sz w:val="24"/>
                <w:szCs w:val="24"/>
                <w:lang w:val="ro-MD"/>
              </w:rPr>
            </w:pPr>
            <w:r w:rsidRPr="003C2D6D">
              <w:rPr>
                <w:rFonts w:asciiTheme="majorHAnsi" w:hAnsiTheme="majorHAnsi" w:cstheme="majorHAnsi"/>
                <w:sz w:val="24"/>
                <w:szCs w:val="24"/>
                <w:lang w:val="ro-MD"/>
              </w:rPr>
              <w:t>Autorita</w:t>
            </w:r>
            <w:r w:rsidRPr="00174032">
              <w:rPr>
                <w:rFonts w:asciiTheme="majorHAnsi" w:hAnsiTheme="majorHAnsi" w:cstheme="majorHAnsi"/>
                <w:sz w:val="24"/>
                <w:szCs w:val="24"/>
                <w:lang w:val="ro-MD"/>
              </w:rPr>
              <w:t>te</w:t>
            </w:r>
            <w:r w:rsidRPr="003C2D6D">
              <w:rPr>
                <w:rFonts w:asciiTheme="majorHAnsi" w:hAnsiTheme="majorHAnsi" w:cstheme="majorHAnsi"/>
                <w:sz w:val="24"/>
                <w:szCs w:val="24"/>
                <w:lang w:val="ro-MD"/>
              </w:rPr>
              <w:t xml:space="preserve"> publică centrală</w:t>
            </w:r>
          </w:p>
        </w:tc>
      </w:tr>
      <w:tr w:rsidR="00C23DCE" w:rsidRPr="00363CFA" w14:paraId="3AB45C37" w14:textId="77777777" w:rsidTr="00174032">
        <w:trPr>
          <w:trHeight w:val="153"/>
        </w:trPr>
        <w:tc>
          <w:tcPr>
            <w:tcW w:w="2515" w:type="dxa"/>
          </w:tcPr>
          <w:p w14:paraId="2F98F93A" w14:textId="77777777" w:rsidR="00C23DCE" w:rsidRPr="00363CFA" w:rsidRDefault="00C23DCE" w:rsidP="00C23DCE">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APL</w:t>
            </w:r>
          </w:p>
        </w:tc>
        <w:tc>
          <w:tcPr>
            <w:tcW w:w="6745" w:type="dxa"/>
          </w:tcPr>
          <w:p w14:paraId="1A9E01B6" w14:textId="77777777" w:rsidR="00C23DCE" w:rsidRPr="003C2D6D" w:rsidRDefault="00C23DCE" w:rsidP="00C23DCE">
            <w:pPr>
              <w:spacing w:line="276" w:lineRule="auto"/>
              <w:rPr>
                <w:rFonts w:asciiTheme="majorHAnsi" w:hAnsiTheme="majorHAnsi" w:cstheme="majorHAnsi"/>
                <w:sz w:val="24"/>
                <w:szCs w:val="24"/>
                <w:lang w:val="ro-MD"/>
              </w:rPr>
            </w:pPr>
            <w:r w:rsidRPr="003C2D6D">
              <w:rPr>
                <w:rFonts w:asciiTheme="majorHAnsi" w:hAnsiTheme="majorHAnsi" w:cstheme="majorHAnsi"/>
                <w:sz w:val="24"/>
                <w:szCs w:val="24"/>
                <w:lang w:val="ro-MD"/>
              </w:rPr>
              <w:t>Autorita</w:t>
            </w:r>
            <w:r w:rsidRPr="00174032">
              <w:rPr>
                <w:rFonts w:asciiTheme="majorHAnsi" w:hAnsiTheme="majorHAnsi" w:cstheme="majorHAnsi"/>
                <w:sz w:val="24"/>
                <w:szCs w:val="24"/>
                <w:lang w:val="ro-MD"/>
              </w:rPr>
              <w:t>te</w:t>
            </w:r>
            <w:r w:rsidRPr="003C2D6D">
              <w:rPr>
                <w:rFonts w:asciiTheme="majorHAnsi" w:hAnsiTheme="majorHAnsi" w:cstheme="majorHAnsi"/>
                <w:sz w:val="24"/>
                <w:szCs w:val="24"/>
                <w:lang w:val="ro-MD"/>
              </w:rPr>
              <w:t xml:space="preserve"> publică locală</w:t>
            </w:r>
          </w:p>
        </w:tc>
      </w:tr>
      <w:tr w:rsidR="002030F9" w:rsidRPr="00363CFA" w14:paraId="2FEB7943" w14:textId="77777777" w:rsidTr="00B16B32">
        <w:tc>
          <w:tcPr>
            <w:tcW w:w="2515" w:type="dxa"/>
          </w:tcPr>
          <w:p w14:paraId="69DD8D9A" w14:textId="0208502B" w:rsidR="002030F9" w:rsidRPr="00EA1535" w:rsidRDefault="00EE777E" w:rsidP="00C23DCE">
            <w:pPr>
              <w:spacing w:line="276" w:lineRule="auto"/>
              <w:rPr>
                <w:rFonts w:asciiTheme="majorHAnsi" w:hAnsiTheme="majorHAnsi" w:cstheme="majorHAnsi"/>
                <w:b/>
                <w:bCs/>
                <w:sz w:val="24"/>
                <w:szCs w:val="24"/>
                <w:lang w:val="ro-MD"/>
              </w:rPr>
            </w:pPr>
            <w:r>
              <w:rPr>
                <w:rFonts w:asciiTheme="majorHAnsi" w:hAnsiTheme="majorHAnsi" w:cstheme="majorHAnsi"/>
                <w:b/>
                <w:bCs/>
                <w:sz w:val="24"/>
                <w:szCs w:val="24"/>
                <w:lang w:val="ro-MD"/>
              </w:rPr>
              <w:t>BASS</w:t>
            </w:r>
          </w:p>
        </w:tc>
        <w:tc>
          <w:tcPr>
            <w:tcW w:w="6745" w:type="dxa"/>
          </w:tcPr>
          <w:p w14:paraId="738E29EE" w14:textId="2A56DAC9" w:rsidR="002030F9" w:rsidRPr="00174032" w:rsidRDefault="00EE777E" w:rsidP="00C23DCE">
            <w:pPr>
              <w:spacing w:line="276" w:lineRule="auto"/>
              <w:rPr>
                <w:rFonts w:asciiTheme="majorHAnsi" w:hAnsiTheme="majorHAnsi" w:cstheme="majorHAnsi"/>
                <w:sz w:val="24"/>
                <w:szCs w:val="24"/>
                <w:lang w:val="ro-RO"/>
              </w:rPr>
            </w:pPr>
            <w:r>
              <w:rPr>
                <w:rFonts w:asciiTheme="majorHAnsi" w:hAnsiTheme="majorHAnsi" w:cstheme="majorHAnsi"/>
                <w:sz w:val="24"/>
                <w:szCs w:val="24"/>
                <w:lang w:val="ro-MD"/>
              </w:rPr>
              <w:t>Bugetul asigur</w:t>
            </w:r>
            <w:r>
              <w:rPr>
                <w:rFonts w:asciiTheme="majorHAnsi" w:hAnsiTheme="majorHAnsi" w:cstheme="majorHAnsi"/>
                <w:sz w:val="24"/>
                <w:szCs w:val="24"/>
                <w:lang w:val="ro-RO"/>
              </w:rPr>
              <w:t>ărilor sociale de stat</w:t>
            </w:r>
          </w:p>
        </w:tc>
      </w:tr>
      <w:tr w:rsidR="00C23DCE" w:rsidRPr="00363CFA" w14:paraId="3E82A7F0" w14:textId="77777777" w:rsidTr="00B16B32">
        <w:tc>
          <w:tcPr>
            <w:tcW w:w="2515" w:type="dxa"/>
          </w:tcPr>
          <w:p w14:paraId="765DE90C" w14:textId="77777777" w:rsidR="00C23DCE" w:rsidRPr="00363CFA" w:rsidRDefault="00C23DCE" w:rsidP="00C23DCE">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CCRM</w:t>
            </w:r>
          </w:p>
        </w:tc>
        <w:tc>
          <w:tcPr>
            <w:tcW w:w="6745" w:type="dxa"/>
          </w:tcPr>
          <w:p w14:paraId="0BC27802" w14:textId="77777777" w:rsidR="00C23DCE" w:rsidRPr="00363CFA" w:rsidRDefault="00C23DCE" w:rsidP="00C23DCE">
            <w:pPr>
              <w:spacing w:line="276" w:lineRule="auto"/>
              <w:rPr>
                <w:rFonts w:asciiTheme="majorHAnsi" w:hAnsiTheme="majorHAnsi" w:cstheme="majorHAnsi"/>
                <w:sz w:val="24"/>
                <w:szCs w:val="24"/>
                <w:lang w:val="ro-MD"/>
              </w:rPr>
            </w:pPr>
            <w:r w:rsidRPr="00363CFA">
              <w:rPr>
                <w:rFonts w:asciiTheme="majorHAnsi" w:hAnsiTheme="majorHAnsi" w:cstheme="majorHAnsi"/>
                <w:sz w:val="24"/>
                <w:szCs w:val="24"/>
                <w:lang w:val="ro-MD"/>
              </w:rPr>
              <w:t>Curtea de Conturi a Republicii Moldovei</w:t>
            </w:r>
          </w:p>
        </w:tc>
      </w:tr>
      <w:tr w:rsidR="00C23DCE" w:rsidRPr="00363CFA" w14:paraId="2D189F33" w14:textId="77777777" w:rsidTr="00B16B32">
        <w:tc>
          <w:tcPr>
            <w:tcW w:w="2515" w:type="dxa"/>
          </w:tcPr>
          <w:p w14:paraId="35717968" w14:textId="77777777" w:rsidR="00C23DCE" w:rsidRPr="00363CFA" w:rsidRDefault="00C23DCE" w:rsidP="00C23DCE">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HG</w:t>
            </w:r>
          </w:p>
        </w:tc>
        <w:tc>
          <w:tcPr>
            <w:tcW w:w="6745" w:type="dxa"/>
          </w:tcPr>
          <w:p w14:paraId="5D4B4EBD" w14:textId="7EBA55F2" w:rsidR="00C23DCE" w:rsidRPr="00363CFA" w:rsidRDefault="00C23DCE" w:rsidP="00C23DCE">
            <w:pPr>
              <w:spacing w:line="276" w:lineRule="auto"/>
              <w:rPr>
                <w:rFonts w:asciiTheme="majorHAnsi" w:hAnsiTheme="majorHAnsi" w:cstheme="majorHAnsi"/>
                <w:sz w:val="24"/>
                <w:szCs w:val="24"/>
                <w:lang w:val="ro-MD"/>
              </w:rPr>
            </w:pPr>
            <w:r w:rsidRPr="00363CFA">
              <w:rPr>
                <w:rFonts w:asciiTheme="majorHAnsi" w:hAnsiTheme="majorHAnsi" w:cstheme="majorHAnsi"/>
                <w:sz w:val="24"/>
                <w:szCs w:val="24"/>
                <w:lang w:val="ro-MD"/>
              </w:rPr>
              <w:t>Hotărâr</w:t>
            </w:r>
            <w:r w:rsidR="00F92C35">
              <w:rPr>
                <w:rFonts w:asciiTheme="majorHAnsi" w:hAnsiTheme="majorHAnsi" w:cstheme="majorHAnsi"/>
                <w:sz w:val="24"/>
                <w:szCs w:val="24"/>
                <w:lang w:val="ro-MD"/>
              </w:rPr>
              <w:t xml:space="preserve">ea Guvernului </w:t>
            </w:r>
          </w:p>
        </w:tc>
      </w:tr>
      <w:tr w:rsidR="00C23DCE" w:rsidRPr="00363CFA" w14:paraId="5C47C5C2" w14:textId="77777777" w:rsidTr="00B16B32">
        <w:tc>
          <w:tcPr>
            <w:tcW w:w="2515" w:type="dxa"/>
          </w:tcPr>
          <w:p w14:paraId="24A028A4" w14:textId="6664BC4F" w:rsidR="00C23DCE" w:rsidRPr="00363CFA" w:rsidRDefault="00357830" w:rsidP="00C23DCE">
            <w:pPr>
              <w:spacing w:line="276" w:lineRule="auto"/>
              <w:rPr>
                <w:rFonts w:asciiTheme="majorHAnsi" w:hAnsiTheme="majorHAnsi" w:cstheme="majorHAnsi"/>
                <w:b/>
                <w:bCs/>
                <w:sz w:val="24"/>
                <w:szCs w:val="24"/>
                <w:lang w:val="ro-MD"/>
              </w:rPr>
            </w:pPr>
            <w:r>
              <w:rPr>
                <w:rFonts w:asciiTheme="majorHAnsi" w:hAnsiTheme="majorHAnsi" w:cstheme="majorHAnsi"/>
                <w:b/>
                <w:bCs/>
                <w:sz w:val="24"/>
                <w:szCs w:val="24"/>
                <w:lang w:val="ro-MD"/>
              </w:rPr>
              <w:t>I</w:t>
            </w:r>
            <w:r w:rsidR="00C23DCE" w:rsidRPr="00363CFA">
              <w:rPr>
                <w:rFonts w:asciiTheme="majorHAnsi" w:hAnsiTheme="majorHAnsi" w:cstheme="majorHAnsi"/>
                <w:b/>
                <w:bCs/>
                <w:sz w:val="24"/>
                <w:szCs w:val="24"/>
                <w:lang w:val="ro-MD"/>
              </w:rPr>
              <w:t>M</w:t>
            </w:r>
            <w:r w:rsidR="00554748" w:rsidRPr="00363CFA">
              <w:rPr>
                <w:rFonts w:asciiTheme="majorHAnsi" w:hAnsiTheme="majorHAnsi" w:cstheme="majorHAnsi"/>
                <w:b/>
                <w:bCs/>
                <w:sz w:val="24"/>
                <w:szCs w:val="24"/>
                <w:lang w:val="ro-MD"/>
              </w:rPr>
              <w:t>SP</w:t>
            </w:r>
          </w:p>
        </w:tc>
        <w:tc>
          <w:tcPr>
            <w:tcW w:w="6745" w:type="dxa"/>
          </w:tcPr>
          <w:p w14:paraId="2F43EF80" w14:textId="7F0F4610" w:rsidR="00C23DCE" w:rsidRPr="00363CFA" w:rsidRDefault="00F92C35" w:rsidP="00554748">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Instituție</w:t>
            </w:r>
            <w:r w:rsidR="00C23DCE" w:rsidRPr="00363CFA">
              <w:rPr>
                <w:rFonts w:asciiTheme="majorHAnsi" w:hAnsiTheme="majorHAnsi" w:cstheme="majorHAnsi"/>
                <w:sz w:val="24"/>
                <w:szCs w:val="24"/>
                <w:lang w:val="ro-MD"/>
              </w:rPr>
              <w:t xml:space="preserve"> </w:t>
            </w:r>
            <w:r w:rsidR="00554748" w:rsidRPr="00363CFA">
              <w:rPr>
                <w:rFonts w:asciiTheme="majorHAnsi" w:hAnsiTheme="majorHAnsi" w:cstheme="majorHAnsi"/>
                <w:sz w:val="24"/>
                <w:szCs w:val="24"/>
                <w:lang w:val="ro-MD"/>
              </w:rPr>
              <w:t>medico-sanitară publică</w:t>
            </w:r>
          </w:p>
        </w:tc>
      </w:tr>
      <w:tr w:rsidR="00C23DCE" w:rsidRPr="00363CFA" w14:paraId="61EBD720" w14:textId="77777777" w:rsidTr="00B16B32">
        <w:tc>
          <w:tcPr>
            <w:tcW w:w="2515" w:type="dxa"/>
          </w:tcPr>
          <w:p w14:paraId="29AC1775" w14:textId="77777777" w:rsidR="00C23DCE" w:rsidRPr="00363CFA" w:rsidRDefault="00C23DCE" w:rsidP="00C23DCE">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MF</w:t>
            </w:r>
          </w:p>
        </w:tc>
        <w:tc>
          <w:tcPr>
            <w:tcW w:w="6745" w:type="dxa"/>
          </w:tcPr>
          <w:p w14:paraId="4A0CA391" w14:textId="77777777" w:rsidR="00C23DCE" w:rsidRPr="00363CFA" w:rsidRDefault="00C23DCE" w:rsidP="00C23DCE">
            <w:pPr>
              <w:spacing w:line="276" w:lineRule="auto"/>
              <w:rPr>
                <w:rFonts w:asciiTheme="majorHAnsi" w:hAnsiTheme="majorHAnsi" w:cstheme="majorHAnsi"/>
                <w:sz w:val="24"/>
                <w:szCs w:val="24"/>
                <w:lang w:val="ro-MD"/>
              </w:rPr>
            </w:pPr>
            <w:r w:rsidRPr="00363CFA">
              <w:rPr>
                <w:rFonts w:asciiTheme="majorHAnsi" w:hAnsiTheme="majorHAnsi" w:cstheme="majorHAnsi"/>
                <w:sz w:val="24"/>
                <w:szCs w:val="24"/>
                <w:lang w:val="ro-MD"/>
              </w:rPr>
              <w:t>Ministerul Finan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elor</w:t>
            </w:r>
          </w:p>
        </w:tc>
      </w:tr>
      <w:tr w:rsidR="00D850C6" w:rsidRPr="00363CFA" w14:paraId="63C7E49B" w14:textId="77777777" w:rsidTr="00B16B32">
        <w:tc>
          <w:tcPr>
            <w:tcW w:w="2515" w:type="dxa"/>
          </w:tcPr>
          <w:p w14:paraId="2FA8E495" w14:textId="77777777" w:rsidR="00D850C6" w:rsidRPr="00363CFA" w:rsidRDefault="00D850C6" w:rsidP="00C23DCE">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SFS</w:t>
            </w:r>
          </w:p>
        </w:tc>
        <w:tc>
          <w:tcPr>
            <w:tcW w:w="6745" w:type="dxa"/>
          </w:tcPr>
          <w:p w14:paraId="7D55E890" w14:textId="67168E6A" w:rsidR="00D850C6" w:rsidRPr="00363CFA" w:rsidRDefault="00F92C35" w:rsidP="00C23DCE">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Serviciul Fiscal de S</w:t>
            </w:r>
            <w:r w:rsidR="00D850C6" w:rsidRPr="00363CFA">
              <w:rPr>
                <w:rFonts w:asciiTheme="majorHAnsi" w:hAnsiTheme="majorHAnsi" w:cstheme="majorHAnsi"/>
                <w:sz w:val="24"/>
                <w:szCs w:val="24"/>
                <w:lang w:val="ro-MD"/>
              </w:rPr>
              <w:t>tat</w:t>
            </w:r>
          </w:p>
        </w:tc>
      </w:tr>
      <w:tr w:rsidR="00D850C6" w:rsidRPr="00363CFA" w14:paraId="309FE9F8" w14:textId="77777777" w:rsidTr="00B16B32">
        <w:tc>
          <w:tcPr>
            <w:tcW w:w="2515" w:type="dxa"/>
          </w:tcPr>
          <w:p w14:paraId="0699F7BD" w14:textId="77777777" w:rsidR="00D850C6" w:rsidRPr="00363CFA" w:rsidRDefault="00D850C6" w:rsidP="00D850C6">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TDS</w:t>
            </w:r>
          </w:p>
        </w:tc>
        <w:tc>
          <w:tcPr>
            <w:tcW w:w="6745" w:type="dxa"/>
          </w:tcPr>
          <w:p w14:paraId="5BC1B093" w14:textId="77777777" w:rsidR="00D850C6" w:rsidRPr="00363CFA" w:rsidRDefault="00D850C6" w:rsidP="00D850C6">
            <w:pPr>
              <w:spacing w:line="276" w:lineRule="auto"/>
              <w:rPr>
                <w:rFonts w:asciiTheme="majorHAnsi" w:hAnsiTheme="majorHAnsi" w:cstheme="majorHAnsi"/>
                <w:sz w:val="24"/>
                <w:szCs w:val="24"/>
                <w:lang w:val="ro-MD"/>
              </w:rPr>
            </w:pPr>
            <w:r w:rsidRPr="00363CFA">
              <w:rPr>
                <w:rFonts w:asciiTheme="majorHAnsi" w:hAnsiTheme="majorHAnsi" w:cstheme="majorHAnsi"/>
                <w:sz w:val="24"/>
                <w:szCs w:val="24"/>
                <w:lang w:val="ro-MD"/>
              </w:rPr>
              <w:t>Transferuri cu destina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ie specială</w:t>
            </w:r>
          </w:p>
        </w:tc>
      </w:tr>
      <w:tr w:rsidR="00D850C6" w:rsidRPr="00363CFA" w14:paraId="433E24BA" w14:textId="77777777" w:rsidTr="00B16B32">
        <w:tc>
          <w:tcPr>
            <w:tcW w:w="2515" w:type="dxa"/>
          </w:tcPr>
          <w:p w14:paraId="01DF9E86" w14:textId="77777777" w:rsidR="00D850C6" w:rsidRPr="00363CFA" w:rsidRDefault="00D850C6" w:rsidP="00D850C6">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TDG</w:t>
            </w:r>
          </w:p>
        </w:tc>
        <w:tc>
          <w:tcPr>
            <w:tcW w:w="6745" w:type="dxa"/>
          </w:tcPr>
          <w:p w14:paraId="7AD11C78" w14:textId="77777777" w:rsidR="00D850C6" w:rsidRPr="00363CFA" w:rsidRDefault="00D850C6" w:rsidP="00D850C6">
            <w:pPr>
              <w:spacing w:line="276" w:lineRule="auto"/>
              <w:rPr>
                <w:rFonts w:asciiTheme="majorHAnsi" w:hAnsiTheme="majorHAnsi" w:cstheme="majorHAnsi"/>
                <w:sz w:val="24"/>
                <w:szCs w:val="24"/>
                <w:lang w:val="ro-MD"/>
              </w:rPr>
            </w:pPr>
            <w:r w:rsidRPr="00363CFA">
              <w:rPr>
                <w:rFonts w:asciiTheme="majorHAnsi" w:hAnsiTheme="majorHAnsi" w:cstheme="majorHAnsi"/>
                <w:sz w:val="24"/>
                <w:szCs w:val="24"/>
                <w:lang w:val="ro-MD"/>
              </w:rPr>
              <w:t>Transferuri cu destina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ie generală</w:t>
            </w:r>
          </w:p>
        </w:tc>
      </w:tr>
      <w:tr w:rsidR="00D850C6" w:rsidRPr="00363CFA" w14:paraId="381DF099" w14:textId="77777777" w:rsidTr="00B16B32">
        <w:tc>
          <w:tcPr>
            <w:tcW w:w="2515" w:type="dxa"/>
          </w:tcPr>
          <w:p w14:paraId="4213CB29" w14:textId="77777777" w:rsidR="00D850C6" w:rsidRPr="00363CFA" w:rsidRDefault="00D850C6" w:rsidP="00D850C6">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TVA</w:t>
            </w:r>
          </w:p>
        </w:tc>
        <w:tc>
          <w:tcPr>
            <w:tcW w:w="6745" w:type="dxa"/>
          </w:tcPr>
          <w:p w14:paraId="0C65CAB3" w14:textId="77777777" w:rsidR="00D850C6" w:rsidRPr="00363CFA" w:rsidRDefault="00D850C6" w:rsidP="00D850C6">
            <w:pPr>
              <w:spacing w:line="276" w:lineRule="auto"/>
              <w:rPr>
                <w:rFonts w:asciiTheme="majorHAnsi" w:hAnsiTheme="majorHAnsi" w:cstheme="majorHAnsi"/>
                <w:sz w:val="24"/>
                <w:szCs w:val="24"/>
                <w:lang w:val="ro-MD"/>
              </w:rPr>
            </w:pPr>
            <w:r w:rsidRPr="00363CFA">
              <w:rPr>
                <w:rFonts w:asciiTheme="majorHAnsi" w:hAnsiTheme="majorHAnsi" w:cstheme="majorHAnsi"/>
                <w:sz w:val="24"/>
                <w:szCs w:val="24"/>
                <w:lang w:val="ro-MD"/>
              </w:rPr>
              <w:t>Taxa pe valoarea adăugată</w:t>
            </w:r>
          </w:p>
        </w:tc>
      </w:tr>
      <w:tr w:rsidR="00D850C6" w:rsidRPr="00363CFA" w14:paraId="5EEC6418" w14:textId="77777777" w:rsidTr="00B16B32">
        <w:tc>
          <w:tcPr>
            <w:tcW w:w="2515" w:type="dxa"/>
          </w:tcPr>
          <w:p w14:paraId="6FA3E091" w14:textId="77777777" w:rsidR="00D850C6" w:rsidRPr="00363CFA" w:rsidRDefault="00D850C6" w:rsidP="00D850C6">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UAT</w:t>
            </w:r>
          </w:p>
        </w:tc>
        <w:tc>
          <w:tcPr>
            <w:tcW w:w="6745" w:type="dxa"/>
          </w:tcPr>
          <w:p w14:paraId="7CEB0359" w14:textId="77777777" w:rsidR="00D850C6" w:rsidRPr="00363CFA" w:rsidRDefault="00D850C6" w:rsidP="00D850C6">
            <w:pPr>
              <w:spacing w:line="276" w:lineRule="auto"/>
              <w:rPr>
                <w:rFonts w:asciiTheme="majorHAnsi" w:hAnsiTheme="majorHAnsi" w:cstheme="majorHAnsi"/>
                <w:sz w:val="24"/>
                <w:szCs w:val="24"/>
                <w:lang w:val="ro-MD"/>
              </w:rPr>
            </w:pPr>
            <w:r w:rsidRPr="00363CFA">
              <w:rPr>
                <w:rFonts w:asciiTheme="majorHAnsi" w:hAnsiTheme="majorHAnsi" w:cstheme="majorHAnsi"/>
                <w:sz w:val="24"/>
                <w:szCs w:val="24"/>
                <w:lang w:val="ro-MD"/>
              </w:rPr>
              <w:t>Unitatea administrativ-teritorială</w:t>
            </w:r>
          </w:p>
        </w:tc>
      </w:tr>
      <w:tr w:rsidR="00D850C6" w:rsidRPr="00363CFA" w14:paraId="6900579E" w14:textId="77777777" w:rsidTr="00B16B32">
        <w:tc>
          <w:tcPr>
            <w:tcW w:w="2515" w:type="dxa"/>
          </w:tcPr>
          <w:p w14:paraId="2DC8C2D0" w14:textId="77777777" w:rsidR="00D850C6" w:rsidRPr="00363CFA" w:rsidRDefault="00D850C6" w:rsidP="00D850C6">
            <w:pPr>
              <w:spacing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UTA</w:t>
            </w:r>
          </w:p>
        </w:tc>
        <w:tc>
          <w:tcPr>
            <w:tcW w:w="6745" w:type="dxa"/>
          </w:tcPr>
          <w:p w14:paraId="09E67417" w14:textId="17823384" w:rsidR="00D850C6" w:rsidRPr="00363CFA" w:rsidRDefault="00F92C35" w:rsidP="00D850C6">
            <w:pPr>
              <w:spacing w:line="276" w:lineRule="auto"/>
              <w:rPr>
                <w:rFonts w:asciiTheme="majorHAnsi" w:hAnsiTheme="majorHAnsi" w:cstheme="majorHAnsi"/>
                <w:sz w:val="24"/>
                <w:szCs w:val="24"/>
                <w:lang w:val="ro-MD"/>
              </w:rPr>
            </w:pPr>
            <w:r>
              <w:rPr>
                <w:rFonts w:asciiTheme="majorHAnsi" w:hAnsiTheme="majorHAnsi" w:cstheme="majorHAnsi"/>
                <w:sz w:val="24"/>
                <w:szCs w:val="24"/>
                <w:lang w:val="ro-MD"/>
              </w:rPr>
              <w:t>Unitatea T</w:t>
            </w:r>
            <w:r w:rsidR="00D850C6" w:rsidRPr="00363CFA">
              <w:rPr>
                <w:rFonts w:asciiTheme="majorHAnsi" w:hAnsiTheme="majorHAnsi" w:cstheme="majorHAnsi"/>
                <w:sz w:val="24"/>
                <w:szCs w:val="24"/>
                <w:lang w:val="ro-MD"/>
              </w:rPr>
              <w:t>eritorial</w:t>
            </w:r>
            <w:r>
              <w:rPr>
                <w:rFonts w:asciiTheme="majorHAnsi" w:hAnsiTheme="majorHAnsi" w:cstheme="majorHAnsi"/>
                <w:sz w:val="24"/>
                <w:szCs w:val="24"/>
                <w:lang w:val="ro-MD"/>
              </w:rPr>
              <w:t>ă A</w:t>
            </w:r>
            <w:r w:rsidR="00D850C6" w:rsidRPr="00363CFA">
              <w:rPr>
                <w:rFonts w:asciiTheme="majorHAnsi" w:hAnsiTheme="majorHAnsi" w:cstheme="majorHAnsi"/>
                <w:sz w:val="24"/>
                <w:szCs w:val="24"/>
                <w:lang w:val="ro-MD"/>
              </w:rPr>
              <w:t>utonomă</w:t>
            </w:r>
          </w:p>
        </w:tc>
      </w:tr>
    </w:tbl>
    <w:p w14:paraId="4D2E2A41" w14:textId="287CE0A3" w:rsidR="00C23DCE" w:rsidRPr="00363CFA" w:rsidRDefault="00C23DCE" w:rsidP="00C23DCE">
      <w:pPr>
        <w:keepNext/>
        <w:keepLines/>
        <w:spacing w:before="240" w:after="0" w:line="276" w:lineRule="auto"/>
        <w:outlineLvl w:val="0"/>
        <w:rPr>
          <w:rFonts w:asciiTheme="majorHAnsi" w:eastAsiaTheme="majorEastAsia" w:hAnsiTheme="majorHAnsi" w:cstheme="majorHAnsi"/>
          <w:b/>
          <w:bCs/>
          <w:color w:val="5B9BD5" w:themeColor="accent1"/>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Toc60045168"/>
      <w:bookmarkStart w:id="4" w:name="_Toc84512896"/>
      <w:r w:rsidRPr="00363CFA">
        <w:rPr>
          <w:rFonts w:asciiTheme="majorHAnsi" w:eastAsiaTheme="majorEastAsia" w:hAnsiTheme="majorHAnsi" w:cstheme="majorHAnsi"/>
          <w:b/>
          <w:bCs/>
          <w:color w:val="5B9BD5" w:themeColor="accent1"/>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GLOSAR</w:t>
      </w:r>
      <w:bookmarkEnd w:id="3"/>
      <w:bookmarkEnd w:id="4"/>
    </w:p>
    <w:p w14:paraId="7F17E1FE" w14:textId="19BF90F8" w:rsidR="00C23DCE" w:rsidRPr="00363CFA" w:rsidRDefault="00C23DCE" w:rsidP="00712FF7">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bCs/>
          <w:i/>
          <w:iCs/>
          <w:color w:val="333333"/>
          <w:sz w:val="24"/>
          <w:szCs w:val="24"/>
          <w:lang w:val="ro-MD"/>
        </w:rPr>
        <w:t>Bugetul unită</w:t>
      </w:r>
      <w:r w:rsidR="0069374B" w:rsidRPr="00363CFA">
        <w:rPr>
          <w:rFonts w:asciiTheme="majorHAnsi" w:hAnsiTheme="majorHAnsi" w:cstheme="majorHAnsi"/>
          <w:b/>
          <w:bCs/>
          <w:i/>
          <w:iCs/>
          <w:color w:val="333333"/>
          <w:sz w:val="24"/>
          <w:szCs w:val="24"/>
          <w:lang w:val="ro-MD"/>
        </w:rPr>
        <w:t>ț</w:t>
      </w:r>
      <w:r w:rsidRPr="00363CFA">
        <w:rPr>
          <w:rFonts w:asciiTheme="majorHAnsi" w:hAnsiTheme="majorHAnsi" w:cstheme="majorHAnsi"/>
          <w:b/>
          <w:bCs/>
          <w:i/>
          <w:iCs/>
          <w:color w:val="333333"/>
          <w:sz w:val="24"/>
          <w:szCs w:val="24"/>
          <w:lang w:val="ro-MD"/>
        </w:rPr>
        <w:t>ii administrativ-teritoriale (bugetul local) </w:t>
      </w:r>
      <w:r w:rsidRPr="00363CFA">
        <w:rPr>
          <w:rFonts w:asciiTheme="majorHAnsi" w:hAnsiTheme="majorHAnsi" w:cstheme="majorHAnsi"/>
          <w:color w:val="333333"/>
          <w:sz w:val="24"/>
          <w:szCs w:val="24"/>
          <w:shd w:val="clear" w:color="auto" w:fill="FFFFFF"/>
          <w:lang w:val="ro-MD"/>
        </w:rPr>
        <w:t xml:space="preserve">– totalitate a veniturilor, a cheltuielilor </w:t>
      </w:r>
      <w:r w:rsidR="0069374B" w:rsidRPr="00363CFA">
        <w:rPr>
          <w:rFonts w:asciiTheme="majorHAnsi" w:hAnsiTheme="majorHAnsi" w:cstheme="majorHAnsi"/>
          <w:color w:val="333333"/>
          <w:sz w:val="24"/>
          <w:szCs w:val="24"/>
          <w:shd w:val="clear" w:color="auto" w:fill="FFFFFF"/>
          <w:lang w:val="ro-MD"/>
        </w:rPr>
        <w:t>ș</w:t>
      </w:r>
      <w:r w:rsidRPr="00363CFA">
        <w:rPr>
          <w:rFonts w:asciiTheme="majorHAnsi" w:hAnsiTheme="majorHAnsi" w:cstheme="majorHAnsi"/>
          <w:color w:val="333333"/>
          <w:sz w:val="24"/>
          <w:szCs w:val="24"/>
          <w:shd w:val="clear" w:color="auto" w:fill="FFFFFF"/>
          <w:lang w:val="ro-MD"/>
        </w:rPr>
        <w:t>i a surselor de finan</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are destinate exercitării func</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iilor care sunt în competen</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a AAPL conform legisla</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 xml:space="preserve">iei </w:t>
      </w:r>
      <w:r w:rsidR="0069374B" w:rsidRPr="00363CFA">
        <w:rPr>
          <w:rFonts w:asciiTheme="majorHAnsi" w:hAnsiTheme="majorHAnsi" w:cstheme="majorHAnsi"/>
          <w:color w:val="333333"/>
          <w:sz w:val="24"/>
          <w:szCs w:val="24"/>
          <w:shd w:val="clear" w:color="auto" w:fill="FFFFFF"/>
          <w:lang w:val="ro-MD"/>
        </w:rPr>
        <w:t>ș</w:t>
      </w:r>
      <w:r w:rsidRPr="00363CFA">
        <w:rPr>
          <w:rFonts w:asciiTheme="majorHAnsi" w:hAnsiTheme="majorHAnsi" w:cstheme="majorHAnsi"/>
          <w:color w:val="333333"/>
          <w:sz w:val="24"/>
          <w:szCs w:val="24"/>
          <w:shd w:val="clear" w:color="auto" w:fill="FFFFFF"/>
          <w:lang w:val="ro-MD"/>
        </w:rPr>
        <w:t>i a func</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iilor delegate de Par</w:t>
      </w:r>
      <w:r w:rsidR="00F92C35">
        <w:rPr>
          <w:rFonts w:asciiTheme="majorHAnsi" w:hAnsiTheme="majorHAnsi" w:cstheme="majorHAnsi"/>
          <w:color w:val="333333"/>
          <w:sz w:val="24"/>
          <w:szCs w:val="24"/>
          <w:shd w:val="clear" w:color="auto" w:fill="FFFFFF"/>
          <w:lang w:val="ro-MD"/>
        </w:rPr>
        <w:t>lament la propunerea Guvernului.</w:t>
      </w:r>
    </w:p>
    <w:p w14:paraId="5245BA12" w14:textId="10BB4369" w:rsidR="00C23DCE" w:rsidRPr="00363CFA" w:rsidRDefault="00C23DCE" w:rsidP="00712FF7">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bCs/>
          <w:i/>
          <w:iCs/>
          <w:color w:val="000000"/>
          <w:sz w:val="24"/>
          <w:szCs w:val="24"/>
          <w:lang w:val="ro-MD"/>
        </w:rPr>
        <w:t>Bunuri imobiliare</w:t>
      </w:r>
      <w:r w:rsidRPr="00363CFA">
        <w:rPr>
          <w:rFonts w:asciiTheme="majorHAnsi" w:hAnsiTheme="majorHAnsi" w:cstheme="majorHAnsi"/>
          <w:color w:val="000000"/>
          <w:sz w:val="24"/>
          <w:szCs w:val="24"/>
          <w:shd w:val="clear" w:color="auto" w:fill="FFFFFF"/>
          <w:lang w:val="ro-MD"/>
        </w:rPr>
        <w:t xml:space="preserve"> – terenurile, clădirile, construc</w:t>
      </w:r>
      <w:r w:rsidR="0069374B" w:rsidRPr="00363CFA">
        <w:rPr>
          <w:rFonts w:asciiTheme="majorHAnsi" w:hAnsiTheme="majorHAnsi" w:cstheme="majorHAnsi"/>
          <w:color w:val="000000"/>
          <w:sz w:val="24"/>
          <w:szCs w:val="24"/>
          <w:shd w:val="clear" w:color="auto" w:fill="FFFFFF"/>
          <w:lang w:val="ro-MD"/>
        </w:rPr>
        <w:t>ț</w:t>
      </w:r>
      <w:r w:rsidRPr="00363CFA">
        <w:rPr>
          <w:rFonts w:asciiTheme="majorHAnsi" w:hAnsiTheme="majorHAnsi" w:cstheme="majorHAnsi"/>
          <w:color w:val="000000"/>
          <w:sz w:val="24"/>
          <w:szCs w:val="24"/>
          <w:shd w:val="clear" w:color="auto" w:fill="FFFFFF"/>
          <w:lang w:val="ro-MD"/>
        </w:rPr>
        <w:t xml:space="preserve">iile, apartamentele </w:t>
      </w:r>
      <w:r w:rsidR="0069374B" w:rsidRPr="00363CFA">
        <w:rPr>
          <w:rFonts w:asciiTheme="majorHAnsi" w:hAnsiTheme="majorHAnsi" w:cstheme="majorHAnsi"/>
          <w:color w:val="000000"/>
          <w:sz w:val="24"/>
          <w:szCs w:val="24"/>
          <w:shd w:val="clear" w:color="auto" w:fill="FFFFFF"/>
          <w:lang w:val="ro-MD"/>
        </w:rPr>
        <w:t>ș</w:t>
      </w:r>
      <w:r w:rsidRPr="00363CFA">
        <w:rPr>
          <w:rFonts w:asciiTheme="majorHAnsi" w:hAnsiTheme="majorHAnsi" w:cstheme="majorHAnsi"/>
          <w:color w:val="000000"/>
          <w:sz w:val="24"/>
          <w:szCs w:val="24"/>
          <w:shd w:val="clear" w:color="auto" w:fill="FFFFFF"/>
          <w:lang w:val="ro-MD"/>
        </w:rPr>
        <w:t>i alte încăperi izolate, a căror strămutare este imposibilă fără cauzarea de prejudicii destina</w:t>
      </w:r>
      <w:r w:rsidR="0069374B" w:rsidRPr="00363CFA">
        <w:rPr>
          <w:rFonts w:asciiTheme="majorHAnsi" w:hAnsiTheme="majorHAnsi" w:cstheme="majorHAnsi"/>
          <w:color w:val="000000"/>
          <w:sz w:val="24"/>
          <w:szCs w:val="24"/>
          <w:shd w:val="clear" w:color="auto" w:fill="FFFFFF"/>
          <w:lang w:val="ro-MD"/>
        </w:rPr>
        <w:t>ț</w:t>
      </w:r>
      <w:r w:rsidR="00F92C35">
        <w:rPr>
          <w:rFonts w:asciiTheme="majorHAnsi" w:hAnsiTheme="majorHAnsi" w:cstheme="majorHAnsi"/>
          <w:color w:val="000000"/>
          <w:sz w:val="24"/>
          <w:szCs w:val="24"/>
          <w:shd w:val="clear" w:color="auto" w:fill="FFFFFF"/>
          <w:lang w:val="ro-MD"/>
        </w:rPr>
        <w:t>iei lor.</w:t>
      </w:r>
    </w:p>
    <w:p w14:paraId="5800147D" w14:textId="3E816FBB" w:rsidR="00C23DCE" w:rsidRPr="00363CFA" w:rsidRDefault="00C23DCE" w:rsidP="00712FF7">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bCs/>
          <w:i/>
          <w:iCs/>
          <w:color w:val="000000"/>
          <w:sz w:val="24"/>
          <w:szCs w:val="24"/>
          <w:lang w:val="ro-MD"/>
        </w:rPr>
        <w:t>Proces bugetar</w:t>
      </w:r>
      <w:r w:rsidRPr="00363CFA">
        <w:rPr>
          <w:rFonts w:asciiTheme="majorHAnsi" w:hAnsiTheme="majorHAnsi" w:cstheme="majorHAnsi"/>
          <w:color w:val="000000"/>
          <w:sz w:val="24"/>
          <w:szCs w:val="24"/>
          <w:shd w:val="clear" w:color="auto" w:fill="FFFFFF"/>
          <w:lang w:val="ro-MD"/>
        </w:rPr>
        <w:t xml:space="preserve"> – consecutivitate a activită</w:t>
      </w:r>
      <w:r w:rsidR="0069374B" w:rsidRPr="00363CFA">
        <w:rPr>
          <w:rFonts w:asciiTheme="majorHAnsi" w:hAnsiTheme="majorHAnsi" w:cstheme="majorHAnsi"/>
          <w:color w:val="000000"/>
          <w:sz w:val="24"/>
          <w:szCs w:val="24"/>
          <w:shd w:val="clear" w:color="auto" w:fill="FFFFFF"/>
          <w:lang w:val="ro-MD"/>
        </w:rPr>
        <w:t>ț</w:t>
      </w:r>
      <w:r w:rsidRPr="00363CFA">
        <w:rPr>
          <w:rFonts w:asciiTheme="majorHAnsi" w:hAnsiTheme="majorHAnsi" w:cstheme="majorHAnsi"/>
          <w:color w:val="000000"/>
          <w:sz w:val="24"/>
          <w:szCs w:val="24"/>
          <w:shd w:val="clear" w:color="auto" w:fill="FFFFFF"/>
          <w:lang w:val="ro-MD"/>
        </w:rPr>
        <w:t xml:space="preserve">ilor de elaborare, examinare, adoptare, executare </w:t>
      </w:r>
      <w:r w:rsidR="0069374B" w:rsidRPr="00363CFA">
        <w:rPr>
          <w:rFonts w:asciiTheme="majorHAnsi" w:hAnsiTheme="majorHAnsi" w:cstheme="majorHAnsi"/>
          <w:color w:val="000000"/>
          <w:sz w:val="24"/>
          <w:szCs w:val="24"/>
          <w:shd w:val="clear" w:color="auto" w:fill="FFFFFF"/>
          <w:lang w:val="ro-MD"/>
        </w:rPr>
        <w:t>ș</w:t>
      </w:r>
      <w:r w:rsidR="00701E83">
        <w:rPr>
          <w:rFonts w:asciiTheme="majorHAnsi" w:hAnsiTheme="majorHAnsi" w:cstheme="majorHAnsi"/>
          <w:color w:val="000000"/>
          <w:sz w:val="24"/>
          <w:szCs w:val="24"/>
          <w:shd w:val="clear" w:color="auto" w:fill="FFFFFF"/>
          <w:lang w:val="ro-MD"/>
        </w:rPr>
        <w:t>i raportare a bugetelor.</w:t>
      </w:r>
    </w:p>
    <w:p w14:paraId="161ED1FC" w14:textId="2FD044A4" w:rsidR="00C23DCE" w:rsidRPr="00363CFA" w:rsidRDefault="00C23DCE" w:rsidP="00712FF7">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bCs/>
          <w:i/>
          <w:iCs/>
          <w:sz w:val="24"/>
          <w:szCs w:val="24"/>
          <w:lang w:val="ro-MD"/>
        </w:rPr>
        <w:t>Transferuri cu destina</w:t>
      </w:r>
      <w:r w:rsidR="0069374B" w:rsidRPr="00363CFA">
        <w:rPr>
          <w:rFonts w:asciiTheme="majorHAnsi" w:hAnsiTheme="majorHAnsi" w:cstheme="majorHAnsi"/>
          <w:b/>
          <w:bCs/>
          <w:i/>
          <w:iCs/>
          <w:sz w:val="24"/>
          <w:szCs w:val="24"/>
          <w:lang w:val="ro-MD"/>
        </w:rPr>
        <w:t>ț</w:t>
      </w:r>
      <w:r w:rsidRPr="00363CFA">
        <w:rPr>
          <w:rFonts w:asciiTheme="majorHAnsi" w:hAnsiTheme="majorHAnsi" w:cstheme="majorHAnsi"/>
          <w:b/>
          <w:bCs/>
          <w:i/>
          <w:iCs/>
          <w:sz w:val="24"/>
          <w:szCs w:val="24"/>
          <w:lang w:val="ro-MD"/>
        </w:rPr>
        <w:t>ie generală</w:t>
      </w:r>
      <w:r w:rsidRPr="00363CFA">
        <w:rPr>
          <w:rFonts w:asciiTheme="majorHAnsi" w:hAnsiTheme="majorHAnsi" w:cstheme="majorHAnsi"/>
          <w:sz w:val="24"/>
          <w:szCs w:val="24"/>
          <w:lang w:val="ro-MD"/>
        </w:rPr>
        <w:t xml:space="preserve"> – mijloace financiare alocate, conform prevederilor legale, în sumă absolută, cu titlu definitiv, de la bugetul de stat la bugetele locale</w:t>
      </w:r>
      <w:r w:rsidR="00F92C35">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pentru finan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area domeniilor proprii de activitate ale autorită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ilor administra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iei publice locale</w:t>
      </w:r>
      <w:r w:rsidR="00701E83">
        <w:rPr>
          <w:rFonts w:asciiTheme="majorHAnsi" w:hAnsiTheme="majorHAnsi" w:cstheme="majorHAnsi"/>
          <w:sz w:val="24"/>
          <w:szCs w:val="24"/>
          <w:lang w:val="ro-MD"/>
        </w:rPr>
        <w:t>.</w:t>
      </w:r>
    </w:p>
    <w:p w14:paraId="376A6A78" w14:textId="76B4A5AC" w:rsidR="00C23DCE" w:rsidRPr="00363CFA" w:rsidRDefault="00C23DCE" w:rsidP="00712FF7">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bCs/>
          <w:i/>
          <w:iCs/>
          <w:sz w:val="24"/>
          <w:szCs w:val="24"/>
          <w:lang w:val="ro-MD"/>
        </w:rPr>
        <w:t>Transferuri cu destina</w:t>
      </w:r>
      <w:r w:rsidR="0069374B" w:rsidRPr="00363CFA">
        <w:rPr>
          <w:rFonts w:asciiTheme="majorHAnsi" w:hAnsiTheme="majorHAnsi" w:cstheme="majorHAnsi"/>
          <w:b/>
          <w:bCs/>
          <w:i/>
          <w:iCs/>
          <w:sz w:val="24"/>
          <w:szCs w:val="24"/>
          <w:lang w:val="ro-MD"/>
        </w:rPr>
        <w:t>ț</w:t>
      </w:r>
      <w:r w:rsidRPr="00363CFA">
        <w:rPr>
          <w:rFonts w:asciiTheme="majorHAnsi" w:hAnsiTheme="majorHAnsi" w:cstheme="majorHAnsi"/>
          <w:b/>
          <w:bCs/>
          <w:i/>
          <w:iCs/>
          <w:sz w:val="24"/>
          <w:szCs w:val="24"/>
          <w:lang w:val="ro-MD"/>
        </w:rPr>
        <w:t>ie specială</w:t>
      </w:r>
      <w:r w:rsidRPr="00363CFA">
        <w:rPr>
          <w:rFonts w:asciiTheme="majorHAnsi" w:hAnsiTheme="majorHAnsi" w:cstheme="majorHAnsi"/>
          <w:sz w:val="24"/>
          <w:szCs w:val="24"/>
          <w:lang w:val="ro-MD"/>
        </w:rPr>
        <w:t xml:space="preserve"> – mijloace financiare alocate, conform prevederilor legale, în sumă absolută, cu titlu condi</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ionat, de la bugetul de stat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i/sau de la alte bugete la bugetele locale</w:t>
      </w:r>
      <w:r w:rsidR="00F92C35">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pentru asigurarea exercitării func</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iilor publice sau în alte scopuri speciale.  </w:t>
      </w:r>
    </w:p>
    <w:p w14:paraId="088340BC" w14:textId="4D68C464" w:rsidR="00C23DCE" w:rsidRPr="00363CFA" w:rsidRDefault="00712FF7" w:rsidP="00712FF7">
      <w:pPr>
        <w:spacing w:after="0" w:line="276" w:lineRule="auto"/>
        <w:jc w:val="both"/>
        <w:rPr>
          <w:rFonts w:asciiTheme="majorHAnsi" w:hAnsiTheme="majorHAnsi" w:cstheme="majorHAnsi"/>
          <w:sz w:val="24"/>
          <w:szCs w:val="24"/>
          <w:lang w:val="ro-MD"/>
        </w:rPr>
      </w:pPr>
      <w:r>
        <w:rPr>
          <w:rStyle w:val="Emphasis"/>
          <w:rFonts w:asciiTheme="majorHAnsi" w:hAnsiTheme="majorHAnsi" w:cstheme="majorHAnsi"/>
          <w:color w:val="333333"/>
          <w:sz w:val="24"/>
          <w:szCs w:val="24"/>
          <w:shd w:val="clear" w:color="auto" w:fill="FFFFFF"/>
          <w:lang w:val="ro-MD"/>
        </w:rPr>
        <w:t> </w:t>
      </w:r>
      <w:r w:rsidR="00DE3EAB" w:rsidRPr="00363CFA">
        <w:rPr>
          <w:rStyle w:val="Emphasis"/>
          <w:rFonts w:asciiTheme="majorHAnsi" w:hAnsiTheme="majorHAnsi" w:cstheme="majorHAnsi"/>
          <w:b/>
          <w:color w:val="333333"/>
          <w:sz w:val="24"/>
          <w:szCs w:val="24"/>
          <w:shd w:val="clear" w:color="auto" w:fill="FFFFFF"/>
          <w:lang w:val="ro-MD"/>
        </w:rPr>
        <w:t>Administra</w:t>
      </w:r>
      <w:r w:rsidR="0069374B" w:rsidRPr="00363CFA">
        <w:rPr>
          <w:rStyle w:val="Emphasis"/>
          <w:rFonts w:asciiTheme="majorHAnsi" w:hAnsiTheme="majorHAnsi" w:cstheme="majorHAnsi"/>
          <w:b/>
          <w:color w:val="333333"/>
          <w:sz w:val="24"/>
          <w:szCs w:val="24"/>
          <w:shd w:val="clear" w:color="auto" w:fill="FFFFFF"/>
          <w:lang w:val="ro-MD"/>
        </w:rPr>
        <w:t>ț</w:t>
      </w:r>
      <w:r w:rsidR="00DE3EAB" w:rsidRPr="00363CFA">
        <w:rPr>
          <w:rStyle w:val="Emphasis"/>
          <w:rFonts w:asciiTheme="majorHAnsi" w:hAnsiTheme="majorHAnsi" w:cstheme="majorHAnsi"/>
          <w:b/>
          <w:color w:val="333333"/>
          <w:sz w:val="24"/>
          <w:szCs w:val="24"/>
          <w:shd w:val="clear" w:color="auto" w:fill="FFFFFF"/>
          <w:lang w:val="ro-MD"/>
        </w:rPr>
        <w:t>ie publică locală</w:t>
      </w:r>
      <w:r w:rsidR="00DE3EAB" w:rsidRPr="00363CFA">
        <w:rPr>
          <w:rStyle w:val="Emphasis"/>
          <w:rFonts w:asciiTheme="majorHAnsi" w:hAnsiTheme="majorHAnsi" w:cstheme="majorHAnsi"/>
          <w:color w:val="333333"/>
          <w:sz w:val="24"/>
          <w:szCs w:val="24"/>
          <w:shd w:val="clear" w:color="auto" w:fill="FFFFFF"/>
          <w:lang w:val="ro-MD"/>
        </w:rPr>
        <w:t xml:space="preserve"> –</w:t>
      </w:r>
      <w:r w:rsidR="00DE3EAB" w:rsidRPr="00363CFA">
        <w:rPr>
          <w:rFonts w:asciiTheme="majorHAnsi" w:hAnsiTheme="majorHAnsi" w:cstheme="majorHAnsi"/>
          <w:color w:val="333333"/>
          <w:sz w:val="24"/>
          <w:szCs w:val="24"/>
          <w:shd w:val="clear" w:color="auto" w:fill="FFFFFF"/>
          <w:lang w:val="ro-MD"/>
        </w:rPr>
        <w:t> totalitatea autorită</w:t>
      </w:r>
      <w:r w:rsidR="0069374B" w:rsidRPr="00363CFA">
        <w:rPr>
          <w:rFonts w:asciiTheme="majorHAnsi" w:hAnsiTheme="majorHAnsi" w:cstheme="majorHAnsi"/>
          <w:color w:val="333333"/>
          <w:sz w:val="24"/>
          <w:szCs w:val="24"/>
          <w:shd w:val="clear" w:color="auto" w:fill="FFFFFF"/>
          <w:lang w:val="ro-MD"/>
        </w:rPr>
        <w:t>ț</w:t>
      </w:r>
      <w:r w:rsidR="00DE3EAB" w:rsidRPr="00363CFA">
        <w:rPr>
          <w:rFonts w:asciiTheme="majorHAnsi" w:hAnsiTheme="majorHAnsi" w:cstheme="majorHAnsi"/>
          <w:color w:val="333333"/>
          <w:sz w:val="24"/>
          <w:szCs w:val="24"/>
          <w:shd w:val="clear" w:color="auto" w:fill="FFFFFF"/>
          <w:lang w:val="ro-MD"/>
        </w:rPr>
        <w:t>ilor publice locale constituite, în condi</w:t>
      </w:r>
      <w:r w:rsidR="0069374B" w:rsidRPr="00363CFA">
        <w:rPr>
          <w:rFonts w:asciiTheme="majorHAnsi" w:hAnsiTheme="majorHAnsi" w:cstheme="majorHAnsi"/>
          <w:color w:val="333333"/>
          <w:sz w:val="24"/>
          <w:szCs w:val="24"/>
          <w:shd w:val="clear" w:color="auto" w:fill="FFFFFF"/>
          <w:lang w:val="ro-MD"/>
        </w:rPr>
        <w:t>ț</w:t>
      </w:r>
      <w:r w:rsidR="00DE3EAB" w:rsidRPr="00363CFA">
        <w:rPr>
          <w:rFonts w:asciiTheme="majorHAnsi" w:hAnsiTheme="majorHAnsi" w:cstheme="majorHAnsi"/>
          <w:color w:val="333333"/>
          <w:sz w:val="24"/>
          <w:szCs w:val="24"/>
          <w:shd w:val="clear" w:color="auto" w:fill="FFFFFF"/>
          <w:lang w:val="ro-MD"/>
        </w:rPr>
        <w:t>iile legii, pentru promovarea intereselor generale ale locuitorilor unei unită</w:t>
      </w:r>
      <w:r w:rsidR="0069374B" w:rsidRPr="00363CFA">
        <w:rPr>
          <w:rFonts w:asciiTheme="majorHAnsi" w:hAnsiTheme="majorHAnsi" w:cstheme="majorHAnsi"/>
          <w:color w:val="333333"/>
          <w:sz w:val="24"/>
          <w:szCs w:val="24"/>
          <w:shd w:val="clear" w:color="auto" w:fill="FFFFFF"/>
          <w:lang w:val="ro-MD"/>
        </w:rPr>
        <w:t>ț</w:t>
      </w:r>
      <w:r w:rsidR="00DE3EAB" w:rsidRPr="00363CFA">
        <w:rPr>
          <w:rFonts w:asciiTheme="majorHAnsi" w:hAnsiTheme="majorHAnsi" w:cstheme="majorHAnsi"/>
          <w:color w:val="333333"/>
          <w:sz w:val="24"/>
          <w:szCs w:val="24"/>
          <w:shd w:val="clear" w:color="auto" w:fill="FFFFFF"/>
          <w:lang w:val="ro-MD"/>
        </w:rPr>
        <w:t>i administrativ-teritoriale</w:t>
      </w:r>
      <w:r w:rsidR="00701E83">
        <w:rPr>
          <w:rFonts w:asciiTheme="majorHAnsi" w:hAnsiTheme="majorHAnsi" w:cstheme="majorHAnsi"/>
          <w:color w:val="333333"/>
          <w:sz w:val="24"/>
          <w:szCs w:val="24"/>
          <w:shd w:val="clear" w:color="auto" w:fill="FFFFFF"/>
          <w:lang w:val="ro-MD"/>
        </w:rPr>
        <w:t>.</w:t>
      </w:r>
    </w:p>
    <w:p w14:paraId="1268344F" w14:textId="5BAA060B" w:rsidR="00701E83" w:rsidRDefault="00DD40C5" w:rsidP="00712FF7">
      <w:pPr>
        <w:spacing w:after="0" w:line="276" w:lineRule="auto"/>
        <w:jc w:val="both"/>
        <w:rPr>
          <w:rFonts w:asciiTheme="majorHAnsi" w:hAnsiTheme="majorHAnsi" w:cstheme="majorHAnsi"/>
          <w:color w:val="333333"/>
          <w:sz w:val="24"/>
          <w:szCs w:val="24"/>
          <w:shd w:val="clear" w:color="auto" w:fill="FFFFFF"/>
          <w:lang w:val="ro-MD"/>
        </w:rPr>
      </w:pPr>
      <w:r w:rsidRPr="00363CFA">
        <w:rPr>
          <w:rStyle w:val="Emphasis"/>
          <w:rFonts w:asciiTheme="majorHAnsi" w:hAnsiTheme="majorHAnsi" w:cstheme="majorHAnsi"/>
          <w:color w:val="333333"/>
          <w:sz w:val="24"/>
          <w:szCs w:val="24"/>
          <w:shd w:val="clear" w:color="auto" w:fill="FFFFFF"/>
          <w:lang w:val="ro-MD"/>
        </w:rPr>
        <w:t> </w:t>
      </w:r>
      <w:r w:rsidR="00DE3EAB" w:rsidRPr="00363CFA">
        <w:rPr>
          <w:rStyle w:val="Emphasis"/>
          <w:rFonts w:asciiTheme="majorHAnsi" w:hAnsiTheme="majorHAnsi" w:cstheme="majorHAnsi"/>
          <w:b/>
          <w:color w:val="333333"/>
          <w:sz w:val="24"/>
          <w:szCs w:val="24"/>
          <w:shd w:val="clear" w:color="auto" w:fill="FFFFFF"/>
          <w:lang w:val="ro-MD"/>
        </w:rPr>
        <w:t>Autorită</w:t>
      </w:r>
      <w:r w:rsidR="0069374B" w:rsidRPr="00363CFA">
        <w:rPr>
          <w:rStyle w:val="Emphasis"/>
          <w:rFonts w:asciiTheme="majorHAnsi" w:hAnsiTheme="majorHAnsi" w:cstheme="majorHAnsi"/>
          <w:b/>
          <w:color w:val="333333"/>
          <w:sz w:val="24"/>
          <w:szCs w:val="24"/>
          <w:shd w:val="clear" w:color="auto" w:fill="FFFFFF"/>
          <w:lang w:val="ro-MD"/>
        </w:rPr>
        <w:t>ț</w:t>
      </w:r>
      <w:r w:rsidR="00DE3EAB" w:rsidRPr="00363CFA">
        <w:rPr>
          <w:rStyle w:val="Emphasis"/>
          <w:rFonts w:asciiTheme="majorHAnsi" w:hAnsiTheme="majorHAnsi" w:cstheme="majorHAnsi"/>
          <w:b/>
          <w:color w:val="333333"/>
          <w:sz w:val="24"/>
          <w:szCs w:val="24"/>
          <w:shd w:val="clear" w:color="auto" w:fill="FFFFFF"/>
          <w:lang w:val="ro-MD"/>
        </w:rPr>
        <w:t>i ale administra</w:t>
      </w:r>
      <w:r w:rsidR="0069374B" w:rsidRPr="00363CFA">
        <w:rPr>
          <w:rStyle w:val="Emphasis"/>
          <w:rFonts w:asciiTheme="majorHAnsi" w:hAnsiTheme="majorHAnsi" w:cstheme="majorHAnsi"/>
          <w:b/>
          <w:color w:val="333333"/>
          <w:sz w:val="24"/>
          <w:szCs w:val="24"/>
          <w:shd w:val="clear" w:color="auto" w:fill="FFFFFF"/>
          <w:lang w:val="ro-MD"/>
        </w:rPr>
        <w:t>ț</w:t>
      </w:r>
      <w:r w:rsidR="00DE3EAB" w:rsidRPr="00363CFA">
        <w:rPr>
          <w:rStyle w:val="Emphasis"/>
          <w:rFonts w:asciiTheme="majorHAnsi" w:hAnsiTheme="majorHAnsi" w:cstheme="majorHAnsi"/>
          <w:b/>
          <w:color w:val="333333"/>
          <w:sz w:val="24"/>
          <w:szCs w:val="24"/>
          <w:shd w:val="clear" w:color="auto" w:fill="FFFFFF"/>
          <w:lang w:val="ro-MD"/>
        </w:rPr>
        <w:t>iei publice locale de nivelul înt</w:t>
      </w:r>
      <w:r w:rsidR="00701E83">
        <w:rPr>
          <w:rStyle w:val="Emphasis"/>
          <w:rFonts w:asciiTheme="majorHAnsi" w:hAnsiTheme="majorHAnsi" w:cstheme="majorHAnsi"/>
          <w:b/>
          <w:color w:val="333333"/>
          <w:sz w:val="24"/>
          <w:szCs w:val="24"/>
          <w:shd w:val="clear" w:color="auto" w:fill="FFFFFF"/>
          <w:lang w:val="ro-MD"/>
        </w:rPr>
        <w:t>â</w:t>
      </w:r>
      <w:r w:rsidR="00DE3EAB" w:rsidRPr="00363CFA">
        <w:rPr>
          <w:rStyle w:val="Emphasis"/>
          <w:rFonts w:asciiTheme="majorHAnsi" w:hAnsiTheme="majorHAnsi" w:cstheme="majorHAnsi"/>
          <w:b/>
          <w:color w:val="333333"/>
          <w:sz w:val="24"/>
          <w:szCs w:val="24"/>
          <w:shd w:val="clear" w:color="auto" w:fill="FFFFFF"/>
          <w:lang w:val="ro-MD"/>
        </w:rPr>
        <w:t>i</w:t>
      </w:r>
      <w:r w:rsidR="00DE3EAB" w:rsidRPr="00363CFA">
        <w:rPr>
          <w:rFonts w:asciiTheme="majorHAnsi" w:hAnsiTheme="majorHAnsi" w:cstheme="majorHAnsi"/>
          <w:color w:val="333333"/>
          <w:sz w:val="24"/>
          <w:szCs w:val="24"/>
          <w:shd w:val="clear" w:color="auto" w:fill="FFFFFF"/>
          <w:lang w:val="ro-MD"/>
        </w:rPr>
        <w:t> – autorită</w:t>
      </w:r>
      <w:r w:rsidR="0069374B" w:rsidRPr="00363CFA">
        <w:rPr>
          <w:rFonts w:asciiTheme="majorHAnsi" w:hAnsiTheme="majorHAnsi" w:cstheme="majorHAnsi"/>
          <w:color w:val="333333"/>
          <w:sz w:val="24"/>
          <w:szCs w:val="24"/>
          <w:shd w:val="clear" w:color="auto" w:fill="FFFFFF"/>
          <w:lang w:val="ro-MD"/>
        </w:rPr>
        <w:t>ț</w:t>
      </w:r>
      <w:r w:rsidR="00DE3EAB" w:rsidRPr="00363CFA">
        <w:rPr>
          <w:rFonts w:asciiTheme="majorHAnsi" w:hAnsiTheme="majorHAnsi" w:cstheme="majorHAnsi"/>
          <w:color w:val="333333"/>
          <w:sz w:val="24"/>
          <w:szCs w:val="24"/>
          <w:shd w:val="clear" w:color="auto" w:fill="FFFFFF"/>
          <w:lang w:val="ro-MD"/>
        </w:rPr>
        <w:t>i publice, luate în ansamblu, care s</w:t>
      </w:r>
      <w:r w:rsidR="00701E83">
        <w:rPr>
          <w:rFonts w:asciiTheme="majorHAnsi" w:hAnsiTheme="majorHAnsi" w:cstheme="majorHAnsi"/>
          <w:color w:val="333333"/>
          <w:sz w:val="24"/>
          <w:szCs w:val="24"/>
          <w:shd w:val="clear" w:color="auto" w:fill="FFFFFF"/>
          <w:lang w:val="ro-MD"/>
        </w:rPr>
        <w:t>u</w:t>
      </w:r>
      <w:r w:rsidR="00DE3EAB" w:rsidRPr="00363CFA">
        <w:rPr>
          <w:rFonts w:asciiTheme="majorHAnsi" w:hAnsiTheme="majorHAnsi" w:cstheme="majorHAnsi"/>
          <w:color w:val="333333"/>
          <w:sz w:val="24"/>
          <w:szCs w:val="24"/>
          <w:shd w:val="clear" w:color="auto" w:fill="FFFFFF"/>
          <w:lang w:val="ro-MD"/>
        </w:rPr>
        <w:t xml:space="preserve">nt constituite </w:t>
      </w:r>
      <w:r w:rsidR="0069374B" w:rsidRPr="00363CFA">
        <w:rPr>
          <w:rFonts w:asciiTheme="majorHAnsi" w:hAnsiTheme="majorHAnsi" w:cstheme="majorHAnsi"/>
          <w:color w:val="333333"/>
          <w:sz w:val="24"/>
          <w:szCs w:val="24"/>
          <w:shd w:val="clear" w:color="auto" w:fill="FFFFFF"/>
          <w:lang w:val="ro-MD"/>
        </w:rPr>
        <w:t>ș</w:t>
      </w:r>
      <w:r w:rsidR="00DE3EAB" w:rsidRPr="00363CFA">
        <w:rPr>
          <w:rFonts w:asciiTheme="majorHAnsi" w:hAnsiTheme="majorHAnsi" w:cstheme="majorHAnsi"/>
          <w:color w:val="333333"/>
          <w:sz w:val="24"/>
          <w:szCs w:val="24"/>
          <w:shd w:val="clear" w:color="auto" w:fill="FFFFFF"/>
          <w:lang w:val="ro-MD"/>
        </w:rPr>
        <w:t>i activează pe teritoriul satului (comunei), ora</w:t>
      </w:r>
      <w:r w:rsidR="0069374B" w:rsidRPr="00363CFA">
        <w:rPr>
          <w:rFonts w:asciiTheme="majorHAnsi" w:hAnsiTheme="majorHAnsi" w:cstheme="majorHAnsi"/>
          <w:color w:val="333333"/>
          <w:sz w:val="24"/>
          <w:szCs w:val="24"/>
          <w:shd w:val="clear" w:color="auto" w:fill="FFFFFF"/>
          <w:lang w:val="ro-MD"/>
        </w:rPr>
        <w:t>ș</w:t>
      </w:r>
      <w:r w:rsidR="00DE3EAB" w:rsidRPr="00363CFA">
        <w:rPr>
          <w:rFonts w:asciiTheme="majorHAnsi" w:hAnsiTheme="majorHAnsi" w:cstheme="majorHAnsi"/>
          <w:color w:val="333333"/>
          <w:sz w:val="24"/>
          <w:szCs w:val="24"/>
          <w:shd w:val="clear" w:color="auto" w:fill="FFFFFF"/>
          <w:lang w:val="ro-MD"/>
        </w:rPr>
        <w:t>ului (municipiului)</w:t>
      </w:r>
      <w:r w:rsidR="008954BC">
        <w:rPr>
          <w:rFonts w:asciiTheme="majorHAnsi" w:hAnsiTheme="majorHAnsi" w:cstheme="majorHAnsi"/>
          <w:color w:val="333333"/>
          <w:sz w:val="24"/>
          <w:szCs w:val="24"/>
          <w:shd w:val="clear" w:color="auto" w:fill="FFFFFF"/>
          <w:lang w:val="ro-MD"/>
        </w:rPr>
        <w:t>,</w:t>
      </w:r>
      <w:r w:rsidR="00DE3EAB" w:rsidRPr="00363CFA">
        <w:rPr>
          <w:rFonts w:asciiTheme="majorHAnsi" w:hAnsiTheme="majorHAnsi" w:cstheme="majorHAnsi"/>
          <w:color w:val="333333"/>
          <w:sz w:val="24"/>
          <w:szCs w:val="24"/>
          <w:shd w:val="clear" w:color="auto" w:fill="FFFFFF"/>
          <w:lang w:val="ro-MD"/>
        </w:rPr>
        <w:t xml:space="preserve"> pentru promovarea intereselor </w:t>
      </w:r>
      <w:r w:rsidR="0069374B" w:rsidRPr="00363CFA">
        <w:rPr>
          <w:rFonts w:asciiTheme="majorHAnsi" w:hAnsiTheme="majorHAnsi" w:cstheme="majorHAnsi"/>
          <w:color w:val="333333"/>
          <w:sz w:val="24"/>
          <w:szCs w:val="24"/>
          <w:shd w:val="clear" w:color="auto" w:fill="FFFFFF"/>
          <w:lang w:val="ro-MD"/>
        </w:rPr>
        <w:t>ș</w:t>
      </w:r>
      <w:r w:rsidR="00DE3EAB" w:rsidRPr="00363CFA">
        <w:rPr>
          <w:rFonts w:asciiTheme="majorHAnsi" w:hAnsiTheme="majorHAnsi" w:cstheme="majorHAnsi"/>
          <w:color w:val="333333"/>
          <w:sz w:val="24"/>
          <w:szCs w:val="24"/>
          <w:shd w:val="clear" w:color="auto" w:fill="FFFFFF"/>
          <w:lang w:val="ro-MD"/>
        </w:rPr>
        <w:t>i solu</w:t>
      </w:r>
      <w:r w:rsidR="0069374B" w:rsidRPr="00363CFA">
        <w:rPr>
          <w:rFonts w:asciiTheme="majorHAnsi" w:hAnsiTheme="majorHAnsi" w:cstheme="majorHAnsi"/>
          <w:color w:val="333333"/>
          <w:sz w:val="24"/>
          <w:szCs w:val="24"/>
          <w:shd w:val="clear" w:color="auto" w:fill="FFFFFF"/>
          <w:lang w:val="ro-MD"/>
        </w:rPr>
        <w:t>ț</w:t>
      </w:r>
      <w:r w:rsidR="00DE3EAB" w:rsidRPr="00363CFA">
        <w:rPr>
          <w:rFonts w:asciiTheme="majorHAnsi" w:hAnsiTheme="majorHAnsi" w:cstheme="majorHAnsi"/>
          <w:color w:val="333333"/>
          <w:sz w:val="24"/>
          <w:szCs w:val="24"/>
          <w:shd w:val="clear" w:color="auto" w:fill="FFFFFF"/>
          <w:lang w:val="ro-MD"/>
        </w:rPr>
        <w:t>ionarea problemelor colectivită</w:t>
      </w:r>
      <w:r w:rsidR="0069374B" w:rsidRPr="00363CFA">
        <w:rPr>
          <w:rFonts w:asciiTheme="majorHAnsi" w:hAnsiTheme="majorHAnsi" w:cstheme="majorHAnsi"/>
          <w:color w:val="333333"/>
          <w:sz w:val="24"/>
          <w:szCs w:val="24"/>
          <w:shd w:val="clear" w:color="auto" w:fill="FFFFFF"/>
          <w:lang w:val="ro-MD"/>
        </w:rPr>
        <w:t>ț</w:t>
      </w:r>
      <w:r w:rsidR="00DE3EAB" w:rsidRPr="00363CFA">
        <w:rPr>
          <w:rFonts w:asciiTheme="majorHAnsi" w:hAnsiTheme="majorHAnsi" w:cstheme="majorHAnsi"/>
          <w:color w:val="333333"/>
          <w:sz w:val="24"/>
          <w:szCs w:val="24"/>
          <w:shd w:val="clear" w:color="auto" w:fill="FFFFFF"/>
          <w:lang w:val="ro-MD"/>
        </w:rPr>
        <w:t>ilor locale</w:t>
      </w:r>
      <w:r w:rsidR="00701E83">
        <w:rPr>
          <w:rFonts w:asciiTheme="majorHAnsi" w:hAnsiTheme="majorHAnsi" w:cstheme="majorHAnsi"/>
          <w:color w:val="333333"/>
          <w:sz w:val="24"/>
          <w:szCs w:val="24"/>
          <w:shd w:val="clear" w:color="auto" w:fill="FFFFFF"/>
          <w:lang w:val="ro-MD"/>
        </w:rPr>
        <w:t>.</w:t>
      </w:r>
    </w:p>
    <w:p w14:paraId="2E57162F" w14:textId="132E94B4" w:rsidR="00DE3EAB" w:rsidRPr="00363CFA" w:rsidRDefault="00DE3EAB" w:rsidP="00712FF7">
      <w:pPr>
        <w:spacing w:after="0" w:line="276" w:lineRule="auto"/>
        <w:jc w:val="both"/>
        <w:rPr>
          <w:rFonts w:asciiTheme="majorHAnsi" w:hAnsiTheme="majorHAnsi" w:cstheme="majorHAnsi"/>
          <w:sz w:val="24"/>
          <w:szCs w:val="24"/>
          <w:lang w:val="ro-MD"/>
        </w:rPr>
        <w:sectPr w:rsidR="00DE3EAB" w:rsidRPr="00363CFA" w:rsidSect="00B16B32">
          <w:pgSz w:w="11909" w:h="16834" w:code="9"/>
          <w:pgMar w:top="851" w:right="851" w:bottom="851" w:left="1701" w:header="720" w:footer="282" w:gutter="0"/>
          <w:cols w:space="720"/>
          <w:titlePg/>
          <w:docGrid w:linePitch="360"/>
        </w:sectPr>
      </w:pPr>
      <w:r w:rsidRPr="00363CFA">
        <w:rPr>
          <w:rStyle w:val="Emphasis"/>
          <w:rFonts w:asciiTheme="majorHAnsi" w:hAnsiTheme="majorHAnsi" w:cstheme="majorHAnsi"/>
          <w:color w:val="333333"/>
          <w:sz w:val="24"/>
          <w:szCs w:val="24"/>
          <w:shd w:val="clear" w:color="auto" w:fill="FFFFFF"/>
          <w:lang w:val="ro-MD"/>
        </w:rPr>
        <w:t> </w:t>
      </w:r>
      <w:r w:rsidRPr="00F30888">
        <w:rPr>
          <w:rStyle w:val="Emphasis"/>
          <w:rFonts w:asciiTheme="majorHAnsi" w:hAnsiTheme="majorHAnsi" w:cstheme="majorHAnsi"/>
          <w:b/>
          <w:color w:val="333333"/>
          <w:sz w:val="24"/>
          <w:szCs w:val="24"/>
          <w:shd w:val="clear" w:color="auto" w:fill="FFFFFF"/>
          <w:lang w:val="ro-MD"/>
        </w:rPr>
        <w:t>Autorită</w:t>
      </w:r>
      <w:r w:rsidR="0069374B" w:rsidRPr="00F30888">
        <w:rPr>
          <w:rStyle w:val="Emphasis"/>
          <w:rFonts w:asciiTheme="majorHAnsi" w:hAnsiTheme="majorHAnsi" w:cstheme="majorHAnsi"/>
          <w:b/>
          <w:color w:val="333333"/>
          <w:sz w:val="24"/>
          <w:szCs w:val="24"/>
          <w:shd w:val="clear" w:color="auto" w:fill="FFFFFF"/>
          <w:lang w:val="ro-MD"/>
        </w:rPr>
        <w:t>ț</w:t>
      </w:r>
      <w:r w:rsidRPr="00F30888">
        <w:rPr>
          <w:rStyle w:val="Emphasis"/>
          <w:rFonts w:asciiTheme="majorHAnsi" w:hAnsiTheme="majorHAnsi" w:cstheme="majorHAnsi"/>
          <w:b/>
          <w:color w:val="333333"/>
          <w:sz w:val="24"/>
          <w:szCs w:val="24"/>
          <w:shd w:val="clear" w:color="auto" w:fill="FFFFFF"/>
          <w:lang w:val="ro-MD"/>
        </w:rPr>
        <w:t>i ale administra</w:t>
      </w:r>
      <w:r w:rsidR="0069374B" w:rsidRPr="00F30888">
        <w:rPr>
          <w:rStyle w:val="Emphasis"/>
          <w:rFonts w:asciiTheme="majorHAnsi" w:hAnsiTheme="majorHAnsi" w:cstheme="majorHAnsi"/>
          <w:b/>
          <w:color w:val="333333"/>
          <w:sz w:val="24"/>
          <w:szCs w:val="24"/>
          <w:shd w:val="clear" w:color="auto" w:fill="FFFFFF"/>
          <w:lang w:val="ro-MD"/>
        </w:rPr>
        <w:t>ț</w:t>
      </w:r>
      <w:r w:rsidRPr="00F30888">
        <w:rPr>
          <w:rStyle w:val="Emphasis"/>
          <w:rFonts w:asciiTheme="majorHAnsi" w:hAnsiTheme="majorHAnsi" w:cstheme="majorHAnsi"/>
          <w:b/>
          <w:color w:val="333333"/>
          <w:sz w:val="24"/>
          <w:szCs w:val="24"/>
          <w:shd w:val="clear" w:color="auto" w:fill="FFFFFF"/>
          <w:lang w:val="ro-MD"/>
        </w:rPr>
        <w:t>iei publice locale de nivelul al doilea</w:t>
      </w:r>
      <w:r w:rsidRPr="00363CFA">
        <w:rPr>
          <w:rFonts w:asciiTheme="majorHAnsi" w:hAnsiTheme="majorHAnsi" w:cstheme="majorHAnsi"/>
          <w:color w:val="333333"/>
          <w:sz w:val="24"/>
          <w:szCs w:val="24"/>
          <w:shd w:val="clear" w:color="auto" w:fill="FFFFFF"/>
          <w:lang w:val="ro-MD"/>
        </w:rPr>
        <w:t> – autorită</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i publice, luate în ansamblu, care s</w:t>
      </w:r>
      <w:r w:rsidR="00701E83">
        <w:rPr>
          <w:rFonts w:asciiTheme="majorHAnsi" w:hAnsiTheme="majorHAnsi" w:cstheme="majorHAnsi"/>
          <w:color w:val="333333"/>
          <w:sz w:val="24"/>
          <w:szCs w:val="24"/>
          <w:shd w:val="clear" w:color="auto" w:fill="FFFFFF"/>
          <w:lang w:val="ro-MD"/>
        </w:rPr>
        <w:t>u</w:t>
      </w:r>
      <w:r w:rsidRPr="00363CFA">
        <w:rPr>
          <w:rFonts w:asciiTheme="majorHAnsi" w:hAnsiTheme="majorHAnsi" w:cstheme="majorHAnsi"/>
          <w:color w:val="333333"/>
          <w:sz w:val="24"/>
          <w:szCs w:val="24"/>
          <w:shd w:val="clear" w:color="auto" w:fill="FFFFFF"/>
          <w:lang w:val="ro-MD"/>
        </w:rPr>
        <w:t xml:space="preserve">nt constituite </w:t>
      </w:r>
      <w:r w:rsidR="0069374B" w:rsidRPr="00363CFA">
        <w:rPr>
          <w:rFonts w:asciiTheme="majorHAnsi" w:hAnsiTheme="majorHAnsi" w:cstheme="majorHAnsi"/>
          <w:color w:val="333333"/>
          <w:sz w:val="24"/>
          <w:szCs w:val="24"/>
          <w:shd w:val="clear" w:color="auto" w:fill="FFFFFF"/>
          <w:lang w:val="ro-MD"/>
        </w:rPr>
        <w:t>ș</w:t>
      </w:r>
      <w:r w:rsidRPr="00363CFA">
        <w:rPr>
          <w:rFonts w:asciiTheme="majorHAnsi" w:hAnsiTheme="majorHAnsi" w:cstheme="majorHAnsi"/>
          <w:color w:val="333333"/>
          <w:sz w:val="24"/>
          <w:szCs w:val="24"/>
          <w:shd w:val="clear" w:color="auto" w:fill="FFFFFF"/>
          <w:lang w:val="ro-MD"/>
        </w:rPr>
        <w:t>i activează pe teritoriul raionului, municipiului Chi</w:t>
      </w:r>
      <w:r w:rsidR="0069374B" w:rsidRPr="00363CFA">
        <w:rPr>
          <w:rFonts w:asciiTheme="majorHAnsi" w:hAnsiTheme="majorHAnsi" w:cstheme="majorHAnsi"/>
          <w:color w:val="333333"/>
          <w:sz w:val="24"/>
          <w:szCs w:val="24"/>
          <w:shd w:val="clear" w:color="auto" w:fill="FFFFFF"/>
          <w:lang w:val="ro-MD"/>
        </w:rPr>
        <w:t>ș</w:t>
      </w:r>
      <w:r w:rsidRPr="00363CFA">
        <w:rPr>
          <w:rFonts w:asciiTheme="majorHAnsi" w:hAnsiTheme="majorHAnsi" w:cstheme="majorHAnsi"/>
          <w:color w:val="333333"/>
          <w:sz w:val="24"/>
          <w:szCs w:val="24"/>
          <w:shd w:val="clear" w:color="auto" w:fill="FFFFFF"/>
          <w:lang w:val="ro-MD"/>
        </w:rPr>
        <w:t>inău, unită</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ii teritoriale autonome cu statut juridic special</w:t>
      </w:r>
      <w:r w:rsidR="008954BC">
        <w:rPr>
          <w:rFonts w:asciiTheme="majorHAnsi" w:hAnsiTheme="majorHAnsi" w:cstheme="majorHAnsi"/>
          <w:color w:val="333333"/>
          <w:sz w:val="24"/>
          <w:szCs w:val="24"/>
          <w:shd w:val="clear" w:color="auto" w:fill="FFFFFF"/>
          <w:lang w:val="ro-MD"/>
        </w:rPr>
        <w:t>,</w:t>
      </w:r>
      <w:r w:rsidRPr="00363CFA">
        <w:rPr>
          <w:rFonts w:asciiTheme="majorHAnsi" w:hAnsiTheme="majorHAnsi" w:cstheme="majorHAnsi"/>
          <w:color w:val="333333"/>
          <w:sz w:val="24"/>
          <w:szCs w:val="24"/>
          <w:shd w:val="clear" w:color="auto" w:fill="FFFFFF"/>
          <w:lang w:val="ro-MD"/>
        </w:rPr>
        <w:t xml:space="preserve"> pentru promovarea intereselor </w:t>
      </w:r>
      <w:r w:rsidR="0069374B" w:rsidRPr="00363CFA">
        <w:rPr>
          <w:rFonts w:asciiTheme="majorHAnsi" w:hAnsiTheme="majorHAnsi" w:cstheme="majorHAnsi"/>
          <w:color w:val="333333"/>
          <w:sz w:val="24"/>
          <w:szCs w:val="24"/>
          <w:shd w:val="clear" w:color="auto" w:fill="FFFFFF"/>
          <w:lang w:val="ro-MD"/>
        </w:rPr>
        <w:t>ș</w:t>
      </w:r>
      <w:r w:rsidRPr="00363CFA">
        <w:rPr>
          <w:rFonts w:asciiTheme="majorHAnsi" w:hAnsiTheme="majorHAnsi" w:cstheme="majorHAnsi"/>
          <w:color w:val="333333"/>
          <w:sz w:val="24"/>
          <w:szCs w:val="24"/>
          <w:shd w:val="clear" w:color="auto" w:fill="FFFFFF"/>
          <w:lang w:val="ro-MD"/>
        </w:rPr>
        <w:t>i solu</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ionarea problemelor popula</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iei unită</w:t>
      </w:r>
      <w:r w:rsidR="0069374B" w:rsidRPr="00363CFA">
        <w:rPr>
          <w:rFonts w:asciiTheme="majorHAnsi" w:hAnsiTheme="majorHAnsi" w:cstheme="majorHAnsi"/>
          <w:color w:val="333333"/>
          <w:sz w:val="24"/>
          <w:szCs w:val="24"/>
          <w:shd w:val="clear" w:color="auto" w:fill="FFFFFF"/>
          <w:lang w:val="ro-MD"/>
        </w:rPr>
        <w:t>ț</w:t>
      </w:r>
      <w:r w:rsidRPr="00363CFA">
        <w:rPr>
          <w:rFonts w:asciiTheme="majorHAnsi" w:hAnsiTheme="majorHAnsi" w:cstheme="majorHAnsi"/>
          <w:color w:val="333333"/>
          <w:sz w:val="24"/>
          <w:szCs w:val="24"/>
          <w:shd w:val="clear" w:color="auto" w:fill="FFFFFF"/>
          <w:lang w:val="ro-MD"/>
        </w:rPr>
        <w:t>ii administrativ-teritoriale respective</w:t>
      </w:r>
      <w:r w:rsidR="00701E83">
        <w:rPr>
          <w:rFonts w:asciiTheme="majorHAnsi" w:hAnsiTheme="majorHAnsi" w:cstheme="majorHAnsi"/>
          <w:color w:val="333333"/>
          <w:sz w:val="24"/>
          <w:szCs w:val="24"/>
          <w:shd w:val="clear" w:color="auto" w:fill="FFFFFF"/>
          <w:lang w:val="ro-MD"/>
        </w:rPr>
        <w:t>.</w:t>
      </w:r>
    </w:p>
    <w:p w14:paraId="5DFAD127" w14:textId="4D3DECB0" w:rsidR="00C23DCE" w:rsidRPr="00363CFA" w:rsidRDefault="00C23DCE" w:rsidP="00C23DCE">
      <w:pPr>
        <w:keepNext/>
        <w:keepLines/>
        <w:spacing w:after="0" w:line="276" w:lineRule="auto"/>
        <w:outlineLvl w:val="0"/>
        <w:rPr>
          <w:rFonts w:asciiTheme="majorHAnsi" w:eastAsiaTheme="majorEastAsia" w:hAnsiTheme="majorHAnsi" w:cstheme="majorHAnsi"/>
          <w:b/>
          <w:color w:val="2E74B5" w:themeColor="accent1" w:themeShade="BF"/>
          <w:sz w:val="32"/>
          <w:szCs w:val="32"/>
          <w:lang w:val="ro-MD"/>
        </w:rPr>
      </w:pPr>
      <w:bookmarkStart w:id="5" w:name="_Toc58780359"/>
      <w:bookmarkStart w:id="6" w:name="_Toc84512897"/>
      <w:r w:rsidRPr="00363CFA">
        <w:rPr>
          <w:rFonts w:asciiTheme="majorHAnsi" w:eastAsiaTheme="majorEastAsia" w:hAnsiTheme="majorHAnsi" w:cs="Calibri Light"/>
          <w:b/>
          <w:color w:val="2E74B5" w:themeColor="accent1" w:themeShade="BF"/>
          <w:sz w:val="32"/>
          <w:szCs w:val="32"/>
          <w:lang w:val="ro-MD"/>
        </w:rPr>
        <w:lastRenderedPageBreak/>
        <w:t xml:space="preserve">I. </w:t>
      </w:r>
      <w:r w:rsidRPr="00363CFA">
        <w:rPr>
          <w:rFonts w:asciiTheme="majorHAnsi" w:eastAsiaTheme="majorEastAsia" w:hAnsiTheme="majorHAnsi" w:cstheme="majorHAnsi"/>
          <w:b/>
          <w:color w:val="2E74B5" w:themeColor="accent1" w:themeShade="BF"/>
          <w:sz w:val="32"/>
          <w:szCs w:val="32"/>
          <w:lang w:val="ro-MD"/>
        </w:rPr>
        <w:t>SINTEZA</w:t>
      </w:r>
      <w:bookmarkEnd w:id="5"/>
      <w:bookmarkEnd w:id="6"/>
    </w:p>
    <w:p w14:paraId="7A36BB54" w14:textId="77777777" w:rsidR="00C23DCE" w:rsidRPr="00363CFA" w:rsidRDefault="00C23DCE" w:rsidP="00C23DCE">
      <w:pPr>
        <w:spacing w:after="0" w:line="276" w:lineRule="auto"/>
        <w:ind w:firstLine="567"/>
        <w:jc w:val="both"/>
        <w:rPr>
          <w:rFonts w:asciiTheme="majorHAnsi" w:eastAsia="Calibri" w:hAnsiTheme="majorHAnsi" w:cstheme="majorHAnsi"/>
          <w:sz w:val="24"/>
          <w:szCs w:val="24"/>
          <w:lang w:val="ro-MD"/>
        </w:rPr>
      </w:pPr>
      <w:r w:rsidRPr="00363CFA">
        <w:rPr>
          <w:rFonts w:asciiTheme="majorHAnsi" w:eastAsia="Calibri" w:hAnsiTheme="majorHAnsi" w:cstheme="majorHAnsi"/>
          <w:sz w:val="24"/>
          <w:szCs w:val="24"/>
          <w:lang w:val="ro-MD"/>
        </w:rPr>
        <w:t>Raportul de audit este destinat:</w:t>
      </w:r>
    </w:p>
    <w:p w14:paraId="20BD7084" w14:textId="01B43A0E" w:rsidR="00C23DCE" w:rsidRPr="00363CFA" w:rsidRDefault="00C23DCE" w:rsidP="00C23DCE">
      <w:pPr>
        <w:spacing w:after="0" w:line="276" w:lineRule="auto"/>
        <w:ind w:firstLine="567"/>
        <w:jc w:val="both"/>
        <w:rPr>
          <w:rFonts w:asciiTheme="majorHAnsi" w:eastAsia="Calibri" w:hAnsiTheme="majorHAnsi" w:cstheme="majorHAnsi"/>
          <w:b/>
          <w:sz w:val="24"/>
          <w:szCs w:val="24"/>
          <w:lang w:val="ro-MD"/>
        </w:rPr>
      </w:pPr>
      <w:r w:rsidRPr="008954BC">
        <w:rPr>
          <w:rFonts w:asciiTheme="majorHAnsi" w:eastAsia="Calibri" w:hAnsiTheme="majorHAnsi" w:cstheme="majorHAnsi"/>
          <w:b/>
          <w:sz w:val="24"/>
          <w:szCs w:val="24"/>
          <w:lang w:val="ro-MD"/>
        </w:rPr>
        <w:t xml:space="preserve">Parlamentului </w:t>
      </w:r>
      <w:r w:rsidR="0069374B" w:rsidRPr="008954BC">
        <w:rPr>
          <w:rFonts w:asciiTheme="majorHAnsi" w:eastAsia="Calibri" w:hAnsiTheme="majorHAnsi" w:cstheme="majorHAnsi"/>
          <w:b/>
          <w:sz w:val="24"/>
          <w:szCs w:val="24"/>
          <w:lang w:val="ro-MD"/>
        </w:rPr>
        <w:t>ș</w:t>
      </w:r>
      <w:r w:rsidRPr="008954BC">
        <w:rPr>
          <w:rFonts w:asciiTheme="majorHAnsi" w:eastAsia="Calibri" w:hAnsiTheme="majorHAnsi" w:cstheme="majorHAnsi"/>
          <w:b/>
          <w:sz w:val="24"/>
          <w:szCs w:val="24"/>
          <w:lang w:val="ro-MD"/>
        </w:rPr>
        <w:t>i Guvernului Republicii Moldova</w:t>
      </w:r>
      <w:r w:rsidRPr="008954BC">
        <w:rPr>
          <w:rFonts w:asciiTheme="majorHAnsi" w:eastAsia="Calibri" w:hAnsiTheme="majorHAnsi" w:cstheme="majorHAnsi"/>
          <w:sz w:val="24"/>
          <w:szCs w:val="24"/>
          <w:lang w:val="ro-MD"/>
        </w:rPr>
        <w:t xml:space="preserve"> – pentru informare</w:t>
      </w:r>
      <w:r w:rsidRPr="007E64D5">
        <w:rPr>
          <w:rFonts w:asciiTheme="majorHAnsi" w:eastAsia="Calibri" w:hAnsiTheme="majorHAnsi" w:cstheme="majorHAnsi"/>
          <w:sz w:val="24"/>
          <w:szCs w:val="24"/>
          <w:lang w:val="ro-MD"/>
        </w:rPr>
        <w:t xml:space="preserve">, luare de atitudine </w:t>
      </w:r>
      <w:r w:rsidR="0069374B" w:rsidRPr="007C55DB">
        <w:rPr>
          <w:rFonts w:asciiTheme="majorHAnsi" w:eastAsia="Calibri" w:hAnsiTheme="majorHAnsi" w:cstheme="majorHAnsi"/>
          <w:sz w:val="24"/>
          <w:szCs w:val="24"/>
          <w:lang w:val="ro-MD"/>
        </w:rPr>
        <w:t>ș</w:t>
      </w:r>
      <w:r w:rsidRPr="0026370A">
        <w:rPr>
          <w:rFonts w:asciiTheme="majorHAnsi" w:eastAsia="Calibri" w:hAnsiTheme="majorHAnsi" w:cstheme="majorHAnsi"/>
          <w:sz w:val="24"/>
          <w:szCs w:val="24"/>
          <w:lang w:val="ro-MD"/>
        </w:rPr>
        <w:t>i utilizare</w:t>
      </w:r>
      <w:r w:rsidRPr="00CF724E">
        <w:rPr>
          <w:rFonts w:asciiTheme="majorHAnsi" w:eastAsia="Calibri" w:hAnsiTheme="majorHAnsi" w:cstheme="majorHAnsi"/>
          <w:sz w:val="24"/>
          <w:szCs w:val="24"/>
          <w:lang w:val="ro-MD"/>
        </w:rPr>
        <w:t>a informa</w:t>
      </w:r>
      <w:r w:rsidR="0069374B" w:rsidRPr="00CF724E">
        <w:rPr>
          <w:rFonts w:asciiTheme="majorHAnsi" w:eastAsia="Calibri" w:hAnsiTheme="majorHAnsi" w:cstheme="majorHAnsi"/>
          <w:sz w:val="24"/>
          <w:szCs w:val="24"/>
          <w:lang w:val="ro-MD"/>
        </w:rPr>
        <w:t>ț</w:t>
      </w:r>
      <w:r w:rsidRPr="008954BC">
        <w:rPr>
          <w:rFonts w:asciiTheme="majorHAnsi" w:eastAsia="Calibri" w:hAnsiTheme="majorHAnsi" w:cstheme="majorHAnsi"/>
          <w:sz w:val="24"/>
          <w:szCs w:val="24"/>
          <w:lang w:val="ro-MD"/>
        </w:rPr>
        <w:t xml:space="preserve">iilor la </w:t>
      </w:r>
      <w:r w:rsidR="008954BC" w:rsidRPr="008954BC">
        <w:rPr>
          <w:rFonts w:asciiTheme="majorHAnsi" w:eastAsia="Calibri" w:hAnsiTheme="majorHAnsi" w:cstheme="majorHAnsi"/>
          <w:sz w:val="24"/>
          <w:szCs w:val="24"/>
          <w:lang w:val="ro-MD"/>
        </w:rPr>
        <w:t>adopt</w:t>
      </w:r>
      <w:r w:rsidRPr="008954BC">
        <w:rPr>
          <w:rFonts w:asciiTheme="majorHAnsi" w:eastAsia="Calibri" w:hAnsiTheme="majorHAnsi" w:cstheme="majorHAnsi"/>
          <w:sz w:val="24"/>
          <w:szCs w:val="24"/>
          <w:lang w:val="ro-MD"/>
        </w:rPr>
        <w:t>area deciziilor/ini</w:t>
      </w:r>
      <w:r w:rsidR="0069374B" w:rsidRPr="008954BC">
        <w:rPr>
          <w:rFonts w:asciiTheme="majorHAnsi" w:eastAsia="Calibri" w:hAnsiTheme="majorHAnsi" w:cstheme="majorHAnsi"/>
          <w:sz w:val="24"/>
          <w:szCs w:val="24"/>
          <w:lang w:val="ro-MD"/>
        </w:rPr>
        <w:t>ț</w:t>
      </w:r>
      <w:r w:rsidRPr="008954BC">
        <w:rPr>
          <w:rFonts w:asciiTheme="majorHAnsi" w:eastAsia="Calibri" w:hAnsiTheme="majorHAnsi" w:cstheme="majorHAnsi"/>
          <w:sz w:val="24"/>
          <w:szCs w:val="24"/>
          <w:lang w:val="ro-MD"/>
        </w:rPr>
        <w:t>iativelor aferen</w:t>
      </w:r>
      <w:r w:rsidRPr="00363CFA">
        <w:rPr>
          <w:rFonts w:asciiTheme="majorHAnsi" w:eastAsia="Calibri" w:hAnsiTheme="majorHAnsi" w:cstheme="majorHAnsi"/>
          <w:sz w:val="24"/>
          <w:szCs w:val="24"/>
          <w:lang w:val="ro-MD"/>
        </w:rPr>
        <w:t xml:space="preserve">te politicilor statului în domeniul veniturilor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cheltuielilor bugetelor locale;</w:t>
      </w:r>
      <w:r w:rsidRPr="00363CFA">
        <w:rPr>
          <w:rFonts w:asciiTheme="majorHAnsi" w:eastAsia="Calibri" w:hAnsiTheme="majorHAnsi" w:cstheme="majorHAnsi"/>
          <w:b/>
          <w:sz w:val="24"/>
          <w:szCs w:val="24"/>
          <w:lang w:val="ro-MD"/>
        </w:rPr>
        <w:t xml:space="preserve"> </w:t>
      </w:r>
    </w:p>
    <w:p w14:paraId="1E923A1E" w14:textId="701541E6" w:rsidR="00A51691" w:rsidRPr="00363CFA" w:rsidRDefault="00A51691" w:rsidP="00A51691">
      <w:pPr>
        <w:spacing w:after="0" w:line="276" w:lineRule="auto"/>
        <w:ind w:firstLine="567"/>
        <w:jc w:val="both"/>
        <w:rPr>
          <w:rFonts w:asciiTheme="majorHAnsi" w:eastAsia="Calibri" w:hAnsiTheme="majorHAnsi" w:cstheme="majorHAnsi"/>
          <w:b/>
          <w:sz w:val="24"/>
          <w:szCs w:val="24"/>
          <w:lang w:val="ro-MD"/>
        </w:rPr>
      </w:pPr>
      <w:r w:rsidRPr="00363CFA">
        <w:rPr>
          <w:rFonts w:asciiTheme="majorHAnsi" w:eastAsia="Calibri" w:hAnsiTheme="majorHAnsi" w:cstheme="majorHAnsi"/>
          <w:b/>
          <w:sz w:val="24"/>
          <w:szCs w:val="24"/>
          <w:lang w:val="ro-MD"/>
        </w:rPr>
        <w:t>A</w:t>
      </w:r>
      <w:r w:rsidR="00987EAF" w:rsidRPr="00363CFA">
        <w:rPr>
          <w:rFonts w:asciiTheme="majorHAnsi" w:eastAsia="Calibri" w:hAnsiTheme="majorHAnsi" w:cstheme="majorHAnsi"/>
          <w:b/>
          <w:sz w:val="24"/>
          <w:szCs w:val="24"/>
          <w:lang w:val="ro-MD"/>
        </w:rPr>
        <w:t xml:space="preserve">dunării Populare </w:t>
      </w:r>
      <w:r w:rsidR="0069374B" w:rsidRPr="00363CFA">
        <w:rPr>
          <w:rFonts w:asciiTheme="majorHAnsi" w:eastAsia="Calibri" w:hAnsiTheme="majorHAnsi" w:cstheme="majorHAnsi"/>
          <w:b/>
          <w:sz w:val="24"/>
          <w:szCs w:val="24"/>
          <w:lang w:val="ro-MD"/>
        </w:rPr>
        <w:t>ș</w:t>
      </w:r>
      <w:r w:rsidRPr="00363CFA">
        <w:rPr>
          <w:rFonts w:asciiTheme="majorHAnsi" w:eastAsia="Calibri" w:hAnsiTheme="majorHAnsi" w:cstheme="majorHAnsi"/>
          <w:b/>
          <w:sz w:val="24"/>
          <w:szCs w:val="24"/>
          <w:lang w:val="ro-MD"/>
        </w:rPr>
        <w:t xml:space="preserve">i </w:t>
      </w:r>
      <w:r w:rsidR="00987EAF" w:rsidRPr="00363CFA">
        <w:rPr>
          <w:rFonts w:asciiTheme="majorHAnsi" w:eastAsia="Calibri" w:hAnsiTheme="majorHAnsi" w:cstheme="majorHAnsi"/>
          <w:b/>
          <w:sz w:val="24"/>
          <w:szCs w:val="24"/>
          <w:lang w:val="ro-MD"/>
        </w:rPr>
        <w:t>Comitetului E</w:t>
      </w:r>
      <w:r w:rsidRPr="00363CFA">
        <w:rPr>
          <w:rFonts w:asciiTheme="majorHAnsi" w:eastAsia="Calibri" w:hAnsiTheme="majorHAnsi" w:cstheme="majorHAnsi"/>
          <w:b/>
          <w:sz w:val="24"/>
          <w:szCs w:val="24"/>
          <w:lang w:val="ro-MD"/>
        </w:rPr>
        <w:t>xecutiv a</w:t>
      </w:r>
      <w:r w:rsidR="00987EAF" w:rsidRPr="00363CFA">
        <w:rPr>
          <w:rFonts w:asciiTheme="majorHAnsi" w:eastAsia="Calibri" w:hAnsiTheme="majorHAnsi" w:cstheme="majorHAnsi"/>
          <w:b/>
          <w:sz w:val="24"/>
          <w:szCs w:val="24"/>
          <w:lang w:val="ro-MD"/>
        </w:rPr>
        <w:t>l</w:t>
      </w:r>
      <w:r w:rsidR="008954BC">
        <w:rPr>
          <w:rFonts w:asciiTheme="majorHAnsi" w:eastAsia="Calibri" w:hAnsiTheme="majorHAnsi" w:cstheme="majorHAnsi"/>
          <w:b/>
          <w:sz w:val="24"/>
          <w:szCs w:val="24"/>
          <w:lang w:val="ro-MD"/>
        </w:rPr>
        <w:t>e</w:t>
      </w:r>
      <w:r w:rsidRPr="00363CFA">
        <w:rPr>
          <w:rFonts w:asciiTheme="majorHAnsi" w:eastAsia="Calibri" w:hAnsiTheme="majorHAnsi" w:cstheme="majorHAnsi"/>
          <w:b/>
          <w:sz w:val="24"/>
          <w:szCs w:val="24"/>
          <w:lang w:val="ro-MD"/>
        </w:rPr>
        <w:t xml:space="preserve"> UTA Găgăuzia, </w:t>
      </w:r>
      <w:r w:rsidRPr="00363CFA">
        <w:rPr>
          <w:rFonts w:asciiTheme="majorHAnsi" w:eastAsia="Calibri" w:hAnsiTheme="majorHAnsi" w:cstheme="majorHAnsi"/>
          <w:sz w:val="24"/>
          <w:szCs w:val="24"/>
          <w:lang w:val="ro-MD"/>
        </w:rPr>
        <w:t>ca autorită</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 care aprobă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execută bugetul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gestionează patrimoniul public – pentru informare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utilizarea informa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iilor în</w:t>
      </w:r>
      <w:r w:rsidRPr="00363CFA">
        <w:rPr>
          <w:rFonts w:asciiTheme="majorHAnsi" w:eastAsia="Calibri" w:hAnsiTheme="majorHAnsi" w:cstheme="majorHAnsi"/>
          <w:color w:val="FF0000"/>
          <w:sz w:val="24"/>
          <w:szCs w:val="24"/>
          <w:lang w:val="ro-MD"/>
        </w:rPr>
        <w:t xml:space="preserve"> </w:t>
      </w:r>
      <w:r w:rsidRPr="00363CFA">
        <w:rPr>
          <w:rFonts w:asciiTheme="majorHAnsi" w:eastAsia="Calibri" w:hAnsiTheme="majorHAnsi" w:cstheme="majorHAnsi"/>
          <w:sz w:val="24"/>
          <w:szCs w:val="24"/>
          <w:lang w:val="ro-MD"/>
        </w:rPr>
        <w:t>scopul conformării la prevederile legale;</w:t>
      </w:r>
    </w:p>
    <w:p w14:paraId="6ACC5348" w14:textId="1D433407" w:rsidR="00C23DCE" w:rsidRPr="00363CFA" w:rsidRDefault="008954BC" w:rsidP="00C23DCE">
      <w:pPr>
        <w:spacing w:after="0" w:line="276" w:lineRule="auto"/>
        <w:ind w:firstLine="567"/>
        <w:jc w:val="both"/>
        <w:rPr>
          <w:rFonts w:asciiTheme="majorHAnsi" w:eastAsia="Calibri" w:hAnsiTheme="majorHAnsi" w:cstheme="majorHAnsi"/>
          <w:sz w:val="24"/>
          <w:szCs w:val="24"/>
          <w:lang w:val="ro-MD"/>
        </w:rPr>
      </w:pPr>
      <w:r>
        <w:rPr>
          <w:rFonts w:asciiTheme="majorHAnsi" w:eastAsia="Calibri" w:hAnsiTheme="majorHAnsi" w:cstheme="majorHAnsi"/>
          <w:b/>
          <w:sz w:val="24"/>
          <w:szCs w:val="24"/>
          <w:lang w:val="ro-MD"/>
        </w:rPr>
        <w:t>s</w:t>
      </w:r>
      <w:r w:rsidR="00DB146B" w:rsidRPr="00363CFA">
        <w:rPr>
          <w:rFonts w:asciiTheme="majorHAnsi" w:eastAsia="Calibri" w:hAnsiTheme="majorHAnsi" w:cstheme="majorHAnsi"/>
          <w:b/>
          <w:sz w:val="24"/>
          <w:szCs w:val="24"/>
          <w:lang w:val="ro-MD"/>
        </w:rPr>
        <w:t>ocietă</w:t>
      </w:r>
      <w:r w:rsidR="0069374B" w:rsidRPr="00363CFA">
        <w:rPr>
          <w:rFonts w:asciiTheme="majorHAnsi" w:eastAsia="Calibri" w:hAnsiTheme="majorHAnsi" w:cstheme="majorHAnsi"/>
          <w:b/>
          <w:sz w:val="24"/>
          <w:szCs w:val="24"/>
          <w:lang w:val="ro-MD"/>
        </w:rPr>
        <w:t>ț</w:t>
      </w:r>
      <w:r w:rsidR="00DB146B" w:rsidRPr="00363CFA">
        <w:rPr>
          <w:rFonts w:asciiTheme="majorHAnsi" w:eastAsia="Calibri" w:hAnsiTheme="majorHAnsi" w:cstheme="majorHAnsi"/>
          <w:b/>
          <w:sz w:val="24"/>
          <w:szCs w:val="24"/>
          <w:lang w:val="ro-MD"/>
        </w:rPr>
        <w:t xml:space="preserve">ii </w:t>
      </w:r>
      <w:r w:rsidR="00C23DCE" w:rsidRPr="00363CFA">
        <w:rPr>
          <w:rFonts w:asciiTheme="majorHAnsi" w:eastAsia="Calibri" w:hAnsiTheme="majorHAnsi" w:cstheme="majorHAnsi"/>
          <w:b/>
          <w:sz w:val="24"/>
          <w:szCs w:val="24"/>
          <w:lang w:val="ro-MD"/>
        </w:rPr>
        <w:t>civile, altor păr</w:t>
      </w:r>
      <w:r w:rsidR="0069374B" w:rsidRPr="00363CFA">
        <w:rPr>
          <w:rFonts w:asciiTheme="majorHAnsi" w:eastAsia="Calibri" w:hAnsiTheme="majorHAnsi" w:cstheme="majorHAnsi"/>
          <w:b/>
          <w:sz w:val="24"/>
          <w:szCs w:val="24"/>
          <w:lang w:val="ro-MD"/>
        </w:rPr>
        <w:t>ț</w:t>
      </w:r>
      <w:r w:rsidR="00C23DCE" w:rsidRPr="00363CFA">
        <w:rPr>
          <w:rFonts w:asciiTheme="majorHAnsi" w:eastAsia="Calibri" w:hAnsiTheme="majorHAnsi" w:cstheme="majorHAnsi"/>
          <w:b/>
          <w:sz w:val="24"/>
          <w:szCs w:val="24"/>
          <w:lang w:val="ro-MD"/>
        </w:rPr>
        <w:t>i interesate.</w:t>
      </w:r>
    </w:p>
    <w:p w14:paraId="3BA3EED0" w14:textId="77777777" w:rsidR="00C23DCE" w:rsidRPr="00363CFA" w:rsidRDefault="00C23DCE" w:rsidP="00C23DCE">
      <w:pPr>
        <w:spacing w:after="0" w:line="276" w:lineRule="auto"/>
        <w:ind w:firstLine="567"/>
        <w:jc w:val="both"/>
        <w:rPr>
          <w:rFonts w:asciiTheme="majorHAnsi" w:hAnsiTheme="majorHAnsi" w:cstheme="majorHAnsi"/>
          <w:bCs/>
          <w:iCs/>
          <w:sz w:val="24"/>
          <w:szCs w:val="24"/>
          <w:lang w:val="ro-MD"/>
        </w:rPr>
      </w:pPr>
      <w:r w:rsidRPr="00363CFA">
        <w:rPr>
          <w:rFonts w:asciiTheme="majorHAnsi" w:hAnsiTheme="majorHAnsi" w:cstheme="majorHAnsi"/>
          <w:sz w:val="24"/>
          <w:szCs w:val="24"/>
          <w:lang w:val="ro-MD"/>
        </w:rPr>
        <w:t xml:space="preserve">Obiectivul prezentei misiuni de audit a constat în </w:t>
      </w:r>
      <w:r w:rsidRPr="00363CFA">
        <w:rPr>
          <w:rFonts w:asciiTheme="majorHAnsi" w:hAnsiTheme="majorHAnsi" w:cstheme="majorHAnsi"/>
          <w:bCs/>
          <w:iCs/>
          <w:sz w:val="24"/>
          <w:szCs w:val="24"/>
          <w:lang w:val="ro-MD"/>
        </w:rPr>
        <w:t>evaluarea conformită</w:t>
      </w:r>
      <w:r w:rsidR="0069374B" w:rsidRPr="00363CFA">
        <w:rPr>
          <w:rFonts w:asciiTheme="majorHAnsi" w:hAnsiTheme="majorHAnsi" w:cstheme="majorHAnsi"/>
          <w:bCs/>
          <w:iCs/>
          <w:sz w:val="24"/>
          <w:szCs w:val="24"/>
          <w:lang w:val="ro-MD"/>
        </w:rPr>
        <w:t>ț</w:t>
      </w:r>
      <w:r w:rsidRPr="00363CFA">
        <w:rPr>
          <w:rFonts w:asciiTheme="majorHAnsi" w:hAnsiTheme="majorHAnsi" w:cstheme="majorHAnsi"/>
          <w:bCs/>
          <w:iCs/>
          <w:sz w:val="24"/>
          <w:szCs w:val="24"/>
          <w:lang w:val="ro-MD"/>
        </w:rPr>
        <w:t xml:space="preserve">ii procesului bugetar </w:t>
      </w:r>
      <w:r w:rsidR="0069374B" w:rsidRPr="00363CFA">
        <w:rPr>
          <w:rFonts w:asciiTheme="majorHAnsi" w:hAnsiTheme="majorHAnsi" w:cstheme="majorHAnsi"/>
          <w:bCs/>
          <w:iCs/>
          <w:sz w:val="24"/>
          <w:szCs w:val="24"/>
          <w:lang w:val="ro-MD"/>
        </w:rPr>
        <w:t>ș</w:t>
      </w:r>
      <w:r w:rsidRPr="00363CFA">
        <w:rPr>
          <w:rFonts w:asciiTheme="majorHAnsi" w:hAnsiTheme="majorHAnsi" w:cstheme="majorHAnsi"/>
          <w:bCs/>
          <w:iCs/>
          <w:sz w:val="24"/>
          <w:szCs w:val="24"/>
          <w:lang w:val="ro-MD"/>
        </w:rPr>
        <w:t>i gestionării patrimoniului public de către</w:t>
      </w:r>
      <w:r w:rsidR="00723A17" w:rsidRPr="00363CFA">
        <w:rPr>
          <w:rFonts w:asciiTheme="majorHAnsi" w:hAnsiTheme="majorHAnsi" w:cstheme="majorHAnsi"/>
          <w:bCs/>
          <w:iCs/>
          <w:sz w:val="24"/>
          <w:szCs w:val="24"/>
          <w:lang w:val="ro-MD"/>
        </w:rPr>
        <w:t xml:space="preserve"> autorită</w:t>
      </w:r>
      <w:r w:rsidR="0069374B" w:rsidRPr="00363CFA">
        <w:rPr>
          <w:rFonts w:asciiTheme="majorHAnsi" w:hAnsiTheme="majorHAnsi" w:cstheme="majorHAnsi"/>
          <w:bCs/>
          <w:iCs/>
          <w:sz w:val="24"/>
          <w:szCs w:val="24"/>
          <w:lang w:val="ro-MD"/>
        </w:rPr>
        <w:t>ț</w:t>
      </w:r>
      <w:r w:rsidR="00723A17" w:rsidRPr="00363CFA">
        <w:rPr>
          <w:rFonts w:asciiTheme="majorHAnsi" w:hAnsiTheme="majorHAnsi" w:cstheme="majorHAnsi"/>
          <w:bCs/>
          <w:iCs/>
          <w:sz w:val="24"/>
          <w:szCs w:val="24"/>
          <w:lang w:val="ro-MD"/>
        </w:rPr>
        <w:t>ile administra</w:t>
      </w:r>
      <w:r w:rsidR="0069374B" w:rsidRPr="00363CFA">
        <w:rPr>
          <w:rFonts w:asciiTheme="majorHAnsi" w:hAnsiTheme="majorHAnsi" w:cstheme="majorHAnsi"/>
          <w:bCs/>
          <w:iCs/>
          <w:sz w:val="24"/>
          <w:szCs w:val="24"/>
          <w:lang w:val="ro-MD"/>
        </w:rPr>
        <w:t>ț</w:t>
      </w:r>
      <w:r w:rsidR="00723A17" w:rsidRPr="00363CFA">
        <w:rPr>
          <w:rFonts w:asciiTheme="majorHAnsi" w:hAnsiTheme="majorHAnsi" w:cstheme="majorHAnsi"/>
          <w:bCs/>
          <w:iCs/>
          <w:sz w:val="24"/>
          <w:szCs w:val="24"/>
          <w:lang w:val="ro-MD"/>
        </w:rPr>
        <w:t>iei publice locale ale UTA Găgăuzia.</w:t>
      </w:r>
    </w:p>
    <w:p w14:paraId="1B0D6C91" w14:textId="77777777" w:rsidR="00C23DCE" w:rsidRPr="00363CFA" w:rsidRDefault="00C23DCE" w:rsidP="00C23DCE">
      <w:pPr>
        <w:spacing w:after="0" w:line="276" w:lineRule="auto"/>
        <w:ind w:firstLine="567"/>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 xml:space="preserve">Generalizând constatările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concluziile formulate în procesul de audit, auditul prezintă rezumatul acestora prin prisma neconformită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ilor identificate. Astfel, </w:t>
      </w:r>
    </w:p>
    <w:p w14:paraId="6D0AC9B2" w14:textId="09124EAD" w:rsidR="00241448" w:rsidRPr="00363CFA" w:rsidRDefault="00241448" w:rsidP="00241448">
      <w:pPr>
        <w:pStyle w:val="ListParagraph"/>
        <w:numPr>
          <w:ilvl w:val="0"/>
          <w:numId w:val="23"/>
        </w:numPr>
        <w:tabs>
          <w:tab w:val="left" w:pos="993"/>
        </w:tabs>
        <w:spacing w:after="0" w:line="276" w:lineRule="auto"/>
        <w:ind w:left="0" w:right="-187" w:firstLine="709"/>
        <w:jc w:val="both"/>
        <w:rPr>
          <w:rFonts w:asciiTheme="majorHAnsi" w:hAnsiTheme="majorHAnsi" w:cstheme="majorHAnsi"/>
          <w:i/>
          <w:color w:val="000000" w:themeColor="text1"/>
          <w:sz w:val="24"/>
          <w:szCs w:val="24"/>
          <w:lang w:val="ro-MD"/>
        </w:rPr>
      </w:pPr>
      <w:r w:rsidRPr="00363CFA">
        <w:rPr>
          <w:rFonts w:asciiTheme="majorHAnsi" w:hAnsiTheme="majorHAnsi" w:cstheme="majorHAnsi"/>
          <w:i/>
          <w:color w:val="000000" w:themeColor="text1"/>
          <w:sz w:val="24"/>
          <w:szCs w:val="24"/>
          <w:lang w:val="ro-MD"/>
        </w:rPr>
        <w:t xml:space="preserve">lipsa în cadrul normativ </w:t>
      </w:r>
      <w:r w:rsidRPr="007E64D5">
        <w:rPr>
          <w:rFonts w:asciiTheme="majorHAnsi" w:hAnsiTheme="majorHAnsi" w:cstheme="majorHAnsi"/>
          <w:i/>
          <w:color w:val="000000" w:themeColor="text1"/>
          <w:sz w:val="24"/>
          <w:szCs w:val="24"/>
          <w:lang w:val="ro-MD"/>
        </w:rPr>
        <w:t>al R</w:t>
      </w:r>
      <w:r w:rsidR="0067113E">
        <w:rPr>
          <w:rFonts w:asciiTheme="majorHAnsi" w:hAnsiTheme="majorHAnsi" w:cstheme="majorHAnsi"/>
          <w:i/>
          <w:color w:val="000000" w:themeColor="text1"/>
          <w:sz w:val="24"/>
          <w:szCs w:val="24"/>
          <w:lang w:val="ro-MD"/>
        </w:rPr>
        <w:t xml:space="preserve">epublicii </w:t>
      </w:r>
      <w:r w:rsidRPr="007E64D5">
        <w:rPr>
          <w:rFonts w:asciiTheme="majorHAnsi" w:hAnsiTheme="majorHAnsi" w:cstheme="majorHAnsi"/>
          <w:i/>
          <w:color w:val="000000" w:themeColor="text1"/>
          <w:sz w:val="24"/>
          <w:szCs w:val="24"/>
          <w:lang w:val="ro-MD"/>
        </w:rPr>
        <w:t>M</w:t>
      </w:r>
      <w:r w:rsidR="0067113E">
        <w:rPr>
          <w:rFonts w:asciiTheme="majorHAnsi" w:hAnsiTheme="majorHAnsi" w:cstheme="majorHAnsi"/>
          <w:i/>
          <w:color w:val="000000" w:themeColor="text1"/>
          <w:sz w:val="24"/>
          <w:szCs w:val="24"/>
          <w:lang w:val="ro-MD"/>
        </w:rPr>
        <w:t>oldova</w:t>
      </w:r>
      <w:r w:rsidRPr="007E64D5">
        <w:rPr>
          <w:rFonts w:asciiTheme="majorHAnsi" w:hAnsiTheme="majorHAnsi" w:cstheme="majorHAnsi"/>
          <w:i/>
          <w:color w:val="000000" w:themeColor="text1"/>
          <w:sz w:val="24"/>
          <w:szCs w:val="24"/>
          <w:lang w:val="ro-MD"/>
        </w:rPr>
        <w:t xml:space="preserve"> </w:t>
      </w:r>
      <w:r w:rsidR="008954BC" w:rsidRPr="007E64D5">
        <w:rPr>
          <w:rFonts w:asciiTheme="majorHAnsi" w:hAnsiTheme="majorHAnsi" w:cstheme="majorHAnsi"/>
          <w:i/>
          <w:color w:val="000000" w:themeColor="text1"/>
          <w:sz w:val="24"/>
          <w:szCs w:val="24"/>
          <w:lang w:val="ro-MD"/>
        </w:rPr>
        <w:t>a</w:t>
      </w:r>
      <w:r w:rsidR="008954BC">
        <w:rPr>
          <w:rFonts w:asciiTheme="majorHAnsi" w:hAnsiTheme="majorHAnsi" w:cstheme="majorHAnsi"/>
          <w:i/>
          <w:color w:val="000000" w:themeColor="text1"/>
          <w:sz w:val="24"/>
          <w:szCs w:val="24"/>
          <w:lang w:val="ro-MD"/>
        </w:rPr>
        <w:t xml:space="preserve"> </w:t>
      </w:r>
      <w:r w:rsidR="008954BC" w:rsidRPr="00363CFA">
        <w:rPr>
          <w:rFonts w:asciiTheme="majorHAnsi" w:hAnsiTheme="majorHAnsi" w:cstheme="majorHAnsi"/>
          <w:i/>
          <w:color w:val="000000" w:themeColor="text1"/>
          <w:sz w:val="24"/>
          <w:szCs w:val="24"/>
          <w:lang w:val="ro-MD"/>
        </w:rPr>
        <w:t xml:space="preserve">prevederilor </w:t>
      </w:r>
      <w:r w:rsidRPr="00363CFA">
        <w:rPr>
          <w:rFonts w:asciiTheme="majorHAnsi" w:hAnsiTheme="majorHAnsi" w:cstheme="majorHAnsi"/>
          <w:i/>
          <w:color w:val="000000" w:themeColor="text1"/>
          <w:sz w:val="24"/>
          <w:szCs w:val="24"/>
          <w:lang w:val="ro-MD"/>
        </w:rPr>
        <w:t xml:space="preserve">privind defalcările din impozitele generale de stat și privind transferurile cu destinație generală de la bugetul central al UTA Găgăuzia către bugetul UAT de nivelul I din componența UTA Găgăuzia determină riscul </w:t>
      </w:r>
      <w:r w:rsidR="00BF620C">
        <w:rPr>
          <w:rFonts w:asciiTheme="majorHAnsi" w:hAnsiTheme="majorHAnsi" w:cstheme="majorHAnsi"/>
          <w:i/>
          <w:color w:val="000000" w:themeColor="text1"/>
          <w:sz w:val="24"/>
          <w:szCs w:val="24"/>
          <w:lang w:val="ro-MD"/>
        </w:rPr>
        <w:t xml:space="preserve">de </w:t>
      </w:r>
      <w:r w:rsidRPr="00363CFA">
        <w:rPr>
          <w:rFonts w:asciiTheme="majorHAnsi" w:hAnsiTheme="majorHAnsi" w:cstheme="majorHAnsi"/>
          <w:i/>
          <w:color w:val="000000" w:themeColor="text1"/>
          <w:sz w:val="24"/>
          <w:szCs w:val="24"/>
          <w:lang w:val="ro-MD"/>
        </w:rPr>
        <w:t>neasigur</w:t>
      </w:r>
      <w:r w:rsidR="00BF620C">
        <w:rPr>
          <w:rFonts w:asciiTheme="majorHAnsi" w:hAnsiTheme="majorHAnsi" w:cstheme="majorHAnsi"/>
          <w:i/>
          <w:color w:val="000000" w:themeColor="text1"/>
          <w:sz w:val="24"/>
          <w:szCs w:val="24"/>
          <w:lang w:val="ro-MD"/>
        </w:rPr>
        <w:t>are a</w:t>
      </w:r>
      <w:r w:rsidRPr="00363CFA">
        <w:rPr>
          <w:rFonts w:asciiTheme="majorHAnsi" w:hAnsiTheme="majorHAnsi" w:cstheme="majorHAnsi"/>
          <w:i/>
          <w:color w:val="000000" w:themeColor="text1"/>
          <w:sz w:val="24"/>
          <w:szCs w:val="24"/>
          <w:lang w:val="ro-MD"/>
        </w:rPr>
        <w:t xml:space="preserve"> stabilității financiar</w:t>
      </w:r>
      <w:r w:rsidR="0067113E">
        <w:rPr>
          <w:rFonts w:asciiTheme="majorHAnsi" w:hAnsiTheme="majorHAnsi" w:cstheme="majorHAnsi"/>
          <w:i/>
          <w:color w:val="000000" w:themeColor="text1"/>
          <w:sz w:val="24"/>
          <w:szCs w:val="24"/>
          <w:lang w:val="ro-MD"/>
        </w:rPr>
        <w:t>e</w:t>
      </w:r>
      <w:r w:rsidRPr="00363CFA">
        <w:rPr>
          <w:rFonts w:asciiTheme="majorHAnsi" w:hAnsiTheme="majorHAnsi" w:cstheme="majorHAnsi"/>
          <w:i/>
          <w:color w:val="000000" w:themeColor="text1"/>
          <w:sz w:val="24"/>
          <w:szCs w:val="24"/>
          <w:lang w:val="ro-MD"/>
        </w:rPr>
        <w:t xml:space="preserve"> a bugetelor locale de nivelul I  și poate influența negativ exercitarea atribuțiilor UAT de nivelul I, prevăzute de cadrul normativ </w:t>
      </w:r>
      <w:r w:rsidRPr="00363CFA">
        <w:rPr>
          <w:rFonts w:ascii="Calibri Light" w:eastAsia="Calibri" w:hAnsi="Calibri Light" w:cs="Calibri Light"/>
          <w:b/>
          <w:i/>
          <w:color w:val="000000"/>
          <w:sz w:val="24"/>
          <w:szCs w:val="24"/>
          <w:lang w:val="ro-MD"/>
        </w:rPr>
        <w:t>(pct.4.1.2</w:t>
      </w:r>
      <w:r w:rsidR="0067113E">
        <w:rPr>
          <w:rFonts w:ascii="Calibri Light" w:eastAsia="Calibri" w:hAnsi="Calibri Light" w:cs="Calibri Light"/>
          <w:b/>
          <w:i/>
          <w:color w:val="000000"/>
          <w:sz w:val="24"/>
          <w:szCs w:val="24"/>
          <w:lang w:val="ro-MD"/>
        </w:rPr>
        <w:t>.</w:t>
      </w:r>
      <w:r w:rsidRPr="00363CFA">
        <w:rPr>
          <w:rFonts w:ascii="Calibri Light" w:eastAsia="Calibri" w:hAnsi="Calibri Light" w:cs="Calibri Light"/>
          <w:b/>
          <w:i/>
          <w:color w:val="000000"/>
          <w:sz w:val="24"/>
          <w:szCs w:val="24"/>
          <w:lang w:val="ro-MD"/>
        </w:rPr>
        <w:t>);</w:t>
      </w:r>
    </w:p>
    <w:p w14:paraId="62B8148A" w14:textId="42FA0236" w:rsidR="005A6446" w:rsidRPr="00363CFA" w:rsidRDefault="00687AED"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Pr>
          <w:rFonts w:ascii="Calibri Light" w:eastAsia="Calibri" w:hAnsi="Calibri Light" w:cs="Calibri Light"/>
          <w:i/>
          <w:color w:val="000000"/>
          <w:sz w:val="24"/>
          <w:szCs w:val="24"/>
          <w:lang w:val="ro-MD"/>
        </w:rPr>
        <w:t xml:space="preserve"> </w:t>
      </w:r>
      <w:r w:rsidR="005A6446" w:rsidRPr="00363CFA">
        <w:rPr>
          <w:rFonts w:ascii="Calibri Light" w:eastAsia="Calibri" w:hAnsi="Calibri Light" w:cs="Calibri Light"/>
          <w:i/>
          <w:color w:val="000000"/>
          <w:sz w:val="24"/>
          <w:szCs w:val="24"/>
          <w:lang w:val="ro-MD"/>
        </w:rPr>
        <w:t>au fost identificate unele abateri de la prevederile legale, aferente proceselor de planificare a achizi</w:t>
      </w:r>
      <w:r w:rsidR="0069374B" w:rsidRPr="00363CFA">
        <w:rPr>
          <w:rFonts w:ascii="Calibri Light" w:eastAsia="Calibri" w:hAnsi="Calibri Light" w:cs="Calibri Light"/>
          <w:i/>
          <w:color w:val="000000"/>
          <w:sz w:val="24"/>
          <w:szCs w:val="24"/>
          <w:lang w:val="ro-MD"/>
        </w:rPr>
        <w:t>ț</w:t>
      </w:r>
      <w:r w:rsidR="005A6446" w:rsidRPr="00363CFA">
        <w:rPr>
          <w:rFonts w:ascii="Calibri Light" w:eastAsia="Calibri" w:hAnsi="Calibri Light" w:cs="Calibri Light"/>
          <w:i/>
          <w:color w:val="000000"/>
          <w:sz w:val="24"/>
          <w:szCs w:val="24"/>
          <w:lang w:val="ro-MD"/>
        </w:rPr>
        <w:t>iilor publice, de calculare a valorii estimate la achizi</w:t>
      </w:r>
      <w:r w:rsidR="0069374B" w:rsidRPr="00363CFA">
        <w:rPr>
          <w:rFonts w:ascii="Calibri Light" w:eastAsia="Calibri" w:hAnsi="Calibri Light" w:cs="Calibri Light"/>
          <w:i/>
          <w:color w:val="000000"/>
          <w:sz w:val="24"/>
          <w:szCs w:val="24"/>
          <w:lang w:val="ro-MD"/>
        </w:rPr>
        <w:t>ț</w:t>
      </w:r>
      <w:r w:rsidR="005A6446" w:rsidRPr="00363CFA">
        <w:rPr>
          <w:rFonts w:ascii="Calibri Light" w:eastAsia="Calibri" w:hAnsi="Calibri Light" w:cs="Calibri Light"/>
          <w:i/>
          <w:color w:val="000000"/>
          <w:sz w:val="24"/>
          <w:szCs w:val="24"/>
          <w:lang w:val="ro-MD"/>
        </w:rPr>
        <w:t>ia lucrărilor de repara</w:t>
      </w:r>
      <w:r w:rsidR="0069374B" w:rsidRPr="00363CFA">
        <w:rPr>
          <w:rFonts w:ascii="Calibri Light" w:eastAsia="Calibri" w:hAnsi="Calibri Light" w:cs="Calibri Light"/>
          <w:i/>
          <w:color w:val="000000"/>
          <w:sz w:val="24"/>
          <w:szCs w:val="24"/>
          <w:lang w:val="ro-MD"/>
        </w:rPr>
        <w:t>ț</w:t>
      </w:r>
      <w:r w:rsidR="005A6446" w:rsidRPr="00363CFA">
        <w:rPr>
          <w:rFonts w:ascii="Calibri Light" w:eastAsia="Calibri" w:hAnsi="Calibri Light" w:cs="Calibri Light"/>
          <w:i/>
          <w:color w:val="000000"/>
          <w:sz w:val="24"/>
          <w:szCs w:val="24"/>
          <w:lang w:val="ro-MD"/>
        </w:rPr>
        <w:t xml:space="preserve">ie, bunurilor </w:t>
      </w:r>
      <w:r w:rsidR="0069374B" w:rsidRPr="00363CFA">
        <w:rPr>
          <w:rFonts w:ascii="Calibri Light" w:eastAsia="Calibri" w:hAnsi="Calibri Light" w:cs="Calibri Light"/>
          <w:i/>
          <w:color w:val="000000"/>
          <w:sz w:val="24"/>
          <w:szCs w:val="24"/>
          <w:lang w:val="ro-MD"/>
        </w:rPr>
        <w:t>ș</w:t>
      </w:r>
      <w:r w:rsidR="005A6446" w:rsidRPr="00363CFA">
        <w:rPr>
          <w:rFonts w:ascii="Calibri Light" w:eastAsia="Calibri" w:hAnsi="Calibri Light" w:cs="Calibri Light"/>
          <w:i/>
          <w:color w:val="000000"/>
          <w:sz w:val="24"/>
          <w:szCs w:val="24"/>
          <w:lang w:val="ro-MD"/>
        </w:rPr>
        <w:t xml:space="preserve">i serviciilor </w:t>
      </w:r>
      <w:r w:rsidR="0069374B" w:rsidRPr="00363CFA">
        <w:rPr>
          <w:rFonts w:ascii="Calibri Light" w:eastAsia="Calibri" w:hAnsi="Calibri Light" w:cs="Calibri Light"/>
          <w:i/>
          <w:color w:val="000000"/>
          <w:sz w:val="24"/>
          <w:szCs w:val="24"/>
          <w:lang w:val="ro-MD"/>
        </w:rPr>
        <w:t>ș</w:t>
      </w:r>
      <w:r w:rsidR="005A6446" w:rsidRPr="00363CFA">
        <w:rPr>
          <w:rFonts w:ascii="Calibri Light" w:eastAsia="Calibri" w:hAnsi="Calibri Light" w:cs="Calibri Light"/>
          <w:i/>
          <w:color w:val="000000"/>
          <w:sz w:val="24"/>
          <w:szCs w:val="24"/>
          <w:lang w:val="ro-MD"/>
        </w:rPr>
        <w:t>i, respectiv, de organizare a procedurii de achizi</w:t>
      </w:r>
      <w:r w:rsidR="0069374B" w:rsidRPr="00363CFA">
        <w:rPr>
          <w:rFonts w:ascii="Calibri Light" w:eastAsia="Calibri" w:hAnsi="Calibri Light" w:cs="Calibri Light"/>
          <w:i/>
          <w:color w:val="000000"/>
          <w:sz w:val="24"/>
          <w:szCs w:val="24"/>
          <w:lang w:val="ro-MD"/>
        </w:rPr>
        <w:t>ț</w:t>
      </w:r>
      <w:r w:rsidR="005A6446" w:rsidRPr="00363CFA">
        <w:rPr>
          <w:rFonts w:ascii="Calibri Light" w:eastAsia="Calibri" w:hAnsi="Calibri Light" w:cs="Calibri Light"/>
          <w:i/>
          <w:color w:val="000000"/>
          <w:sz w:val="24"/>
          <w:szCs w:val="24"/>
          <w:lang w:val="ro-MD"/>
        </w:rPr>
        <w:t>ie publică</w:t>
      </w:r>
      <w:r w:rsidR="005A6446" w:rsidRPr="00363CFA">
        <w:rPr>
          <w:rFonts w:ascii="Calibri Light" w:eastAsia="Calibri" w:hAnsi="Calibri Light" w:cs="Calibri Light"/>
          <w:b/>
          <w:i/>
          <w:color w:val="000000"/>
          <w:sz w:val="24"/>
          <w:szCs w:val="24"/>
          <w:lang w:val="ro-MD"/>
        </w:rPr>
        <w:t xml:space="preserve"> (pct.4.2.2.)</w:t>
      </w:r>
      <w:r w:rsidR="005A6446" w:rsidRPr="00363CFA">
        <w:rPr>
          <w:rFonts w:ascii="Calibri Light" w:eastAsia="Calibri" w:hAnsi="Calibri Light" w:cs="Calibri Light"/>
          <w:i/>
          <w:color w:val="000000"/>
          <w:sz w:val="24"/>
          <w:szCs w:val="24"/>
          <w:lang w:val="ro-MD"/>
        </w:rPr>
        <w:t>;</w:t>
      </w:r>
    </w:p>
    <w:p w14:paraId="4AF8CB99" w14:textId="77777777" w:rsidR="005A6446" w:rsidRPr="00363CFA"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color w:val="000000"/>
          <w:sz w:val="24"/>
          <w:szCs w:val="24"/>
          <w:lang w:val="ro-MD"/>
        </w:rPr>
        <w:t xml:space="preserve"> la achizi</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iile publice de valoare mică s-a admis divizarea valorii estimate de achizi</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ie pe acela</w:t>
      </w:r>
      <w:r w:rsidR="0069374B" w:rsidRPr="00363CFA">
        <w:rPr>
          <w:rFonts w:ascii="Calibri Light" w:eastAsia="Calibri" w:hAnsi="Calibri Light" w:cs="Calibri Light"/>
          <w:i/>
          <w:color w:val="000000"/>
          <w:sz w:val="24"/>
          <w:szCs w:val="24"/>
          <w:lang w:val="ro-MD"/>
        </w:rPr>
        <w:t>ș</w:t>
      </w:r>
      <w:r w:rsidRPr="00363CFA">
        <w:rPr>
          <w:rFonts w:ascii="Calibri Light" w:eastAsia="Calibri" w:hAnsi="Calibri Light" w:cs="Calibri Light"/>
          <w:i/>
          <w:color w:val="000000"/>
          <w:sz w:val="24"/>
          <w:szCs w:val="24"/>
          <w:lang w:val="ro-MD"/>
        </w:rPr>
        <w:t>i tip/gen de marfă cu acela</w:t>
      </w:r>
      <w:r w:rsidR="0069374B" w:rsidRPr="00363CFA">
        <w:rPr>
          <w:rFonts w:ascii="Calibri Light" w:eastAsia="Calibri" w:hAnsi="Calibri Light" w:cs="Calibri Light"/>
          <w:i/>
          <w:color w:val="000000"/>
          <w:sz w:val="24"/>
          <w:szCs w:val="24"/>
          <w:lang w:val="ro-MD"/>
        </w:rPr>
        <w:t>ș</w:t>
      </w:r>
      <w:r w:rsidRPr="00363CFA">
        <w:rPr>
          <w:rFonts w:ascii="Calibri Light" w:eastAsia="Calibri" w:hAnsi="Calibri Light" w:cs="Calibri Light"/>
          <w:i/>
          <w:color w:val="000000"/>
          <w:sz w:val="24"/>
          <w:szCs w:val="24"/>
          <w:lang w:val="ro-MD"/>
        </w:rPr>
        <w:t>i agent economic prin adjudecarea mai multor contracte/proceduri în sumă totală de 6035,4 mii lei</w:t>
      </w:r>
      <w:r w:rsidRPr="00363CFA">
        <w:rPr>
          <w:rFonts w:ascii="Calibri Light" w:eastAsia="Calibri" w:hAnsi="Calibri Light" w:cs="Calibri Light"/>
          <w:b/>
          <w:i/>
          <w:color w:val="000000"/>
          <w:sz w:val="24"/>
          <w:szCs w:val="24"/>
          <w:lang w:val="ro-MD"/>
        </w:rPr>
        <w:t xml:space="preserve"> (pct.4.2.2.)</w:t>
      </w:r>
      <w:r w:rsidRPr="00363CFA">
        <w:rPr>
          <w:rFonts w:ascii="Calibri Light" w:eastAsia="Calibri" w:hAnsi="Calibri Light" w:cs="Calibri Light"/>
          <w:i/>
          <w:color w:val="000000"/>
          <w:sz w:val="24"/>
          <w:szCs w:val="24"/>
          <w:lang w:val="ro-MD"/>
        </w:rPr>
        <w:t>;</w:t>
      </w:r>
    </w:p>
    <w:p w14:paraId="45A781C7" w14:textId="77777777" w:rsidR="005A6446" w:rsidRPr="00357830"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color w:val="000000"/>
          <w:sz w:val="24"/>
          <w:szCs w:val="24"/>
          <w:lang w:val="ro-MD"/>
        </w:rPr>
        <w:t xml:space="preserve"> la achizi</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ionarea lucrărilor de repara</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 xml:space="preserve">ie a drumurilor </w:t>
      </w:r>
      <w:r w:rsidR="0069374B" w:rsidRPr="00363CFA">
        <w:rPr>
          <w:rFonts w:ascii="Calibri Light" w:eastAsia="Calibri" w:hAnsi="Calibri Light" w:cs="Calibri Light"/>
          <w:i/>
          <w:color w:val="000000"/>
          <w:sz w:val="24"/>
          <w:szCs w:val="24"/>
          <w:lang w:val="ro-MD"/>
        </w:rPr>
        <w:t>ș</w:t>
      </w:r>
      <w:r w:rsidRPr="00363CFA">
        <w:rPr>
          <w:rFonts w:ascii="Calibri Light" w:eastAsia="Calibri" w:hAnsi="Calibri Light" w:cs="Calibri Light"/>
          <w:i/>
          <w:color w:val="000000"/>
          <w:sz w:val="24"/>
          <w:szCs w:val="24"/>
          <w:lang w:val="ro-MD"/>
        </w:rPr>
        <w:t xml:space="preserve">i clădirilor nu s-a aplicat principiul valorii estimate </w:t>
      </w:r>
      <w:r w:rsidRPr="003C2D6D">
        <w:rPr>
          <w:rFonts w:ascii="Calibri Light" w:eastAsia="Calibri" w:hAnsi="Calibri Light" w:cs="Calibri Light"/>
          <w:i/>
          <w:color w:val="000000"/>
          <w:sz w:val="24"/>
          <w:szCs w:val="24"/>
          <w:lang w:val="ro-MD"/>
        </w:rPr>
        <w:t>cumulative a tuturor obiectelor/loturilor din componen</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 xml:space="preserve">a lucrărilor </w:t>
      </w:r>
      <w:r w:rsidR="0069374B" w:rsidRPr="00357830">
        <w:rPr>
          <w:rFonts w:ascii="Calibri Light" w:eastAsia="Calibri" w:hAnsi="Calibri Light" w:cs="Calibri Light"/>
          <w:i/>
          <w:color w:val="000000"/>
          <w:sz w:val="24"/>
          <w:szCs w:val="24"/>
          <w:lang w:val="ro-MD"/>
        </w:rPr>
        <w:t>ș</w:t>
      </w:r>
      <w:r w:rsidRPr="00357830">
        <w:rPr>
          <w:rFonts w:ascii="Calibri Light" w:eastAsia="Calibri" w:hAnsi="Calibri Light" w:cs="Calibri Light"/>
          <w:i/>
          <w:color w:val="000000"/>
          <w:sz w:val="24"/>
          <w:szCs w:val="24"/>
          <w:lang w:val="ro-MD"/>
        </w:rPr>
        <w:t>i procedura unică de achizi</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ie prin licita</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ie publică – 76373,6 mii lei</w:t>
      </w:r>
      <w:r w:rsidRPr="00357830">
        <w:rPr>
          <w:rFonts w:ascii="Calibri Light" w:eastAsia="Calibri" w:hAnsi="Calibri Light" w:cs="Calibri Light"/>
          <w:b/>
          <w:i/>
          <w:color w:val="000000"/>
          <w:sz w:val="24"/>
          <w:szCs w:val="24"/>
          <w:lang w:val="ro-MD"/>
        </w:rPr>
        <w:t xml:space="preserve"> (pct.4.2.2.)</w:t>
      </w:r>
      <w:r w:rsidRPr="00357830">
        <w:rPr>
          <w:rFonts w:ascii="Calibri Light" w:eastAsia="Calibri" w:hAnsi="Calibri Light" w:cs="Calibri Light"/>
          <w:i/>
          <w:color w:val="000000"/>
          <w:sz w:val="24"/>
          <w:szCs w:val="24"/>
          <w:lang w:val="ro-MD"/>
        </w:rPr>
        <w:t>;</w:t>
      </w:r>
    </w:p>
    <w:p w14:paraId="462A76ED" w14:textId="77777777" w:rsidR="005A6446" w:rsidRPr="00357830"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57830">
        <w:rPr>
          <w:rFonts w:ascii="Calibri Light" w:eastAsia="Calibri" w:hAnsi="Calibri Light" w:cs="Calibri Light"/>
          <w:i/>
          <w:color w:val="000000"/>
          <w:sz w:val="24"/>
          <w:szCs w:val="24"/>
          <w:lang w:val="ro-MD"/>
        </w:rPr>
        <w:t xml:space="preserve"> la efectuarea procurărilor de bunuri, servicii </w:t>
      </w:r>
      <w:r w:rsidR="0069374B" w:rsidRPr="00357830">
        <w:rPr>
          <w:rFonts w:ascii="Calibri Light" w:eastAsia="Calibri" w:hAnsi="Calibri Light" w:cs="Calibri Light"/>
          <w:i/>
          <w:color w:val="000000"/>
          <w:sz w:val="24"/>
          <w:szCs w:val="24"/>
          <w:lang w:val="ro-MD"/>
        </w:rPr>
        <w:t>ș</w:t>
      </w:r>
      <w:r w:rsidRPr="00357830">
        <w:rPr>
          <w:rFonts w:ascii="Calibri Light" w:eastAsia="Calibri" w:hAnsi="Calibri Light" w:cs="Calibri Light"/>
          <w:i/>
          <w:color w:val="000000"/>
          <w:sz w:val="24"/>
          <w:szCs w:val="24"/>
          <w:lang w:val="ro-MD"/>
        </w:rPr>
        <w:t>i lucrări, unele entită</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i publice nu au aplicat principiul valorii estimate cumulative a tuturor obiectelor/loturilor din componen</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a achizi</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 xml:space="preserve">iei </w:t>
      </w:r>
      <w:r w:rsidR="0069374B" w:rsidRPr="00357830">
        <w:rPr>
          <w:rFonts w:ascii="Calibri Light" w:eastAsia="Calibri" w:hAnsi="Calibri Light" w:cs="Calibri Light"/>
          <w:i/>
          <w:color w:val="000000"/>
          <w:sz w:val="24"/>
          <w:szCs w:val="24"/>
          <w:lang w:val="ro-MD"/>
        </w:rPr>
        <w:t>ș</w:t>
      </w:r>
      <w:r w:rsidRPr="00357830">
        <w:rPr>
          <w:rFonts w:ascii="Calibri Light" w:eastAsia="Calibri" w:hAnsi="Calibri Light" w:cs="Calibri Light"/>
          <w:i/>
          <w:color w:val="000000"/>
          <w:sz w:val="24"/>
          <w:szCs w:val="24"/>
          <w:lang w:val="ro-MD"/>
        </w:rPr>
        <w:t>i procedura unică de achizi</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ie, după caz, fie prin cererea ofertelor de pre</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uri, fie prin licita</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ie publică - 65501,9 mii lei</w:t>
      </w:r>
      <w:r w:rsidRPr="00357830">
        <w:rPr>
          <w:rFonts w:ascii="Calibri Light" w:eastAsia="Calibri" w:hAnsi="Calibri Light" w:cs="Calibri Light"/>
          <w:b/>
          <w:i/>
          <w:color w:val="000000"/>
          <w:sz w:val="24"/>
          <w:szCs w:val="24"/>
          <w:lang w:val="ro-MD"/>
        </w:rPr>
        <w:t xml:space="preserve"> (pct.4.2.2.)</w:t>
      </w:r>
      <w:r w:rsidRPr="00357830">
        <w:rPr>
          <w:rFonts w:ascii="Calibri Light" w:eastAsia="Calibri" w:hAnsi="Calibri Light" w:cs="Calibri Light"/>
          <w:i/>
          <w:color w:val="000000"/>
          <w:sz w:val="24"/>
          <w:szCs w:val="24"/>
          <w:lang w:val="ro-MD"/>
        </w:rPr>
        <w:t>;</w:t>
      </w:r>
    </w:p>
    <w:p w14:paraId="66212E73" w14:textId="465E5F5D" w:rsidR="005A6446" w:rsidRPr="00357830"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57830">
        <w:rPr>
          <w:rFonts w:ascii="Calibri Light" w:eastAsia="Calibri" w:hAnsi="Calibri Light" w:cs="Calibri Light"/>
          <w:i/>
          <w:color w:val="000000"/>
          <w:sz w:val="24"/>
          <w:szCs w:val="24"/>
          <w:lang w:val="ro-MD"/>
        </w:rPr>
        <w:t xml:space="preserve"> la contractarea lucrărilor de repara</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ie,</w:t>
      </w:r>
      <w:r w:rsidRPr="00357830">
        <w:rPr>
          <w:rFonts w:ascii="Calibri Light" w:eastAsia="Times New Roman" w:hAnsi="Calibri Light" w:cs="Calibri Light"/>
          <w:sz w:val="24"/>
          <w:szCs w:val="24"/>
          <w:lang w:val="ro-MD"/>
        </w:rPr>
        <w:t xml:space="preserve"> </w:t>
      </w:r>
      <w:r w:rsidRPr="00357830">
        <w:rPr>
          <w:rFonts w:ascii="Calibri Light" w:eastAsia="Calibri" w:hAnsi="Calibri Light" w:cs="Calibri Light"/>
          <w:i/>
          <w:color w:val="000000"/>
          <w:sz w:val="24"/>
          <w:szCs w:val="24"/>
          <w:lang w:val="ro-MD"/>
        </w:rPr>
        <w:t>zece entită</w:t>
      </w:r>
      <w:r w:rsidR="0069374B" w:rsidRPr="00357830">
        <w:rPr>
          <w:rFonts w:ascii="Calibri Light" w:eastAsia="Calibri" w:hAnsi="Calibri Light" w:cs="Calibri Light"/>
          <w:i/>
          <w:color w:val="000000"/>
          <w:sz w:val="24"/>
          <w:szCs w:val="24"/>
          <w:lang w:val="ro-MD"/>
        </w:rPr>
        <w:t>ț</w:t>
      </w:r>
      <w:r w:rsidRPr="00357830">
        <w:rPr>
          <w:rFonts w:ascii="Calibri Light" w:eastAsia="Calibri" w:hAnsi="Calibri Light" w:cs="Calibri Light"/>
          <w:i/>
          <w:color w:val="000000"/>
          <w:sz w:val="24"/>
          <w:szCs w:val="24"/>
          <w:lang w:val="ro-MD"/>
        </w:rPr>
        <w:t>i publice nu a</w:t>
      </w:r>
      <w:r w:rsidR="00DE4DFF" w:rsidRPr="00357830">
        <w:rPr>
          <w:rFonts w:ascii="Calibri Light" w:eastAsia="Calibri" w:hAnsi="Calibri Light" w:cs="Calibri Light"/>
          <w:i/>
          <w:color w:val="000000"/>
          <w:sz w:val="24"/>
          <w:szCs w:val="24"/>
          <w:lang w:val="ro-MD"/>
        </w:rPr>
        <w:t>u</w:t>
      </w:r>
      <w:r w:rsidRPr="00357830">
        <w:rPr>
          <w:rFonts w:ascii="Calibri Light" w:eastAsia="Calibri" w:hAnsi="Calibri Light" w:cs="Calibri Light"/>
          <w:i/>
          <w:color w:val="000000"/>
          <w:sz w:val="24"/>
          <w:szCs w:val="24"/>
          <w:lang w:val="ro-MD"/>
        </w:rPr>
        <w:t xml:space="preserve"> asigurat depunerea de către antreprenor a devizului de cheltuieli</w:t>
      </w:r>
      <w:r w:rsidR="00AD70AE" w:rsidRPr="00357830">
        <w:rPr>
          <w:rFonts w:ascii="Calibri Light" w:eastAsia="Calibri" w:hAnsi="Calibri Light" w:cs="Calibri Light"/>
          <w:i/>
          <w:color w:val="000000"/>
          <w:sz w:val="24"/>
          <w:szCs w:val="24"/>
          <w:lang w:val="ro-MD"/>
        </w:rPr>
        <w:t>,</w:t>
      </w:r>
      <w:r w:rsidRPr="00357830">
        <w:rPr>
          <w:rFonts w:ascii="Calibri Light" w:eastAsia="Calibri" w:hAnsi="Calibri Light" w:cs="Calibri Light"/>
          <w:i/>
          <w:color w:val="000000"/>
          <w:sz w:val="24"/>
          <w:szCs w:val="24"/>
          <w:lang w:val="ro-MD"/>
        </w:rPr>
        <w:t xml:space="preserve"> întocmit prin metoda de resurse</w:t>
      </w:r>
      <w:r w:rsidRPr="00357830">
        <w:rPr>
          <w:rFonts w:ascii="Calibri Light" w:eastAsia="Calibri" w:hAnsi="Calibri Light" w:cs="Calibri Light"/>
          <w:b/>
          <w:i/>
          <w:color w:val="000000"/>
          <w:sz w:val="24"/>
          <w:szCs w:val="24"/>
          <w:lang w:val="ro-MD"/>
        </w:rPr>
        <w:t xml:space="preserve"> (pct.4.2.2.)</w:t>
      </w:r>
      <w:r w:rsidRPr="00357830">
        <w:rPr>
          <w:rFonts w:ascii="Calibri Light" w:eastAsia="Calibri" w:hAnsi="Calibri Light" w:cs="Calibri Light"/>
          <w:i/>
          <w:color w:val="000000"/>
          <w:sz w:val="24"/>
          <w:szCs w:val="24"/>
          <w:lang w:val="ro-MD"/>
        </w:rPr>
        <w:t>;</w:t>
      </w:r>
    </w:p>
    <w:p w14:paraId="21FFCF24" w14:textId="77777777" w:rsidR="005A6446" w:rsidRPr="00363CFA"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57830">
        <w:rPr>
          <w:rFonts w:ascii="Calibri Light" w:eastAsia="Calibri" w:hAnsi="Calibri Light" w:cs="Calibri Light"/>
          <w:i/>
          <w:color w:val="000000"/>
          <w:sz w:val="24"/>
          <w:szCs w:val="24"/>
          <w:lang w:val="ro-MD"/>
        </w:rPr>
        <w:t xml:space="preserve"> la adjudecarea</w:t>
      </w:r>
      <w:r w:rsidRPr="00363CFA">
        <w:rPr>
          <w:rFonts w:ascii="Calibri Light" w:eastAsia="Calibri" w:hAnsi="Calibri Light" w:cs="Calibri Light"/>
          <w:i/>
          <w:color w:val="000000"/>
          <w:sz w:val="24"/>
          <w:szCs w:val="24"/>
          <w:lang w:val="ro-MD"/>
        </w:rPr>
        <w:t xml:space="preserve"> </w:t>
      </w:r>
      <w:r w:rsidR="0069374B" w:rsidRPr="00363CFA">
        <w:rPr>
          <w:rFonts w:ascii="Calibri Light" w:eastAsia="Calibri" w:hAnsi="Calibri Light" w:cs="Calibri Light"/>
          <w:i/>
          <w:color w:val="000000"/>
          <w:sz w:val="24"/>
          <w:szCs w:val="24"/>
          <w:lang w:val="ro-MD"/>
        </w:rPr>
        <w:t>ș</w:t>
      </w:r>
      <w:r w:rsidRPr="00363CFA">
        <w:rPr>
          <w:rFonts w:ascii="Calibri Light" w:eastAsia="Calibri" w:hAnsi="Calibri Light" w:cs="Calibri Light"/>
          <w:i/>
          <w:color w:val="000000"/>
          <w:sz w:val="24"/>
          <w:szCs w:val="24"/>
          <w:lang w:val="ro-MD"/>
        </w:rPr>
        <w:t>i executarea contractelor de achizi</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ie publică s-au admis cheltuieli neconforme în sumă de 117,2 mii lei</w:t>
      </w:r>
      <w:r w:rsidRPr="00363CFA">
        <w:rPr>
          <w:rFonts w:ascii="Calibri Light" w:eastAsia="Calibri" w:hAnsi="Calibri Light" w:cs="Calibri Light"/>
          <w:b/>
          <w:i/>
          <w:color w:val="000000"/>
          <w:sz w:val="24"/>
          <w:szCs w:val="24"/>
          <w:lang w:val="ro-MD"/>
        </w:rPr>
        <w:t xml:space="preserve"> (pct.4.2.2.)</w:t>
      </w:r>
      <w:r w:rsidRPr="00363CFA">
        <w:rPr>
          <w:rFonts w:ascii="Calibri Light" w:eastAsia="Calibri" w:hAnsi="Calibri Light" w:cs="Calibri Light"/>
          <w:i/>
          <w:color w:val="000000"/>
          <w:sz w:val="24"/>
          <w:szCs w:val="24"/>
          <w:lang w:val="ro-MD"/>
        </w:rPr>
        <w:t>;</w:t>
      </w:r>
    </w:p>
    <w:p w14:paraId="6DBA57FD" w14:textId="4E69359E" w:rsidR="005A6446" w:rsidRPr="00363CFA"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color w:val="000000"/>
          <w:sz w:val="24"/>
          <w:szCs w:val="24"/>
          <w:lang w:val="ro-MD"/>
        </w:rPr>
        <w:t xml:space="preserve"> s-a admis finan</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area lucrărilor de repara</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ie capitală la o institu</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ie din subordinea APC</w:t>
      </w:r>
      <w:r w:rsidR="00AD70AE">
        <w:rPr>
          <w:rFonts w:ascii="Calibri Light" w:eastAsia="Calibri" w:hAnsi="Calibri Light" w:cs="Calibri Light"/>
          <w:i/>
          <w:color w:val="000000"/>
          <w:sz w:val="24"/>
          <w:szCs w:val="24"/>
          <w:lang w:val="ro-MD"/>
        </w:rPr>
        <w:t>,</w:t>
      </w:r>
      <w:r w:rsidRPr="00363CFA">
        <w:rPr>
          <w:rFonts w:ascii="Calibri Light" w:eastAsia="Calibri" w:hAnsi="Calibri Light" w:cs="Calibri Light"/>
          <w:i/>
          <w:color w:val="000000"/>
          <w:sz w:val="24"/>
          <w:szCs w:val="24"/>
          <w:lang w:val="ro-MD"/>
        </w:rPr>
        <w:t xml:space="preserve"> în sumă de </w:t>
      </w:r>
      <w:r w:rsidRPr="00363CFA">
        <w:rPr>
          <w:rFonts w:ascii="Calibri Light" w:eastAsia="Calibri" w:hAnsi="Calibri Light" w:cs="Calibri Light"/>
          <w:bCs/>
          <w:i/>
          <w:color w:val="000000"/>
          <w:sz w:val="24"/>
          <w:szCs w:val="24"/>
          <w:lang w:val="ro-MD"/>
        </w:rPr>
        <w:t>185,9 mii lei</w:t>
      </w:r>
      <w:r w:rsidRPr="00363CFA">
        <w:rPr>
          <w:rFonts w:ascii="Calibri Light" w:eastAsia="Calibri" w:hAnsi="Calibri Light" w:cs="Calibri Light"/>
          <w:b/>
          <w:i/>
          <w:color w:val="000000"/>
          <w:sz w:val="24"/>
          <w:szCs w:val="24"/>
          <w:lang w:val="ro-MD"/>
        </w:rPr>
        <w:t xml:space="preserve"> (pct.4.2.3.)</w:t>
      </w:r>
      <w:r w:rsidRPr="00363CFA">
        <w:rPr>
          <w:rFonts w:ascii="Calibri Light" w:eastAsia="Calibri" w:hAnsi="Calibri Light" w:cs="Calibri Light"/>
          <w:i/>
          <w:color w:val="000000"/>
          <w:sz w:val="24"/>
          <w:szCs w:val="24"/>
          <w:lang w:val="ro-MD"/>
        </w:rPr>
        <w:t>;</w:t>
      </w:r>
    </w:p>
    <w:p w14:paraId="20CE82CB" w14:textId="3B383113" w:rsidR="005A6446" w:rsidRPr="00363CFA"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color w:val="000000"/>
          <w:sz w:val="24"/>
          <w:szCs w:val="24"/>
          <w:lang w:val="ro-MD"/>
        </w:rPr>
        <w:t xml:space="preserve"> s-au admis cheltuieli neregulamentare pentru remunerarea muncii </w:t>
      </w:r>
      <w:r w:rsidR="00EF52DF" w:rsidRPr="00363CFA">
        <w:rPr>
          <w:rFonts w:ascii="Calibri Light" w:eastAsia="Calibri" w:hAnsi="Calibri Light" w:cs="Calibri Light"/>
          <w:i/>
          <w:color w:val="000000"/>
          <w:sz w:val="24"/>
          <w:szCs w:val="24"/>
          <w:lang w:val="ro-MD"/>
        </w:rPr>
        <w:t xml:space="preserve">statelor de personal neavizate de Cancelaria de </w:t>
      </w:r>
      <w:r w:rsidR="00AD70AE">
        <w:rPr>
          <w:rFonts w:ascii="Calibri Light" w:eastAsia="Calibri" w:hAnsi="Calibri Light" w:cs="Calibri Light"/>
          <w:i/>
          <w:color w:val="000000"/>
          <w:sz w:val="24"/>
          <w:szCs w:val="24"/>
          <w:lang w:val="ro-MD"/>
        </w:rPr>
        <w:t>S</w:t>
      </w:r>
      <w:r w:rsidR="00EF52DF" w:rsidRPr="00363CFA">
        <w:rPr>
          <w:rFonts w:ascii="Calibri Light" w:eastAsia="Calibri" w:hAnsi="Calibri Light" w:cs="Calibri Light"/>
          <w:i/>
          <w:color w:val="000000"/>
          <w:sz w:val="24"/>
          <w:szCs w:val="24"/>
          <w:lang w:val="ro-MD"/>
        </w:rPr>
        <w:t>tat</w:t>
      </w:r>
      <w:r w:rsidR="00AD70AE">
        <w:rPr>
          <w:rFonts w:ascii="Calibri Light" w:eastAsia="Calibri" w:hAnsi="Calibri Light" w:cs="Calibri Light"/>
          <w:i/>
          <w:color w:val="000000"/>
          <w:sz w:val="24"/>
          <w:szCs w:val="24"/>
          <w:lang w:val="ro-MD"/>
        </w:rPr>
        <w:t>,</w:t>
      </w:r>
      <w:r w:rsidR="00EF52DF" w:rsidRPr="00363CFA">
        <w:rPr>
          <w:rFonts w:ascii="Calibri Light" w:eastAsia="Calibri" w:hAnsi="Calibri Light" w:cs="Calibri Light"/>
          <w:i/>
          <w:color w:val="000000"/>
          <w:sz w:val="24"/>
          <w:szCs w:val="24"/>
          <w:lang w:val="ro-MD"/>
        </w:rPr>
        <w:t xml:space="preserve"> </w:t>
      </w:r>
      <w:r w:rsidRPr="00363CFA">
        <w:rPr>
          <w:rFonts w:ascii="Calibri Light" w:eastAsia="Calibri" w:hAnsi="Calibri Light" w:cs="Calibri Light"/>
          <w:i/>
          <w:color w:val="000000"/>
          <w:sz w:val="24"/>
          <w:szCs w:val="24"/>
          <w:lang w:val="ro-MD"/>
        </w:rPr>
        <w:t xml:space="preserve">în sumă de </w:t>
      </w:r>
      <w:r w:rsidR="009E096A" w:rsidRPr="00363CFA">
        <w:rPr>
          <w:rFonts w:ascii="Calibri Light" w:eastAsia="Calibri" w:hAnsi="Calibri Light" w:cs="Calibri Light"/>
          <w:i/>
          <w:color w:val="000000" w:themeColor="text1"/>
          <w:sz w:val="24"/>
          <w:szCs w:val="24"/>
          <w:lang w:val="ro-MD"/>
        </w:rPr>
        <w:t>4979,2</w:t>
      </w:r>
      <w:r w:rsidRPr="00363CFA">
        <w:rPr>
          <w:rFonts w:ascii="Calibri Light" w:eastAsia="Calibri" w:hAnsi="Calibri Light" w:cs="Calibri Light"/>
          <w:i/>
          <w:color w:val="000000" w:themeColor="text1"/>
          <w:sz w:val="24"/>
          <w:szCs w:val="24"/>
          <w:lang w:val="ro-MD"/>
        </w:rPr>
        <w:t xml:space="preserve"> </w:t>
      </w:r>
      <w:r w:rsidRPr="00363CFA">
        <w:rPr>
          <w:rFonts w:ascii="Calibri Light" w:eastAsia="Calibri" w:hAnsi="Calibri Light" w:cs="Calibri Light"/>
          <w:i/>
          <w:color w:val="000000"/>
          <w:sz w:val="24"/>
          <w:szCs w:val="24"/>
          <w:lang w:val="ro-MD"/>
        </w:rPr>
        <w:t>mii lei</w:t>
      </w:r>
      <w:r w:rsidR="00987EAF" w:rsidRPr="00363CFA">
        <w:rPr>
          <w:rFonts w:ascii="Calibri Light" w:eastAsia="Calibri" w:hAnsi="Calibri Light" w:cs="Calibri Light"/>
          <w:i/>
          <w:color w:val="000000"/>
          <w:sz w:val="24"/>
          <w:szCs w:val="24"/>
          <w:lang w:val="ro-MD"/>
        </w:rPr>
        <w:t xml:space="preserve"> (Curtea de Conturi a Găgăuziei; Comisia Electorală Centrală a Găgăuziei; </w:t>
      </w:r>
      <w:r w:rsidR="00987EAF" w:rsidRPr="003C2D6D">
        <w:rPr>
          <w:rFonts w:ascii="Calibri Light" w:eastAsia="Calibri" w:hAnsi="Calibri Light" w:cs="Calibri Light"/>
          <w:i/>
          <w:color w:val="000000"/>
          <w:sz w:val="24"/>
          <w:szCs w:val="24"/>
          <w:lang w:val="ro-MD"/>
        </w:rPr>
        <w:t>Administra</w:t>
      </w:r>
      <w:r w:rsidR="0069374B" w:rsidRPr="00A87C8B">
        <w:rPr>
          <w:rFonts w:ascii="Calibri Light" w:eastAsia="Calibri" w:hAnsi="Calibri Light" w:cs="Calibri Light"/>
          <w:i/>
          <w:color w:val="000000"/>
          <w:sz w:val="24"/>
          <w:szCs w:val="24"/>
          <w:lang w:val="ro-MD"/>
        </w:rPr>
        <w:t>ț</w:t>
      </w:r>
      <w:r w:rsidR="00987EAF" w:rsidRPr="00A87C8B">
        <w:rPr>
          <w:rFonts w:ascii="Calibri Light" w:eastAsia="Calibri" w:hAnsi="Calibri Light" w:cs="Calibri Light"/>
          <w:i/>
          <w:color w:val="000000"/>
          <w:sz w:val="24"/>
          <w:szCs w:val="24"/>
          <w:lang w:val="ro-MD"/>
        </w:rPr>
        <w:t xml:space="preserve">iile </w:t>
      </w:r>
      <w:r w:rsidR="00357830" w:rsidRPr="00F30888">
        <w:rPr>
          <w:rFonts w:ascii="Calibri Light" w:eastAsia="Calibri" w:hAnsi="Calibri Light" w:cs="Calibri Light"/>
          <w:i/>
          <w:color w:val="000000"/>
          <w:sz w:val="24"/>
          <w:szCs w:val="24"/>
          <w:lang w:val="ro-MD"/>
        </w:rPr>
        <w:t>d</w:t>
      </w:r>
      <w:r w:rsidR="00987EAF" w:rsidRPr="00A87C8B">
        <w:rPr>
          <w:rFonts w:ascii="Calibri Light" w:eastAsia="Calibri" w:hAnsi="Calibri Light" w:cs="Calibri Light"/>
          <w:i/>
          <w:color w:val="000000"/>
          <w:sz w:val="24"/>
          <w:szCs w:val="24"/>
          <w:lang w:val="ro-MD"/>
        </w:rPr>
        <w:t>olayurilor Comrat</w:t>
      </w:r>
      <w:r w:rsidR="00987EAF" w:rsidRPr="00363CFA">
        <w:rPr>
          <w:rFonts w:ascii="Calibri Light" w:eastAsia="Calibri" w:hAnsi="Calibri Light" w:cs="Calibri Light"/>
          <w:i/>
          <w:color w:val="000000"/>
          <w:sz w:val="24"/>
          <w:szCs w:val="24"/>
          <w:lang w:val="ro-MD"/>
        </w:rPr>
        <w:t>, Cead</w:t>
      </w:r>
      <w:r w:rsidR="00AD70AE">
        <w:rPr>
          <w:rFonts w:ascii="Calibri Light" w:eastAsia="Calibri" w:hAnsi="Calibri Light" w:cs="Calibri Light"/>
          <w:i/>
          <w:color w:val="000000"/>
          <w:sz w:val="24"/>
          <w:szCs w:val="24"/>
          <w:lang w:val="ro-MD"/>
        </w:rPr>
        <w:t>â</w:t>
      </w:r>
      <w:r w:rsidR="00987EAF" w:rsidRPr="00363CFA">
        <w:rPr>
          <w:rFonts w:ascii="Calibri Light" w:eastAsia="Calibri" w:hAnsi="Calibri Light" w:cs="Calibri Light"/>
          <w:i/>
          <w:color w:val="000000"/>
          <w:sz w:val="24"/>
          <w:szCs w:val="24"/>
          <w:lang w:val="ro-MD"/>
        </w:rPr>
        <w:t xml:space="preserve">r-Lunga </w:t>
      </w:r>
      <w:r w:rsidR="0069374B" w:rsidRPr="00363CFA">
        <w:rPr>
          <w:rFonts w:ascii="Calibri Light" w:eastAsia="Calibri" w:hAnsi="Calibri Light" w:cs="Calibri Light"/>
          <w:i/>
          <w:color w:val="000000"/>
          <w:sz w:val="24"/>
          <w:szCs w:val="24"/>
          <w:lang w:val="ro-MD"/>
        </w:rPr>
        <w:t>ș</w:t>
      </w:r>
      <w:r w:rsidR="00987EAF" w:rsidRPr="00363CFA">
        <w:rPr>
          <w:rFonts w:ascii="Calibri Light" w:eastAsia="Calibri" w:hAnsi="Calibri Light" w:cs="Calibri Light"/>
          <w:i/>
          <w:color w:val="000000"/>
          <w:sz w:val="24"/>
          <w:szCs w:val="24"/>
          <w:lang w:val="ro-MD"/>
        </w:rPr>
        <w:t>i Vulcăne</w:t>
      </w:r>
      <w:r w:rsidR="0069374B" w:rsidRPr="00363CFA">
        <w:rPr>
          <w:rFonts w:ascii="Calibri Light" w:eastAsia="Calibri" w:hAnsi="Calibri Light" w:cs="Calibri Light"/>
          <w:i/>
          <w:color w:val="000000"/>
          <w:sz w:val="24"/>
          <w:szCs w:val="24"/>
          <w:lang w:val="ro-MD"/>
        </w:rPr>
        <w:t>ș</w:t>
      </w:r>
      <w:r w:rsidR="00987EAF" w:rsidRPr="00363CFA">
        <w:rPr>
          <w:rFonts w:ascii="Calibri Light" w:eastAsia="Calibri" w:hAnsi="Calibri Light" w:cs="Calibri Light"/>
          <w:i/>
          <w:color w:val="000000"/>
          <w:sz w:val="24"/>
          <w:szCs w:val="24"/>
          <w:lang w:val="ro-MD"/>
        </w:rPr>
        <w:t xml:space="preserve">ti) </w:t>
      </w:r>
      <w:r w:rsidRPr="00363CFA">
        <w:rPr>
          <w:rFonts w:ascii="Calibri Light" w:eastAsia="Calibri" w:hAnsi="Calibri Light" w:cs="Calibri Light"/>
          <w:b/>
          <w:i/>
          <w:color w:val="000000"/>
          <w:sz w:val="24"/>
          <w:szCs w:val="24"/>
          <w:lang w:val="ro-MD"/>
        </w:rPr>
        <w:t xml:space="preserve"> (pct.4.2.4.)</w:t>
      </w:r>
      <w:r w:rsidRPr="00363CFA">
        <w:rPr>
          <w:rFonts w:ascii="Calibri Light" w:eastAsia="Calibri" w:hAnsi="Calibri Light" w:cs="Calibri Light"/>
          <w:i/>
          <w:color w:val="000000"/>
          <w:sz w:val="24"/>
          <w:szCs w:val="24"/>
          <w:lang w:val="ro-MD"/>
        </w:rPr>
        <w:t>;</w:t>
      </w:r>
    </w:p>
    <w:p w14:paraId="2D7C5F38" w14:textId="56BCF921" w:rsidR="005A6446" w:rsidRPr="00363CFA" w:rsidRDefault="00AD70AE"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Pr>
          <w:rFonts w:ascii="Calibri Light" w:eastAsia="Calibri" w:hAnsi="Calibri Light" w:cs="Calibri Light"/>
          <w:i/>
          <w:color w:val="000000"/>
          <w:sz w:val="24"/>
          <w:szCs w:val="24"/>
          <w:lang w:val="ro-MD"/>
        </w:rPr>
        <w:t xml:space="preserve"> </w:t>
      </w:r>
      <w:r w:rsidR="00EF52DF" w:rsidRPr="00363CFA">
        <w:rPr>
          <w:rFonts w:ascii="Calibri Light" w:eastAsia="Calibri" w:hAnsi="Calibri Light" w:cs="Calibri Light"/>
          <w:i/>
          <w:color w:val="000000"/>
          <w:sz w:val="24"/>
          <w:szCs w:val="24"/>
          <w:lang w:val="ro-MD"/>
        </w:rPr>
        <w:t xml:space="preserve">APL de nivelul I </w:t>
      </w:r>
      <w:r w:rsidR="005A6446" w:rsidRPr="00363CFA">
        <w:rPr>
          <w:rFonts w:ascii="Calibri Light" w:eastAsia="Calibri" w:hAnsi="Calibri Light" w:cs="Calibri Light"/>
          <w:i/>
          <w:color w:val="000000"/>
          <w:sz w:val="24"/>
          <w:szCs w:val="24"/>
          <w:lang w:val="ro-MD"/>
        </w:rPr>
        <w:t xml:space="preserve">nu au respectat limitele minime ale normelor calorice </w:t>
      </w:r>
      <w:r w:rsidR="0069374B" w:rsidRPr="00363CFA">
        <w:rPr>
          <w:rFonts w:ascii="Calibri Light" w:eastAsia="Calibri" w:hAnsi="Calibri Light" w:cs="Calibri Light"/>
          <w:i/>
          <w:color w:val="000000"/>
          <w:sz w:val="24"/>
          <w:szCs w:val="24"/>
          <w:lang w:val="ro-MD"/>
        </w:rPr>
        <w:t>ș</w:t>
      </w:r>
      <w:r w:rsidR="005A6446" w:rsidRPr="00363CFA">
        <w:rPr>
          <w:rFonts w:ascii="Calibri Light" w:eastAsia="Calibri" w:hAnsi="Calibri Light" w:cs="Calibri Light"/>
          <w:i/>
          <w:color w:val="000000"/>
          <w:sz w:val="24"/>
          <w:szCs w:val="24"/>
          <w:lang w:val="ro-MD"/>
        </w:rPr>
        <w:t>i financiare de cheltuieli pentru alimenta</w:t>
      </w:r>
      <w:r w:rsidR="0069374B" w:rsidRPr="00363CFA">
        <w:rPr>
          <w:rFonts w:ascii="Calibri Light" w:eastAsia="Calibri" w:hAnsi="Calibri Light" w:cs="Calibri Light"/>
          <w:i/>
          <w:color w:val="000000"/>
          <w:sz w:val="24"/>
          <w:szCs w:val="24"/>
          <w:lang w:val="ro-MD"/>
        </w:rPr>
        <w:t>ț</w:t>
      </w:r>
      <w:r w:rsidR="005A6446" w:rsidRPr="00363CFA">
        <w:rPr>
          <w:rFonts w:ascii="Calibri Light" w:eastAsia="Calibri" w:hAnsi="Calibri Light" w:cs="Calibri Light"/>
          <w:i/>
          <w:color w:val="000000"/>
          <w:sz w:val="24"/>
          <w:szCs w:val="24"/>
          <w:lang w:val="ro-MD"/>
        </w:rPr>
        <w:t xml:space="preserve">ia copiilor </w:t>
      </w:r>
      <w:r w:rsidR="005A6446" w:rsidRPr="00363CFA">
        <w:rPr>
          <w:rFonts w:ascii="Calibri Light" w:eastAsia="Calibri" w:hAnsi="Calibri Light" w:cs="Calibri Light"/>
          <w:b/>
          <w:i/>
          <w:color w:val="000000"/>
          <w:sz w:val="24"/>
          <w:szCs w:val="24"/>
          <w:lang w:val="ro-MD"/>
        </w:rPr>
        <w:t>(pct.4.2.5.1.)</w:t>
      </w:r>
      <w:r w:rsidR="005A6446" w:rsidRPr="00363CFA">
        <w:rPr>
          <w:rFonts w:ascii="Calibri Light" w:eastAsia="Calibri" w:hAnsi="Calibri Light" w:cs="Calibri Light"/>
          <w:i/>
          <w:color w:val="000000"/>
          <w:sz w:val="24"/>
          <w:szCs w:val="24"/>
          <w:lang w:val="ro-MD"/>
        </w:rPr>
        <w:t>;</w:t>
      </w:r>
    </w:p>
    <w:p w14:paraId="175DA709" w14:textId="2F39BEF2" w:rsidR="005A6446" w:rsidRPr="00363CFA"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color w:val="000000"/>
          <w:sz w:val="24"/>
          <w:szCs w:val="24"/>
          <w:lang w:val="ro-MD"/>
        </w:rPr>
        <w:lastRenderedPageBreak/>
        <w:t>unele autorită</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i/institu</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 xml:space="preserve">ii din UTA Găgăuzia au admis </w:t>
      </w:r>
      <w:r w:rsidR="00DE4DFF" w:rsidRPr="00363CFA">
        <w:rPr>
          <w:rFonts w:ascii="Calibri Light" w:eastAsia="Calibri" w:hAnsi="Calibri Light" w:cs="Calibri Light"/>
          <w:i/>
          <w:color w:val="000000"/>
          <w:sz w:val="24"/>
          <w:szCs w:val="24"/>
          <w:lang w:val="ro-MD"/>
        </w:rPr>
        <w:t xml:space="preserve">utilizarea </w:t>
      </w:r>
      <w:r w:rsidRPr="00363CFA">
        <w:rPr>
          <w:rFonts w:ascii="Calibri Light" w:eastAsia="Calibri" w:hAnsi="Calibri Light" w:cs="Calibri Light"/>
          <w:i/>
          <w:color w:val="000000"/>
          <w:sz w:val="24"/>
          <w:szCs w:val="24"/>
          <w:lang w:val="ro-MD"/>
        </w:rPr>
        <w:t>de fonduri în alte scopuri decât cele institu</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ionale</w:t>
      </w:r>
      <w:r w:rsidR="00AD70AE">
        <w:rPr>
          <w:rFonts w:ascii="Calibri Light" w:eastAsia="Calibri" w:hAnsi="Calibri Light" w:cs="Calibri Light"/>
          <w:i/>
          <w:color w:val="000000"/>
          <w:sz w:val="24"/>
          <w:szCs w:val="24"/>
          <w:lang w:val="ro-MD"/>
        </w:rPr>
        <w:t>,</w:t>
      </w:r>
      <w:r w:rsidRPr="00363CFA">
        <w:rPr>
          <w:rFonts w:ascii="Calibri Light" w:eastAsia="Calibri" w:hAnsi="Calibri Light" w:cs="Calibri Light"/>
          <w:i/>
          <w:color w:val="000000"/>
          <w:sz w:val="24"/>
          <w:szCs w:val="24"/>
          <w:lang w:val="ro-MD"/>
        </w:rPr>
        <w:t xml:space="preserve"> în sumă totală de 2559,4 mii lei</w:t>
      </w:r>
      <w:r w:rsidRPr="00363CFA">
        <w:rPr>
          <w:rFonts w:ascii="Calibri Light" w:eastAsia="Calibri" w:hAnsi="Calibri Light" w:cs="Calibri Light"/>
          <w:b/>
          <w:i/>
          <w:color w:val="000000"/>
          <w:sz w:val="24"/>
          <w:szCs w:val="24"/>
          <w:lang w:val="ro-MD"/>
        </w:rPr>
        <w:t xml:space="preserve"> (pct.4.2.6.)</w:t>
      </w:r>
      <w:r w:rsidRPr="00363CFA">
        <w:rPr>
          <w:rFonts w:ascii="Calibri Light" w:eastAsia="Calibri" w:hAnsi="Calibri Light" w:cs="Calibri Light"/>
          <w:i/>
          <w:color w:val="000000"/>
          <w:sz w:val="24"/>
          <w:szCs w:val="24"/>
          <w:lang w:val="ro-MD"/>
        </w:rPr>
        <w:t>;</w:t>
      </w:r>
    </w:p>
    <w:p w14:paraId="7EDDC6E1" w14:textId="7CCE3618" w:rsidR="006F1BA3" w:rsidRPr="00363CFA" w:rsidRDefault="005A6446" w:rsidP="006F1BA3">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color w:val="000000"/>
          <w:sz w:val="24"/>
          <w:szCs w:val="24"/>
          <w:lang w:val="ro-MD"/>
        </w:rPr>
        <w:t xml:space="preserve"> devizele de cheltuieli pentru deservirea delega</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 xml:space="preserve">iilor </w:t>
      </w:r>
      <w:r w:rsidR="0069374B" w:rsidRPr="00363CFA">
        <w:rPr>
          <w:rFonts w:ascii="Calibri Light" w:eastAsia="Calibri" w:hAnsi="Calibri Light" w:cs="Calibri Light"/>
          <w:i/>
          <w:color w:val="000000"/>
          <w:sz w:val="24"/>
          <w:szCs w:val="24"/>
          <w:lang w:val="ro-MD"/>
        </w:rPr>
        <w:t>ș</w:t>
      </w:r>
      <w:r w:rsidRPr="00363CFA">
        <w:rPr>
          <w:rFonts w:ascii="Calibri Light" w:eastAsia="Calibri" w:hAnsi="Calibri Light" w:cs="Calibri Light"/>
          <w:i/>
          <w:color w:val="000000"/>
          <w:sz w:val="24"/>
          <w:szCs w:val="24"/>
          <w:lang w:val="ro-MD"/>
        </w:rPr>
        <w:t xml:space="preserve">i persoanelor oficiale străine </w:t>
      </w:r>
      <w:r w:rsidR="0069374B" w:rsidRPr="00363CFA">
        <w:rPr>
          <w:rFonts w:ascii="Calibri Light" w:eastAsia="Calibri" w:hAnsi="Calibri Light" w:cs="Calibri Light"/>
          <w:i/>
          <w:color w:val="000000"/>
          <w:sz w:val="24"/>
          <w:szCs w:val="24"/>
          <w:lang w:val="ro-MD"/>
        </w:rPr>
        <w:t>ș</w:t>
      </w:r>
      <w:r w:rsidRPr="00363CFA">
        <w:rPr>
          <w:rFonts w:ascii="Calibri Light" w:eastAsia="Calibri" w:hAnsi="Calibri Light" w:cs="Calibri Light"/>
          <w:i/>
          <w:color w:val="000000"/>
          <w:sz w:val="24"/>
          <w:szCs w:val="24"/>
          <w:lang w:val="ro-MD"/>
        </w:rPr>
        <w:t>i pentru activită</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ile de organizare a conferin</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elor, simpozioanelor, festivalurilor etc. se întocmesc în mod arbitrar</w:t>
      </w:r>
      <w:r w:rsidR="00DE4DFF" w:rsidRPr="00363CFA">
        <w:rPr>
          <w:rFonts w:ascii="Calibri Light" w:eastAsia="Calibri" w:hAnsi="Calibri Light" w:cs="Calibri Light"/>
          <w:i/>
          <w:color w:val="000000"/>
          <w:sz w:val="24"/>
          <w:szCs w:val="24"/>
          <w:lang w:val="ro-MD"/>
        </w:rPr>
        <w:t xml:space="preserve">, în lipsa unor </w:t>
      </w:r>
      <w:r w:rsidRPr="00363CFA">
        <w:rPr>
          <w:rFonts w:ascii="Calibri Light" w:eastAsia="Calibri" w:hAnsi="Calibri Light" w:cs="Calibri Light"/>
          <w:i/>
          <w:color w:val="000000"/>
          <w:sz w:val="24"/>
          <w:szCs w:val="24"/>
          <w:lang w:val="ro-MD"/>
        </w:rPr>
        <w:t xml:space="preserve">norme </w:t>
      </w:r>
      <w:r w:rsidR="00DE4DFF" w:rsidRPr="00363CFA">
        <w:rPr>
          <w:rFonts w:ascii="Calibri Light" w:eastAsia="Calibri" w:hAnsi="Calibri Light" w:cs="Calibri Light"/>
          <w:i/>
          <w:color w:val="000000"/>
          <w:sz w:val="24"/>
          <w:szCs w:val="24"/>
          <w:lang w:val="ro-MD"/>
        </w:rPr>
        <w:t xml:space="preserve">aprobate </w:t>
      </w:r>
      <w:r w:rsidRPr="00363CFA">
        <w:rPr>
          <w:rFonts w:ascii="Calibri Light" w:eastAsia="Calibri" w:hAnsi="Calibri Light" w:cs="Calibri Light"/>
          <w:i/>
          <w:color w:val="000000"/>
          <w:sz w:val="24"/>
          <w:szCs w:val="24"/>
          <w:lang w:val="ro-MD"/>
        </w:rPr>
        <w:t>prin care s-ar reglementa limitele de cheltuieli pentru astfel de activită</w:t>
      </w:r>
      <w:r w:rsidR="0069374B" w:rsidRPr="00363CFA">
        <w:rPr>
          <w:rFonts w:ascii="Calibri Light" w:eastAsia="Calibri" w:hAnsi="Calibri Light" w:cs="Calibri Light"/>
          <w:i/>
          <w:color w:val="000000"/>
          <w:sz w:val="24"/>
          <w:szCs w:val="24"/>
          <w:lang w:val="ro-MD"/>
        </w:rPr>
        <w:t>ț</w:t>
      </w:r>
      <w:r w:rsidRPr="00363CFA">
        <w:rPr>
          <w:rFonts w:ascii="Calibri Light" w:eastAsia="Calibri" w:hAnsi="Calibri Light" w:cs="Calibri Light"/>
          <w:i/>
          <w:color w:val="000000"/>
          <w:sz w:val="24"/>
          <w:szCs w:val="24"/>
          <w:lang w:val="ro-MD"/>
        </w:rPr>
        <w:t>i, fapt ce poate genera unele cheltuieli de protocol exagerate</w:t>
      </w:r>
      <w:r w:rsidRPr="00363CFA">
        <w:rPr>
          <w:rFonts w:ascii="Calibri Light" w:eastAsia="Calibri" w:hAnsi="Calibri Light" w:cs="Calibri Light"/>
          <w:b/>
          <w:i/>
          <w:color w:val="000000"/>
          <w:sz w:val="24"/>
          <w:szCs w:val="24"/>
          <w:lang w:val="ro-MD"/>
        </w:rPr>
        <w:t xml:space="preserve"> (pct.4.2.6.)</w:t>
      </w:r>
      <w:r w:rsidRPr="00363CFA">
        <w:rPr>
          <w:rFonts w:ascii="Calibri Light" w:eastAsia="Calibri" w:hAnsi="Calibri Light" w:cs="Calibri Light"/>
          <w:i/>
          <w:color w:val="000000"/>
          <w:sz w:val="24"/>
          <w:szCs w:val="24"/>
          <w:lang w:val="ro-MD"/>
        </w:rPr>
        <w:t>;</w:t>
      </w:r>
    </w:p>
    <w:p w14:paraId="78A262C0" w14:textId="6FA9858B" w:rsidR="005A6446" w:rsidRPr="00363CFA"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sz w:val="24"/>
          <w:szCs w:val="24"/>
          <w:lang w:val="ro-MD"/>
        </w:rPr>
        <w:t xml:space="preserve">nu s-a asigurat contabilizarea integrală a patrimoniului gestionat de către IMSP din UTA Găgăuzia, precum </w:t>
      </w:r>
      <w:r w:rsidR="0069374B" w:rsidRPr="00363CFA">
        <w:rPr>
          <w:rFonts w:ascii="Calibri Light" w:eastAsia="Calibri" w:hAnsi="Calibri Light" w:cs="Calibri Light"/>
          <w:i/>
          <w:sz w:val="24"/>
          <w:szCs w:val="24"/>
          <w:lang w:val="ro-MD"/>
        </w:rPr>
        <w:t>ș</w:t>
      </w:r>
      <w:r w:rsidRPr="00363CFA">
        <w:rPr>
          <w:rFonts w:ascii="Calibri Light" w:eastAsia="Calibri" w:hAnsi="Calibri Light" w:cs="Calibri Light"/>
          <w:i/>
          <w:sz w:val="24"/>
          <w:szCs w:val="24"/>
          <w:lang w:val="ro-MD"/>
        </w:rPr>
        <w:t xml:space="preserve">i înregistrarea dreptului de proprietate asupra acestuia, în sumă totală de 137966,0 mii lei </w:t>
      </w:r>
      <w:r w:rsidRPr="00363CFA">
        <w:rPr>
          <w:rFonts w:ascii="Calibri Light" w:eastAsia="Calibri" w:hAnsi="Calibri Light" w:cs="Calibri Light"/>
          <w:b/>
          <w:i/>
          <w:color w:val="000000"/>
          <w:sz w:val="24"/>
          <w:szCs w:val="24"/>
          <w:lang w:val="ro-MD"/>
        </w:rPr>
        <w:t>(pct.4.3.1.)</w:t>
      </w:r>
      <w:r w:rsidRPr="00363CFA">
        <w:rPr>
          <w:rFonts w:ascii="Calibri Light" w:eastAsia="Calibri" w:hAnsi="Calibri Light" w:cs="Calibri Light"/>
          <w:i/>
          <w:color w:val="000000"/>
          <w:sz w:val="24"/>
          <w:szCs w:val="24"/>
          <w:lang w:val="ro-MD"/>
        </w:rPr>
        <w:t>;</w:t>
      </w:r>
    </w:p>
    <w:p w14:paraId="08B3534B" w14:textId="0DFE33C7" w:rsidR="005A6446" w:rsidRPr="00363CFA" w:rsidRDefault="005A6446" w:rsidP="005A6446">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o-MD"/>
        </w:rPr>
      </w:pPr>
      <w:r w:rsidRPr="00363CFA">
        <w:rPr>
          <w:rFonts w:ascii="Calibri Light" w:eastAsia="Calibri" w:hAnsi="Calibri Light" w:cs="Calibri Light"/>
          <w:i/>
          <w:color w:val="000000"/>
          <w:sz w:val="24"/>
          <w:szCs w:val="24"/>
          <w:lang w:val="ro-MD"/>
        </w:rPr>
        <w:t xml:space="preserve"> s-a decis repartizarea grâului alimentar din rezerva materială a Găgăuziei în lipsa solicitărilor APL </w:t>
      </w:r>
      <w:r w:rsidR="00AD70AE">
        <w:rPr>
          <w:rFonts w:ascii="Calibri Light" w:eastAsia="Calibri" w:hAnsi="Calibri Light" w:cs="Calibri Light"/>
          <w:i/>
          <w:color w:val="000000"/>
          <w:sz w:val="24"/>
          <w:szCs w:val="24"/>
          <w:lang w:val="ro-MD"/>
        </w:rPr>
        <w:t xml:space="preserve">de </w:t>
      </w:r>
      <w:r w:rsidRPr="00363CFA">
        <w:rPr>
          <w:rFonts w:ascii="Calibri Light" w:eastAsia="Calibri" w:hAnsi="Calibri Light" w:cs="Calibri Light"/>
          <w:i/>
          <w:color w:val="000000"/>
          <w:sz w:val="24"/>
          <w:szCs w:val="24"/>
          <w:lang w:val="ro-MD"/>
        </w:rPr>
        <w:t>nivelul I</w:t>
      </w:r>
      <w:r w:rsidR="00B44D9B">
        <w:rPr>
          <w:rFonts w:ascii="Calibri Light" w:eastAsia="Calibri" w:hAnsi="Calibri Light" w:cs="Calibri Light"/>
          <w:b/>
          <w:i/>
          <w:color w:val="000000"/>
          <w:sz w:val="24"/>
          <w:szCs w:val="24"/>
          <w:lang w:val="ro-MD"/>
        </w:rPr>
        <w:t xml:space="preserve"> (pct.4.3.2</w:t>
      </w:r>
      <w:r w:rsidRPr="00363CFA">
        <w:rPr>
          <w:rFonts w:ascii="Calibri Light" w:eastAsia="Calibri" w:hAnsi="Calibri Light" w:cs="Calibri Light"/>
          <w:b/>
          <w:i/>
          <w:color w:val="000000"/>
          <w:sz w:val="24"/>
          <w:szCs w:val="24"/>
          <w:lang w:val="ro-MD"/>
        </w:rPr>
        <w:t>.)</w:t>
      </w:r>
      <w:r w:rsidR="0067113E">
        <w:rPr>
          <w:rFonts w:ascii="Calibri Light" w:eastAsia="Calibri" w:hAnsi="Calibri Light" w:cs="Calibri Light"/>
          <w:i/>
          <w:color w:val="000000"/>
          <w:sz w:val="24"/>
          <w:szCs w:val="24"/>
          <w:lang w:val="ro-MD"/>
        </w:rPr>
        <w:t>.</w:t>
      </w:r>
    </w:p>
    <w:p w14:paraId="628F1B51" w14:textId="77777777" w:rsidR="00C23DCE" w:rsidRPr="00363CFA" w:rsidRDefault="00C23DCE" w:rsidP="005A6446">
      <w:pPr>
        <w:spacing w:after="0" w:line="276" w:lineRule="auto"/>
        <w:contextualSpacing/>
        <w:jc w:val="both"/>
        <w:rPr>
          <w:rFonts w:asciiTheme="majorHAnsi" w:hAnsiTheme="majorHAnsi" w:cstheme="majorHAnsi"/>
          <w:sz w:val="24"/>
          <w:szCs w:val="24"/>
          <w:lang w:val="ro-MD"/>
        </w:rPr>
      </w:pPr>
    </w:p>
    <w:p w14:paraId="2717DFAC" w14:textId="77777777" w:rsidR="00C23DCE" w:rsidRPr="00363CFA" w:rsidRDefault="00C23DCE" w:rsidP="005D2EDD">
      <w:pPr>
        <w:keepNext/>
        <w:keepLines/>
        <w:spacing w:after="0" w:line="276" w:lineRule="auto"/>
        <w:ind w:firstLine="709"/>
        <w:jc w:val="both"/>
        <w:outlineLvl w:val="0"/>
        <w:rPr>
          <w:rFonts w:asciiTheme="majorHAnsi" w:eastAsia="Times New Roman" w:hAnsiTheme="majorHAnsi" w:cstheme="majorHAnsi"/>
          <w:b/>
          <w:color w:val="2E74B5" w:themeColor="accent1" w:themeShade="BF"/>
          <w:sz w:val="32"/>
          <w:szCs w:val="32"/>
          <w:lang w:val="ro-MD"/>
        </w:rPr>
      </w:pPr>
      <w:bookmarkStart w:id="7" w:name="_Toc58780360"/>
      <w:bookmarkStart w:id="8" w:name="_Toc84512898"/>
      <w:r w:rsidRPr="00363CFA">
        <w:rPr>
          <w:rFonts w:asciiTheme="majorHAnsi" w:eastAsia="Times New Roman" w:hAnsiTheme="majorHAnsi" w:cstheme="majorHAnsi"/>
          <w:b/>
          <w:color w:val="2E74B5" w:themeColor="accent1" w:themeShade="BF"/>
          <w:sz w:val="32"/>
          <w:szCs w:val="32"/>
          <w:lang w:val="ro-MD"/>
        </w:rPr>
        <w:t>II. PREZENTARE GENERALĂ</w:t>
      </w:r>
      <w:bookmarkStart w:id="9" w:name="_Toc60045171"/>
      <w:bookmarkEnd w:id="7"/>
      <w:bookmarkEnd w:id="8"/>
    </w:p>
    <w:p w14:paraId="59EC9CE1" w14:textId="6C05A665" w:rsidR="00C23DCE" w:rsidRPr="00363CFA" w:rsidRDefault="00C23DCE" w:rsidP="005D2EDD">
      <w:pPr>
        <w:keepNext/>
        <w:keepLines/>
        <w:spacing w:after="0" w:line="276" w:lineRule="auto"/>
        <w:ind w:firstLine="709"/>
        <w:jc w:val="both"/>
        <w:outlineLvl w:val="0"/>
        <w:rPr>
          <w:rFonts w:asciiTheme="majorHAnsi" w:eastAsia="Times New Roman" w:hAnsiTheme="majorHAnsi" w:cstheme="majorHAnsi"/>
          <w:color w:val="2E74B5" w:themeColor="accent1" w:themeShade="BF"/>
          <w:sz w:val="24"/>
          <w:szCs w:val="24"/>
          <w:lang w:val="ro-MD"/>
        </w:rPr>
      </w:pPr>
      <w:bookmarkStart w:id="10" w:name="_Toc84512899"/>
      <w:r w:rsidRPr="00363CFA">
        <w:rPr>
          <w:rFonts w:asciiTheme="majorHAnsi" w:eastAsiaTheme="majorEastAsia" w:hAnsiTheme="majorHAnsi" w:cstheme="majorHAnsi"/>
          <w:b/>
          <w:bCs/>
          <w:sz w:val="24"/>
          <w:szCs w:val="24"/>
          <w:lang w:val="ro-MD"/>
        </w:rPr>
        <w:t>2.1. Domeniul de activitate al entită</w:t>
      </w:r>
      <w:r w:rsidR="0069374B" w:rsidRPr="00363CFA">
        <w:rPr>
          <w:rFonts w:asciiTheme="majorHAnsi" w:eastAsiaTheme="majorEastAsia" w:hAnsiTheme="majorHAnsi" w:cstheme="majorHAnsi"/>
          <w:b/>
          <w:bCs/>
          <w:sz w:val="24"/>
          <w:szCs w:val="24"/>
          <w:lang w:val="ro-MD"/>
        </w:rPr>
        <w:t>ț</w:t>
      </w:r>
      <w:r w:rsidRPr="00363CFA">
        <w:rPr>
          <w:rFonts w:asciiTheme="majorHAnsi" w:eastAsiaTheme="majorEastAsia" w:hAnsiTheme="majorHAnsi" w:cstheme="majorHAnsi"/>
          <w:b/>
          <w:bCs/>
          <w:sz w:val="24"/>
          <w:szCs w:val="24"/>
          <w:lang w:val="ro-MD"/>
        </w:rPr>
        <w:t>ii auditate</w:t>
      </w:r>
      <w:bookmarkEnd w:id="9"/>
      <w:bookmarkEnd w:id="10"/>
    </w:p>
    <w:p w14:paraId="654B43F2" w14:textId="77777777" w:rsidR="00B16B32" w:rsidRPr="00363CFA" w:rsidRDefault="00B16B32" w:rsidP="005D2EDD">
      <w:pPr>
        <w:spacing w:after="0" w:line="276" w:lineRule="auto"/>
        <w:ind w:firstLine="709"/>
        <w:jc w:val="both"/>
        <w:rPr>
          <w:rFonts w:asciiTheme="majorHAnsi" w:eastAsia="Times New Roman" w:hAnsiTheme="majorHAnsi" w:cstheme="majorHAnsi"/>
          <w:bCs/>
          <w:iCs/>
          <w:noProof/>
          <w:sz w:val="24"/>
          <w:szCs w:val="24"/>
          <w:lang w:val="ro-MD"/>
        </w:rPr>
      </w:pPr>
      <w:r w:rsidRPr="00363CFA">
        <w:rPr>
          <w:rFonts w:asciiTheme="majorHAnsi" w:eastAsia="Times New Roman" w:hAnsiTheme="majorHAnsi" w:cstheme="majorHAnsi"/>
          <w:bCs/>
          <w:iCs/>
          <w:noProof/>
          <w:sz w:val="24"/>
          <w:szCs w:val="24"/>
          <w:lang w:val="ro-MD"/>
        </w:rPr>
        <w:t>UTA Găgăuzia este o unitate teritorială autonomă cu statut special, care de sine stătător, în limitele competen</w:t>
      </w:r>
      <w:r w:rsidR="0069374B" w:rsidRPr="00363CFA">
        <w:rPr>
          <w:rFonts w:asciiTheme="majorHAnsi" w:eastAsia="Times New Roman" w:hAnsiTheme="majorHAnsi" w:cstheme="majorHAnsi"/>
          <w:bCs/>
          <w:iCs/>
          <w:noProof/>
          <w:sz w:val="24"/>
          <w:szCs w:val="24"/>
          <w:lang w:val="ro-MD"/>
        </w:rPr>
        <w:t>ț</w:t>
      </w:r>
      <w:r w:rsidRPr="00363CFA">
        <w:rPr>
          <w:rFonts w:asciiTheme="majorHAnsi" w:eastAsia="Times New Roman" w:hAnsiTheme="majorHAnsi" w:cstheme="majorHAnsi"/>
          <w:bCs/>
          <w:iCs/>
          <w:noProof/>
          <w:sz w:val="24"/>
          <w:szCs w:val="24"/>
          <w:lang w:val="ro-MD"/>
        </w:rPr>
        <w:t>elor sale func</w:t>
      </w:r>
      <w:r w:rsidR="0069374B" w:rsidRPr="00363CFA">
        <w:rPr>
          <w:rFonts w:asciiTheme="majorHAnsi" w:eastAsia="Times New Roman" w:hAnsiTheme="majorHAnsi" w:cstheme="majorHAnsi"/>
          <w:bCs/>
          <w:iCs/>
          <w:noProof/>
          <w:sz w:val="24"/>
          <w:szCs w:val="24"/>
          <w:lang w:val="ro-MD"/>
        </w:rPr>
        <w:t>ț</w:t>
      </w:r>
      <w:r w:rsidRPr="00363CFA">
        <w:rPr>
          <w:rFonts w:asciiTheme="majorHAnsi" w:eastAsia="Times New Roman" w:hAnsiTheme="majorHAnsi" w:cstheme="majorHAnsi"/>
          <w:bCs/>
          <w:iCs/>
          <w:noProof/>
          <w:sz w:val="24"/>
          <w:szCs w:val="24"/>
          <w:lang w:val="ro-MD"/>
        </w:rPr>
        <w:t>ionale, solu</w:t>
      </w:r>
      <w:r w:rsidR="0069374B" w:rsidRPr="00363CFA">
        <w:rPr>
          <w:rFonts w:asciiTheme="majorHAnsi" w:eastAsia="Times New Roman" w:hAnsiTheme="majorHAnsi" w:cstheme="majorHAnsi"/>
          <w:bCs/>
          <w:iCs/>
          <w:noProof/>
          <w:sz w:val="24"/>
          <w:szCs w:val="24"/>
          <w:lang w:val="ro-MD"/>
        </w:rPr>
        <w:t>ț</w:t>
      </w:r>
      <w:r w:rsidRPr="00363CFA">
        <w:rPr>
          <w:rFonts w:asciiTheme="majorHAnsi" w:eastAsia="Times New Roman" w:hAnsiTheme="majorHAnsi" w:cstheme="majorHAnsi"/>
          <w:bCs/>
          <w:iCs/>
          <w:noProof/>
          <w:sz w:val="24"/>
          <w:szCs w:val="24"/>
          <w:lang w:val="ro-MD"/>
        </w:rPr>
        <w:t xml:space="preserve">ionează probleme cu caracter politic, economic </w:t>
      </w:r>
      <w:r w:rsidR="0069374B" w:rsidRPr="00363CFA">
        <w:rPr>
          <w:rFonts w:asciiTheme="majorHAnsi" w:eastAsia="Times New Roman" w:hAnsiTheme="majorHAnsi" w:cstheme="majorHAnsi"/>
          <w:bCs/>
          <w:iCs/>
          <w:noProof/>
          <w:sz w:val="24"/>
          <w:szCs w:val="24"/>
          <w:lang w:val="ro-MD"/>
        </w:rPr>
        <w:t>ș</w:t>
      </w:r>
      <w:r w:rsidRPr="00363CFA">
        <w:rPr>
          <w:rFonts w:asciiTheme="majorHAnsi" w:eastAsia="Times New Roman" w:hAnsiTheme="majorHAnsi" w:cstheme="majorHAnsi"/>
          <w:bCs/>
          <w:iCs/>
          <w:noProof/>
          <w:sz w:val="24"/>
          <w:szCs w:val="24"/>
          <w:lang w:val="ro-MD"/>
        </w:rPr>
        <w:t>i cultural</w:t>
      </w:r>
      <w:r w:rsidRPr="00363CFA">
        <w:rPr>
          <w:rFonts w:asciiTheme="majorHAnsi" w:eastAsia="Times New Roman" w:hAnsiTheme="majorHAnsi" w:cstheme="majorHAnsi"/>
          <w:bCs/>
          <w:iCs/>
          <w:noProof/>
          <w:sz w:val="24"/>
          <w:szCs w:val="24"/>
          <w:vertAlign w:val="superscript"/>
          <w:lang w:val="ro-MD"/>
        </w:rPr>
        <w:footnoteReference w:id="1"/>
      </w:r>
      <w:r w:rsidRPr="00363CFA">
        <w:rPr>
          <w:rFonts w:asciiTheme="majorHAnsi" w:eastAsia="Times New Roman" w:hAnsiTheme="majorHAnsi" w:cstheme="majorHAnsi"/>
          <w:bCs/>
          <w:iCs/>
          <w:noProof/>
          <w:sz w:val="24"/>
          <w:szCs w:val="24"/>
          <w:lang w:val="ro-MD"/>
        </w:rPr>
        <w:t xml:space="preserve">. </w:t>
      </w:r>
    </w:p>
    <w:p w14:paraId="137A7D73" w14:textId="77777777" w:rsidR="00B16B32" w:rsidRPr="00363CFA" w:rsidRDefault="00B16B32" w:rsidP="005D2EDD">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sz w:val="24"/>
          <w:szCs w:val="24"/>
          <w:lang w:val="ro-MD"/>
        </w:rPr>
        <w:t>Administra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ia publică locală a UTA, care este formată în conformitate cu Legea privind organizarea administrativ-teritorială a Republicii Moldova</w:t>
      </w:r>
      <w:r w:rsidRPr="00363CFA">
        <w:rPr>
          <w:rFonts w:asciiTheme="majorHAnsi" w:eastAsia="Times New Roman" w:hAnsiTheme="majorHAnsi" w:cstheme="majorHAnsi"/>
          <w:sz w:val="24"/>
          <w:szCs w:val="24"/>
          <w:vertAlign w:val="superscript"/>
          <w:lang w:val="ro-MD"/>
        </w:rPr>
        <w:footnoteReference w:id="2"/>
      </w:r>
      <w:r w:rsidRPr="00363CFA">
        <w:rPr>
          <w:rFonts w:asciiTheme="majorHAnsi" w:eastAsia="Times New Roman" w:hAnsiTheme="majorHAnsi" w:cstheme="majorHAnsi"/>
          <w:sz w:val="24"/>
          <w:szCs w:val="24"/>
          <w:lang w:val="ro-MD"/>
        </w:rPr>
        <w:t xml:space="preserv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activează conform Legii privind administra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ia publică locală</w:t>
      </w:r>
      <w:r w:rsidRPr="00363CFA">
        <w:rPr>
          <w:rFonts w:asciiTheme="majorHAnsi" w:eastAsia="Times New Roman" w:hAnsiTheme="majorHAnsi" w:cstheme="majorHAnsi"/>
          <w:sz w:val="24"/>
          <w:szCs w:val="24"/>
          <w:vertAlign w:val="superscript"/>
          <w:lang w:val="ro-MD"/>
        </w:rPr>
        <w:footnoteReference w:id="3"/>
      </w:r>
      <w:r w:rsidRPr="00363CFA">
        <w:rPr>
          <w:rFonts w:asciiTheme="majorHAnsi" w:eastAsia="Times New Roman" w:hAnsiTheme="majorHAnsi" w:cstheme="majorHAnsi"/>
          <w:sz w:val="24"/>
          <w:szCs w:val="24"/>
          <w:lang w:val="ro-MD"/>
        </w:rPr>
        <w:t>, Legii privind statutul juridic special al Găgăuziei (Gagauz-Yeri)</w:t>
      </w:r>
      <w:r w:rsidRPr="00363CFA">
        <w:rPr>
          <w:rFonts w:asciiTheme="majorHAnsi" w:eastAsia="Times New Roman" w:hAnsiTheme="majorHAnsi" w:cstheme="majorHAnsi"/>
          <w:sz w:val="24"/>
          <w:szCs w:val="24"/>
          <w:vertAlign w:val="superscript"/>
          <w:lang w:val="ro-MD"/>
        </w:rPr>
        <w:footnoteReference w:id="4"/>
      </w:r>
      <w:r w:rsidRPr="00363CFA">
        <w:rPr>
          <w:rFonts w:asciiTheme="majorHAnsi" w:eastAsia="Times New Roman" w:hAnsiTheme="majorHAnsi" w:cstheme="majorHAnsi"/>
          <w:sz w:val="24"/>
          <w:szCs w:val="24"/>
          <w:lang w:val="ro-MD"/>
        </w:rPr>
        <w:t xml:space="preserv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 xml:space="preserve">i legilor locale, administrează, pe propria răspundere, resursele financiare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 xml:space="preserve">i nefinanciare, precum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drepturile patrimoniale în interesul popula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iei locale.  </w:t>
      </w:r>
    </w:p>
    <w:p w14:paraId="5D2B52C8" w14:textId="77777777" w:rsidR="00B16B32" w:rsidRPr="00363CFA" w:rsidRDefault="00B16B32" w:rsidP="005D2EDD">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sz w:val="24"/>
          <w:szCs w:val="24"/>
          <w:lang w:val="ro-MD"/>
        </w:rPr>
        <w:t>Pornind de la domeniile de activitate ale APL, stabilite prin Legea nr.435-XVI din 28.12.2006</w:t>
      </w:r>
      <w:r w:rsidRPr="00363CFA">
        <w:rPr>
          <w:rFonts w:asciiTheme="majorHAnsi" w:eastAsia="Times New Roman" w:hAnsiTheme="majorHAnsi" w:cstheme="majorHAnsi"/>
          <w:sz w:val="24"/>
          <w:szCs w:val="24"/>
          <w:vertAlign w:val="superscript"/>
          <w:lang w:val="ro-MD"/>
        </w:rPr>
        <w:footnoteReference w:id="5"/>
      </w:r>
      <w:r w:rsidRPr="00363CFA">
        <w:rPr>
          <w:rFonts w:asciiTheme="majorHAnsi" w:eastAsia="Times New Roman" w:hAnsiTheme="majorHAnsi" w:cstheme="majorHAnsi"/>
          <w:sz w:val="24"/>
          <w:szCs w:val="24"/>
          <w:lang w:val="ro-MD"/>
        </w:rPr>
        <w:t>, competen</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ele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responsabilită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ile APL sunt divizate în două niveluri: nivelul I – competen</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ele autorită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ilor publice care sunt constituite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activează pe teritoriul ora</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 xml:space="preserve">ului, comunei sau satului, pentru promovarea intereselor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solu</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ionarea problemelor colectivită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ilor locale; nivelul II – competen</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ele autorită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ilor publice care sunt constituite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 xml:space="preserve">i activează pe teritoriul UTA, pentru promovarea intereselor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solu</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ionare</w:t>
      </w:r>
      <w:r w:rsidR="001142A1" w:rsidRPr="00363CFA">
        <w:rPr>
          <w:rFonts w:asciiTheme="majorHAnsi" w:eastAsia="Times New Roman" w:hAnsiTheme="majorHAnsi" w:cstheme="majorHAnsi"/>
          <w:sz w:val="24"/>
          <w:szCs w:val="24"/>
          <w:lang w:val="ro-MD"/>
        </w:rPr>
        <w:t>a problemelor popula</w:t>
      </w:r>
      <w:r w:rsidR="0069374B" w:rsidRPr="00363CFA">
        <w:rPr>
          <w:rFonts w:asciiTheme="majorHAnsi" w:eastAsia="Times New Roman" w:hAnsiTheme="majorHAnsi" w:cstheme="majorHAnsi"/>
          <w:sz w:val="24"/>
          <w:szCs w:val="24"/>
          <w:lang w:val="ro-MD"/>
        </w:rPr>
        <w:t>ț</w:t>
      </w:r>
      <w:r w:rsidR="001142A1" w:rsidRPr="00363CFA">
        <w:rPr>
          <w:rFonts w:asciiTheme="majorHAnsi" w:eastAsia="Times New Roman" w:hAnsiTheme="majorHAnsi" w:cstheme="majorHAnsi"/>
          <w:sz w:val="24"/>
          <w:szCs w:val="24"/>
          <w:lang w:val="ro-MD"/>
        </w:rPr>
        <w:t>iei UTA.  </w:t>
      </w:r>
    </w:p>
    <w:p w14:paraId="6213B0B9" w14:textId="5A4E8344" w:rsidR="00691459" w:rsidRPr="00A87C8B" w:rsidRDefault="00691459" w:rsidP="005D2EDD">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sz w:val="24"/>
          <w:szCs w:val="24"/>
          <w:lang w:val="ro-MD"/>
        </w:rPr>
        <w:t xml:space="preserve">Conform Legii UTA Găgăuzia (Gagauz-Yeri) </w:t>
      </w:r>
      <w:r w:rsidR="00DC4F14">
        <w:rPr>
          <w:rFonts w:asciiTheme="majorHAnsi" w:eastAsia="Times New Roman" w:hAnsiTheme="majorHAnsi" w:cstheme="majorHAnsi"/>
          <w:sz w:val="24"/>
          <w:szCs w:val="24"/>
          <w:lang w:val="ro-MD"/>
        </w:rPr>
        <w:t>p</w:t>
      </w:r>
      <w:r w:rsidRPr="00363CFA">
        <w:rPr>
          <w:rFonts w:asciiTheme="majorHAnsi" w:eastAsia="Times New Roman" w:hAnsiTheme="majorHAnsi" w:cstheme="majorHAnsi"/>
          <w:sz w:val="24"/>
          <w:szCs w:val="24"/>
          <w:lang w:val="ro-MD"/>
        </w:rPr>
        <w:t xml:space="preserve">rivind </w:t>
      </w:r>
      <w:r w:rsidRPr="003C2D6D">
        <w:rPr>
          <w:rFonts w:asciiTheme="majorHAnsi" w:eastAsia="Times New Roman" w:hAnsiTheme="majorHAnsi" w:cstheme="majorHAnsi"/>
          <w:sz w:val="24"/>
          <w:szCs w:val="24"/>
          <w:lang w:val="ro-MD"/>
        </w:rPr>
        <w:t xml:space="preserve">sistemul bugetar </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i procesul bugetar</w:t>
      </w:r>
      <w:r w:rsidRPr="003C2D6D">
        <w:rPr>
          <w:rFonts w:asciiTheme="majorHAnsi" w:eastAsia="Times New Roman" w:hAnsiTheme="majorHAnsi" w:cstheme="majorHAnsi"/>
          <w:sz w:val="24"/>
          <w:szCs w:val="24"/>
          <w:vertAlign w:val="superscript"/>
          <w:lang w:val="ro-MD"/>
        </w:rPr>
        <w:footnoteReference w:id="6"/>
      </w:r>
      <w:r w:rsidRPr="003C2D6D">
        <w:rPr>
          <w:rFonts w:asciiTheme="majorHAnsi" w:eastAsia="Times New Roman" w:hAnsiTheme="majorHAnsi" w:cstheme="majorHAnsi"/>
          <w:sz w:val="24"/>
          <w:szCs w:val="24"/>
          <w:lang w:val="ro-MD"/>
        </w:rPr>
        <w:t xml:space="preserve">, bugetul UTA include: bugetul general (central); bugetele </w:t>
      </w:r>
      <w:r w:rsidR="00DE4DFF" w:rsidRPr="00A87C8B">
        <w:rPr>
          <w:rFonts w:asciiTheme="majorHAnsi" w:eastAsia="Times New Roman" w:hAnsiTheme="majorHAnsi" w:cstheme="majorHAnsi"/>
          <w:sz w:val="24"/>
          <w:szCs w:val="24"/>
          <w:lang w:val="ro-MD"/>
        </w:rPr>
        <w:t>dolay</w:t>
      </w:r>
      <w:r w:rsidR="00A87C8B" w:rsidRPr="00F30888">
        <w:rPr>
          <w:rFonts w:asciiTheme="majorHAnsi" w:eastAsia="Times New Roman" w:hAnsiTheme="majorHAnsi" w:cstheme="majorHAnsi"/>
          <w:sz w:val="24"/>
          <w:szCs w:val="24"/>
          <w:lang w:val="ro-MD"/>
        </w:rPr>
        <w:t>uri</w:t>
      </w:r>
      <w:r w:rsidR="00DE4DFF" w:rsidRPr="003C2D6D">
        <w:rPr>
          <w:rFonts w:asciiTheme="majorHAnsi" w:eastAsia="Times New Roman" w:hAnsiTheme="majorHAnsi" w:cstheme="majorHAnsi"/>
          <w:sz w:val="24"/>
          <w:szCs w:val="24"/>
          <w:lang w:val="ro-MD"/>
        </w:rPr>
        <w:t>lor</w:t>
      </w:r>
      <w:r w:rsidR="00DE4DFF" w:rsidRPr="00A87C8B">
        <w:rPr>
          <w:rFonts w:asciiTheme="majorHAnsi" w:eastAsia="Times New Roman" w:hAnsiTheme="majorHAnsi" w:cstheme="majorHAnsi"/>
          <w:sz w:val="24"/>
          <w:szCs w:val="24"/>
          <w:lang w:val="ro-MD"/>
        </w:rPr>
        <w:t xml:space="preserve"> </w:t>
      </w:r>
      <w:r w:rsidRPr="00A87C8B">
        <w:rPr>
          <w:rFonts w:asciiTheme="majorHAnsi" w:eastAsia="Times New Roman" w:hAnsiTheme="majorHAnsi" w:cstheme="majorHAnsi"/>
          <w:sz w:val="24"/>
          <w:szCs w:val="24"/>
          <w:lang w:val="ro-MD"/>
        </w:rPr>
        <w:t xml:space="preserve">Comrat, Ceadâr-Lunga </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i Vulcăne</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ti; bugetul municipi</w:t>
      </w:r>
      <w:r w:rsidR="00B14828" w:rsidRPr="00A87C8B">
        <w:rPr>
          <w:rFonts w:asciiTheme="majorHAnsi" w:eastAsia="Times New Roman" w:hAnsiTheme="majorHAnsi" w:cstheme="majorHAnsi"/>
          <w:sz w:val="24"/>
          <w:szCs w:val="24"/>
          <w:lang w:val="ro-MD"/>
        </w:rPr>
        <w:t>ilor</w:t>
      </w:r>
      <w:r w:rsidRPr="00A87C8B">
        <w:rPr>
          <w:rFonts w:asciiTheme="majorHAnsi" w:eastAsia="Times New Roman" w:hAnsiTheme="majorHAnsi" w:cstheme="majorHAnsi"/>
          <w:sz w:val="24"/>
          <w:szCs w:val="24"/>
          <w:lang w:val="ro-MD"/>
        </w:rPr>
        <w:t xml:space="preserve"> Comrat</w:t>
      </w:r>
      <w:r w:rsidR="00B14828" w:rsidRPr="00A87C8B">
        <w:rPr>
          <w:rFonts w:asciiTheme="majorHAnsi" w:eastAsia="Times New Roman" w:hAnsiTheme="majorHAnsi" w:cstheme="majorHAnsi"/>
          <w:sz w:val="24"/>
          <w:szCs w:val="24"/>
          <w:lang w:val="ro-MD"/>
        </w:rPr>
        <w:t xml:space="preserve"> </w:t>
      </w:r>
      <w:r w:rsidR="0069374B" w:rsidRPr="00A87C8B">
        <w:rPr>
          <w:rFonts w:asciiTheme="majorHAnsi" w:eastAsia="Times New Roman" w:hAnsiTheme="majorHAnsi" w:cstheme="majorHAnsi"/>
          <w:sz w:val="24"/>
          <w:szCs w:val="24"/>
          <w:lang w:val="ro-MD"/>
        </w:rPr>
        <w:t>ș</w:t>
      </w:r>
      <w:r w:rsidR="00B14828" w:rsidRPr="00A87C8B">
        <w:rPr>
          <w:rFonts w:asciiTheme="majorHAnsi" w:eastAsia="Times New Roman" w:hAnsiTheme="majorHAnsi" w:cstheme="majorHAnsi"/>
          <w:sz w:val="24"/>
          <w:szCs w:val="24"/>
          <w:lang w:val="ro-MD"/>
        </w:rPr>
        <w:t>i</w:t>
      </w:r>
      <w:r w:rsidRPr="00A87C8B">
        <w:rPr>
          <w:rFonts w:asciiTheme="majorHAnsi" w:eastAsia="Times New Roman" w:hAnsiTheme="majorHAnsi" w:cstheme="majorHAnsi"/>
          <w:sz w:val="24"/>
          <w:szCs w:val="24"/>
          <w:lang w:val="ro-MD"/>
        </w:rPr>
        <w:t xml:space="preserve"> Ceadâr-Lunga</w:t>
      </w:r>
      <w:r w:rsidR="000A24CE" w:rsidRPr="00A87C8B">
        <w:rPr>
          <w:rFonts w:asciiTheme="majorHAnsi" w:eastAsia="Times New Roman" w:hAnsiTheme="majorHAnsi" w:cstheme="majorHAnsi"/>
          <w:sz w:val="24"/>
          <w:szCs w:val="24"/>
          <w:lang w:val="ro-MD"/>
        </w:rPr>
        <w:t>;</w:t>
      </w:r>
      <w:r w:rsidRPr="00A87C8B">
        <w:rPr>
          <w:rFonts w:asciiTheme="majorHAnsi" w:eastAsia="Times New Roman" w:hAnsiTheme="majorHAnsi" w:cstheme="majorHAnsi"/>
          <w:sz w:val="24"/>
          <w:szCs w:val="24"/>
          <w:lang w:val="ro-MD"/>
        </w:rPr>
        <w:t xml:space="preserve"> </w:t>
      </w:r>
      <w:r w:rsidR="00B14828" w:rsidRPr="00A87C8B">
        <w:rPr>
          <w:rFonts w:asciiTheme="majorHAnsi" w:eastAsia="Times New Roman" w:hAnsiTheme="majorHAnsi" w:cstheme="majorHAnsi"/>
          <w:sz w:val="24"/>
          <w:szCs w:val="24"/>
          <w:lang w:val="ro-MD"/>
        </w:rPr>
        <w:t>bugetul ora</w:t>
      </w:r>
      <w:r w:rsidR="0069374B" w:rsidRPr="00A87C8B">
        <w:rPr>
          <w:rFonts w:asciiTheme="majorHAnsi" w:eastAsia="Times New Roman" w:hAnsiTheme="majorHAnsi" w:cstheme="majorHAnsi"/>
          <w:sz w:val="24"/>
          <w:szCs w:val="24"/>
          <w:lang w:val="ro-MD"/>
        </w:rPr>
        <w:t>ș</w:t>
      </w:r>
      <w:r w:rsidR="00B14828" w:rsidRPr="00A87C8B">
        <w:rPr>
          <w:rFonts w:asciiTheme="majorHAnsi" w:eastAsia="Times New Roman" w:hAnsiTheme="majorHAnsi" w:cstheme="majorHAnsi"/>
          <w:sz w:val="24"/>
          <w:szCs w:val="24"/>
          <w:lang w:val="ro-MD"/>
        </w:rPr>
        <w:t>ului</w:t>
      </w:r>
      <w:r w:rsidRPr="00A87C8B">
        <w:rPr>
          <w:rFonts w:asciiTheme="majorHAnsi" w:eastAsia="Times New Roman" w:hAnsiTheme="majorHAnsi" w:cstheme="majorHAnsi"/>
          <w:sz w:val="24"/>
          <w:szCs w:val="24"/>
          <w:lang w:val="ro-MD"/>
        </w:rPr>
        <w:t xml:space="preserve"> Vulcăne</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 xml:space="preserve">ti </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 xml:space="preserve">i 23 de bugete ale satelor (comunelor). </w:t>
      </w:r>
    </w:p>
    <w:p w14:paraId="286FA2E4" w14:textId="7973B889" w:rsidR="00B16B32" w:rsidRPr="00363CFA" w:rsidRDefault="00691459" w:rsidP="005D2EDD">
      <w:pPr>
        <w:spacing w:after="0" w:line="276" w:lineRule="auto"/>
        <w:ind w:firstLine="567"/>
        <w:jc w:val="both"/>
        <w:rPr>
          <w:rFonts w:asciiTheme="majorHAnsi" w:eastAsia="Times New Roman" w:hAnsiTheme="majorHAnsi" w:cstheme="majorHAnsi"/>
          <w:sz w:val="24"/>
          <w:szCs w:val="24"/>
          <w:lang w:val="ro-MD"/>
        </w:rPr>
      </w:pPr>
      <w:r w:rsidRPr="00A87C8B">
        <w:rPr>
          <w:rFonts w:asciiTheme="majorHAnsi" w:eastAsia="Times New Roman" w:hAnsiTheme="majorHAnsi" w:cstheme="majorHAnsi"/>
          <w:sz w:val="24"/>
          <w:szCs w:val="24"/>
          <w:lang w:val="ro-MD"/>
        </w:rPr>
        <w:t xml:space="preserve">Elaborarea </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 xml:space="preserve">i executarea bugetului central </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 xml:space="preserve">i </w:t>
      </w:r>
      <w:r w:rsidR="000A24CE" w:rsidRPr="00A87C8B">
        <w:rPr>
          <w:rFonts w:asciiTheme="majorHAnsi" w:eastAsia="Times New Roman" w:hAnsiTheme="majorHAnsi" w:cstheme="majorHAnsi"/>
          <w:sz w:val="24"/>
          <w:szCs w:val="24"/>
          <w:lang w:val="ro-MD"/>
        </w:rPr>
        <w:t xml:space="preserve">a </w:t>
      </w:r>
      <w:r w:rsidRPr="00A87C8B">
        <w:rPr>
          <w:rFonts w:asciiTheme="majorHAnsi" w:eastAsia="Times New Roman" w:hAnsiTheme="majorHAnsi" w:cstheme="majorHAnsi"/>
          <w:sz w:val="24"/>
          <w:szCs w:val="24"/>
          <w:lang w:val="ro-MD"/>
        </w:rPr>
        <w:t xml:space="preserve">bugetelor </w:t>
      </w:r>
      <w:r w:rsidR="00EE5B8C" w:rsidRPr="00A87C8B">
        <w:rPr>
          <w:rFonts w:asciiTheme="majorHAnsi" w:eastAsia="Times New Roman" w:hAnsiTheme="majorHAnsi" w:cstheme="majorHAnsi"/>
          <w:sz w:val="24"/>
          <w:szCs w:val="24"/>
          <w:lang w:val="ro-MD"/>
        </w:rPr>
        <w:t>dolay</w:t>
      </w:r>
      <w:r w:rsidR="00A87C8B" w:rsidRPr="00F30888">
        <w:rPr>
          <w:rFonts w:asciiTheme="majorHAnsi" w:eastAsia="Times New Roman" w:hAnsiTheme="majorHAnsi" w:cstheme="majorHAnsi"/>
          <w:sz w:val="24"/>
          <w:szCs w:val="24"/>
          <w:lang w:val="ro-MD"/>
        </w:rPr>
        <w:t>uri</w:t>
      </w:r>
      <w:r w:rsidR="00EE5B8C" w:rsidRPr="003C2D6D">
        <w:rPr>
          <w:rFonts w:asciiTheme="majorHAnsi" w:eastAsia="Times New Roman" w:hAnsiTheme="majorHAnsi" w:cstheme="majorHAnsi"/>
          <w:sz w:val="24"/>
          <w:szCs w:val="24"/>
          <w:lang w:val="ro-MD"/>
        </w:rPr>
        <w:t>lor</w:t>
      </w:r>
      <w:r w:rsidR="00EE5B8C" w:rsidRPr="00A87C8B">
        <w:rPr>
          <w:rFonts w:asciiTheme="majorHAnsi" w:eastAsia="Times New Roman" w:hAnsiTheme="majorHAnsi" w:cstheme="majorHAnsi"/>
          <w:sz w:val="24"/>
          <w:szCs w:val="24"/>
          <w:lang w:val="ro-MD"/>
        </w:rPr>
        <w:t xml:space="preserve"> </w:t>
      </w:r>
      <w:r w:rsidRPr="00A87C8B">
        <w:rPr>
          <w:rFonts w:asciiTheme="majorHAnsi" w:eastAsia="Times New Roman" w:hAnsiTheme="majorHAnsi" w:cstheme="majorHAnsi"/>
          <w:sz w:val="24"/>
          <w:szCs w:val="24"/>
          <w:lang w:val="ro-MD"/>
        </w:rPr>
        <w:t xml:space="preserve">se efectuează de către Comitetul Executiv al UTA Găgăuzia, iar examinarea </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i aprobarea acestora – de către Adunarea Populară a Găgăuziei; a bugetelor locale ale satelor (comunelor), ora</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 xml:space="preserve">elor </w:t>
      </w:r>
      <w:r w:rsidR="0069374B" w:rsidRPr="00A87C8B">
        <w:rPr>
          <w:rFonts w:asciiTheme="majorHAnsi" w:eastAsia="Times New Roman" w:hAnsiTheme="majorHAnsi" w:cstheme="majorHAnsi"/>
          <w:sz w:val="24"/>
          <w:szCs w:val="24"/>
          <w:lang w:val="ro-MD"/>
        </w:rPr>
        <w:t>ș</w:t>
      </w:r>
      <w:r w:rsidRPr="00A87C8B">
        <w:rPr>
          <w:rFonts w:asciiTheme="majorHAnsi" w:eastAsia="Times New Roman" w:hAnsiTheme="majorHAnsi" w:cstheme="majorHAnsi"/>
          <w:sz w:val="24"/>
          <w:szCs w:val="24"/>
          <w:lang w:val="ro-MD"/>
        </w:rPr>
        <w:t>i municipiilor – de către organele publice locale corespunzătoare. Responsabilitatea</w:t>
      </w:r>
      <w:r w:rsidRPr="00363CFA">
        <w:rPr>
          <w:rFonts w:asciiTheme="majorHAnsi" w:eastAsia="Times New Roman" w:hAnsiTheme="majorHAnsi" w:cstheme="majorHAnsi"/>
          <w:sz w:val="24"/>
          <w:szCs w:val="24"/>
          <w:lang w:val="ro-MD"/>
        </w:rPr>
        <w:t xml:space="preserve"> pentru executarea bugetelor respective este pusă în sarcina Comitetului Executiv al UTA Găgăuzi</w:t>
      </w:r>
      <w:r w:rsidR="001D3CBC" w:rsidRPr="00363CFA">
        <w:rPr>
          <w:rFonts w:asciiTheme="majorHAnsi" w:eastAsia="Times New Roman" w:hAnsiTheme="majorHAnsi" w:cstheme="majorHAnsi"/>
          <w:sz w:val="24"/>
          <w:szCs w:val="24"/>
          <w:lang w:val="ro-MD"/>
        </w:rPr>
        <w:t xml:space="preserve">a </w:t>
      </w:r>
      <w:r w:rsidR="0069374B" w:rsidRPr="00363CFA">
        <w:rPr>
          <w:rFonts w:asciiTheme="majorHAnsi" w:eastAsia="Times New Roman" w:hAnsiTheme="majorHAnsi" w:cstheme="majorHAnsi"/>
          <w:sz w:val="24"/>
          <w:szCs w:val="24"/>
          <w:lang w:val="ro-MD"/>
        </w:rPr>
        <w:t>ș</w:t>
      </w:r>
      <w:r w:rsidR="001D3CBC" w:rsidRPr="00363CFA">
        <w:rPr>
          <w:rFonts w:asciiTheme="majorHAnsi" w:eastAsia="Times New Roman" w:hAnsiTheme="majorHAnsi" w:cstheme="majorHAnsi"/>
          <w:sz w:val="24"/>
          <w:szCs w:val="24"/>
          <w:lang w:val="ro-MD"/>
        </w:rPr>
        <w:t>i a organelor publice locale.</w:t>
      </w:r>
    </w:p>
    <w:p w14:paraId="5DC8DE11" w14:textId="4890FFB4" w:rsidR="00C23DCE" w:rsidRPr="00363CFA" w:rsidRDefault="00C23DCE" w:rsidP="005D2EDD">
      <w:pPr>
        <w:shd w:val="clear" w:color="auto" w:fill="FFFFFF"/>
        <w:spacing w:after="0" w:line="276" w:lineRule="auto"/>
        <w:ind w:firstLine="709"/>
        <w:jc w:val="both"/>
        <w:rPr>
          <w:rFonts w:asciiTheme="majorHAnsi" w:hAnsiTheme="majorHAnsi" w:cstheme="majorHAnsi"/>
          <w:color w:val="333333"/>
          <w:sz w:val="24"/>
          <w:szCs w:val="24"/>
          <w:lang w:val="ro-MD"/>
        </w:rPr>
      </w:pPr>
      <w:r w:rsidRPr="00363CFA">
        <w:rPr>
          <w:rFonts w:asciiTheme="majorHAnsi" w:hAnsiTheme="majorHAnsi" w:cstheme="majorHAnsi"/>
          <w:color w:val="333333"/>
          <w:sz w:val="24"/>
          <w:szCs w:val="24"/>
          <w:lang w:val="ro-MD"/>
        </w:rPr>
        <w:lastRenderedPageBreak/>
        <w:t>Subiec</w:t>
      </w:r>
      <w:r w:rsidR="0069374B" w:rsidRPr="00363CFA">
        <w:rPr>
          <w:rFonts w:asciiTheme="majorHAnsi" w:hAnsiTheme="majorHAnsi" w:cstheme="majorHAnsi"/>
          <w:color w:val="333333"/>
          <w:sz w:val="24"/>
          <w:szCs w:val="24"/>
          <w:lang w:val="ro-MD"/>
        </w:rPr>
        <w:t>ț</w:t>
      </w:r>
      <w:r w:rsidRPr="00363CFA">
        <w:rPr>
          <w:rFonts w:asciiTheme="majorHAnsi" w:hAnsiTheme="majorHAnsi" w:cstheme="majorHAnsi"/>
          <w:color w:val="333333"/>
          <w:sz w:val="24"/>
          <w:szCs w:val="24"/>
          <w:lang w:val="ro-MD"/>
        </w:rPr>
        <w:t>ii prin care UAT î</w:t>
      </w:r>
      <w:r w:rsidR="0069374B" w:rsidRPr="00363CFA">
        <w:rPr>
          <w:rFonts w:asciiTheme="majorHAnsi" w:hAnsiTheme="majorHAnsi" w:cstheme="majorHAnsi"/>
          <w:color w:val="333333"/>
          <w:sz w:val="24"/>
          <w:szCs w:val="24"/>
          <w:lang w:val="ro-MD"/>
        </w:rPr>
        <w:t>ș</w:t>
      </w:r>
      <w:r w:rsidRPr="00363CFA">
        <w:rPr>
          <w:rFonts w:asciiTheme="majorHAnsi" w:hAnsiTheme="majorHAnsi" w:cstheme="majorHAnsi"/>
          <w:color w:val="333333"/>
          <w:sz w:val="24"/>
          <w:szCs w:val="24"/>
          <w:lang w:val="ro-MD"/>
        </w:rPr>
        <w:t xml:space="preserve">i realizează autonomia locală sunt </w:t>
      </w:r>
      <w:r w:rsidR="00537B92" w:rsidRPr="00363CFA">
        <w:rPr>
          <w:rFonts w:asciiTheme="majorHAnsi" w:hAnsiTheme="majorHAnsi" w:cstheme="majorHAnsi"/>
          <w:color w:val="333333"/>
          <w:sz w:val="24"/>
          <w:szCs w:val="24"/>
          <w:lang w:val="ro-MD"/>
        </w:rPr>
        <w:t>Adunarea Populară a Găgăuziei, Guvernatorul (Ba</w:t>
      </w:r>
      <w:r w:rsidR="0069374B" w:rsidRPr="00363CFA">
        <w:rPr>
          <w:rFonts w:asciiTheme="majorHAnsi" w:hAnsiTheme="majorHAnsi" w:cstheme="majorHAnsi"/>
          <w:color w:val="333333"/>
          <w:sz w:val="24"/>
          <w:szCs w:val="24"/>
          <w:lang w:val="ro-MD"/>
        </w:rPr>
        <w:t>ș</w:t>
      </w:r>
      <w:r w:rsidR="00537B92" w:rsidRPr="00363CFA">
        <w:rPr>
          <w:rFonts w:asciiTheme="majorHAnsi" w:hAnsiTheme="majorHAnsi" w:cstheme="majorHAnsi"/>
          <w:color w:val="333333"/>
          <w:sz w:val="24"/>
          <w:szCs w:val="24"/>
          <w:lang w:val="ro-MD"/>
        </w:rPr>
        <w:t>kanul)</w:t>
      </w:r>
      <w:r w:rsidRPr="00363CFA">
        <w:rPr>
          <w:rFonts w:asciiTheme="majorHAnsi" w:hAnsiTheme="majorHAnsi" w:cstheme="majorHAnsi"/>
          <w:color w:val="333333"/>
          <w:sz w:val="24"/>
          <w:szCs w:val="24"/>
          <w:lang w:val="ro-MD"/>
        </w:rPr>
        <w:t xml:space="preserve">, </w:t>
      </w:r>
      <w:r w:rsidR="00537B92" w:rsidRPr="00363CFA">
        <w:rPr>
          <w:rFonts w:asciiTheme="majorHAnsi" w:hAnsiTheme="majorHAnsi" w:cstheme="majorHAnsi"/>
          <w:color w:val="333333"/>
          <w:sz w:val="24"/>
          <w:szCs w:val="24"/>
          <w:lang w:val="ro-MD"/>
        </w:rPr>
        <w:t>Comitetul Executiv al Găgăuziei</w:t>
      </w:r>
      <w:r w:rsidRPr="00363CFA">
        <w:rPr>
          <w:rFonts w:asciiTheme="majorHAnsi" w:hAnsiTheme="majorHAnsi" w:cstheme="majorHAnsi"/>
          <w:color w:val="333333"/>
          <w:sz w:val="24"/>
          <w:szCs w:val="24"/>
          <w:lang w:val="ro-MD"/>
        </w:rPr>
        <w:t>, r</w:t>
      </w:r>
      <w:r w:rsidRPr="00363CFA">
        <w:rPr>
          <w:rFonts w:asciiTheme="majorHAnsi" w:hAnsiTheme="majorHAnsi" w:cstheme="majorHAnsi"/>
          <w:sz w:val="24"/>
          <w:szCs w:val="24"/>
          <w:lang w:val="ro-MD"/>
        </w:rPr>
        <w:t xml:space="preserve">esponsabili de elaborarea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executar</w:t>
      </w:r>
      <w:r w:rsidR="00537B92" w:rsidRPr="00363CFA">
        <w:rPr>
          <w:rFonts w:asciiTheme="majorHAnsi" w:hAnsiTheme="majorHAnsi" w:cstheme="majorHAnsi"/>
          <w:sz w:val="24"/>
          <w:szCs w:val="24"/>
          <w:lang w:val="ro-MD"/>
        </w:rPr>
        <w:t>ea bugetului Găgăuziei</w:t>
      </w:r>
      <w:r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w:t>
      </w:r>
      <w:r w:rsidR="000A24CE">
        <w:rPr>
          <w:rFonts w:asciiTheme="majorHAnsi" w:hAnsiTheme="majorHAnsi" w:cstheme="majorHAnsi"/>
          <w:sz w:val="24"/>
          <w:szCs w:val="24"/>
          <w:lang w:val="ro-MD"/>
        </w:rPr>
        <w:t xml:space="preserve">de </w:t>
      </w:r>
      <w:r w:rsidRPr="00363CFA">
        <w:rPr>
          <w:rFonts w:asciiTheme="majorHAnsi" w:hAnsiTheme="majorHAnsi" w:cstheme="majorHAnsi"/>
          <w:sz w:val="24"/>
          <w:szCs w:val="24"/>
          <w:lang w:val="ro-MD"/>
        </w:rPr>
        <w:t>gestiunea patrimoniului public</w:t>
      </w:r>
      <w:r w:rsidR="000A24CE">
        <w:rPr>
          <w:rFonts w:asciiTheme="majorHAnsi" w:hAnsiTheme="majorHAnsi" w:cstheme="majorHAnsi"/>
          <w:sz w:val="24"/>
          <w:szCs w:val="24"/>
          <w:lang w:val="ro-MD"/>
        </w:rPr>
        <w:t>. Astfel,</w:t>
      </w:r>
    </w:p>
    <w:p w14:paraId="7DFC18D3" w14:textId="2DA17BEC" w:rsidR="00537B92" w:rsidRPr="00363CFA" w:rsidRDefault="00537B92" w:rsidP="005D2EDD">
      <w:pPr>
        <w:pStyle w:val="ListParagraph"/>
        <w:numPr>
          <w:ilvl w:val="0"/>
          <w:numId w:val="11"/>
        </w:numPr>
        <w:tabs>
          <w:tab w:val="left" w:pos="993"/>
        </w:tabs>
        <w:spacing w:after="0" w:line="276" w:lineRule="auto"/>
        <w:ind w:left="0" w:firstLine="709"/>
        <w:jc w:val="both"/>
        <w:rPr>
          <w:rFonts w:asciiTheme="majorHAnsi" w:hAnsiTheme="majorHAnsi" w:cstheme="majorHAnsi"/>
          <w:sz w:val="24"/>
          <w:szCs w:val="24"/>
          <w:lang w:val="ro-MD"/>
        </w:rPr>
      </w:pPr>
      <w:r w:rsidRPr="00363CFA">
        <w:rPr>
          <w:rFonts w:asciiTheme="majorHAnsi" w:hAnsiTheme="majorHAnsi" w:cstheme="majorHAnsi"/>
          <w:b/>
          <w:i/>
          <w:sz w:val="24"/>
          <w:szCs w:val="24"/>
          <w:lang w:val="ro-MD"/>
        </w:rPr>
        <w:t>Adunarea Populară</w:t>
      </w:r>
      <w:r w:rsidR="00C23DCE" w:rsidRPr="00363CFA">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 xml:space="preserve">este autoritatea reprezentativă a Găgăuziei, </w:t>
      </w:r>
      <w:r w:rsidR="000A24CE">
        <w:rPr>
          <w:rFonts w:asciiTheme="majorHAnsi" w:hAnsiTheme="majorHAnsi" w:cstheme="majorHAnsi"/>
          <w:sz w:val="24"/>
          <w:szCs w:val="24"/>
          <w:lang w:val="ro-MD"/>
        </w:rPr>
        <w:t>î</w:t>
      </w:r>
      <w:r w:rsidRPr="00363CFA">
        <w:rPr>
          <w:rFonts w:asciiTheme="majorHAnsi" w:hAnsiTheme="majorHAnsi" w:cstheme="majorHAnsi"/>
          <w:sz w:val="24"/>
          <w:szCs w:val="24"/>
          <w:lang w:val="ro-MD"/>
        </w:rPr>
        <w:t xml:space="preserve">nvestită cu dreptul de a adopta acte normative, în limita </w:t>
      </w:r>
      <w:r w:rsidRPr="00EA1535">
        <w:rPr>
          <w:rFonts w:asciiTheme="majorHAnsi" w:hAnsiTheme="majorHAnsi" w:cstheme="majorHAnsi"/>
          <w:sz w:val="24"/>
          <w:szCs w:val="24"/>
          <w:lang w:val="ro-MD"/>
        </w:rPr>
        <w:t>competen</w:t>
      </w:r>
      <w:r w:rsidR="0069374B" w:rsidRPr="00EA1535">
        <w:rPr>
          <w:rFonts w:asciiTheme="majorHAnsi" w:hAnsiTheme="majorHAnsi" w:cstheme="majorHAnsi"/>
          <w:sz w:val="24"/>
          <w:szCs w:val="24"/>
          <w:lang w:val="ro-MD"/>
        </w:rPr>
        <w:t>ț</w:t>
      </w:r>
      <w:r w:rsidRPr="00EA1535">
        <w:rPr>
          <w:rFonts w:asciiTheme="majorHAnsi" w:hAnsiTheme="majorHAnsi" w:cstheme="majorHAnsi"/>
          <w:sz w:val="24"/>
          <w:szCs w:val="24"/>
          <w:lang w:val="ro-MD"/>
        </w:rPr>
        <w:t>e</w:t>
      </w:r>
      <w:r w:rsidR="00EA1535" w:rsidRPr="00F30888">
        <w:rPr>
          <w:rFonts w:asciiTheme="majorHAnsi" w:hAnsiTheme="majorHAnsi" w:cstheme="majorHAnsi"/>
          <w:sz w:val="24"/>
          <w:szCs w:val="24"/>
          <w:lang w:val="ro-MD"/>
        </w:rPr>
        <w:t>lor</w:t>
      </w:r>
      <w:r w:rsidRPr="00EA1535">
        <w:rPr>
          <w:rFonts w:asciiTheme="majorHAnsi" w:hAnsiTheme="majorHAnsi" w:cstheme="majorHAnsi"/>
          <w:sz w:val="24"/>
          <w:szCs w:val="24"/>
          <w:lang w:val="ro-MD"/>
        </w:rPr>
        <w:t xml:space="preserve"> s</w:t>
      </w:r>
      <w:r w:rsidRPr="00363CFA">
        <w:rPr>
          <w:rFonts w:asciiTheme="majorHAnsi" w:hAnsiTheme="majorHAnsi" w:cstheme="majorHAnsi"/>
          <w:sz w:val="24"/>
          <w:szCs w:val="24"/>
          <w:lang w:val="ro-MD"/>
        </w:rPr>
        <w:t>ale;</w:t>
      </w:r>
    </w:p>
    <w:p w14:paraId="4B515103" w14:textId="721C2195" w:rsidR="001142A1" w:rsidRPr="00363CFA" w:rsidRDefault="001142A1" w:rsidP="005D2EDD">
      <w:pPr>
        <w:spacing w:after="0" w:line="276" w:lineRule="auto"/>
        <w:ind w:firstLine="709"/>
        <w:jc w:val="both"/>
        <w:rPr>
          <w:rFonts w:asciiTheme="majorHAnsi" w:hAnsiTheme="majorHAnsi" w:cstheme="majorHAnsi"/>
          <w:bCs/>
          <w:sz w:val="24"/>
          <w:szCs w:val="24"/>
          <w:lang w:val="ro-MD"/>
        </w:rPr>
      </w:pPr>
      <w:r w:rsidRPr="00363CFA">
        <w:rPr>
          <w:rFonts w:asciiTheme="majorHAnsi" w:hAnsiTheme="majorHAnsi" w:cstheme="majorHAnsi"/>
          <w:b/>
          <w:bCs/>
          <w:i/>
          <w:sz w:val="24"/>
          <w:szCs w:val="24"/>
          <w:lang w:val="ro-MD"/>
        </w:rPr>
        <w:t>2. Guvernatorul (Ba</w:t>
      </w:r>
      <w:r w:rsidR="0069374B" w:rsidRPr="00363CFA">
        <w:rPr>
          <w:rFonts w:asciiTheme="majorHAnsi" w:hAnsiTheme="majorHAnsi" w:cstheme="majorHAnsi"/>
          <w:b/>
          <w:bCs/>
          <w:i/>
          <w:sz w:val="24"/>
          <w:szCs w:val="24"/>
          <w:lang w:val="ro-MD"/>
        </w:rPr>
        <w:t>ș</w:t>
      </w:r>
      <w:r w:rsidRPr="00363CFA">
        <w:rPr>
          <w:rFonts w:asciiTheme="majorHAnsi" w:hAnsiTheme="majorHAnsi" w:cstheme="majorHAnsi"/>
          <w:b/>
          <w:bCs/>
          <w:i/>
          <w:sz w:val="24"/>
          <w:szCs w:val="24"/>
          <w:lang w:val="ro-MD"/>
        </w:rPr>
        <w:t xml:space="preserve">kanul) </w:t>
      </w:r>
      <w:r w:rsidRPr="00363CFA">
        <w:rPr>
          <w:rFonts w:asciiTheme="majorHAnsi" w:hAnsiTheme="majorHAnsi" w:cstheme="majorHAnsi"/>
          <w:bCs/>
          <w:sz w:val="24"/>
          <w:szCs w:val="24"/>
          <w:lang w:val="ro-MD"/>
        </w:rPr>
        <w:t>este persoana oficială supremă a Găgăuziei, căruia i se subordonează toate autorită</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ile administra</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iei publice ale Găgăuziei; exercită conducerea activită</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ii autorită</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ilor administra</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 xml:space="preserve">iei publice </w:t>
      </w:r>
      <w:r w:rsidR="0069374B" w:rsidRPr="00363CFA">
        <w:rPr>
          <w:rFonts w:asciiTheme="majorHAnsi" w:hAnsiTheme="majorHAnsi" w:cstheme="majorHAnsi"/>
          <w:bCs/>
          <w:sz w:val="24"/>
          <w:szCs w:val="24"/>
          <w:lang w:val="ro-MD"/>
        </w:rPr>
        <w:t>ș</w:t>
      </w:r>
      <w:r w:rsidRPr="00363CFA">
        <w:rPr>
          <w:rFonts w:asciiTheme="majorHAnsi" w:hAnsiTheme="majorHAnsi" w:cstheme="majorHAnsi"/>
          <w:bCs/>
          <w:sz w:val="24"/>
          <w:szCs w:val="24"/>
          <w:lang w:val="ro-MD"/>
        </w:rPr>
        <w:t>i poartă răspundere pentru exercitarea atribu</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 xml:space="preserve">iilor </w:t>
      </w:r>
      <w:r w:rsidR="000A24CE">
        <w:rPr>
          <w:rFonts w:asciiTheme="majorHAnsi" w:hAnsiTheme="majorHAnsi" w:cstheme="majorHAnsi"/>
          <w:bCs/>
          <w:sz w:val="24"/>
          <w:szCs w:val="24"/>
          <w:lang w:val="ro-MD"/>
        </w:rPr>
        <w:t>stabilite</w:t>
      </w:r>
      <w:r w:rsidRPr="00363CFA">
        <w:rPr>
          <w:rFonts w:asciiTheme="majorHAnsi" w:hAnsiTheme="majorHAnsi" w:cstheme="majorHAnsi"/>
          <w:bCs/>
          <w:sz w:val="24"/>
          <w:szCs w:val="24"/>
          <w:lang w:val="ro-MD"/>
        </w:rPr>
        <w:t xml:space="preserve"> prin lege;</w:t>
      </w:r>
    </w:p>
    <w:p w14:paraId="099DAB65" w14:textId="3C4151B5" w:rsidR="00C23DCE" w:rsidRPr="00363CFA" w:rsidRDefault="001142A1" w:rsidP="005D2EDD">
      <w:pPr>
        <w:spacing w:after="0" w:line="276" w:lineRule="auto"/>
        <w:ind w:firstLine="709"/>
        <w:jc w:val="both"/>
        <w:rPr>
          <w:rFonts w:asciiTheme="majorHAnsi" w:hAnsiTheme="majorHAnsi" w:cstheme="majorHAnsi"/>
          <w:b/>
          <w:bCs/>
          <w:i/>
          <w:sz w:val="24"/>
          <w:szCs w:val="24"/>
          <w:lang w:val="ro-MD"/>
        </w:rPr>
      </w:pPr>
      <w:r w:rsidRPr="00363CFA">
        <w:rPr>
          <w:rFonts w:asciiTheme="majorHAnsi" w:hAnsiTheme="majorHAnsi" w:cstheme="majorHAnsi"/>
          <w:b/>
          <w:bCs/>
          <w:i/>
          <w:sz w:val="24"/>
          <w:szCs w:val="24"/>
          <w:lang w:val="ro-MD"/>
        </w:rPr>
        <w:t>3. Comitetul Executiv al Găgăuziei</w:t>
      </w:r>
      <w:r w:rsidRPr="00363CFA">
        <w:rPr>
          <w:rFonts w:asciiTheme="majorHAnsi" w:hAnsiTheme="majorHAnsi" w:cstheme="majorHAnsi"/>
          <w:bCs/>
          <w:sz w:val="24"/>
          <w:szCs w:val="24"/>
          <w:lang w:val="ro-MD"/>
        </w:rPr>
        <w:t xml:space="preserve"> – organ executiv permanent al Găgăuziei, execută </w:t>
      </w:r>
      <w:r w:rsidR="0069374B" w:rsidRPr="00363CFA">
        <w:rPr>
          <w:rFonts w:asciiTheme="majorHAnsi" w:hAnsiTheme="majorHAnsi" w:cstheme="majorHAnsi"/>
          <w:bCs/>
          <w:sz w:val="24"/>
          <w:szCs w:val="24"/>
          <w:lang w:val="ro-MD"/>
        </w:rPr>
        <w:t>ș</w:t>
      </w:r>
      <w:r w:rsidRPr="00363CFA">
        <w:rPr>
          <w:rFonts w:asciiTheme="majorHAnsi" w:hAnsiTheme="majorHAnsi" w:cstheme="majorHAnsi"/>
          <w:bCs/>
          <w:sz w:val="24"/>
          <w:szCs w:val="24"/>
          <w:lang w:val="ro-MD"/>
        </w:rPr>
        <w:t xml:space="preserve">i respectă legile Republicii Moldova </w:t>
      </w:r>
      <w:r w:rsidR="0069374B" w:rsidRPr="00363CFA">
        <w:rPr>
          <w:rFonts w:asciiTheme="majorHAnsi" w:hAnsiTheme="majorHAnsi" w:cstheme="majorHAnsi"/>
          <w:bCs/>
          <w:sz w:val="24"/>
          <w:szCs w:val="24"/>
          <w:lang w:val="ro-MD"/>
        </w:rPr>
        <w:t>ș</w:t>
      </w:r>
      <w:r w:rsidRPr="00363CFA">
        <w:rPr>
          <w:rFonts w:asciiTheme="majorHAnsi" w:hAnsiTheme="majorHAnsi" w:cstheme="majorHAnsi"/>
          <w:bCs/>
          <w:sz w:val="24"/>
          <w:szCs w:val="24"/>
          <w:lang w:val="ro-MD"/>
        </w:rPr>
        <w:t xml:space="preserve">i actele normative ale Adunării Populare; elaborează </w:t>
      </w:r>
      <w:r w:rsidR="0069374B" w:rsidRPr="00363CFA">
        <w:rPr>
          <w:rFonts w:asciiTheme="majorHAnsi" w:hAnsiTheme="majorHAnsi" w:cstheme="majorHAnsi"/>
          <w:bCs/>
          <w:sz w:val="24"/>
          <w:szCs w:val="24"/>
          <w:lang w:val="ro-MD"/>
        </w:rPr>
        <w:t>ș</w:t>
      </w:r>
      <w:r w:rsidRPr="00363CFA">
        <w:rPr>
          <w:rFonts w:asciiTheme="majorHAnsi" w:hAnsiTheme="majorHAnsi" w:cstheme="majorHAnsi"/>
          <w:bCs/>
          <w:sz w:val="24"/>
          <w:szCs w:val="24"/>
          <w:lang w:val="ro-MD"/>
        </w:rPr>
        <w:t xml:space="preserve">i prezintă bugetul Găgăuziei spre aprobare Adunării Populare, fiind responsabil de executarea acestuia; exercită </w:t>
      </w:r>
      <w:r w:rsidR="0069374B" w:rsidRPr="00363CFA">
        <w:rPr>
          <w:rFonts w:asciiTheme="majorHAnsi" w:hAnsiTheme="majorHAnsi" w:cstheme="majorHAnsi"/>
          <w:bCs/>
          <w:sz w:val="24"/>
          <w:szCs w:val="24"/>
          <w:lang w:val="ro-MD"/>
        </w:rPr>
        <w:t>ș</w:t>
      </w:r>
      <w:r w:rsidRPr="00363CFA">
        <w:rPr>
          <w:rFonts w:asciiTheme="majorHAnsi" w:hAnsiTheme="majorHAnsi" w:cstheme="majorHAnsi"/>
          <w:bCs/>
          <w:sz w:val="24"/>
          <w:szCs w:val="24"/>
          <w:lang w:val="ro-MD"/>
        </w:rPr>
        <w:t>i alte atribu</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 xml:space="preserve">ii </w:t>
      </w:r>
      <w:r w:rsidR="0069374B" w:rsidRPr="00363CFA">
        <w:rPr>
          <w:rFonts w:asciiTheme="majorHAnsi" w:hAnsiTheme="majorHAnsi" w:cstheme="majorHAnsi"/>
          <w:bCs/>
          <w:sz w:val="24"/>
          <w:szCs w:val="24"/>
          <w:lang w:val="ro-MD"/>
        </w:rPr>
        <w:t>ș</w:t>
      </w:r>
      <w:r w:rsidRPr="00363CFA">
        <w:rPr>
          <w:rFonts w:asciiTheme="majorHAnsi" w:hAnsiTheme="majorHAnsi" w:cstheme="majorHAnsi"/>
          <w:bCs/>
          <w:sz w:val="24"/>
          <w:szCs w:val="24"/>
          <w:lang w:val="ro-MD"/>
        </w:rPr>
        <w:t>i competen</w:t>
      </w:r>
      <w:r w:rsidR="0069374B" w:rsidRPr="00363CFA">
        <w:rPr>
          <w:rFonts w:asciiTheme="majorHAnsi" w:hAnsiTheme="majorHAnsi" w:cstheme="majorHAnsi"/>
          <w:bCs/>
          <w:sz w:val="24"/>
          <w:szCs w:val="24"/>
          <w:lang w:val="ro-MD"/>
        </w:rPr>
        <w:t>ț</w:t>
      </w:r>
      <w:r w:rsidRPr="00363CFA">
        <w:rPr>
          <w:rFonts w:asciiTheme="majorHAnsi" w:hAnsiTheme="majorHAnsi" w:cstheme="majorHAnsi"/>
          <w:bCs/>
          <w:sz w:val="24"/>
          <w:szCs w:val="24"/>
          <w:lang w:val="ro-MD"/>
        </w:rPr>
        <w:t>e prevăzute prin actele normative</w:t>
      </w:r>
      <w:r w:rsidR="00B33208">
        <w:rPr>
          <w:rFonts w:asciiTheme="majorHAnsi" w:hAnsiTheme="majorHAnsi" w:cstheme="majorHAnsi"/>
          <w:bCs/>
          <w:sz w:val="24"/>
          <w:szCs w:val="24"/>
          <w:lang w:val="ro-MD"/>
        </w:rPr>
        <w:t>;</w:t>
      </w:r>
    </w:p>
    <w:p w14:paraId="00C50A3A" w14:textId="30E85AE8" w:rsidR="00C23DCE" w:rsidRPr="00363CFA" w:rsidRDefault="001142A1" w:rsidP="00C23DCE">
      <w:pPr>
        <w:spacing w:after="0" w:line="276" w:lineRule="auto"/>
        <w:ind w:firstLine="709"/>
        <w:jc w:val="both"/>
        <w:rPr>
          <w:rFonts w:asciiTheme="majorHAnsi" w:hAnsiTheme="majorHAnsi" w:cstheme="majorHAnsi"/>
          <w:sz w:val="24"/>
          <w:szCs w:val="24"/>
          <w:lang w:val="ro-MD"/>
        </w:rPr>
      </w:pPr>
      <w:r w:rsidRPr="00363CFA">
        <w:rPr>
          <w:rFonts w:asciiTheme="majorHAnsi" w:hAnsiTheme="majorHAnsi" w:cstheme="majorHAnsi"/>
          <w:b/>
          <w:i/>
          <w:sz w:val="24"/>
          <w:szCs w:val="24"/>
          <w:lang w:val="ro-MD"/>
        </w:rPr>
        <w:t>4</w:t>
      </w:r>
      <w:r w:rsidR="00C23DCE" w:rsidRPr="00363CFA">
        <w:rPr>
          <w:rFonts w:asciiTheme="majorHAnsi" w:hAnsiTheme="majorHAnsi" w:cstheme="majorHAnsi"/>
          <w:b/>
          <w:i/>
          <w:sz w:val="24"/>
          <w:szCs w:val="24"/>
          <w:lang w:val="ro-MD"/>
        </w:rPr>
        <w:t>. Executorii (ordonatorii) secundari de buget</w:t>
      </w:r>
      <w:r w:rsidR="00C23DCE" w:rsidRPr="00363CFA">
        <w:rPr>
          <w:rFonts w:asciiTheme="majorHAnsi" w:hAnsiTheme="majorHAnsi" w:cstheme="majorHAnsi"/>
          <w:sz w:val="24"/>
          <w:szCs w:val="24"/>
          <w:lang w:val="ro-MD"/>
        </w:rPr>
        <w:t xml:space="preserve"> (conducătorii institu</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iilor)</w:t>
      </w:r>
      <w:r w:rsidR="00B33208">
        <w:rPr>
          <w:rFonts w:asciiTheme="majorHAnsi" w:hAnsiTheme="majorHAnsi" w:cstheme="majorHAnsi"/>
          <w:sz w:val="24"/>
          <w:szCs w:val="24"/>
          <w:lang w:val="ro-MD"/>
        </w:rPr>
        <w:t xml:space="preserve"> </w:t>
      </w:r>
      <w:r w:rsidR="00C23DCE" w:rsidRPr="00363CFA">
        <w:rPr>
          <w:rFonts w:asciiTheme="majorHAnsi" w:hAnsiTheme="majorHAnsi" w:cstheme="majorHAnsi"/>
          <w:sz w:val="24"/>
          <w:szCs w:val="24"/>
          <w:lang w:val="ro-MD"/>
        </w:rPr>
        <w:t xml:space="preserve">sunt responsabili de elaborarea proiectului de buget, </w:t>
      </w:r>
      <w:r w:rsidR="00B33208">
        <w:rPr>
          <w:rFonts w:asciiTheme="majorHAnsi" w:hAnsiTheme="majorHAnsi" w:cstheme="majorHAnsi"/>
          <w:sz w:val="24"/>
          <w:szCs w:val="24"/>
          <w:lang w:val="ro-MD"/>
        </w:rPr>
        <w:t xml:space="preserve">de </w:t>
      </w:r>
      <w:r w:rsidR="00C23DCE" w:rsidRPr="00363CFA">
        <w:rPr>
          <w:rFonts w:asciiTheme="majorHAnsi" w:hAnsiTheme="majorHAnsi" w:cstheme="majorHAnsi"/>
          <w:sz w:val="24"/>
          <w:szCs w:val="24"/>
          <w:lang w:val="ro-MD"/>
        </w:rPr>
        <w:t xml:space="preserve">oportunitatea </w:t>
      </w:r>
      <w:r w:rsidR="0069374B" w:rsidRPr="00363CFA">
        <w:rPr>
          <w:rFonts w:asciiTheme="majorHAnsi" w:hAnsiTheme="majorHAnsi" w:cstheme="majorHAnsi"/>
          <w:sz w:val="24"/>
          <w:szCs w:val="24"/>
          <w:lang w:val="ro-MD"/>
        </w:rPr>
        <w:t>ș</w:t>
      </w:r>
      <w:r w:rsidR="00C23DCE" w:rsidRPr="00363CFA">
        <w:rPr>
          <w:rFonts w:asciiTheme="majorHAnsi" w:hAnsiTheme="majorHAnsi" w:cstheme="majorHAnsi"/>
          <w:sz w:val="24"/>
          <w:szCs w:val="24"/>
          <w:lang w:val="ro-MD"/>
        </w:rPr>
        <w:t xml:space="preserve">i legalitatea angajării </w:t>
      </w:r>
      <w:r w:rsidR="0069374B" w:rsidRPr="00363CFA">
        <w:rPr>
          <w:rFonts w:asciiTheme="majorHAnsi" w:hAnsiTheme="majorHAnsi" w:cstheme="majorHAnsi"/>
          <w:sz w:val="24"/>
          <w:szCs w:val="24"/>
          <w:lang w:val="ro-MD"/>
        </w:rPr>
        <w:t>ș</w:t>
      </w:r>
      <w:r w:rsidR="00C23DCE" w:rsidRPr="00363CFA">
        <w:rPr>
          <w:rFonts w:asciiTheme="majorHAnsi" w:hAnsiTheme="majorHAnsi" w:cstheme="majorHAnsi"/>
          <w:sz w:val="24"/>
          <w:szCs w:val="24"/>
          <w:lang w:val="ro-MD"/>
        </w:rPr>
        <w:t>i utilizării aloca</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 xml:space="preserve">iilor bugetare în limita </w:t>
      </w:r>
      <w:r w:rsidR="0069374B" w:rsidRPr="00363CFA">
        <w:rPr>
          <w:rFonts w:asciiTheme="majorHAnsi" w:hAnsiTheme="majorHAnsi" w:cstheme="majorHAnsi"/>
          <w:sz w:val="24"/>
          <w:szCs w:val="24"/>
          <w:lang w:val="ro-MD"/>
        </w:rPr>
        <w:t>ș</w:t>
      </w:r>
      <w:r w:rsidR="00C23DCE" w:rsidRPr="00363CFA">
        <w:rPr>
          <w:rFonts w:asciiTheme="majorHAnsi" w:hAnsiTheme="majorHAnsi" w:cstheme="majorHAnsi"/>
          <w:sz w:val="24"/>
          <w:szCs w:val="24"/>
          <w:lang w:val="ro-MD"/>
        </w:rPr>
        <w:t>i cu destina</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 xml:space="preserve">ia aprobate în buget, </w:t>
      </w:r>
      <w:r w:rsidR="00B33208">
        <w:rPr>
          <w:rFonts w:asciiTheme="majorHAnsi" w:hAnsiTheme="majorHAnsi" w:cstheme="majorHAnsi"/>
          <w:sz w:val="24"/>
          <w:szCs w:val="24"/>
          <w:lang w:val="ro-MD"/>
        </w:rPr>
        <w:t xml:space="preserve">de </w:t>
      </w:r>
      <w:r w:rsidR="00C23DCE" w:rsidRPr="00363CFA">
        <w:rPr>
          <w:rFonts w:asciiTheme="majorHAnsi" w:hAnsiTheme="majorHAnsi" w:cstheme="majorHAnsi"/>
          <w:sz w:val="24"/>
          <w:szCs w:val="24"/>
          <w:lang w:val="ro-MD"/>
        </w:rPr>
        <w:t>integritatea bunurilor aflate în administrare.</w:t>
      </w:r>
    </w:p>
    <w:p w14:paraId="2225FFF4" w14:textId="4928CF4C" w:rsidR="00C23DCE" w:rsidRPr="00363CFA" w:rsidRDefault="00C23DCE" w:rsidP="00C23DCE">
      <w:pPr>
        <w:keepNext/>
        <w:keepLines/>
        <w:spacing w:after="0" w:line="276" w:lineRule="auto"/>
        <w:ind w:firstLine="709"/>
        <w:jc w:val="both"/>
        <w:outlineLvl w:val="0"/>
        <w:rPr>
          <w:rFonts w:asciiTheme="majorHAnsi" w:eastAsiaTheme="majorEastAsia" w:hAnsiTheme="majorHAnsi" w:cstheme="majorHAnsi"/>
          <w:color w:val="2E74B5" w:themeColor="accent1" w:themeShade="BF"/>
          <w:sz w:val="24"/>
          <w:szCs w:val="24"/>
          <w:lang w:val="ro-MD"/>
        </w:rPr>
      </w:pPr>
      <w:bookmarkStart w:id="11" w:name="_Toc84512900"/>
      <w:r w:rsidRPr="00363CFA">
        <w:rPr>
          <w:rFonts w:asciiTheme="majorHAnsi" w:eastAsiaTheme="majorEastAsia" w:hAnsiTheme="majorHAnsi" w:cstheme="majorHAnsi"/>
          <w:b/>
          <w:bCs/>
          <w:sz w:val="24"/>
          <w:szCs w:val="24"/>
          <w:lang w:val="ro-MD"/>
        </w:rPr>
        <w:t xml:space="preserve">2.2. Patrimoniul </w:t>
      </w:r>
      <w:r w:rsidR="0069374B" w:rsidRPr="00363CFA">
        <w:rPr>
          <w:rFonts w:asciiTheme="majorHAnsi" w:eastAsiaTheme="majorEastAsia" w:hAnsiTheme="majorHAnsi" w:cstheme="majorHAnsi"/>
          <w:b/>
          <w:bCs/>
          <w:sz w:val="24"/>
          <w:szCs w:val="24"/>
          <w:lang w:val="ro-MD"/>
        </w:rPr>
        <w:t>ș</w:t>
      </w:r>
      <w:r w:rsidRPr="00363CFA">
        <w:rPr>
          <w:rFonts w:asciiTheme="majorHAnsi" w:eastAsiaTheme="majorEastAsia" w:hAnsiTheme="majorHAnsi" w:cstheme="majorHAnsi"/>
          <w:b/>
          <w:bCs/>
          <w:sz w:val="24"/>
          <w:szCs w:val="24"/>
          <w:lang w:val="ro-MD"/>
        </w:rPr>
        <w:t xml:space="preserve">i bugetul </w:t>
      </w:r>
      <w:r w:rsidRPr="00B1128B">
        <w:rPr>
          <w:rFonts w:asciiTheme="majorHAnsi" w:eastAsiaTheme="majorEastAsia" w:hAnsiTheme="majorHAnsi" w:cstheme="majorHAnsi"/>
          <w:b/>
          <w:bCs/>
          <w:sz w:val="24"/>
          <w:szCs w:val="24"/>
          <w:lang w:val="ro-MD"/>
        </w:rPr>
        <w:t>gestionat</w:t>
      </w:r>
      <w:r w:rsidR="00EA1535" w:rsidRPr="00B1128B">
        <w:rPr>
          <w:rFonts w:asciiTheme="majorHAnsi" w:eastAsiaTheme="majorEastAsia" w:hAnsiTheme="majorHAnsi" w:cstheme="majorHAnsi"/>
          <w:b/>
          <w:bCs/>
          <w:sz w:val="24"/>
          <w:szCs w:val="24"/>
          <w:lang w:val="ro-MD"/>
        </w:rPr>
        <w:t>e</w:t>
      </w:r>
      <w:bookmarkEnd w:id="11"/>
    </w:p>
    <w:p w14:paraId="26D905EA" w14:textId="77777777" w:rsidR="00C23DCE" w:rsidRPr="00363CFA" w:rsidRDefault="00944156" w:rsidP="00C23DCE">
      <w:pPr>
        <w:spacing w:after="0" w:line="276" w:lineRule="auto"/>
        <w:ind w:firstLine="709"/>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La data de 01.01.2021</w:t>
      </w:r>
      <w:r w:rsidR="00C23DCE" w:rsidRPr="00363CFA">
        <w:rPr>
          <w:rFonts w:asciiTheme="majorHAnsi" w:hAnsiTheme="majorHAnsi" w:cstheme="majorHAnsi"/>
          <w:sz w:val="24"/>
          <w:szCs w:val="24"/>
          <w:lang w:val="ro-MD"/>
        </w:rPr>
        <w:t xml:space="preserve">, valoarea totală a activelor gestionate de către </w:t>
      </w:r>
      <w:r w:rsidRPr="00363CFA">
        <w:rPr>
          <w:rFonts w:asciiTheme="majorHAnsi" w:hAnsiTheme="majorHAnsi" w:cstheme="majorHAnsi"/>
          <w:sz w:val="24"/>
          <w:szCs w:val="24"/>
          <w:lang w:val="ro-MD"/>
        </w:rPr>
        <w:t>Comitetul Executiv al Găgăuziei (bugetul central)</w:t>
      </w:r>
      <w:r w:rsidR="00C23DCE" w:rsidRPr="00363CFA">
        <w:rPr>
          <w:rFonts w:asciiTheme="majorHAnsi" w:hAnsiTheme="majorHAnsi" w:cstheme="majorHAnsi"/>
          <w:sz w:val="24"/>
          <w:szCs w:val="24"/>
          <w:lang w:val="ro-MD"/>
        </w:rPr>
        <w:t xml:space="preserve"> a constituit </w:t>
      </w:r>
      <w:r w:rsidRPr="00363CFA">
        <w:rPr>
          <w:rFonts w:asciiTheme="majorHAnsi" w:hAnsiTheme="majorHAnsi" w:cstheme="majorHAnsi"/>
          <w:sz w:val="24"/>
          <w:szCs w:val="24"/>
          <w:lang w:val="ro-MD"/>
        </w:rPr>
        <w:t>589501,1 mii lei, fiind în cre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tere</w:t>
      </w:r>
      <w:r w:rsidR="00C23DCE" w:rsidRPr="00363CFA">
        <w:rPr>
          <w:rFonts w:asciiTheme="majorHAnsi" w:hAnsiTheme="majorHAnsi" w:cstheme="majorHAnsi"/>
          <w:sz w:val="24"/>
          <w:szCs w:val="24"/>
          <w:lang w:val="ro-MD"/>
        </w:rPr>
        <w:t xml:space="preserve"> cu </w:t>
      </w:r>
      <w:r w:rsidRPr="00363CFA">
        <w:rPr>
          <w:rFonts w:asciiTheme="majorHAnsi" w:hAnsiTheme="majorHAnsi" w:cstheme="majorHAnsi"/>
          <w:sz w:val="24"/>
          <w:szCs w:val="24"/>
          <w:lang w:val="ro-MD"/>
        </w:rPr>
        <w:t>24354,4</w:t>
      </w:r>
      <w:r w:rsidR="00C23DCE" w:rsidRPr="00363CFA">
        <w:rPr>
          <w:rFonts w:asciiTheme="majorHAnsi" w:hAnsiTheme="majorHAnsi" w:cstheme="majorHAnsi"/>
          <w:sz w:val="24"/>
          <w:szCs w:val="24"/>
          <w:lang w:val="ro-MD"/>
        </w:rPr>
        <w:t xml:space="preserve"> mii lei comparativ cu soldul activelor înregis</w:t>
      </w:r>
      <w:r w:rsidRPr="00363CFA">
        <w:rPr>
          <w:rFonts w:asciiTheme="majorHAnsi" w:hAnsiTheme="majorHAnsi" w:cstheme="majorHAnsi"/>
          <w:sz w:val="24"/>
          <w:szCs w:val="24"/>
          <w:lang w:val="ro-MD"/>
        </w:rPr>
        <w:t>trate la situa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ia din 01.01.2020 (565146,7</w:t>
      </w:r>
      <w:r w:rsidR="00C23DCE" w:rsidRPr="00363CFA">
        <w:rPr>
          <w:rFonts w:asciiTheme="majorHAnsi" w:hAnsiTheme="majorHAnsi" w:cstheme="majorHAnsi"/>
          <w:sz w:val="24"/>
          <w:szCs w:val="24"/>
          <w:lang w:val="ro-MD"/>
        </w:rPr>
        <w:t xml:space="preserve"> mii lei). </w:t>
      </w:r>
      <w:r w:rsidR="00C23DCE" w:rsidRPr="00363CFA">
        <w:rPr>
          <w:rFonts w:asciiTheme="majorHAnsi" w:hAnsiTheme="majorHAnsi" w:cstheme="majorHAnsi"/>
          <w:color w:val="000000"/>
          <w:sz w:val="24"/>
          <w:szCs w:val="24"/>
          <w:lang w:val="ro-MD"/>
        </w:rPr>
        <w:t>Activele ne</w:t>
      </w:r>
      <w:r w:rsidRPr="00363CFA">
        <w:rPr>
          <w:rFonts w:asciiTheme="majorHAnsi" w:hAnsiTheme="majorHAnsi" w:cstheme="majorHAnsi"/>
          <w:color w:val="000000"/>
          <w:sz w:val="24"/>
          <w:szCs w:val="24"/>
          <w:lang w:val="ro-MD"/>
        </w:rPr>
        <w:t>financiare reprezintă circa 61,4</w:t>
      </w:r>
      <w:r w:rsidR="00C23DCE" w:rsidRPr="00363CFA">
        <w:rPr>
          <w:rFonts w:asciiTheme="majorHAnsi" w:hAnsiTheme="majorHAnsi" w:cstheme="majorHAnsi"/>
          <w:color w:val="000000"/>
          <w:sz w:val="24"/>
          <w:szCs w:val="24"/>
          <w:lang w:val="ro-MD"/>
        </w:rPr>
        <w:t xml:space="preserve"> % din valoarea totală a activelor</w:t>
      </w:r>
      <w:r w:rsidRPr="00363CFA">
        <w:rPr>
          <w:rFonts w:asciiTheme="majorHAnsi" w:hAnsiTheme="majorHAnsi" w:cstheme="majorHAnsi"/>
          <w:color w:val="000000"/>
          <w:sz w:val="24"/>
          <w:szCs w:val="24"/>
          <w:lang w:val="ro-MD"/>
        </w:rPr>
        <w:t>, iar activele financiare – 38,6</w:t>
      </w:r>
      <w:r w:rsidR="00C23DCE" w:rsidRPr="00363CFA">
        <w:rPr>
          <w:rFonts w:asciiTheme="majorHAnsi" w:hAnsiTheme="majorHAnsi" w:cstheme="majorHAnsi"/>
          <w:color w:val="000000"/>
          <w:sz w:val="24"/>
          <w:szCs w:val="24"/>
          <w:lang w:val="ro-MD"/>
        </w:rPr>
        <w:t xml:space="preserve"> %.</w:t>
      </w:r>
      <w:r w:rsidR="00C23DCE" w:rsidRPr="00363CFA">
        <w:rPr>
          <w:rFonts w:asciiTheme="majorHAnsi" w:hAnsiTheme="majorHAnsi" w:cstheme="majorHAnsi"/>
          <w:sz w:val="24"/>
          <w:szCs w:val="24"/>
          <w:lang w:val="ro-MD"/>
        </w:rPr>
        <w:t xml:space="preserve"> Analiza bilan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ului contabil al Comitetului Executiv al Găgăuziei</w:t>
      </w:r>
      <w:r w:rsidR="00C23DCE" w:rsidRPr="00363CFA">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 xml:space="preserve">(bugetul central) </w:t>
      </w:r>
      <w:r w:rsidR="00C23DCE" w:rsidRPr="00363CFA">
        <w:rPr>
          <w:rFonts w:asciiTheme="majorHAnsi" w:hAnsiTheme="majorHAnsi" w:cstheme="majorHAnsi"/>
          <w:sz w:val="24"/>
          <w:szCs w:val="24"/>
          <w:lang w:val="ro-MD"/>
        </w:rPr>
        <w:t xml:space="preserve">se prezintă în </w:t>
      </w:r>
      <w:r w:rsidR="00C23DCE" w:rsidRPr="00363CFA">
        <w:rPr>
          <w:rFonts w:asciiTheme="majorHAnsi" w:hAnsiTheme="majorHAnsi" w:cstheme="majorHAnsi"/>
          <w:b/>
          <w:bCs/>
          <w:sz w:val="24"/>
          <w:szCs w:val="24"/>
          <w:lang w:val="ro-MD"/>
        </w:rPr>
        <w:t xml:space="preserve">Anexa nr.1 </w:t>
      </w:r>
      <w:r w:rsidR="00C23DCE" w:rsidRPr="00F30888">
        <w:rPr>
          <w:rFonts w:asciiTheme="majorHAnsi" w:hAnsiTheme="majorHAnsi" w:cstheme="majorHAnsi"/>
          <w:bCs/>
          <w:sz w:val="24"/>
          <w:szCs w:val="24"/>
          <w:lang w:val="ro-MD"/>
        </w:rPr>
        <w:t>la prezentul Raport</w:t>
      </w:r>
      <w:r w:rsidR="00C23DCE" w:rsidRPr="007E64D5">
        <w:rPr>
          <w:rFonts w:asciiTheme="majorHAnsi" w:hAnsiTheme="majorHAnsi" w:cstheme="majorHAnsi"/>
          <w:sz w:val="24"/>
          <w:szCs w:val="24"/>
          <w:lang w:val="ro-MD"/>
        </w:rPr>
        <w:t>.</w:t>
      </w:r>
      <w:r w:rsidR="00C23DCE" w:rsidRPr="00363CFA">
        <w:rPr>
          <w:rFonts w:asciiTheme="majorHAnsi" w:hAnsiTheme="majorHAnsi" w:cstheme="majorHAnsi"/>
          <w:sz w:val="24"/>
          <w:szCs w:val="24"/>
          <w:lang w:val="ro-MD"/>
        </w:rPr>
        <w:t xml:space="preserve">  </w:t>
      </w:r>
    </w:p>
    <w:p w14:paraId="6EC4B1EB" w14:textId="028BF26E" w:rsidR="00944156" w:rsidRPr="00363CFA" w:rsidRDefault="001A6387" w:rsidP="00C23DCE">
      <w:pPr>
        <w:spacing w:after="0" w:line="276" w:lineRule="auto"/>
        <w:ind w:firstLine="709"/>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Bugetul UTA Găgăuzia pentru anul 2020 a fost aprobat în baza Legii UTA Găgăuzia nr.48 din 17.12.2019</w:t>
      </w:r>
      <w:r w:rsidRPr="00363CFA">
        <w:rPr>
          <w:rStyle w:val="FootnoteReference"/>
          <w:rFonts w:asciiTheme="majorHAnsi" w:hAnsiTheme="majorHAnsi" w:cstheme="majorHAnsi"/>
          <w:sz w:val="24"/>
          <w:szCs w:val="24"/>
          <w:lang w:val="ro-MD"/>
        </w:rPr>
        <w:footnoteReference w:id="7"/>
      </w:r>
      <w:r w:rsidR="00497136">
        <w:rPr>
          <w:rFonts w:asciiTheme="majorHAnsi" w:hAnsiTheme="majorHAnsi" w:cstheme="majorHAnsi"/>
          <w:sz w:val="24"/>
          <w:szCs w:val="24"/>
          <w:lang w:val="ro-MD"/>
        </w:rPr>
        <w:t xml:space="preserve"> și </w:t>
      </w:r>
      <w:r w:rsidR="005A7429" w:rsidRPr="00363CFA">
        <w:rPr>
          <w:rFonts w:asciiTheme="majorHAnsi" w:hAnsiTheme="majorHAnsi" w:cstheme="majorHAnsi"/>
          <w:sz w:val="24"/>
          <w:szCs w:val="24"/>
          <w:lang w:val="ro-MD"/>
        </w:rPr>
        <w:t>a fost executat la partea de venituri în sumă de 815040,8 mii lei, iar la partea de cheltuieli – în sumă de 796235,5 mii lei</w:t>
      </w:r>
      <w:r w:rsidR="0069590E" w:rsidRPr="00363CFA">
        <w:rPr>
          <w:rFonts w:asciiTheme="majorHAnsi" w:hAnsiTheme="majorHAnsi" w:cstheme="majorHAnsi"/>
          <w:sz w:val="24"/>
          <w:szCs w:val="24"/>
          <w:lang w:val="ro-MD"/>
        </w:rPr>
        <w:t xml:space="preserve">. </w:t>
      </w:r>
      <w:r w:rsidR="005A7429" w:rsidRPr="00363CFA">
        <w:rPr>
          <w:rFonts w:asciiTheme="majorHAnsi" w:hAnsiTheme="majorHAnsi" w:cstheme="majorHAnsi"/>
          <w:sz w:val="24"/>
          <w:szCs w:val="24"/>
          <w:lang w:val="ro-MD"/>
        </w:rPr>
        <w:t xml:space="preserve">  </w:t>
      </w:r>
    </w:p>
    <w:p w14:paraId="5D7070C7" w14:textId="77777777" w:rsidR="005A7429" w:rsidRPr="00363CFA" w:rsidRDefault="005A7429" w:rsidP="005A7429">
      <w:pPr>
        <w:spacing w:after="0" w:line="240" w:lineRule="auto"/>
        <w:jc w:val="center"/>
        <w:rPr>
          <w:rFonts w:asciiTheme="majorHAnsi" w:eastAsia="Calibri" w:hAnsiTheme="majorHAnsi" w:cstheme="majorHAnsi"/>
          <w:b/>
          <w:i/>
          <w:sz w:val="24"/>
          <w:szCs w:val="24"/>
          <w:lang w:val="ro-MD"/>
        </w:rPr>
      </w:pPr>
      <w:r w:rsidRPr="00363CFA">
        <w:rPr>
          <w:rFonts w:asciiTheme="majorHAnsi" w:eastAsia="Calibri" w:hAnsiTheme="majorHAnsi" w:cstheme="majorHAnsi"/>
          <w:b/>
          <w:i/>
          <w:sz w:val="24"/>
          <w:szCs w:val="24"/>
          <w:lang w:val="ro-MD"/>
        </w:rPr>
        <w:t xml:space="preserve">Venituri </w:t>
      </w:r>
      <w:r w:rsidR="0069374B" w:rsidRPr="00363CFA">
        <w:rPr>
          <w:rFonts w:asciiTheme="majorHAnsi" w:eastAsia="Calibri" w:hAnsiTheme="majorHAnsi" w:cstheme="majorHAnsi"/>
          <w:b/>
          <w:i/>
          <w:sz w:val="24"/>
          <w:szCs w:val="24"/>
          <w:lang w:val="ro-MD"/>
        </w:rPr>
        <w:t>ș</w:t>
      </w:r>
      <w:r w:rsidRPr="00363CFA">
        <w:rPr>
          <w:rFonts w:asciiTheme="majorHAnsi" w:eastAsia="Calibri" w:hAnsiTheme="majorHAnsi" w:cstheme="majorHAnsi"/>
          <w:b/>
          <w:i/>
          <w:sz w:val="24"/>
          <w:szCs w:val="24"/>
          <w:lang w:val="ro-MD"/>
        </w:rPr>
        <w:t xml:space="preserve">i cheltuieli </w:t>
      </w:r>
    </w:p>
    <w:p w14:paraId="3DA35BE8" w14:textId="77777777" w:rsidR="005A7429" w:rsidRPr="00363CFA" w:rsidRDefault="005A7429" w:rsidP="005A7429">
      <w:pPr>
        <w:spacing w:after="0" w:line="240" w:lineRule="auto"/>
        <w:jc w:val="right"/>
        <w:rPr>
          <w:rFonts w:asciiTheme="majorHAnsi" w:eastAsia="Calibri" w:hAnsiTheme="majorHAnsi" w:cstheme="majorHAnsi"/>
          <w:b/>
          <w:i/>
          <w:sz w:val="20"/>
          <w:szCs w:val="20"/>
          <w:lang w:val="ro-MD"/>
        </w:rPr>
      </w:pPr>
      <w:r w:rsidRPr="00363CFA">
        <w:rPr>
          <w:rFonts w:asciiTheme="majorHAnsi" w:eastAsia="Calibri" w:hAnsiTheme="majorHAnsi" w:cstheme="majorHAnsi"/>
          <w:b/>
          <w:i/>
          <w:sz w:val="20"/>
          <w:szCs w:val="20"/>
          <w:lang w:val="ro-MD"/>
        </w:rPr>
        <w:t>(mii lei)</w:t>
      </w:r>
    </w:p>
    <w:tbl>
      <w:tblPr>
        <w:tblStyle w:val="TableGrid"/>
        <w:tblW w:w="9068" w:type="dxa"/>
        <w:tblInd w:w="-5" w:type="dxa"/>
        <w:tblLook w:val="04A0" w:firstRow="1" w:lastRow="0" w:firstColumn="1" w:lastColumn="0" w:noHBand="0" w:noVBand="1"/>
      </w:tblPr>
      <w:tblGrid>
        <w:gridCol w:w="567"/>
        <w:gridCol w:w="5103"/>
        <w:gridCol w:w="1130"/>
        <w:gridCol w:w="1134"/>
        <w:gridCol w:w="1134"/>
      </w:tblGrid>
      <w:tr w:rsidR="005A7429" w:rsidRPr="005D2EDD" w14:paraId="5E54D0FE" w14:textId="77777777" w:rsidTr="00497136">
        <w:trPr>
          <w:trHeight w:val="120"/>
        </w:trPr>
        <w:tc>
          <w:tcPr>
            <w:tcW w:w="567" w:type="dxa"/>
          </w:tcPr>
          <w:p w14:paraId="3F09B669" w14:textId="77777777" w:rsidR="005A7429" w:rsidRPr="005D2EDD" w:rsidRDefault="005A7429" w:rsidP="002A3788">
            <w:pPr>
              <w:jc w:val="both"/>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 xml:space="preserve">Cod </w:t>
            </w:r>
          </w:p>
        </w:tc>
        <w:tc>
          <w:tcPr>
            <w:tcW w:w="5103" w:type="dxa"/>
          </w:tcPr>
          <w:p w14:paraId="72A7BFE5" w14:textId="77777777" w:rsidR="005A7429" w:rsidRPr="005D2EDD" w:rsidRDefault="005A7429" w:rsidP="002A3788">
            <w:pPr>
              <w:jc w:val="center"/>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Indicatorul</w:t>
            </w:r>
          </w:p>
        </w:tc>
        <w:tc>
          <w:tcPr>
            <w:tcW w:w="1130" w:type="dxa"/>
          </w:tcPr>
          <w:p w14:paraId="2879A7A8" w14:textId="77777777" w:rsidR="005A7429" w:rsidRPr="005D2EDD" w:rsidRDefault="005A7429" w:rsidP="002A3788">
            <w:pPr>
              <w:jc w:val="center"/>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Anul 2018</w:t>
            </w:r>
          </w:p>
        </w:tc>
        <w:tc>
          <w:tcPr>
            <w:tcW w:w="1134" w:type="dxa"/>
          </w:tcPr>
          <w:p w14:paraId="5E21AE6C" w14:textId="678E9E7D" w:rsidR="005A7429" w:rsidRPr="005D2EDD" w:rsidRDefault="000476D4" w:rsidP="002A3788">
            <w:pPr>
              <w:jc w:val="center"/>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A</w:t>
            </w:r>
            <w:r w:rsidR="005A7429" w:rsidRPr="005D2EDD">
              <w:rPr>
                <w:rFonts w:asciiTheme="majorHAnsi" w:eastAsia="Calibri" w:hAnsiTheme="majorHAnsi" w:cstheme="majorHAnsi"/>
                <w:b/>
                <w:i/>
                <w:sz w:val="16"/>
                <w:szCs w:val="16"/>
                <w:lang w:val="ro-MD"/>
              </w:rPr>
              <w:t>nul 2019</w:t>
            </w:r>
          </w:p>
        </w:tc>
        <w:tc>
          <w:tcPr>
            <w:tcW w:w="1134" w:type="dxa"/>
          </w:tcPr>
          <w:p w14:paraId="4D2D4FA2" w14:textId="6563086F" w:rsidR="005A7429" w:rsidRPr="005D2EDD" w:rsidRDefault="000476D4" w:rsidP="002A3788">
            <w:pPr>
              <w:jc w:val="center"/>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A</w:t>
            </w:r>
            <w:r w:rsidR="005A7429" w:rsidRPr="005D2EDD">
              <w:rPr>
                <w:rFonts w:asciiTheme="majorHAnsi" w:eastAsia="Calibri" w:hAnsiTheme="majorHAnsi" w:cstheme="majorHAnsi"/>
                <w:b/>
                <w:i/>
                <w:sz w:val="16"/>
                <w:szCs w:val="16"/>
                <w:lang w:val="ro-MD"/>
              </w:rPr>
              <w:t>nul 2020</w:t>
            </w:r>
          </w:p>
        </w:tc>
      </w:tr>
      <w:tr w:rsidR="005A7429" w:rsidRPr="005D2EDD" w14:paraId="77B83910" w14:textId="77777777" w:rsidTr="00497136">
        <w:tc>
          <w:tcPr>
            <w:tcW w:w="567" w:type="dxa"/>
          </w:tcPr>
          <w:p w14:paraId="76E283A0" w14:textId="77777777" w:rsidR="005A7429" w:rsidRPr="005D2EDD" w:rsidRDefault="005A7429" w:rsidP="002A3788">
            <w:pPr>
              <w:jc w:val="both"/>
              <w:rPr>
                <w:rFonts w:asciiTheme="majorHAnsi" w:eastAsia="Calibri" w:hAnsiTheme="majorHAnsi" w:cstheme="majorHAnsi"/>
                <w:b/>
                <w:i/>
                <w:sz w:val="16"/>
                <w:szCs w:val="16"/>
                <w:lang w:val="ro-MD"/>
              </w:rPr>
            </w:pPr>
          </w:p>
        </w:tc>
        <w:tc>
          <w:tcPr>
            <w:tcW w:w="5103" w:type="dxa"/>
          </w:tcPr>
          <w:p w14:paraId="6AE08BC8" w14:textId="77777777" w:rsidR="005A7429" w:rsidRPr="005D2EDD" w:rsidRDefault="005A7429" w:rsidP="002A3788">
            <w:pPr>
              <w:jc w:val="both"/>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 xml:space="preserve">Venituri </w:t>
            </w:r>
          </w:p>
        </w:tc>
        <w:tc>
          <w:tcPr>
            <w:tcW w:w="1130" w:type="dxa"/>
          </w:tcPr>
          <w:p w14:paraId="435F5ED5" w14:textId="77777777" w:rsidR="005A7429" w:rsidRPr="005D2EDD" w:rsidRDefault="005A7429" w:rsidP="002A3788">
            <w:pPr>
              <w:jc w:val="right"/>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737537,3</w:t>
            </w:r>
          </w:p>
        </w:tc>
        <w:tc>
          <w:tcPr>
            <w:tcW w:w="1134" w:type="dxa"/>
          </w:tcPr>
          <w:p w14:paraId="3CC5EFDD" w14:textId="77777777" w:rsidR="005A7429" w:rsidRPr="005D2EDD" w:rsidRDefault="005A7429" w:rsidP="002A3788">
            <w:pPr>
              <w:jc w:val="right"/>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833580,7</w:t>
            </w:r>
          </w:p>
        </w:tc>
        <w:tc>
          <w:tcPr>
            <w:tcW w:w="1134" w:type="dxa"/>
          </w:tcPr>
          <w:p w14:paraId="108FCD00" w14:textId="77777777" w:rsidR="005A7429" w:rsidRPr="005D2EDD" w:rsidRDefault="005A7429" w:rsidP="002A3788">
            <w:pPr>
              <w:jc w:val="right"/>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815040,8</w:t>
            </w:r>
          </w:p>
        </w:tc>
      </w:tr>
      <w:tr w:rsidR="005A7429" w:rsidRPr="005D2EDD" w14:paraId="2A80990D" w14:textId="77777777" w:rsidTr="00497136">
        <w:tc>
          <w:tcPr>
            <w:tcW w:w="567" w:type="dxa"/>
          </w:tcPr>
          <w:p w14:paraId="71720043"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110</w:t>
            </w:r>
          </w:p>
        </w:tc>
        <w:tc>
          <w:tcPr>
            <w:tcW w:w="5103" w:type="dxa"/>
          </w:tcPr>
          <w:p w14:paraId="3D810872"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 xml:space="preserve">Impozite </w:t>
            </w:r>
            <w:r w:rsidR="0069374B" w:rsidRPr="005D2EDD">
              <w:rPr>
                <w:rFonts w:asciiTheme="majorHAnsi" w:eastAsia="Calibri" w:hAnsiTheme="majorHAnsi" w:cstheme="majorHAnsi"/>
                <w:i/>
                <w:sz w:val="16"/>
                <w:szCs w:val="16"/>
                <w:lang w:val="ro-MD"/>
              </w:rPr>
              <w:t>ș</w:t>
            </w:r>
            <w:r w:rsidRPr="005D2EDD">
              <w:rPr>
                <w:rFonts w:asciiTheme="majorHAnsi" w:eastAsia="Calibri" w:hAnsiTheme="majorHAnsi" w:cstheme="majorHAnsi"/>
                <w:i/>
                <w:sz w:val="16"/>
                <w:szCs w:val="16"/>
                <w:lang w:val="ro-MD"/>
              </w:rPr>
              <w:t>i taxe</w:t>
            </w:r>
          </w:p>
        </w:tc>
        <w:tc>
          <w:tcPr>
            <w:tcW w:w="1130" w:type="dxa"/>
          </w:tcPr>
          <w:p w14:paraId="1A2DCBDE"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261043,4</w:t>
            </w:r>
          </w:p>
        </w:tc>
        <w:tc>
          <w:tcPr>
            <w:tcW w:w="1134" w:type="dxa"/>
          </w:tcPr>
          <w:p w14:paraId="69F2BDF1"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241602,2</w:t>
            </w:r>
          </w:p>
        </w:tc>
        <w:tc>
          <w:tcPr>
            <w:tcW w:w="1134" w:type="dxa"/>
          </w:tcPr>
          <w:p w14:paraId="206DAC8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228496,9</w:t>
            </w:r>
          </w:p>
        </w:tc>
      </w:tr>
      <w:tr w:rsidR="005A7429" w:rsidRPr="005D2EDD" w14:paraId="0D589F28" w14:textId="77777777" w:rsidTr="00497136">
        <w:tc>
          <w:tcPr>
            <w:tcW w:w="567" w:type="dxa"/>
          </w:tcPr>
          <w:p w14:paraId="227C51AE"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130</w:t>
            </w:r>
          </w:p>
        </w:tc>
        <w:tc>
          <w:tcPr>
            <w:tcW w:w="5103" w:type="dxa"/>
          </w:tcPr>
          <w:p w14:paraId="16563E67"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Granturi primite</w:t>
            </w:r>
          </w:p>
        </w:tc>
        <w:tc>
          <w:tcPr>
            <w:tcW w:w="1130" w:type="dxa"/>
          </w:tcPr>
          <w:p w14:paraId="05A4C61F"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4090,7</w:t>
            </w:r>
          </w:p>
        </w:tc>
        <w:tc>
          <w:tcPr>
            <w:tcW w:w="1134" w:type="dxa"/>
          </w:tcPr>
          <w:p w14:paraId="1D51386E"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26737,6</w:t>
            </w:r>
          </w:p>
        </w:tc>
        <w:tc>
          <w:tcPr>
            <w:tcW w:w="1134" w:type="dxa"/>
          </w:tcPr>
          <w:p w14:paraId="4FEE8B0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2580,6</w:t>
            </w:r>
          </w:p>
        </w:tc>
      </w:tr>
      <w:tr w:rsidR="005A7429" w:rsidRPr="005D2EDD" w14:paraId="3F3D45E7" w14:textId="77777777" w:rsidTr="00497136">
        <w:tc>
          <w:tcPr>
            <w:tcW w:w="567" w:type="dxa"/>
          </w:tcPr>
          <w:p w14:paraId="1BDE6E91"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140</w:t>
            </w:r>
          </w:p>
        </w:tc>
        <w:tc>
          <w:tcPr>
            <w:tcW w:w="5103" w:type="dxa"/>
          </w:tcPr>
          <w:p w14:paraId="3F446A85"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Alte venituri</w:t>
            </w:r>
          </w:p>
        </w:tc>
        <w:tc>
          <w:tcPr>
            <w:tcW w:w="1130" w:type="dxa"/>
          </w:tcPr>
          <w:p w14:paraId="3EB752D9"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64025,3</w:t>
            </w:r>
          </w:p>
        </w:tc>
        <w:tc>
          <w:tcPr>
            <w:tcW w:w="1134" w:type="dxa"/>
          </w:tcPr>
          <w:p w14:paraId="19F22334"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24510,4</w:t>
            </w:r>
          </w:p>
        </w:tc>
        <w:tc>
          <w:tcPr>
            <w:tcW w:w="1134" w:type="dxa"/>
          </w:tcPr>
          <w:p w14:paraId="793D499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19916,6</w:t>
            </w:r>
          </w:p>
        </w:tc>
      </w:tr>
      <w:tr w:rsidR="005A7429" w:rsidRPr="005D2EDD" w14:paraId="16F5F15C" w14:textId="77777777" w:rsidTr="00497136">
        <w:tc>
          <w:tcPr>
            <w:tcW w:w="567" w:type="dxa"/>
          </w:tcPr>
          <w:p w14:paraId="2CAF8829"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190</w:t>
            </w:r>
          </w:p>
        </w:tc>
        <w:tc>
          <w:tcPr>
            <w:tcW w:w="5103" w:type="dxa"/>
          </w:tcPr>
          <w:p w14:paraId="65074D2E"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Transferuri primite în cadrul bugetului public</w:t>
            </w:r>
          </w:p>
        </w:tc>
        <w:tc>
          <w:tcPr>
            <w:tcW w:w="1130" w:type="dxa"/>
          </w:tcPr>
          <w:p w14:paraId="6428D811"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408378,1</w:t>
            </w:r>
          </w:p>
        </w:tc>
        <w:tc>
          <w:tcPr>
            <w:tcW w:w="1134" w:type="dxa"/>
          </w:tcPr>
          <w:p w14:paraId="0DF5F5C5"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540730,4</w:t>
            </w:r>
          </w:p>
        </w:tc>
        <w:tc>
          <w:tcPr>
            <w:tcW w:w="1134" w:type="dxa"/>
          </w:tcPr>
          <w:p w14:paraId="2FE24821"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564046,7</w:t>
            </w:r>
          </w:p>
        </w:tc>
      </w:tr>
      <w:tr w:rsidR="005A7429" w:rsidRPr="005D2EDD" w14:paraId="7F6B52D9" w14:textId="77777777" w:rsidTr="00497136">
        <w:tc>
          <w:tcPr>
            <w:tcW w:w="567" w:type="dxa"/>
          </w:tcPr>
          <w:p w14:paraId="743901F4" w14:textId="77777777" w:rsidR="005A7429" w:rsidRPr="005D2EDD" w:rsidRDefault="005A7429" w:rsidP="002A3788">
            <w:pPr>
              <w:jc w:val="both"/>
              <w:rPr>
                <w:rFonts w:asciiTheme="majorHAnsi" w:eastAsia="Calibri" w:hAnsiTheme="majorHAnsi" w:cstheme="majorHAnsi"/>
                <w:i/>
                <w:sz w:val="16"/>
                <w:szCs w:val="16"/>
                <w:lang w:val="ro-MD"/>
              </w:rPr>
            </w:pPr>
          </w:p>
        </w:tc>
        <w:tc>
          <w:tcPr>
            <w:tcW w:w="5103" w:type="dxa"/>
          </w:tcPr>
          <w:p w14:paraId="4A0CDBEF" w14:textId="77777777" w:rsidR="005A7429" w:rsidRPr="005D2EDD" w:rsidRDefault="005A7429" w:rsidP="002A3788">
            <w:pPr>
              <w:jc w:val="both"/>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 xml:space="preserve">Cheltuieli </w:t>
            </w:r>
          </w:p>
        </w:tc>
        <w:tc>
          <w:tcPr>
            <w:tcW w:w="1130" w:type="dxa"/>
          </w:tcPr>
          <w:p w14:paraId="6A5E480C" w14:textId="77777777" w:rsidR="005A7429" w:rsidRPr="005D2EDD" w:rsidRDefault="005A7429" w:rsidP="002A3788">
            <w:pPr>
              <w:jc w:val="right"/>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747763,1</w:t>
            </w:r>
          </w:p>
        </w:tc>
        <w:tc>
          <w:tcPr>
            <w:tcW w:w="1134" w:type="dxa"/>
          </w:tcPr>
          <w:p w14:paraId="3DFEE799" w14:textId="77777777" w:rsidR="005A7429" w:rsidRPr="005D2EDD" w:rsidRDefault="005A7429" w:rsidP="002A3788">
            <w:pPr>
              <w:jc w:val="right"/>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788087,2</w:t>
            </w:r>
          </w:p>
        </w:tc>
        <w:tc>
          <w:tcPr>
            <w:tcW w:w="1134" w:type="dxa"/>
          </w:tcPr>
          <w:p w14:paraId="7707C05B" w14:textId="77777777" w:rsidR="005A7429" w:rsidRPr="005D2EDD" w:rsidRDefault="005A7429" w:rsidP="002A3788">
            <w:pPr>
              <w:jc w:val="right"/>
              <w:rPr>
                <w:rFonts w:asciiTheme="majorHAnsi" w:eastAsia="Calibri" w:hAnsiTheme="majorHAnsi" w:cstheme="majorHAnsi"/>
                <w:b/>
                <w:i/>
                <w:sz w:val="16"/>
                <w:szCs w:val="16"/>
                <w:lang w:val="ro-MD"/>
              </w:rPr>
            </w:pPr>
            <w:r w:rsidRPr="005D2EDD">
              <w:rPr>
                <w:rFonts w:asciiTheme="majorHAnsi" w:eastAsia="Calibri" w:hAnsiTheme="majorHAnsi" w:cstheme="majorHAnsi"/>
                <w:b/>
                <w:i/>
                <w:sz w:val="16"/>
                <w:szCs w:val="16"/>
                <w:lang w:val="ro-MD"/>
              </w:rPr>
              <w:t>796235,5</w:t>
            </w:r>
          </w:p>
        </w:tc>
      </w:tr>
      <w:tr w:rsidR="005A7429" w:rsidRPr="005D2EDD" w14:paraId="0FA59F56" w14:textId="77777777" w:rsidTr="00497136">
        <w:tc>
          <w:tcPr>
            <w:tcW w:w="567" w:type="dxa"/>
          </w:tcPr>
          <w:p w14:paraId="53564F55"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210</w:t>
            </w:r>
          </w:p>
        </w:tc>
        <w:tc>
          <w:tcPr>
            <w:tcW w:w="5103" w:type="dxa"/>
          </w:tcPr>
          <w:p w14:paraId="312E5D80"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Cheltuieli de personal</w:t>
            </w:r>
          </w:p>
        </w:tc>
        <w:tc>
          <w:tcPr>
            <w:tcW w:w="1130" w:type="dxa"/>
          </w:tcPr>
          <w:p w14:paraId="5AC5C75F"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220980,3</w:t>
            </w:r>
          </w:p>
        </w:tc>
        <w:tc>
          <w:tcPr>
            <w:tcW w:w="1134" w:type="dxa"/>
          </w:tcPr>
          <w:p w14:paraId="707E797A"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281647,1</w:t>
            </w:r>
          </w:p>
        </w:tc>
        <w:tc>
          <w:tcPr>
            <w:tcW w:w="1134" w:type="dxa"/>
          </w:tcPr>
          <w:p w14:paraId="3F0721B9"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319707,6</w:t>
            </w:r>
          </w:p>
        </w:tc>
      </w:tr>
      <w:tr w:rsidR="005A7429" w:rsidRPr="005D2EDD" w14:paraId="32CCF914" w14:textId="77777777" w:rsidTr="00497136">
        <w:tc>
          <w:tcPr>
            <w:tcW w:w="567" w:type="dxa"/>
          </w:tcPr>
          <w:p w14:paraId="5FDE53A6"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 xml:space="preserve">220 </w:t>
            </w:r>
          </w:p>
        </w:tc>
        <w:tc>
          <w:tcPr>
            <w:tcW w:w="5103" w:type="dxa"/>
          </w:tcPr>
          <w:p w14:paraId="6F3BE3FD"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 xml:space="preserve">Bunuri </w:t>
            </w:r>
            <w:r w:rsidR="0069374B" w:rsidRPr="005D2EDD">
              <w:rPr>
                <w:rFonts w:asciiTheme="majorHAnsi" w:eastAsia="Calibri" w:hAnsiTheme="majorHAnsi" w:cstheme="majorHAnsi"/>
                <w:i/>
                <w:sz w:val="16"/>
                <w:szCs w:val="16"/>
                <w:lang w:val="ro-MD"/>
              </w:rPr>
              <w:t>ș</w:t>
            </w:r>
            <w:r w:rsidRPr="005D2EDD">
              <w:rPr>
                <w:rFonts w:asciiTheme="majorHAnsi" w:eastAsia="Calibri" w:hAnsiTheme="majorHAnsi" w:cstheme="majorHAnsi"/>
                <w:i/>
                <w:sz w:val="16"/>
                <w:szCs w:val="16"/>
                <w:lang w:val="ro-MD"/>
              </w:rPr>
              <w:t>i servicii</w:t>
            </w:r>
          </w:p>
        </w:tc>
        <w:tc>
          <w:tcPr>
            <w:tcW w:w="1130" w:type="dxa"/>
          </w:tcPr>
          <w:p w14:paraId="67A65532"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75087,6</w:t>
            </w:r>
          </w:p>
        </w:tc>
        <w:tc>
          <w:tcPr>
            <w:tcW w:w="1134" w:type="dxa"/>
          </w:tcPr>
          <w:p w14:paraId="731F5BC4"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79532,5</w:t>
            </w:r>
          </w:p>
        </w:tc>
        <w:tc>
          <w:tcPr>
            <w:tcW w:w="1134" w:type="dxa"/>
          </w:tcPr>
          <w:p w14:paraId="1510710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62276,4</w:t>
            </w:r>
          </w:p>
        </w:tc>
      </w:tr>
      <w:tr w:rsidR="005A7429" w:rsidRPr="005D2EDD" w14:paraId="3EF5C8C2" w14:textId="77777777" w:rsidTr="00497136">
        <w:tc>
          <w:tcPr>
            <w:tcW w:w="567" w:type="dxa"/>
          </w:tcPr>
          <w:p w14:paraId="7C7C3E71"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230</w:t>
            </w:r>
          </w:p>
        </w:tc>
        <w:tc>
          <w:tcPr>
            <w:tcW w:w="5103" w:type="dxa"/>
          </w:tcPr>
          <w:p w14:paraId="45746E82"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Cheltuieli privind deprecierea activelor</w:t>
            </w:r>
          </w:p>
        </w:tc>
        <w:tc>
          <w:tcPr>
            <w:tcW w:w="1130" w:type="dxa"/>
          </w:tcPr>
          <w:p w14:paraId="1EC05C00"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19197,8</w:t>
            </w:r>
          </w:p>
        </w:tc>
        <w:tc>
          <w:tcPr>
            <w:tcW w:w="1134" w:type="dxa"/>
          </w:tcPr>
          <w:p w14:paraId="54963F9E"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19092,8</w:t>
            </w:r>
          </w:p>
        </w:tc>
        <w:tc>
          <w:tcPr>
            <w:tcW w:w="1134" w:type="dxa"/>
          </w:tcPr>
          <w:p w14:paraId="23138583"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19061,8</w:t>
            </w:r>
          </w:p>
        </w:tc>
      </w:tr>
      <w:tr w:rsidR="005A7429" w:rsidRPr="005D2EDD" w14:paraId="561A976B" w14:textId="77777777" w:rsidTr="00497136">
        <w:tc>
          <w:tcPr>
            <w:tcW w:w="567" w:type="dxa"/>
          </w:tcPr>
          <w:p w14:paraId="76238FF7"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 xml:space="preserve">240 </w:t>
            </w:r>
          </w:p>
        </w:tc>
        <w:tc>
          <w:tcPr>
            <w:tcW w:w="5103" w:type="dxa"/>
          </w:tcPr>
          <w:p w14:paraId="4D570099"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 xml:space="preserve">Dobânzi </w:t>
            </w:r>
          </w:p>
        </w:tc>
        <w:tc>
          <w:tcPr>
            <w:tcW w:w="1130" w:type="dxa"/>
          </w:tcPr>
          <w:p w14:paraId="1DBECFD1"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253,9</w:t>
            </w:r>
          </w:p>
        </w:tc>
        <w:tc>
          <w:tcPr>
            <w:tcW w:w="1134" w:type="dxa"/>
          </w:tcPr>
          <w:p w14:paraId="3C373D6C"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123,0</w:t>
            </w:r>
          </w:p>
        </w:tc>
        <w:tc>
          <w:tcPr>
            <w:tcW w:w="1134" w:type="dxa"/>
          </w:tcPr>
          <w:p w14:paraId="2E3C306D"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338,5</w:t>
            </w:r>
          </w:p>
        </w:tc>
      </w:tr>
      <w:tr w:rsidR="005A7429" w:rsidRPr="005D2EDD" w14:paraId="597B49A8" w14:textId="77777777" w:rsidTr="00497136">
        <w:tc>
          <w:tcPr>
            <w:tcW w:w="567" w:type="dxa"/>
          </w:tcPr>
          <w:p w14:paraId="552FCB32"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250</w:t>
            </w:r>
          </w:p>
        </w:tc>
        <w:tc>
          <w:tcPr>
            <w:tcW w:w="5103" w:type="dxa"/>
          </w:tcPr>
          <w:p w14:paraId="25932983"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 xml:space="preserve">Subsidii </w:t>
            </w:r>
          </w:p>
        </w:tc>
        <w:tc>
          <w:tcPr>
            <w:tcW w:w="1130" w:type="dxa"/>
          </w:tcPr>
          <w:p w14:paraId="19AC531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22009,8</w:t>
            </w:r>
          </w:p>
        </w:tc>
        <w:tc>
          <w:tcPr>
            <w:tcW w:w="1134" w:type="dxa"/>
          </w:tcPr>
          <w:p w14:paraId="02FC84A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29982,2</w:t>
            </w:r>
          </w:p>
        </w:tc>
        <w:tc>
          <w:tcPr>
            <w:tcW w:w="1134" w:type="dxa"/>
          </w:tcPr>
          <w:p w14:paraId="2C79D8B4"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23946,7</w:t>
            </w:r>
          </w:p>
        </w:tc>
      </w:tr>
      <w:tr w:rsidR="005A7429" w:rsidRPr="005D2EDD" w14:paraId="6992CA0A" w14:textId="77777777" w:rsidTr="00497136">
        <w:tc>
          <w:tcPr>
            <w:tcW w:w="567" w:type="dxa"/>
          </w:tcPr>
          <w:p w14:paraId="69C5A1D2"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270</w:t>
            </w:r>
          </w:p>
        </w:tc>
        <w:tc>
          <w:tcPr>
            <w:tcW w:w="5103" w:type="dxa"/>
          </w:tcPr>
          <w:p w14:paraId="5DDDF5CA"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Presta</w:t>
            </w:r>
            <w:r w:rsidR="0069374B" w:rsidRPr="005D2EDD">
              <w:rPr>
                <w:rFonts w:asciiTheme="majorHAnsi" w:eastAsia="Calibri" w:hAnsiTheme="majorHAnsi" w:cstheme="majorHAnsi"/>
                <w:i/>
                <w:sz w:val="16"/>
                <w:szCs w:val="16"/>
                <w:lang w:val="ro-MD"/>
              </w:rPr>
              <w:t>ț</w:t>
            </w:r>
            <w:r w:rsidRPr="005D2EDD">
              <w:rPr>
                <w:rFonts w:asciiTheme="majorHAnsi" w:eastAsia="Calibri" w:hAnsiTheme="majorHAnsi" w:cstheme="majorHAnsi"/>
                <w:i/>
                <w:sz w:val="16"/>
                <w:szCs w:val="16"/>
                <w:lang w:val="ro-MD"/>
              </w:rPr>
              <w:t>ii sociale</w:t>
            </w:r>
          </w:p>
        </w:tc>
        <w:tc>
          <w:tcPr>
            <w:tcW w:w="1130" w:type="dxa"/>
          </w:tcPr>
          <w:p w14:paraId="272B33EE"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21942,5</w:t>
            </w:r>
          </w:p>
        </w:tc>
        <w:tc>
          <w:tcPr>
            <w:tcW w:w="1134" w:type="dxa"/>
          </w:tcPr>
          <w:p w14:paraId="3F73FA5E"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46283,6</w:t>
            </w:r>
          </w:p>
        </w:tc>
        <w:tc>
          <w:tcPr>
            <w:tcW w:w="1134" w:type="dxa"/>
          </w:tcPr>
          <w:p w14:paraId="5F58B7DF"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52550,9</w:t>
            </w:r>
          </w:p>
        </w:tc>
      </w:tr>
      <w:tr w:rsidR="005A7429" w:rsidRPr="005D2EDD" w14:paraId="7E50F98A" w14:textId="77777777" w:rsidTr="00497136">
        <w:tc>
          <w:tcPr>
            <w:tcW w:w="567" w:type="dxa"/>
          </w:tcPr>
          <w:p w14:paraId="3F5DCE47"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280</w:t>
            </w:r>
          </w:p>
        </w:tc>
        <w:tc>
          <w:tcPr>
            <w:tcW w:w="5103" w:type="dxa"/>
          </w:tcPr>
          <w:p w14:paraId="0CBF622C"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Alte cheltuieli</w:t>
            </w:r>
          </w:p>
        </w:tc>
        <w:tc>
          <w:tcPr>
            <w:tcW w:w="1130" w:type="dxa"/>
          </w:tcPr>
          <w:p w14:paraId="2525E670"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75930,6</w:t>
            </w:r>
          </w:p>
        </w:tc>
        <w:tc>
          <w:tcPr>
            <w:tcW w:w="1134" w:type="dxa"/>
          </w:tcPr>
          <w:p w14:paraId="3A060FDC"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32730,0</w:t>
            </w:r>
          </w:p>
        </w:tc>
        <w:tc>
          <w:tcPr>
            <w:tcW w:w="1134" w:type="dxa"/>
          </w:tcPr>
          <w:p w14:paraId="159B351B"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29456,9</w:t>
            </w:r>
          </w:p>
        </w:tc>
      </w:tr>
      <w:tr w:rsidR="005A7429" w:rsidRPr="005D2EDD" w14:paraId="5E98D179" w14:textId="77777777" w:rsidTr="00497136">
        <w:tc>
          <w:tcPr>
            <w:tcW w:w="567" w:type="dxa"/>
          </w:tcPr>
          <w:p w14:paraId="03820DD6"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290</w:t>
            </w:r>
          </w:p>
        </w:tc>
        <w:tc>
          <w:tcPr>
            <w:tcW w:w="5103" w:type="dxa"/>
          </w:tcPr>
          <w:p w14:paraId="2F597108" w14:textId="77777777" w:rsidR="005A7429" w:rsidRPr="005D2EDD" w:rsidRDefault="005A7429" w:rsidP="002A3788">
            <w:pPr>
              <w:jc w:val="both"/>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Transferuri acordate în cadrul bugetului public na</w:t>
            </w:r>
            <w:r w:rsidR="0069374B" w:rsidRPr="005D2EDD">
              <w:rPr>
                <w:rFonts w:asciiTheme="majorHAnsi" w:eastAsia="Calibri" w:hAnsiTheme="majorHAnsi" w:cstheme="majorHAnsi"/>
                <w:i/>
                <w:sz w:val="16"/>
                <w:szCs w:val="16"/>
                <w:lang w:val="ro-MD"/>
              </w:rPr>
              <w:t>ț</w:t>
            </w:r>
            <w:r w:rsidRPr="005D2EDD">
              <w:rPr>
                <w:rFonts w:asciiTheme="majorHAnsi" w:eastAsia="Calibri" w:hAnsiTheme="majorHAnsi" w:cstheme="majorHAnsi"/>
                <w:i/>
                <w:sz w:val="16"/>
                <w:szCs w:val="16"/>
                <w:lang w:val="ro-MD"/>
              </w:rPr>
              <w:t>ional</w:t>
            </w:r>
          </w:p>
        </w:tc>
        <w:tc>
          <w:tcPr>
            <w:tcW w:w="1130" w:type="dxa"/>
          </w:tcPr>
          <w:p w14:paraId="155212C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312360,8</w:t>
            </w:r>
          </w:p>
        </w:tc>
        <w:tc>
          <w:tcPr>
            <w:tcW w:w="1134" w:type="dxa"/>
          </w:tcPr>
          <w:p w14:paraId="08A73217"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298696,0</w:t>
            </w:r>
          </w:p>
        </w:tc>
        <w:tc>
          <w:tcPr>
            <w:tcW w:w="1134" w:type="dxa"/>
          </w:tcPr>
          <w:p w14:paraId="11394F03"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288896,7</w:t>
            </w:r>
          </w:p>
        </w:tc>
      </w:tr>
      <w:tr w:rsidR="005A7429" w:rsidRPr="005D2EDD" w14:paraId="411A06BA" w14:textId="77777777" w:rsidTr="00497136">
        <w:tc>
          <w:tcPr>
            <w:tcW w:w="567" w:type="dxa"/>
          </w:tcPr>
          <w:p w14:paraId="27A8EF51" w14:textId="77777777" w:rsidR="005A7429" w:rsidRPr="005D2EDD" w:rsidRDefault="005A7429" w:rsidP="002A3788">
            <w:pPr>
              <w:jc w:val="both"/>
              <w:rPr>
                <w:rFonts w:asciiTheme="majorHAnsi" w:eastAsia="Calibri" w:hAnsiTheme="majorHAnsi" w:cstheme="majorHAnsi"/>
                <w:i/>
                <w:sz w:val="16"/>
                <w:szCs w:val="16"/>
                <w:lang w:val="ro-MD"/>
              </w:rPr>
            </w:pPr>
          </w:p>
        </w:tc>
        <w:tc>
          <w:tcPr>
            <w:tcW w:w="5103" w:type="dxa"/>
          </w:tcPr>
          <w:p w14:paraId="16F1C088" w14:textId="77777777" w:rsidR="005A7429" w:rsidRPr="005D2EDD" w:rsidRDefault="005A7429" w:rsidP="002A3788">
            <w:pPr>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Rezultatul din anul curent</w:t>
            </w:r>
          </w:p>
        </w:tc>
        <w:tc>
          <w:tcPr>
            <w:tcW w:w="1130" w:type="dxa"/>
          </w:tcPr>
          <w:p w14:paraId="5373ED88"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-10225,6</w:t>
            </w:r>
          </w:p>
        </w:tc>
        <w:tc>
          <w:tcPr>
            <w:tcW w:w="1134" w:type="dxa"/>
          </w:tcPr>
          <w:p w14:paraId="216C693A"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45493,5</w:t>
            </w:r>
          </w:p>
        </w:tc>
        <w:tc>
          <w:tcPr>
            <w:tcW w:w="1134" w:type="dxa"/>
          </w:tcPr>
          <w:p w14:paraId="570DA259" w14:textId="77777777" w:rsidR="005A7429" w:rsidRPr="005D2EDD" w:rsidRDefault="005A7429" w:rsidP="002A3788">
            <w:pPr>
              <w:jc w:val="right"/>
              <w:rPr>
                <w:rFonts w:asciiTheme="majorHAnsi" w:eastAsia="Calibri" w:hAnsiTheme="majorHAnsi" w:cstheme="majorHAnsi"/>
                <w:i/>
                <w:sz w:val="16"/>
                <w:szCs w:val="16"/>
                <w:lang w:val="ro-MD"/>
              </w:rPr>
            </w:pPr>
            <w:r w:rsidRPr="005D2EDD">
              <w:rPr>
                <w:rFonts w:asciiTheme="majorHAnsi" w:eastAsia="Calibri" w:hAnsiTheme="majorHAnsi" w:cstheme="majorHAnsi"/>
                <w:i/>
                <w:sz w:val="16"/>
                <w:szCs w:val="16"/>
                <w:lang w:val="ro-MD"/>
              </w:rPr>
              <w:t>18805,3</w:t>
            </w:r>
          </w:p>
        </w:tc>
      </w:tr>
    </w:tbl>
    <w:p w14:paraId="1E80D19C" w14:textId="77777777" w:rsidR="00C23DCE" w:rsidRPr="00363CFA" w:rsidRDefault="005A7429" w:rsidP="0069590E">
      <w:pPr>
        <w:spacing w:after="0"/>
        <w:jc w:val="both"/>
        <w:rPr>
          <w:rFonts w:asciiTheme="majorHAnsi" w:eastAsia="Calibri" w:hAnsiTheme="majorHAnsi" w:cstheme="majorHAnsi"/>
          <w:i/>
          <w:sz w:val="20"/>
          <w:szCs w:val="20"/>
          <w:lang w:val="ro-MD"/>
        </w:rPr>
      </w:pPr>
      <w:r w:rsidRPr="00363CFA">
        <w:rPr>
          <w:rFonts w:asciiTheme="majorHAnsi" w:eastAsia="Calibri" w:hAnsiTheme="majorHAnsi" w:cstheme="majorHAnsi"/>
          <w:b/>
          <w:i/>
          <w:sz w:val="20"/>
          <w:szCs w:val="20"/>
          <w:lang w:val="ro-MD"/>
        </w:rPr>
        <w:t>Sursă:</w:t>
      </w:r>
      <w:r w:rsidR="0069590E" w:rsidRPr="00363CFA">
        <w:rPr>
          <w:rFonts w:asciiTheme="majorHAnsi" w:eastAsia="Calibri" w:hAnsiTheme="majorHAnsi" w:cstheme="majorHAnsi"/>
          <w:b/>
          <w:i/>
          <w:sz w:val="20"/>
          <w:szCs w:val="20"/>
          <w:lang w:val="ro-MD"/>
        </w:rPr>
        <w:t xml:space="preserve"> </w:t>
      </w:r>
      <w:r w:rsidR="0069590E" w:rsidRPr="00363CFA">
        <w:rPr>
          <w:rFonts w:asciiTheme="majorHAnsi" w:eastAsia="Calibri" w:hAnsiTheme="majorHAnsi" w:cstheme="majorHAnsi"/>
          <w:i/>
          <w:sz w:val="20"/>
          <w:szCs w:val="20"/>
          <w:lang w:val="ro-MD"/>
        </w:rPr>
        <w:t>Date extrase din</w:t>
      </w:r>
      <w:r w:rsidRPr="00363CFA">
        <w:rPr>
          <w:rFonts w:asciiTheme="majorHAnsi" w:eastAsia="Calibri" w:hAnsiTheme="majorHAnsi" w:cstheme="majorHAnsi"/>
          <w:i/>
          <w:sz w:val="20"/>
          <w:szCs w:val="20"/>
          <w:lang w:val="ro-MD"/>
        </w:rPr>
        <w:t xml:space="preserve"> Raportul consolidat al Comitetului Executiv privind veniturile </w:t>
      </w:r>
      <w:r w:rsidR="0069374B" w:rsidRPr="00363CFA">
        <w:rPr>
          <w:rFonts w:asciiTheme="majorHAnsi" w:eastAsia="Calibri" w:hAnsiTheme="majorHAnsi" w:cstheme="majorHAnsi"/>
          <w:i/>
          <w:sz w:val="20"/>
          <w:szCs w:val="20"/>
          <w:lang w:val="ro-MD"/>
        </w:rPr>
        <w:t>ș</w:t>
      </w:r>
      <w:r w:rsidR="0069590E" w:rsidRPr="00363CFA">
        <w:rPr>
          <w:rFonts w:asciiTheme="majorHAnsi" w:eastAsia="Calibri" w:hAnsiTheme="majorHAnsi" w:cstheme="majorHAnsi"/>
          <w:i/>
          <w:sz w:val="20"/>
          <w:szCs w:val="20"/>
          <w:lang w:val="ro-MD"/>
        </w:rPr>
        <w:t xml:space="preserve">i </w:t>
      </w:r>
      <w:r w:rsidR="0069590E" w:rsidRPr="00216968">
        <w:rPr>
          <w:rFonts w:asciiTheme="majorHAnsi" w:eastAsia="Calibri" w:hAnsiTheme="majorHAnsi" w:cstheme="majorHAnsi"/>
          <w:i/>
          <w:sz w:val="20"/>
          <w:szCs w:val="20"/>
          <w:lang w:val="ro-MD"/>
        </w:rPr>
        <w:t>cheltuielile (forma</w:t>
      </w:r>
      <w:r w:rsidR="0069590E" w:rsidRPr="00363CFA">
        <w:rPr>
          <w:rFonts w:asciiTheme="majorHAnsi" w:eastAsia="Calibri" w:hAnsiTheme="majorHAnsi" w:cstheme="majorHAnsi"/>
          <w:i/>
          <w:sz w:val="20"/>
          <w:szCs w:val="20"/>
          <w:lang w:val="ro-MD"/>
        </w:rPr>
        <w:t xml:space="preserve"> FD 042).</w:t>
      </w:r>
    </w:p>
    <w:p w14:paraId="4EF5FE73" w14:textId="77777777" w:rsidR="0069590E" w:rsidRPr="00363CFA" w:rsidRDefault="0069590E" w:rsidP="00F13429">
      <w:pPr>
        <w:rPr>
          <w:shd w:val="clear" w:color="auto" w:fill="FFFFFF"/>
          <w:lang w:val="ro-MD"/>
        </w:rPr>
      </w:pPr>
      <w:bookmarkStart w:id="12" w:name="_Toc58780361"/>
    </w:p>
    <w:p w14:paraId="4E2F6522" w14:textId="5C96E555" w:rsidR="00C23DCE" w:rsidRPr="00363CFA" w:rsidRDefault="00C23DCE" w:rsidP="005D2EDD">
      <w:pPr>
        <w:keepNext/>
        <w:keepLines/>
        <w:spacing w:after="0" w:line="276" w:lineRule="auto"/>
        <w:ind w:firstLine="709"/>
        <w:jc w:val="both"/>
        <w:outlineLvl w:val="0"/>
        <w:rPr>
          <w:rFonts w:asciiTheme="majorHAnsi" w:eastAsiaTheme="majorEastAsia" w:hAnsiTheme="majorHAnsi" w:cstheme="majorHAnsi"/>
          <w:b/>
          <w:color w:val="2E74B5" w:themeColor="accent1" w:themeShade="BF"/>
          <w:sz w:val="32"/>
          <w:szCs w:val="32"/>
          <w:shd w:val="clear" w:color="auto" w:fill="FFFFFF"/>
          <w:lang w:val="ro-MD"/>
        </w:rPr>
      </w:pPr>
      <w:bookmarkStart w:id="13" w:name="_Toc84512901"/>
      <w:r w:rsidRPr="00363CFA">
        <w:rPr>
          <w:rFonts w:asciiTheme="majorHAnsi" w:eastAsiaTheme="majorEastAsia" w:hAnsiTheme="majorHAnsi" w:cstheme="majorHAnsi"/>
          <w:b/>
          <w:color w:val="2E74B5" w:themeColor="accent1" w:themeShade="BF"/>
          <w:sz w:val="32"/>
          <w:szCs w:val="32"/>
          <w:shd w:val="clear" w:color="auto" w:fill="FFFFFF"/>
          <w:lang w:val="ro-MD"/>
        </w:rPr>
        <w:lastRenderedPageBreak/>
        <w:t xml:space="preserve">III. SFERA </w:t>
      </w:r>
      <w:r w:rsidR="0069374B" w:rsidRPr="00363CFA">
        <w:rPr>
          <w:rFonts w:asciiTheme="majorHAnsi" w:eastAsiaTheme="majorEastAsia" w:hAnsiTheme="majorHAnsi" w:cstheme="majorHAnsi"/>
          <w:b/>
          <w:color w:val="2E74B5" w:themeColor="accent1" w:themeShade="BF"/>
          <w:sz w:val="32"/>
          <w:szCs w:val="32"/>
          <w:shd w:val="clear" w:color="auto" w:fill="FFFFFF"/>
          <w:lang w:val="ro-MD"/>
        </w:rPr>
        <w:t>Ș</w:t>
      </w:r>
      <w:r w:rsidRPr="00363CFA">
        <w:rPr>
          <w:rFonts w:asciiTheme="majorHAnsi" w:eastAsiaTheme="majorEastAsia" w:hAnsiTheme="majorHAnsi" w:cstheme="majorHAnsi"/>
          <w:b/>
          <w:color w:val="2E74B5" w:themeColor="accent1" w:themeShade="BF"/>
          <w:sz w:val="32"/>
          <w:szCs w:val="32"/>
          <w:shd w:val="clear" w:color="auto" w:fill="FFFFFF"/>
          <w:lang w:val="ro-MD"/>
        </w:rPr>
        <w:t>I ABORDAREA AUDITULUI</w:t>
      </w:r>
      <w:bookmarkEnd w:id="12"/>
      <w:bookmarkEnd w:id="13"/>
      <w:r w:rsidRPr="00363CFA">
        <w:rPr>
          <w:rFonts w:asciiTheme="majorHAnsi" w:eastAsiaTheme="majorEastAsia" w:hAnsiTheme="majorHAnsi" w:cstheme="majorHAnsi"/>
          <w:b/>
          <w:color w:val="2E74B5" w:themeColor="accent1" w:themeShade="BF"/>
          <w:sz w:val="32"/>
          <w:szCs w:val="32"/>
          <w:shd w:val="clear" w:color="auto" w:fill="FFFFFF"/>
          <w:lang w:val="ro-MD"/>
        </w:rPr>
        <w:t xml:space="preserve"> </w:t>
      </w:r>
    </w:p>
    <w:p w14:paraId="0B479DA6" w14:textId="6C75D8A6" w:rsidR="00C23DCE" w:rsidRPr="00363CFA" w:rsidRDefault="00C23DCE" w:rsidP="005D2EDD">
      <w:pPr>
        <w:tabs>
          <w:tab w:val="left" w:pos="1170"/>
        </w:tabs>
        <w:spacing w:after="0" w:line="276" w:lineRule="auto"/>
        <w:ind w:left="720"/>
        <w:contextualSpacing/>
        <w:outlineLvl w:val="1"/>
        <w:rPr>
          <w:lang w:val="ro-MD"/>
        </w:rPr>
      </w:pPr>
      <w:bookmarkStart w:id="14" w:name="_Toc61608186"/>
      <w:bookmarkStart w:id="15" w:name="_Toc66559873"/>
      <w:bookmarkStart w:id="16" w:name="_Toc84512902"/>
      <w:r w:rsidRPr="00363CFA">
        <w:rPr>
          <w:rFonts w:asciiTheme="majorHAnsi" w:hAnsiTheme="majorHAnsi" w:cstheme="majorHAnsi"/>
          <w:b/>
          <w:color w:val="000000"/>
          <w:spacing w:val="-3"/>
          <w:sz w:val="24"/>
          <w:szCs w:val="24"/>
          <w:lang w:val="ro-MD"/>
        </w:rPr>
        <w:t xml:space="preserve">3.1. </w:t>
      </w:r>
      <w:r w:rsidRPr="00363CFA">
        <w:rPr>
          <w:rFonts w:ascii="Calibri Light" w:eastAsia="Calibri" w:hAnsi="Calibri Light" w:cs="Times New Roman"/>
          <w:b/>
          <w:sz w:val="24"/>
          <w:szCs w:val="24"/>
          <w:lang w:val="ro-MD"/>
        </w:rPr>
        <w:t xml:space="preserve">Mandatul legal </w:t>
      </w:r>
      <w:r w:rsidR="0069374B" w:rsidRPr="00363CFA">
        <w:rPr>
          <w:rFonts w:ascii="Calibri Light" w:eastAsia="Calibri" w:hAnsi="Calibri Light" w:cs="Times New Roman"/>
          <w:b/>
          <w:sz w:val="24"/>
          <w:szCs w:val="24"/>
          <w:lang w:val="ro-MD"/>
        </w:rPr>
        <w:t>ș</w:t>
      </w:r>
      <w:r w:rsidRPr="00363CFA">
        <w:rPr>
          <w:rFonts w:ascii="Calibri Light" w:eastAsia="Calibri" w:hAnsi="Calibri Light" w:cs="Times New Roman"/>
          <w:b/>
          <w:sz w:val="24"/>
          <w:szCs w:val="24"/>
          <w:lang w:val="ro-MD"/>
        </w:rPr>
        <w:t>i scopul auditului</w:t>
      </w:r>
      <w:bookmarkEnd w:id="14"/>
      <w:bookmarkEnd w:id="15"/>
      <w:bookmarkEnd w:id="16"/>
    </w:p>
    <w:p w14:paraId="5577AA0B" w14:textId="169416F9" w:rsidR="00C23DCE" w:rsidRPr="00363CFA" w:rsidRDefault="00C23DCE" w:rsidP="005D2EDD">
      <w:pPr>
        <w:spacing w:after="0" w:line="276" w:lineRule="auto"/>
        <w:ind w:firstLine="709"/>
        <w:jc w:val="both"/>
        <w:rPr>
          <w:rFonts w:ascii="Calibri Light" w:hAnsi="Calibri Light" w:cs="Calibri Light"/>
          <w:bCs/>
          <w:iCs/>
          <w:noProof/>
          <w:sz w:val="24"/>
          <w:szCs w:val="24"/>
          <w:lang w:val="ro-MD" w:eastAsia="ru-RU"/>
        </w:rPr>
      </w:pPr>
      <w:r w:rsidRPr="00363CFA">
        <w:rPr>
          <w:rFonts w:asciiTheme="majorHAnsi" w:hAnsiTheme="majorHAnsi" w:cstheme="majorHAnsi"/>
          <w:color w:val="000000"/>
          <w:spacing w:val="-3"/>
          <w:sz w:val="24"/>
          <w:szCs w:val="24"/>
          <w:lang w:val="ro-MD"/>
        </w:rPr>
        <w:t>Misiunea de audit a fost desfă</w:t>
      </w:r>
      <w:r w:rsidR="0069374B" w:rsidRPr="00363CFA">
        <w:rPr>
          <w:rFonts w:asciiTheme="majorHAnsi" w:hAnsiTheme="majorHAnsi" w:cstheme="majorHAnsi"/>
          <w:color w:val="000000"/>
          <w:spacing w:val="-3"/>
          <w:sz w:val="24"/>
          <w:szCs w:val="24"/>
          <w:lang w:val="ro-MD"/>
        </w:rPr>
        <w:t>ș</w:t>
      </w:r>
      <w:r w:rsidRPr="00363CFA">
        <w:rPr>
          <w:rFonts w:asciiTheme="majorHAnsi" w:hAnsiTheme="majorHAnsi" w:cstheme="majorHAnsi"/>
          <w:color w:val="000000"/>
          <w:spacing w:val="-3"/>
          <w:sz w:val="24"/>
          <w:szCs w:val="24"/>
          <w:lang w:val="ro-MD"/>
        </w:rPr>
        <w:t xml:space="preserve">urată în temeiul prevederilor art.31 </w:t>
      </w:r>
      <w:r w:rsidR="0069374B" w:rsidRPr="00363CFA">
        <w:rPr>
          <w:rFonts w:asciiTheme="majorHAnsi" w:hAnsiTheme="majorHAnsi" w:cstheme="majorHAnsi"/>
          <w:color w:val="000000"/>
          <w:spacing w:val="-3"/>
          <w:sz w:val="24"/>
          <w:szCs w:val="24"/>
          <w:lang w:val="ro-MD"/>
        </w:rPr>
        <w:t>ș</w:t>
      </w:r>
      <w:r w:rsidRPr="00363CFA">
        <w:rPr>
          <w:rFonts w:asciiTheme="majorHAnsi" w:hAnsiTheme="majorHAnsi" w:cstheme="majorHAnsi"/>
          <w:color w:val="000000"/>
          <w:spacing w:val="-3"/>
          <w:sz w:val="24"/>
          <w:szCs w:val="24"/>
          <w:lang w:val="ro-MD"/>
        </w:rPr>
        <w:t xml:space="preserve">i art.32 </w:t>
      </w:r>
      <w:r w:rsidRPr="00363CFA">
        <w:rPr>
          <w:rFonts w:asciiTheme="majorHAnsi" w:hAnsiTheme="majorHAnsi" w:cstheme="majorHAnsi"/>
          <w:color w:val="000000"/>
          <w:sz w:val="24"/>
          <w:szCs w:val="24"/>
          <w:lang w:val="ro-MD"/>
        </w:rPr>
        <w:t>din</w:t>
      </w:r>
      <w:r w:rsidRPr="00363CFA">
        <w:rPr>
          <w:rFonts w:asciiTheme="majorHAnsi" w:hAnsiTheme="majorHAnsi" w:cstheme="majorHAnsi"/>
          <w:color w:val="000000"/>
          <w:spacing w:val="-3"/>
          <w:sz w:val="24"/>
          <w:szCs w:val="24"/>
          <w:lang w:val="ro-MD"/>
        </w:rPr>
        <w:t xml:space="preserve"> Legea privind organizarea </w:t>
      </w:r>
      <w:r w:rsidR="0069374B" w:rsidRPr="00363CFA">
        <w:rPr>
          <w:rFonts w:asciiTheme="majorHAnsi" w:hAnsiTheme="majorHAnsi" w:cstheme="majorHAnsi"/>
          <w:color w:val="000000"/>
          <w:spacing w:val="-3"/>
          <w:sz w:val="24"/>
          <w:szCs w:val="24"/>
          <w:lang w:val="ro-MD"/>
        </w:rPr>
        <w:t>ș</w:t>
      </w:r>
      <w:r w:rsidRPr="00363CFA">
        <w:rPr>
          <w:rFonts w:asciiTheme="majorHAnsi" w:hAnsiTheme="majorHAnsi" w:cstheme="majorHAnsi"/>
          <w:color w:val="000000"/>
          <w:spacing w:val="-3"/>
          <w:sz w:val="24"/>
          <w:szCs w:val="24"/>
          <w:lang w:val="ro-MD"/>
        </w:rPr>
        <w:t>i func</w:t>
      </w:r>
      <w:r w:rsidR="0069374B" w:rsidRPr="00363CFA">
        <w:rPr>
          <w:rFonts w:asciiTheme="majorHAnsi" w:hAnsiTheme="majorHAnsi" w:cstheme="majorHAnsi"/>
          <w:color w:val="000000"/>
          <w:spacing w:val="-3"/>
          <w:sz w:val="24"/>
          <w:szCs w:val="24"/>
          <w:lang w:val="ro-MD"/>
        </w:rPr>
        <w:t>ț</w:t>
      </w:r>
      <w:r w:rsidRPr="00363CFA">
        <w:rPr>
          <w:rFonts w:asciiTheme="majorHAnsi" w:hAnsiTheme="majorHAnsi" w:cstheme="majorHAnsi"/>
          <w:color w:val="000000"/>
          <w:spacing w:val="-3"/>
          <w:sz w:val="24"/>
          <w:szCs w:val="24"/>
          <w:lang w:val="ro-MD"/>
        </w:rPr>
        <w:t>ionarea Cur</w:t>
      </w:r>
      <w:r w:rsidR="0069374B" w:rsidRPr="00363CFA">
        <w:rPr>
          <w:rFonts w:asciiTheme="majorHAnsi" w:hAnsiTheme="majorHAnsi" w:cstheme="majorHAnsi"/>
          <w:color w:val="000000"/>
          <w:spacing w:val="-3"/>
          <w:sz w:val="24"/>
          <w:szCs w:val="24"/>
          <w:lang w:val="ro-MD"/>
        </w:rPr>
        <w:t>ț</w:t>
      </w:r>
      <w:r w:rsidRPr="00363CFA">
        <w:rPr>
          <w:rFonts w:asciiTheme="majorHAnsi" w:hAnsiTheme="majorHAnsi" w:cstheme="majorHAnsi"/>
          <w:color w:val="000000"/>
          <w:spacing w:val="-3"/>
          <w:sz w:val="24"/>
          <w:szCs w:val="24"/>
          <w:lang w:val="ro-MD"/>
        </w:rPr>
        <w:t>ii de Conturi a Republicii Moldova</w:t>
      </w:r>
      <w:r w:rsidRPr="00363CFA">
        <w:rPr>
          <w:rFonts w:asciiTheme="majorHAnsi" w:hAnsiTheme="majorHAnsi" w:cstheme="majorHAnsi"/>
          <w:color w:val="000000"/>
          <w:spacing w:val="-3"/>
          <w:sz w:val="24"/>
          <w:szCs w:val="24"/>
          <w:vertAlign w:val="superscript"/>
          <w:lang w:val="ro-MD"/>
        </w:rPr>
        <w:footnoteReference w:id="8"/>
      </w:r>
      <w:r w:rsidRPr="00363CFA">
        <w:rPr>
          <w:rFonts w:asciiTheme="majorHAnsi" w:hAnsiTheme="majorHAnsi" w:cstheme="majorHAnsi"/>
          <w:color w:val="000000"/>
          <w:spacing w:val="-3"/>
          <w:sz w:val="24"/>
          <w:szCs w:val="24"/>
          <w:lang w:val="ro-MD"/>
        </w:rPr>
        <w:t xml:space="preserve"> </w:t>
      </w:r>
      <w:r w:rsidR="0069374B" w:rsidRPr="00363CFA">
        <w:rPr>
          <w:rFonts w:asciiTheme="majorHAnsi" w:hAnsiTheme="majorHAnsi" w:cstheme="majorHAnsi"/>
          <w:color w:val="000000"/>
          <w:spacing w:val="-1"/>
          <w:sz w:val="24"/>
          <w:szCs w:val="24"/>
          <w:lang w:val="ro-MD"/>
        </w:rPr>
        <w:t>ș</w:t>
      </w:r>
      <w:r w:rsidR="007B243D" w:rsidRPr="00363CFA">
        <w:rPr>
          <w:rFonts w:asciiTheme="majorHAnsi" w:hAnsiTheme="majorHAnsi" w:cstheme="majorHAnsi"/>
          <w:color w:val="000000"/>
          <w:spacing w:val="-1"/>
          <w:sz w:val="24"/>
          <w:szCs w:val="24"/>
          <w:lang w:val="ro-MD"/>
        </w:rPr>
        <w:t>i în conformitate cu Programul activită</w:t>
      </w:r>
      <w:r w:rsidR="0069374B" w:rsidRPr="00363CFA">
        <w:rPr>
          <w:rFonts w:asciiTheme="majorHAnsi" w:hAnsiTheme="majorHAnsi" w:cstheme="majorHAnsi"/>
          <w:color w:val="000000"/>
          <w:spacing w:val="-1"/>
          <w:sz w:val="24"/>
          <w:szCs w:val="24"/>
          <w:lang w:val="ro-MD"/>
        </w:rPr>
        <w:t>ț</w:t>
      </w:r>
      <w:r w:rsidR="007B243D" w:rsidRPr="00363CFA">
        <w:rPr>
          <w:rFonts w:asciiTheme="majorHAnsi" w:hAnsiTheme="majorHAnsi" w:cstheme="majorHAnsi"/>
          <w:color w:val="000000"/>
          <w:spacing w:val="-1"/>
          <w:sz w:val="24"/>
          <w:szCs w:val="24"/>
          <w:lang w:val="ro-MD"/>
        </w:rPr>
        <w:t>ii de audit a</w:t>
      </w:r>
      <w:r w:rsidRPr="00363CFA">
        <w:rPr>
          <w:rFonts w:asciiTheme="majorHAnsi" w:hAnsiTheme="majorHAnsi" w:cstheme="majorHAnsi"/>
          <w:color w:val="000000"/>
          <w:spacing w:val="-1"/>
          <w:sz w:val="24"/>
          <w:szCs w:val="24"/>
          <w:lang w:val="ro-MD"/>
        </w:rPr>
        <w:t xml:space="preserve"> Cur</w:t>
      </w:r>
      <w:r w:rsidR="0069374B" w:rsidRPr="00363CFA">
        <w:rPr>
          <w:rFonts w:asciiTheme="majorHAnsi" w:hAnsiTheme="majorHAnsi" w:cstheme="majorHAnsi"/>
          <w:color w:val="000000"/>
          <w:spacing w:val="-1"/>
          <w:sz w:val="24"/>
          <w:szCs w:val="24"/>
          <w:lang w:val="ro-MD"/>
        </w:rPr>
        <w:t>ț</w:t>
      </w:r>
      <w:r w:rsidRPr="00363CFA">
        <w:rPr>
          <w:rFonts w:asciiTheme="majorHAnsi" w:hAnsiTheme="majorHAnsi" w:cstheme="majorHAnsi"/>
          <w:color w:val="000000"/>
          <w:spacing w:val="-1"/>
          <w:sz w:val="24"/>
          <w:szCs w:val="24"/>
          <w:lang w:val="ro-MD"/>
        </w:rPr>
        <w:t xml:space="preserve">ii de </w:t>
      </w:r>
      <w:r w:rsidRPr="00363CFA">
        <w:rPr>
          <w:rFonts w:asciiTheme="majorHAnsi" w:hAnsiTheme="majorHAnsi" w:cstheme="majorHAnsi"/>
          <w:color w:val="000000"/>
          <w:sz w:val="24"/>
          <w:szCs w:val="24"/>
          <w:lang w:val="ro-MD"/>
        </w:rPr>
        <w:t>Conturi</w:t>
      </w:r>
      <w:r w:rsidRPr="00363CFA">
        <w:rPr>
          <w:rFonts w:asciiTheme="majorHAnsi" w:hAnsiTheme="majorHAnsi" w:cstheme="majorHAnsi"/>
          <w:color w:val="000000"/>
          <w:sz w:val="24"/>
          <w:szCs w:val="24"/>
          <w:vertAlign w:val="superscript"/>
          <w:lang w:val="ro-MD"/>
        </w:rPr>
        <w:footnoteReference w:id="9"/>
      </w:r>
      <w:r w:rsidRPr="00363CFA">
        <w:rPr>
          <w:rFonts w:asciiTheme="majorHAnsi" w:hAnsiTheme="majorHAnsi" w:cstheme="majorHAnsi"/>
          <w:color w:val="000000"/>
          <w:sz w:val="24"/>
          <w:szCs w:val="24"/>
          <w:lang w:val="ro-MD"/>
        </w:rPr>
        <w:t>,</w:t>
      </w:r>
      <w:r w:rsidRPr="00363CFA">
        <w:rPr>
          <w:rFonts w:asciiTheme="majorHAnsi" w:hAnsiTheme="majorHAnsi" w:cstheme="majorHAnsi"/>
          <w:sz w:val="24"/>
          <w:szCs w:val="24"/>
          <w:lang w:val="ro-MD"/>
        </w:rPr>
        <w:t xml:space="preserve"> având drept scop evaluarea conformită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ii procesului bugetar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gestio</w:t>
      </w:r>
      <w:r w:rsidR="007B243D" w:rsidRPr="00363CFA">
        <w:rPr>
          <w:rFonts w:asciiTheme="majorHAnsi" w:hAnsiTheme="majorHAnsi" w:cstheme="majorHAnsi"/>
          <w:sz w:val="24"/>
          <w:szCs w:val="24"/>
          <w:lang w:val="ro-MD"/>
        </w:rPr>
        <w:t>nării patrimoniului public la U</w:t>
      </w:r>
      <w:r w:rsidRPr="00363CFA">
        <w:rPr>
          <w:rFonts w:asciiTheme="majorHAnsi" w:hAnsiTheme="majorHAnsi" w:cstheme="majorHAnsi"/>
          <w:sz w:val="24"/>
          <w:szCs w:val="24"/>
          <w:lang w:val="ro-MD"/>
        </w:rPr>
        <w:t>T</w:t>
      </w:r>
      <w:r w:rsidR="007B243D" w:rsidRPr="00363CFA">
        <w:rPr>
          <w:rFonts w:asciiTheme="majorHAnsi" w:hAnsiTheme="majorHAnsi" w:cstheme="majorHAnsi"/>
          <w:sz w:val="24"/>
          <w:szCs w:val="24"/>
          <w:lang w:val="ro-MD"/>
        </w:rPr>
        <w:t xml:space="preserve">A Găgăuzia (bugetul </w:t>
      </w:r>
      <w:r w:rsidR="007B243D" w:rsidRPr="00EA1535">
        <w:rPr>
          <w:rFonts w:asciiTheme="majorHAnsi" w:hAnsiTheme="majorHAnsi" w:cstheme="majorHAnsi"/>
          <w:sz w:val="24"/>
          <w:szCs w:val="24"/>
          <w:lang w:val="ro-MD"/>
        </w:rPr>
        <w:t>central</w:t>
      </w:r>
      <w:r w:rsidR="007B243D" w:rsidRPr="003E2C21">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w:t>
      </w:r>
      <w:r w:rsidR="007B243D" w:rsidRPr="00363CFA">
        <w:rPr>
          <w:rFonts w:asciiTheme="majorHAnsi" w:hAnsiTheme="majorHAnsi" w:cstheme="majorHAnsi"/>
          <w:sz w:val="24"/>
          <w:szCs w:val="24"/>
          <w:lang w:val="ro-MD"/>
        </w:rPr>
        <w:t>în anii 2018-2020</w:t>
      </w:r>
      <w:r w:rsidRPr="00363CFA">
        <w:rPr>
          <w:rFonts w:asciiTheme="majorHAnsi" w:hAnsiTheme="majorHAnsi" w:cstheme="majorHAnsi"/>
          <w:sz w:val="24"/>
          <w:szCs w:val="24"/>
          <w:lang w:val="ro-MD"/>
        </w:rPr>
        <w:t>,</w:t>
      </w:r>
      <w:r w:rsidRPr="00363CFA">
        <w:rPr>
          <w:rFonts w:ascii="Calibri Light" w:hAnsi="Calibri Light" w:cs="Calibri Light"/>
          <w:bCs/>
          <w:iCs/>
          <w:noProof/>
          <w:sz w:val="24"/>
          <w:szCs w:val="24"/>
          <w:lang w:val="ro-MD" w:eastAsia="ru-RU"/>
        </w:rPr>
        <w:t xml:space="preserve"> în raport cu criteriile regulamentare de ordin legal</w:t>
      </w:r>
      <w:r w:rsidRPr="00363CFA">
        <w:rPr>
          <w:rFonts w:ascii="Calibri Light" w:hAnsi="Calibri Light" w:cs="Calibri Light"/>
          <w:noProof/>
          <w:sz w:val="24"/>
          <w:szCs w:val="24"/>
          <w:lang w:val="ro-MD" w:eastAsia="ru-RU"/>
        </w:rPr>
        <w:t>.</w:t>
      </w:r>
    </w:p>
    <w:p w14:paraId="6AC33F6F" w14:textId="77777777" w:rsidR="00C23DCE" w:rsidRPr="00257A45" w:rsidRDefault="00C23DCE" w:rsidP="00767ED8">
      <w:pPr>
        <w:spacing w:after="0" w:line="276" w:lineRule="auto"/>
        <w:ind w:firstLine="709"/>
        <w:jc w:val="both"/>
        <w:rPr>
          <w:rFonts w:asciiTheme="majorHAnsi" w:hAnsiTheme="majorHAnsi" w:cstheme="majorHAnsi"/>
          <w:sz w:val="24"/>
          <w:szCs w:val="24"/>
          <w:lang w:val="ro-MD"/>
        </w:rPr>
      </w:pPr>
      <w:r w:rsidRPr="00363CFA">
        <w:rPr>
          <w:rFonts w:asciiTheme="majorHAnsi" w:eastAsia="Arial" w:hAnsiTheme="majorHAnsi" w:cstheme="majorHAnsi"/>
          <w:spacing w:val="1"/>
          <w:sz w:val="24"/>
          <w:szCs w:val="24"/>
          <w:lang w:val="ro-MD"/>
        </w:rPr>
        <w:t>Î</w:t>
      </w:r>
      <w:r w:rsidRPr="00363CFA">
        <w:rPr>
          <w:rFonts w:asciiTheme="majorHAnsi" w:hAnsiTheme="majorHAnsi" w:cstheme="majorHAnsi"/>
          <w:sz w:val="24"/>
          <w:szCs w:val="24"/>
          <w:lang w:val="ro-MD"/>
        </w:rPr>
        <w:t xml:space="preserve">n contextul realizării scopului misiunii de audit, au fost determinate următoarele </w:t>
      </w:r>
      <w:r w:rsidRPr="00257A45">
        <w:rPr>
          <w:rFonts w:asciiTheme="majorHAnsi" w:hAnsiTheme="majorHAnsi" w:cstheme="majorHAnsi"/>
          <w:sz w:val="24"/>
          <w:szCs w:val="24"/>
          <w:lang w:val="ro-MD"/>
        </w:rPr>
        <w:t>obiective specifice:</w:t>
      </w:r>
    </w:p>
    <w:p w14:paraId="5F65848D" w14:textId="77777777" w:rsidR="00C23DCE" w:rsidRPr="00257A45" w:rsidRDefault="00C23DCE" w:rsidP="00767ED8">
      <w:pPr>
        <w:numPr>
          <w:ilvl w:val="0"/>
          <w:numId w:val="3"/>
        </w:numPr>
        <w:spacing w:after="0" w:line="276" w:lineRule="auto"/>
        <w:contextualSpacing/>
        <w:jc w:val="both"/>
        <w:rPr>
          <w:rFonts w:asciiTheme="majorHAnsi" w:hAnsiTheme="majorHAnsi" w:cstheme="majorHAnsi"/>
          <w:b/>
          <w:iCs/>
          <w:sz w:val="24"/>
          <w:szCs w:val="24"/>
          <w:u w:val="single"/>
          <w:lang w:val="ro-MD"/>
        </w:rPr>
      </w:pPr>
      <w:r w:rsidRPr="00257A45">
        <w:rPr>
          <w:rFonts w:asciiTheme="majorHAnsi" w:hAnsiTheme="majorHAnsi" w:cstheme="majorHAnsi"/>
          <w:b/>
          <w:color w:val="333333"/>
          <w:sz w:val="24"/>
          <w:szCs w:val="24"/>
          <w:shd w:val="clear" w:color="auto" w:fill="FFFFFF"/>
          <w:lang w:val="ro-MD"/>
        </w:rPr>
        <w:t>Obiectivul I</w:t>
      </w:r>
      <w:r w:rsidRPr="00257A45">
        <w:rPr>
          <w:rFonts w:asciiTheme="majorHAnsi" w:hAnsiTheme="majorHAnsi" w:cstheme="majorHAnsi"/>
          <w:b/>
          <w:color w:val="333333"/>
          <w:sz w:val="24"/>
          <w:szCs w:val="24"/>
          <w:u w:val="single"/>
          <w:shd w:val="clear" w:color="auto" w:fill="FFFFFF"/>
          <w:lang w:val="ro-MD"/>
        </w:rPr>
        <w:t xml:space="preserve">: </w:t>
      </w:r>
      <w:r w:rsidR="00241448" w:rsidRPr="00257A45">
        <w:rPr>
          <w:rFonts w:asciiTheme="majorHAnsi" w:hAnsiTheme="majorHAnsi" w:cstheme="majorHAnsi"/>
          <w:b/>
          <w:color w:val="333333"/>
          <w:sz w:val="24"/>
          <w:szCs w:val="24"/>
          <w:u w:val="single"/>
          <w:shd w:val="clear" w:color="auto" w:fill="FFFFFF"/>
          <w:lang w:val="ro-MD"/>
        </w:rPr>
        <w:t>Au fost stabilite principii clare de repartizare a v</w:t>
      </w:r>
      <w:r w:rsidR="00C36352" w:rsidRPr="00257A45">
        <w:rPr>
          <w:rFonts w:asciiTheme="majorHAnsi" w:hAnsiTheme="majorHAnsi" w:cstheme="majorHAnsi"/>
          <w:b/>
          <w:color w:val="333333"/>
          <w:sz w:val="24"/>
          <w:szCs w:val="24"/>
          <w:u w:val="single"/>
          <w:shd w:val="clear" w:color="auto" w:fill="FFFFFF"/>
          <w:lang w:val="ro-MD"/>
        </w:rPr>
        <w:t>enituril</w:t>
      </w:r>
      <w:r w:rsidR="00241448" w:rsidRPr="00257A45">
        <w:rPr>
          <w:rFonts w:asciiTheme="majorHAnsi" w:hAnsiTheme="majorHAnsi" w:cstheme="majorHAnsi"/>
          <w:b/>
          <w:color w:val="333333"/>
          <w:sz w:val="24"/>
          <w:szCs w:val="24"/>
          <w:u w:val="single"/>
          <w:shd w:val="clear" w:color="auto" w:fill="FFFFFF"/>
          <w:lang w:val="ro-MD"/>
        </w:rPr>
        <w:t>or</w:t>
      </w:r>
      <w:r w:rsidR="00C36352" w:rsidRPr="00257A45">
        <w:rPr>
          <w:rFonts w:asciiTheme="majorHAnsi" w:hAnsiTheme="majorHAnsi" w:cstheme="majorHAnsi"/>
          <w:b/>
          <w:color w:val="333333"/>
          <w:sz w:val="24"/>
          <w:szCs w:val="24"/>
          <w:u w:val="single"/>
          <w:shd w:val="clear" w:color="auto" w:fill="FFFFFF"/>
          <w:lang w:val="ro-MD"/>
        </w:rPr>
        <w:t xml:space="preserve"> UTA Găgăuzia </w:t>
      </w:r>
      <w:r w:rsidR="00241448" w:rsidRPr="00257A45">
        <w:rPr>
          <w:rFonts w:asciiTheme="majorHAnsi" w:hAnsiTheme="majorHAnsi" w:cstheme="majorHAnsi"/>
          <w:b/>
          <w:color w:val="333333"/>
          <w:sz w:val="24"/>
          <w:szCs w:val="24"/>
          <w:u w:val="single"/>
          <w:shd w:val="clear" w:color="auto" w:fill="FFFFFF"/>
          <w:lang w:val="ro-MD"/>
        </w:rPr>
        <w:t xml:space="preserve">între bugetul central </w:t>
      </w:r>
      <w:r w:rsidR="0069374B" w:rsidRPr="00257A45">
        <w:rPr>
          <w:rFonts w:asciiTheme="majorHAnsi" w:hAnsiTheme="majorHAnsi" w:cstheme="majorHAnsi"/>
          <w:b/>
          <w:color w:val="333333"/>
          <w:sz w:val="24"/>
          <w:szCs w:val="24"/>
          <w:u w:val="single"/>
          <w:shd w:val="clear" w:color="auto" w:fill="FFFFFF"/>
          <w:lang w:val="ro-MD"/>
        </w:rPr>
        <w:t>ș</w:t>
      </w:r>
      <w:r w:rsidR="00C36352" w:rsidRPr="00257A45">
        <w:rPr>
          <w:rFonts w:asciiTheme="majorHAnsi" w:hAnsiTheme="majorHAnsi" w:cstheme="majorHAnsi"/>
          <w:b/>
          <w:color w:val="333333"/>
          <w:sz w:val="24"/>
          <w:szCs w:val="24"/>
          <w:u w:val="single"/>
          <w:shd w:val="clear" w:color="auto" w:fill="FFFFFF"/>
          <w:lang w:val="ro-MD"/>
        </w:rPr>
        <w:t xml:space="preserve">i </w:t>
      </w:r>
      <w:r w:rsidR="00241448" w:rsidRPr="00257A45">
        <w:rPr>
          <w:rFonts w:asciiTheme="majorHAnsi" w:hAnsiTheme="majorHAnsi" w:cstheme="majorHAnsi"/>
          <w:b/>
          <w:color w:val="333333"/>
          <w:sz w:val="24"/>
          <w:szCs w:val="24"/>
          <w:u w:val="single"/>
          <w:shd w:val="clear" w:color="auto" w:fill="FFFFFF"/>
          <w:lang w:val="ro-MD"/>
        </w:rPr>
        <w:t xml:space="preserve">bugetele locale </w:t>
      </w:r>
      <w:r w:rsidR="00C36352" w:rsidRPr="00257A45">
        <w:rPr>
          <w:rFonts w:asciiTheme="majorHAnsi" w:hAnsiTheme="majorHAnsi" w:cstheme="majorHAnsi"/>
          <w:b/>
          <w:color w:val="333333"/>
          <w:sz w:val="24"/>
          <w:szCs w:val="24"/>
          <w:u w:val="single"/>
          <w:shd w:val="clear" w:color="auto" w:fill="FFFFFF"/>
          <w:lang w:val="ro-MD"/>
        </w:rPr>
        <w:t>de nivelul I?</w:t>
      </w:r>
    </w:p>
    <w:p w14:paraId="549AFF65" w14:textId="09DE9388" w:rsidR="00C23DCE" w:rsidRPr="00257A45" w:rsidRDefault="00C23DCE" w:rsidP="00767ED8">
      <w:pPr>
        <w:numPr>
          <w:ilvl w:val="0"/>
          <w:numId w:val="3"/>
        </w:numPr>
        <w:spacing w:after="0" w:line="276" w:lineRule="auto"/>
        <w:contextualSpacing/>
        <w:jc w:val="both"/>
        <w:rPr>
          <w:rFonts w:asciiTheme="majorHAnsi" w:hAnsiTheme="majorHAnsi" w:cstheme="majorHAnsi"/>
          <w:b/>
          <w:iCs/>
          <w:sz w:val="24"/>
          <w:szCs w:val="24"/>
          <w:u w:val="single"/>
          <w:lang w:val="ro-MD"/>
        </w:rPr>
      </w:pPr>
      <w:r w:rsidRPr="00257A45">
        <w:rPr>
          <w:rFonts w:asciiTheme="majorHAnsi" w:hAnsiTheme="majorHAnsi" w:cstheme="majorHAnsi"/>
          <w:b/>
          <w:color w:val="333333"/>
          <w:sz w:val="24"/>
          <w:szCs w:val="24"/>
          <w:shd w:val="clear" w:color="auto" w:fill="FFFFFF"/>
          <w:lang w:val="ro-MD"/>
        </w:rPr>
        <w:t xml:space="preserve">Obiectivul II: </w:t>
      </w:r>
      <w:r w:rsidRPr="00257A45">
        <w:rPr>
          <w:rFonts w:asciiTheme="majorHAnsi" w:hAnsiTheme="majorHAnsi" w:cstheme="majorHAnsi"/>
          <w:b/>
          <w:iCs/>
          <w:sz w:val="24"/>
          <w:szCs w:val="24"/>
          <w:u w:val="single"/>
          <w:lang w:val="ro-MD"/>
        </w:rPr>
        <w:t>A justificat UT</w:t>
      </w:r>
      <w:r w:rsidR="00257A45" w:rsidRPr="00257A45">
        <w:rPr>
          <w:rFonts w:asciiTheme="majorHAnsi" w:hAnsiTheme="majorHAnsi" w:cstheme="majorHAnsi"/>
          <w:b/>
          <w:iCs/>
          <w:sz w:val="24"/>
          <w:szCs w:val="24"/>
          <w:u w:val="single"/>
          <w:lang w:val="ro-MD"/>
        </w:rPr>
        <w:t>A</w:t>
      </w:r>
      <w:r w:rsidRPr="00257A45">
        <w:rPr>
          <w:rFonts w:asciiTheme="majorHAnsi" w:hAnsiTheme="majorHAnsi" w:cstheme="majorHAnsi"/>
          <w:b/>
          <w:iCs/>
          <w:sz w:val="24"/>
          <w:szCs w:val="24"/>
          <w:u w:val="single"/>
          <w:lang w:val="ro-MD"/>
        </w:rPr>
        <w:t xml:space="preserve"> angajarea </w:t>
      </w:r>
      <w:r w:rsidR="0069374B" w:rsidRPr="00257A45">
        <w:rPr>
          <w:rFonts w:asciiTheme="majorHAnsi" w:hAnsiTheme="majorHAnsi" w:cstheme="majorHAnsi"/>
          <w:b/>
          <w:iCs/>
          <w:sz w:val="24"/>
          <w:szCs w:val="24"/>
          <w:u w:val="single"/>
          <w:lang w:val="ro-MD"/>
        </w:rPr>
        <w:t>ș</w:t>
      </w:r>
      <w:r w:rsidRPr="00257A45">
        <w:rPr>
          <w:rFonts w:asciiTheme="majorHAnsi" w:hAnsiTheme="majorHAnsi" w:cstheme="majorHAnsi"/>
          <w:b/>
          <w:iCs/>
          <w:sz w:val="24"/>
          <w:szCs w:val="24"/>
          <w:u w:val="single"/>
          <w:lang w:val="ro-MD"/>
        </w:rPr>
        <w:t xml:space="preserve">i gestionarea cheltuielilor potrivit cadrului regulator? </w:t>
      </w:r>
    </w:p>
    <w:p w14:paraId="5944AE4A" w14:textId="3ACE8C5E" w:rsidR="00C23DCE" w:rsidRPr="00257A45" w:rsidRDefault="00C23DCE" w:rsidP="00767ED8">
      <w:pPr>
        <w:numPr>
          <w:ilvl w:val="0"/>
          <w:numId w:val="3"/>
        </w:numPr>
        <w:spacing w:after="0" w:line="276" w:lineRule="auto"/>
        <w:contextualSpacing/>
        <w:jc w:val="both"/>
        <w:rPr>
          <w:rFonts w:asciiTheme="majorHAnsi" w:hAnsiTheme="majorHAnsi" w:cstheme="majorHAnsi"/>
          <w:b/>
          <w:color w:val="333333"/>
          <w:sz w:val="24"/>
          <w:szCs w:val="24"/>
          <w:shd w:val="clear" w:color="auto" w:fill="FFFFFF"/>
          <w:lang w:val="ro-MD"/>
        </w:rPr>
      </w:pPr>
      <w:r w:rsidRPr="00257A45">
        <w:rPr>
          <w:rFonts w:asciiTheme="majorHAnsi" w:hAnsiTheme="majorHAnsi" w:cstheme="majorHAnsi"/>
          <w:b/>
          <w:color w:val="333333"/>
          <w:sz w:val="24"/>
          <w:szCs w:val="24"/>
          <w:shd w:val="clear" w:color="auto" w:fill="FFFFFF"/>
          <w:lang w:val="ro-MD"/>
        </w:rPr>
        <w:t xml:space="preserve">Obiectivul III: </w:t>
      </w:r>
      <w:r w:rsidRPr="00257A45">
        <w:rPr>
          <w:rFonts w:asciiTheme="majorHAnsi" w:hAnsiTheme="majorHAnsi" w:cstheme="majorHAnsi"/>
          <w:b/>
          <w:color w:val="333333"/>
          <w:sz w:val="24"/>
          <w:szCs w:val="24"/>
          <w:u w:val="single"/>
          <w:shd w:val="clear" w:color="auto" w:fill="FFFFFF"/>
          <w:lang w:val="ro-MD"/>
        </w:rPr>
        <w:t xml:space="preserve">A înregistrat, a administrat </w:t>
      </w:r>
      <w:r w:rsidR="0069374B" w:rsidRPr="00257A45">
        <w:rPr>
          <w:rFonts w:asciiTheme="majorHAnsi" w:hAnsiTheme="majorHAnsi" w:cstheme="majorHAnsi"/>
          <w:b/>
          <w:color w:val="333333"/>
          <w:sz w:val="24"/>
          <w:szCs w:val="24"/>
          <w:u w:val="single"/>
          <w:shd w:val="clear" w:color="auto" w:fill="FFFFFF"/>
          <w:lang w:val="ro-MD"/>
        </w:rPr>
        <w:t>ș</w:t>
      </w:r>
      <w:r w:rsidRPr="00257A45">
        <w:rPr>
          <w:rFonts w:asciiTheme="majorHAnsi" w:hAnsiTheme="majorHAnsi" w:cstheme="majorHAnsi"/>
          <w:b/>
          <w:color w:val="333333"/>
          <w:sz w:val="24"/>
          <w:szCs w:val="24"/>
          <w:u w:val="single"/>
          <w:shd w:val="clear" w:color="auto" w:fill="FFFFFF"/>
          <w:lang w:val="ro-MD"/>
        </w:rPr>
        <w:t>i a gestionat UT</w:t>
      </w:r>
      <w:r w:rsidR="00257A45" w:rsidRPr="00257A45">
        <w:rPr>
          <w:rFonts w:asciiTheme="majorHAnsi" w:hAnsiTheme="majorHAnsi" w:cstheme="majorHAnsi"/>
          <w:b/>
          <w:color w:val="333333"/>
          <w:sz w:val="24"/>
          <w:szCs w:val="24"/>
          <w:u w:val="single"/>
          <w:shd w:val="clear" w:color="auto" w:fill="FFFFFF"/>
          <w:lang w:val="ro-MD"/>
        </w:rPr>
        <w:t>A</w:t>
      </w:r>
      <w:r w:rsidRPr="00257A45">
        <w:rPr>
          <w:rFonts w:asciiTheme="majorHAnsi" w:hAnsiTheme="majorHAnsi" w:cstheme="majorHAnsi"/>
          <w:b/>
          <w:color w:val="333333"/>
          <w:sz w:val="24"/>
          <w:szCs w:val="24"/>
          <w:u w:val="single"/>
          <w:shd w:val="clear" w:color="auto" w:fill="FFFFFF"/>
          <w:lang w:val="ro-MD"/>
        </w:rPr>
        <w:t xml:space="preserve"> în mod</w:t>
      </w:r>
      <w:r w:rsidR="00B70D37" w:rsidRPr="00257A45">
        <w:rPr>
          <w:rFonts w:asciiTheme="majorHAnsi" w:hAnsiTheme="majorHAnsi" w:cstheme="majorHAnsi"/>
          <w:b/>
          <w:color w:val="333333"/>
          <w:sz w:val="24"/>
          <w:szCs w:val="24"/>
          <w:u w:val="single"/>
          <w:shd w:val="clear" w:color="auto" w:fill="FFFFFF"/>
          <w:lang w:val="ro-MD"/>
        </w:rPr>
        <w:t>ul</w:t>
      </w:r>
      <w:r w:rsidRPr="00257A45">
        <w:rPr>
          <w:rFonts w:asciiTheme="majorHAnsi" w:hAnsiTheme="majorHAnsi" w:cstheme="majorHAnsi"/>
          <w:b/>
          <w:color w:val="333333"/>
          <w:sz w:val="24"/>
          <w:szCs w:val="24"/>
          <w:u w:val="single"/>
          <w:shd w:val="clear" w:color="auto" w:fill="FFFFFF"/>
          <w:lang w:val="ro-MD"/>
        </w:rPr>
        <w:t xml:space="preserve"> corespunzător patrimoniul public</w:t>
      </w:r>
      <w:r w:rsidRPr="00257A45">
        <w:rPr>
          <w:rFonts w:asciiTheme="majorHAnsi" w:hAnsiTheme="majorHAnsi" w:cstheme="majorHAnsi"/>
          <w:b/>
          <w:color w:val="333333"/>
          <w:sz w:val="24"/>
          <w:szCs w:val="24"/>
          <w:shd w:val="clear" w:color="auto" w:fill="FFFFFF"/>
          <w:lang w:val="ro-MD"/>
        </w:rPr>
        <w:t>?</w:t>
      </w:r>
    </w:p>
    <w:p w14:paraId="2124B31E" w14:textId="7DF97E3C" w:rsidR="00C23DCE" w:rsidRPr="00363CFA" w:rsidRDefault="00C23DCE" w:rsidP="00767ED8">
      <w:pPr>
        <w:tabs>
          <w:tab w:val="left" w:pos="270"/>
          <w:tab w:val="left" w:pos="1170"/>
        </w:tabs>
        <w:spacing w:after="0" w:line="276" w:lineRule="auto"/>
        <w:ind w:left="720"/>
        <w:contextualSpacing/>
        <w:jc w:val="both"/>
        <w:outlineLvl w:val="1"/>
        <w:rPr>
          <w:rFonts w:asciiTheme="majorHAnsi" w:hAnsiTheme="majorHAnsi"/>
          <w:b/>
          <w:sz w:val="24"/>
          <w:szCs w:val="24"/>
          <w:lang w:val="ro-MD"/>
        </w:rPr>
      </w:pPr>
      <w:bookmarkStart w:id="17" w:name="_Toc66559874"/>
      <w:bookmarkStart w:id="18" w:name="_Toc84512903"/>
      <w:r w:rsidRPr="00363CFA">
        <w:rPr>
          <w:rFonts w:asciiTheme="majorHAnsi" w:hAnsiTheme="majorHAnsi" w:cstheme="majorHAnsi"/>
          <w:b/>
          <w:noProof/>
          <w:sz w:val="24"/>
          <w:szCs w:val="24"/>
          <w:lang w:val="ro-MD"/>
        </w:rPr>
        <w:t>3.2</w:t>
      </w:r>
      <w:r w:rsidRPr="00363CFA">
        <w:rPr>
          <w:rFonts w:asciiTheme="majorHAnsi" w:hAnsiTheme="majorHAnsi" w:cstheme="majorHAnsi"/>
          <w:noProof/>
          <w:sz w:val="24"/>
          <w:szCs w:val="24"/>
          <w:lang w:val="ro-MD"/>
        </w:rPr>
        <w:t>.</w:t>
      </w:r>
      <w:bookmarkStart w:id="19" w:name="_Toc61608187"/>
      <w:r w:rsidRPr="00363CFA">
        <w:rPr>
          <w:rFonts w:asciiTheme="majorHAnsi" w:hAnsiTheme="majorHAnsi"/>
          <w:b/>
          <w:sz w:val="24"/>
          <w:szCs w:val="24"/>
          <w:lang w:val="ro-MD"/>
        </w:rPr>
        <w:t xml:space="preserve"> Abordarea auditului</w:t>
      </w:r>
      <w:bookmarkEnd w:id="17"/>
      <w:bookmarkEnd w:id="18"/>
      <w:bookmarkEnd w:id="19"/>
    </w:p>
    <w:p w14:paraId="17F85134" w14:textId="03B3A4C9" w:rsidR="00C23DCE" w:rsidRPr="00363CFA" w:rsidRDefault="00C23DCE" w:rsidP="00767ED8">
      <w:pPr>
        <w:spacing w:after="0" w:line="276" w:lineRule="auto"/>
        <w:ind w:firstLine="709"/>
        <w:jc w:val="both"/>
        <w:rPr>
          <w:rFonts w:asciiTheme="majorHAnsi" w:hAnsiTheme="majorHAnsi" w:cstheme="majorHAnsi"/>
          <w:noProof/>
          <w:sz w:val="24"/>
          <w:szCs w:val="24"/>
          <w:lang w:val="ro-MD"/>
        </w:rPr>
      </w:pPr>
      <w:r w:rsidRPr="00363CFA">
        <w:rPr>
          <w:rFonts w:asciiTheme="majorHAnsi" w:hAnsiTheme="majorHAnsi" w:cstheme="majorHAnsi"/>
          <w:noProof/>
          <w:sz w:val="24"/>
          <w:szCs w:val="24"/>
          <w:lang w:val="ro-MD"/>
        </w:rPr>
        <w:t>Activită</w:t>
      </w:r>
      <w:r w:rsidR="0069374B" w:rsidRPr="00363CFA">
        <w:rPr>
          <w:rFonts w:asciiTheme="majorHAnsi" w:hAnsiTheme="majorHAnsi" w:cstheme="majorHAnsi"/>
          <w:noProof/>
          <w:sz w:val="24"/>
          <w:szCs w:val="24"/>
          <w:lang w:val="ro-MD"/>
        </w:rPr>
        <w:t>ț</w:t>
      </w:r>
      <w:r w:rsidRPr="00363CFA">
        <w:rPr>
          <w:rFonts w:asciiTheme="majorHAnsi" w:hAnsiTheme="majorHAnsi" w:cstheme="majorHAnsi"/>
          <w:noProof/>
          <w:sz w:val="24"/>
          <w:szCs w:val="24"/>
          <w:lang w:val="ro-MD"/>
        </w:rPr>
        <w:t>ile de audit au fost ghidate de Standardele Interna</w:t>
      </w:r>
      <w:r w:rsidR="0069374B" w:rsidRPr="00363CFA">
        <w:rPr>
          <w:rFonts w:asciiTheme="majorHAnsi" w:hAnsiTheme="majorHAnsi" w:cstheme="majorHAnsi"/>
          <w:noProof/>
          <w:sz w:val="24"/>
          <w:szCs w:val="24"/>
          <w:lang w:val="ro-MD"/>
        </w:rPr>
        <w:t>ț</w:t>
      </w:r>
      <w:r w:rsidRPr="00363CFA">
        <w:rPr>
          <w:rFonts w:asciiTheme="majorHAnsi" w:hAnsiTheme="majorHAnsi" w:cstheme="majorHAnsi"/>
          <w:noProof/>
          <w:sz w:val="24"/>
          <w:szCs w:val="24"/>
          <w:lang w:val="ro-MD"/>
        </w:rPr>
        <w:t>ionale ale Institu</w:t>
      </w:r>
      <w:r w:rsidR="0069374B" w:rsidRPr="00363CFA">
        <w:rPr>
          <w:rFonts w:asciiTheme="majorHAnsi" w:hAnsiTheme="majorHAnsi" w:cstheme="majorHAnsi"/>
          <w:noProof/>
          <w:sz w:val="24"/>
          <w:szCs w:val="24"/>
          <w:lang w:val="ro-MD"/>
        </w:rPr>
        <w:t>ț</w:t>
      </w:r>
      <w:r w:rsidRPr="00363CFA">
        <w:rPr>
          <w:rFonts w:asciiTheme="majorHAnsi" w:hAnsiTheme="majorHAnsi" w:cstheme="majorHAnsi"/>
          <w:noProof/>
          <w:sz w:val="24"/>
          <w:szCs w:val="24"/>
          <w:lang w:val="ro-MD"/>
        </w:rPr>
        <w:t xml:space="preserve">iilor Supreme de Audit </w:t>
      </w:r>
      <w:r w:rsidR="00B70D37">
        <w:rPr>
          <w:rFonts w:asciiTheme="majorHAnsi" w:hAnsiTheme="majorHAnsi" w:cstheme="majorHAnsi"/>
          <w:noProof/>
          <w:sz w:val="24"/>
          <w:szCs w:val="24"/>
          <w:lang w:val="ro-MD"/>
        </w:rPr>
        <w:t>(</w:t>
      </w:r>
      <w:r w:rsidRPr="00363CFA">
        <w:rPr>
          <w:rFonts w:asciiTheme="majorHAnsi" w:hAnsiTheme="majorHAnsi" w:cstheme="majorHAnsi"/>
          <w:noProof/>
          <w:sz w:val="24"/>
          <w:szCs w:val="24"/>
          <w:shd w:val="clear" w:color="auto" w:fill="FFFFFF"/>
          <w:lang w:val="ro-MD"/>
        </w:rPr>
        <w:t xml:space="preserve">ISSAI 100, ISSAI 400, precum </w:t>
      </w:r>
      <w:r w:rsidR="0069374B" w:rsidRPr="00363CFA">
        <w:rPr>
          <w:rFonts w:asciiTheme="majorHAnsi" w:hAnsiTheme="majorHAnsi" w:cstheme="majorHAnsi"/>
          <w:noProof/>
          <w:sz w:val="24"/>
          <w:szCs w:val="24"/>
          <w:shd w:val="clear" w:color="auto" w:fill="FFFFFF"/>
          <w:lang w:val="ro-MD"/>
        </w:rPr>
        <w:t>ș</w:t>
      </w:r>
      <w:r w:rsidRPr="00363CFA">
        <w:rPr>
          <w:rFonts w:asciiTheme="majorHAnsi" w:hAnsiTheme="majorHAnsi" w:cstheme="majorHAnsi"/>
          <w:noProof/>
          <w:sz w:val="24"/>
          <w:szCs w:val="24"/>
          <w:shd w:val="clear" w:color="auto" w:fill="FFFFFF"/>
          <w:lang w:val="ro-MD"/>
        </w:rPr>
        <w:t xml:space="preserve">i </w:t>
      </w:r>
      <w:r w:rsidRPr="00363CFA">
        <w:rPr>
          <w:rFonts w:asciiTheme="majorHAnsi" w:hAnsiTheme="majorHAnsi" w:cstheme="majorHAnsi"/>
          <w:noProof/>
          <w:sz w:val="24"/>
          <w:szCs w:val="24"/>
          <w:lang w:val="ro-MD"/>
        </w:rPr>
        <w:t>ISSAI 4000</w:t>
      </w:r>
      <w:r w:rsidR="00B70D37">
        <w:rPr>
          <w:rFonts w:asciiTheme="majorHAnsi" w:hAnsiTheme="majorHAnsi" w:cstheme="majorHAnsi"/>
          <w:noProof/>
          <w:sz w:val="24"/>
          <w:szCs w:val="24"/>
          <w:lang w:val="ro-MD"/>
        </w:rPr>
        <w:t>)</w:t>
      </w:r>
      <w:r w:rsidRPr="00363CFA">
        <w:rPr>
          <w:rFonts w:asciiTheme="majorHAnsi" w:hAnsiTheme="majorHAnsi" w:cstheme="majorHAnsi"/>
          <w:noProof/>
          <w:sz w:val="24"/>
          <w:szCs w:val="24"/>
          <w:vertAlign w:val="superscript"/>
          <w:lang w:val="ro-MD"/>
        </w:rPr>
        <w:footnoteReference w:id="10"/>
      </w:r>
      <w:r w:rsidRPr="00363CFA">
        <w:rPr>
          <w:rFonts w:asciiTheme="majorHAnsi" w:hAnsiTheme="majorHAnsi" w:cstheme="majorHAnsi"/>
          <w:noProof/>
          <w:sz w:val="24"/>
          <w:szCs w:val="24"/>
          <w:lang w:val="ro-MD"/>
        </w:rPr>
        <w:t>.</w:t>
      </w:r>
    </w:p>
    <w:p w14:paraId="1DC4FAF5" w14:textId="6A4110DD" w:rsidR="00C23DCE" w:rsidRPr="00363CFA" w:rsidRDefault="000A618A" w:rsidP="00767ED8">
      <w:pPr>
        <w:spacing w:after="0" w:line="276" w:lineRule="auto"/>
        <w:ind w:firstLine="709"/>
        <w:jc w:val="both"/>
        <w:rPr>
          <w:rFonts w:asciiTheme="majorHAnsi" w:hAnsiTheme="majorHAnsi" w:cstheme="majorHAnsi"/>
          <w:bCs/>
          <w:sz w:val="24"/>
          <w:szCs w:val="24"/>
          <w:lang w:val="ro-MD"/>
        </w:rPr>
      </w:pPr>
      <w:r w:rsidRPr="00363CFA">
        <w:rPr>
          <w:rFonts w:asciiTheme="majorHAnsi" w:hAnsiTheme="majorHAnsi" w:cstheme="majorHAnsi"/>
          <w:sz w:val="24"/>
          <w:szCs w:val="24"/>
          <w:lang w:val="ro-MD"/>
        </w:rPr>
        <w:t>A</w:t>
      </w:r>
      <w:r w:rsidR="00C23DCE" w:rsidRPr="00363CFA">
        <w:rPr>
          <w:rFonts w:asciiTheme="majorHAnsi" w:hAnsiTheme="majorHAnsi" w:cstheme="majorHAnsi"/>
          <w:sz w:val="24"/>
          <w:szCs w:val="24"/>
          <w:lang w:val="ro-MD"/>
        </w:rPr>
        <w:t>udit</w:t>
      </w:r>
      <w:r w:rsidRPr="00363CFA">
        <w:rPr>
          <w:rFonts w:asciiTheme="majorHAnsi" w:hAnsiTheme="majorHAnsi" w:cstheme="majorHAnsi"/>
          <w:sz w:val="24"/>
          <w:szCs w:val="24"/>
          <w:lang w:val="ro-MD"/>
        </w:rPr>
        <w:t>ul</w:t>
      </w:r>
      <w:r w:rsidR="00C23DCE" w:rsidRPr="00363CFA">
        <w:rPr>
          <w:rFonts w:asciiTheme="majorHAnsi" w:hAnsiTheme="majorHAnsi" w:cstheme="majorHAnsi"/>
          <w:sz w:val="24"/>
          <w:szCs w:val="24"/>
          <w:lang w:val="ro-MD"/>
        </w:rPr>
        <w:t xml:space="preserve"> a constat din ac</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iuni de colectare a probelor la fa</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 xml:space="preserve">a locului </w:t>
      </w:r>
      <w:r w:rsidR="0069374B" w:rsidRPr="00363CFA">
        <w:rPr>
          <w:rFonts w:asciiTheme="majorHAnsi" w:hAnsiTheme="majorHAnsi" w:cstheme="majorHAnsi"/>
          <w:sz w:val="24"/>
          <w:szCs w:val="24"/>
          <w:lang w:val="ro-MD"/>
        </w:rPr>
        <w:t>ș</w:t>
      </w:r>
      <w:r w:rsidR="00C23DCE" w:rsidRPr="00363CFA">
        <w:rPr>
          <w:rFonts w:asciiTheme="majorHAnsi" w:hAnsiTheme="majorHAnsi" w:cstheme="majorHAnsi"/>
          <w:sz w:val="24"/>
          <w:szCs w:val="24"/>
          <w:lang w:val="ro-MD"/>
        </w:rPr>
        <w:t>i la distan</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 xml:space="preserve">ă în cadrul </w:t>
      </w:r>
      <w:r w:rsidR="007B243D" w:rsidRPr="00363CFA">
        <w:rPr>
          <w:rFonts w:asciiTheme="majorHAnsi" w:hAnsiTheme="majorHAnsi" w:cstheme="majorHAnsi"/>
          <w:sz w:val="24"/>
          <w:szCs w:val="24"/>
          <w:lang w:val="ro-MD"/>
        </w:rPr>
        <w:t>Comitetului Executiv al Găgăuziei, autorită</w:t>
      </w:r>
      <w:r w:rsidR="0069374B" w:rsidRPr="00363CFA">
        <w:rPr>
          <w:rFonts w:asciiTheme="majorHAnsi" w:hAnsiTheme="majorHAnsi" w:cstheme="majorHAnsi"/>
          <w:sz w:val="24"/>
          <w:szCs w:val="24"/>
          <w:lang w:val="ro-MD"/>
        </w:rPr>
        <w:t>ț</w:t>
      </w:r>
      <w:r w:rsidR="007B243D" w:rsidRPr="00363CFA">
        <w:rPr>
          <w:rFonts w:asciiTheme="majorHAnsi" w:hAnsiTheme="majorHAnsi" w:cstheme="majorHAnsi"/>
          <w:sz w:val="24"/>
          <w:szCs w:val="24"/>
          <w:lang w:val="ro-MD"/>
        </w:rPr>
        <w:t xml:space="preserve">ilor </w:t>
      </w:r>
      <w:r w:rsidR="0069374B" w:rsidRPr="00363CFA">
        <w:rPr>
          <w:rFonts w:asciiTheme="majorHAnsi" w:hAnsiTheme="majorHAnsi" w:cstheme="majorHAnsi"/>
          <w:sz w:val="24"/>
          <w:szCs w:val="24"/>
          <w:lang w:val="ro-MD"/>
        </w:rPr>
        <w:t>ș</w:t>
      </w:r>
      <w:r w:rsidR="007B243D" w:rsidRPr="00363CFA">
        <w:rPr>
          <w:rFonts w:asciiTheme="majorHAnsi" w:hAnsiTheme="majorHAnsi" w:cstheme="majorHAnsi"/>
          <w:sz w:val="24"/>
          <w:szCs w:val="24"/>
          <w:lang w:val="ro-MD"/>
        </w:rPr>
        <w:t>i institu</w:t>
      </w:r>
      <w:r w:rsidR="0069374B" w:rsidRPr="00363CFA">
        <w:rPr>
          <w:rFonts w:asciiTheme="majorHAnsi" w:hAnsiTheme="majorHAnsi" w:cstheme="majorHAnsi"/>
          <w:sz w:val="24"/>
          <w:szCs w:val="24"/>
          <w:lang w:val="ro-MD"/>
        </w:rPr>
        <w:t>ț</w:t>
      </w:r>
      <w:r w:rsidR="007B243D" w:rsidRPr="00363CFA">
        <w:rPr>
          <w:rFonts w:asciiTheme="majorHAnsi" w:hAnsiTheme="majorHAnsi" w:cstheme="majorHAnsi"/>
          <w:sz w:val="24"/>
          <w:szCs w:val="24"/>
          <w:lang w:val="ro-MD"/>
        </w:rPr>
        <w:t>iilor din subordine</w:t>
      </w:r>
      <w:r w:rsidR="00C23DCE" w:rsidRPr="00363CFA">
        <w:rPr>
          <w:rFonts w:asciiTheme="majorHAnsi" w:hAnsiTheme="majorHAnsi" w:cstheme="majorHAnsi"/>
          <w:sz w:val="24"/>
          <w:szCs w:val="24"/>
          <w:lang w:val="ro-MD"/>
        </w:rPr>
        <w:t>, prin observări la fa</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a locului, intervievări, confirmări. Auditul la distan</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ă a fost condi</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ionat de restric</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iile impuse de situa</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ia de urgen</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 xml:space="preserve">ă epidemiologică stabilită. </w:t>
      </w:r>
      <w:r w:rsidR="00C23DCE" w:rsidRPr="00363CFA">
        <w:rPr>
          <w:rFonts w:asciiTheme="majorHAnsi" w:eastAsia="Arial" w:hAnsiTheme="majorHAnsi" w:cstheme="majorHAnsi"/>
          <w:spacing w:val="1"/>
          <w:sz w:val="24"/>
          <w:szCs w:val="24"/>
          <w:lang w:val="ro-MD"/>
        </w:rPr>
        <w:t xml:space="preserve">Abordarea auditului </w:t>
      </w:r>
      <w:r w:rsidR="00B70D37">
        <w:rPr>
          <w:rFonts w:asciiTheme="majorHAnsi" w:eastAsia="Arial" w:hAnsiTheme="majorHAnsi" w:cstheme="majorHAnsi"/>
          <w:spacing w:val="1"/>
          <w:sz w:val="24"/>
          <w:szCs w:val="24"/>
          <w:lang w:val="ro-MD"/>
        </w:rPr>
        <w:t>s-</w:t>
      </w:r>
      <w:r w:rsidR="00C23DCE" w:rsidRPr="00363CFA">
        <w:rPr>
          <w:rFonts w:asciiTheme="majorHAnsi" w:eastAsia="Arial" w:hAnsiTheme="majorHAnsi" w:cstheme="majorHAnsi"/>
          <w:spacing w:val="1"/>
          <w:sz w:val="24"/>
          <w:szCs w:val="24"/>
          <w:lang w:val="ro-MD"/>
        </w:rPr>
        <w:t>a bazat pe riscuri, testările fiind aplicate pentru evaluarea domeniilor de audit semnificative.</w:t>
      </w:r>
      <w:r w:rsidR="005D2EDD">
        <w:rPr>
          <w:rFonts w:asciiTheme="majorHAnsi" w:eastAsia="Arial" w:hAnsiTheme="majorHAnsi" w:cstheme="majorHAnsi"/>
          <w:spacing w:val="1"/>
          <w:sz w:val="24"/>
          <w:szCs w:val="24"/>
          <w:lang w:val="ro-MD"/>
        </w:rPr>
        <w:t xml:space="preserve"> </w:t>
      </w:r>
      <w:r w:rsidR="00C23DCE" w:rsidRPr="00363CFA">
        <w:rPr>
          <w:rFonts w:asciiTheme="majorHAnsi" w:hAnsiTheme="majorHAnsi" w:cstheme="majorHAnsi"/>
          <w:sz w:val="24"/>
          <w:szCs w:val="24"/>
          <w:lang w:val="ro-MD"/>
        </w:rPr>
        <w:t>Informa</w:t>
      </w:r>
      <w:r w:rsidR="0069374B" w:rsidRPr="00363CFA">
        <w:rPr>
          <w:rFonts w:asciiTheme="majorHAnsi" w:hAnsiTheme="majorHAnsi" w:cstheme="majorHAnsi"/>
          <w:sz w:val="24"/>
          <w:szCs w:val="24"/>
          <w:lang w:val="ro-MD"/>
        </w:rPr>
        <w:t>ț</w:t>
      </w:r>
      <w:r w:rsidR="00C23DCE" w:rsidRPr="00363CFA">
        <w:rPr>
          <w:rFonts w:asciiTheme="majorHAnsi" w:hAnsiTheme="majorHAnsi" w:cstheme="majorHAnsi"/>
          <w:sz w:val="24"/>
          <w:szCs w:val="24"/>
          <w:lang w:val="ro-MD"/>
        </w:rPr>
        <w:t xml:space="preserve">ia de rigoare cu privire la sfera </w:t>
      </w:r>
      <w:r w:rsidR="0069374B" w:rsidRPr="00363CFA">
        <w:rPr>
          <w:rFonts w:asciiTheme="majorHAnsi" w:hAnsiTheme="majorHAnsi" w:cstheme="majorHAnsi"/>
          <w:sz w:val="24"/>
          <w:szCs w:val="24"/>
          <w:lang w:val="ro-MD"/>
        </w:rPr>
        <w:t>ș</w:t>
      </w:r>
      <w:r w:rsidR="00C23DCE" w:rsidRPr="00363CFA">
        <w:rPr>
          <w:rFonts w:asciiTheme="majorHAnsi" w:hAnsiTheme="majorHAnsi" w:cstheme="majorHAnsi"/>
          <w:sz w:val="24"/>
          <w:szCs w:val="24"/>
          <w:lang w:val="ro-MD"/>
        </w:rPr>
        <w:t xml:space="preserve">i abordarea auditului se prezintă în </w:t>
      </w:r>
      <w:r w:rsidR="00C23DCE" w:rsidRPr="00363CFA">
        <w:rPr>
          <w:rFonts w:asciiTheme="majorHAnsi" w:hAnsiTheme="majorHAnsi" w:cstheme="majorHAnsi"/>
          <w:b/>
          <w:sz w:val="24"/>
          <w:szCs w:val="24"/>
          <w:lang w:val="ro-MD"/>
        </w:rPr>
        <w:t>Anexa nr.</w:t>
      </w:r>
      <w:r w:rsidR="00C36352" w:rsidRPr="00363CFA">
        <w:rPr>
          <w:rFonts w:asciiTheme="majorHAnsi" w:hAnsiTheme="majorHAnsi" w:cstheme="majorHAnsi"/>
          <w:b/>
          <w:sz w:val="24"/>
          <w:szCs w:val="24"/>
          <w:lang w:val="ro-MD"/>
        </w:rPr>
        <w:t>2</w:t>
      </w:r>
      <w:r w:rsidR="00C23DCE" w:rsidRPr="00363CFA">
        <w:rPr>
          <w:rFonts w:asciiTheme="majorHAnsi" w:hAnsiTheme="majorHAnsi" w:cstheme="majorHAnsi"/>
          <w:b/>
          <w:bCs/>
          <w:sz w:val="24"/>
          <w:szCs w:val="24"/>
          <w:lang w:val="ro-MD"/>
        </w:rPr>
        <w:t xml:space="preserve"> </w:t>
      </w:r>
      <w:r w:rsidR="00C23DCE" w:rsidRPr="00363CFA">
        <w:rPr>
          <w:rFonts w:asciiTheme="majorHAnsi" w:hAnsiTheme="majorHAnsi" w:cstheme="majorHAnsi"/>
          <w:bCs/>
          <w:sz w:val="24"/>
          <w:szCs w:val="24"/>
          <w:lang w:val="ro-MD"/>
        </w:rPr>
        <w:t>la Raportul de audit.</w:t>
      </w:r>
    </w:p>
    <w:p w14:paraId="28DC4D6A" w14:textId="04122EFD" w:rsidR="00C23DCE" w:rsidRPr="00363CFA" w:rsidRDefault="00C23DCE" w:rsidP="00767ED8">
      <w:pPr>
        <w:tabs>
          <w:tab w:val="left" w:pos="270"/>
          <w:tab w:val="left" w:pos="1170"/>
        </w:tabs>
        <w:spacing w:after="0" w:line="276" w:lineRule="auto"/>
        <w:ind w:left="720"/>
        <w:contextualSpacing/>
        <w:jc w:val="both"/>
        <w:outlineLvl w:val="1"/>
        <w:rPr>
          <w:rFonts w:asciiTheme="majorHAnsi" w:hAnsiTheme="majorHAnsi" w:cstheme="majorHAnsi"/>
          <w:b/>
          <w:sz w:val="24"/>
          <w:szCs w:val="24"/>
          <w:lang w:val="ro-MD" w:eastAsia="ro-RO"/>
        </w:rPr>
      </w:pPr>
      <w:bookmarkStart w:id="20" w:name="_Toc84512904"/>
      <w:r w:rsidRPr="00363CFA">
        <w:rPr>
          <w:rFonts w:asciiTheme="majorHAnsi" w:hAnsiTheme="majorHAnsi" w:cstheme="majorHAnsi"/>
          <w:b/>
          <w:noProof/>
          <w:sz w:val="24"/>
          <w:szCs w:val="24"/>
          <w:lang w:val="ro-MD"/>
        </w:rPr>
        <w:t>3.3</w:t>
      </w:r>
      <w:r w:rsidRPr="00363CFA">
        <w:rPr>
          <w:rFonts w:asciiTheme="majorHAnsi" w:hAnsiTheme="majorHAnsi" w:cstheme="majorHAnsi"/>
          <w:noProof/>
          <w:sz w:val="24"/>
          <w:szCs w:val="24"/>
          <w:lang w:val="ro-MD"/>
        </w:rPr>
        <w:t>.</w:t>
      </w:r>
      <w:r w:rsidRPr="00363CFA">
        <w:rPr>
          <w:rFonts w:asciiTheme="majorHAnsi" w:hAnsiTheme="majorHAnsi"/>
          <w:b/>
          <w:sz w:val="24"/>
          <w:szCs w:val="24"/>
          <w:lang w:val="ro-MD"/>
        </w:rPr>
        <w:t xml:space="preserve"> </w:t>
      </w:r>
      <w:r w:rsidRPr="00363CFA">
        <w:rPr>
          <w:rFonts w:asciiTheme="majorHAnsi" w:hAnsiTheme="majorHAnsi" w:cstheme="majorHAnsi"/>
          <w:b/>
          <w:sz w:val="24"/>
          <w:szCs w:val="24"/>
          <w:lang w:val="ro-MD" w:eastAsia="ro-RO"/>
        </w:rPr>
        <w:t>Criteriile de audit</w:t>
      </w:r>
      <w:bookmarkEnd w:id="20"/>
    </w:p>
    <w:p w14:paraId="2692AF21" w14:textId="0A5DF665" w:rsidR="00C23DCE" w:rsidRPr="00363CFA" w:rsidRDefault="00C23DCE" w:rsidP="00767ED8">
      <w:pPr>
        <w:spacing w:after="0" w:line="276" w:lineRule="auto"/>
        <w:ind w:firstLine="720"/>
        <w:jc w:val="both"/>
        <w:rPr>
          <w:rFonts w:asciiTheme="majorHAnsi" w:hAnsiTheme="majorHAnsi" w:cstheme="majorHAnsi"/>
          <w:b/>
          <w:sz w:val="24"/>
          <w:szCs w:val="24"/>
          <w:lang w:val="ro-MD" w:eastAsia="ro-RO"/>
        </w:rPr>
      </w:pPr>
      <w:r w:rsidRPr="00363CFA">
        <w:rPr>
          <w:rFonts w:asciiTheme="majorHAnsi" w:hAnsiTheme="majorHAnsi" w:cstheme="majorHAnsi"/>
          <w:sz w:val="24"/>
          <w:szCs w:val="24"/>
          <w:lang w:val="ro-MD"/>
        </w:rPr>
        <w:t xml:space="preserve">Drept surse de criterii au fost utilizate actele legislative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normative aferente tematicii misiunii de audit</w:t>
      </w:r>
      <w:r w:rsidR="00B70D37">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specificate în </w:t>
      </w:r>
      <w:r w:rsidRPr="00363CFA">
        <w:rPr>
          <w:rFonts w:asciiTheme="majorHAnsi" w:hAnsiTheme="majorHAnsi" w:cstheme="majorHAnsi"/>
          <w:b/>
          <w:bCs/>
          <w:sz w:val="24"/>
          <w:szCs w:val="24"/>
          <w:lang w:val="ro-MD"/>
        </w:rPr>
        <w:t xml:space="preserve">Anexa nr. </w:t>
      </w:r>
      <w:r w:rsidR="00C36352" w:rsidRPr="00363CFA">
        <w:rPr>
          <w:rFonts w:asciiTheme="majorHAnsi" w:hAnsiTheme="majorHAnsi" w:cstheme="majorHAnsi"/>
          <w:b/>
          <w:bCs/>
          <w:sz w:val="24"/>
          <w:szCs w:val="24"/>
          <w:lang w:val="ro-MD"/>
        </w:rPr>
        <w:t>3</w:t>
      </w:r>
      <w:r w:rsidRPr="00363CFA">
        <w:rPr>
          <w:rFonts w:asciiTheme="majorHAnsi" w:hAnsiTheme="majorHAnsi" w:cstheme="majorHAnsi"/>
          <w:sz w:val="24"/>
          <w:szCs w:val="24"/>
          <w:lang w:val="ro-MD"/>
        </w:rPr>
        <w:t xml:space="preserve"> la Raportul de audit.</w:t>
      </w:r>
    </w:p>
    <w:p w14:paraId="645553BC" w14:textId="5B8A7A26" w:rsidR="00C23DCE" w:rsidRPr="00363CFA" w:rsidRDefault="00C23DCE" w:rsidP="00767ED8">
      <w:pPr>
        <w:tabs>
          <w:tab w:val="left" w:pos="270"/>
          <w:tab w:val="left" w:pos="1170"/>
        </w:tabs>
        <w:spacing w:after="0" w:line="276" w:lineRule="auto"/>
        <w:ind w:left="720"/>
        <w:jc w:val="both"/>
        <w:outlineLvl w:val="1"/>
        <w:rPr>
          <w:rFonts w:asciiTheme="majorHAnsi" w:eastAsia="Arial" w:hAnsiTheme="majorHAnsi" w:cstheme="majorHAnsi"/>
          <w:spacing w:val="1"/>
          <w:sz w:val="24"/>
          <w:szCs w:val="24"/>
          <w:lang w:val="ro-MD"/>
        </w:rPr>
      </w:pPr>
      <w:bookmarkStart w:id="21" w:name="_Toc84512905"/>
      <w:r w:rsidRPr="00363CFA">
        <w:rPr>
          <w:rFonts w:asciiTheme="majorHAnsi" w:hAnsiTheme="majorHAnsi" w:cstheme="majorHAnsi"/>
          <w:b/>
          <w:noProof/>
          <w:sz w:val="24"/>
          <w:szCs w:val="24"/>
          <w:lang w:val="ro-MD"/>
        </w:rPr>
        <w:t>3.4</w:t>
      </w:r>
      <w:r w:rsidRPr="00363CFA">
        <w:rPr>
          <w:rFonts w:asciiTheme="majorHAnsi" w:hAnsiTheme="majorHAnsi" w:cstheme="majorHAnsi"/>
          <w:noProof/>
          <w:sz w:val="24"/>
          <w:szCs w:val="24"/>
          <w:lang w:val="ro-MD"/>
        </w:rPr>
        <w:t>.</w:t>
      </w:r>
      <w:r w:rsidRPr="00363CFA">
        <w:rPr>
          <w:rFonts w:asciiTheme="majorHAnsi" w:hAnsiTheme="majorHAnsi" w:cstheme="majorHAnsi"/>
          <w:b/>
          <w:sz w:val="24"/>
          <w:szCs w:val="24"/>
          <w:lang w:val="ro-MD"/>
        </w:rPr>
        <w:t xml:space="preserve"> Responsabilitatea auditorului într-un audit de conformitate</w:t>
      </w:r>
      <w:bookmarkEnd w:id="21"/>
    </w:p>
    <w:p w14:paraId="387A4FD4" w14:textId="47226C6E" w:rsidR="00C23DCE" w:rsidRPr="00363CFA" w:rsidRDefault="00C23DCE" w:rsidP="00767ED8">
      <w:pPr>
        <w:tabs>
          <w:tab w:val="left" w:pos="270"/>
          <w:tab w:val="left" w:pos="1170"/>
        </w:tabs>
        <w:spacing w:after="0" w:line="276" w:lineRule="auto"/>
        <w:ind w:firstLine="709"/>
        <w:contextualSpacing/>
        <w:jc w:val="both"/>
        <w:rPr>
          <w:rFonts w:asciiTheme="majorHAnsi" w:hAnsiTheme="majorHAnsi" w:cstheme="majorHAnsi"/>
          <w:sz w:val="24"/>
          <w:szCs w:val="24"/>
          <w:lang w:val="ro-MD"/>
        </w:rPr>
      </w:pPr>
      <w:r w:rsidRPr="00363CFA">
        <w:rPr>
          <w:rFonts w:asciiTheme="majorHAnsi" w:hAnsiTheme="majorHAnsi" w:cstheme="majorHAnsi"/>
          <w:b/>
          <w:i/>
          <w:sz w:val="24"/>
          <w:szCs w:val="24"/>
          <w:lang w:val="ro-MD"/>
        </w:rPr>
        <w:t>Responsabilitatea echipei de audit</w:t>
      </w:r>
      <w:r w:rsidRPr="00363CFA">
        <w:rPr>
          <w:rFonts w:asciiTheme="majorHAnsi" w:eastAsia="Arial" w:hAnsiTheme="majorHAnsi" w:cstheme="majorHAnsi"/>
          <w:spacing w:val="1"/>
          <w:sz w:val="24"/>
          <w:szCs w:val="24"/>
          <w:lang w:val="ro-MD"/>
        </w:rPr>
        <w:t xml:space="preserve"> </w:t>
      </w:r>
      <w:r w:rsidRPr="00363CFA">
        <w:rPr>
          <w:rFonts w:asciiTheme="majorHAnsi" w:eastAsia="Calibri" w:hAnsiTheme="majorHAnsi" w:cstheme="majorHAnsi"/>
          <w:sz w:val="24"/>
          <w:szCs w:val="24"/>
          <w:lang w:val="ro-MD"/>
        </w:rPr>
        <w:t xml:space="preserve">a constat în colectarea unor probe de audit suficiente, pertinente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fiabile, care ar permite sus</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inerea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justificarea constatărilor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concluziilor de audit referitor la conformitatea </w:t>
      </w:r>
      <w:r w:rsidRPr="00363CFA">
        <w:rPr>
          <w:rFonts w:asciiTheme="majorHAnsi" w:hAnsiTheme="majorHAnsi" w:cstheme="majorHAnsi"/>
          <w:sz w:val="24"/>
          <w:szCs w:val="24"/>
          <w:lang w:val="ro-MD"/>
        </w:rPr>
        <w:t xml:space="preserve">procesului bugetar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gestionării </w:t>
      </w:r>
      <w:r w:rsidR="007B243D" w:rsidRPr="00363CFA">
        <w:rPr>
          <w:rFonts w:asciiTheme="majorHAnsi" w:hAnsiTheme="majorHAnsi" w:cstheme="majorHAnsi"/>
          <w:sz w:val="24"/>
          <w:szCs w:val="24"/>
          <w:lang w:val="ro-MD"/>
        </w:rPr>
        <w:t>patrimoniului public de către U</w:t>
      </w:r>
      <w:r w:rsidRPr="00363CFA">
        <w:rPr>
          <w:rFonts w:asciiTheme="majorHAnsi" w:hAnsiTheme="majorHAnsi" w:cstheme="majorHAnsi"/>
          <w:sz w:val="24"/>
          <w:szCs w:val="24"/>
          <w:lang w:val="ro-MD"/>
        </w:rPr>
        <w:t>T</w:t>
      </w:r>
      <w:r w:rsidR="007B243D" w:rsidRPr="00363CFA">
        <w:rPr>
          <w:rFonts w:asciiTheme="majorHAnsi" w:hAnsiTheme="majorHAnsi" w:cstheme="majorHAnsi"/>
          <w:sz w:val="24"/>
          <w:szCs w:val="24"/>
          <w:lang w:val="ro-MD"/>
        </w:rPr>
        <w:t xml:space="preserve">A Găgăuzia în perioada </w:t>
      </w:r>
      <w:r w:rsidR="00B70D37">
        <w:rPr>
          <w:rFonts w:asciiTheme="majorHAnsi" w:hAnsiTheme="majorHAnsi" w:cstheme="majorHAnsi"/>
          <w:sz w:val="24"/>
          <w:szCs w:val="24"/>
          <w:lang w:val="ro-MD"/>
        </w:rPr>
        <w:t xml:space="preserve">anilor </w:t>
      </w:r>
      <w:r w:rsidR="007B243D" w:rsidRPr="00363CFA">
        <w:rPr>
          <w:rFonts w:asciiTheme="majorHAnsi" w:hAnsiTheme="majorHAnsi" w:cstheme="majorHAnsi"/>
          <w:sz w:val="24"/>
          <w:szCs w:val="24"/>
          <w:lang w:val="ro-MD"/>
        </w:rPr>
        <w:t>2018 - 2020</w:t>
      </w:r>
      <w:r w:rsidRPr="00363CFA">
        <w:rPr>
          <w:rFonts w:asciiTheme="majorHAnsi" w:hAnsiTheme="majorHAnsi" w:cstheme="majorHAnsi"/>
          <w:sz w:val="24"/>
          <w:szCs w:val="24"/>
          <w:lang w:val="ro-MD"/>
        </w:rPr>
        <w:t>.</w:t>
      </w:r>
    </w:p>
    <w:p w14:paraId="47554D82" w14:textId="5796A1D4" w:rsidR="00C23DCE" w:rsidRPr="00363CFA" w:rsidRDefault="00C23DCE" w:rsidP="00767ED8">
      <w:pPr>
        <w:tabs>
          <w:tab w:val="left" w:pos="270"/>
        </w:tabs>
        <w:spacing w:after="0" w:line="276" w:lineRule="auto"/>
        <w:ind w:firstLine="709"/>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ab/>
        <w:t>Auditorii au fost independen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 fa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ă de entită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ile în cadrul cărora au colectat probele de audit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w:t>
      </w:r>
      <w:r w:rsidR="00B70D37">
        <w:rPr>
          <w:rFonts w:asciiTheme="majorHAnsi" w:hAnsiTheme="majorHAnsi" w:cstheme="majorHAnsi"/>
          <w:sz w:val="24"/>
          <w:szCs w:val="24"/>
          <w:lang w:val="ro-MD"/>
        </w:rPr>
        <w:t>și-</w:t>
      </w:r>
      <w:r w:rsidRPr="00363CFA">
        <w:rPr>
          <w:rFonts w:asciiTheme="majorHAnsi" w:hAnsiTheme="majorHAnsi" w:cstheme="majorHAnsi"/>
          <w:sz w:val="24"/>
          <w:szCs w:val="24"/>
          <w:lang w:val="ro-MD"/>
        </w:rPr>
        <w:t>au îndeplinit responsabilită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ile de etică în conformitate cu cerin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ele Codului etic al Cur</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 de Conturi</w:t>
      </w:r>
      <w:r w:rsidRPr="00F30888">
        <w:rPr>
          <w:rFonts w:asciiTheme="majorHAnsi" w:eastAsia="Times New Roman" w:hAnsiTheme="majorHAnsi" w:cs="Times New Roman"/>
          <w:sz w:val="24"/>
          <w:szCs w:val="24"/>
          <w:vertAlign w:val="superscript"/>
          <w:lang w:val="ro-MD"/>
        </w:rPr>
        <w:footnoteReference w:id="11"/>
      </w:r>
      <w:r w:rsidRPr="007E64D5">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Probele de audit ob</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inute sunt suficiente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adecvate spre a furniza o bază pentru formularea concluziilor în cadrul prezentei misiuni de audit. Auditorul nu este responsabil de prevenirea faptelor de fraudă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eroare.</w:t>
      </w:r>
    </w:p>
    <w:p w14:paraId="2E8B57BC" w14:textId="77777777" w:rsidR="00C23DCE" w:rsidRPr="00363CFA" w:rsidRDefault="00C23DCE" w:rsidP="00767ED8">
      <w:pPr>
        <w:tabs>
          <w:tab w:val="left" w:pos="270"/>
        </w:tabs>
        <w:spacing w:after="0" w:line="276" w:lineRule="auto"/>
        <w:ind w:firstLine="709"/>
        <w:jc w:val="both"/>
        <w:rPr>
          <w:rFonts w:asciiTheme="majorHAnsi" w:hAnsiTheme="majorHAnsi" w:cstheme="majorHAnsi"/>
          <w:sz w:val="24"/>
          <w:szCs w:val="24"/>
          <w:lang w:val="ro-MD"/>
        </w:rPr>
      </w:pPr>
    </w:p>
    <w:p w14:paraId="32B1832A" w14:textId="2C99FCF4" w:rsidR="00C23DCE" w:rsidRPr="00363CFA" w:rsidRDefault="00C23DCE" w:rsidP="005D2EDD">
      <w:pPr>
        <w:keepNext/>
        <w:keepLines/>
        <w:spacing w:after="0" w:line="276" w:lineRule="auto"/>
        <w:ind w:firstLine="709"/>
        <w:jc w:val="both"/>
        <w:outlineLvl w:val="0"/>
        <w:rPr>
          <w:rFonts w:asciiTheme="majorHAnsi" w:eastAsiaTheme="majorEastAsia" w:hAnsiTheme="majorHAnsi" w:cstheme="majorHAnsi"/>
          <w:b/>
          <w:color w:val="2E74B5" w:themeColor="accent1" w:themeShade="BF"/>
          <w:sz w:val="32"/>
          <w:szCs w:val="32"/>
          <w:lang w:val="ro-MD"/>
        </w:rPr>
      </w:pPr>
      <w:bookmarkStart w:id="22" w:name="_Toc58780362"/>
      <w:bookmarkStart w:id="23" w:name="_Toc84512906"/>
      <w:r w:rsidRPr="00363CFA">
        <w:rPr>
          <w:rFonts w:asciiTheme="majorHAnsi" w:eastAsiaTheme="majorEastAsia" w:hAnsiTheme="majorHAnsi" w:cstheme="majorHAnsi"/>
          <w:b/>
          <w:color w:val="2E74B5" w:themeColor="accent1" w:themeShade="BF"/>
          <w:sz w:val="32"/>
          <w:szCs w:val="32"/>
          <w:lang w:val="ro-MD"/>
        </w:rPr>
        <w:lastRenderedPageBreak/>
        <w:t>IV. CONSTATĂRI</w:t>
      </w:r>
      <w:bookmarkEnd w:id="22"/>
      <w:bookmarkEnd w:id="23"/>
    </w:p>
    <w:p w14:paraId="5F01C11E" w14:textId="121AC211" w:rsidR="00224198" w:rsidRPr="00424F06" w:rsidRDefault="00C23DCE" w:rsidP="005D2EDD">
      <w:pPr>
        <w:pStyle w:val="Heading2"/>
        <w:spacing w:before="0" w:line="276" w:lineRule="auto"/>
        <w:rPr>
          <w:rFonts w:eastAsia="Arial"/>
          <w:sz w:val="28"/>
          <w:szCs w:val="28"/>
          <w:lang w:val="ro-MD"/>
        </w:rPr>
      </w:pPr>
      <w:bookmarkStart w:id="24" w:name="_Toc84512907"/>
      <w:r w:rsidRPr="00257A45">
        <w:rPr>
          <w:rFonts w:eastAsia="Arial"/>
          <w:sz w:val="28"/>
          <w:szCs w:val="28"/>
          <w:lang w:val="ro-MD"/>
        </w:rPr>
        <w:t xml:space="preserve">Obiectivul I: </w:t>
      </w:r>
      <w:r w:rsidR="00B633CC" w:rsidRPr="00257A45">
        <w:rPr>
          <w:rFonts w:eastAsia="Arial"/>
          <w:sz w:val="28"/>
          <w:szCs w:val="28"/>
          <w:lang w:val="ro-MD"/>
        </w:rPr>
        <w:t>Au fost stabilite principii clare de repartizare a veniturilor UTA Găgăuzia între bugetul central și bugetele locale de nivelul I?</w:t>
      </w:r>
      <w:bookmarkEnd w:id="24"/>
    </w:p>
    <w:p w14:paraId="615A7416" w14:textId="62BA901C" w:rsidR="00D26F23" w:rsidRPr="00363CFA" w:rsidRDefault="00B633CC" w:rsidP="00712FF7">
      <w:pPr>
        <w:spacing w:after="0" w:line="276" w:lineRule="auto"/>
        <w:ind w:right="-187" w:firstLine="720"/>
        <w:jc w:val="both"/>
        <w:rPr>
          <w:rFonts w:asciiTheme="majorHAnsi" w:eastAsia="Times New Roman" w:hAnsiTheme="majorHAnsi" w:cstheme="majorHAnsi"/>
          <w:b/>
          <w:sz w:val="24"/>
          <w:szCs w:val="24"/>
          <w:lang w:val="ro-MD"/>
        </w:rPr>
      </w:pPr>
      <w:r w:rsidRPr="00363CFA">
        <w:rPr>
          <w:rFonts w:asciiTheme="majorHAnsi" w:hAnsiTheme="majorHAnsi" w:cstheme="majorHAnsi"/>
          <w:b/>
          <w:i/>
          <w:color w:val="000000" w:themeColor="text1"/>
          <w:sz w:val="24"/>
          <w:szCs w:val="24"/>
          <w:lang w:val="ro-MD"/>
        </w:rPr>
        <w:t xml:space="preserve">Lipsa în cadrul normativ al </w:t>
      </w:r>
      <w:r w:rsidR="00BF620C">
        <w:rPr>
          <w:rFonts w:asciiTheme="majorHAnsi" w:hAnsiTheme="majorHAnsi" w:cstheme="majorHAnsi"/>
          <w:b/>
          <w:i/>
          <w:color w:val="000000" w:themeColor="text1"/>
          <w:sz w:val="24"/>
          <w:szCs w:val="24"/>
          <w:lang w:val="ro-MD"/>
        </w:rPr>
        <w:t>Republicii Moldova a</w:t>
      </w:r>
      <w:r w:rsidRPr="00363CFA">
        <w:rPr>
          <w:rFonts w:asciiTheme="majorHAnsi" w:hAnsiTheme="majorHAnsi" w:cstheme="majorHAnsi"/>
          <w:b/>
          <w:i/>
          <w:color w:val="000000" w:themeColor="text1"/>
          <w:sz w:val="24"/>
          <w:szCs w:val="24"/>
          <w:lang w:val="ro-MD"/>
        </w:rPr>
        <w:t xml:space="preserve"> </w:t>
      </w:r>
      <w:r w:rsidR="00BF620C" w:rsidRPr="00363CFA">
        <w:rPr>
          <w:rFonts w:asciiTheme="majorHAnsi" w:hAnsiTheme="majorHAnsi" w:cstheme="majorHAnsi"/>
          <w:b/>
          <w:i/>
          <w:color w:val="000000" w:themeColor="text1"/>
          <w:sz w:val="24"/>
          <w:szCs w:val="24"/>
          <w:lang w:val="ro-MD"/>
        </w:rPr>
        <w:t xml:space="preserve">prevederilor </w:t>
      </w:r>
      <w:r w:rsidRPr="00363CFA">
        <w:rPr>
          <w:rFonts w:asciiTheme="majorHAnsi" w:hAnsiTheme="majorHAnsi" w:cstheme="majorHAnsi"/>
          <w:b/>
          <w:i/>
          <w:color w:val="000000" w:themeColor="text1"/>
          <w:sz w:val="24"/>
          <w:szCs w:val="24"/>
          <w:lang w:val="ro-MD"/>
        </w:rPr>
        <w:t xml:space="preserve">privind defalcările din impozitele generale de stat și privind transferurile cu destinație generală de la bugetul central al UTA Găgăuzia către bugetul UAT de nivelul I din componența UTA Găgăuzia determină riscul </w:t>
      </w:r>
      <w:r w:rsidR="00BF620C">
        <w:rPr>
          <w:rFonts w:asciiTheme="majorHAnsi" w:hAnsiTheme="majorHAnsi" w:cstheme="majorHAnsi"/>
          <w:b/>
          <w:i/>
          <w:color w:val="000000" w:themeColor="text1"/>
          <w:sz w:val="24"/>
          <w:szCs w:val="24"/>
          <w:lang w:val="ro-MD"/>
        </w:rPr>
        <w:t xml:space="preserve">de </w:t>
      </w:r>
      <w:r w:rsidRPr="00363CFA">
        <w:rPr>
          <w:rFonts w:asciiTheme="majorHAnsi" w:hAnsiTheme="majorHAnsi" w:cstheme="majorHAnsi"/>
          <w:b/>
          <w:i/>
          <w:color w:val="000000" w:themeColor="text1"/>
          <w:sz w:val="24"/>
          <w:szCs w:val="24"/>
          <w:lang w:val="ro-MD"/>
        </w:rPr>
        <w:t>neasigur</w:t>
      </w:r>
      <w:r w:rsidR="00BF620C">
        <w:rPr>
          <w:rFonts w:asciiTheme="majorHAnsi" w:hAnsiTheme="majorHAnsi" w:cstheme="majorHAnsi"/>
          <w:b/>
          <w:i/>
          <w:color w:val="000000" w:themeColor="text1"/>
          <w:sz w:val="24"/>
          <w:szCs w:val="24"/>
          <w:lang w:val="ro-MD"/>
        </w:rPr>
        <w:t>are a</w:t>
      </w:r>
      <w:r w:rsidRPr="00363CFA">
        <w:rPr>
          <w:rFonts w:asciiTheme="majorHAnsi" w:hAnsiTheme="majorHAnsi" w:cstheme="majorHAnsi"/>
          <w:b/>
          <w:i/>
          <w:color w:val="000000" w:themeColor="text1"/>
          <w:sz w:val="24"/>
          <w:szCs w:val="24"/>
          <w:lang w:val="ro-MD"/>
        </w:rPr>
        <w:t xml:space="preserve"> stabilității financiar</w:t>
      </w:r>
      <w:r w:rsidR="00BF620C">
        <w:rPr>
          <w:rFonts w:asciiTheme="majorHAnsi" w:hAnsiTheme="majorHAnsi" w:cstheme="majorHAnsi"/>
          <w:b/>
          <w:i/>
          <w:color w:val="000000" w:themeColor="text1"/>
          <w:sz w:val="24"/>
          <w:szCs w:val="24"/>
          <w:lang w:val="ro-MD"/>
        </w:rPr>
        <w:t>e</w:t>
      </w:r>
      <w:r w:rsidRPr="00363CFA">
        <w:rPr>
          <w:rFonts w:asciiTheme="majorHAnsi" w:hAnsiTheme="majorHAnsi" w:cstheme="majorHAnsi"/>
          <w:b/>
          <w:i/>
          <w:color w:val="000000" w:themeColor="text1"/>
          <w:sz w:val="24"/>
          <w:szCs w:val="24"/>
          <w:lang w:val="ro-MD"/>
        </w:rPr>
        <w:t xml:space="preserve"> a bugetelor locale de nivelul I și poate influența negativ exercitarea atribuțiilor UAT de nivelul I, prevăzute de cadrul normativ. </w:t>
      </w:r>
      <w:r w:rsidR="00D26F23" w:rsidRPr="00363CFA">
        <w:rPr>
          <w:rFonts w:asciiTheme="majorHAnsi" w:hAnsiTheme="majorHAnsi" w:cstheme="majorHAnsi"/>
          <w:b/>
          <w:i/>
          <w:color w:val="000000" w:themeColor="text1"/>
          <w:sz w:val="24"/>
          <w:szCs w:val="24"/>
          <w:lang w:val="ro-MD"/>
        </w:rPr>
        <w:t xml:space="preserve"> </w:t>
      </w:r>
    </w:p>
    <w:p w14:paraId="6624682D" w14:textId="77777777" w:rsidR="006E7D09" w:rsidRPr="00363CFA" w:rsidRDefault="006E7D09" w:rsidP="00712FF7">
      <w:pPr>
        <w:spacing w:after="0" w:line="276" w:lineRule="auto"/>
        <w:jc w:val="both"/>
        <w:rPr>
          <w:rFonts w:asciiTheme="majorHAnsi" w:hAnsiTheme="majorHAnsi" w:cstheme="majorHAnsi"/>
          <w:b/>
          <w:sz w:val="24"/>
          <w:szCs w:val="24"/>
          <w:lang w:val="ro-MD"/>
        </w:rPr>
      </w:pPr>
      <w:r w:rsidRPr="00363CFA">
        <w:rPr>
          <w:rFonts w:asciiTheme="majorHAnsi" w:hAnsiTheme="majorHAnsi" w:cstheme="majorHAnsi"/>
          <w:b/>
          <w:sz w:val="24"/>
          <w:szCs w:val="24"/>
          <w:lang w:val="ro-MD"/>
        </w:rPr>
        <w:t xml:space="preserve">4.1.1. Veniturile Comitetului Executiv al UTA Găgăuzia (bugetul central) </w:t>
      </w:r>
    </w:p>
    <w:p w14:paraId="1DBD6DAD" w14:textId="7AAF71DA" w:rsidR="006E7D09" w:rsidRPr="00363CFA" w:rsidRDefault="006E7D09" w:rsidP="00712FF7">
      <w:pPr>
        <w:spacing w:after="0" w:line="276" w:lineRule="auto"/>
        <w:ind w:firstLine="567"/>
        <w:jc w:val="both"/>
        <w:rPr>
          <w:rFonts w:asciiTheme="majorHAnsi" w:eastAsia="Times New Roman" w:hAnsiTheme="majorHAnsi" w:cstheme="majorHAnsi"/>
          <w:b/>
          <w:sz w:val="24"/>
          <w:szCs w:val="24"/>
          <w:lang w:val="ro-MD"/>
        </w:rPr>
      </w:pPr>
      <w:r w:rsidRPr="00363CFA">
        <w:rPr>
          <w:rFonts w:asciiTheme="majorHAnsi" w:hAnsiTheme="majorHAnsi" w:cstheme="majorHAnsi"/>
          <w:sz w:val="24"/>
          <w:szCs w:val="24"/>
          <w:lang w:val="ro-MD"/>
        </w:rPr>
        <w:t>Potrivit prevederilor actelor normative în vigoare</w:t>
      </w:r>
      <w:r w:rsidRPr="00363CFA">
        <w:rPr>
          <w:rStyle w:val="FootnoteReference"/>
          <w:rFonts w:asciiTheme="majorHAnsi" w:hAnsiTheme="majorHAnsi" w:cstheme="majorHAnsi"/>
          <w:sz w:val="24"/>
          <w:szCs w:val="24"/>
          <w:lang w:val="ro-MD"/>
        </w:rPr>
        <w:footnoteReference w:id="12"/>
      </w:r>
      <w:r w:rsidRPr="00363CFA">
        <w:rPr>
          <w:rFonts w:asciiTheme="majorHAnsi" w:hAnsiTheme="majorHAnsi" w:cstheme="majorHAnsi"/>
          <w:sz w:val="24"/>
          <w:szCs w:val="24"/>
          <w:lang w:val="ro-MD"/>
        </w:rPr>
        <w:t>, v</w:t>
      </w:r>
      <w:r w:rsidRPr="00363CFA">
        <w:rPr>
          <w:rFonts w:asciiTheme="majorHAnsi" w:eastAsia="Times New Roman" w:hAnsiTheme="majorHAnsi" w:cstheme="majorHAnsi"/>
          <w:sz w:val="24"/>
          <w:szCs w:val="24"/>
          <w:lang w:val="ro-MD"/>
        </w:rPr>
        <w:t>eniturile bugetului central al unită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ii teritoriale autonome cu statut juridic special se formează din:</w:t>
      </w:r>
      <w:r w:rsidR="00747BAB">
        <w:rPr>
          <w:rFonts w:asciiTheme="majorHAnsi" w:eastAsia="Times New Roman" w:hAnsiTheme="majorHAnsi" w:cstheme="majorHAnsi"/>
          <w:sz w:val="24"/>
          <w:szCs w:val="24"/>
          <w:lang w:val="ro-MD"/>
        </w:rPr>
        <w:t xml:space="preserve"> </w:t>
      </w:r>
      <w:r w:rsidRPr="00363CFA">
        <w:rPr>
          <w:rFonts w:asciiTheme="majorHAnsi" w:eastAsia="Times New Roman" w:hAnsiTheme="majorHAnsi" w:cstheme="majorHAnsi"/>
          <w:b/>
          <w:sz w:val="24"/>
          <w:szCs w:val="24"/>
          <w:lang w:val="ro-MD"/>
        </w:rPr>
        <w:t>1)</w:t>
      </w:r>
      <w:r w:rsidRPr="00363CFA">
        <w:rPr>
          <w:rFonts w:asciiTheme="majorHAnsi" w:eastAsia="Times New Roman" w:hAnsiTheme="majorHAnsi" w:cstheme="majorHAnsi"/>
          <w:sz w:val="24"/>
          <w:szCs w:val="24"/>
          <w:lang w:val="ro-MD"/>
        </w:rPr>
        <w:t xml:space="preserve"> </w:t>
      </w:r>
      <w:r w:rsidRPr="00363CFA">
        <w:rPr>
          <w:rFonts w:asciiTheme="majorHAnsi" w:eastAsia="Times New Roman" w:hAnsiTheme="majorHAnsi" w:cstheme="majorHAnsi"/>
          <w:b/>
          <w:sz w:val="24"/>
          <w:szCs w:val="24"/>
          <w:lang w:val="ro-MD"/>
        </w:rPr>
        <w:t>venituri generale</w:t>
      </w:r>
      <w:r w:rsidRPr="00363CFA">
        <w:rPr>
          <w:rStyle w:val="FootnoteReference"/>
          <w:rFonts w:asciiTheme="majorHAnsi" w:eastAsia="Times New Roman" w:hAnsiTheme="majorHAnsi" w:cstheme="majorHAnsi"/>
          <w:b/>
          <w:sz w:val="24"/>
          <w:szCs w:val="24"/>
          <w:lang w:val="ro-MD"/>
        </w:rPr>
        <w:footnoteReference w:id="13"/>
      </w:r>
      <w:r w:rsidRPr="00363CFA">
        <w:rPr>
          <w:rFonts w:asciiTheme="majorHAnsi" w:eastAsia="Times New Roman" w:hAnsiTheme="majorHAnsi" w:cstheme="majorHAnsi"/>
          <w:b/>
          <w:sz w:val="24"/>
          <w:szCs w:val="24"/>
          <w:lang w:val="ro-MD"/>
        </w:rPr>
        <w:t>; 2) venituri colectate;</w:t>
      </w:r>
      <w:r w:rsidRPr="00363CFA">
        <w:rPr>
          <w:rFonts w:asciiTheme="majorHAnsi" w:eastAsia="Times New Roman" w:hAnsiTheme="majorHAnsi" w:cstheme="majorHAnsi"/>
          <w:sz w:val="24"/>
          <w:szCs w:val="24"/>
          <w:lang w:val="ro-MD"/>
        </w:rPr>
        <w:t xml:space="preserve"> </w:t>
      </w:r>
      <w:r w:rsidRPr="00363CFA">
        <w:rPr>
          <w:rFonts w:asciiTheme="majorHAnsi" w:eastAsia="Times New Roman" w:hAnsiTheme="majorHAnsi" w:cstheme="majorHAnsi"/>
          <w:b/>
          <w:sz w:val="24"/>
          <w:szCs w:val="24"/>
          <w:lang w:val="ro-MD"/>
        </w:rPr>
        <w:t>3) granturi pentru proiecte finan</w:t>
      </w:r>
      <w:r w:rsidR="0069374B" w:rsidRPr="00363CFA">
        <w:rPr>
          <w:rFonts w:asciiTheme="majorHAnsi" w:eastAsia="Times New Roman" w:hAnsiTheme="majorHAnsi" w:cstheme="majorHAnsi"/>
          <w:b/>
          <w:sz w:val="24"/>
          <w:szCs w:val="24"/>
          <w:lang w:val="ro-MD"/>
        </w:rPr>
        <w:t>ț</w:t>
      </w:r>
      <w:r w:rsidRPr="00363CFA">
        <w:rPr>
          <w:rFonts w:asciiTheme="majorHAnsi" w:eastAsia="Times New Roman" w:hAnsiTheme="majorHAnsi" w:cstheme="majorHAnsi"/>
          <w:b/>
          <w:sz w:val="24"/>
          <w:szCs w:val="24"/>
          <w:lang w:val="ro-MD"/>
        </w:rPr>
        <w:t xml:space="preserve">ate din surse externe. </w:t>
      </w:r>
    </w:p>
    <w:p w14:paraId="3CDAF6E2" w14:textId="01E6D235" w:rsidR="006E7D09" w:rsidRPr="00363CFA" w:rsidRDefault="006E7D09" w:rsidP="00767ED8">
      <w:pPr>
        <w:spacing w:after="0" w:line="276" w:lineRule="auto"/>
        <w:jc w:val="center"/>
        <w:rPr>
          <w:rFonts w:asciiTheme="majorHAnsi" w:eastAsia="Calibri" w:hAnsiTheme="majorHAnsi" w:cstheme="majorHAnsi"/>
          <w:b/>
          <w:i/>
          <w:sz w:val="24"/>
          <w:szCs w:val="24"/>
          <w:lang w:val="ro-MD"/>
        </w:rPr>
      </w:pPr>
      <w:r w:rsidRPr="00363CFA">
        <w:rPr>
          <w:rFonts w:asciiTheme="majorHAnsi" w:eastAsia="Calibri" w:hAnsiTheme="majorHAnsi" w:cstheme="majorHAnsi"/>
          <w:b/>
          <w:i/>
          <w:sz w:val="24"/>
          <w:szCs w:val="24"/>
          <w:lang w:val="ro-MD"/>
        </w:rPr>
        <w:t xml:space="preserve">Veniturile executate ale Comitetului Executiv (bugetul central) în perioada </w:t>
      </w:r>
      <w:r w:rsidR="00C66353">
        <w:rPr>
          <w:rFonts w:asciiTheme="majorHAnsi" w:eastAsia="Calibri" w:hAnsiTheme="majorHAnsi" w:cstheme="majorHAnsi"/>
          <w:b/>
          <w:i/>
          <w:sz w:val="24"/>
          <w:szCs w:val="24"/>
          <w:lang w:val="ro-MD"/>
        </w:rPr>
        <w:t xml:space="preserve">anilor </w:t>
      </w:r>
      <w:r w:rsidRPr="00363CFA">
        <w:rPr>
          <w:rFonts w:asciiTheme="majorHAnsi" w:eastAsia="Calibri" w:hAnsiTheme="majorHAnsi" w:cstheme="majorHAnsi"/>
          <w:b/>
          <w:i/>
          <w:sz w:val="24"/>
          <w:szCs w:val="24"/>
          <w:lang w:val="ro-MD"/>
        </w:rPr>
        <w:t>2016-2020</w:t>
      </w:r>
    </w:p>
    <w:p w14:paraId="373E0109" w14:textId="77777777" w:rsidR="006E7D09" w:rsidRPr="00363CFA" w:rsidRDefault="006E7D09" w:rsidP="00767ED8">
      <w:pPr>
        <w:spacing w:after="0" w:line="276" w:lineRule="auto"/>
        <w:jc w:val="right"/>
        <w:rPr>
          <w:rFonts w:asciiTheme="majorHAnsi" w:eastAsia="Calibri" w:hAnsiTheme="majorHAnsi" w:cstheme="majorHAnsi"/>
          <w:b/>
          <w:i/>
          <w:sz w:val="20"/>
          <w:szCs w:val="20"/>
          <w:lang w:val="ro-MD"/>
        </w:rPr>
      </w:pPr>
      <w:r w:rsidRPr="00363CFA">
        <w:rPr>
          <w:rFonts w:asciiTheme="majorHAnsi" w:eastAsia="Calibri" w:hAnsiTheme="majorHAnsi" w:cstheme="majorHAnsi"/>
          <w:b/>
          <w:i/>
          <w:sz w:val="20"/>
          <w:szCs w:val="20"/>
          <w:lang w:val="ro-MD"/>
        </w:rPr>
        <w:t>(mii lei)</w:t>
      </w:r>
    </w:p>
    <w:tbl>
      <w:tblPr>
        <w:tblStyle w:val="TableGrid"/>
        <w:tblW w:w="9466" w:type="dxa"/>
        <w:tblInd w:w="-289" w:type="dxa"/>
        <w:tblLayout w:type="fixed"/>
        <w:tblLook w:val="04A0" w:firstRow="1" w:lastRow="0" w:firstColumn="1" w:lastColumn="0" w:noHBand="0" w:noVBand="1"/>
      </w:tblPr>
      <w:tblGrid>
        <w:gridCol w:w="463"/>
        <w:gridCol w:w="1664"/>
        <w:gridCol w:w="824"/>
        <w:gridCol w:w="594"/>
        <w:gridCol w:w="856"/>
        <w:gridCol w:w="610"/>
        <w:gridCol w:w="825"/>
        <w:gridCol w:w="653"/>
        <w:gridCol w:w="6"/>
        <w:gridCol w:w="825"/>
        <w:gridCol w:w="695"/>
        <w:gridCol w:w="12"/>
        <w:gridCol w:w="824"/>
        <w:gridCol w:w="597"/>
        <w:gridCol w:w="18"/>
      </w:tblGrid>
      <w:tr w:rsidR="006E7D09" w:rsidRPr="00712FF7" w14:paraId="57C54EC4" w14:textId="77777777" w:rsidTr="006E7D09">
        <w:trPr>
          <w:gridAfter w:val="1"/>
          <w:wAfter w:w="18" w:type="dxa"/>
          <w:trHeight w:val="120"/>
        </w:trPr>
        <w:tc>
          <w:tcPr>
            <w:tcW w:w="463" w:type="dxa"/>
            <w:vMerge w:val="restart"/>
          </w:tcPr>
          <w:p w14:paraId="60BA944E" w14:textId="77777777" w:rsidR="006E7D09" w:rsidRPr="00712FF7" w:rsidRDefault="006E7D09" w:rsidP="00767ED8">
            <w:pPr>
              <w:jc w:val="both"/>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 xml:space="preserve">Cod </w:t>
            </w:r>
          </w:p>
        </w:tc>
        <w:tc>
          <w:tcPr>
            <w:tcW w:w="1664" w:type="dxa"/>
            <w:vMerge w:val="restart"/>
          </w:tcPr>
          <w:p w14:paraId="70D84C99" w14:textId="77777777" w:rsidR="006E7D09" w:rsidRPr="00712FF7" w:rsidRDefault="006E7D09" w:rsidP="00767ED8">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Indicatorul</w:t>
            </w:r>
          </w:p>
        </w:tc>
        <w:tc>
          <w:tcPr>
            <w:tcW w:w="1418" w:type="dxa"/>
            <w:gridSpan w:val="2"/>
          </w:tcPr>
          <w:p w14:paraId="34FF88BD" w14:textId="77777777" w:rsidR="006E7D09" w:rsidRPr="00712FF7" w:rsidRDefault="006E7D09" w:rsidP="00767ED8">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Anul 2016</w:t>
            </w:r>
          </w:p>
        </w:tc>
        <w:tc>
          <w:tcPr>
            <w:tcW w:w="1466" w:type="dxa"/>
            <w:gridSpan w:val="2"/>
          </w:tcPr>
          <w:p w14:paraId="4A2D7794" w14:textId="77777777" w:rsidR="006E7D09" w:rsidRPr="00712FF7" w:rsidRDefault="006E7D09" w:rsidP="00767ED8">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Anul 2017</w:t>
            </w:r>
          </w:p>
        </w:tc>
        <w:tc>
          <w:tcPr>
            <w:tcW w:w="1478" w:type="dxa"/>
            <w:gridSpan w:val="2"/>
          </w:tcPr>
          <w:p w14:paraId="4D513617" w14:textId="77777777" w:rsidR="006E7D09" w:rsidRPr="00712FF7" w:rsidRDefault="006E7D09" w:rsidP="00767ED8">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Anul 2018</w:t>
            </w:r>
          </w:p>
        </w:tc>
        <w:tc>
          <w:tcPr>
            <w:tcW w:w="1526" w:type="dxa"/>
            <w:gridSpan w:val="3"/>
          </w:tcPr>
          <w:p w14:paraId="3F94FB94" w14:textId="7FEE11CA" w:rsidR="006E7D09" w:rsidRPr="00712FF7" w:rsidRDefault="00C66353" w:rsidP="00767ED8">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A</w:t>
            </w:r>
            <w:r w:rsidR="006E7D09" w:rsidRPr="00712FF7">
              <w:rPr>
                <w:rFonts w:asciiTheme="majorHAnsi" w:eastAsia="Calibri" w:hAnsiTheme="majorHAnsi" w:cstheme="majorHAnsi"/>
                <w:b/>
                <w:i/>
                <w:sz w:val="16"/>
                <w:szCs w:val="16"/>
                <w:lang w:val="ro-MD"/>
              </w:rPr>
              <w:t>nul 2019</w:t>
            </w:r>
          </w:p>
        </w:tc>
        <w:tc>
          <w:tcPr>
            <w:tcW w:w="1433" w:type="dxa"/>
            <w:gridSpan w:val="3"/>
          </w:tcPr>
          <w:p w14:paraId="518433D5" w14:textId="6B2D6C10" w:rsidR="006E7D09" w:rsidRPr="00712FF7" w:rsidRDefault="00C66353" w:rsidP="00767ED8">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A</w:t>
            </w:r>
            <w:r w:rsidR="006E7D09" w:rsidRPr="00712FF7">
              <w:rPr>
                <w:rFonts w:asciiTheme="majorHAnsi" w:eastAsia="Calibri" w:hAnsiTheme="majorHAnsi" w:cstheme="majorHAnsi"/>
                <w:b/>
                <w:i/>
                <w:sz w:val="16"/>
                <w:szCs w:val="16"/>
                <w:lang w:val="ro-MD"/>
              </w:rPr>
              <w:t>nul 2020</w:t>
            </w:r>
          </w:p>
        </w:tc>
      </w:tr>
      <w:tr w:rsidR="006E7D09" w:rsidRPr="00712FF7" w14:paraId="6AF3CD1B" w14:textId="77777777" w:rsidTr="006E7D09">
        <w:tc>
          <w:tcPr>
            <w:tcW w:w="463" w:type="dxa"/>
            <w:vMerge/>
          </w:tcPr>
          <w:p w14:paraId="476B8D9E" w14:textId="77777777" w:rsidR="006E7D09" w:rsidRPr="00712FF7" w:rsidRDefault="006E7D09" w:rsidP="00767ED8">
            <w:pPr>
              <w:jc w:val="both"/>
              <w:rPr>
                <w:rFonts w:asciiTheme="majorHAnsi" w:eastAsia="Calibri" w:hAnsiTheme="majorHAnsi" w:cstheme="majorHAnsi"/>
                <w:b/>
                <w:i/>
                <w:sz w:val="16"/>
                <w:szCs w:val="16"/>
                <w:lang w:val="ro-MD"/>
              </w:rPr>
            </w:pPr>
          </w:p>
        </w:tc>
        <w:tc>
          <w:tcPr>
            <w:tcW w:w="1664" w:type="dxa"/>
            <w:vMerge/>
          </w:tcPr>
          <w:p w14:paraId="0424CD21" w14:textId="77777777" w:rsidR="006E7D09" w:rsidRPr="00712FF7" w:rsidRDefault="006E7D09" w:rsidP="00767ED8">
            <w:pPr>
              <w:jc w:val="both"/>
              <w:rPr>
                <w:rFonts w:asciiTheme="majorHAnsi" w:eastAsia="Calibri" w:hAnsiTheme="majorHAnsi" w:cstheme="majorHAnsi"/>
                <w:b/>
                <w:i/>
                <w:sz w:val="16"/>
                <w:szCs w:val="16"/>
                <w:lang w:val="ro-MD"/>
              </w:rPr>
            </w:pPr>
          </w:p>
        </w:tc>
        <w:tc>
          <w:tcPr>
            <w:tcW w:w="824" w:type="dxa"/>
          </w:tcPr>
          <w:p w14:paraId="12DE1F97" w14:textId="6CC86327"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Suma</w:t>
            </w:r>
          </w:p>
        </w:tc>
        <w:tc>
          <w:tcPr>
            <w:tcW w:w="594" w:type="dxa"/>
          </w:tcPr>
          <w:p w14:paraId="6E6EAAF6" w14:textId="0CE8BACB"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Ponderea</w:t>
            </w:r>
            <w:r w:rsidR="00C66353" w:rsidRPr="00712FF7">
              <w:rPr>
                <w:rFonts w:asciiTheme="majorHAnsi" w:eastAsia="Calibri" w:hAnsiTheme="majorHAnsi" w:cstheme="majorHAnsi"/>
                <w:b/>
                <w:i/>
                <w:sz w:val="16"/>
                <w:szCs w:val="16"/>
                <w:lang w:val="ro-MD"/>
              </w:rPr>
              <w:t>,</w:t>
            </w:r>
            <w:r w:rsidRPr="00712FF7">
              <w:rPr>
                <w:rFonts w:asciiTheme="majorHAnsi" w:eastAsia="Calibri" w:hAnsiTheme="majorHAnsi" w:cstheme="majorHAnsi"/>
                <w:b/>
                <w:i/>
                <w:sz w:val="16"/>
                <w:szCs w:val="16"/>
                <w:lang w:val="ro-MD"/>
              </w:rPr>
              <w:t xml:space="preserve"> %</w:t>
            </w:r>
          </w:p>
        </w:tc>
        <w:tc>
          <w:tcPr>
            <w:tcW w:w="856" w:type="dxa"/>
          </w:tcPr>
          <w:p w14:paraId="26A187AB" w14:textId="77777777"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Suma</w:t>
            </w:r>
          </w:p>
        </w:tc>
        <w:tc>
          <w:tcPr>
            <w:tcW w:w="610" w:type="dxa"/>
          </w:tcPr>
          <w:p w14:paraId="1DDE7EF8" w14:textId="74C90F6D"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Ponderea</w:t>
            </w:r>
            <w:r w:rsidR="00C66353" w:rsidRPr="00712FF7">
              <w:rPr>
                <w:rFonts w:asciiTheme="majorHAnsi" w:eastAsia="Calibri" w:hAnsiTheme="majorHAnsi" w:cstheme="majorHAnsi"/>
                <w:b/>
                <w:i/>
                <w:sz w:val="16"/>
                <w:szCs w:val="16"/>
                <w:lang w:val="ro-MD"/>
              </w:rPr>
              <w:t>,</w:t>
            </w:r>
            <w:r w:rsidRPr="00712FF7">
              <w:rPr>
                <w:rFonts w:asciiTheme="majorHAnsi" w:eastAsia="Calibri" w:hAnsiTheme="majorHAnsi" w:cstheme="majorHAnsi"/>
                <w:b/>
                <w:i/>
                <w:sz w:val="16"/>
                <w:szCs w:val="16"/>
                <w:lang w:val="ro-MD"/>
              </w:rPr>
              <w:t xml:space="preserve"> %</w:t>
            </w:r>
          </w:p>
        </w:tc>
        <w:tc>
          <w:tcPr>
            <w:tcW w:w="825" w:type="dxa"/>
          </w:tcPr>
          <w:p w14:paraId="7BB9AD62" w14:textId="77777777"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Suma</w:t>
            </w:r>
          </w:p>
        </w:tc>
        <w:tc>
          <w:tcPr>
            <w:tcW w:w="659" w:type="dxa"/>
            <w:gridSpan w:val="2"/>
          </w:tcPr>
          <w:p w14:paraId="1D3D78C6" w14:textId="657D0809"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Ponderea</w:t>
            </w:r>
            <w:r w:rsidR="00C66353" w:rsidRPr="00712FF7">
              <w:rPr>
                <w:rFonts w:asciiTheme="majorHAnsi" w:eastAsia="Calibri" w:hAnsiTheme="majorHAnsi" w:cstheme="majorHAnsi"/>
                <w:b/>
                <w:i/>
                <w:sz w:val="16"/>
                <w:szCs w:val="16"/>
                <w:lang w:val="ro-MD"/>
              </w:rPr>
              <w:t>,</w:t>
            </w:r>
            <w:r w:rsidRPr="00712FF7">
              <w:rPr>
                <w:rFonts w:asciiTheme="majorHAnsi" w:eastAsia="Calibri" w:hAnsiTheme="majorHAnsi" w:cstheme="majorHAnsi"/>
                <w:b/>
                <w:i/>
                <w:sz w:val="16"/>
                <w:szCs w:val="16"/>
                <w:lang w:val="ro-MD"/>
              </w:rPr>
              <w:t xml:space="preserve"> %</w:t>
            </w:r>
          </w:p>
        </w:tc>
        <w:tc>
          <w:tcPr>
            <w:tcW w:w="825" w:type="dxa"/>
          </w:tcPr>
          <w:p w14:paraId="5A4EF442" w14:textId="5E90B777" w:rsidR="006E7D09" w:rsidRPr="00712FF7" w:rsidRDefault="006E7D09" w:rsidP="00241575">
            <w:pPr>
              <w:tabs>
                <w:tab w:val="right" w:pos="609"/>
              </w:tabs>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Suma</w:t>
            </w:r>
          </w:p>
        </w:tc>
        <w:tc>
          <w:tcPr>
            <w:tcW w:w="707" w:type="dxa"/>
            <w:gridSpan w:val="2"/>
          </w:tcPr>
          <w:p w14:paraId="21FD67E3" w14:textId="6CFE130F"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Ponderea</w:t>
            </w:r>
            <w:r w:rsidR="00C66353" w:rsidRPr="00712FF7">
              <w:rPr>
                <w:rFonts w:asciiTheme="majorHAnsi" w:eastAsia="Calibri" w:hAnsiTheme="majorHAnsi" w:cstheme="majorHAnsi"/>
                <w:b/>
                <w:i/>
                <w:sz w:val="16"/>
                <w:szCs w:val="16"/>
                <w:lang w:val="ro-MD"/>
              </w:rPr>
              <w:t>,</w:t>
            </w:r>
            <w:r w:rsidRPr="00712FF7">
              <w:rPr>
                <w:rFonts w:asciiTheme="majorHAnsi" w:eastAsia="Calibri" w:hAnsiTheme="majorHAnsi" w:cstheme="majorHAnsi"/>
                <w:b/>
                <w:i/>
                <w:sz w:val="16"/>
                <w:szCs w:val="16"/>
                <w:lang w:val="ro-MD"/>
              </w:rPr>
              <w:t xml:space="preserve"> %</w:t>
            </w:r>
          </w:p>
        </w:tc>
        <w:tc>
          <w:tcPr>
            <w:tcW w:w="824" w:type="dxa"/>
          </w:tcPr>
          <w:p w14:paraId="11873620" w14:textId="77777777"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Suma</w:t>
            </w:r>
          </w:p>
        </w:tc>
        <w:tc>
          <w:tcPr>
            <w:tcW w:w="615" w:type="dxa"/>
            <w:gridSpan w:val="2"/>
          </w:tcPr>
          <w:p w14:paraId="0B34281E" w14:textId="50498752" w:rsidR="006E7D09" w:rsidRPr="00712FF7" w:rsidRDefault="006E7D09" w:rsidP="00241575">
            <w:pPr>
              <w:jc w:val="center"/>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Ponderea</w:t>
            </w:r>
            <w:r w:rsidR="00C66353" w:rsidRPr="00712FF7">
              <w:rPr>
                <w:rFonts w:asciiTheme="majorHAnsi" w:eastAsia="Calibri" w:hAnsiTheme="majorHAnsi" w:cstheme="majorHAnsi"/>
                <w:b/>
                <w:i/>
                <w:sz w:val="16"/>
                <w:szCs w:val="16"/>
                <w:lang w:val="ro-MD"/>
              </w:rPr>
              <w:t>,</w:t>
            </w:r>
            <w:r w:rsidRPr="00712FF7">
              <w:rPr>
                <w:rFonts w:asciiTheme="majorHAnsi" w:eastAsia="Calibri" w:hAnsiTheme="majorHAnsi" w:cstheme="majorHAnsi"/>
                <w:b/>
                <w:i/>
                <w:sz w:val="16"/>
                <w:szCs w:val="16"/>
                <w:lang w:val="ro-MD"/>
              </w:rPr>
              <w:t xml:space="preserve"> %</w:t>
            </w:r>
          </w:p>
        </w:tc>
      </w:tr>
      <w:tr w:rsidR="006E7D09" w:rsidRPr="00712FF7" w14:paraId="49765A47" w14:textId="77777777" w:rsidTr="006E7D09">
        <w:tc>
          <w:tcPr>
            <w:tcW w:w="463" w:type="dxa"/>
          </w:tcPr>
          <w:p w14:paraId="26106638" w14:textId="77777777" w:rsidR="006E7D09" w:rsidRPr="00712FF7" w:rsidRDefault="006E7D09" w:rsidP="00767ED8">
            <w:pPr>
              <w:jc w:val="both"/>
              <w:rPr>
                <w:rFonts w:asciiTheme="majorHAnsi" w:eastAsia="Calibri" w:hAnsiTheme="majorHAnsi" w:cstheme="majorHAnsi"/>
                <w:b/>
                <w:i/>
                <w:sz w:val="16"/>
                <w:szCs w:val="16"/>
                <w:lang w:val="ro-MD"/>
              </w:rPr>
            </w:pPr>
          </w:p>
        </w:tc>
        <w:tc>
          <w:tcPr>
            <w:tcW w:w="1664" w:type="dxa"/>
          </w:tcPr>
          <w:p w14:paraId="5E2E2AEA" w14:textId="77777777" w:rsidR="006E7D09" w:rsidRPr="00712FF7" w:rsidRDefault="006E7D09" w:rsidP="00767ED8">
            <w:pPr>
              <w:jc w:val="both"/>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 xml:space="preserve">Venituri </w:t>
            </w:r>
          </w:p>
        </w:tc>
        <w:tc>
          <w:tcPr>
            <w:tcW w:w="824" w:type="dxa"/>
          </w:tcPr>
          <w:p w14:paraId="2C31322B"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503377,8</w:t>
            </w:r>
          </w:p>
        </w:tc>
        <w:tc>
          <w:tcPr>
            <w:tcW w:w="594" w:type="dxa"/>
          </w:tcPr>
          <w:p w14:paraId="765E6952"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100</w:t>
            </w:r>
          </w:p>
        </w:tc>
        <w:tc>
          <w:tcPr>
            <w:tcW w:w="856" w:type="dxa"/>
          </w:tcPr>
          <w:p w14:paraId="1EFB567E"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646176,6</w:t>
            </w:r>
          </w:p>
        </w:tc>
        <w:tc>
          <w:tcPr>
            <w:tcW w:w="610" w:type="dxa"/>
          </w:tcPr>
          <w:p w14:paraId="2B31E23D"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100</w:t>
            </w:r>
          </w:p>
        </w:tc>
        <w:tc>
          <w:tcPr>
            <w:tcW w:w="825" w:type="dxa"/>
          </w:tcPr>
          <w:p w14:paraId="33C0F60F"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682683,8</w:t>
            </w:r>
          </w:p>
        </w:tc>
        <w:tc>
          <w:tcPr>
            <w:tcW w:w="659" w:type="dxa"/>
            <w:gridSpan w:val="2"/>
          </w:tcPr>
          <w:p w14:paraId="0CAC6443"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100</w:t>
            </w:r>
          </w:p>
        </w:tc>
        <w:tc>
          <w:tcPr>
            <w:tcW w:w="825" w:type="dxa"/>
          </w:tcPr>
          <w:p w14:paraId="4C8F0467"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815622,7</w:t>
            </w:r>
          </w:p>
        </w:tc>
        <w:tc>
          <w:tcPr>
            <w:tcW w:w="707" w:type="dxa"/>
            <w:gridSpan w:val="2"/>
          </w:tcPr>
          <w:p w14:paraId="25A8C7C0"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100</w:t>
            </w:r>
          </w:p>
        </w:tc>
        <w:tc>
          <w:tcPr>
            <w:tcW w:w="824" w:type="dxa"/>
          </w:tcPr>
          <w:p w14:paraId="5703CC8B"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798048,0</w:t>
            </w:r>
          </w:p>
        </w:tc>
        <w:tc>
          <w:tcPr>
            <w:tcW w:w="615" w:type="dxa"/>
            <w:gridSpan w:val="2"/>
          </w:tcPr>
          <w:p w14:paraId="47CAC863" w14:textId="77777777" w:rsidR="006E7D09" w:rsidRPr="00712FF7" w:rsidRDefault="006E7D09" w:rsidP="00767ED8">
            <w:pPr>
              <w:jc w:val="right"/>
              <w:rPr>
                <w:rFonts w:asciiTheme="majorHAnsi" w:eastAsia="Calibri" w:hAnsiTheme="majorHAnsi" w:cstheme="majorHAnsi"/>
                <w:b/>
                <w:i/>
                <w:sz w:val="16"/>
                <w:szCs w:val="16"/>
                <w:lang w:val="ro-MD"/>
              </w:rPr>
            </w:pPr>
            <w:r w:rsidRPr="00712FF7">
              <w:rPr>
                <w:rFonts w:asciiTheme="majorHAnsi" w:eastAsia="Calibri" w:hAnsiTheme="majorHAnsi" w:cstheme="majorHAnsi"/>
                <w:b/>
                <w:i/>
                <w:sz w:val="16"/>
                <w:szCs w:val="16"/>
                <w:lang w:val="ro-MD"/>
              </w:rPr>
              <w:t>100</w:t>
            </w:r>
          </w:p>
        </w:tc>
      </w:tr>
      <w:tr w:rsidR="006E7D09" w:rsidRPr="00712FF7" w14:paraId="35B86F27" w14:textId="77777777" w:rsidTr="006E7D09">
        <w:tc>
          <w:tcPr>
            <w:tcW w:w="463" w:type="dxa"/>
          </w:tcPr>
          <w:p w14:paraId="5C72273D" w14:textId="77777777" w:rsidR="006E7D09" w:rsidRPr="00712FF7" w:rsidRDefault="006E7D09" w:rsidP="00767ED8">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110</w:t>
            </w:r>
          </w:p>
        </w:tc>
        <w:tc>
          <w:tcPr>
            <w:tcW w:w="1664" w:type="dxa"/>
          </w:tcPr>
          <w:p w14:paraId="22583A03" w14:textId="77777777" w:rsidR="006E7D09" w:rsidRPr="00712FF7" w:rsidRDefault="006E7D09" w:rsidP="00767ED8">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 xml:space="preserve">Impozite </w:t>
            </w:r>
            <w:r w:rsidR="0069374B" w:rsidRPr="00712FF7">
              <w:rPr>
                <w:rFonts w:asciiTheme="majorHAnsi" w:eastAsia="Calibri" w:hAnsiTheme="majorHAnsi" w:cstheme="majorHAnsi"/>
                <w:i/>
                <w:sz w:val="16"/>
                <w:szCs w:val="16"/>
                <w:lang w:val="ro-MD"/>
              </w:rPr>
              <w:t>ș</w:t>
            </w:r>
            <w:r w:rsidRPr="00712FF7">
              <w:rPr>
                <w:rFonts w:asciiTheme="majorHAnsi" w:eastAsia="Calibri" w:hAnsiTheme="majorHAnsi" w:cstheme="majorHAnsi"/>
                <w:i/>
                <w:sz w:val="16"/>
                <w:szCs w:val="16"/>
                <w:lang w:val="ro-MD"/>
              </w:rPr>
              <w:t>i taxe</w:t>
            </w:r>
          </w:p>
        </w:tc>
        <w:tc>
          <w:tcPr>
            <w:tcW w:w="824" w:type="dxa"/>
          </w:tcPr>
          <w:p w14:paraId="2DB63951"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154415,1</w:t>
            </w:r>
          </w:p>
        </w:tc>
        <w:tc>
          <w:tcPr>
            <w:tcW w:w="594" w:type="dxa"/>
          </w:tcPr>
          <w:p w14:paraId="42C1A30E"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30,7</w:t>
            </w:r>
          </w:p>
        </w:tc>
        <w:tc>
          <w:tcPr>
            <w:tcW w:w="856" w:type="dxa"/>
          </w:tcPr>
          <w:p w14:paraId="199926A1"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217292,8</w:t>
            </w:r>
          </w:p>
        </w:tc>
        <w:tc>
          <w:tcPr>
            <w:tcW w:w="610" w:type="dxa"/>
          </w:tcPr>
          <w:p w14:paraId="236BC076"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33,6</w:t>
            </w:r>
          </w:p>
        </w:tc>
        <w:tc>
          <w:tcPr>
            <w:tcW w:w="825" w:type="dxa"/>
          </w:tcPr>
          <w:p w14:paraId="77C33DC3"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261043,4</w:t>
            </w:r>
          </w:p>
        </w:tc>
        <w:tc>
          <w:tcPr>
            <w:tcW w:w="659" w:type="dxa"/>
            <w:gridSpan w:val="2"/>
          </w:tcPr>
          <w:p w14:paraId="18256C4F"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38,2</w:t>
            </w:r>
          </w:p>
        </w:tc>
        <w:tc>
          <w:tcPr>
            <w:tcW w:w="825" w:type="dxa"/>
          </w:tcPr>
          <w:p w14:paraId="6EB8DFF3"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241602,2</w:t>
            </w:r>
          </w:p>
        </w:tc>
        <w:tc>
          <w:tcPr>
            <w:tcW w:w="707" w:type="dxa"/>
            <w:gridSpan w:val="2"/>
          </w:tcPr>
          <w:p w14:paraId="45745188"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29,6</w:t>
            </w:r>
          </w:p>
        </w:tc>
        <w:tc>
          <w:tcPr>
            <w:tcW w:w="824" w:type="dxa"/>
          </w:tcPr>
          <w:p w14:paraId="1A68A9BF"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228496,9</w:t>
            </w:r>
          </w:p>
        </w:tc>
        <w:tc>
          <w:tcPr>
            <w:tcW w:w="615" w:type="dxa"/>
            <w:gridSpan w:val="2"/>
          </w:tcPr>
          <w:p w14:paraId="3C44C7F9"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28,6</w:t>
            </w:r>
          </w:p>
        </w:tc>
      </w:tr>
      <w:tr w:rsidR="006E7D09" w:rsidRPr="00712FF7" w14:paraId="35087593" w14:textId="77777777" w:rsidTr="006E7D09">
        <w:tc>
          <w:tcPr>
            <w:tcW w:w="463" w:type="dxa"/>
          </w:tcPr>
          <w:p w14:paraId="7F8D00E2" w14:textId="77777777" w:rsidR="006E7D09" w:rsidRPr="00712FF7" w:rsidRDefault="006E7D09" w:rsidP="00767ED8">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130</w:t>
            </w:r>
          </w:p>
        </w:tc>
        <w:tc>
          <w:tcPr>
            <w:tcW w:w="1664" w:type="dxa"/>
          </w:tcPr>
          <w:p w14:paraId="5F67D682" w14:textId="77777777" w:rsidR="006E7D09" w:rsidRPr="00712FF7" w:rsidRDefault="006E7D09" w:rsidP="00767ED8">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Granturi primite</w:t>
            </w:r>
          </w:p>
        </w:tc>
        <w:tc>
          <w:tcPr>
            <w:tcW w:w="824" w:type="dxa"/>
          </w:tcPr>
          <w:p w14:paraId="2D9D3589" w14:textId="77777777" w:rsidR="006E7D09" w:rsidRPr="00712FF7" w:rsidRDefault="006E7D09" w:rsidP="00767ED8">
            <w:pPr>
              <w:jc w:val="right"/>
              <w:rPr>
                <w:rFonts w:asciiTheme="majorHAnsi" w:eastAsia="Calibri" w:hAnsiTheme="majorHAnsi" w:cstheme="majorHAnsi"/>
                <w:i/>
                <w:sz w:val="16"/>
                <w:szCs w:val="16"/>
                <w:lang w:val="ro-MD"/>
              </w:rPr>
            </w:pPr>
          </w:p>
        </w:tc>
        <w:tc>
          <w:tcPr>
            <w:tcW w:w="594" w:type="dxa"/>
          </w:tcPr>
          <w:p w14:paraId="031B895D" w14:textId="77777777" w:rsidR="006E7D09" w:rsidRPr="00712FF7" w:rsidRDefault="006E7D09" w:rsidP="00767ED8">
            <w:pPr>
              <w:jc w:val="right"/>
              <w:rPr>
                <w:rFonts w:asciiTheme="majorHAnsi" w:eastAsia="Calibri" w:hAnsiTheme="majorHAnsi" w:cstheme="majorHAnsi"/>
                <w:i/>
                <w:sz w:val="16"/>
                <w:szCs w:val="16"/>
                <w:lang w:val="ro-MD"/>
              </w:rPr>
            </w:pPr>
          </w:p>
        </w:tc>
        <w:tc>
          <w:tcPr>
            <w:tcW w:w="856" w:type="dxa"/>
          </w:tcPr>
          <w:p w14:paraId="527157ED" w14:textId="77777777" w:rsidR="006E7D09" w:rsidRPr="00712FF7" w:rsidRDefault="006E7D09" w:rsidP="00767ED8">
            <w:pPr>
              <w:jc w:val="right"/>
              <w:rPr>
                <w:rFonts w:asciiTheme="majorHAnsi" w:eastAsia="Calibri" w:hAnsiTheme="majorHAnsi" w:cstheme="majorHAnsi"/>
                <w:i/>
                <w:sz w:val="16"/>
                <w:szCs w:val="16"/>
                <w:lang w:val="ro-MD"/>
              </w:rPr>
            </w:pPr>
          </w:p>
        </w:tc>
        <w:tc>
          <w:tcPr>
            <w:tcW w:w="610" w:type="dxa"/>
          </w:tcPr>
          <w:p w14:paraId="61470035" w14:textId="77777777" w:rsidR="006E7D09" w:rsidRPr="00712FF7" w:rsidRDefault="006E7D09" w:rsidP="00767ED8">
            <w:pPr>
              <w:jc w:val="right"/>
              <w:rPr>
                <w:rFonts w:asciiTheme="majorHAnsi" w:eastAsia="Calibri" w:hAnsiTheme="majorHAnsi" w:cstheme="majorHAnsi"/>
                <w:i/>
                <w:sz w:val="16"/>
                <w:szCs w:val="16"/>
                <w:lang w:val="ro-MD"/>
              </w:rPr>
            </w:pPr>
          </w:p>
        </w:tc>
        <w:tc>
          <w:tcPr>
            <w:tcW w:w="825" w:type="dxa"/>
          </w:tcPr>
          <w:p w14:paraId="7BDFCB50"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4090,7</w:t>
            </w:r>
          </w:p>
        </w:tc>
        <w:tc>
          <w:tcPr>
            <w:tcW w:w="659" w:type="dxa"/>
            <w:gridSpan w:val="2"/>
          </w:tcPr>
          <w:p w14:paraId="5387C900"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0,6</w:t>
            </w:r>
          </w:p>
        </w:tc>
        <w:tc>
          <w:tcPr>
            <w:tcW w:w="825" w:type="dxa"/>
          </w:tcPr>
          <w:p w14:paraId="1B36F878"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26737,7</w:t>
            </w:r>
          </w:p>
        </w:tc>
        <w:tc>
          <w:tcPr>
            <w:tcW w:w="707" w:type="dxa"/>
            <w:gridSpan w:val="2"/>
          </w:tcPr>
          <w:p w14:paraId="26E6C38D"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3,3</w:t>
            </w:r>
          </w:p>
        </w:tc>
        <w:tc>
          <w:tcPr>
            <w:tcW w:w="824" w:type="dxa"/>
          </w:tcPr>
          <w:p w14:paraId="7DE8B549"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2580,6</w:t>
            </w:r>
          </w:p>
        </w:tc>
        <w:tc>
          <w:tcPr>
            <w:tcW w:w="615" w:type="dxa"/>
            <w:gridSpan w:val="2"/>
          </w:tcPr>
          <w:p w14:paraId="637FB325"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0,3</w:t>
            </w:r>
          </w:p>
        </w:tc>
      </w:tr>
      <w:tr w:rsidR="006E7D09" w:rsidRPr="00712FF7" w14:paraId="12925AC2" w14:textId="77777777" w:rsidTr="006E7D09">
        <w:tc>
          <w:tcPr>
            <w:tcW w:w="463" w:type="dxa"/>
          </w:tcPr>
          <w:p w14:paraId="209347CB" w14:textId="77777777" w:rsidR="006E7D09" w:rsidRPr="00712FF7" w:rsidRDefault="006E7D09" w:rsidP="00767ED8">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140</w:t>
            </w:r>
          </w:p>
        </w:tc>
        <w:tc>
          <w:tcPr>
            <w:tcW w:w="1664" w:type="dxa"/>
          </w:tcPr>
          <w:p w14:paraId="4D3603D9" w14:textId="77777777" w:rsidR="006E7D09" w:rsidRPr="00712FF7" w:rsidRDefault="006E7D09" w:rsidP="00767ED8">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Alte venituri</w:t>
            </w:r>
          </w:p>
        </w:tc>
        <w:tc>
          <w:tcPr>
            <w:tcW w:w="824" w:type="dxa"/>
          </w:tcPr>
          <w:p w14:paraId="2C3E7227"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5490,0</w:t>
            </w:r>
          </w:p>
        </w:tc>
        <w:tc>
          <w:tcPr>
            <w:tcW w:w="594" w:type="dxa"/>
          </w:tcPr>
          <w:p w14:paraId="72ADFF3B"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1,1</w:t>
            </w:r>
          </w:p>
        </w:tc>
        <w:tc>
          <w:tcPr>
            <w:tcW w:w="856" w:type="dxa"/>
          </w:tcPr>
          <w:p w14:paraId="18257C10"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45907,0</w:t>
            </w:r>
          </w:p>
        </w:tc>
        <w:tc>
          <w:tcPr>
            <w:tcW w:w="610" w:type="dxa"/>
          </w:tcPr>
          <w:p w14:paraId="71152E94"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7,1</w:t>
            </w:r>
          </w:p>
        </w:tc>
        <w:tc>
          <w:tcPr>
            <w:tcW w:w="825" w:type="dxa"/>
          </w:tcPr>
          <w:p w14:paraId="54A8C984"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9171,6</w:t>
            </w:r>
          </w:p>
        </w:tc>
        <w:tc>
          <w:tcPr>
            <w:tcW w:w="659" w:type="dxa"/>
            <w:gridSpan w:val="2"/>
          </w:tcPr>
          <w:p w14:paraId="6A47C091"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1,3</w:t>
            </w:r>
          </w:p>
        </w:tc>
        <w:tc>
          <w:tcPr>
            <w:tcW w:w="825" w:type="dxa"/>
          </w:tcPr>
          <w:p w14:paraId="5DB35EEE"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6552,4</w:t>
            </w:r>
          </w:p>
        </w:tc>
        <w:tc>
          <w:tcPr>
            <w:tcW w:w="707" w:type="dxa"/>
            <w:gridSpan w:val="2"/>
          </w:tcPr>
          <w:p w14:paraId="454DABA6"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0,8</w:t>
            </w:r>
          </w:p>
        </w:tc>
        <w:tc>
          <w:tcPr>
            <w:tcW w:w="824" w:type="dxa"/>
          </w:tcPr>
          <w:p w14:paraId="4FBEDB51"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2923,8</w:t>
            </w:r>
          </w:p>
        </w:tc>
        <w:tc>
          <w:tcPr>
            <w:tcW w:w="615" w:type="dxa"/>
            <w:gridSpan w:val="2"/>
          </w:tcPr>
          <w:p w14:paraId="67F08E5C"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0,4</w:t>
            </w:r>
          </w:p>
        </w:tc>
      </w:tr>
      <w:tr w:rsidR="006E7D09" w:rsidRPr="00712FF7" w14:paraId="171E7A77" w14:textId="77777777" w:rsidTr="006E7D09">
        <w:tc>
          <w:tcPr>
            <w:tcW w:w="463" w:type="dxa"/>
          </w:tcPr>
          <w:p w14:paraId="13B07735" w14:textId="77777777" w:rsidR="006E7D09" w:rsidRPr="00712FF7" w:rsidRDefault="006E7D09" w:rsidP="00767ED8">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190</w:t>
            </w:r>
          </w:p>
        </w:tc>
        <w:tc>
          <w:tcPr>
            <w:tcW w:w="1664" w:type="dxa"/>
          </w:tcPr>
          <w:p w14:paraId="73D9DE9A" w14:textId="68A369F9" w:rsidR="006E7D09" w:rsidRPr="00712FF7" w:rsidRDefault="006E7D09" w:rsidP="00241575">
            <w:pPr>
              <w:jc w:val="both"/>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Transferuri primite, inclusiv:</w:t>
            </w:r>
          </w:p>
        </w:tc>
        <w:tc>
          <w:tcPr>
            <w:tcW w:w="824" w:type="dxa"/>
          </w:tcPr>
          <w:p w14:paraId="083DBC8D"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343472,7</w:t>
            </w:r>
          </w:p>
        </w:tc>
        <w:tc>
          <w:tcPr>
            <w:tcW w:w="594" w:type="dxa"/>
          </w:tcPr>
          <w:p w14:paraId="4377116A"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68,2</w:t>
            </w:r>
          </w:p>
        </w:tc>
        <w:tc>
          <w:tcPr>
            <w:tcW w:w="856" w:type="dxa"/>
          </w:tcPr>
          <w:p w14:paraId="49E3DF15"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382976,8</w:t>
            </w:r>
          </w:p>
        </w:tc>
        <w:tc>
          <w:tcPr>
            <w:tcW w:w="610" w:type="dxa"/>
          </w:tcPr>
          <w:p w14:paraId="45F1FEB9"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59,3</w:t>
            </w:r>
          </w:p>
        </w:tc>
        <w:tc>
          <w:tcPr>
            <w:tcW w:w="825" w:type="dxa"/>
          </w:tcPr>
          <w:p w14:paraId="6FC5CDBB"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408378,1</w:t>
            </w:r>
          </w:p>
        </w:tc>
        <w:tc>
          <w:tcPr>
            <w:tcW w:w="659" w:type="dxa"/>
            <w:gridSpan w:val="2"/>
          </w:tcPr>
          <w:p w14:paraId="12726690"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59,9</w:t>
            </w:r>
          </w:p>
        </w:tc>
        <w:tc>
          <w:tcPr>
            <w:tcW w:w="825" w:type="dxa"/>
          </w:tcPr>
          <w:p w14:paraId="49D55DE1"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540730,4</w:t>
            </w:r>
          </w:p>
        </w:tc>
        <w:tc>
          <w:tcPr>
            <w:tcW w:w="707" w:type="dxa"/>
            <w:gridSpan w:val="2"/>
          </w:tcPr>
          <w:p w14:paraId="197F6A17"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66,3</w:t>
            </w:r>
          </w:p>
        </w:tc>
        <w:tc>
          <w:tcPr>
            <w:tcW w:w="824" w:type="dxa"/>
          </w:tcPr>
          <w:p w14:paraId="4815B6AB"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564046,7</w:t>
            </w:r>
          </w:p>
        </w:tc>
        <w:tc>
          <w:tcPr>
            <w:tcW w:w="615" w:type="dxa"/>
            <w:gridSpan w:val="2"/>
          </w:tcPr>
          <w:p w14:paraId="040D8E73"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70,7</w:t>
            </w:r>
          </w:p>
        </w:tc>
      </w:tr>
      <w:tr w:rsidR="006E7D09" w:rsidRPr="00712FF7" w14:paraId="5526E24A" w14:textId="77777777" w:rsidTr="006E7D09">
        <w:tc>
          <w:tcPr>
            <w:tcW w:w="463" w:type="dxa"/>
          </w:tcPr>
          <w:p w14:paraId="074CF2E9" w14:textId="77777777" w:rsidR="006E7D09" w:rsidRPr="00712FF7" w:rsidRDefault="006E7D09" w:rsidP="00767ED8">
            <w:pPr>
              <w:jc w:val="both"/>
              <w:rPr>
                <w:rFonts w:asciiTheme="majorHAnsi" w:eastAsia="Calibri" w:hAnsiTheme="majorHAnsi" w:cstheme="majorHAnsi"/>
                <w:i/>
                <w:sz w:val="16"/>
                <w:szCs w:val="16"/>
                <w:lang w:val="ro-MD"/>
              </w:rPr>
            </w:pPr>
          </w:p>
        </w:tc>
        <w:tc>
          <w:tcPr>
            <w:tcW w:w="1664" w:type="dxa"/>
          </w:tcPr>
          <w:p w14:paraId="2E0F99A8" w14:textId="1848B7F9" w:rsidR="006E7D09" w:rsidRPr="00712FF7" w:rsidRDefault="00241575" w:rsidP="00767ED8">
            <w:pPr>
              <w:jc w:val="both"/>
              <w:rPr>
                <w:rFonts w:asciiTheme="majorHAnsi" w:eastAsia="Calibri" w:hAnsiTheme="majorHAnsi" w:cstheme="majorHAnsi"/>
                <w:i/>
                <w:sz w:val="16"/>
                <w:szCs w:val="16"/>
                <w:lang w:val="ro-MD"/>
              </w:rPr>
            </w:pPr>
            <w:r>
              <w:rPr>
                <w:rFonts w:asciiTheme="majorHAnsi" w:eastAsia="Calibri" w:hAnsiTheme="majorHAnsi" w:cstheme="majorHAnsi"/>
                <w:i/>
                <w:sz w:val="16"/>
                <w:szCs w:val="16"/>
                <w:lang w:val="ro-MD"/>
              </w:rPr>
              <w:t>TDS</w:t>
            </w:r>
          </w:p>
        </w:tc>
        <w:tc>
          <w:tcPr>
            <w:tcW w:w="824" w:type="dxa"/>
          </w:tcPr>
          <w:p w14:paraId="278680AC" w14:textId="77777777" w:rsidR="006E7D09" w:rsidRPr="00712FF7" w:rsidRDefault="00D55E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335102,7</w:t>
            </w:r>
          </w:p>
        </w:tc>
        <w:tc>
          <w:tcPr>
            <w:tcW w:w="594" w:type="dxa"/>
          </w:tcPr>
          <w:p w14:paraId="6E031AA0" w14:textId="77777777" w:rsidR="006E7D09" w:rsidRPr="00712FF7" w:rsidRDefault="006E7D09" w:rsidP="00767ED8">
            <w:pPr>
              <w:jc w:val="right"/>
              <w:rPr>
                <w:rFonts w:asciiTheme="majorHAnsi" w:eastAsia="Calibri" w:hAnsiTheme="majorHAnsi" w:cstheme="majorHAnsi"/>
                <w:i/>
                <w:sz w:val="16"/>
                <w:szCs w:val="16"/>
                <w:lang w:val="ro-MD"/>
              </w:rPr>
            </w:pPr>
          </w:p>
        </w:tc>
        <w:tc>
          <w:tcPr>
            <w:tcW w:w="856" w:type="dxa"/>
          </w:tcPr>
          <w:p w14:paraId="08216BA8" w14:textId="77777777" w:rsidR="006E7D09" w:rsidRPr="00712FF7" w:rsidRDefault="00D55E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382534,9</w:t>
            </w:r>
          </w:p>
        </w:tc>
        <w:tc>
          <w:tcPr>
            <w:tcW w:w="610" w:type="dxa"/>
          </w:tcPr>
          <w:p w14:paraId="052BC581" w14:textId="77777777" w:rsidR="006E7D09" w:rsidRPr="00712FF7" w:rsidRDefault="006E7D09" w:rsidP="00767ED8">
            <w:pPr>
              <w:jc w:val="right"/>
              <w:rPr>
                <w:rFonts w:asciiTheme="majorHAnsi" w:eastAsia="Calibri" w:hAnsiTheme="majorHAnsi" w:cstheme="majorHAnsi"/>
                <w:i/>
                <w:sz w:val="16"/>
                <w:szCs w:val="16"/>
                <w:lang w:val="ro-MD"/>
              </w:rPr>
            </w:pPr>
          </w:p>
        </w:tc>
        <w:tc>
          <w:tcPr>
            <w:tcW w:w="825" w:type="dxa"/>
          </w:tcPr>
          <w:p w14:paraId="7B44A58D" w14:textId="77777777" w:rsidR="006E7D09" w:rsidRPr="00712FF7" w:rsidRDefault="00D55E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407769,0</w:t>
            </w:r>
          </w:p>
        </w:tc>
        <w:tc>
          <w:tcPr>
            <w:tcW w:w="659" w:type="dxa"/>
            <w:gridSpan w:val="2"/>
          </w:tcPr>
          <w:p w14:paraId="138FFB33" w14:textId="77777777" w:rsidR="006E7D09" w:rsidRPr="00712FF7" w:rsidRDefault="006E7D09" w:rsidP="00767ED8">
            <w:pPr>
              <w:jc w:val="right"/>
              <w:rPr>
                <w:rFonts w:asciiTheme="majorHAnsi" w:eastAsia="Calibri" w:hAnsiTheme="majorHAnsi" w:cstheme="majorHAnsi"/>
                <w:i/>
                <w:sz w:val="16"/>
                <w:szCs w:val="16"/>
                <w:lang w:val="ro-MD"/>
              </w:rPr>
            </w:pPr>
          </w:p>
        </w:tc>
        <w:tc>
          <w:tcPr>
            <w:tcW w:w="825" w:type="dxa"/>
          </w:tcPr>
          <w:p w14:paraId="15A49970"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498286,2</w:t>
            </w:r>
          </w:p>
        </w:tc>
        <w:tc>
          <w:tcPr>
            <w:tcW w:w="707" w:type="dxa"/>
            <w:gridSpan w:val="2"/>
          </w:tcPr>
          <w:p w14:paraId="669F2338" w14:textId="77777777" w:rsidR="006E7D09" w:rsidRPr="00712FF7" w:rsidRDefault="006E7D09" w:rsidP="00767ED8">
            <w:pPr>
              <w:jc w:val="right"/>
              <w:rPr>
                <w:rFonts w:asciiTheme="majorHAnsi" w:eastAsia="Calibri" w:hAnsiTheme="majorHAnsi" w:cstheme="majorHAnsi"/>
                <w:i/>
                <w:sz w:val="16"/>
                <w:szCs w:val="16"/>
                <w:lang w:val="ro-MD"/>
              </w:rPr>
            </w:pPr>
          </w:p>
        </w:tc>
        <w:tc>
          <w:tcPr>
            <w:tcW w:w="824" w:type="dxa"/>
          </w:tcPr>
          <w:p w14:paraId="02170AC4"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555454,3</w:t>
            </w:r>
          </w:p>
        </w:tc>
        <w:tc>
          <w:tcPr>
            <w:tcW w:w="615" w:type="dxa"/>
            <w:gridSpan w:val="2"/>
          </w:tcPr>
          <w:p w14:paraId="4904B880" w14:textId="77777777" w:rsidR="006E7D09" w:rsidRPr="00712FF7" w:rsidRDefault="006E7D09" w:rsidP="00767ED8">
            <w:pPr>
              <w:jc w:val="right"/>
              <w:rPr>
                <w:rFonts w:asciiTheme="majorHAnsi" w:eastAsia="Calibri" w:hAnsiTheme="majorHAnsi" w:cstheme="majorHAnsi"/>
                <w:i/>
                <w:sz w:val="16"/>
                <w:szCs w:val="16"/>
                <w:lang w:val="ro-MD"/>
              </w:rPr>
            </w:pPr>
          </w:p>
        </w:tc>
      </w:tr>
      <w:tr w:rsidR="006E7D09" w:rsidRPr="00712FF7" w14:paraId="59F30846" w14:textId="77777777" w:rsidTr="006E7D09">
        <w:tc>
          <w:tcPr>
            <w:tcW w:w="463" w:type="dxa"/>
          </w:tcPr>
          <w:p w14:paraId="4FC40EEB" w14:textId="77777777" w:rsidR="006E7D09" w:rsidRPr="00712FF7" w:rsidRDefault="006E7D09" w:rsidP="00767ED8">
            <w:pPr>
              <w:jc w:val="both"/>
              <w:rPr>
                <w:rFonts w:asciiTheme="majorHAnsi" w:eastAsia="Calibri" w:hAnsiTheme="majorHAnsi" w:cstheme="majorHAnsi"/>
                <w:i/>
                <w:sz w:val="16"/>
                <w:szCs w:val="16"/>
                <w:lang w:val="ro-MD"/>
              </w:rPr>
            </w:pPr>
          </w:p>
        </w:tc>
        <w:tc>
          <w:tcPr>
            <w:tcW w:w="1664" w:type="dxa"/>
          </w:tcPr>
          <w:p w14:paraId="2F7D25A3" w14:textId="6F1F1469" w:rsidR="006E7D09" w:rsidRPr="00712FF7" w:rsidRDefault="00241575" w:rsidP="00767ED8">
            <w:pPr>
              <w:jc w:val="both"/>
              <w:rPr>
                <w:rFonts w:asciiTheme="majorHAnsi" w:eastAsia="Calibri" w:hAnsiTheme="majorHAnsi" w:cstheme="majorHAnsi"/>
                <w:i/>
                <w:sz w:val="16"/>
                <w:szCs w:val="16"/>
                <w:lang w:val="ro-MD"/>
              </w:rPr>
            </w:pPr>
            <w:r>
              <w:rPr>
                <w:rFonts w:asciiTheme="majorHAnsi" w:eastAsia="Calibri" w:hAnsiTheme="majorHAnsi" w:cstheme="majorHAnsi"/>
                <w:i/>
                <w:sz w:val="16"/>
                <w:szCs w:val="16"/>
                <w:lang w:val="ro-MD"/>
              </w:rPr>
              <w:t>TDG</w:t>
            </w:r>
          </w:p>
        </w:tc>
        <w:tc>
          <w:tcPr>
            <w:tcW w:w="824" w:type="dxa"/>
          </w:tcPr>
          <w:p w14:paraId="6F19B701"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8370,0</w:t>
            </w:r>
          </w:p>
        </w:tc>
        <w:tc>
          <w:tcPr>
            <w:tcW w:w="594" w:type="dxa"/>
          </w:tcPr>
          <w:p w14:paraId="488E8491" w14:textId="77777777" w:rsidR="006E7D09" w:rsidRPr="00712FF7" w:rsidRDefault="006E7D09" w:rsidP="00767ED8">
            <w:pPr>
              <w:jc w:val="right"/>
              <w:rPr>
                <w:rFonts w:asciiTheme="majorHAnsi" w:eastAsia="Calibri" w:hAnsiTheme="majorHAnsi" w:cstheme="majorHAnsi"/>
                <w:i/>
                <w:sz w:val="16"/>
                <w:szCs w:val="16"/>
                <w:lang w:val="ro-MD"/>
              </w:rPr>
            </w:pPr>
          </w:p>
        </w:tc>
        <w:tc>
          <w:tcPr>
            <w:tcW w:w="856" w:type="dxa"/>
          </w:tcPr>
          <w:p w14:paraId="1E809B66"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441,9</w:t>
            </w:r>
          </w:p>
        </w:tc>
        <w:tc>
          <w:tcPr>
            <w:tcW w:w="610" w:type="dxa"/>
          </w:tcPr>
          <w:p w14:paraId="46D66109" w14:textId="77777777" w:rsidR="006E7D09" w:rsidRPr="00712FF7" w:rsidRDefault="006E7D09" w:rsidP="00767ED8">
            <w:pPr>
              <w:jc w:val="right"/>
              <w:rPr>
                <w:rFonts w:asciiTheme="majorHAnsi" w:eastAsia="Calibri" w:hAnsiTheme="majorHAnsi" w:cstheme="majorHAnsi"/>
                <w:i/>
                <w:sz w:val="16"/>
                <w:szCs w:val="16"/>
                <w:lang w:val="ro-MD"/>
              </w:rPr>
            </w:pPr>
          </w:p>
        </w:tc>
        <w:tc>
          <w:tcPr>
            <w:tcW w:w="825" w:type="dxa"/>
          </w:tcPr>
          <w:p w14:paraId="29556CF7"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609,1</w:t>
            </w:r>
          </w:p>
        </w:tc>
        <w:tc>
          <w:tcPr>
            <w:tcW w:w="659" w:type="dxa"/>
            <w:gridSpan w:val="2"/>
          </w:tcPr>
          <w:p w14:paraId="4D41F946" w14:textId="77777777" w:rsidR="006E7D09" w:rsidRPr="00712FF7" w:rsidRDefault="006E7D09" w:rsidP="00767ED8">
            <w:pPr>
              <w:jc w:val="right"/>
              <w:rPr>
                <w:rFonts w:asciiTheme="majorHAnsi" w:eastAsia="Calibri" w:hAnsiTheme="majorHAnsi" w:cstheme="majorHAnsi"/>
                <w:i/>
                <w:sz w:val="16"/>
                <w:szCs w:val="16"/>
                <w:lang w:val="ro-MD"/>
              </w:rPr>
            </w:pPr>
          </w:p>
        </w:tc>
        <w:tc>
          <w:tcPr>
            <w:tcW w:w="825" w:type="dxa"/>
          </w:tcPr>
          <w:p w14:paraId="7704DF73"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42444,2</w:t>
            </w:r>
          </w:p>
        </w:tc>
        <w:tc>
          <w:tcPr>
            <w:tcW w:w="707" w:type="dxa"/>
            <w:gridSpan w:val="2"/>
          </w:tcPr>
          <w:p w14:paraId="10FD23A2" w14:textId="77777777" w:rsidR="006E7D09" w:rsidRPr="00712FF7" w:rsidRDefault="006E7D09" w:rsidP="00767ED8">
            <w:pPr>
              <w:jc w:val="right"/>
              <w:rPr>
                <w:rFonts w:asciiTheme="majorHAnsi" w:eastAsia="Calibri" w:hAnsiTheme="majorHAnsi" w:cstheme="majorHAnsi"/>
                <w:i/>
                <w:sz w:val="16"/>
                <w:szCs w:val="16"/>
                <w:lang w:val="ro-MD"/>
              </w:rPr>
            </w:pPr>
          </w:p>
        </w:tc>
        <w:tc>
          <w:tcPr>
            <w:tcW w:w="824" w:type="dxa"/>
          </w:tcPr>
          <w:p w14:paraId="5A4CC435" w14:textId="77777777" w:rsidR="006E7D09" w:rsidRPr="00712FF7" w:rsidRDefault="006E7D09" w:rsidP="00767ED8">
            <w:pPr>
              <w:jc w:val="right"/>
              <w:rPr>
                <w:rFonts w:asciiTheme="majorHAnsi" w:eastAsia="Calibri" w:hAnsiTheme="majorHAnsi" w:cstheme="majorHAnsi"/>
                <w:i/>
                <w:sz w:val="16"/>
                <w:szCs w:val="16"/>
                <w:lang w:val="ro-MD"/>
              </w:rPr>
            </w:pPr>
            <w:r w:rsidRPr="00712FF7">
              <w:rPr>
                <w:rFonts w:asciiTheme="majorHAnsi" w:eastAsia="Calibri" w:hAnsiTheme="majorHAnsi" w:cstheme="majorHAnsi"/>
                <w:i/>
                <w:sz w:val="16"/>
                <w:szCs w:val="16"/>
                <w:lang w:val="ro-MD"/>
              </w:rPr>
              <w:t>8592,4</w:t>
            </w:r>
          </w:p>
        </w:tc>
        <w:tc>
          <w:tcPr>
            <w:tcW w:w="615" w:type="dxa"/>
            <w:gridSpan w:val="2"/>
          </w:tcPr>
          <w:p w14:paraId="4E101499" w14:textId="77777777" w:rsidR="006E7D09" w:rsidRPr="00712FF7" w:rsidRDefault="006E7D09" w:rsidP="00767ED8">
            <w:pPr>
              <w:jc w:val="right"/>
              <w:rPr>
                <w:rFonts w:asciiTheme="majorHAnsi" w:eastAsia="Calibri" w:hAnsiTheme="majorHAnsi" w:cstheme="majorHAnsi"/>
                <w:i/>
                <w:sz w:val="16"/>
                <w:szCs w:val="16"/>
                <w:lang w:val="ro-MD"/>
              </w:rPr>
            </w:pPr>
          </w:p>
        </w:tc>
      </w:tr>
    </w:tbl>
    <w:p w14:paraId="5B914556" w14:textId="471CD159" w:rsidR="006E7D09" w:rsidRPr="00363CFA" w:rsidRDefault="006E7D09" w:rsidP="00241575">
      <w:pPr>
        <w:spacing w:after="0" w:line="276" w:lineRule="auto"/>
        <w:ind w:right="-187"/>
        <w:rPr>
          <w:rFonts w:asciiTheme="majorHAnsi" w:hAnsiTheme="majorHAnsi" w:cstheme="majorHAnsi"/>
          <w:sz w:val="16"/>
          <w:szCs w:val="16"/>
          <w:lang w:val="ro-MD"/>
        </w:rPr>
      </w:pPr>
      <w:r w:rsidRPr="00363CFA">
        <w:rPr>
          <w:rFonts w:asciiTheme="majorHAnsi" w:hAnsiTheme="majorHAnsi" w:cstheme="majorHAnsi"/>
          <w:b/>
          <w:i/>
          <w:sz w:val="16"/>
          <w:szCs w:val="16"/>
          <w:lang w:val="ro-MD"/>
        </w:rPr>
        <w:t>Surs</w:t>
      </w:r>
      <w:r w:rsidR="00C66353">
        <w:rPr>
          <w:rFonts w:asciiTheme="majorHAnsi" w:hAnsiTheme="majorHAnsi" w:cstheme="majorHAnsi"/>
          <w:b/>
          <w:i/>
          <w:sz w:val="16"/>
          <w:szCs w:val="16"/>
          <w:lang w:val="ro-MD"/>
        </w:rPr>
        <w:t>ă</w:t>
      </w:r>
      <w:r w:rsidRPr="00363CFA">
        <w:rPr>
          <w:rFonts w:asciiTheme="majorHAnsi" w:hAnsiTheme="majorHAnsi" w:cstheme="majorHAnsi"/>
          <w:b/>
          <w:i/>
          <w:sz w:val="16"/>
          <w:szCs w:val="16"/>
          <w:lang w:val="ro-MD"/>
        </w:rPr>
        <w:t>:</w:t>
      </w:r>
      <w:r w:rsidRPr="00363CFA">
        <w:rPr>
          <w:rFonts w:asciiTheme="majorHAnsi" w:hAnsiTheme="majorHAnsi" w:cstheme="majorHAnsi"/>
          <w:sz w:val="16"/>
          <w:szCs w:val="16"/>
          <w:lang w:val="ro-MD"/>
        </w:rPr>
        <w:t xml:space="preserve"> Rapo</w:t>
      </w:r>
      <w:r w:rsidR="003268D9">
        <w:rPr>
          <w:rFonts w:asciiTheme="majorHAnsi" w:hAnsiTheme="majorHAnsi" w:cstheme="majorHAnsi"/>
          <w:sz w:val="16"/>
          <w:szCs w:val="16"/>
          <w:lang w:val="ro-MD"/>
        </w:rPr>
        <w:t>artele</w:t>
      </w:r>
      <w:r w:rsidRPr="00363CFA">
        <w:rPr>
          <w:rFonts w:asciiTheme="majorHAnsi" w:hAnsiTheme="majorHAnsi" w:cstheme="majorHAnsi"/>
          <w:sz w:val="16"/>
          <w:szCs w:val="16"/>
          <w:lang w:val="ro-MD"/>
        </w:rPr>
        <w:t xml:space="preserve"> privind fluxul mijloacelor băne</w:t>
      </w:r>
      <w:r w:rsidR="0069374B" w:rsidRPr="00363CFA">
        <w:rPr>
          <w:rFonts w:asciiTheme="majorHAnsi" w:hAnsiTheme="majorHAnsi" w:cstheme="majorHAnsi"/>
          <w:sz w:val="16"/>
          <w:szCs w:val="16"/>
          <w:lang w:val="ro-MD"/>
        </w:rPr>
        <w:t>ș</w:t>
      </w:r>
      <w:r w:rsidRPr="00363CFA">
        <w:rPr>
          <w:rFonts w:asciiTheme="majorHAnsi" w:hAnsiTheme="majorHAnsi" w:cstheme="majorHAnsi"/>
          <w:sz w:val="16"/>
          <w:szCs w:val="16"/>
          <w:lang w:val="ro-MD"/>
        </w:rPr>
        <w:t xml:space="preserve">ti </w:t>
      </w:r>
      <w:r w:rsidRPr="00216968">
        <w:rPr>
          <w:rFonts w:asciiTheme="majorHAnsi" w:hAnsiTheme="majorHAnsi" w:cstheme="majorHAnsi"/>
          <w:sz w:val="16"/>
          <w:szCs w:val="16"/>
          <w:lang w:val="ro-MD"/>
        </w:rPr>
        <w:t>(formularul FD-043)</w:t>
      </w:r>
      <w:r w:rsidRPr="00363CFA">
        <w:rPr>
          <w:rFonts w:asciiTheme="majorHAnsi" w:hAnsiTheme="majorHAnsi" w:cstheme="majorHAnsi"/>
          <w:sz w:val="16"/>
          <w:szCs w:val="16"/>
          <w:lang w:val="ro-MD"/>
        </w:rPr>
        <w:t xml:space="preserve"> al</w:t>
      </w:r>
      <w:r w:rsidR="00E16521">
        <w:rPr>
          <w:rFonts w:asciiTheme="majorHAnsi" w:hAnsiTheme="majorHAnsi" w:cstheme="majorHAnsi"/>
          <w:sz w:val="16"/>
          <w:szCs w:val="16"/>
          <w:lang w:val="ro-MD"/>
        </w:rPr>
        <w:t>e</w:t>
      </w:r>
      <w:r w:rsidRPr="00363CFA">
        <w:rPr>
          <w:rFonts w:asciiTheme="majorHAnsi" w:hAnsiTheme="majorHAnsi" w:cstheme="majorHAnsi"/>
          <w:sz w:val="16"/>
          <w:szCs w:val="16"/>
          <w:lang w:val="ro-MD"/>
        </w:rPr>
        <w:t xml:space="preserve"> Comitetului Executiv al UTA Găgăuzia pentru an</w:t>
      </w:r>
      <w:r w:rsidR="003268D9">
        <w:rPr>
          <w:rFonts w:asciiTheme="majorHAnsi" w:hAnsiTheme="majorHAnsi" w:cstheme="majorHAnsi"/>
          <w:sz w:val="16"/>
          <w:szCs w:val="16"/>
          <w:lang w:val="ro-MD"/>
        </w:rPr>
        <w:t>ii</w:t>
      </w:r>
      <w:r w:rsidRPr="00363CFA">
        <w:rPr>
          <w:rFonts w:asciiTheme="majorHAnsi" w:hAnsiTheme="majorHAnsi" w:cstheme="majorHAnsi"/>
          <w:sz w:val="16"/>
          <w:szCs w:val="16"/>
          <w:lang w:val="ro-MD"/>
        </w:rPr>
        <w:t xml:space="preserve"> 2016, 2017, 2018, 2019 </w:t>
      </w:r>
      <w:r w:rsidR="0069374B" w:rsidRPr="00363CFA">
        <w:rPr>
          <w:rFonts w:asciiTheme="majorHAnsi" w:hAnsiTheme="majorHAnsi" w:cstheme="majorHAnsi"/>
          <w:sz w:val="16"/>
          <w:szCs w:val="16"/>
          <w:lang w:val="ro-MD"/>
        </w:rPr>
        <w:t>ș</w:t>
      </w:r>
      <w:r w:rsidRPr="00363CFA">
        <w:rPr>
          <w:rFonts w:asciiTheme="majorHAnsi" w:hAnsiTheme="majorHAnsi" w:cstheme="majorHAnsi"/>
          <w:sz w:val="16"/>
          <w:szCs w:val="16"/>
          <w:lang w:val="ro-MD"/>
        </w:rPr>
        <w:t>i 2020</w:t>
      </w:r>
      <w:r w:rsidR="00C66353">
        <w:rPr>
          <w:rFonts w:asciiTheme="majorHAnsi" w:hAnsiTheme="majorHAnsi" w:cstheme="majorHAnsi"/>
          <w:sz w:val="16"/>
          <w:szCs w:val="16"/>
          <w:lang w:val="ro-MD"/>
        </w:rPr>
        <w:t>.</w:t>
      </w:r>
    </w:p>
    <w:p w14:paraId="6F1DE143" w14:textId="44E66E19" w:rsidR="006E7D09" w:rsidRPr="00363CFA" w:rsidRDefault="006E7D09" w:rsidP="00241575">
      <w:pPr>
        <w:spacing w:after="0" w:line="276" w:lineRule="auto"/>
        <w:ind w:right="-187" w:firstLine="720"/>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 xml:space="preserve">Datele din </w:t>
      </w:r>
      <w:r w:rsidR="00C66353">
        <w:rPr>
          <w:rFonts w:asciiTheme="majorHAnsi" w:hAnsiTheme="majorHAnsi" w:cstheme="majorHAnsi"/>
          <w:sz w:val="24"/>
          <w:szCs w:val="24"/>
          <w:lang w:val="ro-MD"/>
        </w:rPr>
        <w:t>t</w:t>
      </w:r>
      <w:r w:rsidRPr="00363CFA">
        <w:rPr>
          <w:rFonts w:asciiTheme="majorHAnsi" w:hAnsiTheme="majorHAnsi" w:cstheme="majorHAnsi"/>
          <w:sz w:val="24"/>
          <w:szCs w:val="24"/>
          <w:lang w:val="ro-MD"/>
        </w:rPr>
        <w:t xml:space="preserve">abel denotă că sursa principală de venituri </w:t>
      </w:r>
      <w:r w:rsidR="00B01722" w:rsidRPr="00363CFA">
        <w:rPr>
          <w:rFonts w:asciiTheme="majorHAnsi" w:hAnsiTheme="majorHAnsi" w:cstheme="majorHAnsi"/>
          <w:sz w:val="24"/>
          <w:szCs w:val="24"/>
          <w:lang w:val="ro-MD"/>
        </w:rPr>
        <w:t>al</w:t>
      </w:r>
      <w:r w:rsidR="001A2561" w:rsidRPr="00363CFA">
        <w:rPr>
          <w:rFonts w:asciiTheme="majorHAnsi" w:hAnsiTheme="majorHAnsi" w:cstheme="majorHAnsi"/>
          <w:sz w:val="24"/>
          <w:szCs w:val="24"/>
          <w:lang w:val="ro-MD"/>
        </w:rPr>
        <w:t>e</w:t>
      </w:r>
      <w:r w:rsidR="00B01722" w:rsidRPr="00363CFA">
        <w:rPr>
          <w:rFonts w:asciiTheme="majorHAnsi" w:hAnsiTheme="majorHAnsi" w:cstheme="majorHAnsi"/>
          <w:sz w:val="24"/>
          <w:szCs w:val="24"/>
          <w:lang w:val="ro-MD"/>
        </w:rPr>
        <w:t xml:space="preserve"> </w:t>
      </w:r>
      <w:r w:rsidR="00B01722" w:rsidRPr="00363CFA">
        <w:rPr>
          <w:rFonts w:asciiTheme="majorHAnsi" w:eastAsia="Calibri" w:hAnsiTheme="majorHAnsi" w:cstheme="majorHAnsi"/>
          <w:b/>
          <w:i/>
          <w:sz w:val="24"/>
          <w:szCs w:val="24"/>
          <w:lang w:val="ro-MD"/>
        </w:rPr>
        <w:t xml:space="preserve">bugetului central al UTA </w:t>
      </w:r>
      <w:r w:rsidR="00B01722" w:rsidRPr="00EA1535">
        <w:rPr>
          <w:rFonts w:asciiTheme="majorHAnsi" w:eastAsia="Calibri" w:hAnsiTheme="majorHAnsi" w:cstheme="majorHAnsi"/>
          <w:b/>
          <w:i/>
          <w:sz w:val="24"/>
          <w:szCs w:val="24"/>
          <w:lang w:val="ro-MD"/>
        </w:rPr>
        <w:t xml:space="preserve">Găgăuzia </w:t>
      </w:r>
      <w:r w:rsidRPr="00EA1535">
        <w:rPr>
          <w:rFonts w:asciiTheme="majorHAnsi" w:hAnsiTheme="majorHAnsi" w:cstheme="majorHAnsi"/>
          <w:sz w:val="24"/>
          <w:szCs w:val="24"/>
          <w:lang w:val="ro-MD"/>
        </w:rPr>
        <w:t>rămân</w:t>
      </w:r>
      <w:r w:rsidR="00C66353" w:rsidRPr="00EA1535">
        <w:rPr>
          <w:rFonts w:asciiTheme="majorHAnsi" w:hAnsiTheme="majorHAnsi" w:cstheme="majorHAnsi"/>
          <w:sz w:val="24"/>
          <w:szCs w:val="24"/>
          <w:lang w:val="ro-MD"/>
        </w:rPr>
        <w:t>e a fi</w:t>
      </w:r>
      <w:r w:rsidRPr="00EA1535">
        <w:rPr>
          <w:rFonts w:asciiTheme="majorHAnsi" w:hAnsiTheme="majorHAnsi" w:cstheme="majorHAnsi"/>
          <w:sz w:val="24"/>
          <w:szCs w:val="24"/>
          <w:lang w:val="ro-MD"/>
        </w:rPr>
        <w:t xml:space="preserve"> transferurile</w:t>
      </w:r>
      <w:r w:rsidRPr="00363CFA">
        <w:rPr>
          <w:rFonts w:asciiTheme="majorHAnsi" w:hAnsiTheme="majorHAnsi" w:cstheme="majorHAnsi"/>
          <w:sz w:val="24"/>
          <w:szCs w:val="24"/>
          <w:lang w:val="ro-MD"/>
        </w:rPr>
        <w:t xml:space="preserve"> primite din bugetul de stat, care, în perioada auditată, sunt în cre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tere continuă </w:t>
      </w:r>
      <w:r w:rsidR="00C66353">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 xml:space="preserve">de la </w:t>
      </w:r>
      <w:r w:rsidRPr="00363CFA">
        <w:rPr>
          <w:rFonts w:asciiTheme="majorHAnsi" w:hAnsiTheme="majorHAnsi" w:cstheme="majorHAnsi"/>
          <w:b/>
          <w:sz w:val="24"/>
          <w:szCs w:val="24"/>
          <w:lang w:val="ro-MD"/>
        </w:rPr>
        <w:t>59,9%</w:t>
      </w:r>
      <w:r w:rsidRPr="00363CFA">
        <w:rPr>
          <w:rFonts w:asciiTheme="majorHAnsi" w:hAnsiTheme="majorHAnsi" w:cstheme="majorHAnsi"/>
          <w:sz w:val="24"/>
          <w:szCs w:val="24"/>
          <w:lang w:val="ro-MD"/>
        </w:rPr>
        <w:t xml:space="preserve"> (în </w:t>
      </w:r>
      <w:r w:rsidR="00C66353">
        <w:rPr>
          <w:rFonts w:asciiTheme="majorHAnsi" w:hAnsiTheme="majorHAnsi" w:cstheme="majorHAnsi"/>
          <w:sz w:val="24"/>
          <w:szCs w:val="24"/>
          <w:lang w:val="ro-MD"/>
        </w:rPr>
        <w:t>a.</w:t>
      </w:r>
      <w:r w:rsidRPr="00363CFA">
        <w:rPr>
          <w:rFonts w:asciiTheme="majorHAnsi" w:hAnsiTheme="majorHAnsi" w:cstheme="majorHAnsi"/>
          <w:sz w:val="24"/>
          <w:szCs w:val="24"/>
          <w:lang w:val="ro-MD"/>
        </w:rPr>
        <w:t xml:space="preserve">2018) până la </w:t>
      </w:r>
      <w:r w:rsidRPr="00363CFA">
        <w:rPr>
          <w:rFonts w:asciiTheme="majorHAnsi" w:hAnsiTheme="majorHAnsi" w:cstheme="majorHAnsi"/>
          <w:b/>
          <w:sz w:val="24"/>
          <w:szCs w:val="24"/>
          <w:lang w:val="ro-MD"/>
        </w:rPr>
        <w:t>70,7%</w:t>
      </w:r>
      <w:r w:rsidRPr="00363CFA">
        <w:rPr>
          <w:rFonts w:asciiTheme="majorHAnsi" w:hAnsiTheme="majorHAnsi" w:cstheme="majorHAnsi"/>
          <w:sz w:val="24"/>
          <w:szCs w:val="24"/>
          <w:lang w:val="ro-MD"/>
        </w:rPr>
        <w:t xml:space="preserve"> </w:t>
      </w:r>
      <w:r w:rsidR="006C4DFA" w:rsidRPr="00363CFA">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în </w:t>
      </w:r>
      <w:r w:rsidR="00EC310E">
        <w:rPr>
          <w:rFonts w:asciiTheme="majorHAnsi" w:hAnsiTheme="majorHAnsi" w:cstheme="majorHAnsi"/>
          <w:sz w:val="24"/>
          <w:szCs w:val="24"/>
          <w:lang w:val="ro-MD"/>
        </w:rPr>
        <w:t>a.</w:t>
      </w:r>
      <w:r w:rsidRPr="00363CFA">
        <w:rPr>
          <w:rFonts w:asciiTheme="majorHAnsi" w:hAnsiTheme="majorHAnsi" w:cstheme="majorHAnsi"/>
          <w:sz w:val="24"/>
          <w:szCs w:val="24"/>
          <w:lang w:val="ro-MD"/>
        </w:rPr>
        <w:t>2020</w:t>
      </w:r>
      <w:r w:rsidR="006C4DFA" w:rsidRPr="00363CFA">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urmate de </w:t>
      </w:r>
      <w:r w:rsidRPr="00363CFA">
        <w:rPr>
          <w:rFonts w:asciiTheme="majorHAnsi" w:hAnsiTheme="majorHAnsi" w:cstheme="majorHAnsi"/>
          <w:i/>
          <w:sz w:val="24"/>
          <w:szCs w:val="24"/>
          <w:lang w:val="ro-MD"/>
        </w:rPr>
        <w:t xml:space="preserve">veniturile din impozite </w:t>
      </w:r>
      <w:r w:rsidR="0069374B" w:rsidRPr="00363CFA">
        <w:rPr>
          <w:rFonts w:asciiTheme="majorHAnsi" w:hAnsiTheme="majorHAnsi" w:cstheme="majorHAnsi"/>
          <w:i/>
          <w:sz w:val="24"/>
          <w:szCs w:val="24"/>
          <w:lang w:val="ro-MD"/>
        </w:rPr>
        <w:t>ș</w:t>
      </w:r>
      <w:r w:rsidRPr="00363CFA">
        <w:rPr>
          <w:rFonts w:asciiTheme="majorHAnsi" w:hAnsiTheme="majorHAnsi" w:cstheme="majorHAnsi"/>
          <w:i/>
          <w:sz w:val="24"/>
          <w:szCs w:val="24"/>
          <w:lang w:val="ro-MD"/>
        </w:rPr>
        <w:t>i taxe</w:t>
      </w:r>
      <w:r w:rsidRPr="00363CFA">
        <w:rPr>
          <w:rFonts w:asciiTheme="majorHAnsi" w:hAnsiTheme="majorHAnsi" w:cstheme="majorHAnsi"/>
          <w:sz w:val="24"/>
          <w:szCs w:val="24"/>
          <w:lang w:val="ro-MD"/>
        </w:rPr>
        <w:t>, care, în ace</w:t>
      </w:r>
      <w:r w:rsidR="00EC310E">
        <w:rPr>
          <w:rFonts w:asciiTheme="majorHAnsi" w:hAnsiTheme="majorHAnsi" w:cstheme="majorHAnsi"/>
          <w:sz w:val="24"/>
          <w:szCs w:val="24"/>
          <w:lang w:val="ro-MD"/>
        </w:rPr>
        <w:t>e</w:t>
      </w:r>
      <w:r w:rsidRPr="00363CFA">
        <w:rPr>
          <w:rFonts w:asciiTheme="majorHAnsi" w:hAnsiTheme="majorHAnsi" w:cstheme="majorHAnsi"/>
          <w:sz w:val="24"/>
          <w:szCs w:val="24"/>
          <w:lang w:val="ro-MD"/>
        </w:rPr>
        <w:t>a</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perioadă, sunt în descre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tere</w:t>
      </w:r>
      <w:r w:rsidR="00EC310E">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 xml:space="preserve">– de la </w:t>
      </w:r>
      <w:r w:rsidRPr="00363CFA">
        <w:rPr>
          <w:rFonts w:asciiTheme="majorHAnsi" w:hAnsiTheme="majorHAnsi" w:cstheme="majorHAnsi"/>
          <w:b/>
          <w:sz w:val="24"/>
          <w:szCs w:val="24"/>
          <w:lang w:val="ro-MD"/>
        </w:rPr>
        <w:t>38,2%</w:t>
      </w:r>
      <w:r w:rsidRPr="00363CFA">
        <w:rPr>
          <w:rFonts w:asciiTheme="majorHAnsi" w:hAnsiTheme="majorHAnsi" w:cstheme="majorHAnsi"/>
          <w:sz w:val="24"/>
          <w:szCs w:val="24"/>
          <w:lang w:val="ro-MD"/>
        </w:rPr>
        <w:t xml:space="preserve"> </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în </w:t>
      </w:r>
      <w:r w:rsidR="00EC310E">
        <w:rPr>
          <w:rFonts w:asciiTheme="majorHAnsi" w:hAnsiTheme="majorHAnsi" w:cstheme="majorHAnsi"/>
          <w:sz w:val="24"/>
          <w:szCs w:val="24"/>
          <w:lang w:val="ro-MD"/>
        </w:rPr>
        <w:t>a.</w:t>
      </w:r>
      <w:r w:rsidRPr="00363CFA">
        <w:rPr>
          <w:rFonts w:asciiTheme="majorHAnsi" w:hAnsiTheme="majorHAnsi" w:cstheme="majorHAnsi"/>
          <w:sz w:val="24"/>
          <w:szCs w:val="24"/>
          <w:lang w:val="ro-MD"/>
        </w:rPr>
        <w:t>2018</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până la </w:t>
      </w:r>
      <w:r w:rsidRPr="00363CFA">
        <w:rPr>
          <w:rFonts w:asciiTheme="majorHAnsi" w:hAnsiTheme="majorHAnsi" w:cstheme="majorHAnsi"/>
          <w:b/>
          <w:sz w:val="24"/>
          <w:szCs w:val="24"/>
          <w:lang w:val="ro-MD"/>
        </w:rPr>
        <w:t>28,6%</w:t>
      </w:r>
      <w:r w:rsidRPr="00363CFA">
        <w:rPr>
          <w:rFonts w:asciiTheme="majorHAnsi" w:hAnsiTheme="majorHAnsi" w:cstheme="majorHAnsi"/>
          <w:sz w:val="24"/>
          <w:szCs w:val="24"/>
          <w:lang w:val="ro-MD"/>
        </w:rPr>
        <w:t xml:space="preserve"> </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în </w:t>
      </w:r>
      <w:r w:rsidR="00EC310E">
        <w:rPr>
          <w:rFonts w:asciiTheme="majorHAnsi" w:hAnsiTheme="majorHAnsi" w:cstheme="majorHAnsi"/>
          <w:sz w:val="24"/>
          <w:szCs w:val="24"/>
          <w:lang w:val="ro-MD"/>
        </w:rPr>
        <w:t>a.</w:t>
      </w:r>
      <w:r w:rsidRPr="00363CFA">
        <w:rPr>
          <w:rFonts w:asciiTheme="majorHAnsi" w:hAnsiTheme="majorHAnsi" w:cstheme="majorHAnsi"/>
          <w:sz w:val="24"/>
          <w:szCs w:val="24"/>
          <w:lang w:val="ro-MD"/>
        </w:rPr>
        <w:t>2020</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w:t>
      </w:r>
    </w:p>
    <w:p w14:paraId="6857AC31" w14:textId="491BC96F" w:rsidR="006E7D09" w:rsidRPr="00363CFA" w:rsidRDefault="006E7D09" w:rsidP="00767ED8">
      <w:pPr>
        <w:spacing w:after="0" w:line="276" w:lineRule="auto"/>
        <w:ind w:right="-187" w:firstLine="720"/>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Potrivit cadrului normativ</w:t>
      </w:r>
      <w:r w:rsidRPr="00363CFA">
        <w:rPr>
          <w:rStyle w:val="FootnoteReference"/>
          <w:rFonts w:asciiTheme="majorHAnsi" w:hAnsiTheme="majorHAnsi" w:cstheme="majorHAnsi"/>
          <w:sz w:val="24"/>
          <w:szCs w:val="24"/>
          <w:lang w:val="ro-MD"/>
        </w:rPr>
        <w:footnoteReference w:id="14"/>
      </w:r>
      <w:r w:rsidRPr="00363CFA">
        <w:rPr>
          <w:rFonts w:asciiTheme="majorHAnsi" w:hAnsiTheme="majorHAnsi" w:cstheme="majorHAnsi"/>
          <w:sz w:val="24"/>
          <w:szCs w:val="24"/>
          <w:lang w:val="ro-MD"/>
        </w:rPr>
        <w:t xml:space="preserve">, pentru UTA Găgăuzia, în perioada </w:t>
      </w:r>
      <w:r w:rsidR="00EC310E">
        <w:rPr>
          <w:rFonts w:asciiTheme="majorHAnsi" w:hAnsiTheme="majorHAnsi" w:cstheme="majorHAnsi"/>
          <w:sz w:val="24"/>
          <w:szCs w:val="24"/>
          <w:lang w:val="ro-MD"/>
        </w:rPr>
        <w:t xml:space="preserve">anilor </w:t>
      </w:r>
      <w:r w:rsidRPr="00363CFA">
        <w:rPr>
          <w:rFonts w:asciiTheme="majorHAnsi" w:hAnsiTheme="majorHAnsi" w:cstheme="majorHAnsi"/>
          <w:sz w:val="24"/>
          <w:szCs w:val="24"/>
          <w:lang w:val="ro-MD"/>
        </w:rPr>
        <w:t xml:space="preserve">2019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2020, au fost aprobate transferuri de la bugetul de stat</w:t>
      </w:r>
      <w:r w:rsidR="001A2561" w:rsidRPr="00363CFA">
        <w:rPr>
          <w:rFonts w:asciiTheme="majorHAnsi" w:hAnsiTheme="majorHAnsi" w:cstheme="majorHAnsi"/>
          <w:sz w:val="24"/>
          <w:szCs w:val="24"/>
          <w:lang w:val="ro-MD"/>
        </w:rPr>
        <w:t xml:space="preserve"> pentru între</w:t>
      </w:r>
      <w:r w:rsidR="0069374B" w:rsidRPr="00363CFA">
        <w:rPr>
          <w:rFonts w:asciiTheme="majorHAnsi" w:hAnsiTheme="majorHAnsi" w:cstheme="majorHAnsi"/>
          <w:sz w:val="24"/>
          <w:szCs w:val="24"/>
          <w:lang w:val="ro-MD"/>
        </w:rPr>
        <w:t>ț</w:t>
      </w:r>
      <w:r w:rsidR="001A2561" w:rsidRPr="00363CFA">
        <w:rPr>
          <w:rFonts w:asciiTheme="majorHAnsi" w:hAnsiTheme="majorHAnsi" w:cstheme="majorHAnsi"/>
          <w:sz w:val="24"/>
          <w:szCs w:val="24"/>
          <w:lang w:val="ro-MD"/>
        </w:rPr>
        <w:t>inerea institu</w:t>
      </w:r>
      <w:r w:rsidR="0069374B" w:rsidRPr="00363CFA">
        <w:rPr>
          <w:rFonts w:asciiTheme="majorHAnsi" w:hAnsiTheme="majorHAnsi" w:cstheme="majorHAnsi"/>
          <w:sz w:val="24"/>
          <w:szCs w:val="24"/>
          <w:lang w:val="ro-MD"/>
        </w:rPr>
        <w:t>ț</w:t>
      </w:r>
      <w:r w:rsidR="001A2561" w:rsidRPr="00363CFA">
        <w:rPr>
          <w:rFonts w:asciiTheme="majorHAnsi" w:hAnsiTheme="majorHAnsi" w:cstheme="majorHAnsi"/>
          <w:sz w:val="24"/>
          <w:szCs w:val="24"/>
          <w:lang w:val="ro-MD"/>
        </w:rPr>
        <w:t>iilor de învă</w:t>
      </w:r>
      <w:r w:rsidR="0069374B" w:rsidRPr="00363CFA">
        <w:rPr>
          <w:rFonts w:asciiTheme="majorHAnsi" w:hAnsiTheme="majorHAnsi" w:cstheme="majorHAnsi"/>
          <w:sz w:val="24"/>
          <w:szCs w:val="24"/>
          <w:lang w:val="ro-MD"/>
        </w:rPr>
        <w:t>ț</w:t>
      </w:r>
      <w:r w:rsidR="001A2561" w:rsidRPr="00363CFA">
        <w:rPr>
          <w:rFonts w:asciiTheme="majorHAnsi" w:hAnsiTheme="majorHAnsi" w:cstheme="majorHAnsi"/>
          <w:sz w:val="24"/>
          <w:szCs w:val="24"/>
          <w:lang w:val="ro-MD"/>
        </w:rPr>
        <w:t>ăm</w:t>
      </w:r>
      <w:r w:rsidR="00EC310E">
        <w:rPr>
          <w:rFonts w:asciiTheme="majorHAnsi" w:hAnsiTheme="majorHAnsi" w:cstheme="majorHAnsi"/>
          <w:sz w:val="24"/>
          <w:szCs w:val="24"/>
          <w:lang w:val="ro-MD"/>
        </w:rPr>
        <w:t>â</w:t>
      </w:r>
      <w:r w:rsidR="001A2561" w:rsidRPr="00363CFA">
        <w:rPr>
          <w:rFonts w:asciiTheme="majorHAnsi" w:hAnsiTheme="majorHAnsi" w:cstheme="majorHAnsi"/>
          <w:sz w:val="24"/>
          <w:szCs w:val="24"/>
          <w:lang w:val="ro-MD"/>
        </w:rPr>
        <w:t xml:space="preserve">nt, </w:t>
      </w:r>
      <w:r w:rsidR="00EC310E">
        <w:rPr>
          <w:rFonts w:asciiTheme="majorHAnsi" w:hAnsiTheme="majorHAnsi" w:cstheme="majorHAnsi"/>
          <w:sz w:val="24"/>
          <w:szCs w:val="24"/>
          <w:lang w:val="ro-MD"/>
        </w:rPr>
        <w:t xml:space="preserve">a </w:t>
      </w:r>
      <w:r w:rsidR="0069374B" w:rsidRPr="00363CFA">
        <w:rPr>
          <w:rFonts w:asciiTheme="majorHAnsi" w:hAnsiTheme="majorHAnsi" w:cstheme="majorHAnsi"/>
          <w:sz w:val="24"/>
          <w:szCs w:val="24"/>
          <w:lang w:val="ro-MD"/>
        </w:rPr>
        <w:t>ș</w:t>
      </w:r>
      <w:r w:rsidR="001A2561" w:rsidRPr="00363CFA">
        <w:rPr>
          <w:rFonts w:asciiTheme="majorHAnsi" w:hAnsiTheme="majorHAnsi" w:cstheme="majorHAnsi"/>
          <w:sz w:val="24"/>
          <w:szCs w:val="24"/>
          <w:lang w:val="ro-MD"/>
        </w:rPr>
        <w:t>colilor sportive, infrastructura drumurilor etc.</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în sumă de </w:t>
      </w:r>
      <w:r w:rsidRPr="00363CFA">
        <w:rPr>
          <w:rFonts w:asciiTheme="majorHAnsi" w:hAnsiTheme="majorHAnsi" w:cstheme="majorHAnsi"/>
          <w:b/>
          <w:sz w:val="24"/>
          <w:szCs w:val="24"/>
          <w:lang w:val="ro-MD"/>
        </w:rPr>
        <w:t>546732,1 mii lei</w:t>
      </w:r>
      <w:r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w:t>
      </w:r>
      <w:r w:rsidR="00F54188" w:rsidRPr="00363CFA">
        <w:rPr>
          <w:rFonts w:asciiTheme="majorHAnsi" w:hAnsiTheme="majorHAnsi" w:cstheme="majorHAnsi"/>
          <w:sz w:val="24"/>
          <w:szCs w:val="24"/>
          <w:lang w:val="ro-MD"/>
        </w:rPr>
        <w:t>, respectiv, de</w:t>
      </w:r>
      <w:r w:rsidRPr="00363CFA">
        <w:rPr>
          <w:rFonts w:asciiTheme="majorHAnsi" w:hAnsiTheme="majorHAnsi" w:cstheme="majorHAnsi"/>
          <w:sz w:val="24"/>
          <w:szCs w:val="24"/>
          <w:lang w:val="ro-MD"/>
        </w:rPr>
        <w:t xml:space="preserve"> </w:t>
      </w:r>
      <w:r w:rsidRPr="00363CFA">
        <w:rPr>
          <w:rFonts w:asciiTheme="majorHAnsi" w:hAnsiTheme="majorHAnsi" w:cstheme="majorHAnsi"/>
          <w:b/>
          <w:sz w:val="24"/>
          <w:szCs w:val="24"/>
          <w:lang w:val="ro-MD"/>
        </w:rPr>
        <w:t>568161,0 mii lei</w:t>
      </w:r>
      <w:r w:rsidR="00EC310E">
        <w:rPr>
          <w:rFonts w:asciiTheme="majorHAnsi" w:hAnsiTheme="majorHAnsi" w:cstheme="majorHAnsi"/>
          <w:b/>
          <w:sz w:val="24"/>
          <w:szCs w:val="24"/>
          <w:lang w:val="ro-MD"/>
        </w:rPr>
        <w:t>,</w:t>
      </w:r>
      <w:r w:rsidR="00737010" w:rsidRPr="00363CFA">
        <w:rPr>
          <w:rFonts w:asciiTheme="majorHAnsi" w:hAnsiTheme="majorHAnsi" w:cstheme="majorHAnsi"/>
          <w:sz w:val="24"/>
          <w:szCs w:val="24"/>
          <w:lang w:val="ro-MD"/>
        </w:rPr>
        <w:t xml:space="preserve"> </w:t>
      </w:r>
      <w:r w:rsidR="00EC310E">
        <w:rPr>
          <w:rFonts w:asciiTheme="majorHAnsi" w:hAnsiTheme="majorHAnsi" w:cstheme="majorHAnsi"/>
          <w:sz w:val="24"/>
          <w:szCs w:val="24"/>
          <w:lang w:val="ro-MD"/>
        </w:rPr>
        <w:t>dar</w:t>
      </w:r>
      <w:r w:rsidR="00737010" w:rsidRPr="00363CFA">
        <w:rPr>
          <w:rFonts w:asciiTheme="majorHAnsi" w:hAnsiTheme="majorHAnsi" w:cstheme="majorHAnsi"/>
          <w:sz w:val="24"/>
          <w:szCs w:val="24"/>
          <w:lang w:val="ro-MD"/>
        </w:rPr>
        <w:t xml:space="preserve"> </w:t>
      </w:r>
      <w:r w:rsidR="00EC310E">
        <w:rPr>
          <w:rFonts w:asciiTheme="majorHAnsi" w:hAnsiTheme="majorHAnsi" w:cstheme="majorHAnsi"/>
          <w:sz w:val="24"/>
          <w:szCs w:val="24"/>
          <w:lang w:val="ro-MD"/>
        </w:rPr>
        <w:t xml:space="preserve">s-au </w:t>
      </w:r>
      <w:r w:rsidR="00737010" w:rsidRPr="00363CFA">
        <w:rPr>
          <w:rFonts w:asciiTheme="majorHAnsi" w:hAnsiTheme="majorHAnsi" w:cstheme="majorHAnsi"/>
          <w:sz w:val="24"/>
          <w:szCs w:val="24"/>
          <w:lang w:val="ro-MD"/>
        </w:rPr>
        <w:t>executat</w:t>
      </w:r>
      <w:r w:rsidR="00EC310E">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 xml:space="preserve">în sumă de </w:t>
      </w:r>
      <w:r w:rsidRPr="00363CFA">
        <w:rPr>
          <w:rFonts w:asciiTheme="majorHAnsi" w:hAnsiTheme="majorHAnsi" w:cstheme="majorHAnsi"/>
          <w:b/>
          <w:sz w:val="24"/>
          <w:szCs w:val="24"/>
          <w:lang w:val="ro-MD"/>
        </w:rPr>
        <w:t xml:space="preserve">540304,8 mii lei </w:t>
      </w:r>
      <w:r w:rsidR="00737010" w:rsidRPr="00363CFA">
        <w:rPr>
          <w:rFonts w:asciiTheme="majorHAnsi" w:hAnsiTheme="majorHAnsi" w:cstheme="majorHAnsi"/>
          <w:sz w:val="24"/>
          <w:szCs w:val="24"/>
          <w:lang w:val="ro-MD"/>
        </w:rPr>
        <w:t>(</w:t>
      </w:r>
      <w:r w:rsidRPr="00363CFA">
        <w:rPr>
          <w:rFonts w:asciiTheme="majorHAnsi" w:hAnsiTheme="majorHAnsi" w:cstheme="majorHAnsi"/>
          <w:sz w:val="24"/>
          <w:szCs w:val="24"/>
          <w:lang w:val="ro-MD"/>
        </w:rPr>
        <w:t>din care</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soldul TDS nerepartizate/neutilizate, rămase la situa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ia din 31.12.2019, constituie </w:t>
      </w:r>
      <w:r w:rsidRPr="00363CFA">
        <w:rPr>
          <w:rFonts w:asciiTheme="majorHAnsi" w:hAnsiTheme="majorHAnsi" w:cstheme="majorHAnsi"/>
          <w:b/>
          <w:sz w:val="24"/>
          <w:szCs w:val="24"/>
          <w:lang w:val="ro-MD"/>
        </w:rPr>
        <w:t xml:space="preserve">2486,0 mii lei </w:t>
      </w:r>
      <w:r w:rsidRPr="00363CFA">
        <w:rPr>
          <w:rFonts w:asciiTheme="majorHAnsi" w:hAnsiTheme="majorHAnsi" w:cstheme="majorHAnsi"/>
          <w:sz w:val="24"/>
          <w:szCs w:val="24"/>
          <w:lang w:val="ro-MD"/>
        </w:rPr>
        <w:t>(</w:t>
      </w:r>
      <w:r w:rsidRPr="00363CFA">
        <w:rPr>
          <w:rFonts w:asciiTheme="majorHAnsi" w:hAnsiTheme="majorHAnsi" w:cstheme="majorHAnsi"/>
          <w:b/>
          <w:sz w:val="24"/>
          <w:szCs w:val="24"/>
          <w:lang w:val="ro-MD"/>
        </w:rPr>
        <w:t>2375,8 mii lei</w:t>
      </w:r>
      <w:r w:rsidRPr="00363CFA">
        <w:rPr>
          <w:rFonts w:asciiTheme="majorHAnsi" w:hAnsiTheme="majorHAnsi" w:cstheme="majorHAnsi"/>
          <w:sz w:val="24"/>
          <w:szCs w:val="24"/>
          <w:lang w:val="ro-MD"/>
        </w:rPr>
        <w:t xml:space="preserve"> – la contul Comitetului Executiv (bugetul central)</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w:t>
      </w:r>
      <w:r w:rsidRPr="00363CFA">
        <w:rPr>
          <w:rFonts w:asciiTheme="majorHAnsi" w:hAnsiTheme="majorHAnsi" w:cstheme="majorHAnsi"/>
          <w:b/>
          <w:sz w:val="24"/>
          <w:szCs w:val="24"/>
          <w:lang w:val="ro-MD"/>
        </w:rPr>
        <w:t xml:space="preserve">110,1 mii lei </w:t>
      </w:r>
      <w:r w:rsidRPr="00363CFA">
        <w:rPr>
          <w:rFonts w:asciiTheme="majorHAnsi" w:hAnsiTheme="majorHAnsi" w:cstheme="majorHAnsi"/>
          <w:sz w:val="24"/>
          <w:szCs w:val="24"/>
          <w:lang w:val="ro-MD"/>
        </w:rPr>
        <w:t>- la conturile APL</w:t>
      </w:r>
      <w:r w:rsidR="00E758C1" w:rsidRPr="00363CFA">
        <w:rPr>
          <w:rFonts w:asciiTheme="majorHAnsi" w:hAnsiTheme="majorHAnsi" w:cstheme="majorHAnsi"/>
          <w:sz w:val="24"/>
          <w:szCs w:val="24"/>
          <w:lang w:val="ro-MD"/>
        </w:rPr>
        <w:t xml:space="preserve"> de</w:t>
      </w:r>
      <w:r w:rsidRPr="00363CFA">
        <w:rPr>
          <w:rFonts w:asciiTheme="majorHAnsi" w:hAnsiTheme="majorHAnsi" w:cstheme="majorHAnsi"/>
          <w:sz w:val="24"/>
          <w:szCs w:val="24"/>
          <w:lang w:val="ro-MD"/>
        </w:rPr>
        <w:t xml:space="preserve"> nivelul I)</w:t>
      </w:r>
      <w:r w:rsidR="006C4DFA" w:rsidRPr="00363CFA">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w:t>
      </w:r>
      <w:r w:rsidR="00737010" w:rsidRPr="00363CFA">
        <w:rPr>
          <w:rFonts w:asciiTheme="majorHAnsi" w:hAnsiTheme="majorHAnsi" w:cstheme="majorHAnsi"/>
          <w:sz w:val="24"/>
          <w:szCs w:val="24"/>
          <w:lang w:val="ro-MD"/>
        </w:rPr>
        <w:t xml:space="preserve">, respectiv, </w:t>
      </w:r>
      <w:r w:rsidRPr="00363CFA">
        <w:rPr>
          <w:rFonts w:asciiTheme="majorHAnsi" w:hAnsiTheme="majorHAnsi" w:cstheme="majorHAnsi"/>
          <w:sz w:val="24"/>
          <w:szCs w:val="24"/>
          <w:lang w:val="ro-MD"/>
        </w:rPr>
        <w:t xml:space="preserve"> în sumă de </w:t>
      </w:r>
      <w:r w:rsidRPr="00363CFA">
        <w:rPr>
          <w:rFonts w:asciiTheme="majorHAnsi" w:hAnsiTheme="majorHAnsi" w:cstheme="majorHAnsi"/>
          <w:b/>
          <w:sz w:val="24"/>
          <w:szCs w:val="24"/>
          <w:lang w:val="ro-MD"/>
        </w:rPr>
        <w:t>548456,8 mii lei</w:t>
      </w:r>
      <w:r w:rsidRPr="00363CFA">
        <w:rPr>
          <w:rFonts w:asciiTheme="majorHAnsi" w:hAnsiTheme="majorHAnsi" w:cstheme="majorHAnsi"/>
          <w:sz w:val="24"/>
          <w:szCs w:val="24"/>
          <w:lang w:val="ro-MD"/>
        </w:rPr>
        <w:t xml:space="preserve"> </w:t>
      </w:r>
      <w:r w:rsidR="00737010" w:rsidRPr="00363CFA">
        <w:rPr>
          <w:rFonts w:asciiTheme="majorHAnsi" w:hAnsiTheme="majorHAnsi" w:cstheme="majorHAnsi"/>
          <w:sz w:val="24"/>
          <w:szCs w:val="24"/>
          <w:lang w:val="ro-MD"/>
        </w:rPr>
        <w:t>(</w:t>
      </w:r>
      <w:r w:rsidRPr="00363CFA">
        <w:rPr>
          <w:rFonts w:asciiTheme="majorHAnsi" w:hAnsiTheme="majorHAnsi" w:cstheme="majorHAnsi"/>
          <w:sz w:val="24"/>
          <w:szCs w:val="24"/>
          <w:lang w:val="ro-MD"/>
        </w:rPr>
        <w:t>din care</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soldul TDS nerepartizate/neutilizate, rămase la situa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ia din 31.12.2020, constituie </w:t>
      </w:r>
      <w:r w:rsidRPr="00363CFA">
        <w:rPr>
          <w:rFonts w:asciiTheme="majorHAnsi" w:hAnsiTheme="majorHAnsi" w:cstheme="majorHAnsi"/>
          <w:b/>
          <w:sz w:val="24"/>
          <w:szCs w:val="24"/>
          <w:lang w:val="ro-MD"/>
        </w:rPr>
        <w:t xml:space="preserve">4554,6 mii lei </w:t>
      </w:r>
      <w:r w:rsidRPr="00363CFA">
        <w:rPr>
          <w:rFonts w:asciiTheme="majorHAnsi" w:hAnsiTheme="majorHAnsi" w:cstheme="majorHAnsi"/>
          <w:sz w:val="24"/>
          <w:szCs w:val="24"/>
          <w:lang w:val="ro-MD"/>
        </w:rPr>
        <w:t>(</w:t>
      </w:r>
      <w:r w:rsidRPr="00363CFA">
        <w:rPr>
          <w:rFonts w:asciiTheme="majorHAnsi" w:hAnsiTheme="majorHAnsi" w:cstheme="majorHAnsi"/>
          <w:b/>
          <w:sz w:val="24"/>
          <w:szCs w:val="24"/>
          <w:lang w:val="ro-MD"/>
        </w:rPr>
        <w:t>4134,7 mii lei</w:t>
      </w:r>
      <w:r w:rsidRPr="00363CFA">
        <w:rPr>
          <w:rFonts w:asciiTheme="majorHAnsi" w:hAnsiTheme="majorHAnsi" w:cstheme="majorHAnsi"/>
          <w:sz w:val="24"/>
          <w:szCs w:val="24"/>
          <w:lang w:val="ro-MD"/>
        </w:rPr>
        <w:t xml:space="preserve"> – la contul Comitetului Executiv (bugetul central)</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w:t>
      </w:r>
      <w:r w:rsidRPr="00363CFA">
        <w:rPr>
          <w:rFonts w:asciiTheme="majorHAnsi" w:hAnsiTheme="majorHAnsi" w:cstheme="majorHAnsi"/>
          <w:b/>
          <w:sz w:val="24"/>
          <w:szCs w:val="24"/>
          <w:lang w:val="ro-MD"/>
        </w:rPr>
        <w:t>419,9 mii lei</w:t>
      </w:r>
      <w:r w:rsidRPr="00363CFA">
        <w:rPr>
          <w:rFonts w:asciiTheme="majorHAnsi" w:hAnsiTheme="majorHAnsi" w:cstheme="majorHAnsi"/>
          <w:sz w:val="24"/>
          <w:szCs w:val="24"/>
          <w:lang w:val="ro-MD"/>
        </w:rPr>
        <w:t xml:space="preserve"> - la conturile APL</w:t>
      </w:r>
      <w:r w:rsidR="001E054B" w:rsidRPr="00363CFA">
        <w:rPr>
          <w:rFonts w:asciiTheme="majorHAnsi" w:hAnsiTheme="majorHAnsi" w:cstheme="majorHAnsi"/>
          <w:sz w:val="24"/>
          <w:szCs w:val="24"/>
          <w:lang w:val="ro-MD"/>
        </w:rPr>
        <w:t xml:space="preserve"> de</w:t>
      </w:r>
      <w:r w:rsidRPr="00363CFA">
        <w:rPr>
          <w:rFonts w:asciiTheme="majorHAnsi" w:hAnsiTheme="majorHAnsi" w:cstheme="majorHAnsi"/>
          <w:sz w:val="24"/>
          <w:szCs w:val="24"/>
          <w:lang w:val="ro-MD"/>
        </w:rPr>
        <w:t xml:space="preserve"> nivelul I)</w:t>
      </w:r>
      <w:r w:rsidR="006C4DFA" w:rsidRPr="00363CFA">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Suma transferurilor </w:t>
      </w:r>
      <w:r w:rsidR="001E054B" w:rsidRPr="00363CFA">
        <w:rPr>
          <w:rFonts w:asciiTheme="majorHAnsi" w:hAnsiTheme="majorHAnsi" w:cstheme="majorHAnsi"/>
          <w:sz w:val="24"/>
          <w:szCs w:val="24"/>
          <w:lang w:val="ro-MD"/>
        </w:rPr>
        <w:t>cu destina</w:t>
      </w:r>
      <w:r w:rsidR="0069374B" w:rsidRPr="00363CFA">
        <w:rPr>
          <w:rFonts w:asciiTheme="majorHAnsi" w:hAnsiTheme="majorHAnsi" w:cstheme="majorHAnsi"/>
          <w:sz w:val="24"/>
          <w:szCs w:val="24"/>
          <w:lang w:val="ro-MD"/>
        </w:rPr>
        <w:t>ț</w:t>
      </w:r>
      <w:r w:rsidR="001E054B" w:rsidRPr="00363CFA">
        <w:rPr>
          <w:rFonts w:asciiTheme="majorHAnsi" w:hAnsiTheme="majorHAnsi" w:cstheme="majorHAnsi"/>
          <w:sz w:val="24"/>
          <w:szCs w:val="24"/>
          <w:lang w:val="ro-MD"/>
        </w:rPr>
        <w:t xml:space="preserve">ie specială </w:t>
      </w:r>
      <w:r w:rsidRPr="00363CFA">
        <w:rPr>
          <w:rFonts w:asciiTheme="majorHAnsi" w:hAnsiTheme="majorHAnsi" w:cstheme="majorHAnsi"/>
          <w:sz w:val="24"/>
          <w:szCs w:val="24"/>
          <w:lang w:val="ro-MD"/>
        </w:rPr>
        <w:t>ne</w:t>
      </w:r>
      <w:r w:rsidR="001E054B" w:rsidRPr="00363CFA">
        <w:rPr>
          <w:rFonts w:asciiTheme="majorHAnsi" w:hAnsiTheme="majorHAnsi" w:cstheme="majorHAnsi"/>
          <w:sz w:val="24"/>
          <w:szCs w:val="24"/>
          <w:lang w:val="ro-MD"/>
        </w:rPr>
        <w:t xml:space="preserve">utilizate </w:t>
      </w:r>
      <w:r w:rsidRPr="00363CFA">
        <w:rPr>
          <w:rFonts w:asciiTheme="majorHAnsi" w:hAnsiTheme="majorHAnsi" w:cstheme="majorHAnsi"/>
          <w:sz w:val="24"/>
          <w:szCs w:val="24"/>
          <w:lang w:val="ro-MD"/>
        </w:rPr>
        <w:t xml:space="preserve">de la </w:t>
      </w:r>
      <w:r w:rsidRPr="00363CFA">
        <w:rPr>
          <w:rFonts w:asciiTheme="majorHAnsi" w:hAnsiTheme="majorHAnsi" w:cstheme="majorHAnsi"/>
          <w:sz w:val="24"/>
          <w:szCs w:val="24"/>
          <w:lang w:val="ro-MD"/>
        </w:rPr>
        <w:lastRenderedPageBreak/>
        <w:t>bugetul de stat, vi</w:t>
      </w:r>
      <w:r w:rsidR="00737010" w:rsidRPr="00363CFA">
        <w:rPr>
          <w:rFonts w:asciiTheme="majorHAnsi" w:hAnsiTheme="majorHAnsi" w:cstheme="majorHAnsi"/>
          <w:sz w:val="24"/>
          <w:szCs w:val="24"/>
          <w:lang w:val="ro-MD"/>
        </w:rPr>
        <w:t>s</w:t>
      </w:r>
      <w:r w:rsidRPr="00363CFA">
        <w:rPr>
          <w:rFonts w:asciiTheme="majorHAnsi" w:hAnsiTheme="majorHAnsi" w:cstheme="majorHAnsi"/>
          <w:sz w:val="24"/>
          <w:szCs w:val="24"/>
          <w:lang w:val="ro-MD"/>
        </w:rPr>
        <w:t xml:space="preserve">-a-vis de cele aprobate, constituie:  în anul 2019 – </w:t>
      </w:r>
      <w:r w:rsidRPr="00363CFA">
        <w:rPr>
          <w:rFonts w:asciiTheme="majorHAnsi" w:hAnsiTheme="majorHAnsi" w:cstheme="majorHAnsi"/>
          <w:b/>
          <w:sz w:val="24"/>
          <w:szCs w:val="24"/>
          <w:lang w:val="ro-MD"/>
        </w:rPr>
        <w:t>3932,3 mii lei</w:t>
      </w:r>
      <w:r w:rsidR="00EC310E">
        <w:rPr>
          <w:rFonts w:asciiTheme="majorHAnsi" w:hAnsiTheme="majorHAnsi" w:cstheme="majorHAnsi"/>
          <w:sz w:val="24"/>
          <w:szCs w:val="24"/>
          <w:lang w:val="ro-MD"/>
        </w:rPr>
        <w:t>,</w:t>
      </w:r>
      <w:r w:rsidR="00747BAB">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în anul 2020 – </w:t>
      </w:r>
      <w:r w:rsidRPr="00363CFA">
        <w:rPr>
          <w:rFonts w:asciiTheme="majorHAnsi" w:hAnsiTheme="majorHAnsi" w:cstheme="majorHAnsi"/>
          <w:b/>
          <w:sz w:val="24"/>
          <w:szCs w:val="24"/>
          <w:lang w:val="ro-MD"/>
        </w:rPr>
        <w:t>15149,6 mii lei</w:t>
      </w:r>
      <w:r w:rsidRPr="00363CFA">
        <w:rPr>
          <w:rFonts w:asciiTheme="majorHAnsi" w:hAnsiTheme="majorHAnsi" w:cstheme="majorHAnsi"/>
          <w:sz w:val="24"/>
          <w:szCs w:val="24"/>
          <w:lang w:val="ro-MD"/>
        </w:rPr>
        <w:t>.</w:t>
      </w:r>
      <w:r w:rsidRPr="00363CFA">
        <w:rPr>
          <w:rFonts w:asciiTheme="majorHAnsi" w:hAnsiTheme="majorHAnsi" w:cstheme="majorHAnsi"/>
          <w:color w:val="FF0000"/>
          <w:sz w:val="24"/>
          <w:szCs w:val="24"/>
          <w:lang w:val="ro-MD"/>
        </w:rPr>
        <w:t xml:space="preserve"> </w:t>
      </w:r>
      <w:r w:rsidRPr="00363CFA">
        <w:rPr>
          <w:rFonts w:asciiTheme="majorHAnsi" w:hAnsiTheme="majorHAnsi" w:cstheme="majorHAnsi"/>
          <w:sz w:val="24"/>
          <w:szCs w:val="24"/>
          <w:lang w:val="ro-MD"/>
        </w:rPr>
        <w:t xml:space="preserve">Pe parcursul anului 2020, Comitetul Executiv a repartizat TDS </w:t>
      </w:r>
      <w:r w:rsidR="001E054B" w:rsidRPr="00363CFA">
        <w:rPr>
          <w:rFonts w:asciiTheme="majorHAnsi" w:hAnsiTheme="majorHAnsi" w:cstheme="majorHAnsi"/>
          <w:sz w:val="24"/>
          <w:szCs w:val="24"/>
          <w:lang w:val="ro-MD"/>
        </w:rPr>
        <w:t xml:space="preserve">în sumă de </w:t>
      </w:r>
      <w:r w:rsidR="001E054B" w:rsidRPr="00363CFA">
        <w:rPr>
          <w:rFonts w:asciiTheme="majorHAnsi" w:hAnsiTheme="majorHAnsi" w:cstheme="majorHAnsi"/>
          <w:b/>
          <w:sz w:val="24"/>
          <w:szCs w:val="24"/>
          <w:lang w:val="ro-MD"/>
        </w:rPr>
        <w:t>2375,8 mii lei,</w:t>
      </w:r>
      <w:r w:rsidR="001E054B" w:rsidRPr="00363CFA">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 xml:space="preserve">din soldul înregistrat la 31.12.2019, </w:t>
      </w:r>
      <w:r w:rsidR="00EC310E">
        <w:rPr>
          <w:rFonts w:asciiTheme="majorHAnsi" w:hAnsiTheme="majorHAnsi" w:cstheme="majorHAnsi"/>
          <w:sz w:val="24"/>
          <w:szCs w:val="24"/>
          <w:lang w:val="ro-MD"/>
        </w:rPr>
        <w:t xml:space="preserve">către </w:t>
      </w:r>
      <w:r w:rsidRPr="00363CFA">
        <w:rPr>
          <w:rFonts w:asciiTheme="majorHAnsi" w:hAnsiTheme="majorHAnsi" w:cstheme="majorHAnsi"/>
          <w:sz w:val="24"/>
          <w:szCs w:val="24"/>
          <w:lang w:val="ro-MD"/>
        </w:rPr>
        <w:t xml:space="preserve">APL </w:t>
      </w:r>
      <w:r w:rsidR="001E054B" w:rsidRPr="00363CFA">
        <w:rPr>
          <w:rFonts w:asciiTheme="majorHAnsi" w:hAnsiTheme="majorHAnsi" w:cstheme="majorHAnsi"/>
          <w:sz w:val="24"/>
          <w:szCs w:val="24"/>
          <w:lang w:val="ro-MD"/>
        </w:rPr>
        <w:t xml:space="preserve">de </w:t>
      </w:r>
      <w:r w:rsidRPr="00363CFA">
        <w:rPr>
          <w:rFonts w:asciiTheme="majorHAnsi" w:hAnsiTheme="majorHAnsi" w:cstheme="majorHAnsi"/>
          <w:sz w:val="24"/>
          <w:szCs w:val="24"/>
          <w:lang w:val="ro-MD"/>
        </w:rPr>
        <w:t xml:space="preserve">nivelul I. </w:t>
      </w:r>
    </w:p>
    <w:p w14:paraId="0675C087" w14:textId="2B51D1E8" w:rsidR="006E7D09" w:rsidRPr="00363CFA" w:rsidRDefault="006E7D09" w:rsidP="00767ED8">
      <w:pPr>
        <w:spacing w:after="0" w:line="276" w:lineRule="auto"/>
        <w:ind w:right="-187" w:firstLine="720"/>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De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cadrul normativ în vigoare</w:t>
      </w:r>
      <w:r w:rsidR="00271AAD" w:rsidRPr="00363CFA">
        <w:rPr>
          <w:rStyle w:val="FootnoteReference"/>
          <w:rFonts w:asciiTheme="majorHAnsi" w:hAnsiTheme="majorHAnsi" w:cstheme="majorHAnsi"/>
          <w:sz w:val="24"/>
          <w:szCs w:val="24"/>
          <w:lang w:val="ro-MD"/>
        </w:rPr>
        <w:footnoteReference w:id="15"/>
      </w:r>
      <w:r w:rsidRPr="00363CFA">
        <w:rPr>
          <w:rFonts w:asciiTheme="majorHAnsi" w:hAnsiTheme="majorHAnsi" w:cstheme="majorHAnsi"/>
          <w:sz w:val="24"/>
          <w:szCs w:val="24"/>
          <w:lang w:val="ro-MD"/>
        </w:rPr>
        <w:t xml:space="preserve"> nu prevede pentru unitatea teritorial</w:t>
      </w:r>
      <w:r w:rsidR="00EC310E">
        <w:rPr>
          <w:rFonts w:asciiTheme="majorHAnsi" w:hAnsiTheme="majorHAnsi" w:cstheme="majorHAnsi"/>
          <w:sz w:val="24"/>
          <w:szCs w:val="24"/>
          <w:lang w:val="ro-MD"/>
        </w:rPr>
        <w:t xml:space="preserve">ă </w:t>
      </w:r>
      <w:r w:rsidRPr="00363CFA">
        <w:rPr>
          <w:rFonts w:asciiTheme="majorHAnsi" w:hAnsiTheme="majorHAnsi" w:cstheme="majorHAnsi"/>
          <w:sz w:val="24"/>
          <w:szCs w:val="24"/>
          <w:lang w:val="ro-MD"/>
        </w:rPr>
        <w:t>autonomă cu statut juridic special transferuri cu destina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ie generală, </w:t>
      </w:r>
      <w:r w:rsidR="00246C7B">
        <w:rPr>
          <w:rFonts w:asciiTheme="majorHAnsi" w:hAnsiTheme="majorHAnsi" w:cstheme="majorHAnsi"/>
          <w:sz w:val="24"/>
          <w:szCs w:val="24"/>
          <w:lang w:val="ro-MD"/>
        </w:rPr>
        <w:t xml:space="preserve">în baza prevederilor legilor bugetare anuale, </w:t>
      </w:r>
      <w:r w:rsidRPr="00363CFA">
        <w:rPr>
          <w:rFonts w:asciiTheme="majorHAnsi" w:hAnsiTheme="majorHAnsi" w:cstheme="majorHAnsi"/>
          <w:sz w:val="24"/>
          <w:szCs w:val="24"/>
          <w:lang w:val="ro-MD"/>
        </w:rPr>
        <w:t>în anul 2019, în scopul acoperirii par</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iale a cheltuielilor pentru implementarea prevederilor Legii </w:t>
      </w:r>
      <w:r w:rsidRPr="003C2D6D">
        <w:rPr>
          <w:rFonts w:asciiTheme="majorHAnsi" w:hAnsiTheme="majorHAnsi" w:cstheme="majorHAnsi"/>
          <w:sz w:val="24"/>
          <w:szCs w:val="24"/>
          <w:lang w:val="ro-MD"/>
        </w:rPr>
        <w:t>nr</w:t>
      </w:r>
      <w:r w:rsidRPr="00357830">
        <w:rPr>
          <w:rFonts w:asciiTheme="majorHAnsi" w:hAnsiTheme="majorHAnsi" w:cstheme="majorHAnsi"/>
          <w:sz w:val="24"/>
          <w:szCs w:val="24"/>
          <w:lang w:val="ro-MD"/>
        </w:rPr>
        <w:t xml:space="preserve">. 270/2018 </w:t>
      </w:r>
      <w:r w:rsidR="00357830" w:rsidRPr="00F30888">
        <w:rPr>
          <w:rFonts w:asciiTheme="majorHAnsi" w:hAnsiTheme="majorHAnsi" w:cstheme="majorHAnsi"/>
          <w:sz w:val="24"/>
          <w:szCs w:val="24"/>
          <w:lang w:val="ro-MD"/>
        </w:rPr>
        <w:t>p</w:t>
      </w:r>
      <w:r w:rsidRPr="00357830">
        <w:rPr>
          <w:rFonts w:asciiTheme="majorHAnsi" w:hAnsiTheme="majorHAnsi" w:cstheme="majorHAnsi"/>
          <w:sz w:val="24"/>
          <w:szCs w:val="24"/>
          <w:lang w:val="ro-MD"/>
        </w:rPr>
        <w:t>rivind</w:t>
      </w:r>
      <w:r w:rsidRPr="00363CFA">
        <w:rPr>
          <w:rFonts w:asciiTheme="majorHAnsi" w:hAnsiTheme="majorHAnsi" w:cstheme="majorHAnsi"/>
          <w:sz w:val="24"/>
          <w:szCs w:val="24"/>
          <w:lang w:val="ro-MD"/>
        </w:rPr>
        <w:t xml:space="preserve"> sistemul unitar de salarizare în sectorul bugetar</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au fost acordate acesteia TDG în sumă de </w:t>
      </w:r>
      <w:r w:rsidRPr="00363CFA">
        <w:rPr>
          <w:rFonts w:asciiTheme="majorHAnsi" w:hAnsiTheme="majorHAnsi" w:cstheme="majorHAnsi"/>
          <w:b/>
          <w:sz w:val="24"/>
          <w:szCs w:val="24"/>
          <w:lang w:val="ro-MD"/>
        </w:rPr>
        <w:t>42444,2 mii lei</w:t>
      </w:r>
      <w:r w:rsidRPr="00363CFA">
        <w:rPr>
          <w:rFonts w:asciiTheme="majorHAnsi" w:hAnsiTheme="majorHAnsi" w:cstheme="majorHAnsi"/>
          <w:sz w:val="24"/>
          <w:szCs w:val="24"/>
          <w:lang w:val="ro-MD"/>
        </w:rPr>
        <w:t xml:space="preserve">, din care: </w:t>
      </w:r>
      <w:r w:rsidRPr="00363CFA">
        <w:rPr>
          <w:rFonts w:asciiTheme="majorHAnsi" w:hAnsiTheme="majorHAnsi" w:cstheme="majorHAnsi"/>
          <w:b/>
          <w:sz w:val="24"/>
          <w:szCs w:val="24"/>
          <w:lang w:val="ro-MD"/>
        </w:rPr>
        <w:t>25353,7 mii lei</w:t>
      </w:r>
      <w:r w:rsidRPr="00363CFA">
        <w:rPr>
          <w:rFonts w:asciiTheme="majorHAnsi" w:hAnsiTheme="majorHAnsi" w:cstheme="majorHAnsi"/>
          <w:sz w:val="24"/>
          <w:szCs w:val="24"/>
          <w:lang w:val="ro-MD"/>
        </w:rPr>
        <w:t xml:space="preserve"> – TDS pentru învă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ăm</w:t>
      </w:r>
      <w:r w:rsidR="00EC310E">
        <w:rPr>
          <w:rFonts w:asciiTheme="majorHAnsi" w:hAnsiTheme="majorHAnsi" w:cstheme="majorHAnsi"/>
          <w:sz w:val="24"/>
          <w:szCs w:val="24"/>
          <w:lang w:val="ro-MD"/>
        </w:rPr>
        <w:t>â</w:t>
      </w:r>
      <w:r w:rsidRPr="00363CFA">
        <w:rPr>
          <w:rFonts w:asciiTheme="majorHAnsi" w:hAnsiTheme="majorHAnsi" w:cstheme="majorHAnsi"/>
          <w:sz w:val="24"/>
          <w:szCs w:val="24"/>
          <w:lang w:val="ro-MD"/>
        </w:rPr>
        <w:t xml:space="preserve">ntul general,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coli sportive, servicii sociale</w:t>
      </w:r>
      <w:r w:rsidR="00EC310E">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w:t>
      </w:r>
      <w:r w:rsidRPr="00363CFA">
        <w:rPr>
          <w:rFonts w:asciiTheme="majorHAnsi" w:hAnsiTheme="majorHAnsi" w:cstheme="majorHAnsi"/>
          <w:b/>
          <w:sz w:val="24"/>
          <w:szCs w:val="24"/>
          <w:lang w:val="ro-MD"/>
        </w:rPr>
        <w:t>17090,5 mii lei</w:t>
      </w:r>
      <w:r w:rsidRPr="00363CFA">
        <w:rPr>
          <w:rFonts w:asciiTheme="majorHAnsi" w:hAnsiTheme="majorHAnsi" w:cstheme="majorHAnsi"/>
          <w:sz w:val="24"/>
          <w:szCs w:val="24"/>
          <w:lang w:val="ro-MD"/>
        </w:rPr>
        <w:t xml:space="preserve"> </w:t>
      </w:r>
      <w:r w:rsidR="00737010" w:rsidRPr="00363CFA">
        <w:rPr>
          <w:rFonts w:asciiTheme="majorHAnsi" w:hAnsiTheme="majorHAnsi" w:cstheme="majorHAnsi"/>
          <w:sz w:val="24"/>
          <w:szCs w:val="24"/>
          <w:lang w:val="ro-MD"/>
        </w:rPr>
        <w:t xml:space="preserve">– pentru alte cheltuieli cu </w:t>
      </w:r>
      <w:r w:rsidRPr="00363CFA">
        <w:rPr>
          <w:rFonts w:asciiTheme="majorHAnsi" w:hAnsiTheme="majorHAnsi" w:cstheme="majorHAnsi"/>
          <w:sz w:val="24"/>
          <w:szCs w:val="24"/>
          <w:lang w:val="ro-MD"/>
        </w:rPr>
        <w:t xml:space="preserve">caracter </w:t>
      </w:r>
      <w:r w:rsidR="00737010" w:rsidRPr="00363CFA">
        <w:rPr>
          <w:rFonts w:asciiTheme="majorHAnsi" w:hAnsiTheme="majorHAnsi" w:cstheme="majorHAnsi"/>
          <w:sz w:val="24"/>
          <w:szCs w:val="24"/>
          <w:lang w:val="ro-MD"/>
        </w:rPr>
        <w:t>general</w:t>
      </w:r>
      <w:r w:rsidRPr="00363CFA">
        <w:rPr>
          <w:rFonts w:asciiTheme="majorHAnsi" w:hAnsiTheme="majorHAnsi" w:cstheme="majorHAnsi"/>
          <w:sz w:val="24"/>
          <w:szCs w:val="24"/>
          <w:lang w:val="ro-MD"/>
        </w:rPr>
        <w:t xml:space="preserve">. În anul 2020, </w:t>
      </w:r>
      <w:r w:rsidR="007E64D5">
        <w:rPr>
          <w:rFonts w:asciiTheme="majorHAnsi" w:hAnsiTheme="majorHAnsi" w:cstheme="majorHAnsi"/>
          <w:sz w:val="24"/>
          <w:szCs w:val="24"/>
          <w:lang w:val="ro-MD"/>
        </w:rPr>
        <w:t>s-au alocat</w:t>
      </w:r>
      <w:r w:rsidR="007E64D5" w:rsidRPr="00363CFA">
        <w:rPr>
          <w:rFonts w:asciiTheme="majorHAnsi" w:hAnsiTheme="majorHAnsi" w:cstheme="majorHAnsi"/>
          <w:sz w:val="24"/>
          <w:szCs w:val="24"/>
          <w:lang w:val="ro-MD"/>
        </w:rPr>
        <w:t xml:space="preserve"> UTA Găgăuzia </w:t>
      </w:r>
      <w:r w:rsidRPr="00363CFA">
        <w:rPr>
          <w:rFonts w:asciiTheme="majorHAnsi" w:hAnsiTheme="majorHAnsi" w:cstheme="majorHAnsi"/>
          <w:sz w:val="24"/>
          <w:szCs w:val="24"/>
          <w:lang w:val="ro-MD"/>
        </w:rPr>
        <w:t xml:space="preserve">TDG </w:t>
      </w:r>
      <w:r w:rsidR="007E64D5">
        <w:rPr>
          <w:rFonts w:asciiTheme="majorHAnsi" w:hAnsiTheme="majorHAnsi" w:cstheme="majorHAnsi"/>
          <w:sz w:val="24"/>
          <w:szCs w:val="24"/>
          <w:lang w:val="ro-MD"/>
        </w:rPr>
        <w:t>în sumă de</w:t>
      </w:r>
      <w:r w:rsidRPr="00363CFA">
        <w:rPr>
          <w:rFonts w:asciiTheme="majorHAnsi" w:hAnsiTheme="majorHAnsi" w:cstheme="majorHAnsi"/>
          <w:sz w:val="24"/>
          <w:szCs w:val="24"/>
          <w:lang w:val="ro-MD"/>
        </w:rPr>
        <w:t xml:space="preserve"> </w:t>
      </w:r>
      <w:r w:rsidRPr="00363CFA">
        <w:rPr>
          <w:rFonts w:asciiTheme="majorHAnsi" w:hAnsiTheme="majorHAnsi" w:cstheme="majorHAnsi"/>
          <w:b/>
          <w:sz w:val="24"/>
          <w:szCs w:val="24"/>
          <w:lang w:val="ro-MD"/>
        </w:rPr>
        <w:t>8592,4 mii lei</w:t>
      </w:r>
      <w:r w:rsidRPr="00363CFA">
        <w:rPr>
          <w:rFonts w:asciiTheme="majorHAnsi" w:hAnsiTheme="majorHAnsi" w:cstheme="majorHAnsi"/>
          <w:sz w:val="24"/>
          <w:szCs w:val="24"/>
          <w:lang w:val="ro-MD"/>
        </w:rPr>
        <w:t xml:space="preserve"> (repartizate de către </w:t>
      </w:r>
      <w:r w:rsidRPr="00EA1535">
        <w:rPr>
          <w:rFonts w:asciiTheme="majorHAnsi" w:hAnsiTheme="majorHAnsi" w:cstheme="majorHAnsi"/>
          <w:sz w:val="24"/>
          <w:szCs w:val="24"/>
          <w:lang w:val="ro-MD"/>
        </w:rPr>
        <w:t>MF pe</w:t>
      </w:r>
      <w:r w:rsidRPr="00363CFA">
        <w:rPr>
          <w:rFonts w:asciiTheme="majorHAnsi" w:hAnsiTheme="majorHAnsi" w:cstheme="majorHAnsi"/>
          <w:sz w:val="24"/>
          <w:szCs w:val="24"/>
          <w:lang w:val="ro-MD"/>
        </w:rPr>
        <w:t xml:space="preserve"> </w:t>
      </w:r>
      <w:r w:rsidR="006C4DFA" w:rsidRPr="00363CFA">
        <w:rPr>
          <w:rFonts w:asciiTheme="majorHAnsi" w:hAnsiTheme="majorHAnsi" w:cstheme="majorHAnsi"/>
          <w:sz w:val="24"/>
          <w:szCs w:val="24"/>
          <w:lang w:val="ro-MD"/>
        </w:rPr>
        <w:t>UAT de</w:t>
      </w:r>
      <w:r w:rsidRPr="00363CFA">
        <w:rPr>
          <w:rFonts w:asciiTheme="majorHAnsi" w:hAnsiTheme="majorHAnsi" w:cstheme="majorHAnsi"/>
          <w:sz w:val="24"/>
          <w:szCs w:val="24"/>
          <w:lang w:val="ro-MD"/>
        </w:rPr>
        <w:t xml:space="preserve"> niv</w:t>
      </w:r>
      <w:r w:rsidR="006C4DFA" w:rsidRPr="00363CFA">
        <w:rPr>
          <w:rFonts w:asciiTheme="majorHAnsi" w:hAnsiTheme="majorHAnsi" w:cstheme="majorHAnsi"/>
          <w:sz w:val="24"/>
          <w:szCs w:val="24"/>
          <w:lang w:val="ro-MD"/>
        </w:rPr>
        <w:t>elul</w:t>
      </w:r>
      <w:r w:rsidRPr="00363CFA">
        <w:rPr>
          <w:rFonts w:asciiTheme="majorHAnsi" w:hAnsiTheme="majorHAnsi" w:cstheme="majorHAnsi"/>
          <w:sz w:val="24"/>
          <w:szCs w:val="24"/>
          <w:lang w:val="ro-MD"/>
        </w:rPr>
        <w:t xml:space="preserve"> I</w:t>
      </w:r>
      <w:r w:rsidR="007E64D5">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w:t>
      </w:r>
      <w:r w:rsidR="007E64D5" w:rsidRPr="00363CFA">
        <w:rPr>
          <w:rFonts w:asciiTheme="majorHAnsi" w:hAnsiTheme="majorHAnsi" w:cstheme="majorHAnsi"/>
          <w:sz w:val="24"/>
          <w:szCs w:val="24"/>
          <w:lang w:val="ro-MD"/>
        </w:rPr>
        <w:t xml:space="preserve">bugetului central </w:t>
      </w:r>
      <w:r w:rsidR="007E64D5">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sum</w:t>
      </w:r>
      <w:r w:rsidR="007E64D5">
        <w:rPr>
          <w:rFonts w:asciiTheme="majorHAnsi" w:hAnsiTheme="majorHAnsi" w:cstheme="majorHAnsi"/>
          <w:sz w:val="24"/>
          <w:szCs w:val="24"/>
          <w:lang w:val="ro-MD"/>
        </w:rPr>
        <w:t xml:space="preserve">a </w:t>
      </w:r>
      <w:r w:rsidRPr="00363CFA">
        <w:rPr>
          <w:rFonts w:asciiTheme="majorHAnsi" w:hAnsiTheme="majorHAnsi" w:cstheme="majorHAnsi"/>
          <w:sz w:val="24"/>
          <w:szCs w:val="24"/>
          <w:lang w:val="ro-MD"/>
        </w:rPr>
        <w:t xml:space="preserve">de </w:t>
      </w:r>
      <w:r w:rsidRPr="00363CFA">
        <w:rPr>
          <w:rFonts w:asciiTheme="majorHAnsi" w:hAnsiTheme="majorHAnsi" w:cstheme="majorHAnsi"/>
          <w:b/>
          <w:sz w:val="24"/>
          <w:szCs w:val="24"/>
          <w:lang w:val="ro-MD"/>
        </w:rPr>
        <w:t>3124,1 mii lei</w:t>
      </w:r>
      <w:r w:rsidRPr="00363CFA">
        <w:rPr>
          <w:rFonts w:asciiTheme="majorHAnsi" w:hAnsiTheme="majorHAnsi" w:cstheme="majorHAnsi"/>
          <w:sz w:val="24"/>
          <w:szCs w:val="24"/>
          <w:lang w:val="ro-MD"/>
        </w:rPr>
        <w:t xml:space="preserve"> (aloca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ii precizate în fondul de rezervă). Potrivit </w:t>
      </w:r>
      <w:r w:rsidR="00737010" w:rsidRPr="00363CFA">
        <w:rPr>
          <w:rFonts w:asciiTheme="majorHAnsi" w:hAnsiTheme="majorHAnsi" w:cstheme="majorHAnsi"/>
          <w:sz w:val="24"/>
          <w:szCs w:val="24"/>
          <w:lang w:val="ro-MD"/>
        </w:rPr>
        <w:t>scrisorii</w:t>
      </w:r>
      <w:r w:rsidRPr="00363CFA">
        <w:rPr>
          <w:rFonts w:asciiTheme="majorHAnsi" w:hAnsiTheme="majorHAnsi" w:cstheme="majorHAnsi"/>
          <w:sz w:val="24"/>
          <w:szCs w:val="24"/>
          <w:lang w:val="ro-MD"/>
        </w:rPr>
        <w:t xml:space="preserve"> MF</w:t>
      </w:r>
      <w:r w:rsidR="007E64D5">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aceste aloca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ii au fost atribuite în </w:t>
      </w:r>
      <w:r w:rsidRPr="00363CFA">
        <w:rPr>
          <w:rFonts w:asciiTheme="majorHAnsi" w:hAnsiTheme="majorHAnsi" w:cstheme="majorHAnsi"/>
          <w:color w:val="000000" w:themeColor="text1"/>
          <w:sz w:val="24"/>
          <w:szCs w:val="24"/>
          <w:lang w:val="ro-MD"/>
        </w:rPr>
        <w:t xml:space="preserve">scopul compensării veniturilor ratate </w:t>
      </w:r>
      <w:r w:rsidR="009867CB" w:rsidRPr="00363CFA">
        <w:rPr>
          <w:rFonts w:asciiTheme="majorHAnsi" w:hAnsiTheme="majorHAnsi" w:cstheme="majorHAnsi"/>
          <w:color w:val="000000" w:themeColor="text1"/>
          <w:sz w:val="24"/>
          <w:szCs w:val="24"/>
          <w:lang w:val="ro-MD"/>
        </w:rPr>
        <w:t xml:space="preserve">de bugetele </w:t>
      </w:r>
      <w:r w:rsidRPr="00363CFA">
        <w:rPr>
          <w:rFonts w:asciiTheme="majorHAnsi" w:hAnsiTheme="majorHAnsi" w:cstheme="majorHAnsi"/>
          <w:color w:val="000000" w:themeColor="text1"/>
          <w:sz w:val="24"/>
          <w:szCs w:val="24"/>
          <w:lang w:val="ro-MD"/>
        </w:rPr>
        <w:t>locale, în special din impozitul pe veniturile persoanelor fizice</w:t>
      </w:r>
      <w:r w:rsidR="007E64D5">
        <w:rPr>
          <w:rFonts w:asciiTheme="majorHAnsi" w:hAnsiTheme="majorHAnsi" w:cstheme="majorHAnsi"/>
          <w:color w:val="000000" w:themeColor="text1"/>
          <w:sz w:val="24"/>
          <w:szCs w:val="24"/>
          <w:lang w:val="ro-MD"/>
        </w:rPr>
        <w:t>, î</w:t>
      </w:r>
      <w:r w:rsidRPr="00363CFA">
        <w:rPr>
          <w:rFonts w:asciiTheme="majorHAnsi" w:hAnsiTheme="majorHAnsi" w:cstheme="majorHAnsi"/>
          <w:color w:val="000000" w:themeColor="text1"/>
          <w:sz w:val="24"/>
          <w:szCs w:val="24"/>
          <w:lang w:val="ro-MD"/>
        </w:rPr>
        <w:t xml:space="preserve">nsă analiza încasărilor la bugetul UAT din UTA Găgăuzia denotă că acestea, în perioada </w:t>
      </w:r>
      <w:r w:rsidR="007D2E2E">
        <w:rPr>
          <w:rFonts w:asciiTheme="majorHAnsi" w:hAnsiTheme="majorHAnsi" w:cstheme="majorHAnsi"/>
          <w:color w:val="000000" w:themeColor="text1"/>
          <w:sz w:val="24"/>
          <w:szCs w:val="24"/>
          <w:lang w:val="ro-MD"/>
        </w:rPr>
        <w:t xml:space="preserve">anilor </w:t>
      </w:r>
      <w:r w:rsidRPr="00363CFA">
        <w:rPr>
          <w:rFonts w:asciiTheme="majorHAnsi" w:hAnsiTheme="majorHAnsi" w:cstheme="majorHAnsi"/>
          <w:color w:val="000000" w:themeColor="text1"/>
          <w:sz w:val="24"/>
          <w:szCs w:val="24"/>
          <w:lang w:val="ro-MD"/>
        </w:rPr>
        <w:t>2018-2020, sunt în cre</w:t>
      </w:r>
      <w:r w:rsidR="0069374B" w:rsidRPr="00363CFA">
        <w:rPr>
          <w:rFonts w:asciiTheme="majorHAnsi" w:hAnsiTheme="majorHAnsi" w:cstheme="majorHAnsi"/>
          <w:color w:val="000000" w:themeColor="text1"/>
          <w:sz w:val="24"/>
          <w:szCs w:val="24"/>
          <w:lang w:val="ro-MD"/>
        </w:rPr>
        <w:t>ș</w:t>
      </w:r>
      <w:r w:rsidRPr="00363CFA">
        <w:rPr>
          <w:rFonts w:asciiTheme="majorHAnsi" w:hAnsiTheme="majorHAnsi" w:cstheme="majorHAnsi"/>
          <w:color w:val="000000" w:themeColor="text1"/>
          <w:sz w:val="24"/>
          <w:szCs w:val="24"/>
          <w:lang w:val="ro-MD"/>
        </w:rPr>
        <w:t xml:space="preserve">tere. </w:t>
      </w:r>
    </w:p>
    <w:p w14:paraId="6E679DA8" w14:textId="2A370B22" w:rsidR="006E7D09" w:rsidRPr="00363CFA" w:rsidRDefault="006C4DFA" w:rsidP="00767ED8">
      <w:pPr>
        <w:spacing w:after="0" w:line="276" w:lineRule="auto"/>
        <w:ind w:right="-187" w:firstLine="720"/>
        <w:jc w:val="both"/>
        <w:rPr>
          <w:rFonts w:asciiTheme="majorHAnsi" w:hAnsiTheme="majorHAnsi" w:cstheme="majorHAnsi"/>
          <w:b/>
          <w:sz w:val="24"/>
          <w:szCs w:val="24"/>
          <w:lang w:val="ro-MD"/>
        </w:rPr>
      </w:pPr>
      <w:r w:rsidRPr="00363CFA">
        <w:rPr>
          <w:rFonts w:asciiTheme="majorHAnsi" w:hAnsiTheme="majorHAnsi" w:cstheme="majorHAnsi"/>
          <w:sz w:val="24"/>
          <w:szCs w:val="24"/>
          <w:lang w:val="ro-MD"/>
        </w:rPr>
        <w:t>P</w:t>
      </w:r>
      <w:r w:rsidR="006E7D09" w:rsidRPr="00363CFA">
        <w:rPr>
          <w:rFonts w:asciiTheme="majorHAnsi" w:hAnsiTheme="majorHAnsi" w:cstheme="majorHAnsi"/>
          <w:sz w:val="24"/>
          <w:szCs w:val="24"/>
          <w:lang w:val="ro-MD"/>
        </w:rPr>
        <w:t>otrivit cadrului normativ</w:t>
      </w:r>
      <w:r w:rsidR="00271AAD" w:rsidRPr="00363CFA">
        <w:rPr>
          <w:rStyle w:val="FootnoteReference"/>
          <w:rFonts w:asciiTheme="majorHAnsi" w:hAnsiTheme="majorHAnsi" w:cstheme="majorHAnsi"/>
          <w:sz w:val="24"/>
          <w:szCs w:val="24"/>
          <w:lang w:val="ro-MD"/>
        </w:rPr>
        <w:footnoteReference w:id="16"/>
      </w:r>
      <w:r w:rsidR="006E7D09" w:rsidRPr="00363CFA">
        <w:rPr>
          <w:rFonts w:asciiTheme="majorHAnsi" w:hAnsiTheme="majorHAnsi" w:cstheme="majorHAnsi"/>
          <w:sz w:val="24"/>
          <w:szCs w:val="24"/>
          <w:lang w:val="ro-MD"/>
        </w:rPr>
        <w:t xml:space="preserve"> în vigoare</w:t>
      </w:r>
      <w:r w:rsidR="007D2E2E">
        <w:rPr>
          <w:rFonts w:asciiTheme="majorHAnsi" w:hAnsiTheme="majorHAnsi" w:cstheme="majorHAnsi"/>
          <w:sz w:val="24"/>
          <w:szCs w:val="24"/>
          <w:lang w:val="ro-MD"/>
        </w:rPr>
        <w:t>,</w:t>
      </w:r>
      <w:r w:rsidR="00090E3D" w:rsidRPr="00363CFA">
        <w:rPr>
          <w:rFonts w:asciiTheme="majorHAnsi" w:hAnsiTheme="majorHAnsi" w:cstheme="majorHAnsi"/>
          <w:sz w:val="24"/>
          <w:szCs w:val="24"/>
          <w:lang w:val="ro-MD"/>
        </w:rPr>
        <w:t xml:space="preserve"> în bugetul UTA Găgăuzia se încasează 100% din</w:t>
      </w:r>
      <w:r w:rsidR="006E7D09" w:rsidRPr="00363CFA">
        <w:rPr>
          <w:rFonts w:asciiTheme="majorHAnsi" w:hAnsiTheme="majorHAnsi" w:cstheme="majorHAnsi"/>
          <w:sz w:val="24"/>
          <w:szCs w:val="24"/>
          <w:lang w:val="ro-MD"/>
        </w:rPr>
        <w:t xml:space="preserve"> impozitul </w:t>
      </w:r>
      <w:r w:rsidR="006E7D09" w:rsidRPr="00F30888">
        <w:rPr>
          <w:rFonts w:asciiTheme="majorHAnsi" w:hAnsiTheme="majorHAnsi" w:cstheme="majorHAnsi"/>
          <w:sz w:val="24"/>
          <w:szCs w:val="24"/>
          <w:lang w:val="ro-MD"/>
        </w:rPr>
        <w:t>pe venit</w:t>
      </w:r>
      <w:r w:rsidR="00420561">
        <w:rPr>
          <w:rFonts w:asciiTheme="majorHAnsi" w:hAnsiTheme="majorHAnsi" w:cstheme="majorHAnsi"/>
          <w:sz w:val="24"/>
          <w:szCs w:val="24"/>
          <w:lang w:val="ro-MD"/>
        </w:rPr>
        <w:t>u</w:t>
      </w:r>
      <w:r w:rsidR="00090E3D" w:rsidRPr="00F30888">
        <w:rPr>
          <w:rFonts w:asciiTheme="majorHAnsi" w:hAnsiTheme="majorHAnsi" w:cstheme="majorHAnsi"/>
          <w:sz w:val="24"/>
          <w:szCs w:val="24"/>
          <w:lang w:val="ro-MD"/>
        </w:rPr>
        <w:t xml:space="preserve">l persoanelor fizice </w:t>
      </w:r>
      <w:r w:rsidR="0069374B" w:rsidRPr="00F30888">
        <w:rPr>
          <w:rFonts w:asciiTheme="majorHAnsi" w:hAnsiTheme="majorHAnsi" w:cstheme="majorHAnsi"/>
          <w:sz w:val="24"/>
          <w:szCs w:val="24"/>
          <w:lang w:val="ro-MD"/>
        </w:rPr>
        <w:t>ș</w:t>
      </w:r>
      <w:r w:rsidR="00090E3D" w:rsidRPr="00F30888">
        <w:rPr>
          <w:rFonts w:asciiTheme="majorHAnsi" w:hAnsiTheme="majorHAnsi" w:cstheme="majorHAnsi"/>
          <w:sz w:val="24"/>
          <w:szCs w:val="24"/>
          <w:lang w:val="ro-MD"/>
        </w:rPr>
        <w:t>i juridice</w:t>
      </w:r>
      <w:r w:rsidR="006E7D09" w:rsidRPr="00F30888">
        <w:rPr>
          <w:rFonts w:asciiTheme="majorHAnsi" w:hAnsiTheme="majorHAnsi" w:cstheme="majorHAnsi"/>
          <w:sz w:val="24"/>
          <w:szCs w:val="24"/>
          <w:lang w:val="ro-MD"/>
        </w:rPr>
        <w:t>,</w:t>
      </w:r>
      <w:r w:rsidR="00090E3D" w:rsidRPr="00F30888">
        <w:rPr>
          <w:rFonts w:asciiTheme="majorHAnsi" w:hAnsiTheme="majorHAnsi" w:cstheme="majorHAnsi"/>
          <w:sz w:val="24"/>
          <w:szCs w:val="24"/>
          <w:lang w:val="ro-MD"/>
        </w:rPr>
        <w:t xml:space="preserve"> TVA </w:t>
      </w:r>
      <w:r w:rsidR="0069374B" w:rsidRPr="00F30888">
        <w:rPr>
          <w:rFonts w:asciiTheme="majorHAnsi" w:hAnsiTheme="majorHAnsi" w:cstheme="majorHAnsi"/>
          <w:sz w:val="24"/>
          <w:szCs w:val="24"/>
          <w:lang w:val="ro-MD"/>
        </w:rPr>
        <w:t>ș</w:t>
      </w:r>
      <w:r w:rsidR="00090E3D" w:rsidRPr="00F30888">
        <w:rPr>
          <w:rFonts w:asciiTheme="majorHAnsi" w:hAnsiTheme="majorHAnsi" w:cstheme="majorHAnsi"/>
          <w:sz w:val="24"/>
          <w:szCs w:val="24"/>
          <w:lang w:val="ro-MD"/>
        </w:rPr>
        <w:t xml:space="preserve">i </w:t>
      </w:r>
      <w:r w:rsidR="007D2E2E" w:rsidRPr="00F30888">
        <w:rPr>
          <w:rFonts w:asciiTheme="majorHAnsi" w:hAnsiTheme="majorHAnsi" w:cstheme="majorHAnsi"/>
          <w:sz w:val="24"/>
          <w:szCs w:val="24"/>
          <w:lang w:val="ro-MD"/>
        </w:rPr>
        <w:t>a</w:t>
      </w:r>
      <w:r w:rsidR="00090E3D" w:rsidRPr="00F30888">
        <w:rPr>
          <w:rFonts w:asciiTheme="majorHAnsi" w:hAnsiTheme="majorHAnsi" w:cstheme="majorHAnsi"/>
          <w:sz w:val="24"/>
          <w:szCs w:val="24"/>
          <w:lang w:val="ro-MD"/>
        </w:rPr>
        <w:t>ccize</w:t>
      </w:r>
      <w:r w:rsidR="00271AAD" w:rsidRPr="00F30888">
        <w:rPr>
          <w:rFonts w:asciiTheme="majorHAnsi" w:hAnsiTheme="majorHAnsi" w:cstheme="majorHAnsi"/>
          <w:sz w:val="24"/>
          <w:szCs w:val="24"/>
          <w:lang w:val="ro-MD"/>
        </w:rPr>
        <w:t>.</w:t>
      </w:r>
      <w:r w:rsidR="006E7D09" w:rsidRPr="00F30888">
        <w:rPr>
          <w:rFonts w:asciiTheme="majorHAnsi" w:hAnsiTheme="majorHAnsi" w:cstheme="majorHAnsi"/>
          <w:sz w:val="24"/>
          <w:szCs w:val="24"/>
          <w:lang w:val="ro-MD"/>
        </w:rPr>
        <w:t xml:space="preserve"> </w:t>
      </w:r>
      <w:r w:rsidR="00CB533C" w:rsidRPr="00F30888">
        <w:rPr>
          <w:rFonts w:asciiTheme="majorHAnsi" w:hAnsiTheme="majorHAnsi" w:cstheme="majorHAnsi"/>
          <w:sz w:val="24"/>
          <w:szCs w:val="24"/>
          <w:lang w:val="ro-MD"/>
        </w:rPr>
        <w:t>De exemplu</w:t>
      </w:r>
      <w:r w:rsidR="00090E3D" w:rsidRPr="00F30888">
        <w:rPr>
          <w:rFonts w:asciiTheme="majorHAnsi" w:hAnsiTheme="majorHAnsi" w:cstheme="majorHAnsi"/>
          <w:sz w:val="24"/>
          <w:szCs w:val="24"/>
          <w:lang w:val="ro-MD"/>
        </w:rPr>
        <w:t>, în anul 2020</w:t>
      </w:r>
      <w:r w:rsidR="007D2E2E" w:rsidRPr="00F30888">
        <w:rPr>
          <w:rFonts w:asciiTheme="majorHAnsi" w:hAnsiTheme="majorHAnsi" w:cstheme="majorHAnsi"/>
          <w:sz w:val="24"/>
          <w:szCs w:val="24"/>
          <w:lang w:val="ro-MD"/>
        </w:rPr>
        <w:t>,</w:t>
      </w:r>
      <w:r w:rsidR="00090E3D" w:rsidRPr="00F30888">
        <w:rPr>
          <w:rFonts w:asciiTheme="majorHAnsi" w:hAnsiTheme="majorHAnsi" w:cstheme="majorHAnsi"/>
          <w:sz w:val="24"/>
          <w:szCs w:val="24"/>
          <w:lang w:val="ro-MD"/>
        </w:rPr>
        <w:t xml:space="preserve"> în bugetul UTA Găgăuzia </w:t>
      </w:r>
      <w:r w:rsidR="00420561">
        <w:rPr>
          <w:rFonts w:asciiTheme="majorHAnsi" w:hAnsiTheme="majorHAnsi" w:cstheme="majorHAnsi"/>
          <w:sz w:val="24"/>
          <w:szCs w:val="24"/>
          <w:lang w:val="ro-MD"/>
        </w:rPr>
        <w:t>s-</w:t>
      </w:r>
      <w:r w:rsidR="00090E3D" w:rsidRPr="00F30888">
        <w:rPr>
          <w:rFonts w:asciiTheme="majorHAnsi" w:hAnsiTheme="majorHAnsi" w:cstheme="majorHAnsi"/>
          <w:sz w:val="24"/>
          <w:szCs w:val="24"/>
          <w:lang w:val="ro-MD"/>
        </w:rPr>
        <w:t>au încasat: impozit</w:t>
      </w:r>
      <w:r w:rsidR="00420561">
        <w:rPr>
          <w:rFonts w:asciiTheme="majorHAnsi" w:hAnsiTheme="majorHAnsi" w:cstheme="majorHAnsi"/>
          <w:sz w:val="24"/>
          <w:szCs w:val="24"/>
          <w:lang w:val="ro-MD"/>
        </w:rPr>
        <w:t>ul</w:t>
      </w:r>
      <w:r w:rsidR="00090E3D" w:rsidRPr="00F30888">
        <w:rPr>
          <w:rFonts w:asciiTheme="majorHAnsi" w:hAnsiTheme="majorHAnsi" w:cstheme="majorHAnsi"/>
          <w:sz w:val="24"/>
          <w:szCs w:val="24"/>
          <w:lang w:val="ro-MD"/>
        </w:rPr>
        <w:t xml:space="preserve"> pe venit</w:t>
      </w:r>
      <w:r w:rsidR="004829FF" w:rsidRPr="00F30888">
        <w:rPr>
          <w:rFonts w:asciiTheme="majorHAnsi" w:hAnsiTheme="majorHAnsi" w:cstheme="majorHAnsi"/>
          <w:sz w:val="24"/>
          <w:szCs w:val="24"/>
          <w:lang w:val="ro-MD"/>
        </w:rPr>
        <w:t>ul</w:t>
      </w:r>
      <w:r w:rsidR="00090E3D" w:rsidRPr="00F30888">
        <w:rPr>
          <w:rFonts w:asciiTheme="majorHAnsi" w:hAnsiTheme="majorHAnsi" w:cstheme="majorHAnsi"/>
          <w:sz w:val="24"/>
          <w:szCs w:val="24"/>
          <w:lang w:val="ro-MD"/>
        </w:rPr>
        <w:t xml:space="preserve"> persoane</w:t>
      </w:r>
      <w:r w:rsidR="004829FF" w:rsidRPr="00F30888">
        <w:rPr>
          <w:rFonts w:asciiTheme="majorHAnsi" w:hAnsiTheme="majorHAnsi" w:cstheme="majorHAnsi"/>
          <w:sz w:val="24"/>
          <w:szCs w:val="24"/>
          <w:lang w:val="ro-MD"/>
        </w:rPr>
        <w:t>lor</w:t>
      </w:r>
      <w:r w:rsidR="00090E3D" w:rsidRPr="00F30888">
        <w:rPr>
          <w:rFonts w:asciiTheme="majorHAnsi" w:hAnsiTheme="majorHAnsi" w:cstheme="majorHAnsi"/>
          <w:sz w:val="24"/>
          <w:szCs w:val="24"/>
          <w:lang w:val="ro-MD"/>
        </w:rPr>
        <w:t xml:space="preserve"> fizice – 115113,4 mii lei,</w:t>
      </w:r>
      <w:r w:rsidR="004829FF" w:rsidRPr="00F30888">
        <w:rPr>
          <w:rFonts w:asciiTheme="majorHAnsi" w:hAnsiTheme="majorHAnsi" w:cstheme="majorHAnsi"/>
          <w:sz w:val="24"/>
          <w:szCs w:val="24"/>
          <w:lang w:val="ro-MD"/>
        </w:rPr>
        <w:t xml:space="preserve"> </w:t>
      </w:r>
      <w:r w:rsidR="00090E3D" w:rsidRPr="00F30888">
        <w:rPr>
          <w:rFonts w:asciiTheme="majorHAnsi" w:hAnsiTheme="majorHAnsi" w:cstheme="majorHAnsi"/>
          <w:sz w:val="24"/>
          <w:szCs w:val="24"/>
          <w:lang w:val="ro-MD"/>
        </w:rPr>
        <w:t xml:space="preserve"> </w:t>
      </w:r>
      <w:r w:rsidR="004829FF" w:rsidRPr="00F30888">
        <w:rPr>
          <w:rFonts w:asciiTheme="majorHAnsi" w:hAnsiTheme="majorHAnsi" w:cstheme="majorHAnsi"/>
          <w:sz w:val="24"/>
          <w:szCs w:val="24"/>
          <w:lang w:val="ro-MD"/>
        </w:rPr>
        <w:t>impozit</w:t>
      </w:r>
      <w:r w:rsidR="00420561">
        <w:rPr>
          <w:rFonts w:asciiTheme="majorHAnsi" w:hAnsiTheme="majorHAnsi" w:cstheme="majorHAnsi"/>
          <w:sz w:val="24"/>
          <w:szCs w:val="24"/>
          <w:lang w:val="ro-MD"/>
        </w:rPr>
        <w:t>ul</w:t>
      </w:r>
      <w:r w:rsidR="004829FF" w:rsidRPr="00F30888">
        <w:rPr>
          <w:rFonts w:asciiTheme="majorHAnsi" w:hAnsiTheme="majorHAnsi" w:cstheme="majorHAnsi"/>
          <w:sz w:val="24"/>
          <w:szCs w:val="24"/>
          <w:lang w:val="ro-MD"/>
        </w:rPr>
        <w:t xml:space="preserve"> pe venit</w:t>
      </w:r>
      <w:r w:rsidR="007D2E2E" w:rsidRPr="00F30888">
        <w:rPr>
          <w:rFonts w:asciiTheme="majorHAnsi" w:hAnsiTheme="majorHAnsi" w:cstheme="majorHAnsi"/>
          <w:sz w:val="24"/>
          <w:szCs w:val="24"/>
          <w:lang w:val="ro-MD"/>
        </w:rPr>
        <w:t>ul</w:t>
      </w:r>
      <w:r w:rsidR="004829FF" w:rsidRPr="00F30888">
        <w:rPr>
          <w:rFonts w:asciiTheme="majorHAnsi" w:hAnsiTheme="majorHAnsi" w:cstheme="majorHAnsi"/>
          <w:sz w:val="24"/>
          <w:szCs w:val="24"/>
          <w:lang w:val="ro-MD"/>
        </w:rPr>
        <w:t xml:space="preserve"> persoane</w:t>
      </w:r>
      <w:r w:rsidR="007D2E2E" w:rsidRPr="00F30888">
        <w:rPr>
          <w:rFonts w:asciiTheme="majorHAnsi" w:hAnsiTheme="majorHAnsi" w:cstheme="majorHAnsi"/>
          <w:sz w:val="24"/>
          <w:szCs w:val="24"/>
          <w:lang w:val="ro-MD"/>
        </w:rPr>
        <w:t>lor</w:t>
      </w:r>
      <w:r w:rsidR="004829FF" w:rsidRPr="00F30888">
        <w:rPr>
          <w:rFonts w:asciiTheme="majorHAnsi" w:hAnsiTheme="majorHAnsi" w:cstheme="majorHAnsi"/>
          <w:sz w:val="24"/>
          <w:szCs w:val="24"/>
          <w:lang w:val="ro-MD"/>
        </w:rPr>
        <w:t xml:space="preserve"> juridice - </w:t>
      </w:r>
      <w:r w:rsidR="004829FF" w:rsidRPr="00F30888">
        <w:rPr>
          <w:rFonts w:asciiTheme="majorHAnsi" w:hAnsiTheme="majorHAnsi" w:cstheme="majorHAnsi"/>
          <w:b/>
          <w:sz w:val="24"/>
          <w:szCs w:val="24"/>
          <w:lang w:val="ro-MD"/>
        </w:rPr>
        <w:t xml:space="preserve">89743,1 mii lei, </w:t>
      </w:r>
      <w:r w:rsidR="004829FF" w:rsidRPr="00F30888">
        <w:rPr>
          <w:rFonts w:asciiTheme="majorHAnsi" w:hAnsiTheme="majorHAnsi" w:cstheme="majorHAnsi"/>
          <w:sz w:val="24"/>
          <w:szCs w:val="24"/>
          <w:lang w:val="ro-MD"/>
        </w:rPr>
        <w:t xml:space="preserve">TVA – </w:t>
      </w:r>
      <w:r w:rsidR="004829FF" w:rsidRPr="00F30888">
        <w:rPr>
          <w:rFonts w:asciiTheme="majorHAnsi" w:hAnsiTheme="majorHAnsi" w:cstheme="majorHAnsi"/>
          <w:b/>
          <w:sz w:val="24"/>
          <w:szCs w:val="24"/>
          <w:lang w:val="ro-MD"/>
        </w:rPr>
        <w:t>83760,7 mii lei</w:t>
      </w:r>
      <w:r w:rsidR="007D2E2E" w:rsidRPr="00F30888">
        <w:rPr>
          <w:rFonts w:asciiTheme="majorHAnsi" w:hAnsiTheme="majorHAnsi" w:cstheme="majorHAnsi"/>
          <w:b/>
          <w:sz w:val="24"/>
          <w:szCs w:val="24"/>
          <w:lang w:val="ro-MD"/>
        </w:rPr>
        <w:t>,</w:t>
      </w:r>
      <w:r w:rsidR="004829FF" w:rsidRPr="00F30888">
        <w:rPr>
          <w:rFonts w:asciiTheme="majorHAnsi" w:hAnsiTheme="majorHAnsi" w:cstheme="majorHAnsi"/>
          <w:sz w:val="24"/>
          <w:szCs w:val="24"/>
          <w:lang w:val="ro-MD"/>
        </w:rPr>
        <w:t xml:space="preserve"> </w:t>
      </w:r>
      <w:r w:rsidR="0069374B" w:rsidRPr="00F30888">
        <w:rPr>
          <w:rFonts w:asciiTheme="majorHAnsi" w:hAnsiTheme="majorHAnsi" w:cstheme="majorHAnsi"/>
          <w:sz w:val="24"/>
          <w:szCs w:val="24"/>
          <w:lang w:val="ro-MD"/>
        </w:rPr>
        <w:t>ș</w:t>
      </w:r>
      <w:r w:rsidR="004829FF" w:rsidRPr="00F30888">
        <w:rPr>
          <w:rFonts w:asciiTheme="majorHAnsi" w:hAnsiTheme="majorHAnsi" w:cstheme="majorHAnsi"/>
          <w:sz w:val="24"/>
          <w:szCs w:val="24"/>
          <w:lang w:val="ro-MD"/>
        </w:rPr>
        <w:t xml:space="preserve">i </w:t>
      </w:r>
      <w:r w:rsidR="007D2E2E" w:rsidRPr="00F30888">
        <w:rPr>
          <w:rFonts w:asciiTheme="majorHAnsi" w:hAnsiTheme="majorHAnsi" w:cstheme="majorHAnsi"/>
          <w:sz w:val="24"/>
          <w:szCs w:val="24"/>
          <w:lang w:val="ro-MD"/>
        </w:rPr>
        <w:t>a</w:t>
      </w:r>
      <w:r w:rsidR="004829FF" w:rsidRPr="00F30888">
        <w:rPr>
          <w:rFonts w:asciiTheme="majorHAnsi" w:hAnsiTheme="majorHAnsi" w:cstheme="majorHAnsi"/>
          <w:sz w:val="24"/>
          <w:szCs w:val="24"/>
          <w:lang w:val="ro-MD"/>
        </w:rPr>
        <w:t xml:space="preserve">ccize – </w:t>
      </w:r>
      <w:r w:rsidR="004829FF" w:rsidRPr="00F30888">
        <w:rPr>
          <w:rFonts w:asciiTheme="majorHAnsi" w:hAnsiTheme="majorHAnsi" w:cstheme="majorHAnsi"/>
          <w:b/>
          <w:sz w:val="24"/>
          <w:szCs w:val="24"/>
          <w:lang w:val="ro-MD"/>
        </w:rPr>
        <w:t>3073,4 mii lei</w:t>
      </w:r>
      <w:r w:rsidR="004829FF" w:rsidRPr="00F30888">
        <w:rPr>
          <w:rFonts w:asciiTheme="majorHAnsi" w:hAnsiTheme="majorHAnsi" w:cstheme="majorHAnsi"/>
          <w:sz w:val="24"/>
          <w:szCs w:val="24"/>
          <w:lang w:val="ro-MD"/>
        </w:rPr>
        <w:t xml:space="preserve">. </w:t>
      </w:r>
      <w:r w:rsidRPr="00F30888">
        <w:rPr>
          <w:rFonts w:asciiTheme="majorHAnsi" w:hAnsiTheme="majorHAnsi" w:cstheme="majorHAnsi"/>
          <w:sz w:val="24"/>
          <w:szCs w:val="24"/>
          <w:lang w:val="ro-MD"/>
        </w:rPr>
        <w:t>În același timp,</w:t>
      </w:r>
      <w:r w:rsidR="006E7D09" w:rsidRPr="00F30888">
        <w:rPr>
          <w:rFonts w:asciiTheme="majorHAnsi" w:hAnsiTheme="majorHAnsi" w:cstheme="majorHAnsi"/>
          <w:sz w:val="24"/>
          <w:szCs w:val="24"/>
          <w:lang w:val="ro-MD"/>
        </w:rPr>
        <w:t xml:space="preserve"> restituirile </w:t>
      </w:r>
      <w:r w:rsidR="00C92542" w:rsidRPr="00F30888">
        <w:rPr>
          <w:rFonts w:asciiTheme="majorHAnsi" w:hAnsiTheme="majorHAnsi" w:cstheme="majorHAnsi"/>
          <w:sz w:val="24"/>
          <w:szCs w:val="24"/>
          <w:lang w:val="ro-MD"/>
        </w:rPr>
        <w:t>impozitul</w:t>
      </w:r>
      <w:r w:rsidRPr="00F30888">
        <w:rPr>
          <w:rFonts w:asciiTheme="majorHAnsi" w:hAnsiTheme="majorHAnsi" w:cstheme="majorHAnsi"/>
          <w:sz w:val="24"/>
          <w:szCs w:val="24"/>
          <w:lang w:val="ro-MD"/>
        </w:rPr>
        <w:t>ui</w:t>
      </w:r>
      <w:r w:rsidR="00C92542" w:rsidRPr="00F30888">
        <w:rPr>
          <w:rFonts w:asciiTheme="majorHAnsi" w:hAnsiTheme="majorHAnsi" w:cstheme="majorHAnsi"/>
          <w:sz w:val="24"/>
          <w:szCs w:val="24"/>
          <w:lang w:val="ro-MD"/>
        </w:rPr>
        <w:t xml:space="preserve"> pe venit</w:t>
      </w:r>
      <w:r w:rsidR="007D2E2E" w:rsidRPr="00F30888">
        <w:rPr>
          <w:rFonts w:asciiTheme="majorHAnsi" w:hAnsiTheme="majorHAnsi" w:cstheme="majorHAnsi"/>
          <w:sz w:val="24"/>
          <w:szCs w:val="24"/>
          <w:lang w:val="ro-MD"/>
        </w:rPr>
        <w:t>ul</w:t>
      </w:r>
      <w:r w:rsidR="00C92542" w:rsidRPr="00F30888">
        <w:rPr>
          <w:rFonts w:asciiTheme="majorHAnsi" w:hAnsiTheme="majorHAnsi" w:cstheme="majorHAnsi"/>
          <w:sz w:val="24"/>
          <w:szCs w:val="24"/>
          <w:lang w:val="ro-MD"/>
        </w:rPr>
        <w:t xml:space="preserve"> persoane</w:t>
      </w:r>
      <w:r w:rsidR="007D2E2E" w:rsidRPr="00F30888">
        <w:rPr>
          <w:rFonts w:asciiTheme="majorHAnsi" w:hAnsiTheme="majorHAnsi" w:cstheme="majorHAnsi"/>
          <w:sz w:val="24"/>
          <w:szCs w:val="24"/>
          <w:lang w:val="ro-MD"/>
        </w:rPr>
        <w:t>lor</w:t>
      </w:r>
      <w:r w:rsidR="00C92542" w:rsidRPr="00F30888">
        <w:rPr>
          <w:rFonts w:asciiTheme="majorHAnsi" w:hAnsiTheme="majorHAnsi" w:cstheme="majorHAnsi"/>
          <w:sz w:val="24"/>
          <w:szCs w:val="24"/>
          <w:lang w:val="ro-MD"/>
        </w:rPr>
        <w:t xml:space="preserve"> fizice, TVA </w:t>
      </w:r>
      <w:r w:rsidR="0069374B" w:rsidRPr="00F30888">
        <w:rPr>
          <w:rFonts w:asciiTheme="majorHAnsi" w:hAnsiTheme="majorHAnsi" w:cstheme="majorHAnsi"/>
          <w:sz w:val="24"/>
          <w:szCs w:val="24"/>
          <w:lang w:val="ro-MD"/>
        </w:rPr>
        <w:t>ș</w:t>
      </w:r>
      <w:r w:rsidR="00C92542" w:rsidRPr="00F30888">
        <w:rPr>
          <w:rFonts w:asciiTheme="majorHAnsi" w:hAnsiTheme="majorHAnsi" w:cstheme="majorHAnsi"/>
          <w:sz w:val="24"/>
          <w:szCs w:val="24"/>
          <w:lang w:val="ro-MD"/>
        </w:rPr>
        <w:t>i accize, colectate</w:t>
      </w:r>
      <w:r w:rsidR="00C92542" w:rsidRPr="00363CFA">
        <w:rPr>
          <w:rFonts w:asciiTheme="majorHAnsi" w:hAnsiTheme="majorHAnsi" w:cstheme="majorHAnsi"/>
          <w:sz w:val="24"/>
          <w:szCs w:val="24"/>
          <w:lang w:val="ro-MD"/>
        </w:rPr>
        <w:t xml:space="preserve"> pe teritoriul UTA Găgăuzia</w:t>
      </w:r>
      <w:r w:rsidR="006E7D09" w:rsidRPr="00363CFA">
        <w:rPr>
          <w:rFonts w:asciiTheme="majorHAnsi" w:hAnsiTheme="majorHAnsi" w:cstheme="majorHAnsi"/>
          <w:sz w:val="24"/>
          <w:szCs w:val="24"/>
          <w:lang w:val="ro-MD"/>
        </w:rPr>
        <w:t xml:space="preserve">, se efectuează din veniturile bugetului de stat, care în </w:t>
      </w:r>
      <w:r w:rsidR="00904C3A" w:rsidRPr="00363CFA">
        <w:rPr>
          <w:rFonts w:asciiTheme="majorHAnsi" w:hAnsiTheme="majorHAnsi" w:cstheme="majorHAnsi"/>
          <w:sz w:val="24"/>
          <w:szCs w:val="24"/>
          <w:lang w:val="ro-MD"/>
        </w:rPr>
        <w:t>anul</w:t>
      </w:r>
      <w:r w:rsidRPr="00363CFA">
        <w:rPr>
          <w:rFonts w:asciiTheme="majorHAnsi" w:hAnsiTheme="majorHAnsi" w:cstheme="majorHAnsi"/>
          <w:sz w:val="24"/>
          <w:szCs w:val="24"/>
          <w:lang w:val="ro-MD"/>
        </w:rPr>
        <w:t xml:space="preserve"> </w:t>
      </w:r>
      <w:r w:rsidR="006E7D09" w:rsidRPr="00363CFA">
        <w:rPr>
          <w:rFonts w:asciiTheme="majorHAnsi" w:hAnsiTheme="majorHAnsi" w:cstheme="majorHAnsi"/>
          <w:sz w:val="24"/>
          <w:szCs w:val="24"/>
          <w:lang w:val="ro-MD"/>
        </w:rPr>
        <w:t xml:space="preserve">2020 au constituit: </w:t>
      </w:r>
      <w:r w:rsidR="0065063C" w:rsidRPr="00363CFA">
        <w:rPr>
          <w:rFonts w:asciiTheme="majorHAnsi" w:hAnsiTheme="majorHAnsi" w:cstheme="majorHAnsi"/>
          <w:sz w:val="24"/>
          <w:szCs w:val="24"/>
          <w:lang w:val="ro-MD"/>
        </w:rPr>
        <w:t>restituirea</w:t>
      </w:r>
      <w:r w:rsidR="006E7D09" w:rsidRPr="00363CFA">
        <w:rPr>
          <w:rFonts w:asciiTheme="majorHAnsi" w:hAnsiTheme="majorHAnsi" w:cstheme="majorHAnsi"/>
          <w:sz w:val="24"/>
          <w:szCs w:val="24"/>
          <w:lang w:val="ro-MD"/>
        </w:rPr>
        <w:t xml:space="preserve"> impozitului pe venit </w:t>
      </w:r>
      <w:r w:rsidR="006E7D09" w:rsidRPr="00363CFA">
        <w:rPr>
          <w:rFonts w:asciiTheme="majorHAnsi" w:hAnsiTheme="majorHAnsi" w:cstheme="majorHAnsi"/>
          <w:b/>
          <w:sz w:val="24"/>
          <w:szCs w:val="24"/>
          <w:lang w:val="ro-MD"/>
        </w:rPr>
        <w:t xml:space="preserve">– </w:t>
      </w:r>
      <w:r w:rsidR="00904C3A" w:rsidRPr="00363CFA">
        <w:rPr>
          <w:rFonts w:asciiTheme="majorHAnsi" w:hAnsiTheme="majorHAnsi" w:cstheme="majorHAnsi"/>
          <w:b/>
          <w:sz w:val="24"/>
          <w:szCs w:val="24"/>
          <w:lang w:val="ro-MD"/>
        </w:rPr>
        <w:t>3184,9</w:t>
      </w:r>
      <w:r w:rsidR="006E7D09" w:rsidRPr="00363CFA">
        <w:rPr>
          <w:rFonts w:asciiTheme="majorHAnsi" w:hAnsiTheme="majorHAnsi" w:cstheme="majorHAnsi"/>
          <w:b/>
          <w:sz w:val="24"/>
          <w:szCs w:val="24"/>
          <w:lang w:val="ro-MD"/>
        </w:rPr>
        <w:t xml:space="preserve"> mii lei</w:t>
      </w:r>
      <w:r w:rsidR="00420561">
        <w:rPr>
          <w:rFonts w:asciiTheme="majorHAnsi" w:hAnsiTheme="majorHAnsi" w:cstheme="majorHAnsi"/>
          <w:b/>
          <w:sz w:val="24"/>
          <w:szCs w:val="24"/>
          <w:lang w:val="ro-MD"/>
        </w:rPr>
        <w:t>,</w:t>
      </w:r>
      <w:r w:rsidR="006E7D09" w:rsidRPr="00363CFA">
        <w:rPr>
          <w:rFonts w:asciiTheme="majorHAnsi" w:hAnsiTheme="majorHAnsi" w:cstheme="majorHAnsi"/>
          <w:sz w:val="24"/>
          <w:szCs w:val="24"/>
          <w:lang w:val="ro-MD"/>
        </w:rPr>
        <w:t xml:space="preserve"> TVA – </w:t>
      </w:r>
      <w:r w:rsidR="00904C3A" w:rsidRPr="00363CFA">
        <w:rPr>
          <w:rFonts w:asciiTheme="majorHAnsi" w:hAnsiTheme="majorHAnsi" w:cstheme="majorHAnsi"/>
          <w:b/>
          <w:sz w:val="24"/>
          <w:szCs w:val="24"/>
          <w:lang w:val="ro-MD"/>
        </w:rPr>
        <w:t>117381,6</w:t>
      </w:r>
      <w:r w:rsidR="00D55E09" w:rsidRPr="00363CFA">
        <w:rPr>
          <w:rFonts w:asciiTheme="majorHAnsi" w:hAnsiTheme="majorHAnsi" w:cstheme="majorHAnsi"/>
          <w:b/>
          <w:sz w:val="24"/>
          <w:szCs w:val="24"/>
          <w:lang w:val="ro-MD"/>
        </w:rPr>
        <w:t xml:space="preserve"> </w:t>
      </w:r>
      <w:r w:rsidR="0065063C" w:rsidRPr="00363CFA">
        <w:rPr>
          <w:rFonts w:asciiTheme="majorHAnsi" w:hAnsiTheme="majorHAnsi" w:cstheme="majorHAnsi"/>
          <w:b/>
          <w:sz w:val="24"/>
          <w:szCs w:val="24"/>
          <w:lang w:val="ro-MD"/>
        </w:rPr>
        <w:t>mii lei</w:t>
      </w:r>
      <w:r w:rsidR="007D2E2E">
        <w:rPr>
          <w:rFonts w:asciiTheme="majorHAnsi" w:hAnsiTheme="majorHAnsi" w:cstheme="majorHAnsi"/>
          <w:b/>
          <w:sz w:val="24"/>
          <w:szCs w:val="24"/>
          <w:lang w:val="ro-MD"/>
        </w:rPr>
        <w:t>,</w:t>
      </w:r>
      <w:r w:rsidR="0065063C"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006E7D09" w:rsidRPr="00363CFA">
        <w:rPr>
          <w:rFonts w:asciiTheme="majorHAnsi" w:hAnsiTheme="majorHAnsi" w:cstheme="majorHAnsi"/>
          <w:sz w:val="24"/>
          <w:szCs w:val="24"/>
          <w:lang w:val="ro-MD"/>
        </w:rPr>
        <w:t xml:space="preserve">i accize – </w:t>
      </w:r>
      <w:r w:rsidR="006E7D09" w:rsidRPr="00363CFA">
        <w:rPr>
          <w:rFonts w:asciiTheme="majorHAnsi" w:hAnsiTheme="majorHAnsi" w:cstheme="majorHAnsi"/>
          <w:b/>
          <w:sz w:val="24"/>
          <w:szCs w:val="24"/>
          <w:lang w:val="ro-MD"/>
        </w:rPr>
        <w:t>123,0 mii lei.</w:t>
      </w:r>
    </w:p>
    <w:p w14:paraId="736CB2F9" w14:textId="77777777" w:rsidR="006E7D09" w:rsidRPr="00363CFA" w:rsidRDefault="006E7D09" w:rsidP="00767ED8">
      <w:pPr>
        <w:spacing w:after="0" w:line="276" w:lineRule="auto"/>
        <w:ind w:right="-187"/>
        <w:jc w:val="both"/>
        <w:rPr>
          <w:rFonts w:asciiTheme="majorHAnsi" w:hAnsiTheme="majorHAnsi" w:cstheme="majorHAnsi"/>
          <w:b/>
          <w:color w:val="000000" w:themeColor="text1"/>
          <w:sz w:val="24"/>
          <w:szCs w:val="24"/>
          <w:lang w:val="ro-MD"/>
        </w:rPr>
      </w:pPr>
      <w:r w:rsidRPr="00363CFA">
        <w:rPr>
          <w:rFonts w:asciiTheme="majorHAnsi" w:hAnsiTheme="majorHAnsi" w:cstheme="majorHAnsi"/>
          <w:b/>
          <w:color w:val="000000" w:themeColor="text1"/>
          <w:sz w:val="24"/>
          <w:szCs w:val="24"/>
          <w:lang w:val="ro-MD"/>
        </w:rPr>
        <w:t xml:space="preserve">4.1.2. Veniturile </w:t>
      </w:r>
      <w:r w:rsidR="006C4DFA" w:rsidRPr="00363CFA">
        <w:rPr>
          <w:rFonts w:asciiTheme="majorHAnsi" w:hAnsiTheme="majorHAnsi" w:cstheme="majorHAnsi"/>
          <w:b/>
          <w:color w:val="000000" w:themeColor="text1"/>
          <w:sz w:val="24"/>
          <w:szCs w:val="24"/>
          <w:lang w:val="ro-MD"/>
        </w:rPr>
        <w:t xml:space="preserve">alocate </w:t>
      </w:r>
      <w:r w:rsidR="00BE2D53" w:rsidRPr="00363CFA">
        <w:rPr>
          <w:rFonts w:asciiTheme="majorHAnsi" w:hAnsiTheme="majorHAnsi" w:cstheme="majorHAnsi"/>
          <w:b/>
          <w:color w:val="000000" w:themeColor="text1"/>
          <w:sz w:val="24"/>
          <w:szCs w:val="24"/>
          <w:lang w:val="ro-MD"/>
        </w:rPr>
        <w:t>din bugetul central al UTA Găgăuzia către UAT de</w:t>
      </w:r>
      <w:r w:rsidRPr="00363CFA">
        <w:rPr>
          <w:rFonts w:asciiTheme="majorHAnsi" w:hAnsiTheme="majorHAnsi" w:cstheme="majorHAnsi"/>
          <w:b/>
          <w:color w:val="000000" w:themeColor="text1"/>
          <w:sz w:val="24"/>
          <w:szCs w:val="24"/>
          <w:lang w:val="ro-MD"/>
        </w:rPr>
        <w:t xml:space="preserve"> nivelul I din UTA Găgăuzia </w:t>
      </w:r>
    </w:p>
    <w:p w14:paraId="2C1AEE73" w14:textId="6AE08274" w:rsidR="006E7D09" w:rsidRPr="00363CFA" w:rsidRDefault="006E7D09" w:rsidP="00767ED8">
      <w:pPr>
        <w:spacing w:after="0" w:line="276" w:lineRule="auto"/>
        <w:ind w:right="-187" w:firstLine="720"/>
        <w:jc w:val="both"/>
        <w:rPr>
          <w:rFonts w:asciiTheme="majorHAnsi" w:eastAsia="Times New Roman" w:hAnsiTheme="majorHAnsi" w:cstheme="majorHAnsi"/>
          <w:color w:val="000000" w:themeColor="text1"/>
          <w:sz w:val="24"/>
          <w:szCs w:val="24"/>
          <w:lang w:val="ro-MD"/>
        </w:rPr>
      </w:pPr>
      <w:r w:rsidRPr="00363CFA">
        <w:rPr>
          <w:rFonts w:asciiTheme="majorHAnsi" w:hAnsiTheme="majorHAnsi" w:cstheme="majorHAnsi"/>
          <w:color w:val="000000" w:themeColor="text1"/>
          <w:sz w:val="24"/>
          <w:szCs w:val="24"/>
          <w:lang w:val="ro-MD"/>
        </w:rPr>
        <w:t>Potrivit prevederilor actelor normative în vigoare</w:t>
      </w:r>
      <w:r w:rsidRPr="00363CFA">
        <w:rPr>
          <w:rStyle w:val="FootnoteReference"/>
          <w:rFonts w:asciiTheme="majorHAnsi" w:hAnsiTheme="majorHAnsi" w:cstheme="majorHAnsi"/>
          <w:color w:val="000000" w:themeColor="text1"/>
          <w:sz w:val="24"/>
          <w:szCs w:val="24"/>
          <w:lang w:val="ro-MD"/>
        </w:rPr>
        <w:footnoteReference w:id="17"/>
      </w:r>
      <w:r w:rsidRPr="00363CFA">
        <w:rPr>
          <w:rFonts w:asciiTheme="majorHAnsi" w:hAnsiTheme="majorHAnsi" w:cstheme="majorHAnsi"/>
          <w:color w:val="000000" w:themeColor="text1"/>
          <w:sz w:val="24"/>
          <w:szCs w:val="24"/>
          <w:lang w:val="ro-MD"/>
        </w:rPr>
        <w:t xml:space="preserve">, </w:t>
      </w:r>
      <w:r w:rsidRPr="00363CFA">
        <w:rPr>
          <w:rFonts w:asciiTheme="majorHAnsi" w:eastAsia="Times New Roman" w:hAnsiTheme="majorHAnsi" w:cstheme="majorHAnsi"/>
          <w:color w:val="000000" w:themeColor="text1"/>
          <w:sz w:val="24"/>
          <w:szCs w:val="24"/>
          <w:lang w:val="ro-MD"/>
        </w:rPr>
        <w:t>veniturile bugetelor satelor (comunelor), ora</w:t>
      </w:r>
      <w:r w:rsidR="0069374B" w:rsidRPr="00363CFA">
        <w:rPr>
          <w:rFonts w:asciiTheme="majorHAnsi" w:eastAsia="Times New Roman" w:hAnsiTheme="majorHAnsi" w:cstheme="majorHAnsi"/>
          <w:color w:val="000000" w:themeColor="text1"/>
          <w:sz w:val="24"/>
          <w:szCs w:val="24"/>
          <w:lang w:val="ro-MD"/>
        </w:rPr>
        <w:t>ș</w:t>
      </w:r>
      <w:r w:rsidRPr="00363CFA">
        <w:rPr>
          <w:rFonts w:asciiTheme="majorHAnsi" w:eastAsia="Times New Roman" w:hAnsiTheme="majorHAnsi" w:cstheme="majorHAnsi"/>
          <w:color w:val="000000" w:themeColor="text1"/>
          <w:sz w:val="24"/>
          <w:szCs w:val="24"/>
          <w:lang w:val="ro-MD"/>
        </w:rPr>
        <w:t>elor (municipiilor, cu excep</w:t>
      </w:r>
      <w:r w:rsidR="0069374B" w:rsidRPr="00363CFA">
        <w:rPr>
          <w:rFonts w:asciiTheme="majorHAnsi" w:eastAsia="Times New Roman" w:hAnsiTheme="majorHAnsi" w:cstheme="majorHAnsi"/>
          <w:color w:val="000000" w:themeColor="text1"/>
          <w:sz w:val="24"/>
          <w:szCs w:val="24"/>
          <w:lang w:val="ro-MD"/>
        </w:rPr>
        <w:t>ț</w:t>
      </w:r>
      <w:r w:rsidRPr="00363CFA">
        <w:rPr>
          <w:rFonts w:asciiTheme="majorHAnsi" w:eastAsia="Times New Roman" w:hAnsiTheme="majorHAnsi" w:cstheme="majorHAnsi"/>
          <w:color w:val="000000" w:themeColor="text1"/>
          <w:sz w:val="24"/>
          <w:szCs w:val="24"/>
          <w:lang w:val="ro-MD"/>
        </w:rPr>
        <w:t>ia municipiilor Băl</w:t>
      </w:r>
      <w:r w:rsidR="0069374B" w:rsidRPr="00363CFA">
        <w:rPr>
          <w:rFonts w:asciiTheme="majorHAnsi" w:eastAsia="Times New Roman" w:hAnsiTheme="majorHAnsi" w:cstheme="majorHAnsi"/>
          <w:color w:val="000000" w:themeColor="text1"/>
          <w:sz w:val="24"/>
          <w:szCs w:val="24"/>
          <w:lang w:val="ro-MD"/>
        </w:rPr>
        <w:t>ț</w:t>
      </w:r>
      <w:r w:rsidRPr="00363CFA">
        <w:rPr>
          <w:rFonts w:asciiTheme="majorHAnsi" w:eastAsia="Times New Roman" w:hAnsiTheme="majorHAnsi" w:cstheme="majorHAnsi"/>
          <w:color w:val="000000" w:themeColor="text1"/>
          <w:sz w:val="24"/>
          <w:szCs w:val="24"/>
          <w:lang w:val="ro-MD"/>
        </w:rPr>
        <w:t xml:space="preserve">i </w:t>
      </w:r>
      <w:r w:rsidR="0069374B" w:rsidRPr="00363CFA">
        <w:rPr>
          <w:rFonts w:asciiTheme="majorHAnsi" w:eastAsia="Times New Roman" w:hAnsiTheme="majorHAnsi" w:cstheme="majorHAnsi"/>
          <w:color w:val="000000" w:themeColor="text1"/>
          <w:sz w:val="24"/>
          <w:szCs w:val="24"/>
          <w:lang w:val="ro-MD"/>
        </w:rPr>
        <w:t>ș</w:t>
      </w:r>
      <w:r w:rsidRPr="00363CFA">
        <w:rPr>
          <w:rFonts w:asciiTheme="majorHAnsi" w:eastAsia="Times New Roman" w:hAnsiTheme="majorHAnsi" w:cstheme="majorHAnsi"/>
          <w:color w:val="000000" w:themeColor="text1"/>
          <w:sz w:val="24"/>
          <w:szCs w:val="24"/>
          <w:lang w:val="ro-MD"/>
        </w:rPr>
        <w:t>i Chi</w:t>
      </w:r>
      <w:r w:rsidR="0069374B" w:rsidRPr="00363CFA">
        <w:rPr>
          <w:rFonts w:asciiTheme="majorHAnsi" w:eastAsia="Times New Roman" w:hAnsiTheme="majorHAnsi" w:cstheme="majorHAnsi"/>
          <w:color w:val="000000" w:themeColor="text1"/>
          <w:sz w:val="24"/>
          <w:szCs w:val="24"/>
          <w:lang w:val="ro-MD"/>
        </w:rPr>
        <w:t>ș</w:t>
      </w:r>
      <w:r w:rsidRPr="00363CFA">
        <w:rPr>
          <w:rFonts w:asciiTheme="majorHAnsi" w:eastAsia="Times New Roman" w:hAnsiTheme="majorHAnsi" w:cstheme="majorHAnsi"/>
          <w:color w:val="000000" w:themeColor="text1"/>
          <w:sz w:val="24"/>
          <w:szCs w:val="24"/>
          <w:lang w:val="ro-MD"/>
        </w:rPr>
        <w:t xml:space="preserve">inău) se formează din: </w:t>
      </w:r>
      <w:r w:rsidRPr="00241575">
        <w:rPr>
          <w:rFonts w:asciiTheme="majorHAnsi" w:eastAsia="Times New Roman" w:hAnsiTheme="majorHAnsi" w:cstheme="majorHAnsi"/>
          <w:color w:val="000000" w:themeColor="text1"/>
          <w:sz w:val="24"/>
          <w:szCs w:val="24"/>
          <w:lang w:val="ro-MD"/>
        </w:rPr>
        <w:t>1) venituri generale</w:t>
      </w:r>
      <w:r w:rsidRPr="00241575">
        <w:rPr>
          <w:rStyle w:val="FootnoteReference"/>
          <w:rFonts w:asciiTheme="majorHAnsi" w:eastAsia="Times New Roman" w:hAnsiTheme="majorHAnsi" w:cstheme="majorHAnsi"/>
          <w:color w:val="000000" w:themeColor="text1"/>
          <w:sz w:val="24"/>
          <w:szCs w:val="24"/>
          <w:lang w:val="ro-MD"/>
        </w:rPr>
        <w:footnoteReference w:id="18"/>
      </w:r>
      <w:r w:rsidRPr="00241575">
        <w:rPr>
          <w:rFonts w:asciiTheme="majorHAnsi" w:eastAsia="Times New Roman" w:hAnsiTheme="majorHAnsi" w:cstheme="majorHAnsi"/>
          <w:color w:val="000000" w:themeColor="text1"/>
          <w:sz w:val="24"/>
          <w:szCs w:val="24"/>
          <w:lang w:val="ro-MD"/>
        </w:rPr>
        <w:t>; 2) venituri colectate;</w:t>
      </w:r>
      <w:r w:rsidRPr="00241575">
        <w:rPr>
          <w:rFonts w:asciiTheme="majorHAnsi" w:hAnsiTheme="majorHAnsi" w:cstheme="majorHAnsi"/>
          <w:color w:val="000000" w:themeColor="text1"/>
          <w:sz w:val="24"/>
          <w:szCs w:val="24"/>
          <w:lang w:val="ro-MD"/>
        </w:rPr>
        <w:t xml:space="preserve"> </w:t>
      </w:r>
      <w:r w:rsidRPr="00241575">
        <w:rPr>
          <w:rFonts w:asciiTheme="majorHAnsi" w:eastAsia="Times New Roman" w:hAnsiTheme="majorHAnsi" w:cstheme="majorHAnsi"/>
          <w:color w:val="000000" w:themeColor="text1"/>
          <w:sz w:val="24"/>
          <w:szCs w:val="24"/>
          <w:lang w:val="ro-MD"/>
        </w:rPr>
        <w:t>3) granturi pentru proiecte finan</w:t>
      </w:r>
      <w:r w:rsidR="0069374B" w:rsidRPr="00241575">
        <w:rPr>
          <w:rFonts w:asciiTheme="majorHAnsi" w:eastAsia="Times New Roman" w:hAnsiTheme="majorHAnsi" w:cstheme="majorHAnsi"/>
          <w:color w:val="000000" w:themeColor="text1"/>
          <w:sz w:val="24"/>
          <w:szCs w:val="24"/>
          <w:lang w:val="ro-MD"/>
        </w:rPr>
        <w:t>ț</w:t>
      </w:r>
      <w:r w:rsidRPr="00241575">
        <w:rPr>
          <w:rFonts w:asciiTheme="majorHAnsi" w:eastAsia="Times New Roman" w:hAnsiTheme="majorHAnsi" w:cstheme="majorHAnsi"/>
          <w:color w:val="000000" w:themeColor="text1"/>
          <w:sz w:val="24"/>
          <w:szCs w:val="24"/>
          <w:lang w:val="ro-MD"/>
        </w:rPr>
        <w:t>ate din surse externe</w:t>
      </w:r>
      <w:r w:rsidR="00332594" w:rsidRPr="00241575">
        <w:rPr>
          <w:rFonts w:asciiTheme="majorHAnsi" w:eastAsia="Times New Roman" w:hAnsiTheme="majorHAnsi" w:cstheme="majorHAnsi"/>
          <w:color w:val="000000" w:themeColor="text1"/>
          <w:sz w:val="24"/>
          <w:szCs w:val="24"/>
          <w:lang w:val="ro-MD"/>
        </w:rPr>
        <w:t>.</w:t>
      </w:r>
      <w:r w:rsidR="00904C3A" w:rsidRPr="00363CFA">
        <w:rPr>
          <w:rFonts w:asciiTheme="majorHAnsi" w:eastAsia="Times New Roman" w:hAnsiTheme="majorHAnsi" w:cstheme="majorHAnsi"/>
          <w:color w:val="000000" w:themeColor="text1"/>
          <w:sz w:val="24"/>
          <w:szCs w:val="24"/>
          <w:lang w:val="ro-MD"/>
        </w:rPr>
        <w:t xml:space="preserve"> </w:t>
      </w:r>
      <w:r w:rsidR="00332594" w:rsidRPr="00363CFA">
        <w:rPr>
          <w:rFonts w:asciiTheme="majorHAnsi" w:eastAsia="Times New Roman" w:hAnsiTheme="majorHAnsi" w:cstheme="majorHAnsi"/>
          <w:color w:val="000000" w:themeColor="text1"/>
          <w:sz w:val="24"/>
          <w:szCs w:val="24"/>
          <w:lang w:val="ro-MD"/>
        </w:rPr>
        <w:t>Totu</w:t>
      </w:r>
      <w:r w:rsidR="0069374B" w:rsidRPr="00363CFA">
        <w:rPr>
          <w:rFonts w:asciiTheme="majorHAnsi" w:eastAsia="Times New Roman" w:hAnsiTheme="majorHAnsi" w:cstheme="majorHAnsi"/>
          <w:color w:val="000000" w:themeColor="text1"/>
          <w:sz w:val="24"/>
          <w:szCs w:val="24"/>
          <w:lang w:val="ro-MD"/>
        </w:rPr>
        <w:t>ș</w:t>
      </w:r>
      <w:r w:rsidR="00332594" w:rsidRPr="00363CFA">
        <w:rPr>
          <w:rFonts w:asciiTheme="majorHAnsi" w:eastAsia="Times New Roman" w:hAnsiTheme="majorHAnsi" w:cstheme="majorHAnsi"/>
          <w:color w:val="000000" w:themeColor="text1"/>
          <w:sz w:val="24"/>
          <w:szCs w:val="24"/>
          <w:lang w:val="ro-MD"/>
        </w:rPr>
        <w:t>i, cadrul normativ în vigoare</w:t>
      </w:r>
      <w:r w:rsidR="00332594" w:rsidRPr="00363CFA">
        <w:rPr>
          <w:rStyle w:val="FootnoteReference"/>
          <w:rFonts w:asciiTheme="majorHAnsi" w:eastAsia="Times New Roman" w:hAnsiTheme="majorHAnsi" w:cstheme="majorHAnsi"/>
          <w:color w:val="000000" w:themeColor="text1"/>
          <w:sz w:val="24"/>
          <w:szCs w:val="24"/>
          <w:lang w:val="ro-MD"/>
        </w:rPr>
        <w:footnoteReference w:id="19"/>
      </w:r>
      <w:r w:rsidR="00332594" w:rsidRPr="00363CFA">
        <w:rPr>
          <w:rFonts w:asciiTheme="majorHAnsi" w:eastAsia="Times New Roman" w:hAnsiTheme="majorHAnsi" w:cstheme="majorHAnsi"/>
          <w:color w:val="000000" w:themeColor="text1"/>
          <w:sz w:val="24"/>
          <w:szCs w:val="24"/>
          <w:lang w:val="ro-MD"/>
        </w:rPr>
        <w:t xml:space="preserve"> nu prevede modalitatea de repartizare a veniturilor generale, încasate în bugetul central al UTA Găgăuzia, către bugetele UAT de nivelul I.  </w:t>
      </w:r>
      <w:r w:rsidR="00904C3A" w:rsidRPr="00363CFA">
        <w:rPr>
          <w:rFonts w:asciiTheme="majorHAnsi" w:eastAsia="Times New Roman" w:hAnsiTheme="majorHAnsi" w:cstheme="majorHAnsi"/>
          <w:color w:val="000000" w:themeColor="text1"/>
          <w:sz w:val="24"/>
          <w:szCs w:val="24"/>
          <w:lang w:val="ro-MD"/>
        </w:rPr>
        <w:t>L</w:t>
      </w:r>
      <w:r w:rsidR="00904C3A" w:rsidRPr="00363CFA">
        <w:rPr>
          <w:rFonts w:asciiTheme="majorHAnsi" w:hAnsiTheme="majorHAnsi" w:cstheme="majorHAnsi"/>
          <w:color w:val="000000" w:themeColor="text1"/>
          <w:sz w:val="24"/>
          <w:szCs w:val="24"/>
          <w:lang w:val="ro-MD"/>
        </w:rPr>
        <w:t xml:space="preserve">egiuitorul a lăsat la </w:t>
      </w:r>
      <w:r w:rsidR="00904C3A" w:rsidRPr="00174032">
        <w:rPr>
          <w:rFonts w:asciiTheme="majorHAnsi" w:hAnsiTheme="majorHAnsi" w:cstheme="majorHAnsi"/>
          <w:color w:val="000000" w:themeColor="text1"/>
          <w:sz w:val="24"/>
          <w:szCs w:val="24"/>
          <w:lang w:val="ro-MD"/>
        </w:rPr>
        <w:t>discre</w:t>
      </w:r>
      <w:r w:rsidR="0069374B" w:rsidRPr="00174032">
        <w:rPr>
          <w:rFonts w:asciiTheme="majorHAnsi" w:hAnsiTheme="majorHAnsi" w:cstheme="majorHAnsi"/>
          <w:color w:val="000000" w:themeColor="text1"/>
          <w:sz w:val="24"/>
          <w:szCs w:val="24"/>
          <w:lang w:val="ro-MD"/>
        </w:rPr>
        <w:t>ț</w:t>
      </w:r>
      <w:r w:rsidR="00904C3A" w:rsidRPr="00174032">
        <w:rPr>
          <w:rFonts w:asciiTheme="majorHAnsi" w:hAnsiTheme="majorHAnsi" w:cstheme="majorHAnsi"/>
          <w:color w:val="000000" w:themeColor="text1"/>
          <w:sz w:val="24"/>
          <w:szCs w:val="24"/>
          <w:lang w:val="ro-MD"/>
        </w:rPr>
        <w:t xml:space="preserve">ia </w:t>
      </w:r>
      <w:r w:rsidR="00904C3A" w:rsidRPr="00216968">
        <w:rPr>
          <w:rFonts w:asciiTheme="majorHAnsi" w:hAnsiTheme="majorHAnsi" w:cstheme="majorHAnsi"/>
          <w:color w:val="000000" w:themeColor="text1"/>
          <w:sz w:val="24"/>
          <w:szCs w:val="24"/>
          <w:lang w:val="ro-MD"/>
        </w:rPr>
        <w:t>autorită</w:t>
      </w:r>
      <w:r w:rsidR="0069374B" w:rsidRPr="00216968">
        <w:rPr>
          <w:rFonts w:asciiTheme="majorHAnsi" w:hAnsiTheme="majorHAnsi" w:cstheme="majorHAnsi"/>
          <w:color w:val="000000" w:themeColor="text1"/>
          <w:sz w:val="24"/>
          <w:szCs w:val="24"/>
          <w:lang w:val="ro-MD"/>
        </w:rPr>
        <w:t>ț</w:t>
      </w:r>
      <w:r w:rsidR="00904C3A" w:rsidRPr="00216968">
        <w:rPr>
          <w:rFonts w:asciiTheme="majorHAnsi" w:hAnsiTheme="majorHAnsi" w:cstheme="majorHAnsi"/>
          <w:color w:val="000000" w:themeColor="text1"/>
          <w:sz w:val="24"/>
          <w:szCs w:val="24"/>
          <w:lang w:val="ro-MD"/>
        </w:rPr>
        <w:t xml:space="preserve">ii reprezentative </w:t>
      </w:r>
      <w:r w:rsidR="0069374B" w:rsidRPr="00216968">
        <w:rPr>
          <w:rFonts w:asciiTheme="majorHAnsi" w:hAnsiTheme="majorHAnsi" w:cstheme="majorHAnsi"/>
          <w:color w:val="000000" w:themeColor="text1"/>
          <w:sz w:val="24"/>
          <w:szCs w:val="24"/>
          <w:lang w:val="ro-MD"/>
        </w:rPr>
        <w:t>ș</w:t>
      </w:r>
      <w:r w:rsidR="00904C3A" w:rsidRPr="00216968">
        <w:rPr>
          <w:rFonts w:asciiTheme="majorHAnsi" w:hAnsiTheme="majorHAnsi" w:cstheme="majorHAnsi"/>
          <w:color w:val="000000" w:themeColor="text1"/>
          <w:sz w:val="24"/>
          <w:szCs w:val="24"/>
          <w:lang w:val="ro-MD"/>
        </w:rPr>
        <w:t xml:space="preserve">i deliberative a UTA Găgăuzia (Adunarea Populară </w:t>
      </w:r>
      <w:r w:rsidR="0069374B" w:rsidRPr="00216968">
        <w:rPr>
          <w:rFonts w:asciiTheme="majorHAnsi" w:hAnsiTheme="majorHAnsi" w:cstheme="majorHAnsi"/>
          <w:color w:val="000000" w:themeColor="text1"/>
          <w:sz w:val="24"/>
          <w:szCs w:val="24"/>
          <w:lang w:val="ro-MD"/>
        </w:rPr>
        <w:t>ș</w:t>
      </w:r>
      <w:r w:rsidR="00904C3A" w:rsidRPr="00216968">
        <w:rPr>
          <w:rFonts w:asciiTheme="majorHAnsi" w:hAnsiTheme="majorHAnsi" w:cstheme="majorHAnsi"/>
          <w:color w:val="000000" w:themeColor="text1"/>
          <w:sz w:val="24"/>
          <w:szCs w:val="24"/>
          <w:lang w:val="ro-MD"/>
        </w:rPr>
        <w:t>i Comitetul Executiv) să</w:t>
      </w:r>
      <w:r w:rsidR="00904C3A" w:rsidRPr="00174032">
        <w:rPr>
          <w:rFonts w:asciiTheme="majorHAnsi" w:hAnsiTheme="majorHAnsi" w:cstheme="majorHAnsi"/>
          <w:color w:val="000000" w:themeColor="text1"/>
          <w:sz w:val="24"/>
          <w:szCs w:val="24"/>
          <w:lang w:val="ro-MD"/>
        </w:rPr>
        <w:t xml:space="preserve"> decidă</w:t>
      </w:r>
      <w:r w:rsidR="00904C3A" w:rsidRPr="00363CFA">
        <w:rPr>
          <w:rFonts w:asciiTheme="majorHAnsi" w:hAnsiTheme="majorHAnsi" w:cstheme="majorHAnsi"/>
          <w:color w:val="000000" w:themeColor="text1"/>
          <w:sz w:val="24"/>
          <w:szCs w:val="24"/>
          <w:lang w:val="ro-MD"/>
        </w:rPr>
        <w:t xml:space="preserve"> acordarea sau neacordarea defalcărilor de la impozitele </w:t>
      </w:r>
      <w:r w:rsidR="0069374B" w:rsidRPr="00363CFA">
        <w:rPr>
          <w:rFonts w:asciiTheme="majorHAnsi" w:hAnsiTheme="majorHAnsi" w:cstheme="majorHAnsi"/>
          <w:color w:val="000000" w:themeColor="text1"/>
          <w:sz w:val="24"/>
          <w:szCs w:val="24"/>
          <w:lang w:val="ro-MD"/>
        </w:rPr>
        <w:t>ș</w:t>
      </w:r>
      <w:r w:rsidR="00904C3A" w:rsidRPr="00363CFA">
        <w:rPr>
          <w:rFonts w:asciiTheme="majorHAnsi" w:hAnsiTheme="majorHAnsi" w:cstheme="majorHAnsi"/>
          <w:color w:val="000000" w:themeColor="text1"/>
          <w:sz w:val="24"/>
          <w:szCs w:val="24"/>
          <w:lang w:val="ro-MD"/>
        </w:rPr>
        <w:t xml:space="preserve">i taxele de stat, precum </w:t>
      </w:r>
      <w:r w:rsidR="0069374B" w:rsidRPr="00363CFA">
        <w:rPr>
          <w:rFonts w:asciiTheme="majorHAnsi" w:hAnsiTheme="majorHAnsi" w:cstheme="majorHAnsi"/>
          <w:color w:val="000000" w:themeColor="text1"/>
          <w:sz w:val="24"/>
          <w:szCs w:val="24"/>
          <w:lang w:val="ro-MD"/>
        </w:rPr>
        <w:t>ș</w:t>
      </w:r>
      <w:r w:rsidR="00904C3A" w:rsidRPr="00363CFA">
        <w:rPr>
          <w:rFonts w:asciiTheme="majorHAnsi" w:hAnsiTheme="majorHAnsi" w:cstheme="majorHAnsi"/>
          <w:color w:val="000000" w:themeColor="text1"/>
          <w:sz w:val="24"/>
          <w:szCs w:val="24"/>
          <w:lang w:val="ro-MD"/>
        </w:rPr>
        <w:t xml:space="preserve">i a transferurilor de la bugetul central. </w:t>
      </w:r>
      <w:r w:rsidRPr="00363CFA">
        <w:rPr>
          <w:rFonts w:asciiTheme="majorHAnsi" w:eastAsia="Times New Roman" w:hAnsiTheme="majorHAnsi" w:cstheme="majorHAnsi"/>
          <w:color w:val="000000" w:themeColor="text1"/>
          <w:sz w:val="24"/>
          <w:szCs w:val="24"/>
          <w:lang w:val="ro-MD"/>
        </w:rPr>
        <w:t xml:space="preserve">În baza </w:t>
      </w:r>
      <w:r w:rsidRPr="003C2D6D">
        <w:rPr>
          <w:rFonts w:asciiTheme="majorHAnsi" w:eastAsia="Times New Roman" w:hAnsiTheme="majorHAnsi" w:cstheme="majorHAnsi"/>
          <w:color w:val="000000" w:themeColor="text1"/>
          <w:sz w:val="24"/>
          <w:szCs w:val="24"/>
          <w:lang w:val="ro-MD"/>
        </w:rPr>
        <w:t xml:space="preserve">deciziilor </w:t>
      </w:r>
      <w:r w:rsidRPr="00A87C8B">
        <w:rPr>
          <w:rFonts w:asciiTheme="majorHAnsi" w:eastAsia="Times New Roman" w:hAnsiTheme="majorHAnsi" w:cstheme="majorHAnsi"/>
          <w:color w:val="000000" w:themeColor="text1"/>
          <w:sz w:val="24"/>
          <w:szCs w:val="24"/>
          <w:lang w:val="ro-MD"/>
        </w:rPr>
        <w:t>autorită</w:t>
      </w:r>
      <w:r w:rsidR="0069374B" w:rsidRPr="00A87C8B">
        <w:rPr>
          <w:rFonts w:asciiTheme="majorHAnsi" w:eastAsia="Times New Roman" w:hAnsiTheme="majorHAnsi" w:cstheme="majorHAnsi"/>
          <w:color w:val="000000" w:themeColor="text1"/>
          <w:sz w:val="24"/>
          <w:szCs w:val="24"/>
          <w:lang w:val="ro-MD"/>
        </w:rPr>
        <w:t>ț</w:t>
      </w:r>
      <w:r w:rsidRPr="00A87C8B">
        <w:rPr>
          <w:rFonts w:asciiTheme="majorHAnsi" w:eastAsia="Times New Roman" w:hAnsiTheme="majorHAnsi" w:cstheme="majorHAnsi"/>
          <w:color w:val="000000" w:themeColor="text1"/>
          <w:sz w:val="24"/>
          <w:szCs w:val="24"/>
          <w:lang w:val="ro-MD"/>
        </w:rPr>
        <w:t xml:space="preserve">ii reprezentative </w:t>
      </w:r>
      <w:r w:rsidR="0069374B" w:rsidRPr="00A87C8B">
        <w:rPr>
          <w:rFonts w:asciiTheme="majorHAnsi" w:eastAsia="Times New Roman" w:hAnsiTheme="majorHAnsi" w:cstheme="majorHAnsi"/>
          <w:color w:val="000000" w:themeColor="text1"/>
          <w:sz w:val="24"/>
          <w:szCs w:val="24"/>
          <w:lang w:val="ro-MD"/>
        </w:rPr>
        <w:t>ș</w:t>
      </w:r>
      <w:r w:rsidRPr="00A87C8B">
        <w:rPr>
          <w:rFonts w:asciiTheme="majorHAnsi" w:eastAsia="Times New Roman" w:hAnsiTheme="majorHAnsi" w:cstheme="majorHAnsi"/>
          <w:color w:val="000000" w:themeColor="text1"/>
          <w:sz w:val="24"/>
          <w:szCs w:val="24"/>
          <w:lang w:val="ro-MD"/>
        </w:rPr>
        <w:t>i deliberative a unită</w:t>
      </w:r>
      <w:r w:rsidR="0069374B" w:rsidRPr="00A87C8B">
        <w:rPr>
          <w:rFonts w:asciiTheme="majorHAnsi" w:eastAsia="Times New Roman" w:hAnsiTheme="majorHAnsi" w:cstheme="majorHAnsi"/>
          <w:color w:val="000000" w:themeColor="text1"/>
          <w:sz w:val="24"/>
          <w:szCs w:val="24"/>
          <w:lang w:val="ro-MD"/>
        </w:rPr>
        <w:t>ț</w:t>
      </w:r>
      <w:r w:rsidRPr="00A87C8B">
        <w:rPr>
          <w:rFonts w:asciiTheme="majorHAnsi" w:eastAsia="Times New Roman" w:hAnsiTheme="majorHAnsi" w:cstheme="majorHAnsi"/>
          <w:color w:val="000000" w:themeColor="text1"/>
          <w:sz w:val="24"/>
          <w:szCs w:val="24"/>
          <w:lang w:val="ro-MD"/>
        </w:rPr>
        <w:t xml:space="preserve">ii teritoriale autonome cu statut juridic special, veniturile bugetelor satelor (comunelor) </w:t>
      </w:r>
      <w:r w:rsidR="0069374B" w:rsidRPr="00A87C8B">
        <w:rPr>
          <w:rFonts w:asciiTheme="majorHAnsi" w:eastAsia="Times New Roman" w:hAnsiTheme="majorHAnsi" w:cstheme="majorHAnsi"/>
          <w:color w:val="000000" w:themeColor="text1"/>
          <w:sz w:val="24"/>
          <w:szCs w:val="24"/>
          <w:lang w:val="ro-MD"/>
        </w:rPr>
        <w:t>ș</w:t>
      </w:r>
      <w:r w:rsidRPr="00A87C8B">
        <w:rPr>
          <w:rFonts w:asciiTheme="majorHAnsi" w:eastAsia="Times New Roman" w:hAnsiTheme="majorHAnsi" w:cstheme="majorHAnsi"/>
          <w:color w:val="000000" w:themeColor="text1"/>
          <w:sz w:val="24"/>
          <w:szCs w:val="24"/>
          <w:lang w:val="ro-MD"/>
        </w:rPr>
        <w:t>i ale ora</w:t>
      </w:r>
      <w:r w:rsidR="0069374B" w:rsidRPr="00A87C8B">
        <w:rPr>
          <w:rFonts w:asciiTheme="majorHAnsi" w:eastAsia="Times New Roman" w:hAnsiTheme="majorHAnsi" w:cstheme="majorHAnsi"/>
          <w:color w:val="000000" w:themeColor="text1"/>
          <w:sz w:val="24"/>
          <w:szCs w:val="24"/>
          <w:lang w:val="ro-MD"/>
        </w:rPr>
        <w:t>ș</w:t>
      </w:r>
      <w:r w:rsidRPr="00A87C8B">
        <w:rPr>
          <w:rFonts w:asciiTheme="majorHAnsi" w:eastAsia="Times New Roman" w:hAnsiTheme="majorHAnsi" w:cstheme="majorHAnsi"/>
          <w:color w:val="000000" w:themeColor="text1"/>
          <w:sz w:val="24"/>
          <w:szCs w:val="24"/>
          <w:lang w:val="ro-MD"/>
        </w:rPr>
        <w:t>elor (municipiilor) din componen</w:t>
      </w:r>
      <w:r w:rsidR="0069374B" w:rsidRPr="00A87C8B">
        <w:rPr>
          <w:rFonts w:asciiTheme="majorHAnsi" w:eastAsia="Times New Roman" w:hAnsiTheme="majorHAnsi" w:cstheme="majorHAnsi"/>
          <w:color w:val="000000" w:themeColor="text1"/>
          <w:sz w:val="24"/>
          <w:szCs w:val="24"/>
          <w:lang w:val="ro-MD"/>
        </w:rPr>
        <w:t>ț</w:t>
      </w:r>
      <w:r w:rsidRPr="00A87C8B">
        <w:rPr>
          <w:rFonts w:asciiTheme="majorHAnsi" w:eastAsia="Times New Roman" w:hAnsiTheme="majorHAnsi" w:cstheme="majorHAnsi"/>
          <w:color w:val="000000" w:themeColor="text1"/>
          <w:sz w:val="24"/>
          <w:szCs w:val="24"/>
          <w:lang w:val="ro-MD"/>
        </w:rPr>
        <w:t>a unită</w:t>
      </w:r>
      <w:r w:rsidR="0069374B" w:rsidRPr="00A87C8B">
        <w:rPr>
          <w:rFonts w:asciiTheme="majorHAnsi" w:eastAsia="Times New Roman" w:hAnsiTheme="majorHAnsi" w:cstheme="majorHAnsi"/>
          <w:color w:val="000000" w:themeColor="text1"/>
          <w:sz w:val="24"/>
          <w:szCs w:val="24"/>
          <w:lang w:val="ro-MD"/>
        </w:rPr>
        <w:t>ț</w:t>
      </w:r>
      <w:r w:rsidRPr="00A87C8B">
        <w:rPr>
          <w:rFonts w:asciiTheme="majorHAnsi" w:eastAsia="Times New Roman" w:hAnsiTheme="majorHAnsi" w:cstheme="majorHAnsi"/>
          <w:color w:val="000000" w:themeColor="text1"/>
          <w:sz w:val="24"/>
          <w:szCs w:val="24"/>
          <w:lang w:val="ro-MD"/>
        </w:rPr>
        <w:t>ii teritoriale</w:t>
      </w:r>
      <w:r w:rsidRPr="00363CFA">
        <w:rPr>
          <w:rFonts w:asciiTheme="majorHAnsi" w:eastAsia="Times New Roman" w:hAnsiTheme="majorHAnsi" w:cstheme="majorHAnsi"/>
          <w:color w:val="000000" w:themeColor="text1"/>
          <w:sz w:val="24"/>
          <w:szCs w:val="24"/>
          <w:lang w:val="ro-MD"/>
        </w:rPr>
        <w:t xml:space="preserve"> autonome cu statut juridic special pot include defalcări de la impozitele </w:t>
      </w:r>
      <w:r w:rsidR="0069374B" w:rsidRPr="00363CFA">
        <w:rPr>
          <w:rFonts w:asciiTheme="majorHAnsi" w:eastAsia="Times New Roman" w:hAnsiTheme="majorHAnsi" w:cstheme="majorHAnsi"/>
          <w:color w:val="000000" w:themeColor="text1"/>
          <w:sz w:val="24"/>
          <w:szCs w:val="24"/>
          <w:lang w:val="ro-MD"/>
        </w:rPr>
        <w:t>ș</w:t>
      </w:r>
      <w:r w:rsidRPr="00363CFA">
        <w:rPr>
          <w:rFonts w:asciiTheme="majorHAnsi" w:eastAsia="Times New Roman" w:hAnsiTheme="majorHAnsi" w:cstheme="majorHAnsi"/>
          <w:color w:val="000000" w:themeColor="text1"/>
          <w:sz w:val="24"/>
          <w:szCs w:val="24"/>
          <w:lang w:val="ro-MD"/>
        </w:rPr>
        <w:t>i taxele de stat, lăsate prin lege la dispozi</w:t>
      </w:r>
      <w:r w:rsidR="0069374B" w:rsidRPr="00363CFA">
        <w:rPr>
          <w:rFonts w:asciiTheme="majorHAnsi" w:eastAsia="Times New Roman" w:hAnsiTheme="majorHAnsi" w:cstheme="majorHAnsi"/>
          <w:color w:val="000000" w:themeColor="text1"/>
          <w:sz w:val="24"/>
          <w:szCs w:val="24"/>
          <w:lang w:val="ro-MD"/>
        </w:rPr>
        <w:t>ț</w:t>
      </w:r>
      <w:r w:rsidRPr="00363CFA">
        <w:rPr>
          <w:rFonts w:asciiTheme="majorHAnsi" w:eastAsia="Times New Roman" w:hAnsiTheme="majorHAnsi" w:cstheme="majorHAnsi"/>
          <w:color w:val="000000" w:themeColor="text1"/>
          <w:sz w:val="24"/>
          <w:szCs w:val="24"/>
          <w:lang w:val="ro-MD"/>
        </w:rPr>
        <w:t>ia bugetului central al unită</w:t>
      </w:r>
      <w:r w:rsidR="0069374B" w:rsidRPr="00363CFA">
        <w:rPr>
          <w:rFonts w:asciiTheme="majorHAnsi" w:eastAsia="Times New Roman" w:hAnsiTheme="majorHAnsi" w:cstheme="majorHAnsi"/>
          <w:color w:val="000000" w:themeColor="text1"/>
          <w:sz w:val="24"/>
          <w:szCs w:val="24"/>
          <w:lang w:val="ro-MD"/>
        </w:rPr>
        <w:t>ț</w:t>
      </w:r>
      <w:r w:rsidRPr="00363CFA">
        <w:rPr>
          <w:rFonts w:asciiTheme="majorHAnsi" w:eastAsia="Times New Roman" w:hAnsiTheme="majorHAnsi" w:cstheme="majorHAnsi"/>
          <w:color w:val="000000" w:themeColor="text1"/>
          <w:sz w:val="24"/>
          <w:szCs w:val="24"/>
          <w:lang w:val="ro-MD"/>
        </w:rPr>
        <w:t xml:space="preserve">ii teritoriale autonome cu statut juridic special, precum </w:t>
      </w:r>
      <w:r w:rsidR="0069374B" w:rsidRPr="00363CFA">
        <w:rPr>
          <w:rFonts w:asciiTheme="majorHAnsi" w:eastAsia="Times New Roman" w:hAnsiTheme="majorHAnsi" w:cstheme="majorHAnsi"/>
          <w:color w:val="000000" w:themeColor="text1"/>
          <w:sz w:val="24"/>
          <w:szCs w:val="24"/>
          <w:lang w:val="ro-MD"/>
        </w:rPr>
        <w:t>ș</w:t>
      </w:r>
      <w:r w:rsidRPr="00363CFA">
        <w:rPr>
          <w:rFonts w:asciiTheme="majorHAnsi" w:eastAsia="Times New Roman" w:hAnsiTheme="majorHAnsi" w:cstheme="majorHAnsi"/>
          <w:color w:val="000000" w:themeColor="text1"/>
          <w:sz w:val="24"/>
          <w:szCs w:val="24"/>
          <w:lang w:val="ro-MD"/>
        </w:rPr>
        <w:t xml:space="preserve">i transferuri de </w:t>
      </w:r>
      <w:r w:rsidRPr="00363CFA">
        <w:rPr>
          <w:rFonts w:asciiTheme="majorHAnsi" w:eastAsia="Times New Roman" w:hAnsiTheme="majorHAnsi" w:cstheme="majorHAnsi"/>
          <w:color w:val="000000" w:themeColor="text1"/>
          <w:sz w:val="24"/>
          <w:szCs w:val="24"/>
          <w:lang w:val="ro-MD"/>
        </w:rPr>
        <w:lastRenderedPageBreak/>
        <w:t>la bugetul central al unită</w:t>
      </w:r>
      <w:r w:rsidR="0069374B" w:rsidRPr="00363CFA">
        <w:rPr>
          <w:rFonts w:asciiTheme="majorHAnsi" w:eastAsia="Times New Roman" w:hAnsiTheme="majorHAnsi" w:cstheme="majorHAnsi"/>
          <w:color w:val="000000" w:themeColor="text1"/>
          <w:sz w:val="24"/>
          <w:szCs w:val="24"/>
          <w:lang w:val="ro-MD"/>
        </w:rPr>
        <w:t>ț</w:t>
      </w:r>
      <w:r w:rsidRPr="00363CFA">
        <w:rPr>
          <w:rFonts w:asciiTheme="majorHAnsi" w:eastAsia="Times New Roman" w:hAnsiTheme="majorHAnsi" w:cstheme="majorHAnsi"/>
          <w:color w:val="000000" w:themeColor="text1"/>
          <w:sz w:val="24"/>
          <w:szCs w:val="24"/>
          <w:lang w:val="ro-MD"/>
        </w:rPr>
        <w:t xml:space="preserve">ii teritoriale autonome cu statut juridic special. </w:t>
      </w:r>
      <w:r w:rsidR="007C6DA9" w:rsidRPr="00363CFA">
        <w:rPr>
          <w:rFonts w:asciiTheme="majorHAnsi" w:hAnsiTheme="majorHAnsi" w:cstheme="majorHAnsi"/>
          <w:color w:val="000000" w:themeColor="text1"/>
          <w:sz w:val="24"/>
          <w:szCs w:val="24"/>
          <w:lang w:val="ro-MD"/>
        </w:rPr>
        <w:t xml:space="preserve">Totodată, art.3 alin.(2) din </w:t>
      </w:r>
      <w:r w:rsidR="00332594" w:rsidRPr="00363CFA">
        <w:rPr>
          <w:rFonts w:asciiTheme="majorHAnsi" w:hAnsiTheme="majorHAnsi" w:cstheme="majorHAnsi"/>
          <w:color w:val="000000" w:themeColor="text1"/>
          <w:sz w:val="24"/>
          <w:szCs w:val="24"/>
          <w:lang w:val="ro-MD"/>
        </w:rPr>
        <w:t>L</w:t>
      </w:r>
      <w:r w:rsidR="007C6DA9" w:rsidRPr="00363CFA">
        <w:rPr>
          <w:rFonts w:asciiTheme="majorHAnsi" w:hAnsiTheme="majorHAnsi" w:cstheme="majorHAnsi"/>
          <w:color w:val="000000" w:themeColor="text1"/>
          <w:sz w:val="24"/>
          <w:szCs w:val="24"/>
          <w:lang w:val="ro-MD"/>
        </w:rPr>
        <w:t>egea privind administra</w:t>
      </w:r>
      <w:r w:rsidR="0069374B" w:rsidRPr="00363CFA">
        <w:rPr>
          <w:rFonts w:asciiTheme="majorHAnsi" w:hAnsiTheme="majorHAnsi" w:cstheme="majorHAnsi"/>
          <w:color w:val="000000" w:themeColor="text1"/>
          <w:sz w:val="24"/>
          <w:szCs w:val="24"/>
          <w:lang w:val="ro-MD"/>
        </w:rPr>
        <w:t>ț</w:t>
      </w:r>
      <w:r w:rsidR="007C6DA9" w:rsidRPr="00363CFA">
        <w:rPr>
          <w:rFonts w:asciiTheme="majorHAnsi" w:hAnsiTheme="majorHAnsi" w:cstheme="majorHAnsi"/>
          <w:color w:val="000000" w:themeColor="text1"/>
          <w:sz w:val="24"/>
          <w:szCs w:val="24"/>
          <w:lang w:val="ro-MD"/>
        </w:rPr>
        <w:t xml:space="preserve">ia publică locală nr.436-XVI din 28.12.2006 prevede că </w:t>
      </w:r>
      <w:r w:rsidR="007C6DA9" w:rsidRPr="00363CFA">
        <w:rPr>
          <w:rFonts w:asciiTheme="majorHAnsi" w:eastAsia="Times New Roman" w:hAnsiTheme="majorHAnsi" w:cstheme="majorHAnsi"/>
          <w:color w:val="000000" w:themeColor="text1"/>
          <w:sz w:val="24"/>
          <w:szCs w:val="24"/>
          <w:lang w:val="ro-MD"/>
        </w:rPr>
        <w:t>autorită</w:t>
      </w:r>
      <w:r w:rsidR="0069374B" w:rsidRPr="00363CFA">
        <w:rPr>
          <w:rFonts w:asciiTheme="majorHAnsi" w:eastAsia="Times New Roman" w:hAnsiTheme="majorHAnsi" w:cstheme="majorHAnsi"/>
          <w:color w:val="000000" w:themeColor="text1"/>
          <w:sz w:val="24"/>
          <w:szCs w:val="24"/>
          <w:lang w:val="ro-MD"/>
        </w:rPr>
        <w:t>ț</w:t>
      </w:r>
      <w:r w:rsidR="007C6DA9" w:rsidRPr="00363CFA">
        <w:rPr>
          <w:rFonts w:asciiTheme="majorHAnsi" w:eastAsia="Times New Roman" w:hAnsiTheme="majorHAnsi" w:cstheme="majorHAnsi"/>
          <w:color w:val="000000" w:themeColor="text1"/>
          <w:sz w:val="24"/>
          <w:szCs w:val="24"/>
          <w:lang w:val="ro-MD"/>
        </w:rPr>
        <w:t>ile administra</w:t>
      </w:r>
      <w:r w:rsidR="0069374B" w:rsidRPr="00363CFA">
        <w:rPr>
          <w:rFonts w:asciiTheme="majorHAnsi" w:eastAsia="Times New Roman" w:hAnsiTheme="majorHAnsi" w:cstheme="majorHAnsi"/>
          <w:color w:val="000000" w:themeColor="text1"/>
          <w:sz w:val="24"/>
          <w:szCs w:val="24"/>
          <w:lang w:val="ro-MD"/>
        </w:rPr>
        <w:t>ț</w:t>
      </w:r>
      <w:r w:rsidR="007C6DA9" w:rsidRPr="00363CFA">
        <w:rPr>
          <w:rFonts w:asciiTheme="majorHAnsi" w:eastAsia="Times New Roman" w:hAnsiTheme="majorHAnsi" w:cstheme="majorHAnsi"/>
          <w:color w:val="000000" w:themeColor="text1"/>
          <w:sz w:val="24"/>
          <w:szCs w:val="24"/>
          <w:lang w:val="ro-MD"/>
        </w:rPr>
        <w:t>iei publice locale beneficiază de autonomie decizională, organiza</w:t>
      </w:r>
      <w:r w:rsidR="0069374B" w:rsidRPr="00363CFA">
        <w:rPr>
          <w:rFonts w:asciiTheme="majorHAnsi" w:eastAsia="Times New Roman" w:hAnsiTheme="majorHAnsi" w:cstheme="majorHAnsi"/>
          <w:color w:val="000000" w:themeColor="text1"/>
          <w:sz w:val="24"/>
          <w:szCs w:val="24"/>
          <w:lang w:val="ro-MD"/>
        </w:rPr>
        <w:t>ț</w:t>
      </w:r>
      <w:r w:rsidR="007C6DA9" w:rsidRPr="00363CFA">
        <w:rPr>
          <w:rFonts w:asciiTheme="majorHAnsi" w:eastAsia="Times New Roman" w:hAnsiTheme="majorHAnsi" w:cstheme="majorHAnsi"/>
          <w:color w:val="000000" w:themeColor="text1"/>
          <w:sz w:val="24"/>
          <w:szCs w:val="24"/>
          <w:lang w:val="ro-MD"/>
        </w:rPr>
        <w:t xml:space="preserve">ională, gestionară </w:t>
      </w:r>
      <w:r w:rsidR="0069374B" w:rsidRPr="00363CFA">
        <w:rPr>
          <w:rFonts w:asciiTheme="majorHAnsi" w:eastAsia="Times New Roman" w:hAnsiTheme="majorHAnsi" w:cstheme="majorHAnsi"/>
          <w:color w:val="000000" w:themeColor="text1"/>
          <w:sz w:val="24"/>
          <w:szCs w:val="24"/>
          <w:lang w:val="ro-MD"/>
        </w:rPr>
        <w:t>ș</w:t>
      </w:r>
      <w:r w:rsidR="007C6DA9" w:rsidRPr="00363CFA">
        <w:rPr>
          <w:rFonts w:asciiTheme="majorHAnsi" w:eastAsia="Times New Roman" w:hAnsiTheme="majorHAnsi" w:cstheme="majorHAnsi"/>
          <w:color w:val="000000" w:themeColor="text1"/>
          <w:sz w:val="24"/>
          <w:szCs w:val="24"/>
          <w:lang w:val="ro-MD"/>
        </w:rPr>
        <w:t>i financiară, au dreptul la ini</w:t>
      </w:r>
      <w:r w:rsidR="0069374B" w:rsidRPr="00363CFA">
        <w:rPr>
          <w:rFonts w:asciiTheme="majorHAnsi" w:eastAsia="Times New Roman" w:hAnsiTheme="majorHAnsi" w:cstheme="majorHAnsi"/>
          <w:color w:val="000000" w:themeColor="text1"/>
          <w:sz w:val="24"/>
          <w:szCs w:val="24"/>
          <w:lang w:val="ro-MD"/>
        </w:rPr>
        <w:t>ț</w:t>
      </w:r>
      <w:r w:rsidR="007C6DA9" w:rsidRPr="00363CFA">
        <w:rPr>
          <w:rFonts w:asciiTheme="majorHAnsi" w:eastAsia="Times New Roman" w:hAnsiTheme="majorHAnsi" w:cstheme="majorHAnsi"/>
          <w:color w:val="000000" w:themeColor="text1"/>
          <w:sz w:val="24"/>
          <w:szCs w:val="24"/>
          <w:lang w:val="ro-MD"/>
        </w:rPr>
        <w:t>iativă în tot ceea ce prive</w:t>
      </w:r>
      <w:r w:rsidR="0069374B" w:rsidRPr="00363CFA">
        <w:rPr>
          <w:rFonts w:asciiTheme="majorHAnsi" w:eastAsia="Times New Roman" w:hAnsiTheme="majorHAnsi" w:cstheme="majorHAnsi"/>
          <w:color w:val="000000" w:themeColor="text1"/>
          <w:sz w:val="24"/>
          <w:szCs w:val="24"/>
          <w:lang w:val="ro-MD"/>
        </w:rPr>
        <w:t>ș</w:t>
      </w:r>
      <w:r w:rsidR="007C6DA9" w:rsidRPr="00363CFA">
        <w:rPr>
          <w:rFonts w:asciiTheme="majorHAnsi" w:eastAsia="Times New Roman" w:hAnsiTheme="majorHAnsi" w:cstheme="majorHAnsi"/>
          <w:color w:val="000000" w:themeColor="text1"/>
          <w:sz w:val="24"/>
          <w:szCs w:val="24"/>
          <w:lang w:val="ro-MD"/>
        </w:rPr>
        <w:t>te administrarea treburilor publice locale, exercit</w:t>
      </w:r>
      <w:r w:rsidR="007C55DB">
        <w:rPr>
          <w:rFonts w:asciiTheme="majorHAnsi" w:eastAsia="Times New Roman" w:hAnsiTheme="majorHAnsi" w:cstheme="majorHAnsi"/>
          <w:color w:val="000000" w:themeColor="text1"/>
          <w:sz w:val="24"/>
          <w:szCs w:val="24"/>
          <w:lang w:val="ro-MD"/>
        </w:rPr>
        <w:t>â</w:t>
      </w:r>
      <w:r w:rsidR="007C6DA9" w:rsidRPr="00363CFA">
        <w:rPr>
          <w:rFonts w:asciiTheme="majorHAnsi" w:eastAsia="Times New Roman" w:hAnsiTheme="majorHAnsi" w:cstheme="majorHAnsi"/>
          <w:color w:val="000000" w:themeColor="text1"/>
          <w:sz w:val="24"/>
          <w:szCs w:val="24"/>
          <w:lang w:val="ro-MD"/>
        </w:rPr>
        <w:t>ndu-</w:t>
      </w:r>
      <w:r w:rsidR="0069374B" w:rsidRPr="00363CFA">
        <w:rPr>
          <w:rFonts w:asciiTheme="majorHAnsi" w:eastAsia="Times New Roman" w:hAnsiTheme="majorHAnsi" w:cstheme="majorHAnsi"/>
          <w:color w:val="000000" w:themeColor="text1"/>
          <w:sz w:val="24"/>
          <w:szCs w:val="24"/>
          <w:lang w:val="ro-MD"/>
        </w:rPr>
        <w:t>ș</w:t>
      </w:r>
      <w:r w:rsidR="007C6DA9" w:rsidRPr="00363CFA">
        <w:rPr>
          <w:rFonts w:asciiTheme="majorHAnsi" w:eastAsia="Times New Roman" w:hAnsiTheme="majorHAnsi" w:cstheme="majorHAnsi"/>
          <w:color w:val="000000" w:themeColor="text1"/>
          <w:sz w:val="24"/>
          <w:szCs w:val="24"/>
          <w:lang w:val="ro-MD"/>
        </w:rPr>
        <w:t>i, în condi</w:t>
      </w:r>
      <w:r w:rsidR="0069374B" w:rsidRPr="00363CFA">
        <w:rPr>
          <w:rFonts w:asciiTheme="majorHAnsi" w:eastAsia="Times New Roman" w:hAnsiTheme="majorHAnsi" w:cstheme="majorHAnsi"/>
          <w:color w:val="000000" w:themeColor="text1"/>
          <w:sz w:val="24"/>
          <w:szCs w:val="24"/>
          <w:lang w:val="ro-MD"/>
        </w:rPr>
        <w:t>ț</w:t>
      </w:r>
      <w:r w:rsidR="007C6DA9" w:rsidRPr="00363CFA">
        <w:rPr>
          <w:rFonts w:asciiTheme="majorHAnsi" w:eastAsia="Times New Roman" w:hAnsiTheme="majorHAnsi" w:cstheme="majorHAnsi"/>
          <w:color w:val="000000" w:themeColor="text1"/>
          <w:sz w:val="24"/>
          <w:szCs w:val="24"/>
          <w:lang w:val="ro-MD"/>
        </w:rPr>
        <w:t>iile legii, autoritatea în limitele teritoriului administrat.</w:t>
      </w:r>
    </w:p>
    <w:p w14:paraId="203A6C26" w14:textId="2CBB256C" w:rsidR="006E7D09" w:rsidRPr="00363CFA" w:rsidRDefault="006E7D09" w:rsidP="00767ED8">
      <w:pPr>
        <w:spacing w:after="0" w:line="276" w:lineRule="auto"/>
        <w:ind w:right="-187" w:firstLine="720"/>
        <w:jc w:val="both"/>
        <w:rPr>
          <w:rFonts w:asciiTheme="majorHAnsi" w:hAnsiTheme="majorHAnsi" w:cstheme="majorHAnsi"/>
          <w:b/>
          <w:color w:val="000000" w:themeColor="text1"/>
          <w:sz w:val="24"/>
          <w:szCs w:val="24"/>
          <w:lang w:val="ro-MD"/>
        </w:rPr>
      </w:pPr>
      <w:r w:rsidRPr="00363CFA">
        <w:rPr>
          <w:rFonts w:asciiTheme="majorHAnsi" w:hAnsiTheme="majorHAnsi" w:cstheme="majorHAnsi"/>
          <w:color w:val="000000" w:themeColor="text1"/>
          <w:sz w:val="24"/>
          <w:szCs w:val="24"/>
          <w:lang w:val="ro-MD"/>
        </w:rPr>
        <w:t>Potrivit datelor preluate din sistemul informa</w:t>
      </w:r>
      <w:r w:rsidR="0069374B" w:rsidRPr="00363CFA">
        <w:rPr>
          <w:rFonts w:asciiTheme="majorHAnsi" w:hAnsiTheme="majorHAnsi" w:cstheme="majorHAnsi"/>
          <w:color w:val="000000" w:themeColor="text1"/>
          <w:sz w:val="24"/>
          <w:szCs w:val="24"/>
          <w:lang w:val="ro-MD"/>
        </w:rPr>
        <w:t>ț</w:t>
      </w:r>
      <w:r w:rsidRPr="00363CFA">
        <w:rPr>
          <w:rFonts w:asciiTheme="majorHAnsi" w:hAnsiTheme="majorHAnsi" w:cstheme="majorHAnsi"/>
          <w:color w:val="000000" w:themeColor="text1"/>
          <w:sz w:val="24"/>
          <w:szCs w:val="24"/>
          <w:lang w:val="ro-MD"/>
        </w:rPr>
        <w:t>ional al SFS, în an</w:t>
      </w:r>
      <w:r w:rsidR="007C55DB">
        <w:rPr>
          <w:rFonts w:asciiTheme="majorHAnsi" w:hAnsiTheme="majorHAnsi" w:cstheme="majorHAnsi"/>
          <w:color w:val="000000" w:themeColor="text1"/>
          <w:sz w:val="24"/>
          <w:szCs w:val="24"/>
          <w:lang w:val="ro-MD"/>
        </w:rPr>
        <w:t>ii</w:t>
      </w:r>
      <w:r w:rsidRPr="00363CFA">
        <w:rPr>
          <w:rFonts w:asciiTheme="majorHAnsi" w:hAnsiTheme="majorHAnsi" w:cstheme="majorHAnsi"/>
          <w:color w:val="000000" w:themeColor="text1"/>
          <w:sz w:val="24"/>
          <w:szCs w:val="24"/>
          <w:lang w:val="ro-MD"/>
        </w:rPr>
        <w:t xml:space="preserve"> 2019 </w:t>
      </w:r>
      <w:r w:rsidR="0069374B" w:rsidRPr="00363CFA">
        <w:rPr>
          <w:rFonts w:asciiTheme="majorHAnsi" w:hAnsiTheme="majorHAnsi" w:cstheme="majorHAnsi"/>
          <w:color w:val="000000" w:themeColor="text1"/>
          <w:sz w:val="24"/>
          <w:szCs w:val="24"/>
          <w:lang w:val="ro-MD"/>
        </w:rPr>
        <w:t>ș</w:t>
      </w:r>
      <w:r w:rsidRPr="00363CFA">
        <w:rPr>
          <w:rFonts w:asciiTheme="majorHAnsi" w:hAnsiTheme="majorHAnsi" w:cstheme="majorHAnsi"/>
          <w:color w:val="000000" w:themeColor="text1"/>
          <w:sz w:val="24"/>
          <w:szCs w:val="24"/>
          <w:lang w:val="ro-MD"/>
        </w:rPr>
        <w:t xml:space="preserve">i 2020, veniturile încasate din impozitele </w:t>
      </w:r>
      <w:r w:rsidR="0069374B" w:rsidRPr="00363CFA">
        <w:rPr>
          <w:rFonts w:asciiTheme="majorHAnsi" w:hAnsiTheme="majorHAnsi" w:cstheme="majorHAnsi"/>
          <w:color w:val="000000" w:themeColor="text1"/>
          <w:sz w:val="24"/>
          <w:szCs w:val="24"/>
          <w:lang w:val="ro-MD"/>
        </w:rPr>
        <w:t>ș</w:t>
      </w:r>
      <w:r w:rsidRPr="00363CFA">
        <w:rPr>
          <w:rFonts w:asciiTheme="majorHAnsi" w:hAnsiTheme="majorHAnsi" w:cstheme="majorHAnsi"/>
          <w:color w:val="000000" w:themeColor="text1"/>
          <w:sz w:val="24"/>
          <w:szCs w:val="24"/>
          <w:lang w:val="ro-MD"/>
        </w:rPr>
        <w:t>i taxele colectate pe teritoriul UTA Găgăuzia au constituit sum</w:t>
      </w:r>
      <w:r w:rsidR="007C55DB">
        <w:rPr>
          <w:rFonts w:asciiTheme="majorHAnsi" w:hAnsiTheme="majorHAnsi" w:cstheme="majorHAnsi"/>
          <w:color w:val="000000" w:themeColor="text1"/>
          <w:sz w:val="24"/>
          <w:szCs w:val="24"/>
          <w:lang w:val="ro-MD"/>
        </w:rPr>
        <w:t>ele</w:t>
      </w:r>
      <w:r w:rsidRPr="00363CFA">
        <w:rPr>
          <w:rFonts w:asciiTheme="majorHAnsi" w:hAnsiTheme="majorHAnsi" w:cstheme="majorHAnsi"/>
          <w:color w:val="000000" w:themeColor="text1"/>
          <w:sz w:val="24"/>
          <w:szCs w:val="24"/>
          <w:lang w:val="ro-MD"/>
        </w:rPr>
        <w:t xml:space="preserve"> de </w:t>
      </w:r>
      <w:r w:rsidRPr="00363CFA">
        <w:rPr>
          <w:rFonts w:asciiTheme="majorHAnsi" w:hAnsiTheme="majorHAnsi" w:cstheme="majorHAnsi"/>
          <w:b/>
          <w:color w:val="000000" w:themeColor="text1"/>
          <w:sz w:val="24"/>
          <w:szCs w:val="24"/>
          <w:lang w:val="ro-MD"/>
        </w:rPr>
        <w:t>359277,2 mii lei</w:t>
      </w:r>
      <w:r w:rsidRPr="00363CFA">
        <w:rPr>
          <w:rFonts w:asciiTheme="majorHAnsi" w:hAnsiTheme="majorHAnsi" w:cstheme="majorHAnsi"/>
          <w:color w:val="000000" w:themeColor="text1"/>
          <w:sz w:val="24"/>
          <w:szCs w:val="24"/>
          <w:lang w:val="ro-MD"/>
        </w:rPr>
        <w:t xml:space="preserve"> </w:t>
      </w:r>
      <w:r w:rsidR="0069374B" w:rsidRPr="00363CFA">
        <w:rPr>
          <w:rFonts w:asciiTheme="majorHAnsi" w:hAnsiTheme="majorHAnsi" w:cstheme="majorHAnsi"/>
          <w:color w:val="000000" w:themeColor="text1"/>
          <w:sz w:val="24"/>
          <w:szCs w:val="24"/>
          <w:lang w:val="ro-MD"/>
        </w:rPr>
        <w:t>ș</w:t>
      </w:r>
      <w:r w:rsidRPr="00363CFA">
        <w:rPr>
          <w:rFonts w:asciiTheme="majorHAnsi" w:hAnsiTheme="majorHAnsi" w:cstheme="majorHAnsi"/>
          <w:color w:val="000000" w:themeColor="text1"/>
          <w:sz w:val="24"/>
          <w:szCs w:val="24"/>
          <w:lang w:val="ro-MD"/>
        </w:rPr>
        <w:t>i</w:t>
      </w:r>
      <w:r w:rsidR="007C55DB">
        <w:rPr>
          <w:rFonts w:asciiTheme="majorHAnsi" w:hAnsiTheme="majorHAnsi" w:cstheme="majorHAnsi"/>
          <w:color w:val="000000" w:themeColor="text1"/>
          <w:sz w:val="24"/>
          <w:szCs w:val="24"/>
          <w:lang w:val="ro-MD"/>
        </w:rPr>
        <w:t>,</w:t>
      </w:r>
      <w:r w:rsidRPr="00363CFA">
        <w:rPr>
          <w:rFonts w:asciiTheme="majorHAnsi" w:hAnsiTheme="majorHAnsi" w:cstheme="majorHAnsi"/>
          <w:color w:val="000000" w:themeColor="text1"/>
          <w:sz w:val="24"/>
          <w:szCs w:val="24"/>
          <w:lang w:val="ro-MD"/>
        </w:rPr>
        <w:t xml:space="preserve"> respectiv</w:t>
      </w:r>
      <w:r w:rsidR="007C55DB">
        <w:rPr>
          <w:rFonts w:asciiTheme="majorHAnsi" w:hAnsiTheme="majorHAnsi" w:cstheme="majorHAnsi"/>
          <w:color w:val="000000" w:themeColor="text1"/>
          <w:sz w:val="24"/>
          <w:szCs w:val="24"/>
          <w:lang w:val="ro-MD"/>
        </w:rPr>
        <w:t>,</w:t>
      </w:r>
      <w:r w:rsidRPr="00363CFA">
        <w:rPr>
          <w:rFonts w:asciiTheme="majorHAnsi" w:hAnsiTheme="majorHAnsi" w:cstheme="majorHAnsi"/>
          <w:color w:val="000000" w:themeColor="text1"/>
          <w:sz w:val="24"/>
          <w:szCs w:val="24"/>
          <w:lang w:val="ro-MD"/>
        </w:rPr>
        <w:t xml:space="preserve"> </w:t>
      </w:r>
      <w:r w:rsidRPr="00363CFA">
        <w:rPr>
          <w:rFonts w:asciiTheme="majorHAnsi" w:hAnsiTheme="majorHAnsi" w:cstheme="majorHAnsi"/>
          <w:b/>
          <w:color w:val="000000" w:themeColor="text1"/>
          <w:sz w:val="24"/>
          <w:szCs w:val="24"/>
          <w:lang w:val="ro-MD"/>
        </w:rPr>
        <w:t xml:space="preserve">359039,4 mii lei. </w:t>
      </w:r>
      <w:r w:rsidR="00C36352" w:rsidRPr="00363CFA">
        <w:rPr>
          <w:rFonts w:asciiTheme="majorHAnsi" w:hAnsiTheme="majorHAnsi" w:cstheme="majorHAnsi"/>
          <w:color w:val="000000" w:themeColor="text1"/>
          <w:sz w:val="24"/>
          <w:szCs w:val="24"/>
          <w:lang w:val="ro-MD"/>
        </w:rPr>
        <w:t xml:space="preserve">O analiză detaliată </w:t>
      </w:r>
      <w:r w:rsidR="007C55DB">
        <w:rPr>
          <w:rFonts w:asciiTheme="majorHAnsi" w:hAnsiTheme="majorHAnsi" w:cstheme="majorHAnsi"/>
          <w:color w:val="000000" w:themeColor="text1"/>
          <w:sz w:val="24"/>
          <w:szCs w:val="24"/>
          <w:lang w:val="ro-MD"/>
        </w:rPr>
        <w:t xml:space="preserve">în acest sens </w:t>
      </w:r>
      <w:r w:rsidR="00C36352" w:rsidRPr="00363CFA">
        <w:rPr>
          <w:rFonts w:asciiTheme="majorHAnsi" w:hAnsiTheme="majorHAnsi" w:cstheme="majorHAnsi"/>
          <w:color w:val="000000" w:themeColor="text1"/>
          <w:sz w:val="24"/>
          <w:szCs w:val="24"/>
          <w:lang w:val="ro-MD"/>
        </w:rPr>
        <w:t xml:space="preserve">este prezentată în </w:t>
      </w:r>
      <w:r w:rsidR="00C36352" w:rsidRPr="00F30888">
        <w:rPr>
          <w:rFonts w:asciiTheme="majorHAnsi" w:hAnsiTheme="majorHAnsi" w:cstheme="majorHAnsi"/>
          <w:b/>
          <w:color w:val="000000" w:themeColor="text1"/>
          <w:sz w:val="24"/>
          <w:szCs w:val="24"/>
          <w:lang w:val="ro-MD"/>
        </w:rPr>
        <w:t xml:space="preserve">Anexa nr.4 </w:t>
      </w:r>
      <w:r w:rsidR="00C36352" w:rsidRPr="00F30888">
        <w:rPr>
          <w:rFonts w:asciiTheme="majorHAnsi" w:hAnsiTheme="majorHAnsi" w:cstheme="majorHAnsi"/>
          <w:color w:val="000000" w:themeColor="text1"/>
          <w:sz w:val="24"/>
          <w:szCs w:val="24"/>
          <w:lang w:val="ro-MD"/>
        </w:rPr>
        <w:t>la Raportul de audit</w:t>
      </w:r>
      <w:r w:rsidR="00C36352" w:rsidRPr="00363CFA">
        <w:rPr>
          <w:rFonts w:asciiTheme="majorHAnsi" w:hAnsiTheme="majorHAnsi" w:cstheme="majorHAnsi"/>
          <w:i/>
          <w:color w:val="000000" w:themeColor="text1"/>
          <w:sz w:val="24"/>
          <w:szCs w:val="24"/>
          <w:lang w:val="ro-MD"/>
        </w:rPr>
        <w:t>.</w:t>
      </w:r>
      <w:r w:rsidR="00C36352" w:rsidRPr="00363CFA">
        <w:rPr>
          <w:rFonts w:asciiTheme="majorHAnsi" w:hAnsiTheme="majorHAnsi" w:cstheme="majorHAnsi"/>
          <w:color w:val="000000" w:themeColor="text1"/>
          <w:sz w:val="24"/>
          <w:szCs w:val="24"/>
          <w:lang w:val="ro-MD"/>
        </w:rPr>
        <w:t xml:space="preserve"> </w:t>
      </w:r>
    </w:p>
    <w:p w14:paraId="7C53B462" w14:textId="471E5229" w:rsidR="006E7D09" w:rsidRPr="00363CFA" w:rsidRDefault="00332594" w:rsidP="00767ED8">
      <w:pPr>
        <w:spacing w:after="0" w:line="276" w:lineRule="auto"/>
        <w:ind w:right="-187" w:firstLine="720"/>
        <w:jc w:val="both"/>
        <w:rPr>
          <w:rFonts w:asciiTheme="majorHAnsi" w:hAnsiTheme="majorHAnsi" w:cstheme="majorHAnsi"/>
          <w:b/>
          <w:color w:val="000000" w:themeColor="text1"/>
          <w:sz w:val="24"/>
          <w:szCs w:val="24"/>
          <w:lang w:val="ro-MD"/>
        </w:rPr>
      </w:pPr>
      <w:r w:rsidRPr="00363CFA">
        <w:rPr>
          <w:rFonts w:asciiTheme="majorHAnsi" w:hAnsiTheme="majorHAnsi" w:cstheme="majorHAnsi"/>
          <w:color w:val="000000" w:themeColor="text1"/>
          <w:sz w:val="24"/>
          <w:szCs w:val="24"/>
          <w:lang w:val="ro-MD"/>
        </w:rPr>
        <w:t>P</w:t>
      </w:r>
      <w:r w:rsidR="006E7D09" w:rsidRPr="00363CFA">
        <w:rPr>
          <w:rFonts w:asciiTheme="majorHAnsi" w:hAnsiTheme="majorHAnsi" w:cstheme="majorHAnsi"/>
          <w:color w:val="000000" w:themeColor="text1"/>
          <w:sz w:val="24"/>
          <w:szCs w:val="24"/>
          <w:lang w:val="ro-MD"/>
        </w:rPr>
        <w:t>otrivit actelor normative ale UTA Găgăuzia, APL de nivelul I beneficiază de transferuri cu destina</w:t>
      </w:r>
      <w:r w:rsidR="0069374B" w:rsidRPr="00363CFA">
        <w:rPr>
          <w:rFonts w:asciiTheme="majorHAnsi" w:hAnsiTheme="majorHAnsi" w:cstheme="majorHAnsi"/>
          <w:color w:val="000000" w:themeColor="text1"/>
          <w:sz w:val="24"/>
          <w:szCs w:val="24"/>
          <w:lang w:val="ro-MD"/>
        </w:rPr>
        <w:t>ț</w:t>
      </w:r>
      <w:r w:rsidR="006E7D09" w:rsidRPr="00363CFA">
        <w:rPr>
          <w:rFonts w:asciiTheme="majorHAnsi" w:hAnsiTheme="majorHAnsi" w:cstheme="majorHAnsi"/>
          <w:color w:val="000000" w:themeColor="text1"/>
          <w:sz w:val="24"/>
          <w:szCs w:val="24"/>
          <w:lang w:val="ro-MD"/>
        </w:rPr>
        <w:t xml:space="preserve">ie generală (TDG) </w:t>
      </w:r>
      <w:r w:rsidR="0069374B" w:rsidRPr="00363CFA">
        <w:rPr>
          <w:rFonts w:asciiTheme="majorHAnsi" w:hAnsiTheme="majorHAnsi" w:cstheme="majorHAnsi"/>
          <w:color w:val="000000" w:themeColor="text1"/>
          <w:sz w:val="24"/>
          <w:szCs w:val="24"/>
          <w:lang w:val="ro-MD"/>
        </w:rPr>
        <w:t>ș</w:t>
      </w:r>
      <w:r w:rsidR="006E7D09" w:rsidRPr="00363CFA">
        <w:rPr>
          <w:rFonts w:asciiTheme="majorHAnsi" w:hAnsiTheme="majorHAnsi" w:cstheme="majorHAnsi"/>
          <w:color w:val="000000" w:themeColor="text1"/>
          <w:sz w:val="24"/>
          <w:szCs w:val="24"/>
          <w:lang w:val="ro-MD"/>
        </w:rPr>
        <w:t>i de transferuri cu destina</w:t>
      </w:r>
      <w:r w:rsidR="0069374B" w:rsidRPr="00363CFA">
        <w:rPr>
          <w:rFonts w:asciiTheme="majorHAnsi" w:hAnsiTheme="majorHAnsi" w:cstheme="majorHAnsi"/>
          <w:color w:val="000000" w:themeColor="text1"/>
          <w:sz w:val="24"/>
          <w:szCs w:val="24"/>
          <w:lang w:val="ro-MD"/>
        </w:rPr>
        <w:t>ț</w:t>
      </w:r>
      <w:r w:rsidR="006E7D09" w:rsidRPr="00363CFA">
        <w:rPr>
          <w:rFonts w:asciiTheme="majorHAnsi" w:hAnsiTheme="majorHAnsi" w:cstheme="majorHAnsi"/>
          <w:color w:val="000000" w:themeColor="text1"/>
          <w:sz w:val="24"/>
          <w:szCs w:val="24"/>
          <w:lang w:val="ro-MD"/>
        </w:rPr>
        <w:t>ie specială (TDS), alocate din veniturile rămase la dispozi</w:t>
      </w:r>
      <w:r w:rsidR="0069374B" w:rsidRPr="00363CFA">
        <w:rPr>
          <w:rFonts w:asciiTheme="majorHAnsi" w:hAnsiTheme="majorHAnsi" w:cstheme="majorHAnsi"/>
          <w:color w:val="000000" w:themeColor="text1"/>
          <w:sz w:val="24"/>
          <w:szCs w:val="24"/>
          <w:lang w:val="ro-MD"/>
        </w:rPr>
        <w:t>ț</w:t>
      </w:r>
      <w:r w:rsidR="006E7D09" w:rsidRPr="00363CFA">
        <w:rPr>
          <w:rFonts w:asciiTheme="majorHAnsi" w:hAnsiTheme="majorHAnsi" w:cstheme="majorHAnsi"/>
          <w:color w:val="000000" w:themeColor="text1"/>
          <w:sz w:val="24"/>
          <w:szCs w:val="24"/>
          <w:lang w:val="ro-MD"/>
        </w:rPr>
        <w:t xml:space="preserve">ia bugetului central. TDG alocate din bugetul central </w:t>
      </w:r>
      <w:r w:rsidR="009669CF">
        <w:rPr>
          <w:rFonts w:asciiTheme="majorHAnsi" w:hAnsiTheme="majorHAnsi" w:cstheme="majorHAnsi"/>
          <w:color w:val="000000" w:themeColor="text1"/>
          <w:sz w:val="24"/>
          <w:szCs w:val="24"/>
          <w:lang w:val="ro-MD"/>
        </w:rPr>
        <w:t xml:space="preserve">către </w:t>
      </w:r>
      <w:r w:rsidR="006E7D09" w:rsidRPr="00363CFA">
        <w:rPr>
          <w:rFonts w:asciiTheme="majorHAnsi" w:hAnsiTheme="majorHAnsi" w:cstheme="majorHAnsi"/>
          <w:color w:val="000000" w:themeColor="text1"/>
          <w:sz w:val="24"/>
          <w:szCs w:val="24"/>
          <w:lang w:val="ro-MD"/>
        </w:rPr>
        <w:t xml:space="preserve">APL de nivelul I în anul 2019 </w:t>
      </w:r>
      <w:r w:rsidR="0069374B" w:rsidRPr="00363CFA">
        <w:rPr>
          <w:rFonts w:asciiTheme="majorHAnsi" w:hAnsiTheme="majorHAnsi" w:cstheme="majorHAnsi"/>
          <w:color w:val="000000" w:themeColor="text1"/>
          <w:sz w:val="24"/>
          <w:szCs w:val="24"/>
          <w:lang w:val="ro-MD"/>
        </w:rPr>
        <w:t>ș</w:t>
      </w:r>
      <w:r w:rsidR="006E7D09" w:rsidRPr="00363CFA">
        <w:rPr>
          <w:rFonts w:asciiTheme="majorHAnsi" w:hAnsiTheme="majorHAnsi" w:cstheme="majorHAnsi"/>
          <w:color w:val="000000" w:themeColor="text1"/>
          <w:sz w:val="24"/>
          <w:szCs w:val="24"/>
          <w:lang w:val="ro-MD"/>
        </w:rPr>
        <w:t xml:space="preserve">i </w:t>
      </w:r>
      <w:r w:rsidR="00A141D3">
        <w:rPr>
          <w:rFonts w:asciiTheme="majorHAnsi" w:hAnsiTheme="majorHAnsi" w:cstheme="majorHAnsi"/>
          <w:color w:val="000000" w:themeColor="text1"/>
          <w:sz w:val="24"/>
          <w:szCs w:val="24"/>
          <w:lang w:val="ro-MD"/>
        </w:rPr>
        <w:t xml:space="preserve">în anul </w:t>
      </w:r>
      <w:r w:rsidR="006E7D09" w:rsidRPr="00363CFA">
        <w:rPr>
          <w:rFonts w:asciiTheme="majorHAnsi" w:hAnsiTheme="majorHAnsi" w:cstheme="majorHAnsi"/>
          <w:color w:val="000000" w:themeColor="text1"/>
          <w:sz w:val="24"/>
          <w:szCs w:val="24"/>
          <w:lang w:val="ro-MD"/>
        </w:rPr>
        <w:t>2020 au constituit</w:t>
      </w:r>
      <w:r w:rsidR="00A141D3">
        <w:rPr>
          <w:rFonts w:asciiTheme="majorHAnsi" w:hAnsiTheme="majorHAnsi" w:cstheme="majorHAnsi"/>
          <w:color w:val="000000" w:themeColor="text1"/>
          <w:sz w:val="24"/>
          <w:szCs w:val="24"/>
          <w:lang w:val="ro-MD"/>
        </w:rPr>
        <w:t>,</w:t>
      </w:r>
      <w:r w:rsidR="00A141D3" w:rsidRPr="00363CFA">
        <w:rPr>
          <w:rFonts w:asciiTheme="majorHAnsi" w:hAnsiTheme="majorHAnsi" w:cstheme="majorHAnsi"/>
          <w:color w:val="000000" w:themeColor="text1"/>
          <w:sz w:val="24"/>
          <w:szCs w:val="24"/>
          <w:lang w:val="ro-MD"/>
        </w:rPr>
        <w:t xml:space="preserve"> respectiv</w:t>
      </w:r>
      <w:r w:rsidR="00A141D3">
        <w:rPr>
          <w:rFonts w:asciiTheme="majorHAnsi" w:hAnsiTheme="majorHAnsi" w:cstheme="majorHAnsi"/>
          <w:color w:val="000000" w:themeColor="text1"/>
          <w:sz w:val="24"/>
          <w:szCs w:val="24"/>
          <w:lang w:val="ro-MD"/>
        </w:rPr>
        <w:t xml:space="preserve">, </w:t>
      </w:r>
      <w:r w:rsidR="006E7D09" w:rsidRPr="00363CFA">
        <w:rPr>
          <w:rFonts w:asciiTheme="majorHAnsi" w:hAnsiTheme="majorHAnsi" w:cstheme="majorHAnsi"/>
          <w:b/>
          <w:color w:val="000000" w:themeColor="text1"/>
          <w:sz w:val="24"/>
          <w:szCs w:val="24"/>
          <w:lang w:val="ro-MD"/>
        </w:rPr>
        <w:t>20533,3 mii lei</w:t>
      </w:r>
      <w:r w:rsidR="006E7D09" w:rsidRPr="00363CFA">
        <w:rPr>
          <w:rFonts w:asciiTheme="majorHAnsi" w:hAnsiTheme="majorHAnsi" w:cstheme="majorHAnsi"/>
          <w:color w:val="000000" w:themeColor="text1"/>
          <w:sz w:val="24"/>
          <w:szCs w:val="24"/>
          <w:lang w:val="ro-MD"/>
        </w:rPr>
        <w:t xml:space="preserve"> </w:t>
      </w:r>
      <w:r w:rsidR="0069374B" w:rsidRPr="00363CFA">
        <w:rPr>
          <w:rFonts w:asciiTheme="majorHAnsi" w:hAnsiTheme="majorHAnsi" w:cstheme="majorHAnsi"/>
          <w:color w:val="000000" w:themeColor="text1"/>
          <w:sz w:val="24"/>
          <w:szCs w:val="24"/>
          <w:lang w:val="ro-MD"/>
        </w:rPr>
        <w:t>ș</w:t>
      </w:r>
      <w:r w:rsidR="006E7D09" w:rsidRPr="00363CFA">
        <w:rPr>
          <w:rFonts w:asciiTheme="majorHAnsi" w:hAnsiTheme="majorHAnsi" w:cstheme="majorHAnsi"/>
          <w:color w:val="000000" w:themeColor="text1"/>
          <w:sz w:val="24"/>
          <w:szCs w:val="24"/>
          <w:lang w:val="ro-MD"/>
        </w:rPr>
        <w:t>i</w:t>
      </w:r>
      <w:r w:rsidR="00A141D3">
        <w:rPr>
          <w:rFonts w:asciiTheme="majorHAnsi" w:hAnsiTheme="majorHAnsi" w:cstheme="majorHAnsi"/>
          <w:color w:val="000000" w:themeColor="text1"/>
          <w:sz w:val="24"/>
          <w:szCs w:val="24"/>
          <w:lang w:val="ro-MD"/>
        </w:rPr>
        <w:t xml:space="preserve"> </w:t>
      </w:r>
      <w:r w:rsidR="006E7D09" w:rsidRPr="00363CFA">
        <w:rPr>
          <w:rFonts w:asciiTheme="majorHAnsi" w:hAnsiTheme="majorHAnsi" w:cstheme="majorHAnsi"/>
          <w:b/>
          <w:color w:val="000000" w:themeColor="text1"/>
          <w:sz w:val="24"/>
          <w:szCs w:val="24"/>
          <w:lang w:val="ro-MD"/>
        </w:rPr>
        <w:t>14690,7 mii lei</w:t>
      </w:r>
      <w:r w:rsidR="006E7D09" w:rsidRPr="00363CFA">
        <w:rPr>
          <w:rFonts w:asciiTheme="majorHAnsi" w:hAnsiTheme="majorHAnsi" w:cstheme="majorHAnsi"/>
          <w:color w:val="000000" w:themeColor="text1"/>
          <w:sz w:val="24"/>
          <w:szCs w:val="24"/>
          <w:lang w:val="ro-MD"/>
        </w:rPr>
        <w:t xml:space="preserve">. </w:t>
      </w:r>
      <w:r w:rsidR="00C36352" w:rsidRPr="00363CFA">
        <w:rPr>
          <w:rFonts w:asciiTheme="majorHAnsi" w:hAnsiTheme="majorHAnsi" w:cstheme="majorHAnsi"/>
          <w:color w:val="000000" w:themeColor="text1"/>
          <w:sz w:val="24"/>
          <w:szCs w:val="24"/>
          <w:lang w:val="ro-MD"/>
        </w:rPr>
        <w:t xml:space="preserve">O analiză detaliată </w:t>
      </w:r>
      <w:r w:rsidR="00A141D3">
        <w:rPr>
          <w:rFonts w:asciiTheme="majorHAnsi" w:hAnsiTheme="majorHAnsi" w:cstheme="majorHAnsi"/>
          <w:color w:val="000000" w:themeColor="text1"/>
          <w:sz w:val="24"/>
          <w:szCs w:val="24"/>
          <w:lang w:val="ro-MD"/>
        </w:rPr>
        <w:t xml:space="preserve">în acest context </w:t>
      </w:r>
      <w:r w:rsidR="00C36352" w:rsidRPr="00363CFA">
        <w:rPr>
          <w:rFonts w:asciiTheme="majorHAnsi" w:hAnsiTheme="majorHAnsi" w:cstheme="majorHAnsi"/>
          <w:color w:val="000000" w:themeColor="text1"/>
          <w:sz w:val="24"/>
          <w:szCs w:val="24"/>
          <w:lang w:val="ro-MD"/>
        </w:rPr>
        <w:t xml:space="preserve">este prezentată în </w:t>
      </w:r>
      <w:r w:rsidR="00C36352" w:rsidRPr="00F30888">
        <w:rPr>
          <w:rFonts w:asciiTheme="majorHAnsi" w:hAnsiTheme="majorHAnsi" w:cstheme="majorHAnsi"/>
          <w:b/>
          <w:color w:val="000000" w:themeColor="text1"/>
          <w:sz w:val="24"/>
          <w:szCs w:val="24"/>
          <w:lang w:val="ro-MD"/>
        </w:rPr>
        <w:t>Anexa nr.5</w:t>
      </w:r>
      <w:r w:rsidR="00C36352" w:rsidRPr="00363CFA">
        <w:rPr>
          <w:rFonts w:asciiTheme="majorHAnsi" w:hAnsiTheme="majorHAnsi" w:cstheme="majorHAnsi"/>
          <w:i/>
          <w:color w:val="000000" w:themeColor="text1"/>
          <w:sz w:val="24"/>
          <w:szCs w:val="24"/>
          <w:lang w:val="ro-MD"/>
        </w:rPr>
        <w:t xml:space="preserve"> </w:t>
      </w:r>
      <w:r w:rsidR="00C36352" w:rsidRPr="00F30888">
        <w:rPr>
          <w:rFonts w:asciiTheme="majorHAnsi" w:hAnsiTheme="majorHAnsi" w:cstheme="majorHAnsi"/>
          <w:color w:val="000000" w:themeColor="text1"/>
          <w:sz w:val="24"/>
          <w:szCs w:val="24"/>
          <w:lang w:val="ro-MD"/>
        </w:rPr>
        <w:t>la Raportul de audit.</w:t>
      </w:r>
    </w:p>
    <w:p w14:paraId="323C17DA" w14:textId="13C44C2C" w:rsidR="004A208A" w:rsidRPr="00363CFA" w:rsidRDefault="006E7D09" w:rsidP="00767ED8">
      <w:pPr>
        <w:spacing w:after="0" w:line="276" w:lineRule="auto"/>
        <w:ind w:right="-187" w:firstLine="720"/>
        <w:jc w:val="both"/>
        <w:rPr>
          <w:rFonts w:asciiTheme="majorHAnsi" w:hAnsiTheme="majorHAnsi" w:cstheme="majorHAnsi"/>
          <w:i/>
          <w:color w:val="000000" w:themeColor="text1"/>
          <w:sz w:val="24"/>
          <w:szCs w:val="24"/>
          <w:lang w:val="ro-MD"/>
        </w:rPr>
      </w:pPr>
      <w:r w:rsidRPr="00174032">
        <w:rPr>
          <w:rFonts w:asciiTheme="majorHAnsi" w:eastAsia="Times New Roman" w:hAnsiTheme="majorHAnsi" w:cstheme="majorHAnsi"/>
          <w:sz w:val="24"/>
          <w:szCs w:val="24"/>
          <w:lang w:val="ro-MD"/>
        </w:rPr>
        <w:t>Pe l</w:t>
      </w:r>
      <w:r w:rsidR="00A141D3" w:rsidRPr="00174032">
        <w:rPr>
          <w:rFonts w:asciiTheme="majorHAnsi" w:eastAsia="Times New Roman" w:hAnsiTheme="majorHAnsi" w:cstheme="majorHAnsi"/>
          <w:sz w:val="24"/>
          <w:szCs w:val="24"/>
          <w:lang w:val="ro-MD"/>
        </w:rPr>
        <w:t>â</w:t>
      </w:r>
      <w:r w:rsidRPr="00174032">
        <w:rPr>
          <w:rFonts w:asciiTheme="majorHAnsi" w:eastAsia="Times New Roman" w:hAnsiTheme="majorHAnsi" w:cstheme="majorHAnsi"/>
          <w:sz w:val="24"/>
          <w:szCs w:val="24"/>
          <w:lang w:val="ro-MD"/>
        </w:rPr>
        <w:t xml:space="preserve">ngă TDG, APL de nivelul I beneficiază de la bugetul central al UTA Găgăuzia </w:t>
      </w:r>
      <w:r w:rsidR="0069374B" w:rsidRPr="00174032">
        <w:rPr>
          <w:rFonts w:asciiTheme="majorHAnsi" w:eastAsia="Times New Roman" w:hAnsiTheme="majorHAnsi" w:cstheme="majorHAnsi"/>
          <w:sz w:val="24"/>
          <w:szCs w:val="24"/>
          <w:lang w:val="ro-MD"/>
        </w:rPr>
        <w:t>ș</w:t>
      </w:r>
      <w:r w:rsidRPr="00174032">
        <w:rPr>
          <w:rFonts w:asciiTheme="majorHAnsi" w:eastAsia="Times New Roman" w:hAnsiTheme="majorHAnsi" w:cstheme="majorHAnsi"/>
          <w:sz w:val="24"/>
          <w:szCs w:val="24"/>
          <w:lang w:val="ro-MD"/>
        </w:rPr>
        <w:t>i de TDS</w:t>
      </w:r>
      <w:r w:rsidR="00A141D3" w:rsidRPr="00174032">
        <w:rPr>
          <w:rFonts w:asciiTheme="majorHAnsi" w:eastAsia="Times New Roman" w:hAnsiTheme="majorHAnsi" w:cstheme="majorHAnsi"/>
          <w:sz w:val="24"/>
          <w:szCs w:val="24"/>
          <w:lang w:val="ro-MD"/>
        </w:rPr>
        <w:t xml:space="preserve">, </w:t>
      </w:r>
      <w:r w:rsidRPr="00174032">
        <w:rPr>
          <w:rFonts w:asciiTheme="majorHAnsi" w:eastAsia="Times New Roman" w:hAnsiTheme="majorHAnsi" w:cstheme="majorHAnsi"/>
          <w:sz w:val="24"/>
          <w:szCs w:val="24"/>
          <w:lang w:val="ro-MD"/>
        </w:rPr>
        <w:t xml:space="preserve">  pentru realizarea unor proiecte aprobate de către autoritatea deliberativă </w:t>
      </w:r>
      <w:r w:rsidR="0069374B" w:rsidRPr="00174032">
        <w:rPr>
          <w:rFonts w:asciiTheme="majorHAnsi" w:eastAsia="Times New Roman" w:hAnsiTheme="majorHAnsi" w:cstheme="majorHAnsi"/>
          <w:sz w:val="24"/>
          <w:szCs w:val="24"/>
          <w:lang w:val="ro-MD"/>
        </w:rPr>
        <w:t>ș</w:t>
      </w:r>
      <w:r w:rsidRPr="00174032">
        <w:rPr>
          <w:rFonts w:asciiTheme="majorHAnsi" w:eastAsia="Times New Roman" w:hAnsiTheme="majorHAnsi" w:cstheme="majorHAnsi"/>
          <w:sz w:val="24"/>
          <w:szCs w:val="24"/>
          <w:lang w:val="ro-MD"/>
        </w:rPr>
        <w:t>i autoritatea executivă a</w:t>
      </w:r>
      <w:r w:rsidR="00EA1535" w:rsidRPr="00174032">
        <w:rPr>
          <w:rFonts w:asciiTheme="majorHAnsi" w:eastAsia="Times New Roman" w:hAnsiTheme="majorHAnsi" w:cstheme="majorHAnsi"/>
          <w:sz w:val="24"/>
          <w:szCs w:val="24"/>
          <w:lang w:val="ro-MD"/>
        </w:rPr>
        <w:t>le</w:t>
      </w:r>
      <w:r w:rsidRPr="00174032">
        <w:rPr>
          <w:rFonts w:asciiTheme="majorHAnsi" w:eastAsia="Times New Roman" w:hAnsiTheme="majorHAnsi" w:cstheme="majorHAnsi"/>
          <w:sz w:val="24"/>
          <w:szCs w:val="24"/>
          <w:lang w:val="ro-MD"/>
        </w:rPr>
        <w:t xml:space="preserve"> UTA Găgăuzia, </w:t>
      </w:r>
      <w:r w:rsidR="001F5DFA" w:rsidRPr="00174032">
        <w:rPr>
          <w:rFonts w:asciiTheme="majorHAnsi" w:eastAsia="Times New Roman" w:hAnsiTheme="majorHAnsi" w:cstheme="majorHAnsi"/>
          <w:color w:val="000000" w:themeColor="text1"/>
          <w:sz w:val="24"/>
          <w:szCs w:val="24"/>
          <w:lang w:val="ro-MD"/>
        </w:rPr>
        <w:t>fiind create</w:t>
      </w:r>
      <w:r w:rsidRPr="00174032">
        <w:rPr>
          <w:rFonts w:asciiTheme="majorHAnsi" w:eastAsia="Times New Roman" w:hAnsiTheme="majorHAnsi" w:cstheme="majorHAnsi"/>
          <w:color w:val="000000" w:themeColor="text1"/>
          <w:sz w:val="24"/>
          <w:szCs w:val="24"/>
          <w:lang w:val="ro-MD"/>
        </w:rPr>
        <w:t>: fondul de restituire a contribu</w:t>
      </w:r>
      <w:r w:rsidR="0069374B" w:rsidRPr="00174032">
        <w:rPr>
          <w:rFonts w:asciiTheme="majorHAnsi" w:eastAsia="Times New Roman" w:hAnsiTheme="majorHAnsi" w:cstheme="majorHAnsi"/>
          <w:color w:val="000000" w:themeColor="text1"/>
          <w:sz w:val="24"/>
          <w:szCs w:val="24"/>
          <w:lang w:val="ro-MD"/>
        </w:rPr>
        <w:t>ț</w:t>
      </w:r>
      <w:r w:rsidRPr="00174032">
        <w:rPr>
          <w:rFonts w:asciiTheme="majorHAnsi" w:eastAsia="Times New Roman" w:hAnsiTheme="majorHAnsi" w:cstheme="majorHAnsi"/>
          <w:color w:val="000000" w:themeColor="text1"/>
          <w:sz w:val="24"/>
          <w:szCs w:val="24"/>
          <w:lang w:val="ro-MD"/>
        </w:rPr>
        <w:t>iei; fondul genera</w:t>
      </w:r>
      <w:r w:rsidR="0069374B" w:rsidRPr="00174032">
        <w:rPr>
          <w:rFonts w:asciiTheme="majorHAnsi" w:eastAsia="Times New Roman" w:hAnsiTheme="majorHAnsi" w:cstheme="majorHAnsi"/>
          <w:color w:val="000000" w:themeColor="text1"/>
          <w:sz w:val="24"/>
          <w:szCs w:val="24"/>
          <w:lang w:val="ro-MD"/>
        </w:rPr>
        <w:t>ț</w:t>
      </w:r>
      <w:r w:rsidRPr="00174032">
        <w:rPr>
          <w:rFonts w:asciiTheme="majorHAnsi" w:eastAsia="Times New Roman" w:hAnsiTheme="majorHAnsi" w:cstheme="majorHAnsi"/>
          <w:color w:val="000000" w:themeColor="text1"/>
          <w:sz w:val="24"/>
          <w:szCs w:val="24"/>
          <w:lang w:val="ro-MD"/>
        </w:rPr>
        <w:t>ie sănătoasă; fondul salvarea limbii găgăuze</w:t>
      </w:r>
      <w:r w:rsidR="00A141D3" w:rsidRPr="00174032">
        <w:rPr>
          <w:rFonts w:asciiTheme="majorHAnsi" w:eastAsia="Times New Roman" w:hAnsiTheme="majorHAnsi" w:cstheme="majorHAnsi"/>
          <w:color w:val="000000" w:themeColor="text1"/>
          <w:sz w:val="24"/>
          <w:szCs w:val="24"/>
          <w:lang w:val="ro-MD"/>
        </w:rPr>
        <w:t>;</w:t>
      </w:r>
      <w:r w:rsidRPr="00174032">
        <w:rPr>
          <w:rFonts w:asciiTheme="majorHAnsi" w:eastAsia="Times New Roman" w:hAnsiTheme="majorHAnsi" w:cstheme="majorHAnsi"/>
          <w:color w:val="000000" w:themeColor="text1"/>
          <w:sz w:val="24"/>
          <w:szCs w:val="24"/>
          <w:lang w:val="ro-MD"/>
        </w:rPr>
        <w:t xml:space="preserve"> compensarea plă</w:t>
      </w:r>
      <w:r w:rsidR="0069374B" w:rsidRPr="00174032">
        <w:rPr>
          <w:rFonts w:asciiTheme="majorHAnsi" w:eastAsia="Times New Roman" w:hAnsiTheme="majorHAnsi" w:cstheme="majorHAnsi"/>
          <w:color w:val="000000" w:themeColor="text1"/>
          <w:sz w:val="24"/>
          <w:szCs w:val="24"/>
          <w:lang w:val="ro-MD"/>
        </w:rPr>
        <w:t>ț</w:t>
      </w:r>
      <w:r w:rsidRPr="00174032">
        <w:rPr>
          <w:rFonts w:asciiTheme="majorHAnsi" w:eastAsia="Times New Roman" w:hAnsiTheme="majorHAnsi" w:cstheme="majorHAnsi"/>
          <w:color w:val="000000" w:themeColor="text1"/>
          <w:sz w:val="24"/>
          <w:szCs w:val="24"/>
          <w:lang w:val="ro-MD"/>
        </w:rPr>
        <w:t>ii părin</w:t>
      </w:r>
      <w:r w:rsidR="0069374B" w:rsidRPr="00174032">
        <w:rPr>
          <w:rFonts w:asciiTheme="majorHAnsi" w:eastAsia="Times New Roman" w:hAnsiTheme="majorHAnsi" w:cstheme="majorHAnsi"/>
          <w:color w:val="000000" w:themeColor="text1"/>
          <w:sz w:val="24"/>
          <w:szCs w:val="24"/>
          <w:lang w:val="ro-MD"/>
        </w:rPr>
        <w:t>ț</w:t>
      </w:r>
      <w:r w:rsidRPr="00174032">
        <w:rPr>
          <w:rFonts w:asciiTheme="majorHAnsi" w:eastAsia="Times New Roman" w:hAnsiTheme="majorHAnsi" w:cstheme="majorHAnsi"/>
          <w:color w:val="000000" w:themeColor="text1"/>
          <w:sz w:val="24"/>
          <w:szCs w:val="24"/>
          <w:lang w:val="ro-MD"/>
        </w:rPr>
        <w:t>ilor pentru alimentarea copiilor în institu</w:t>
      </w:r>
      <w:r w:rsidR="0069374B" w:rsidRPr="00174032">
        <w:rPr>
          <w:rFonts w:asciiTheme="majorHAnsi" w:eastAsia="Times New Roman" w:hAnsiTheme="majorHAnsi" w:cstheme="majorHAnsi"/>
          <w:color w:val="000000" w:themeColor="text1"/>
          <w:sz w:val="24"/>
          <w:szCs w:val="24"/>
          <w:lang w:val="ro-MD"/>
        </w:rPr>
        <w:t>ț</w:t>
      </w:r>
      <w:r w:rsidRPr="00174032">
        <w:rPr>
          <w:rFonts w:asciiTheme="majorHAnsi" w:eastAsia="Times New Roman" w:hAnsiTheme="majorHAnsi" w:cstheme="majorHAnsi"/>
          <w:color w:val="000000" w:themeColor="text1"/>
          <w:sz w:val="24"/>
          <w:szCs w:val="24"/>
          <w:lang w:val="ro-MD"/>
        </w:rPr>
        <w:t>iile pre</w:t>
      </w:r>
      <w:r w:rsidR="0069374B" w:rsidRPr="00174032">
        <w:rPr>
          <w:rFonts w:asciiTheme="majorHAnsi" w:eastAsia="Times New Roman" w:hAnsiTheme="majorHAnsi" w:cstheme="majorHAnsi"/>
          <w:color w:val="000000" w:themeColor="text1"/>
          <w:sz w:val="24"/>
          <w:szCs w:val="24"/>
          <w:lang w:val="ro-MD"/>
        </w:rPr>
        <w:t>ș</w:t>
      </w:r>
      <w:r w:rsidRPr="00174032">
        <w:rPr>
          <w:rFonts w:asciiTheme="majorHAnsi" w:eastAsia="Times New Roman" w:hAnsiTheme="majorHAnsi" w:cstheme="majorHAnsi"/>
          <w:color w:val="000000" w:themeColor="text1"/>
          <w:sz w:val="24"/>
          <w:szCs w:val="24"/>
          <w:lang w:val="ro-MD"/>
        </w:rPr>
        <w:t>colare de învă</w:t>
      </w:r>
      <w:r w:rsidR="0069374B" w:rsidRPr="00174032">
        <w:rPr>
          <w:rFonts w:asciiTheme="majorHAnsi" w:eastAsia="Times New Roman" w:hAnsiTheme="majorHAnsi" w:cstheme="majorHAnsi"/>
          <w:color w:val="000000" w:themeColor="text1"/>
          <w:sz w:val="24"/>
          <w:szCs w:val="24"/>
          <w:lang w:val="ro-MD"/>
        </w:rPr>
        <w:t>ț</w:t>
      </w:r>
      <w:r w:rsidRPr="00174032">
        <w:rPr>
          <w:rFonts w:asciiTheme="majorHAnsi" w:eastAsia="Times New Roman" w:hAnsiTheme="majorHAnsi" w:cstheme="majorHAnsi"/>
          <w:color w:val="000000" w:themeColor="text1"/>
          <w:sz w:val="24"/>
          <w:szCs w:val="24"/>
          <w:lang w:val="ro-MD"/>
        </w:rPr>
        <w:t>ământ etc</w:t>
      </w:r>
      <w:r w:rsidR="00A141D3" w:rsidRPr="00174032">
        <w:rPr>
          <w:rFonts w:asciiTheme="majorHAnsi" w:eastAsia="Times New Roman" w:hAnsiTheme="majorHAnsi" w:cstheme="majorHAnsi"/>
          <w:color w:val="000000" w:themeColor="text1"/>
          <w:sz w:val="24"/>
          <w:szCs w:val="24"/>
          <w:lang w:val="ro-MD"/>
        </w:rPr>
        <w:t>.</w:t>
      </w:r>
      <w:r w:rsidRPr="00174032">
        <w:rPr>
          <w:rFonts w:asciiTheme="majorHAnsi" w:eastAsia="Times New Roman" w:hAnsiTheme="majorHAnsi" w:cstheme="majorHAnsi"/>
          <w:color w:val="000000" w:themeColor="text1"/>
          <w:sz w:val="24"/>
          <w:szCs w:val="24"/>
          <w:lang w:val="ro-MD"/>
        </w:rPr>
        <w:t>, care în a</w:t>
      </w:r>
      <w:r w:rsidR="006A3E6C" w:rsidRPr="00174032">
        <w:rPr>
          <w:rFonts w:asciiTheme="majorHAnsi" w:eastAsia="Times New Roman" w:hAnsiTheme="majorHAnsi" w:cstheme="majorHAnsi"/>
          <w:color w:val="000000" w:themeColor="text1"/>
          <w:sz w:val="24"/>
          <w:szCs w:val="24"/>
          <w:lang w:val="ro-MD"/>
        </w:rPr>
        <w:t>nii</w:t>
      </w:r>
      <w:r w:rsidRPr="00174032">
        <w:rPr>
          <w:rFonts w:asciiTheme="majorHAnsi" w:eastAsia="Times New Roman" w:hAnsiTheme="majorHAnsi" w:cstheme="majorHAnsi"/>
          <w:color w:val="000000" w:themeColor="text1"/>
          <w:sz w:val="24"/>
          <w:szCs w:val="24"/>
          <w:lang w:val="ro-MD"/>
        </w:rPr>
        <w:t xml:space="preserve"> 2019 </w:t>
      </w:r>
      <w:r w:rsidR="0069374B" w:rsidRPr="00174032">
        <w:rPr>
          <w:rFonts w:asciiTheme="majorHAnsi" w:eastAsia="Times New Roman" w:hAnsiTheme="majorHAnsi" w:cstheme="majorHAnsi"/>
          <w:color w:val="000000" w:themeColor="text1"/>
          <w:sz w:val="24"/>
          <w:szCs w:val="24"/>
          <w:lang w:val="ro-MD"/>
        </w:rPr>
        <w:t>ș</w:t>
      </w:r>
      <w:r w:rsidRPr="00174032">
        <w:rPr>
          <w:rFonts w:asciiTheme="majorHAnsi" w:eastAsia="Times New Roman" w:hAnsiTheme="majorHAnsi" w:cstheme="majorHAnsi"/>
          <w:color w:val="000000" w:themeColor="text1"/>
          <w:sz w:val="24"/>
          <w:szCs w:val="24"/>
          <w:lang w:val="ro-MD"/>
        </w:rPr>
        <w:t xml:space="preserve">i 2020 au constituit </w:t>
      </w:r>
      <w:r w:rsidRPr="00174032">
        <w:rPr>
          <w:rFonts w:asciiTheme="majorHAnsi" w:eastAsia="Times New Roman" w:hAnsiTheme="majorHAnsi" w:cstheme="majorHAnsi"/>
          <w:b/>
          <w:color w:val="000000" w:themeColor="text1"/>
          <w:sz w:val="24"/>
          <w:szCs w:val="24"/>
          <w:lang w:val="ro-MD"/>
        </w:rPr>
        <w:t>42804,0 mii lei</w:t>
      </w:r>
      <w:r w:rsidRPr="00174032">
        <w:rPr>
          <w:rFonts w:asciiTheme="majorHAnsi" w:eastAsia="Times New Roman" w:hAnsiTheme="majorHAnsi" w:cstheme="majorHAnsi"/>
          <w:color w:val="000000" w:themeColor="text1"/>
          <w:sz w:val="24"/>
          <w:szCs w:val="24"/>
          <w:lang w:val="ro-MD"/>
        </w:rPr>
        <w:t xml:space="preserve"> </w:t>
      </w:r>
      <w:r w:rsidR="0069374B" w:rsidRPr="00174032">
        <w:rPr>
          <w:rFonts w:asciiTheme="majorHAnsi" w:eastAsia="Times New Roman" w:hAnsiTheme="majorHAnsi" w:cstheme="majorHAnsi"/>
          <w:color w:val="000000" w:themeColor="text1"/>
          <w:sz w:val="24"/>
          <w:szCs w:val="24"/>
          <w:lang w:val="ro-MD"/>
        </w:rPr>
        <w:t>ș</w:t>
      </w:r>
      <w:r w:rsidRPr="00174032">
        <w:rPr>
          <w:rFonts w:asciiTheme="majorHAnsi" w:eastAsia="Times New Roman" w:hAnsiTheme="majorHAnsi" w:cstheme="majorHAnsi"/>
          <w:color w:val="000000" w:themeColor="text1"/>
          <w:sz w:val="24"/>
          <w:szCs w:val="24"/>
          <w:lang w:val="ro-MD"/>
        </w:rPr>
        <w:t>i</w:t>
      </w:r>
      <w:r w:rsidR="006A3E6C" w:rsidRPr="00174032">
        <w:rPr>
          <w:rFonts w:asciiTheme="majorHAnsi" w:eastAsia="Times New Roman" w:hAnsiTheme="majorHAnsi" w:cstheme="majorHAnsi"/>
          <w:color w:val="000000" w:themeColor="text1"/>
          <w:sz w:val="24"/>
          <w:szCs w:val="24"/>
          <w:lang w:val="ro-MD"/>
        </w:rPr>
        <w:t>,</w:t>
      </w:r>
      <w:r w:rsidRPr="00174032">
        <w:rPr>
          <w:rFonts w:asciiTheme="majorHAnsi" w:eastAsia="Times New Roman" w:hAnsiTheme="majorHAnsi" w:cstheme="majorHAnsi"/>
          <w:color w:val="000000" w:themeColor="text1"/>
          <w:sz w:val="24"/>
          <w:szCs w:val="24"/>
          <w:lang w:val="ro-MD"/>
        </w:rPr>
        <w:t xml:space="preserve"> respectiv</w:t>
      </w:r>
      <w:r w:rsidR="006A3E6C" w:rsidRPr="00174032">
        <w:rPr>
          <w:rFonts w:asciiTheme="majorHAnsi" w:eastAsia="Times New Roman" w:hAnsiTheme="majorHAnsi" w:cstheme="majorHAnsi"/>
          <w:color w:val="000000" w:themeColor="text1"/>
          <w:sz w:val="24"/>
          <w:szCs w:val="24"/>
          <w:lang w:val="ro-MD"/>
        </w:rPr>
        <w:t xml:space="preserve">, </w:t>
      </w:r>
      <w:r w:rsidRPr="00174032">
        <w:rPr>
          <w:rFonts w:asciiTheme="majorHAnsi" w:eastAsia="Times New Roman" w:hAnsiTheme="majorHAnsi" w:cstheme="majorHAnsi"/>
          <w:b/>
          <w:color w:val="000000" w:themeColor="text1"/>
          <w:sz w:val="24"/>
          <w:szCs w:val="24"/>
          <w:lang w:val="ro-MD"/>
        </w:rPr>
        <w:t>40160,3 mii lei</w:t>
      </w:r>
      <w:r w:rsidRPr="00174032">
        <w:rPr>
          <w:rFonts w:asciiTheme="majorHAnsi" w:eastAsia="Times New Roman" w:hAnsiTheme="majorHAnsi" w:cstheme="majorHAnsi"/>
          <w:color w:val="000000" w:themeColor="text1"/>
          <w:sz w:val="24"/>
          <w:szCs w:val="24"/>
          <w:lang w:val="ro-MD"/>
        </w:rPr>
        <w:t xml:space="preserve">. </w:t>
      </w:r>
      <w:r w:rsidR="00C36352" w:rsidRPr="00174032">
        <w:rPr>
          <w:rFonts w:asciiTheme="majorHAnsi" w:hAnsiTheme="majorHAnsi" w:cstheme="majorHAnsi"/>
          <w:b/>
          <w:color w:val="000000" w:themeColor="text1"/>
          <w:sz w:val="24"/>
          <w:szCs w:val="24"/>
          <w:lang w:val="ro-MD"/>
        </w:rPr>
        <w:t xml:space="preserve"> </w:t>
      </w:r>
      <w:r w:rsidR="00C36352" w:rsidRPr="00174032">
        <w:rPr>
          <w:rFonts w:asciiTheme="majorHAnsi" w:hAnsiTheme="majorHAnsi" w:cstheme="majorHAnsi"/>
          <w:color w:val="000000" w:themeColor="text1"/>
          <w:sz w:val="24"/>
          <w:szCs w:val="24"/>
          <w:lang w:val="ro-MD"/>
        </w:rPr>
        <w:t xml:space="preserve">O analiză detaliată </w:t>
      </w:r>
      <w:r w:rsidR="006A3E6C" w:rsidRPr="00174032">
        <w:rPr>
          <w:rFonts w:asciiTheme="majorHAnsi" w:hAnsiTheme="majorHAnsi" w:cstheme="majorHAnsi"/>
          <w:color w:val="000000" w:themeColor="text1"/>
          <w:sz w:val="24"/>
          <w:szCs w:val="24"/>
          <w:lang w:val="ro-MD"/>
        </w:rPr>
        <w:t xml:space="preserve">în acest sens </w:t>
      </w:r>
      <w:r w:rsidR="00C36352" w:rsidRPr="00174032">
        <w:rPr>
          <w:rFonts w:asciiTheme="majorHAnsi" w:hAnsiTheme="majorHAnsi" w:cstheme="majorHAnsi"/>
          <w:color w:val="000000" w:themeColor="text1"/>
          <w:sz w:val="24"/>
          <w:szCs w:val="24"/>
          <w:lang w:val="ro-MD"/>
        </w:rPr>
        <w:t xml:space="preserve">este prezentată în </w:t>
      </w:r>
      <w:r w:rsidR="00C36352" w:rsidRPr="00174032">
        <w:rPr>
          <w:rFonts w:asciiTheme="majorHAnsi" w:hAnsiTheme="majorHAnsi" w:cstheme="majorHAnsi"/>
          <w:b/>
          <w:color w:val="000000" w:themeColor="text1"/>
          <w:sz w:val="24"/>
          <w:szCs w:val="24"/>
          <w:lang w:val="ro-MD"/>
        </w:rPr>
        <w:t>Anexa nr.6</w:t>
      </w:r>
      <w:r w:rsidR="00C36352" w:rsidRPr="00174032">
        <w:rPr>
          <w:rFonts w:asciiTheme="majorHAnsi" w:hAnsiTheme="majorHAnsi" w:cstheme="majorHAnsi"/>
          <w:i/>
          <w:color w:val="000000" w:themeColor="text1"/>
          <w:sz w:val="24"/>
          <w:szCs w:val="24"/>
          <w:lang w:val="ro-MD"/>
        </w:rPr>
        <w:t xml:space="preserve"> </w:t>
      </w:r>
      <w:r w:rsidR="0069374B" w:rsidRPr="00174032">
        <w:rPr>
          <w:rFonts w:asciiTheme="majorHAnsi" w:hAnsiTheme="majorHAnsi" w:cstheme="majorHAnsi"/>
          <w:color w:val="000000" w:themeColor="text1"/>
          <w:sz w:val="24"/>
          <w:szCs w:val="24"/>
          <w:lang w:val="ro-MD"/>
        </w:rPr>
        <w:t>ș</w:t>
      </w:r>
      <w:r w:rsidR="00C36352" w:rsidRPr="00174032">
        <w:rPr>
          <w:rFonts w:asciiTheme="majorHAnsi" w:hAnsiTheme="majorHAnsi" w:cstheme="majorHAnsi"/>
          <w:color w:val="000000" w:themeColor="text1"/>
          <w:sz w:val="24"/>
          <w:szCs w:val="24"/>
          <w:lang w:val="ro-MD"/>
        </w:rPr>
        <w:t>i</w:t>
      </w:r>
      <w:r w:rsidR="00C36352" w:rsidRPr="00174032">
        <w:rPr>
          <w:rFonts w:asciiTheme="majorHAnsi" w:hAnsiTheme="majorHAnsi" w:cstheme="majorHAnsi"/>
          <w:b/>
          <w:color w:val="000000" w:themeColor="text1"/>
          <w:sz w:val="24"/>
          <w:szCs w:val="24"/>
          <w:lang w:val="ro-MD"/>
        </w:rPr>
        <w:t xml:space="preserve"> </w:t>
      </w:r>
      <w:r w:rsidR="00BE2D53" w:rsidRPr="00174032">
        <w:rPr>
          <w:rFonts w:asciiTheme="majorHAnsi" w:hAnsiTheme="majorHAnsi" w:cstheme="majorHAnsi"/>
          <w:b/>
          <w:color w:val="000000" w:themeColor="text1"/>
          <w:sz w:val="24"/>
          <w:szCs w:val="24"/>
          <w:lang w:val="ro-MD"/>
        </w:rPr>
        <w:t xml:space="preserve">Anexa </w:t>
      </w:r>
      <w:r w:rsidR="00C36352" w:rsidRPr="00174032">
        <w:rPr>
          <w:rFonts w:asciiTheme="majorHAnsi" w:hAnsiTheme="majorHAnsi" w:cstheme="majorHAnsi"/>
          <w:b/>
          <w:color w:val="000000" w:themeColor="text1"/>
          <w:sz w:val="24"/>
          <w:szCs w:val="24"/>
          <w:lang w:val="ro-MD"/>
        </w:rPr>
        <w:t>6.1</w:t>
      </w:r>
      <w:r w:rsidR="006A3E6C" w:rsidRPr="00174032">
        <w:rPr>
          <w:rFonts w:asciiTheme="majorHAnsi" w:hAnsiTheme="majorHAnsi" w:cstheme="majorHAnsi"/>
          <w:b/>
          <w:color w:val="000000" w:themeColor="text1"/>
          <w:sz w:val="24"/>
          <w:szCs w:val="24"/>
          <w:lang w:val="ro-MD"/>
        </w:rPr>
        <w:t>.</w:t>
      </w:r>
      <w:r w:rsidR="00C36352" w:rsidRPr="00174032">
        <w:rPr>
          <w:rFonts w:asciiTheme="majorHAnsi" w:hAnsiTheme="majorHAnsi" w:cstheme="majorHAnsi"/>
          <w:i/>
          <w:color w:val="000000" w:themeColor="text1"/>
          <w:sz w:val="24"/>
          <w:szCs w:val="24"/>
          <w:lang w:val="ro-MD"/>
        </w:rPr>
        <w:t xml:space="preserve"> </w:t>
      </w:r>
      <w:r w:rsidR="00C36352" w:rsidRPr="00174032">
        <w:rPr>
          <w:rFonts w:asciiTheme="majorHAnsi" w:hAnsiTheme="majorHAnsi" w:cstheme="majorHAnsi"/>
          <w:color w:val="000000" w:themeColor="text1"/>
          <w:sz w:val="24"/>
          <w:szCs w:val="24"/>
          <w:lang w:val="ro-MD"/>
        </w:rPr>
        <w:t>la Raportul de audit</w:t>
      </w:r>
      <w:r w:rsidR="00C36352" w:rsidRPr="00174032">
        <w:rPr>
          <w:rFonts w:asciiTheme="majorHAnsi" w:hAnsiTheme="majorHAnsi" w:cstheme="majorHAnsi"/>
          <w:i/>
          <w:color w:val="000000" w:themeColor="text1"/>
          <w:sz w:val="24"/>
          <w:szCs w:val="24"/>
          <w:lang w:val="ro-MD"/>
        </w:rPr>
        <w:t>.</w:t>
      </w:r>
    </w:p>
    <w:p w14:paraId="514334F7" w14:textId="77777777" w:rsidR="00712FF7" w:rsidRPr="00241575" w:rsidRDefault="00712FF7" w:rsidP="00767ED8">
      <w:pPr>
        <w:spacing w:after="0" w:line="276" w:lineRule="auto"/>
        <w:ind w:right="-187" w:firstLine="720"/>
        <w:jc w:val="both"/>
        <w:rPr>
          <w:rFonts w:asciiTheme="majorHAnsi" w:eastAsia="Times New Roman" w:hAnsiTheme="majorHAnsi" w:cstheme="majorHAnsi"/>
          <w:b/>
          <w:sz w:val="16"/>
          <w:szCs w:val="16"/>
          <w:lang w:val="ro-MD"/>
        </w:rPr>
      </w:pPr>
    </w:p>
    <w:p w14:paraId="312E6595" w14:textId="229D93A3" w:rsidR="00C46A1C" w:rsidRPr="00174032" w:rsidRDefault="00C46A1C" w:rsidP="00767ED8">
      <w:pPr>
        <w:pStyle w:val="Heading2"/>
        <w:spacing w:before="0" w:line="276" w:lineRule="auto"/>
        <w:jc w:val="both"/>
        <w:rPr>
          <w:rFonts w:eastAsia="Arial" w:cstheme="majorHAnsi"/>
          <w:b/>
          <w:spacing w:val="1"/>
          <w:sz w:val="28"/>
          <w:szCs w:val="28"/>
          <w:lang w:val="ro-MD"/>
        </w:rPr>
      </w:pPr>
      <w:bookmarkStart w:id="25" w:name="_Toc84512908"/>
      <w:r w:rsidRPr="00174032">
        <w:rPr>
          <w:rFonts w:eastAsia="Arial" w:cstheme="majorHAnsi"/>
          <w:b/>
          <w:spacing w:val="1"/>
          <w:sz w:val="28"/>
          <w:szCs w:val="28"/>
          <w:lang w:val="ro-MD"/>
        </w:rPr>
        <w:t xml:space="preserve">Obiectivul II: A justificat </w:t>
      </w:r>
      <w:r w:rsidRPr="00257A45">
        <w:rPr>
          <w:rFonts w:eastAsia="Arial" w:cstheme="majorHAnsi"/>
          <w:b/>
          <w:spacing w:val="1"/>
          <w:sz w:val="28"/>
          <w:szCs w:val="28"/>
          <w:lang w:val="ro-MD"/>
        </w:rPr>
        <w:t>UT</w:t>
      </w:r>
      <w:r w:rsidR="00257A45" w:rsidRPr="00257A45">
        <w:rPr>
          <w:rFonts w:eastAsia="Arial" w:cstheme="majorHAnsi"/>
          <w:b/>
          <w:spacing w:val="1"/>
          <w:sz w:val="28"/>
          <w:szCs w:val="28"/>
          <w:lang w:val="ro-MD"/>
        </w:rPr>
        <w:t>A</w:t>
      </w:r>
      <w:r w:rsidRPr="00174032">
        <w:rPr>
          <w:rFonts w:eastAsia="Arial" w:cstheme="majorHAnsi"/>
          <w:b/>
          <w:spacing w:val="1"/>
          <w:sz w:val="28"/>
          <w:szCs w:val="28"/>
          <w:lang w:val="ro-MD"/>
        </w:rPr>
        <w:t xml:space="preserve"> angajarea </w:t>
      </w:r>
      <w:r w:rsidR="0069374B" w:rsidRPr="00174032">
        <w:rPr>
          <w:rFonts w:eastAsia="Arial" w:cstheme="majorHAnsi"/>
          <w:b/>
          <w:spacing w:val="1"/>
          <w:sz w:val="28"/>
          <w:szCs w:val="28"/>
          <w:lang w:val="ro-MD"/>
        </w:rPr>
        <w:t>ș</w:t>
      </w:r>
      <w:r w:rsidRPr="00174032">
        <w:rPr>
          <w:rFonts w:eastAsia="Arial" w:cstheme="majorHAnsi"/>
          <w:b/>
          <w:spacing w:val="1"/>
          <w:sz w:val="28"/>
          <w:szCs w:val="28"/>
          <w:lang w:val="ro-MD"/>
        </w:rPr>
        <w:t>i gestionarea cheltuielilor potrivit cadrului regulator?</w:t>
      </w:r>
      <w:bookmarkEnd w:id="25"/>
    </w:p>
    <w:p w14:paraId="5BFBE376" w14:textId="294C8F66" w:rsidR="00A17BBE" w:rsidRPr="00363CFA" w:rsidRDefault="00A17BBE" w:rsidP="00767ED8">
      <w:pPr>
        <w:pStyle w:val="NormalWeb"/>
        <w:spacing w:before="0" w:beforeAutospacing="0" w:after="0" w:afterAutospacing="0" w:line="276" w:lineRule="auto"/>
        <w:ind w:firstLine="709"/>
        <w:jc w:val="both"/>
        <w:rPr>
          <w:rFonts w:asciiTheme="majorHAnsi" w:hAnsiTheme="majorHAnsi" w:cstheme="majorHAnsi"/>
          <w:lang w:val="ro-MD"/>
        </w:rPr>
      </w:pPr>
      <w:r w:rsidRPr="00363CFA">
        <w:rPr>
          <w:rFonts w:asciiTheme="majorHAnsi" w:hAnsiTheme="majorHAnsi" w:cstheme="majorHAnsi"/>
          <w:lang w:val="ro-MD"/>
        </w:rPr>
        <w:t xml:space="preserve">Evaluarea managementului financiar al executării cheltuielilor bugetului UTA, prin prisma respectării cadrului regulator, denotă că acest domeniu a fost afectat de unele nereguli </w:t>
      </w:r>
      <w:r w:rsidR="0069374B" w:rsidRPr="00363CFA">
        <w:rPr>
          <w:rFonts w:asciiTheme="majorHAnsi" w:hAnsiTheme="majorHAnsi" w:cstheme="majorHAnsi"/>
          <w:lang w:val="ro-MD"/>
        </w:rPr>
        <w:t>ș</w:t>
      </w:r>
      <w:r w:rsidRPr="00363CFA">
        <w:rPr>
          <w:rFonts w:asciiTheme="majorHAnsi" w:hAnsiTheme="majorHAnsi" w:cstheme="majorHAnsi"/>
          <w:lang w:val="ro-MD"/>
        </w:rPr>
        <w:t xml:space="preserve">i abateri de la normele legale, exprimate prin: </w:t>
      </w:r>
      <w:r w:rsidR="002B3116" w:rsidRPr="00363CFA">
        <w:rPr>
          <w:rFonts w:asciiTheme="majorHAnsi" w:hAnsiTheme="majorHAnsi" w:cstheme="majorHAnsi"/>
          <w:lang w:val="ro-MD"/>
        </w:rPr>
        <w:t xml:space="preserve">utilizarea unor fonduri </w:t>
      </w:r>
      <w:r w:rsidR="0069374B" w:rsidRPr="00363CFA">
        <w:rPr>
          <w:rFonts w:asciiTheme="majorHAnsi" w:hAnsiTheme="majorHAnsi" w:cstheme="majorHAnsi"/>
          <w:lang w:val="ro-MD"/>
        </w:rPr>
        <w:t>ș</w:t>
      </w:r>
      <w:r w:rsidR="002B3116" w:rsidRPr="00363CFA">
        <w:rPr>
          <w:rFonts w:asciiTheme="majorHAnsi" w:hAnsiTheme="majorHAnsi" w:cstheme="majorHAnsi"/>
          <w:lang w:val="ro-MD"/>
        </w:rPr>
        <w:t>i programe care dublează programele similare finan</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 xml:space="preserve">ate din bugetul de stat </w:t>
      </w:r>
      <w:r w:rsidR="0069374B" w:rsidRPr="00363CFA">
        <w:rPr>
          <w:rFonts w:asciiTheme="majorHAnsi" w:hAnsiTheme="majorHAnsi" w:cstheme="majorHAnsi"/>
          <w:lang w:val="ro-MD"/>
        </w:rPr>
        <w:t>ș</w:t>
      </w:r>
      <w:r w:rsidR="002B3116" w:rsidRPr="00363CFA">
        <w:rPr>
          <w:rFonts w:asciiTheme="majorHAnsi" w:hAnsiTheme="majorHAnsi" w:cstheme="majorHAnsi"/>
          <w:lang w:val="ro-MD"/>
        </w:rPr>
        <w:t xml:space="preserve">i </w:t>
      </w:r>
      <w:r w:rsidR="002B3116" w:rsidRPr="00181318">
        <w:rPr>
          <w:rFonts w:asciiTheme="majorHAnsi" w:hAnsiTheme="majorHAnsi" w:cstheme="majorHAnsi"/>
          <w:lang w:val="ro-MD"/>
        </w:rPr>
        <w:t>BASS; divizarea</w:t>
      </w:r>
      <w:r w:rsidR="002B3116" w:rsidRPr="00363CFA">
        <w:rPr>
          <w:rFonts w:asciiTheme="majorHAnsi" w:hAnsiTheme="majorHAnsi" w:cstheme="majorHAnsi"/>
          <w:lang w:val="ro-MD"/>
        </w:rPr>
        <w:t xml:space="preserve"> achizi</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iilor prin mai multe contracte sau proceduri aplicate pentru acela</w:t>
      </w:r>
      <w:r w:rsidR="0069374B" w:rsidRPr="00363CFA">
        <w:rPr>
          <w:rFonts w:asciiTheme="majorHAnsi" w:hAnsiTheme="majorHAnsi" w:cstheme="majorHAnsi"/>
          <w:lang w:val="ro-MD"/>
        </w:rPr>
        <w:t>ș</w:t>
      </w:r>
      <w:r w:rsidR="002B3116" w:rsidRPr="00363CFA">
        <w:rPr>
          <w:rFonts w:asciiTheme="majorHAnsi" w:hAnsiTheme="majorHAnsi" w:cstheme="majorHAnsi"/>
          <w:lang w:val="ro-MD"/>
        </w:rPr>
        <w:t>i gen sau grup/lot de marfă; suportarea unor cheltuieli neconforme la executare</w:t>
      </w:r>
      <w:r w:rsidR="0026370A">
        <w:rPr>
          <w:rFonts w:asciiTheme="majorHAnsi" w:hAnsiTheme="majorHAnsi" w:cstheme="majorHAnsi"/>
          <w:lang w:val="ro-MD"/>
        </w:rPr>
        <w:t>a</w:t>
      </w:r>
      <w:r w:rsidR="002B3116" w:rsidRPr="00363CFA">
        <w:rPr>
          <w:rFonts w:asciiTheme="majorHAnsi" w:hAnsiTheme="majorHAnsi" w:cstheme="majorHAnsi"/>
          <w:lang w:val="ro-MD"/>
        </w:rPr>
        <w:t xml:space="preserve"> contractelor de achizi</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 xml:space="preserve">ie </w:t>
      </w:r>
      <w:r w:rsidR="0069374B" w:rsidRPr="00363CFA">
        <w:rPr>
          <w:rFonts w:asciiTheme="majorHAnsi" w:hAnsiTheme="majorHAnsi" w:cstheme="majorHAnsi"/>
          <w:lang w:val="ro-MD"/>
        </w:rPr>
        <w:t>ș</w:t>
      </w:r>
      <w:r w:rsidR="002B3116" w:rsidRPr="00363CFA">
        <w:rPr>
          <w:rFonts w:asciiTheme="majorHAnsi" w:hAnsiTheme="majorHAnsi" w:cstheme="majorHAnsi"/>
          <w:lang w:val="ro-MD"/>
        </w:rPr>
        <w:t xml:space="preserve">i salarizarea unor categorii de personal; nerespectarea limitelor minime ale normelor calorice </w:t>
      </w:r>
      <w:r w:rsidR="0069374B" w:rsidRPr="00363CFA">
        <w:rPr>
          <w:rFonts w:asciiTheme="majorHAnsi" w:hAnsiTheme="majorHAnsi" w:cstheme="majorHAnsi"/>
          <w:lang w:val="ro-MD"/>
        </w:rPr>
        <w:t>ș</w:t>
      </w:r>
      <w:r w:rsidR="002B3116" w:rsidRPr="00363CFA">
        <w:rPr>
          <w:rFonts w:asciiTheme="majorHAnsi" w:hAnsiTheme="majorHAnsi" w:cstheme="majorHAnsi"/>
          <w:lang w:val="ro-MD"/>
        </w:rPr>
        <w:t>i financiare de cheltuieli pentru alimenta</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ia copiilor; utilizarea de fonduri în alte scopuri decât cele institu</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ionale;  lipsa unor norme aprobate prin care s-ar reglementa limitele de cheltuieli pentru deservirea delega</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 xml:space="preserve">iilor </w:t>
      </w:r>
      <w:r w:rsidR="0069374B" w:rsidRPr="00363CFA">
        <w:rPr>
          <w:rFonts w:asciiTheme="majorHAnsi" w:hAnsiTheme="majorHAnsi" w:cstheme="majorHAnsi"/>
          <w:lang w:val="ro-MD"/>
        </w:rPr>
        <w:t>ș</w:t>
      </w:r>
      <w:r w:rsidR="002B3116" w:rsidRPr="00363CFA">
        <w:rPr>
          <w:rFonts w:asciiTheme="majorHAnsi" w:hAnsiTheme="majorHAnsi" w:cstheme="majorHAnsi"/>
          <w:lang w:val="ro-MD"/>
        </w:rPr>
        <w:t xml:space="preserve">i persoanelor oficiale străine </w:t>
      </w:r>
      <w:r w:rsidR="0069374B" w:rsidRPr="00363CFA">
        <w:rPr>
          <w:rFonts w:asciiTheme="majorHAnsi" w:hAnsiTheme="majorHAnsi" w:cstheme="majorHAnsi"/>
          <w:lang w:val="ro-MD"/>
        </w:rPr>
        <w:t>ș</w:t>
      </w:r>
      <w:r w:rsidR="002B3116" w:rsidRPr="00363CFA">
        <w:rPr>
          <w:rFonts w:asciiTheme="majorHAnsi" w:hAnsiTheme="majorHAnsi" w:cstheme="majorHAnsi"/>
          <w:lang w:val="ro-MD"/>
        </w:rPr>
        <w:t>i pentru activită</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ile de organizare a conferin</w:t>
      </w:r>
      <w:r w:rsidR="0069374B" w:rsidRPr="00363CFA">
        <w:rPr>
          <w:rFonts w:asciiTheme="majorHAnsi" w:hAnsiTheme="majorHAnsi" w:cstheme="majorHAnsi"/>
          <w:lang w:val="ro-MD"/>
        </w:rPr>
        <w:t>ț</w:t>
      </w:r>
      <w:r w:rsidR="002B3116" w:rsidRPr="00363CFA">
        <w:rPr>
          <w:rFonts w:asciiTheme="majorHAnsi" w:hAnsiTheme="majorHAnsi" w:cstheme="majorHAnsi"/>
          <w:lang w:val="ro-MD"/>
        </w:rPr>
        <w:t>elor, simpozioanelor, festivalurilor etc.</w:t>
      </w:r>
    </w:p>
    <w:p w14:paraId="69521A01" w14:textId="77777777" w:rsidR="00A17BBE" w:rsidRPr="00363CFA" w:rsidRDefault="00A17BBE" w:rsidP="00767ED8">
      <w:pPr>
        <w:pStyle w:val="NormalWeb"/>
        <w:spacing w:before="0" w:beforeAutospacing="0" w:after="0" w:afterAutospacing="0" w:line="276" w:lineRule="auto"/>
        <w:ind w:firstLine="709"/>
        <w:jc w:val="both"/>
        <w:rPr>
          <w:rFonts w:asciiTheme="majorHAnsi" w:hAnsiTheme="majorHAnsi" w:cstheme="majorHAnsi"/>
          <w:lang w:val="ro-MD"/>
        </w:rPr>
      </w:pPr>
      <w:r w:rsidRPr="00363CFA">
        <w:rPr>
          <w:rFonts w:asciiTheme="majorHAnsi" w:hAnsiTheme="majorHAnsi" w:cstheme="majorHAnsi"/>
          <w:lang w:val="ro-MD"/>
        </w:rPr>
        <w:t>Cele men</w:t>
      </w:r>
      <w:r w:rsidR="0069374B" w:rsidRPr="00363CFA">
        <w:rPr>
          <w:rFonts w:asciiTheme="majorHAnsi" w:hAnsiTheme="majorHAnsi" w:cstheme="majorHAnsi"/>
          <w:lang w:val="ro-MD"/>
        </w:rPr>
        <w:t>ț</w:t>
      </w:r>
      <w:r w:rsidRPr="00363CFA">
        <w:rPr>
          <w:rFonts w:asciiTheme="majorHAnsi" w:hAnsiTheme="majorHAnsi" w:cstheme="majorHAnsi"/>
          <w:lang w:val="ro-MD"/>
        </w:rPr>
        <w:t xml:space="preserve">ionate sunt efectul unui control intern </w:t>
      </w:r>
      <w:r w:rsidR="009716AA" w:rsidRPr="00363CFA">
        <w:rPr>
          <w:rFonts w:asciiTheme="majorHAnsi" w:hAnsiTheme="majorHAnsi" w:cstheme="majorHAnsi"/>
          <w:lang w:val="ro-MD"/>
        </w:rPr>
        <w:t xml:space="preserve">managerial </w:t>
      </w:r>
      <w:r w:rsidRPr="00363CFA">
        <w:rPr>
          <w:rFonts w:asciiTheme="majorHAnsi" w:hAnsiTheme="majorHAnsi" w:cstheme="majorHAnsi"/>
          <w:lang w:val="ro-MD"/>
        </w:rPr>
        <w:t xml:space="preserve">insuficient </w:t>
      </w:r>
      <w:r w:rsidR="0069374B" w:rsidRPr="00363CFA">
        <w:rPr>
          <w:rFonts w:asciiTheme="majorHAnsi" w:hAnsiTheme="majorHAnsi" w:cstheme="majorHAnsi"/>
          <w:lang w:val="ro-MD"/>
        </w:rPr>
        <w:t>ș</w:t>
      </w:r>
      <w:r w:rsidRPr="00363CFA">
        <w:rPr>
          <w:rFonts w:asciiTheme="majorHAnsi" w:hAnsiTheme="majorHAnsi" w:cstheme="majorHAnsi"/>
          <w:lang w:val="ro-MD"/>
        </w:rPr>
        <w:t xml:space="preserve">i, respectiv, al neimplementării corespunzătoare a </w:t>
      </w:r>
      <w:r w:rsidRPr="00A24504">
        <w:rPr>
          <w:rFonts w:asciiTheme="majorHAnsi" w:hAnsiTheme="majorHAnsi" w:cstheme="majorHAnsi"/>
          <w:lang w:val="ro-MD"/>
        </w:rPr>
        <w:t>prevederilor Legii nr.229 din 23.09.2010, care</w:t>
      </w:r>
      <w:r w:rsidRPr="00363CFA">
        <w:rPr>
          <w:rFonts w:asciiTheme="majorHAnsi" w:hAnsiTheme="majorHAnsi" w:cstheme="majorHAnsi"/>
          <w:lang w:val="ro-MD"/>
        </w:rPr>
        <w:t xml:space="preserve"> prevede sporirea responsabilită</w:t>
      </w:r>
      <w:r w:rsidR="0069374B" w:rsidRPr="00363CFA">
        <w:rPr>
          <w:rFonts w:asciiTheme="majorHAnsi" w:hAnsiTheme="majorHAnsi" w:cstheme="majorHAnsi"/>
          <w:lang w:val="ro-MD"/>
        </w:rPr>
        <w:t>ț</w:t>
      </w:r>
      <w:r w:rsidRPr="00363CFA">
        <w:rPr>
          <w:rFonts w:asciiTheme="majorHAnsi" w:hAnsiTheme="majorHAnsi" w:cstheme="majorHAnsi"/>
          <w:lang w:val="ro-MD"/>
        </w:rPr>
        <w:t>ilor manageriale la gestionarea conformă a resurselor publice.</w:t>
      </w:r>
    </w:p>
    <w:p w14:paraId="1495229D" w14:textId="65C35728" w:rsidR="000D17E6" w:rsidRPr="00363CFA" w:rsidRDefault="000D17E6" w:rsidP="00767ED8">
      <w:pPr>
        <w:spacing w:after="0" w:line="276" w:lineRule="auto"/>
        <w:jc w:val="both"/>
        <w:rPr>
          <w:rFonts w:asciiTheme="majorHAnsi" w:eastAsia="Times New Roman" w:hAnsiTheme="majorHAnsi" w:cstheme="majorHAnsi"/>
          <w:b/>
          <w:sz w:val="24"/>
          <w:szCs w:val="24"/>
          <w:lang w:val="ro-MD"/>
        </w:rPr>
      </w:pPr>
      <w:r w:rsidRPr="00363CFA">
        <w:rPr>
          <w:rFonts w:asciiTheme="majorHAnsi" w:eastAsia="Times New Roman" w:hAnsiTheme="majorHAnsi" w:cstheme="majorHAnsi"/>
          <w:b/>
          <w:sz w:val="24"/>
          <w:szCs w:val="24"/>
          <w:lang w:val="ro-MD"/>
        </w:rPr>
        <w:t xml:space="preserve">4.2.1. </w:t>
      </w:r>
      <w:r w:rsidR="00D13A21">
        <w:rPr>
          <w:rFonts w:asciiTheme="majorHAnsi" w:eastAsia="Times New Roman" w:hAnsiTheme="majorHAnsi" w:cstheme="majorHAnsi"/>
          <w:b/>
          <w:sz w:val="24"/>
          <w:szCs w:val="24"/>
          <w:lang w:val="ro-MD"/>
        </w:rPr>
        <w:t xml:space="preserve">Executarea cheltuielilor aferente programelor și fondurilor aprobate </w:t>
      </w:r>
    </w:p>
    <w:p w14:paraId="385D994F" w14:textId="45A14FFD" w:rsidR="000D17E6" w:rsidRDefault="008C1AE3" w:rsidP="00767ED8">
      <w:pPr>
        <w:spacing w:after="0" w:line="276" w:lineRule="auto"/>
        <w:ind w:firstLine="720"/>
        <w:jc w:val="both"/>
        <w:rPr>
          <w:rFonts w:asciiTheme="majorHAnsi" w:hAnsiTheme="majorHAnsi" w:cstheme="majorHAnsi"/>
          <w:i/>
          <w:color w:val="000000" w:themeColor="text1"/>
          <w:sz w:val="24"/>
          <w:szCs w:val="24"/>
          <w:lang w:val="ro-MD"/>
        </w:rPr>
      </w:pPr>
      <w:r w:rsidRPr="00216968">
        <w:rPr>
          <w:rFonts w:asciiTheme="majorHAnsi" w:eastAsia="Times New Roman" w:hAnsiTheme="majorHAnsi" w:cstheme="majorHAnsi"/>
          <w:sz w:val="24"/>
          <w:szCs w:val="24"/>
          <w:lang w:val="ro-MD"/>
        </w:rPr>
        <w:t>A</w:t>
      </w:r>
      <w:r w:rsidR="002E482C" w:rsidRPr="003C2D6D">
        <w:rPr>
          <w:rFonts w:asciiTheme="majorHAnsi" w:eastAsia="Times New Roman" w:hAnsiTheme="majorHAnsi" w:cstheme="majorHAnsi"/>
          <w:sz w:val="24"/>
          <w:szCs w:val="24"/>
          <w:lang w:val="ro-MD"/>
        </w:rPr>
        <w:t>utorită</w:t>
      </w:r>
      <w:r w:rsidR="0069374B" w:rsidRPr="003C2D6D">
        <w:rPr>
          <w:rFonts w:asciiTheme="majorHAnsi" w:eastAsia="Times New Roman" w:hAnsiTheme="majorHAnsi" w:cstheme="majorHAnsi"/>
          <w:sz w:val="24"/>
          <w:szCs w:val="24"/>
          <w:lang w:val="ro-MD"/>
        </w:rPr>
        <w:t>ț</w:t>
      </w:r>
      <w:r w:rsidR="002E482C" w:rsidRPr="00A87C8B">
        <w:rPr>
          <w:rFonts w:asciiTheme="majorHAnsi" w:eastAsia="Times New Roman" w:hAnsiTheme="majorHAnsi" w:cstheme="majorHAnsi"/>
          <w:sz w:val="24"/>
          <w:szCs w:val="24"/>
          <w:lang w:val="ro-MD"/>
        </w:rPr>
        <w:t xml:space="preserve">ile deliberativă </w:t>
      </w:r>
      <w:r w:rsidR="0069374B" w:rsidRPr="00A87C8B">
        <w:rPr>
          <w:rFonts w:asciiTheme="majorHAnsi" w:eastAsia="Times New Roman" w:hAnsiTheme="majorHAnsi" w:cstheme="majorHAnsi"/>
          <w:sz w:val="24"/>
          <w:szCs w:val="24"/>
          <w:lang w:val="ro-MD"/>
        </w:rPr>
        <w:t>ș</w:t>
      </w:r>
      <w:r w:rsidR="002E482C" w:rsidRPr="00A87C8B">
        <w:rPr>
          <w:rFonts w:asciiTheme="majorHAnsi" w:eastAsia="Times New Roman" w:hAnsiTheme="majorHAnsi" w:cstheme="majorHAnsi"/>
          <w:sz w:val="24"/>
          <w:szCs w:val="24"/>
          <w:lang w:val="ro-MD"/>
        </w:rPr>
        <w:t>i executivă a</w:t>
      </w:r>
      <w:r w:rsidR="00CF724E" w:rsidRPr="00A87C8B">
        <w:rPr>
          <w:rFonts w:asciiTheme="majorHAnsi" w:eastAsia="Times New Roman" w:hAnsiTheme="majorHAnsi" w:cstheme="majorHAnsi"/>
          <w:sz w:val="24"/>
          <w:szCs w:val="24"/>
          <w:lang w:val="ro-MD"/>
        </w:rPr>
        <w:t>le</w:t>
      </w:r>
      <w:r w:rsidR="002E482C" w:rsidRPr="00A87C8B">
        <w:rPr>
          <w:rFonts w:asciiTheme="majorHAnsi" w:eastAsia="Times New Roman" w:hAnsiTheme="majorHAnsi" w:cstheme="majorHAnsi"/>
          <w:sz w:val="24"/>
          <w:szCs w:val="24"/>
          <w:lang w:val="ro-MD"/>
        </w:rPr>
        <w:t xml:space="preserve"> Găgăuziei</w:t>
      </w:r>
      <w:r w:rsidR="002E482C" w:rsidRPr="00363CFA">
        <w:rPr>
          <w:rFonts w:asciiTheme="majorHAnsi" w:eastAsia="Times New Roman" w:hAnsiTheme="majorHAnsi" w:cstheme="majorHAnsi"/>
          <w:sz w:val="24"/>
          <w:szCs w:val="24"/>
          <w:lang w:val="ro-MD"/>
        </w:rPr>
        <w:t xml:space="preserve">, prin actele </w:t>
      </w:r>
      <w:r w:rsidR="00CF724E">
        <w:rPr>
          <w:rFonts w:asciiTheme="majorHAnsi" w:eastAsia="Times New Roman" w:hAnsiTheme="majorHAnsi" w:cstheme="majorHAnsi"/>
          <w:sz w:val="24"/>
          <w:szCs w:val="24"/>
          <w:lang w:val="ro-MD"/>
        </w:rPr>
        <w:t>lor</w:t>
      </w:r>
      <w:r w:rsidR="002E482C" w:rsidRPr="00363CFA">
        <w:rPr>
          <w:rFonts w:asciiTheme="majorHAnsi" w:eastAsia="Times New Roman" w:hAnsiTheme="majorHAnsi" w:cstheme="majorHAnsi"/>
          <w:sz w:val="24"/>
          <w:szCs w:val="24"/>
          <w:lang w:val="ro-MD"/>
        </w:rPr>
        <w:t xml:space="preserve"> normative, au instituit 24 de fonduri </w:t>
      </w:r>
      <w:r w:rsidR="0069374B" w:rsidRPr="00363CFA">
        <w:rPr>
          <w:rFonts w:asciiTheme="majorHAnsi" w:eastAsia="Times New Roman" w:hAnsiTheme="majorHAnsi" w:cstheme="majorHAnsi"/>
          <w:sz w:val="24"/>
          <w:szCs w:val="24"/>
          <w:lang w:val="ro-MD"/>
        </w:rPr>
        <w:t>ș</w:t>
      </w:r>
      <w:r w:rsidR="002E482C" w:rsidRPr="00363CFA">
        <w:rPr>
          <w:rFonts w:asciiTheme="majorHAnsi" w:eastAsia="Times New Roman" w:hAnsiTheme="majorHAnsi" w:cstheme="majorHAnsi"/>
          <w:sz w:val="24"/>
          <w:szCs w:val="24"/>
          <w:lang w:val="ro-MD"/>
        </w:rPr>
        <w:t>i programe</w:t>
      </w:r>
      <w:r w:rsidR="00C209A0">
        <w:rPr>
          <w:rStyle w:val="FootnoteReference"/>
          <w:rFonts w:asciiTheme="majorHAnsi" w:eastAsia="Times New Roman" w:hAnsiTheme="majorHAnsi" w:cstheme="majorHAnsi"/>
          <w:color w:val="000000" w:themeColor="text1"/>
          <w:sz w:val="24"/>
          <w:szCs w:val="24"/>
          <w:lang w:val="ro-MD"/>
        </w:rPr>
        <w:footnoteReference w:id="20"/>
      </w:r>
      <w:r w:rsidR="002E482C" w:rsidRPr="00363CFA">
        <w:rPr>
          <w:rFonts w:asciiTheme="majorHAnsi" w:eastAsia="Times New Roman" w:hAnsiTheme="majorHAnsi" w:cstheme="majorHAnsi"/>
          <w:sz w:val="24"/>
          <w:szCs w:val="24"/>
          <w:lang w:val="ro-MD"/>
        </w:rPr>
        <w:t>, aloca</w:t>
      </w:r>
      <w:r w:rsidR="0069374B" w:rsidRPr="00363CFA">
        <w:rPr>
          <w:rFonts w:asciiTheme="majorHAnsi" w:eastAsia="Times New Roman" w:hAnsiTheme="majorHAnsi" w:cstheme="majorHAnsi"/>
          <w:sz w:val="24"/>
          <w:szCs w:val="24"/>
          <w:lang w:val="ro-MD"/>
        </w:rPr>
        <w:t>ț</w:t>
      </w:r>
      <w:r w:rsidR="002E482C" w:rsidRPr="00363CFA">
        <w:rPr>
          <w:rFonts w:asciiTheme="majorHAnsi" w:eastAsia="Times New Roman" w:hAnsiTheme="majorHAnsi" w:cstheme="majorHAnsi"/>
          <w:sz w:val="24"/>
          <w:szCs w:val="24"/>
          <w:lang w:val="ro-MD"/>
        </w:rPr>
        <w:t xml:space="preserve">iile pentru implementarea cărora sunt aprobate anual în </w:t>
      </w:r>
      <w:r w:rsidR="002E482C" w:rsidRPr="00363CFA">
        <w:rPr>
          <w:rFonts w:asciiTheme="majorHAnsi" w:eastAsia="Times New Roman" w:hAnsiTheme="majorHAnsi" w:cstheme="majorHAnsi"/>
          <w:sz w:val="24"/>
          <w:szCs w:val="24"/>
          <w:lang w:val="ro-MD"/>
        </w:rPr>
        <w:lastRenderedPageBreak/>
        <w:t>bugetul central al Găgăuziei</w:t>
      </w:r>
      <w:r w:rsidRPr="00D13A21">
        <w:rPr>
          <w:rFonts w:asciiTheme="majorHAnsi" w:eastAsia="Times New Roman" w:hAnsiTheme="majorHAnsi" w:cstheme="majorHAnsi"/>
          <w:sz w:val="24"/>
          <w:szCs w:val="24"/>
          <w:lang w:val="ro-MD"/>
        </w:rPr>
        <w:t xml:space="preserve">, </w:t>
      </w:r>
      <w:r w:rsidRPr="00216968">
        <w:rPr>
          <w:rFonts w:asciiTheme="majorHAnsi" w:eastAsia="Times New Roman" w:hAnsiTheme="majorHAnsi" w:cstheme="majorHAnsi"/>
          <w:sz w:val="24"/>
          <w:szCs w:val="24"/>
          <w:lang w:val="ro-MD"/>
        </w:rPr>
        <w:t xml:space="preserve">pentru care nu s-au respectat principiile de bună guvernare și pentru care nu se justifică </w:t>
      </w:r>
      <w:r w:rsidRPr="00216968">
        <w:rPr>
          <w:rFonts w:asciiTheme="majorHAnsi" w:eastAsia="Times New Roman" w:hAnsiTheme="majorHAnsi" w:cstheme="majorHAnsi"/>
          <w:sz w:val="24"/>
          <w:szCs w:val="24"/>
        </w:rPr>
        <w:t xml:space="preserve">performanţa realizată/asumată în cadrul programelor </w:t>
      </w:r>
      <w:r w:rsidRPr="00216968">
        <w:rPr>
          <w:rFonts w:asciiTheme="majorHAnsi" w:eastAsia="Times New Roman" w:hAnsiTheme="majorHAnsi" w:cstheme="majorHAnsi"/>
          <w:sz w:val="24"/>
          <w:szCs w:val="24"/>
          <w:lang w:val="ro-MD"/>
        </w:rPr>
        <w:t xml:space="preserve">aprobate, ceea ce nu corespunde prevederilor art.11 și art.51 </w:t>
      </w:r>
      <w:r w:rsidR="001C470F">
        <w:rPr>
          <w:rFonts w:asciiTheme="majorHAnsi" w:eastAsia="Times New Roman" w:hAnsiTheme="majorHAnsi" w:cstheme="majorHAnsi"/>
          <w:sz w:val="24"/>
          <w:szCs w:val="24"/>
          <w:lang w:val="ro-MD"/>
        </w:rPr>
        <w:t>din</w:t>
      </w:r>
      <w:r w:rsidRPr="00216968">
        <w:rPr>
          <w:rFonts w:asciiTheme="majorHAnsi" w:eastAsia="Times New Roman" w:hAnsiTheme="majorHAnsi" w:cstheme="majorHAnsi"/>
          <w:sz w:val="24"/>
          <w:szCs w:val="24"/>
          <w:lang w:val="ro-MD"/>
        </w:rPr>
        <w:t xml:space="preserve"> Leg</w:t>
      </w:r>
      <w:r w:rsidR="001C470F">
        <w:rPr>
          <w:rFonts w:asciiTheme="majorHAnsi" w:eastAsia="Times New Roman" w:hAnsiTheme="majorHAnsi" w:cstheme="majorHAnsi"/>
          <w:sz w:val="24"/>
          <w:szCs w:val="24"/>
          <w:lang w:val="ro-MD"/>
        </w:rPr>
        <w:t>ea</w:t>
      </w:r>
      <w:r w:rsidRPr="00216968">
        <w:rPr>
          <w:rFonts w:asciiTheme="majorHAnsi" w:eastAsia="Times New Roman" w:hAnsiTheme="majorHAnsi" w:cstheme="majorHAnsi"/>
          <w:sz w:val="24"/>
          <w:szCs w:val="24"/>
          <w:lang w:val="ro-MD"/>
        </w:rPr>
        <w:t xml:space="preserve"> finanțelor publice și responsabilității bugetar</w:t>
      </w:r>
      <w:r w:rsidR="001C470F">
        <w:rPr>
          <w:rFonts w:asciiTheme="majorHAnsi" w:eastAsia="Times New Roman" w:hAnsiTheme="majorHAnsi" w:cstheme="majorHAnsi"/>
          <w:sz w:val="24"/>
          <w:szCs w:val="24"/>
          <w:lang w:val="ro-MD"/>
        </w:rPr>
        <w:t>-</w:t>
      </w:r>
      <w:r w:rsidRPr="00216968">
        <w:rPr>
          <w:rFonts w:asciiTheme="majorHAnsi" w:eastAsia="Times New Roman" w:hAnsiTheme="majorHAnsi" w:cstheme="majorHAnsi"/>
          <w:sz w:val="24"/>
          <w:szCs w:val="24"/>
          <w:lang w:val="ro-MD"/>
        </w:rPr>
        <w:t>fiscale</w:t>
      </w:r>
      <w:r w:rsidR="001C470F" w:rsidRPr="001C470F">
        <w:rPr>
          <w:rFonts w:asciiTheme="majorHAnsi" w:eastAsia="Times New Roman" w:hAnsiTheme="majorHAnsi" w:cstheme="majorHAnsi"/>
          <w:sz w:val="24"/>
          <w:szCs w:val="24"/>
          <w:lang w:val="ro-MD"/>
        </w:rPr>
        <w:t xml:space="preserve"> </w:t>
      </w:r>
      <w:r w:rsidR="001C470F" w:rsidRPr="001C0E3E">
        <w:rPr>
          <w:rFonts w:asciiTheme="majorHAnsi" w:eastAsia="Times New Roman" w:hAnsiTheme="majorHAnsi" w:cstheme="majorHAnsi"/>
          <w:sz w:val="24"/>
          <w:szCs w:val="24"/>
          <w:lang w:val="ro-MD"/>
        </w:rPr>
        <w:t>nr.</w:t>
      </w:r>
      <w:r w:rsidR="001C470F" w:rsidRPr="001C0E3E">
        <w:rPr>
          <w:rFonts w:asciiTheme="majorHAnsi" w:eastAsia="Times New Roman" w:hAnsiTheme="majorHAnsi" w:cstheme="majorHAnsi"/>
          <w:sz w:val="24"/>
          <w:szCs w:val="24"/>
        </w:rPr>
        <w:t>181/25.07.2014</w:t>
      </w:r>
      <w:r w:rsidR="002E482C" w:rsidRPr="00D13A21">
        <w:rPr>
          <w:rFonts w:asciiTheme="majorHAnsi" w:eastAsia="Times New Roman" w:hAnsiTheme="majorHAnsi" w:cstheme="majorHAnsi"/>
          <w:sz w:val="24"/>
          <w:szCs w:val="24"/>
          <w:lang w:val="ro-MD"/>
        </w:rPr>
        <w:t>.</w:t>
      </w:r>
      <w:r w:rsidR="002E482C" w:rsidRPr="00363CFA">
        <w:rPr>
          <w:rFonts w:asciiTheme="majorHAnsi" w:eastAsia="Times New Roman" w:hAnsiTheme="majorHAnsi" w:cstheme="majorHAnsi"/>
          <w:sz w:val="24"/>
          <w:szCs w:val="24"/>
          <w:lang w:val="ro-MD"/>
        </w:rPr>
        <w:t xml:space="preserve"> </w:t>
      </w:r>
      <w:r w:rsidR="00630458">
        <w:rPr>
          <w:rFonts w:asciiTheme="majorHAnsi" w:eastAsia="Times New Roman" w:hAnsiTheme="majorHAnsi" w:cstheme="majorHAnsi"/>
          <w:sz w:val="24"/>
          <w:szCs w:val="24"/>
          <w:lang w:val="ro-MD"/>
        </w:rPr>
        <w:t>Astfel, î</w:t>
      </w:r>
      <w:r w:rsidR="002E482C" w:rsidRPr="00363CFA">
        <w:rPr>
          <w:rFonts w:asciiTheme="majorHAnsi" w:eastAsia="Times New Roman" w:hAnsiTheme="majorHAnsi" w:cstheme="majorHAnsi"/>
          <w:sz w:val="24"/>
          <w:szCs w:val="24"/>
          <w:lang w:val="ro-MD"/>
        </w:rPr>
        <w:t xml:space="preserve">n perioada </w:t>
      </w:r>
      <w:r w:rsidR="00CF724E">
        <w:rPr>
          <w:rFonts w:asciiTheme="majorHAnsi" w:eastAsia="Times New Roman" w:hAnsiTheme="majorHAnsi" w:cstheme="majorHAnsi"/>
          <w:sz w:val="24"/>
          <w:szCs w:val="24"/>
          <w:lang w:val="ro-MD"/>
        </w:rPr>
        <w:t xml:space="preserve">anilor </w:t>
      </w:r>
      <w:r w:rsidR="002E482C" w:rsidRPr="00363CFA">
        <w:rPr>
          <w:rFonts w:asciiTheme="majorHAnsi" w:eastAsia="Times New Roman" w:hAnsiTheme="majorHAnsi" w:cstheme="majorHAnsi"/>
          <w:sz w:val="24"/>
          <w:szCs w:val="24"/>
          <w:lang w:val="ro-MD"/>
        </w:rPr>
        <w:t>2019</w:t>
      </w:r>
      <w:r w:rsidR="001C470F">
        <w:rPr>
          <w:rFonts w:asciiTheme="majorHAnsi" w:eastAsia="Times New Roman" w:hAnsiTheme="majorHAnsi" w:cstheme="majorHAnsi"/>
          <w:sz w:val="24"/>
          <w:szCs w:val="24"/>
          <w:lang w:val="ro-MD"/>
        </w:rPr>
        <w:t>-</w:t>
      </w:r>
      <w:r w:rsidR="002E482C" w:rsidRPr="00363CFA">
        <w:rPr>
          <w:rFonts w:asciiTheme="majorHAnsi" w:eastAsia="Times New Roman" w:hAnsiTheme="majorHAnsi" w:cstheme="majorHAnsi"/>
          <w:sz w:val="24"/>
          <w:szCs w:val="24"/>
          <w:lang w:val="ro-MD"/>
        </w:rPr>
        <w:t xml:space="preserve">2020 au fost precizate </w:t>
      </w:r>
      <w:r w:rsidR="002E482C" w:rsidRPr="00363CFA">
        <w:rPr>
          <w:rFonts w:asciiTheme="majorHAnsi" w:eastAsia="Times New Roman" w:hAnsiTheme="majorHAnsi" w:cstheme="majorHAnsi"/>
          <w:color w:val="000000" w:themeColor="text1"/>
          <w:sz w:val="24"/>
          <w:szCs w:val="24"/>
          <w:lang w:val="ro-MD"/>
        </w:rPr>
        <w:t>aloca</w:t>
      </w:r>
      <w:r w:rsidR="0069374B" w:rsidRPr="00363CFA">
        <w:rPr>
          <w:rFonts w:asciiTheme="majorHAnsi" w:eastAsia="Times New Roman" w:hAnsiTheme="majorHAnsi" w:cstheme="majorHAnsi"/>
          <w:color w:val="000000" w:themeColor="text1"/>
          <w:sz w:val="24"/>
          <w:szCs w:val="24"/>
          <w:lang w:val="ro-MD"/>
        </w:rPr>
        <w:t>ț</w:t>
      </w:r>
      <w:r w:rsidR="002E482C" w:rsidRPr="00363CFA">
        <w:rPr>
          <w:rFonts w:asciiTheme="majorHAnsi" w:eastAsia="Times New Roman" w:hAnsiTheme="majorHAnsi" w:cstheme="majorHAnsi"/>
          <w:color w:val="000000" w:themeColor="text1"/>
          <w:sz w:val="24"/>
          <w:szCs w:val="24"/>
          <w:lang w:val="ro-MD"/>
        </w:rPr>
        <w:t xml:space="preserve">ii în sumă totală de </w:t>
      </w:r>
      <w:r w:rsidR="00D453D1" w:rsidRPr="00363CFA">
        <w:rPr>
          <w:rFonts w:asciiTheme="majorHAnsi" w:eastAsia="Times New Roman" w:hAnsiTheme="majorHAnsi" w:cstheme="majorHAnsi"/>
          <w:b/>
          <w:color w:val="000000" w:themeColor="text1"/>
          <w:sz w:val="24"/>
          <w:szCs w:val="24"/>
          <w:lang w:val="ro-MD"/>
        </w:rPr>
        <w:t>271</w:t>
      </w:r>
      <w:r w:rsidR="0065063C" w:rsidRPr="00363CFA">
        <w:rPr>
          <w:rFonts w:asciiTheme="majorHAnsi" w:eastAsia="Times New Roman" w:hAnsiTheme="majorHAnsi" w:cstheme="majorHAnsi"/>
          <w:b/>
          <w:color w:val="000000" w:themeColor="text1"/>
          <w:sz w:val="24"/>
          <w:szCs w:val="24"/>
          <w:lang w:val="ro-MD"/>
        </w:rPr>
        <w:t xml:space="preserve"> </w:t>
      </w:r>
      <w:r w:rsidR="00D453D1" w:rsidRPr="00363CFA">
        <w:rPr>
          <w:rFonts w:asciiTheme="majorHAnsi" w:eastAsia="Times New Roman" w:hAnsiTheme="majorHAnsi" w:cstheme="majorHAnsi"/>
          <w:b/>
          <w:color w:val="000000" w:themeColor="text1"/>
          <w:sz w:val="24"/>
          <w:szCs w:val="24"/>
          <w:lang w:val="ro-MD"/>
        </w:rPr>
        <w:t>237,3 mii lei</w:t>
      </w:r>
      <w:r w:rsidR="00D453D1" w:rsidRPr="00363CFA">
        <w:rPr>
          <w:rFonts w:asciiTheme="majorHAnsi" w:eastAsia="Times New Roman" w:hAnsiTheme="majorHAnsi" w:cstheme="majorHAnsi"/>
          <w:color w:val="000000" w:themeColor="text1"/>
          <w:sz w:val="24"/>
          <w:szCs w:val="24"/>
          <w:lang w:val="ro-MD"/>
        </w:rPr>
        <w:t xml:space="preserve"> (din care: în </w:t>
      </w:r>
      <w:r w:rsidR="00CF724E">
        <w:rPr>
          <w:rFonts w:asciiTheme="majorHAnsi" w:eastAsia="Times New Roman" w:hAnsiTheme="majorHAnsi" w:cstheme="majorHAnsi"/>
          <w:color w:val="000000" w:themeColor="text1"/>
          <w:sz w:val="24"/>
          <w:szCs w:val="24"/>
          <w:lang w:val="ro-MD"/>
        </w:rPr>
        <w:t>a.</w:t>
      </w:r>
      <w:r w:rsidR="00D453D1" w:rsidRPr="00363CFA">
        <w:rPr>
          <w:rFonts w:asciiTheme="majorHAnsi" w:eastAsia="Times New Roman" w:hAnsiTheme="majorHAnsi" w:cstheme="majorHAnsi"/>
          <w:color w:val="000000" w:themeColor="text1"/>
          <w:sz w:val="24"/>
          <w:szCs w:val="24"/>
          <w:lang w:val="ro-MD"/>
        </w:rPr>
        <w:t>2019 – 123</w:t>
      </w:r>
      <w:r w:rsidR="00383216" w:rsidRPr="00363CFA">
        <w:rPr>
          <w:rFonts w:asciiTheme="majorHAnsi" w:eastAsia="Times New Roman" w:hAnsiTheme="majorHAnsi" w:cstheme="majorHAnsi"/>
          <w:color w:val="000000" w:themeColor="text1"/>
          <w:sz w:val="24"/>
          <w:szCs w:val="24"/>
          <w:lang w:val="ro-MD"/>
        </w:rPr>
        <w:t xml:space="preserve"> </w:t>
      </w:r>
      <w:r w:rsidR="00D453D1" w:rsidRPr="00363CFA">
        <w:rPr>
          <w:rFonts w:asciiTheme="majorHAnsi" w:eastAsia="Times New Roman" w:hAnsiTheme="majorHAnsi" w:cstheme="majorHAnsi"/>
          <w:color w:val="000000" w:themeColor="text1"/>
          <w:sz w:val="24"/>
          <w:szCs w:val="24"/>
          <w:lang w:val="ro-MD"/>
        </w:rPr>
        <w:t>987,0 mii lei</w:t>
      </w:r>
      <w:r w:rsidR="00CF724E">
        <w:rPr>
          <w:rFonts w:asciiTheme="majorHAnsi" w:eastAsia="Times New Roman" w:hAnsiTheme="majorHAnsi" w:cstheme="majorHAnsi"/>
          <w:color w:val="000000" w:themeColor="text1"/>
          <w:sz w:val="24"/>
          <w:szCs w:val="24"/>
          <w:lang w:val="ro-MD"/>
        </w:rPr>
        <w:t>,</w:t>
      </w:r>
      <w:r w:rsidR="00D453D1" w:rsidRPr="00363CFA">
        <w:rPr>
          <w:rFonts w:asciiTheme="majorHAnsi" w:eastAsia="Times New Roman" w:hAnsiTheme="majorHAnsi" w:cstheme="majorHAnsi"/>
          <w:color w:val="000000" w:themeColor="text1"/>
          <w:sz w:val="24"/>
          <w:szCs w:val="24"/>
          <w:lang w:val="ro-MD"/>
        </w:rPr>
        <w:t xml:space="preserve"> </w:t>
      </w:r>
      <w:r w:rsidR="0069374B" w:rsidRPr="00363CFA">
        <w:rPr>
          <w:rFonts w:asciiTheme="majorHAnsi" w:eastAsia="Times New Roman" w:hAnsiTheme="majorHAnsi" w:cstheme="majorHAnsi"/>
          <w:color w:val="000000" w:themeColor="text1"/>
          <w:sz w:val="24"/>
          <w:szCs w:val="24"/>
          <w:lang w:val="ro-MD"/>
        </w:rPr>
        <w:t>ș</w:t>
      </w:r>
      <w:r w:rsidR="00D453D1" w:rsidRPr="00363CFA">
        <w:rPr>
          <w:rFonts w:asciiTheme="majorHAnsi" w:eastAsia="Times New Roman" w:hAnsiTheme="majorHAnsi" w:cstheme="majorHAnsi"/>
          <w:color w:val="000000" w:themeColor="text1"/>
          <w:sz w:val="24"/>
          <w:szCs w:val="24"/>
          <w:lang w:val="ro-MD"/>
        </w:rPr>
        <w:t xml:space="preserve">i în </w:t>
      </w:r>
      <w:r w:rsidR="00CF724E">
        <w:rPr>
          <w:rFonts w:asciiTheme="majorHAnsi" w:eastAsia="Times New Roman" w:hAnsiTheme="majorHAnsi" w:cstheme="majorHAnsi"/>
          <w:color w:val="000000" w:themeColor="text1"/>
          <w:sz w:val="24"/>
          <w:szCs w:val="24"/>
          <w:lang w:val="ro-MD"/>
        </w:rPr>
        <w:t>a.</w:t>
      </w:r>
      <w:r w:rsidR="00D453D1" w:rsidRPr="00363CFA">
        <w:rPr>
          <w:rFonts w:asciiTheme="majorHAnsi" w:eastAsia="Times New Roman" w:hAnsiTheme="majorHAnsi" w:cstheme="majorHAnsi"/>
          <w:color w:val="000000" w:themeColor="text1"/>
          <w:sz w:val="24"/>
          <w:szCs w:val="24"/>
          <w:lang w:val="ro-MD"/>
        </w:rPr>
        <w:t>2020 – 147</w:t>
      </w:r>
      <w:r w:rsidR="00383216" w:rsidRPr="00363CFA">
        <w:rPr>
          <w:rFonts w:asciiTheme="majorHAnsi" w:eastAsia="Times New Roman" w:hAnsiTheme="majorHAnsi" w:cstheme="majorHAnsi"/>
          <w:color w:val="000000" w:themeColor="text1"/>
          <w:sz w:val="24"/>
          <w:szCs w:val="24"/>
          <w:lang w:val="ro-MD"/>
        </w:rPr>
        <w:t xml:space="preserve"> </w:t>
      </w:r>
      <w:r w:rsidR="00D453D1" w:rsidRPr="00363CFA">
        <w:rPr>
          <w:rFonts w:asciiTheme="majorHAnsi" w:eastAsia="Times New Roman" w:hAnsiTheme="majorHAnsi" w:cstheme="majorHAnsi"/>
          <w:color w:val="000000" w:themeColor="text1"/>
          <w:sz w:val="24"/>
          <w:szCs w:val="24"/>
          <w:lang w:val="ro-MD"/>
        </w:rPr>
        <w:t xml:space="preserve">250,3 mii lei), </w:t>
      </w:r>
      <w:r w:rsidR="00CF724E">
        <w:rPr>
          <w:rFonts w:asciiTheme="majorHAnsi" w:eastAsia="Times New Roman" w:hAnsiTheme="majorHAnsi" w:cstheme="majorHAnsi"/>
          <w:color w:val="000000" w:themeColor="text1"/>
          <w:sz w:val="24"/>
          <w:szCs w:val="24"/>
          <w:lang w:val="ro-MD"/>
        </w:rPr>
        <w:t xml:space="preserve">dar s-a </w:t>
      </w:r>
      <w:r w:rsidR="00D453D1" w:rsidRPr="00363CFA">
        <w:rPr>
          <w:rFonts w:asciiTheme="majorHAnsi" w:eastAsia="Times New Roman" w:hAnsiTheme="majorHAnsi" w:cstheme="majorHAnsi"/>
          <w:color w:val="000000" w:themeColor="text1"/>
          <w:sz w:val="24"/>
          <w:szCs w:val="24"/>
          <w:lang w:val="ro-MD"/>
        </w:rPr>
        <w:t xml:space="preserve">executat suma de </w:t>
      </w:r>
      <w:r w:rsidR="00D453D1" w:rsidRPr="00363CFA">
        <w:rPr>
          <w:rFonts w:asciiTheme="majorHAnsi" w:eastAsia="Times New Roman" w:hAnsiTheme="majorHAnsi" w:cstheme="majorHAnsi"/>
          <w:b/>
          <w:color w:val="000000" w:themeColor="text1"/>
          <w:sz w:val="24"/>
          <w:szCs w:val="24"/>
          <w:lang w:val="ro-MD"/>
        </w:rPr>
        <w:t>170467,5 mii lei</w:t>
      </w:r>
      <w:r w:rsidR="00D764B3">
        <w:rPr>
          <w:rFonts w:asciiTheme="majorHAnsi" w:eastAsia="Times New Roman" w:hAnsiTheme="majorHAnsi" w:cstheme="majorHAnsi"/>
          <w:color w:val="000000" w:themeColor="text1"/>
          <w:sz w:val="24"/>
          <w:szCs w:val="24"/>
          <w:lang w:val="ro-MD"/>
        </w:rPr>
        <w:t xml:space="preserve"> (</w:t>
      </w:r>
      <w:r w:rsidR="00D453D1" w:rsidRPr="00363CFA">
        <w:rPr>
          <w:rFonts w:asciiTheme="majorHAnsi" w:eastAsia="Times New Roman" w:hAnsiTheme="majorHAnsi" w:cstheme="majorHAnsi"/>
          <w:color w:val="000000" w:themeColor="text1"/>
          <w:sz w:val="24"/>
          <w:szCs w:val="24"/>
          <w:lang w:val="ro-MD"/>
        </w:rPr>
        <w:t xml:space="preserve">în </w:t>
      </w:r>
      <w:r w:rsidR="00CF724E">
        <w:rPr>
          <w:rFonts w:asciiTheme="majorHAnsi" w:eastAsia="Times New Roman" w:hAnsiTheme="majorHAnsi" w:cstheme="majorHAnsi"/>
          <w:color w:val="000000" w:themeColor="text1"/>
          <w:sz w:val="24"/>
          <w:szCs w:val="24"/>
          <w:lang w:val="ro-MD"/>
        </w:rPr>
        <w:t>a.</w:t>
      </w:r>
      <w:r w:rsidR="00D453D1" w:rsidRPr="00363CFA">
        <w:rPr>
          <w:rFonts w:asciiTheme="majorHAnsi" w:eastAsia="Times New Roman" w:hAnsiTheme="majorHAnsi" w:cstheme="majorHAnsi"/>
          <w:color w:val="000000" w:themeColor="text1"/>
          <w:sz w:val="24"/>
          <w:szCs w:val="24"/>
          <w:lang w:val="ro-MD"/>
        </w:rPr>
        <w:t>2019 – 92871,1 mii lei</w:t>
      </w:r>
      <w:r w:rsidR="00CF724E">
        <w:rPr>
          <w:rFonts w:asciiTheme="majorHAnsi" w:eastAsia="Times New Roman" w:hAnsiTheme="majorHAnsi" w:cstheme="majorHAnsi"/>
          <w:color w:val="000000" w:themeColor="text1"/>
          <w:sz w:val="24"/>
          <w:szCs w:val="24"/>
          <w:lang w:val="ro-MD"/>
        </w:rPr>
        <w:t>,</w:t>
      </w:r>
      <w:r w:rsidR="00D453D1" w:rsidRPr="00363CFA">
        <w:rPr>
          <w:rFonts w:asciiTheme="majorHAnsi" w:eastAsia="Times New Roman" w:hAnsiTheme="majorHAnsi" w:cstheme="majorHAnsi"/>
          <w:color w:val="000000" w:themeColor="text1"/>
          <w:sz w:val="24"/>
          <w:szCs w:val="24"/>
          <w:lang w:val="ro-MD"/>
        </w:rPr>
        <w:t xml:space="preserve"> </w:t>
      </w:r>
      <w:r w:rsidR="0069374B" w:rsidRPr="00363CFA">
        <w:rPr>
          <w:rFonts w:asciiTheme="majorHAnsi" w:eastAsia="Times New Roman" w:hAnsiTheme="majorHAnsi" w:cstheme="majorHAnsi"/>
          <w:color w:val="000000" w:themeColor="text1"/>
          <w:sz w:val="24"/>
          <w:szCs w:val="24"/>
          <w:lang w:val="ro-MD"/>
        </w:rPr>
        <w:t>ș</w:t>
      </w:r>
      <w:r w:rsidR="00D453D1" w:rsidRPr="00363CFA">
        <w:rPr>
          <w:rFonts w:asciiTheme="majorHAnsi" w:eastAsia="Times New Roman" w:hAnsiTheme="majorHAnsi" w:cstheme="majorHAnsi"/>
          <w:color w:val="000000" w:themeColor="text1"/>
          <w:sz w:val="24"/>
          <w:szCs w:val="24"/>
          <w:lang w:val="ro-MD"/>
        </w:rPr>
        <w:t xml:space="preserve">i în </w:t>
      </w:r>
      <w:r w:rsidR="00CF724E">
        <w:rPr>
          <w:rFonts w:asciiTheme="majorHAnsi" w:eastAsia="Times New Roman" w:hAnsiTheme="majorHAnsi" w:cstheme="majorHAnsi"/>
          <w:color w:val="000000" w:themeColor="text1"/>
          <w:sz w:val="24"/>
          <w:szCs w:val="24"/>
          <w:lang w:val="ro-MD"/>
        </w:rPr>
        <w:t>a.</w:t>
      </w:r>
      <w:r w:rsidR="00D453D1" w:rsidRPr="00363CFA">
        <w:rPr>
          <w:rFonts w:asciiTheme="majorHAnsi" w:eastAsia="Times New Roman" w:hAnsiTheme="majorHAnsi" w:cstheme="majorHAnsi"/>
          <w:color w:val="000000" w:themeColor="text1"/>
          <w:sz w:val="24"/>
          <w:szCs w:val="24"/>
          <w:lang w:val="ro-MD"/>
        </w:rPr>
        <w:t>2020 – 77596,4 mii lei)</w:t>
      </w:r>
      <w:r>
        <w:rPr>
          <w:rFonts w:asciiTheme="majorHAnsi" w:eastAsia="Times New Roman" w:hAnsiTheme="majorHAnsi" w:cstheme="majorHAnsi"/>
          <w:color w:val="000000" w:themeColor="text1"/>
          <w:sz w:val="24"/>
          <w:szCs w:val="24"/>
          <w:lang w:val="ro-MD"/>
        </w:rPr>
        <w:t xml:space="preserve">, </w:t>
      </w:r>
      <w:r w:rsidR="00D13A21">
        <w:rPr>
          <w:rFonts w:asciiTheme="majorHAnsi" w:eastAsia="Times New Roman" w:hAnsiTheme="majorHAnsi" w:cstheme="majorHAnsi"/>
          <w:color w:val="000000" w:themeColor="text1"/>
          <w:sz w:val="24"/>
          <w:szCs w:val="24"/>
          <w:lang w:val="ro-MD"/>
        </w:rPr>
        <w:t xml:space="preserve">sau cu </w:t>
      </w:r>
      <w:r w:rsidR="00D13A21" w:rsidRPr="00216968">
        <w:rPr>
          <w:rFonts w:asciiTheme="majorHAnsi" w:eastAsia="Times New Roman" w:hAnsiTheme="majorHAnsi" w:cstheme="majorHAnsi"/>
          <w:b/>
          <w:color w:val="000000" w:themeColor="text1"/>
          <w:sz w:val="24"/>
          <w:szCs w:val="24"/>
          <w:lang w:val="ro-MD"/>
        </w:rPr>
        <w:t>100769,8</w:t>
      </w:r>
      <w:r w:rsidR="00D13A21">
        <w:rPr>
          <w:rFonts w:asciiTheme="majorHAnsi" w:eastAsia="Times New Roman" w:hAnsiTheme="majorHAnsi" w:cstheme="majorHAnsi"/>
          <w:color w:val="000000" w:themeColor="text1"/>
          <w:sz w:val="24"/>
          <w:szCs w:val="24"/>
          <w:lang w:val="ro-MD"/>
        </w:rPr>
        <w:t xml:space="preserve"> mii lei mai puțin,</w:t>
      </w:r>
      <w:r w:rsidR="00D13A21" w:rsidRPr="00D13A21">
        <w:rPr>
          <w:rFonts w:asciiTheme="majorHAnsi" w:eastAsia="Times New Roman" w:hAnsiTheme="majorHAnsi" w:cstheme="majorHAnsi"/>
          <w:color w:val="000000" w:themeColor="text1"/>
          <w:sz w:val="24"/>
          <w:szCs w:val="24"/>
          <w:lang w:val="ro-MD"/>
        </w:rPr>
        <w:t xml:space="preserve"> </w:t>
      </w:r>
      <w:r w:rsidR="001C470F">
        <w:rPr>
          <w:rFonts w:asciiTheme="majorHAnsi" w:eastAsia="Times New Roman" w:hAnsiTheme="majorHAnsi" w:cstheme="majorHAnsi"/>
          <w:color w:val="000000" w:themeColor="text1"/>
          <w:sz w:val="24"/>
          <w:szCs w:val="24"/>
          <w:lang w:val="ro-MD"/>
        </w:rPr>
        <w:t>fapt</w:t>
      </w:r>
      <w:r>
        <w:rPr>
          <w:rFonts w:asciiTheme="majorHAnsi" w:eastAsia="Times New Roman" w:hAnsiTheme="majorHAnsi" w:cstheme="majorHAnsi"/>
          <w:color w:val="000000" w:themeColor="text1"/>
          <w:sz w:val="24"/>
          <w:szCs w:val="24"/>
          <w:lang w:val="ro-MD"/>
        </w:rPr>
        <w:t xml:space="preserve"> ce denotă o prognozare defectuoasă a necesităților financiare pentru realizarea acestor programe</w:t>
      </w:r>
      <w:r w:rsidR="00D453D1" w:rsidRPr="00363CFA">
        <w:rPr>
          <w:rFonts w:asciiTheme="majorHAnsi" w:eastAsia="Times New Roman" w:hAnsiTheme="majorHAnsi" w:cstheme="majorHAnsi"/>
          <w:color w:val="000000" w:themeColor="text1"/>
          <w:sz w:val="24"/>
          <w:szCs w:val="24"/>
          <w:lang w:val="ro-MD"/>
        </w:rPr>
        <w:t>.</w:t>
      </w:r>
      <w:r w:rsidR="00630458">
        <w:rPr>
          <w:rFonts w:asciiTheme="majorHAnsi" w:eastAsia="Times New Roman" w:hAnsiTheme="majorHAnsi" w:cstheme="majorHAnsi"/>
          <w:color w:val="000000" w:themeColor="text1"/>
          <w:sz w:val="24"/>
          <w:szCs w:val="24"/>
          <w:lang w:val="ro-MD"/>
        </w:rPr>
        <w:t xml:space="preserve"> De exemplu:</w:t>
      </w:r>
    </w:p>
    <w:p w14:paraId="1C4A57BC" w14:textId="0F356536" w:rsidR="0011569A" w:rsidRPr="00363CFA" w:rsidRDefault="00C95B21" w:rsidP="00767ED8">
      <w:pPr>
        <w:pStyle w:val="ListParagraph"/>
        <w:numPr>
          <w:ilvl w:val="0"/>
          <w:numId w:val="21"/>
        </w:numPr>
        <w:spacing w:after="0" w:line="276" w:lineRule="auto"/>
        <w:ind w:left="0" w:firstLine="0"/>
        <w:jc w:val="both"/>
        <w:rPr>
          <w:rFonts w:asciiTheme="majorHAnsi" w:eastAsia="Times New Roman" w:hAnsiTheme="majorHAnsi" w:cstheme="majorHAnsi"/>
          <w:b/>
          <w:sz w:val="24"/>
          <w:szCs w:val="24"/>
          <w:lang w:val="ro-MD"/>
        </w:rPr>
      </w:pPr>
      <w:r w:rsidRPr="00C12753">
        <w:rPr>
          <w:rFonts w:asciiTheme="majorHAnsi" w:eastAsia="Times New Roman" w:hAnsiTheme="majorHAnsi" w:cstheme="majorHAnsi"/>
          <w:sz w:val="24"/>
          <w:szCs w:val="24"/>
          <w:lang w:val="ro-MD"/>
        </w:rPr>
        <w:t>Adunarea Populară, prin Hotăr</w:t>
      </w:r>
      <w:r w:rsidR="00F1071E">
        <w:rPr>
          <w:rFonts w:asciiTheme="majorHAnsi" w:eastAsia="Times New Roman" w:hAnsiTheme="majorHAnsi" w:cstheme="majorHAnsi"/>
          <w:sz w:val="24"/>
          <w:szCs w:val="24"/>
          <w:lang w:val="ro-MD"/>
        </w:rPr>
        <w:t>â</w:t>
      </w:r>
      <w:r w:rsidRPr="00C12753">
        <w:rPr>
          <w:rFonts w:asciiTheme="majorHAnsi" w:eastAsia="Times New Roman" w:hAnsiTheme="majorHAnsi" w:cstheme="majorHAnsi"/>
          <w:sz w:val="24"/>
          <w:szCs w:val="24"/>
          <w:lang w:val="ro-MD"/>
        </w:rPr>
        <w:t>rea sa</w:t>
      </w:r>
      <w:r w:rsidR="00F1071E">
        <w:rPr>
          <w:rFonts w:asciiTheme="majorHAnsi" w:eastAsia="Times New Roman" w:hAnsiTheme="majorHAnsi" w:cstheme="majorHAnsi"/>
          <w:sz w:val="24"/>
          <w:szCs w:val="24"/>
          <w:lang w:val="ro-MD"/>
        </w:rPr>
        <w:t>,</w:t>
      </w:r>
      <w:r w:rsidRPr="00C12753">
        <w:rPr>
          <w:rFonts w:asciiTheme="majorHAnsi" w:eastAsia="Times New Roman" w:hAnsiTheme="majorHAnsi" w:cstheme="majorHAnsi"/>
          <w:sz w:val="24"/>
          <w:szCs w:val="24"/>
          <w:lang w:val="ro-MD"/>
        </w:rPr>
        <w:t xml:space="preserve"> a aprobat </w:t>
      </w:r>
      <w:r w:rsidR="00F1071E">
        <w:rPr>
          <w:rFonts w:asciiTheme="majorHAnsi" w:eastAsia="Times New Roman" w:hAnsiTheme="majorHAnsi" w:cstheme="majorHAnsi"/>
          <w:sz w:val="24"/>
          <w:szCs w:val="24"/>
          <w:lang w:val="ro-MD"/>
        </w:rPr>
        <w:t>P</w:t>
      </w:r>
      <w:r w:rsidRPr="00C12753">
        <w:rPr>
          <w:rFonts w:asciiTheme="majorHAnsi" w:eastAsia="Times New Roman" w:hAnsiTheme="majorHAnsi" w:cstheme="majorHAnsi"/>
          <w:sz w:val="24"/>
          <w:szCs w:val="24"/>
          <w:lang w:val="ro-MD"/>
        </w:rPr>
        <w:t>rograma „Satul găgăuz iluminat pentru anii 2018-2027”</w:t>
      </w:r>
      <w:r w:rsidR="00F1071E">
        <w:rPr>
          <w:rFonts w:asciiTheme="majorHAnsi" w:eastAsia="Times New Roman" w:hAnsiTheme="majorHAnsi" w:cstheme="majorHAnsi"/>
          <w:sz w:val="24"/>
          <w:szCs w:val="24"/>
          <w:lang w:val="ro-MD"/>
        </w:rPr>
        <w:t>,</w:t>
      </w:r>
      <w:r w:rsidRPr="00C12753">
        <w:rPr>
          <w:rFonts w:asciiTheme="majorHAnsi" w:eastAsia="Times New Roman" w:hAnsiTheme="majorHAnsi" w:cstheme="majorHAnsi"/>
          <w:sz w:val="24"/>
          <w:szCs w:val="24"/>
          <w:lang w:val="ro-MD"/>
        </w:rPr>
        <w:t xml:space="preserve"> prin care stabile</w:t>
      </w:r>
      <w:r w:rsidR="0069374B" w:rsidRPr="00C12753">
        <w:rPr>
          <w:rFonts w:asciiTheme="majorHAnsi" w:eastAsia="Times New Roman" w:hAnsiTheme="majorHAnsi" w:cstheme="majorHAnsi"/>
          <w:sz w:val="24"/>
          <w:szCs w:val="24"/>
          <w:lang w:val="ro-MD"/>
        </w:rPr>
        <w:t>ș</w:t>
      </w:r>
      <w:r w:rsidRPr="00C12753">
        <w:rPr>
          <w:rFonts w:asciiTheme="majorHAnsi" w:eastAsia="Times New Roman" w:hAnsiTheme="majorHAnsi" w:cstheme="majorHAnsi"/>
          <w:sz w:val="24"/>
          <w:szCs w:val="24"/>
          <w:lang w:val="ro-MD"/>
        </w:rPr>
        <w:t>te sus</w:t>
      </w:r>
      <w:r w:rsidR="0069374B" w:rsidRPr="00C12753">
        <w:rPr>
          <w:rFonts w:asciiTheme="majorHAnsi" w:eastAsia="Times New Roman" w:hAnsiTheme="majorHAnsi" w:cstheme="majorHAnsi"/>
          <w:sz w:val="24"/>
          <w:szCs w:val="24"/>
          <w:lang w:val="ro-MD"/>
        </w:rPr>
        <w:t>ț</w:t>
      </w:r>
      <w:r w:rsidRPr="00C12753">
        <w:rPr>
          <w:rFonts w:asciiTheme="majorHAnsi" w:eastAsia="Times New Roman" w:hAnsiTheme="majorHAnsi" w:cstheme="majorHAnsi"/>
          <w:sz w:val="24"/>
          <w:szCs w:val="24"/>
          <w:lang w:val="ro-MD"/>
        </w:rPr>
        <w:t>inere</w:t>
      </w:r>
      <w:r w:rsidR="00F1071E">
        <w:rPr>
          <w:rFonts w:asciiTheme="majorHAnsi" w:eastAsia="Times New Roman" w:hAnsiTheme="majorHAnsi" w:cstheme="majorHAnsi"/>
          <w:sz w:val="24"/>
          <w:szCs w:val="24"/>
          <w:lang w:val="ro-MD"/>
        </w:rPr>
        <w:t>a</w:t>
      </w:r>
      <w:r w:rsidRPr="00C12753">
        <w:rPr>
          <w:rFonts w:asciiTheme="majorHAnsi" w:eastAsia="Times New Roman" w:hAnsiTheme="majorHAnsi" w:cstheme="majorHAnsi"/>
          <w:sz w:val="24"/>
          <w:szCs w:val="24"/>
          <w:lang w:val="ro-MD"/>
        </w:rPr>
        <w:t xml:space="preserve"> financiară </w:t>
      </w:r>
      <w:r w:rsidR="005444A1" w:rsidRPr="00C12753">
        <w:rPr>
          <w:rFonts w:asciiTheme="majorHAnsi" w:eastAsia="Times New Roman" w:hAnsiTheme="majorHAnsi" w:cstheme="majorHAnsi"/>
          <w:sz w:val="24"/>
          <w:szCs w:val="24"/>
          <w:lang w:val="ro-MD"/>
        </w:rPr>
        <w:t>pentru asigurarea iluminatul</w:t>
      </w:r>
      <w:r w:rsidR="00F1071E">
        <w:rPr>
          <w:rFonts w:asciiTheme="majorHAnsi" w:eastAsia="Times New Roman" w:hAnsiTheme="majorHAnsi" w:cstheme="majorHAnsi"/>
          <w:sz w:val="24"/>
          <w:szCs w:val="24"/>
          <w:lang w:val="ro-MD"/>
        </w:rPr>
        <w:t>ui</w:t>
      </w:r>
      <w:r w:rsidR="005444A1" w:rsidRPr="00C12753">
        <w:rPr>
          <w:rFonts w:asciiTheme="majorHAnsi" w:eastAsia="Times New Roman" w:hAnsiTheme="majorHAnsi" w:cstheme="majorHAnsi"/>
          <w:sz w:val="24"/>
          <w:szCs w:val="24"/>
          <w:lang w:val="ro-MD"/>
        </w:rPr>
        <w:t xml:space="preserve"> stradal </w:t>
      </w:r>
      <w:r w:rsidR="00480B11" w:rsidRPr="00C12753">
        <w:rPr>
          <w:rFonts w:asciiTheme="majorHAnsi" w:eastAsia="Times New Roman" w:hAnsiTheme="majorHAnsi" w:cstheme="majorHAnsi"/>
          <w:sz w:val="24"/>
          <w:szCs w:val="24"/>
          <w:lang w:val="ro-MD"/>
        </w:rPr>
        <w:t>reie</w:t>
      </w:r>
      <w:r w:rsidR="0069374B" w:rsidRPr="00C12753">
        <w:rPr>
          <w:rFonts w:asciiTheme="majorHAnsi" w:eastAsia="Times New Roman" w:hAnsiTheme="majorHAnsi" w:cstheme="majorHAnsi"/>
          <w:sz w:val="24"/>
          <w:szCs w:val="24"/>
          <w:lang w:val="ro-MD"/>
        </w:rPr>
        <w:t>ș</w:t>
      </w:r>
      <w:r w:rsidR="00480B11" w:rsidRPr="00C12753">
        <w:rPr>
          <w:rFonts w:asciiTheme="majorHAnsi" w:eastAsia="Times New Roman" w:hAnsiTheme="majorHAnsi" w:cstheme="majorHAnsi"/>
          <w:sz w:val="24"/>
          <w:szCs w:val="24"/>
          <w:lang w:val="ro-MD"/>
        </w:rPr>
        <w:t xml:space="preserve">ind </w:t>
      </w:r>
      <w:r w:rsidR="005444A1" w:rsidRPr="00C12753">
        <w:rPr>
          <w:rFonts w:asciiTheme="majorHAnsi" w:eastAsia="Times New Roman" w:hAnsiTheme="majorHAnsi" w:cstheme="majorHAnsi"/>
          <w:sz w:val="24"/>
          <w:szCs w:val="24"/>
          <w:lang w:val="ro-MD"/>
        </w:rPr>
        <w:t>din calculul de</w:t>
      </w:r>
      <w:r w:rsidR="005444A1" w:rsidRPr="00363CFA">
        <w:rPr>
          <w:rFonts w:asciiTheme="majorHAnsi" w:eastAsia="Times New Roman" w:hAnsiTheme="majorHAnsi" w:cstheme="majorHAnsi"/>
          <w:sz w:val="24"/>
          <w:szCs w:val="24"/>
          <w:lang w:val="ro-MD"/>
        </w:rPr>
        <w:t xml:space="preserve"> 5 lei per locuitor.</w:t>
      </w:r>
      <w:r w:rsidR="00C47034" w:rsidRPr="00363CFA">
        <w:rPr>
          <w:rFonts w:asciiTheme="majorHAnsi" w:eastAsia="Times New Roman" w:hAnsiTheme="majorHAnsi" w:cstheme="majorHAnsi"/>
          <w:sz w:val="24"/>
          <w:szCs w:val="24"/>
          <w:lang w:val="ro-MD"/>
        </w:rPr>
        <w:t xml:space="preserve"> În anul 2019, fără a fi monitorizat consumul efectiv al energiei electrice la iluminatul stradal, s-a</w:t>
      </w:r>
      <w:r w:rsidR="00F1071E">
        <w:rPr>
          <w:rFonts w:asciiTheme="majorHAnsi" w:eastAsia="Times New Roman" w:hAnsiTheme="majorHAnsi" w:cstheme="majorHAnsi"/>
          <w:sz w:val="24"/>
          <w:szCs w:val="24"/>
          <w:lang w:val="ro-MD"/>
        </w:rPr>
        <w:t>u</w:t>
      </w:r>
      <w:r w:rsidR="00C47034" w:rsidRPr="00363CFA">
        <w:rPr>
          <w:rFonts w:asciiTheme="majorHAnsi" w:eastAsia="Times New Roman" w:hAnsiTheme="majorHAnsi" w:cstheme="majorHAnsi"/>
          <w:sz w:val="24"/>
          <w:szCs w:val="24"/>
          <w:lang w:val="ro-MD"/>
        </w:rPr>
        <w:t xml:space="preserve"> alocat fiecărei </w:t>
      </w:r>
      <w:r w:rsidR="00480B11" w:rsidRPr="00363CFA">
        <w:rPr>
          <w:rFonts w:asciiTheme="majorHAnsi" w:eastAsia="Times New Roman" w:hAnsiTheme="majorHAnsi" w:cstheme="majorHAnsi"/>
          <w:sz w:val="24"/>
          <w:szCs w:val="24"/>
          <w:lang w:val="ro-MD"/>
        </w:rPr>
        <w:t xml:space="preserve">UAT </w:t>
      </w:r>
      <w:r w:rsidR="00C47034" w:rsidRPr="00363CFA">
        <w:rPr>
          <w:rFonts w:asciiTheme="majorHAnsi" w:eastAsia="Times New Roman" w:hAnsiTheme="majorHAnsi" w:cstheme="majorHAnsi"/>
          <w:sz w:val="24"/>
          <w:szCs w:val="24"/>
          <w:lang w:val="ro-MD"/>
        </w:rPr>
        <w:t xml:space="preserve">de nivelul I mijloace financiare </w:t>
      </w:r>
      <w:r w:rsidR="00F1071E">
        <w:rPr>
          <w:rFonts w:asciiTheme="majorHAnsi" w:eastAsia="Times New Roman" w:hAnsiTheme="majorHAnsi" w:cstheme="majorHAnsi"/>
          <w:sz w:val="24"/>
          <w:szCs w:val="24"/>
          <w:lang w:val="ro-MD"/>
        </w:rPr>
        <w:t>în baza</w:t>
      </w:r>
      <w:r w:rsidR="00C47034" w:rsidRPr="00F1071E">
        <w:rPr>
          <w:rFonts w:asciiTheme="majorHAnsi" w:eastAsia="Times New Roman" w:hAnsiTheme="majorHAnsi" w:cstheme="majorHAnsi"/>
          <w:sz w:val="24"/>
          <w:szCs w:val="24"/>
          <w:lang w:val="ro-MD"/>
        </w:rPr>
        <w:t xml:space="preserve"> calculul</w:t>
      </w:r>
      <w:r w:rsidR="00F1071E">
        <w:rPr>
          <w:rFonts w:asciiTheme="majorHAnsi" w:eastAsia="Times New Roman" w:hAnsiTheme="majorHAnsi" w:cstheme="majorHAnsi"/>
          <w:sz w:val="24"/>
          <w:szCs w:val="24"/>
          <w:lang w:val="ro-MD"/>
        </w:rPr>
        <w:t>ui</w:t>
      </w:r>
      <w:r w:rsidR="00C47034" w:rsidRPr="00F1071E">
        <w:rPr>
          <w:rFonts w:asciiTheme="majorHAnsi" w:eastAsia="Times New Roman" w:hAnsiTheme="majorHAnsi" w:cstheme="majorHAnsi"/>
          <w:sz w:val="24"/>
          <w:szCs w:val="24"/>
          <w:lang w:val="ro-MD"/>
        </w:rPr>
        <w:t xml:space="preserve"> stabilit</w:t>
      </w:r>
      <w:r w:rsidR="00C47034" w:rsidRPr="00363CFA">
        <w:rPr>
          <w:rFonts w:asciiTheme="majorHAnsi" w:eastAsia="Times New Roman" w:hAnsiTheme="majorHAnsi" w:cstheme="majorHAnsi"/>
          <w:sz w:val="24"/>
          <w:szCs w:val="24"/>
          <w:lang w:val="ro-MD"/>
        </w:rPr>
        <w:t xml:space="preserve"> prin actele normative ale Adunării Populare (5 lei/per locuitor), pentru anul 2020 – s-a decis alocarea mijloacelor financiare </w:t>
      </w:r>
      <w:r w:rsidR="00F1071E">
        <w:rPr>
          <w:rFonts w:asciiTheme="majorHAnsi" w:eastAsia="Times New Roman" w:hAnsiTheme="majorHAnsi" w:cstheme="majorHAnsi"/>
          <w:sz w:val="24"/>
          <w:szCs w:val="24"/>
          <w:lang w:val="ro-MD"/>
        </w:rPr>
        <w:t xml:space="preserve">reieșind </w:t>
      </w:r>
      <w:r w:rsidR="00C47034" w:rsidRPr="00363CFA">
        <w:rPr>
          <w:rFonts w:asciiTheme="majorHAnsi" w:eastAsia="Times New Roman" w:hAnsiTheme="majorHAnsi" w:cstheme="majorHAnsi"/>
          <w:sz w:val="24"/>
          <w:szCs w:val="24"/>
          <w:lang w:val="ro-MD"/>
        </w:rPr>
        <w:t xml:space="preserve">din calculul de 8 lei/per locuitor, </w:t>
      </w:r>
      <w:r w:rsidR="0064649E" w:rsidRPr="00363CFA">
        <w:rPr>
          <w:rFonts w:asciiTheme="majorHAnsi" w:eastAsia="Times New Roman" w:hAnsiTheme="majorHAnsi" w:cstheme="majorHAnsi"/>
          <w:sz w:val="24"/>
          <w:szCs w:val="24"/>
          <w:lang w:val="ro-MD"/>
        </w:rPr>
        <w:t>fără</w:t>
      </w:r>
      <w:r w:rsidR="00C47034" w:rsidRPr="00363CFA">
        <w:rPr>
          <w:rFonts w:asciiTheme="majorHAnsi" w:eastAsia="Times New Roman" w:hAnsiTheme="majorHAnsi" w:cstheme="majorHAnsi"/>
          <w:sz w:val="24"/>
          <w:szCs w:val="24"/>
          <w:lang w:val="ro-MD"/>
        </w:rPr>
        <w:t xml:space="preserve"> </w:t>
      </w:r>
      <w:r w:rsidR="00F1071E">
        <w:rPr>
          <w:rFonts w:asciiTheme="majorHAnsi" w:eastAsia="Times New Roman" w:hAnsiTheme="majorHAnsi" w:cstheme="majorHAnsi"/>
          <w:sz w:val="24"/>
          <w:szCs w:val="24"/>
          <w:lang w:val="ro-MD"/>
        </w:rPr>
        <w:t>un</w:t>
      </w:r>
      <w:r w:rsidR="00C47034" w:rsidRPr="00363CFA">
        <w:rPr>
          <w:rFonts w:asciiTheme="majorHAnsi" w:eastAsia="Times New Roman" w:hAnsiTheme="majorHAnsi" w:cstheme="majorHAnsi"/>
          <w:sz w:val="24"/>
          <w:szCs w:val="24"/>
          <w:lang w:val="ro-MD"/>
        </w:rPr>
        <w:t xml:space="preserve"> careva temei pentru aceast</w:t>
      </w:r>
      <w:r w:rsidR="00F1071E">
        <w:rPr>
          <w:rFonts w:asciiTheme="majorHAnsi" w:eastAsia="Times New Roman" w:hAnsiTheme="majorHAnsi" w:cstheme="majorHAnsi"/>
          <w:sz w:val="24"/>
          <w:szCs w:val="24"/>
          <w:lang w:val="ro-MD"/>
        </w:rPr>
        <w:t>ă</w:t>
      </w:r>
      <w:r w:rsidR="00C47034" w:rsidRPr="00363CFA">
        <w:rPr>
          <w:rFonts w:asciiTheme="majorHAnsi" w:eastAsia="Times New Roman" w:hAnsiTheme="majorHAnsi" w:cstheme="majorHAnsi"/>
          <w:sz w:val="24"/>
          <w:szCs w:val="24"/>
          <w:lang w:val="ro-MD"/>
        </w:rPr>
        <w:t xml:space="preserve"> majorare. Comitetul Executiv a decis monitorizarea consumului </w:t>
      </w:r>
      <w:r w:rsidR="00F1071E">
        <w:rPr>
          <w:rFonts w:asciiTheme="majorHAnsi" w:eastAsia="Times New Roman" w:hAnsiTheme="majorHAnsi" w:cstheme="majorHAnsi"/>
          <w:sz w:val="24"/>
          <w:szCs w:val="24"/>
          <w:lang w:val="ro-MD"/>
        </w:rPr>
        <w:t xml:space="preserve">de </w:t>
      </w:r>
      <w:r w:rsidR="00C47034" w:rsidRPr="00363CFA">
        <w:rPr>
          <w:rFonts w:asciiTheme="majorHAnsi" w:eastAsia="Times New Roman" w:hAnsiTheme="majorHAnsi" w:cstheme="majorHAnsi"/>
          <w:sz w:val="24"/>
          <w:szCs w:val="24"/>
          <w:lang w:val="ro-MD"/>
        </w:rPr>
        <w:t>energie electric</w:t>
      </w:r>
      <w:r w:rsidR="00F1071E">
        <w:rPr>
          <w:rFonts w:asciiTheme="majorHAnsi" w:eastAsia="Times New Roman" w:hAnsiTheme="majorHAnsi" w:cstheme="majorHAnsi"/>
          <w:sz w:val="24"/>
          <w:szCs w:val="24"/>
          <w:lang w:val="ro-MD"/>
        </w:rPr>
        <w:t>ă</w:t>
      </w:r>
      <w:r w:rsidR="00C47034" w:rsidRPr="00363CFA">
        <w:rPr>
          <w:rFonts w:asciiTheme="majorHAnsi" w:eastAsia="Times New Roman" w:hAnsiTheme="majorHAnsi" w:cstheme="majorHAnsi"/>
          <w:sz w:val="24"/>
          <w:szCs w:val="24"/>
          <w:lang w:val="ro-MD"/>
        </w:rPr>
        <w:t>, mijl</w:t>
      </w:r>
      <w:r w:rsidR="004E0946" w:rsidRPr="00363CFA">
        <w:rPr>
          <w:rFonts w:asciiTheme="majorHAnsi" w:eastAsia="Times New Roman" w:hAnsiTheme="majorHAnsi" w:cstheme="majorHAnsi"/>
          <w:sz w:val="24"/>
          <w:szCs w:val="24"/>
          <w:lang w:val="ro-MD"/>
        </w:rPr>
        <w:t>o</w:t>
      </w:r>
      <w:r w:rsidR="00C47034" w:rsidRPr="00363CFA">
        <w:rPr>
          <w:rFonts w:asciiTheme="majorHAnsi" w:eastAsia="Times New Roman" w:hAnsiTheme="majorHAnsi" w:cstheme="majorHAnsi"/>
          <w:sz w:val="24"/>
          <w:szCs w:val="24"/>
          <w:lang w:val="ro-MD"/>
        </w:rPr>
        <w:t xml:space="preserve">acele financiare fiind alocate în baza datelor contorului. </w:t>
      </w:r>
      <w:r w:rsidR="00F1071E">
        <w:rPr>
          <w:rFonts w:asciiTheme="majorHAnsi" w:eastAsia="Times New Roman" w:hAnsiTheme="majorHAnsi" w:cstheme="majorHAnsi"/>
          <w:sz w:val="24"/>
          <w:szCs w:val="24"/>
          <w:lang w:val="ro-MD"/>
        </w:rPr>
        <w:t>Cu toate</w:t>
      </w:r>
      <w:r w:rsidR="00C47034" w:rsidRPr="00363CFA">
        <w:rPr>
          <w:rFonts w:asciiTheme="majorHAnsi" w:eastAsia="Times New Roman" w:hAnsiTheme="majorHAnsi" w:cstheme="majorHAnsi"/>
          <w:sz w:val="24"/>
          <w:szCs w:val="24"/>
          <w:lang w:val="ro-MD"/>
        </w:rPr>
        <w:t xml:space="preserve"> că a fost majorat normativul, cheltuielile totale</w:t>
      </w:r>
      <w:r w:rsidR="00F1071E">
        <w:rPr>
          <w:rFonts w:asciiTheme="majorHAnsi" w:eastAsia="Times New Roman" w:hAnsiTheme="majorHAnsi" w:cstheme="majorHAnsi"/>
          <w:sz w:val="24"/>
          <w:szCs w:val="24"/>
          <w:lang w:val="ro-MD"/>
        </w:rPr>
        <w:t xml:space="preserve"> </w:t>
      </w:r>
      <w:r w:rsidR="00C47034" w:rsidRPr="00363CFA">
        <w:rPr>
          <w:rFonts w:asciiTheme="majorHAnsi" w:eastAsia="Times New Roman" w:hAnsiTheme="majorHAnsi" w:cstheme="majorHAnsi"/>
          <w:sz w:val="24"/>
          <w:szCs w:val="24"/>
          <w:lang w:val="ro-MD"/>
        </w:rPr>
        <w:t xml:space="preserve"> în anul 2020 s-au diminuat cu 50% fa</w:t>
      </w:r>
      <w:r w:rsidR="0069374B" w:rsidRPr="00363CFA">
        <w:rPr>
          <w:rFonts w:asciiTheme="majorHAnsi" w:eastAsia="Times New Roman" w:hAnsiTheme="majorHAnsi" w:cstheme="majorHAnsi"/>
          <w:sz w:val="24"/>
          <w:szCs w:val="24"/>
          <w:lang w:val="ro-MD"/>
        </w:rPr>
        <w:t>ț</w:t>
      </w:r>
      <w:r w:rsidR="00C47034" w:rsidRPr="00363CFA">
        <w:rPr>
          <w:rFonts w:asciiTheme="majorHAnsi" w:eastAsia="Times New Roman" w:hAnsiTheme="majorHAnsi" w:cstheme="majorHAnsi"/>
          <w:sz w:val="24"/>
          <w:szCs w:val="24"/>
          <w:lang w:val="ro-MD"/>
        </w:rPr>
        <w:t>ă de cele din anul 2019. Astfel,</w:t>
      </w:r>
      <w:r w:rsidR="005444A1" w:rsidRPr="00363CFA">
        <w:rPr>
          <w:rFonts w:asciiTheme="majorHAnsi" w:eastAsia="Times New Roman" w:hAnsiTheme="majorHAnsi" w:cstheme="majorHAnsi"/>
          <w:sz w:val="24"/>
          <w:szCs w:val="24"/>
          <w:lang w:val="ro-MD"/>
        </w:rPr>
        <w:t xml:space="preserve"> </w:t>
      </w:r>
      <w:r w:rsidR="00C47034" w:rsidRPr="00363CFA">
        <w:rPr>
          <w:rFonts w:asciiTheme="majorHAnsi" w:eastAsia="Times New Roman" w:hAnsiTheme="majorHAnsi" w:cstheme="majorHAnsi"/>
          <w:sz w:val="24"/>
          <w:szCs w:val="24"/>
          <w:lang w:val="ro-MD"/>
        </w:rPr>
        <w:t>î</w:t>
      </w:r>
      <w:r w:rsidR="00694530" w:rsidRPr="00363CFA">
        <w:rPr>
          <w:rFonts w:asciiTheme="majorHAnsi" w:eastAsia="Times New Roman" w:hAnsiTheme="majorHAnsi" w:cstheme="majorHAnsi"/>
          <w:sz w:val="24"/>
          <w:szCs w:val="24"/>
          <w:lang w:val="ro-MD"/>
        </w:rPr>
        <w:t xml:space="preserve">n </w:t>
      </w:r>
      <w:r w:rsidR="00F1071E">
        <w:rPr>
          <w:rFonts w:asciiTheme="majorHAnsi" w:eastAsia="Times New Roman" w:hAnsiTheme="majorHAnsi" w:cstheme="majorHAnsi"/>
          <w:sz w:val="24"/>
          <w:szCs w:val="24"/>
          <w:lang w:val="ro-MD"/>
        </w:rPr>
        <w:t xml:space="preserve">perioada </w:t>
      </w:r>
      <w:r w:rsidR="00694530" w:rsidRPr="00363CFA">
        <w:rPr>
          <w:rFonts w:asciiTheme="majorHAnsi" w:eastAsia="Times New Roman" w:hAnsiTheme="majorHAnsi" w:cstheme="majorHAnsi"/>
          <w:sz w:val="24"/>
          <w:szCs w:val="24"/>
          <w:lang w:val="ro-MD"/>
        </w:rPr>
        <w:t>an</w:t>
      </w:r>
      <w:r w:rsidR="00F1071E">
        <w:rPr>
          <w:rFonts w:asciiTheme="majorHAnsi" w:eastAsia="Times New Roman" w:hAnsiTheme="majorHAnsi" w:cstheme="majorHAnsi"/>
          <w:sz w:val="24"/>
          <w:szCs w:val="24"/>
          <w:lang w:val="ro-MD"/>
        </w:rPr>
        <w:t>ilor</w:t>
      </w:r>
      <w:r w:rsidR="00694530" w:rsidRPr="00363CFA">
        <w:rPr>
          <w:rFonts w:asciiTheme="majorHAnsi" w:eastAsia="Times New Roman" w:hAnsiTheme="majorHAnsi" w:cstheme="majorHAnsi"/>
          <w:sz w:val="24"/>
          <w:szCs w:val="24"/>
          <w:lang w:val="ro-MD"/>
        </w:rPr>
        <w:t xml:space="preserve"> 2019 – 2020</w:t>
      </w:r>
      <w:r w:rsidR="00F1071E">
        <w:rPr>
          <w:rFonts w:asciiTheme="majorHAnsi" w:eastAsia="Times New Roman" w:hAnsiTheme="majorHAnsi" w:cstheme="majorHAnsi"/>
          <w:sz w:val="24"/>
          <w:szCs w:val="24"/>
          <w:lang w:val="ro-MD"/>
        </w:rPr>
        <w:t>,</w:t>
      </w:r>
      <w:r w:rsidR="00694530" w:rsidRPr="00363CFA">
        <w:rPr>
          <w:rFonts w:asciiTheme="majorHAnsi" w:eastAsia="Times New Roman" w:hAnsiTheme="majorHAnsi" w:cstheme="majorHAnsi"/>
          <w:sz w:val="24"/>
          <w:szCs w:val="24"/>
          <w:lang w:val="ro-MD"/>
        </w:rPr>
        <w:t xml:space="preserve"> pentru realizarea acestui program</w:t>
      </w:r>
      <w:r w:rsidR="00F1071E">
        <w:rPr>
          <w:rFonts w:asciiTheme="majorHAnsi" w:eastAsia="Times New Roman" w:hAnsiTheme="majorHAnsi" w:cstheme="majorHAnsi"/>
          <w:sz w:val="24"/>
          <w:szCs w:val="24"/>
          <w:lang w:val="ro-MD"/>
        </w:rPr>
        <w:t>,</w:t>
      </w:r>
      <w:r w:rsidR="00694530" w:rsidRPr="00363CFA">
        <w:rPr>
          <w:rFonts w:asciiTheme="majorHAnsi" w:eastAsia="Times New Roman" w:hAnsiTheme="majorHAnsi" w:cstheme="majorHAnsi"/>
          <w:sz w:val="24"/>
          <w:szCs w:val="24"/>
          <w:lang w:val="ro-MD"/>
        </w:rPr>
        <w:t xml:space="preserve"> au fost cheltuite </w:t>
      </w:r>
      <w:r w:rsidR="00E76115" w:rsidRPr="00363CFA">
        <w:rPr>
          <w:rFonts w:asciiTheme="majorHAnsi" w:eastAsia="Times New Roman" w:hAnsiTheme="majorHAnsi" w:cstheme="majorHAnsi"/>
          <w:b/>
          <w:sz w:val="24"/>
          <w:szCs w:val="24"/>
          <w:lang w:val="ro-MD"/>
        </w:rPr>
        <w:t>11971,3 mii lei</w:t>
      </w:r>
      <w:r w:rsidR="00E76115" w:rsidRPr="00363CFA">
        <w:rPr>
          <w:rFonts w:asciiTheme="majorHAnsi" w:eastAsia="Times New Roman" w:hAnsiTheme="majorHAnsi" w:cstheme="majorHAnsi"/>
          <w:sz w:val="24"/>
          <w:szCs w:val="24"/>
          <w:lang w:val="ro-MD"/>
        </w:rPr>
        <w:t xml:space="preserve"> (</w:t>
      </w:r>
      <w:r w:rsidR="00E76115" w:rsidRPr="00363CFA">
        <w:rPr>
          <w:rFonts w:asciiTheme="majorHAnsi" w:eastAsia="Times New Roman" w:hAnsiTheme="majorHAnsi" w:cstheme="majorHAnsi"/>
          <w:b/>
          <w:sz w:val="24"/>
          <w:szCs w:val="24"/>
          <w:lang w:val="ro-MD"/>
        </w:rPr>
        <w:t>8120,0 mii lei</w:t>
      </w:r>
      <w:r w:rsidR="00E76115" w:rsidRPr="00363CFA">
        <w:rPr>
          <w:rFonts w:asciiTheme="majorHAnsi" w:eastAsia="Times New Roman" w:hAnsiTheme="majorHAnsi" w:cstheme="majorHAnsi"/>
          <w:sz w:val="24"/>
          <w:szCs w:val="24"/>
          <w:lang w:val="ro-MD"/>
        </w:rPr>
        <w:t xml:space="preserve"> – în </w:t>
      </w:r>
      <w:r w:rsidR="00F1071E">
        <w:rPr>
          <w:rFonts w:asciiTheme="majorHAnsi" w:eastAsia="Times New Roman" w:hAnsiTheme="majorHAnsi" w:cstheme="majorHAnsi"/>
          <w:sz w:val="24"/>
          <w:szCs w:val="24"/>
          <w:lang w:val="ro-MD"/>
        </w:rPr>
        <w:t>a.</w:t>
      </w:r>
      <w:r w:rsidR="00E76115" w:rsidRPr="00363CFA">
        <w:rPr>
          <w:rFonts w:asciiTheme="majorHAnsi" w:eastAsia="Times New Roman" w:hAnsiTheme="majorHAnsi" w:cstheme="majorHAnsi"/>
          <w:sz w:val="24"/>
          <w:szCs w:val="24"/>
          <w:lang w:val="ro-MD"/>
        </w:rPr>
        <w:t>2019</w:t>
      </w:r>
      <w:r w:rsidR="00F1071E">
        <w:rPr>
          <w:rFonts w:asciiTheme="majorHAnsi" w:eastAsia="Times New Roman" w:hAnsiTheme="majorHAnsi" w:cstheme="majorHAnsi"/>
          <w:sz w:val="24"/>
          <w:szCs w:val="24"/>
          <w:lang w:val="ro-MD"/>
        </w:rPr>
        <w:t>,</w:t>
      </w:r>
      <w:r w:rsidR="00E76115" w:rsidRPr="00363CFA">
        <w:rPr>
          <w:rFonts w:asciiTheme="majorHAnsi" w:eastAsia="Times New Roman" w:hAnsiTheme="majorHAnsi" w:cstheme="majorHAnsi"/>
          <w:sz w:val="24"/>
          <w:szCs w:val="24"/>
          <w:lang w:val="ro-MD"/>
        </w:rPr>
        <w:t xml:space="preserve"> </w:t>
      </w:r>
      <w:r w:rsidR="0069374B" w:rsidRPr="00363CFA">
        <w:rPr>
          <w:rFonts w:asciiTheme="majorHAnsi" w:eastAsia="Times New Roman" w:hAnsiTheme="majorHAnsi" w:cstheme="majorHAnsi"/>
          <w:sz w:val="24"/>
          <w:szCs w:val="24"/>
          <w:lang w:val="ro-MD"/>
        </w:rPr>
        <w:t>ș</w:t>
      </w:r>
      <w:r w:rsidR="00E76115" w:rsidRPr="00363CFA">
        <w:rPr>
          <w:rFonts w:asciiTheme="majorHAnsi" w:eastAsia="Times New Roman" w:hAnsiTheme="majorHAnsi" w:cstheme="majorHAnsi"/>
          <w:sz w:val="24"/>
          <w:szCs w:val="24"/>
          <w:lang w:val="ro-MD"/>
        </w:rPr>
        <w:t xml:space="preserve">i </w:t>
      </w:r>
      <w:r w:rsidR="00E76115" w:rsidRPr="00363CFA">
        <w:rPr>
          <w:rFonts w:asciiTheme="majorHAnsi" w:eastAsia="Times New Roman" w:hAnsiTheme="majorHAnsi" w:cstheme="majorHAnsi"/>
          <w:b/>
          <w:sz w:val="24"/>
          <w:szCs w:val="24"/>
          <w:lang w:val="ro-MD"/>
        </w:rPr>
        <w:t>3851,3 mii lei</w:t>
      </w:r>
      <w:r w:rsidR="00E76115" w:rsidRPr="00363CFA">
        <w:rPr>
          <w:rFonts w:asciiTheme="majorHAnsi" w:eastAsia="Times New Roman" w:hAnsiTheme="majorHAnsi" w:cstheme="majorHAnsi"/>
          <w:sz w:val="24"/>
          <w:szCs w:val="24"/>
          <w:lang w:val="ro-MD"/>
        </w:rPr>
        <w:t xml:space="preserve"> – în </w:t>
      </w:r>
      <w:r w:rsidR="00F1071E">
        <w:rPr>
          <w:rFonts w:asciiTheme="majorHAnsi" w:eastAsia="Times New Roman" w:hAnsiTheme="majorHAnsi" w:cstheme="majorHAnsi"/>
          <w:sz w:val="24"/>
          <w:szCs w:val="24"/>
          <w:lang w:val="ro-MD"/>
        </w:rPr>
        <w:t>a.</w:t>
      </w:r>
      <w:r w:rsidR="00E76115" w:rsidRPr="00363CFA">
        <w:rPr>
          <w:rFonts w:asciiTheme="majorHAnsi" w:eastAsia="Times New Roman" w:hAnsiTheme="majorHAnsi" w:cstheme="majorHAnsi"/>
          <w:sz w:val="24"/>
          <w:szCs w:val="24"/>
          <w:lang w:val="ro-MD"/>
        </w:rPr>
        <w:t xml:space="preserve">2020). </w:t>
      </w:r>
    </w:p>
    <w:p w14:paraId="6B148735" w14:textId="7F120326" w:rsidR="00E96AAA" w:rsidRPr="00363CFA" w:rsidRDefault="003117D4" w:rsidP="00767ED8">
      <w:pPr>
        <w:pStyle w:val="ListParagraph"/>
        <w:numPr>
          <w:ilvl w:val="0"/>
          <w:numId w:val="21"/>
        </w:numPr>
        <w:spacing w:after="0" w:line="276" w:lineRule="auto"/>
        <w:ind w:left="0" w:firstLine="0"/>
        <w:jc w:val="both"/>
        <w:rPr>
          <w:rFonts w:asciiTheme="majorHAnsi" w:eastAsia="Times New Roman" w:hAnsiTheme="majorHAnsi" w:cstheme="majorHAnsi"/>
          <w:b/>
          <w:sz w:val="24"/>
          <w:szCs w:val="24"/>
          <w:lang w:val="ro-MD"/>
        </w:rPr>
      </w:pPr>
      <w:r w:rsidRPr="00363CFA">
        <w:rPr>
          <w:rFonts w:asciiTheme="majorHAnsi" w:eastAsia="Times New Roman" w:hAnsiTheme="majorHAnsi" w:cstheme="majorHAnsi"/>
          <w:sz w:val="24"/>
          <w:szCs w:val="24"/>
          <w:lang w:val="ro-MD"/>
        </w:rPr>
        <w:t>P</w:t>
      </w:r>
      <w:r w:rsidR="000A6ABB" w:rsidRPr="00363CFA">
        <w:rPr>
          <w:rFonts w:asciiTheme="majorHAnsi" w:eastAsia="Times New Roman" w:hAnsiTheme="majorHAnsi" w:cstheme="majorHAnsi"/>
          <w:sz w:val="24"/>
          <w:szCs w:val="24"/>
          <w:lang w:val="ro-MD"/>
        </w:rPr>
        <w:t>otrivit prevederilor art.3 alin.(1) din Legea nr.</w:t>
      </w:r>
      <w:r w:rsidR="000A6ABB" w:rsidRPr="00363CFA">
        <w:rPr>
          <w:rFonts w:asciiTheme="majorHAnsi" w:hAnsiTheme="majorHAnsi" w:cstheme="majorHAnsi"/>
          <w:iCs/>
          <w:sz w:val="24"/>
          <w:szCs w:val="24"/>
          <w:lang w:val="ro-MD"/>
        </w:rPr>
        <w:t xml:space="preserve"> 344-XIII din 23.12.1994</w:t>
      </w:r>
      <w:r w:rsidR="000A6ABB" w:rsidRPr="00363CFA">
        <w:rPr>
          <w:rStyle w:val="FootnoteReference"/>
          <w:rFonts w:asciiTheme="majorHAnsi" w:hAnsiTheme="majorHAnsi" w:cstheme="majorHAnsi"/>
          <w:iCs/>
          <w:sz w:val="24"/>
          <w:szCs w:val="24"/>
          <w:lang w:val="ro-MD"/>
        </w:rPr>
        <w:footnoteReference w:id="21"/>
      </w:r>
      <w:r w:rsidR="00F1071E">
        <w:rPr>
          <w:rFonts w:asciiTheme="majorHAnsi" w:hAnsiTheme="majorHAnsi" w:cstheme="majorHAnsi"/>
          <w:iCs/>
          <w:sz w:val="24"/>
          <w:szCs w:val="24"/>
          <w:lang w:val="ro-MD"/>
        </w:rPr>
        <w:t>,</w:t>
      </w:r>
      <w:r w:rsidR="002A3788" w:rsidRPr="00363CFA">
        <w:rPr>
          <w:rFonts w:asciiTheme="majorHAnsi" w:hAnsiTheme="majorHAnsi" w:cstheme="majorHAnsi"/>
          <w:iCs/>
          <w:sz w:val="24"/>
          <w:szCs w:val="24"/>
          <w:lang w:val="ro-MD"/>
        </w:rPr>
        <w:t xml:space="preserve"> </w:t>
      </w:r>
      <w:r w:rsidR="000A6ABB" w:rsidRPr="00363CFA">
        <w:rPr>
          <w:rFonts w:asciiTheme="majorHAnsi" w:hAnsiTheme="majorHAnsi" w:cstheme="majorHAnsi"/>
          <w:iCs/>
          <w:sz w:val="24"/>
          <w:szCs w:val="24"/>
          <w:lang w:val="ro-MD"/>
        </w:rPr>
        <w:t>limba găgăuză este una din</w:t>
      </w:r>
      <w:r w:rsidR="00F1071E">
        <w:rPr>
          <w:rFonts w:asciiTheme="majorHAnsi" w:hAnsiTheme="majorHAnsi" w:cstheme="majorHAnsi"/>
          <w:iCs/>
          <w:sz w:val="24"/>
          <w:szCs w:val="24"/>
          <w:lang w:val="ro-MD"/>
        </w:rPr>
        <w:t>tre</w:t>
      </w:r>
      <w:r w:rsidR="000A6ABB" w:rsidRPr="00363CFA">
        <w:rPr>
          <w:rFonts w:asciiTheme="majorHAnsi" w:hAnsiTheme="majorHAnsi" w:cstheme="majorHAnsi"/>
          <w:iCs/>
          <w:sz w:val="24"/>
          <w:szCs w:val="24"/>
          <w:lang w:val="ro-MD"/>
        </w:rPr>
        <w:t xml:space="preserve"> limbile oficiale ale </w:t>
      </w:r>
      <w:r w:rsidR="00480B11" w:rsidRPr="00363CFA">
        <w:rPr>
          <w:rFonts w:asciiTheme="majorHAnsi" w:hAnsiTheme="majorHAnsi" w:cstheme="majorHAnsi"/>
          <w:iCs/>
          <w:sz w:val="24"/>
          <w:szCs w:val="24"/>
          <w:lang w:val="ro-MD"/>
        </w:rPr>
        <w:t xml:space="preserve">UTA </w:t>
      </w:r>
      <w:r w:rsidR="000A6ABB" w:rsidRPr="00363CFA">
        <w:rPr>
          <w:rFonts w:asciiTheme="majorHAnsi" w:hAnsiTheme="majorHAnsi" w:cstheme="majorHAnsi"/>
          <w:iCs/>
          <w:sz w:val="24"/>
          <w:szCs w:val="24"/>
          <w:lang w:val="ro-MD"/>
        </w:rPr>
        <w:t>Găgăuzi</w:t>
      </w:r>
      <w:r w:rsidR="00480B11" w:rsidRPr="00363CFA">
        <w:rPr>
          <w:rFonts w:asciiTheme="majorHAnsi" w:hAnsiTheme="majorHAnsi" w:cstheme="majorHAnsi"/>
          <w:iCs/>
          <w:sz w:val="24"/>
          <w:szCs w:val="24"/>
          <w:lang w:val="ro-MD"/>
        </w:rPr>
        <w:t>a</w:t>
      </w:r>
      <w:r w:rsidRPr="00363CFA">
        <w:rPr>
          <w:rFonts w:asciiTheme="majorHAnsi" w:hAnsiTheme="majorHAnsi" w:cstheme="majorHAnsi"/>
          <w:iCs/>
          <w:sz w:val="24"/>
          <w:szCs w:val="24"/>
          <w:lang w:val="ro-MD"/>
        </w:rPr>
        <w:t>.</w:t>
      </w:r>
      <w:r w:rsidR="000A6ABB" w:rsidRPr="00363CFA">
        <w:rPr>
          <w:rFonts w:asciiTheme="majorHAnsi" w:hAnsiTheme="majorHAnsi" w:cstheme="majorHAnsi"/>
          <w:iCs/>
          <w:sz w:val="24"/>
          <w:szCs w:val="24"/>
          <w:lang w:val="ro-MD"/>
        </w:rPr>
        <w:t xml:space="preserve"> Adunarea Populară a adoptat legea despre lărgirea ariei de utilizare a limbii găgăuze</w:t>
      </w:r>
      <w:r w:rsidR="000A6ABB" w:rsidRPr="00363CFA">
        <w:rPr>
          <w:rStyle w:val="FootnoteReference"/>
          <w:rFonts w:asciiTheme="majorHAnsi" w:hAnsiTheme="majorHAnsi" w:cstheme="majorHAnsi"/>
          <w:iCs/>
          <w:sz w:val="24"/>
          <w:szCs w:val="24"/>
          <w:lang w:val="ro-MD"/>
        </w:rPr>
        <w:footnoteReference w:id="22"/>
      </w:r>
      <w:r w:rsidR="00032A79" w:rsidRPr="00363CFA">
        <w:rPr>
          <w:rFonts w:asciiTheme="majorHAnsi" w:hAnsiTheme="majorHAnsi" w:cstheme="majorHAnsi"/>
          <w:iCs/>
          <w:sz w:val="24"/>
          <w:szCs w:val="24"/>
          <w:lang w:val="ro-MD"/>
        </w:rPr>
        <w:t xml:space="preserve">, prin care s-a creat un fond </w:t>
      </w:r>
      <w:r w:rsidR="00271006" w:rsidRPr="00363CFA">
        <w:rPr>
          <w:rFonts w:asciiTheme="majorHAnsi" w:hAnsiTheme="majorHAnsi" w:cstheme="majorHAnsi"/>
          <w:iCs/>
          <w:sz w:val="24"/>
          <w:szCs w:val="24"/>
          <w:lang w:val="ro-MD"/>
        </w:rPr>
        <w:t xml:space="preserve">privind salvarea limbii găgăuze, în mărime de </w:t>
      </w:r>
      <w:r w:rsidR="00271006" w:rsidRPr="00363CFA">
        <w:rPr>
          <w:rFonts w:asciiTheme="majorHAnsi" w:hAnsiTheme="majorHAnsi" w:cstheme="majorHAnsi"/>
          <w:b/>
          <w:iCs/>
          <w:sz w:val="24"/>
          <w:szCs w:val="24"/>
          <w:lang w:val="ro-MD"/>
        </w:rPr>
        <w:t>nu mai pu</w:t>
      </w:r>
      <w:r w:rsidR="0069374B" w:rsidRPr="00363CFA">
        <w:rPr>
          <w:rFonts w:asciiTheme="majorHAnsi" w:hAnsiTheme="majorHAnsi" w:cstheme="majorHAnsi"/>
          <w:b/>
          <w:iCs/>
          <w:sz w:val="24"/>
          <w:szCs w:val="24"/>
          <w:lang w:val="ro-MD"/>
        </w:rPr>
        <w:t>ț</w:t>
      </w:r>
      <w:r w:rsidR="00271006" w:rsidRPr="00363CFA">
        <w:rPr>
          <w:rFonts w:asciiTheme="majorHAnsi" w:hAnsiTheme="majorHAnsi" w:cstheme="majorHAnsi"/>
          <w:b/>
          <w:iCs/>
          <w:sz w:val="24"/>
          <w:szCs w:val="24"/>
          <w:lang w:val="ro-MD"/>
        </w:rPr>
        <w:t xml:space="preserve">in de 2% </w:t>
      </w:r>
      <w:r w:rsidR="00271006" w:rsidRPr="00363CFA">
        <w:rPr>
          <w:rFonts w:asciiTheme="majorHAnsi" w:hAnsiTheme="majorHAnsi" w:cstheme="majorHAnsi"/>
          <w:iCs/>
          <w:sz w:val="24"/>
          <w:szCs w:val="24"/>
          <w:lang w:val="ro-MD"/>
        </w:rPr>
        <w:t>din suma veniturilor proprii ale bugetului central.</w:t>
      </w:r>
      <w:r w:rsidR="00032A79" w:rsidRPr="00363CFA">
        <w:rPr>
          <w:rFonts w:asciiTheme="majorHAnsi" w:hAnsiTheme="majorHAnsi" w:cstheme="majorHAnsi"/>
          <w:iCs/>
          <w:sz w:val="24"/>
          <w:szCs w:val="24"/>
          <w:lang w:val="ro-MD"/>
        </w:rPr>
        <w:t xml:space="preserve"> Obiectivele acestui program </w:t>
      </w:r>
      <w:r w:rsidRPr="00363CFA">
        <w:rPr>
          <w:rFonts w:asciiTheme="majorHAnsi" w:hAnsiTheme="majorHAnsi" w:cstheme="majorHAnsi"/>
          <w:iCs/>
          <w:sz w:val="24"/>
          <w:szCs w:val="24"/>
          <w:lang w:val="ro-MD"/>
        </w:rPr>
        <w:t>sunt</w:t>
      </w:r>
      <w:r w:rsidR="00906620" w:rsidRPr="00363CFA">
        <w:rPr>
          <w:rFonts w:asciiTheme="majorHAnsi" w:hAnsiTheme="majorHAnsi" w:cstheme="majorHAnsi"/>
          <w:iCs/>
          <w:sz w:val="24"/>
          <w:szCs w:val="24"/>
          <w:lang w:val="ro-MD"/>
        </w:rPr>
        <w:t>:</w:t>
      </w:r>
      <w:r w:rsidR="00032A79" w:rsidRPr="00363CFA">
        <w:rPr>
          <w:rFonts w:asciiTheme="majorHAnsi" w:hAnsiTheme="majorHAnsi" w:cstheme="majorHAnsi"/>
          <w:iCs/>
          <w:sz w:val="24"/>
          <w:szCs w:val="24"/>
          <w:lang w:val="ro-MD"/>
        </w:rPr>
        <w:t xml:space="preserve"> creare</w:t>
      </w:r>
      <w:r w:rsidR="00F1071E">
        <w:rPr>
          <w:rFonts w:asciiTheme="majorHAnsi" w:hAnsiTheme="majorHAnsi" w:cstheme="majorHAnsi"/>
          <w:iCs/>
          <w:sz w:val="24"/>
          <w:szCs w:val="24"/>
          <w:lang w:val="ro-MD"/>
        </w:rPr>
        <w:t>a</w:t>
      </w:r>
      <w:r w:rsidR="00032A79" w:rsidRPr="00363CFA">
        <w:rPr>
          <w:rFonts w:asciiTheme="majorHAnsi" w:hAnsiTheme="majorHAnsi" w:cstheme="majorHAnsi"/>
          <w:iCs/>
          <w:sz w:val="24"/>
          <w:szCs w:val="24"/>
          <w:lang w:val="ro-MD"/>
        </w:rPr>
        <w:t xml:space="preserve"> unei baze normativ-legale</w:t>
      </w:r>
      <w:r w:rsidR="00906620" w:rsidRPr="00363CFA">
        <w:rPr>
          <w:rFonts w:asciiTheme="majorHAnsi" w:hAnsiTheme="majorHAnsi" w:cstheme="majorHAnsi"/>
          <w:iCs/>
          <w:sz w:val="24"/>
          <w:szCs w:val="24"/>
          <w:lang w:val="ro-MD"/>
        </w:rPr>
        <w:t xml:space="preserve"> în limba găgăuză; crearea unui mediu lingvistic</w:t>
      </w:r>
      <w:r w:rsidR="00950B8F" w:rsidRPr="00363CFA">
        <w:rPr>
          <w:rFonts w:asciiTheme="majorHAnsi" w:hAnsiTheme="majorHAnsi" w:cstheme="majorHAnsi"/>
          <w:iCs/>
          <w:sz w:val="24"/>
          <w:szCs w:val="24"/>
          <w:lang w:val="ro-MD"/>
        </w:rPr>
        <w:t xml:space="preserve"> favorabil </w:t>
      </w:r>
      <w:r w:rsidR="0069374B" w:rsidRPr="00363CFA">
        <w:rPr>
          <w:rFonts w:asciiTheme="majorHAnsi" w:hAnsiTheme="majorHAnsi" w:cstheme="majorHAnsi"/>
          <w:iCs/>
          <w:sz w:val="24"/>
          <w:szCs w:val="24"/>
          <w:lang w:val="ro-MD"/>
        </w:rPr>
        <w:t>ș</w:t>
      </w:r>
      <w:r w:rsidR="00950B8F" w:rsidRPr="00363CFA">
        <w:rPr>
          <w:rFonts w:asciiTheme="majorHAnsi" w:hAnsiTheme="majorHAnsi" w:cstheme="majorHAnsi"/>
          <w:iCs/>
          <w:sz w:val="24"/>
          <w:szCs w:val="24"/>
          <w:lang w:val="ro-MD"/>
        </w:rPr>
        <w:t xml:space="preserve">i asigurarea comunicării în </w:t>
      </w:r>
      <w:r w:rsidR="00271006" w:rsidRPr="00363CFA">
        <w:rPr>
          <w:rFonts w:asciiTheme="majorHAnsi" w:hAnsiTheme="majorHAnsi" w:cstheme="majorHAnsi"/>
          <w:iCs/>
          <w:sz w:val="24"/>
          <w:szCs w:val="24"/>
          <w:lang w:val="ro-MD"/>
        </w:rPr>
        <w:t>domeniile vie</w:t>
      </w:r>
      <w:r w:rsidR="0069374B" w:rsidRPr="00363CFA">
        <w:rPr>
          <w:rFonts w:asciiTheme="majorHAnsi" w:hAnsiTheme="majorHAnsi" w:cstheme="majorHAnsi"/>
          <w:iCs/>
          <w:sz w:val="24"/>
          <w:szCs w:val="24"/>
          <w:lang w:val="ro-MD"/>
        </w:rPr>
        <w:t>ț</w:t>
      </w:r>
      <w:r w:rsidR="00271006" w:rsidRPr="00363CFA">
        <w:rPr>
          <w:rFonts w:asciiTheme="majorHAnsi" w:hAnsiTheme="majorHAnsi" w:cstheme="majorHAnsi"/>
          <w:iCs/>
          <w:sz w:val="24"/>
          <w:szCs w:val="24"/>
          <w:lang w:val="ro-MD"/>
        </w:rPr>
        <w:t>ii sociale; îmbunătă</w:t>
      </w:r>
      <w:r w:rsidR="0069374B" w:rsidRPr="00363CFA">
        <w:rPr>
          <w:rFonts w:asciiTheme="majorHAnsi" w:hAnsiTheme="majorHAnsi" w:cstheme="majorHAnsi"/>
          <w:iCs/>
          <w:sz w:val="24"/>
          <w:szCs w:val="24"/>
          <w:lang w:val="ro-MD"/>
        </w:rPr>
        <w:t>ț</w:t>
      </w:r>
      <w:r w:rsidR="00271006" w:rsidRPr="00363CFA">
        <w:rPr>
          <w:rFonts w:asciiTheme="majorHAnsi" w:hAnsiTheme="majorHAnsi" w:cstheme="majorHAnsi"/>
          <w:iCs/>
          <w:sz w:val="24"/>
          <w:szCs w:val="24"/>
          <w:lang w:val="ro-MD"/>
        </w:rPr>
        <w:t xml:space="preserve">irea </w:t>
      </w:r>
      <w:r w:rsidR="0069374B" w:rsidRPr="00363CFA">
        <w:rPr>
          <w:rFonts w:asciiTheme="majorHAnsi" w:hAnsiTheme="majorHAnsi" w:cstheme="majorHAnsi"/>
          <w:iCs/>
          <w:sz w:val="24"/>
          <w:szCs w:val="24"/>
          <w:lang w:val="ro-MD"/>
        </w:rPr>
        <w:t>ș</w:t>
      </w:r>
      <w:r w:rsidR="00271006" w:rsidRPr="00363CFA">
        <w:rPr>
          <w:rFonts w:asciiTheme="majorHAnsi" w:hAnsiTheme="majorHAnsi" w:cstheme="majorHAnsi"/>
          <w:iCs/>
          <w:sz w:val="24"/>
          <w:szCs w:val="24"/>
          <w:lang w:val="ro-MD"/>
        </w:rPr>
        <w:t>i popularizarea vorbirii limbii găgăuze în activitatea autorită</w:t>
      </w:r>
      <w:r w:rsidR="0069374B" w:rsidRPr="00363CFA">
        <w:rPr>
          <w:rFonts w:asciiTheme="majorHAnsi" w:hAnsiTheme="majorHAnsi" w:cstheme="majorHAnsi"/>
          <w:iCs/>
          <w:sz w:val="24"/>
          <w:szCs w:val="24"/>
          <w:lang w:val="ro-MD"/>
        </w:rPr>
        <w:t>ț</w:t>
      </w:r>
      <w:r w:rsidR="00271006" w:rsidRPr="00363CFA">
        <w:rPr>
          <w:rFonts w:asciiTheme="majorHAnsi" w:hAnsiTheme="majorHAnsi" w:cstheme="majorHAnsi"/>
          <w:iCs/>
          <w:sz w:val="24"/>
          <w:szCs w:val="24"/>
          <w:lang w:val="ro-MD"/>
        </w:rPr>
        <w:t>ilor/institu</w:t>
      </w:r>
      <w:r w:rsidR="0069374B" w:rsidRPr="00363CFA">
        <w:rPr>
          <w:rFonts w:asciiTheme="majorHAnsi" w:hAnsiTheme="majorHAnsi" w:cstheme="majorHAnsi"/>
          <w:iCs/>
          <w:sz w:val="24"/>
          <w:szCs w:val="24"/>
          <w:lang w:val="ro-MD"/>
        </w:rPr>
        <w:t>ț</w:t>
      </w:r>
      <w:r w:rsidR="00271006" w:rsidRPr="00363CFA">
        <w:rPr>
          <w:rFonts w:asciiTheme="majorHAnsi" w:hAnsiTheme="majorHAnsi" w:cstheme="majorHAnsi"/>
          <w:iCs/>
          <w:sz w:val="24"/>
          <w:szCs w:val="24"/>
          <w:lang w:val="ro-MD"/>
        </w:rPr>
        <w:t>iilor publice din UTA.</w:t>
      </w:r>
      <w:r w:rsidR="002A3788" w:rsidRPr="00363CFA">
        <w:rPr>
          <w:rFonts w:asciiTheme="majorHAnsi" w:hAnsiTheme="majorHAnsi" w:cstheme="majorHAnsi"/>
          <w:iCs/>
          <w:sz w:val="24"/>
          <w:szCs w:val="24"/>
          <w:lang w:val="ro-MD"/>
        </w:rPr>
        <w:t xml:space="preserve"> </w:t>
      </w:r>
      <w:r w:rsidRPr="00363CFA">
        <w:rPr>
          <w:rFonts w:asciiTheme="majorHAnsi" w:hAnsiTheme="majorHAnsi" w:cstheme="majorHAnsi"/>
          <w:iCs/>
          <w:sz w:val="24"/>
          <w:szCs w:val="24"/>
          <w:lang w:val="ro-MD"/>
        </w:rPr>
        <w:t>Totuși, î</w:t>
      </w:r>
      <w:r w:rsidR="002A3788" w:rsidRPr="00363CFA">
        <w:rPr>
          <w:rFonts w:asciiTheme="majorHAnsi" w:hAnsiTheme="majorHAnsi" w:cstheme="majorHAnsi"/>
          <w:iCs/>
          <w:sz w:val="24"/>
          <w:szCs w:val="24"/>
          <w:lang w:val="ro-MD"/>
        </w:rPr>
        <w:t xml:space="preserve">n perioada </w:t>
      </w:r>
      <w:r w:rsidR="008C003A">
        <w:rPr>
          <w:rFonts w:asciiTheme="majorHAnsi" w:hAnsiTheme="majorHAnsi" w:cstheme="majorHAnsi"/>
          <w:iCs/>
          <w:sz w:val="24"/>
          <w:szCs w:val="24"/>
          <w:lang w:val="ro-MD"/>
        </w:rPr>
        <w:t xml:space="preserve">anilor </w:t>
      </w:r>
      <w:r w:rsidR="002A3788" w:rsidRPr="00363CFA">
        <w:rPr>
          <w:rFonts w:asciiTheme="majorHAnsi" w:hAnsiTheme="majorHAnsi" w:cstheme="majorHAnsi"/>
          <w:iCs/>
          <w:sz w:val="24"/>
          <w:szCs w:val="24"/>
          <w:lang w:val="ro-MD"/>
        </w:rPr>
        <w:t>2019-2020</w:t>
      </w:r>
      <w:r w:rsidR="008C003A">
        <w:rPr>
          <w:rFonts w:asciiTheme="majorHAnsi" w:hAnsiTheme="majorHAnsi" w:cstheme="majorHAnsi"/>
          <w:iCs/>
          <w:sz w:val="24"/>
          <w:szCs w:val="24"/>
          <w:lang w:val="ro-MD"/>
        </w:rPr>
        <w:t>,</w:t>
      </w:r>
      <w:r w:rsidR="002A3788" w:rsidRPr="00363CFA">
        <w:rPr>
          <w:rFonts w:asciiTheme="majorHAnsi" w:hAnsiTheme="majorHAnsi" w:cstheme="majorHAnsi"/>
          <w:iCs/>
          <w:sz w:val="24"/>
          <w:szCs w:val="24"/>
          <w:lang w:val="ro-MD"/>
        </w:rPr>
        <w:t xml:space="preserve"> din acest fond au fost alocate mijloace financiare în sumă totală de </w:t>
      </w:r>
      <w:r w:rsidR="00E13257" w:rsidRPr="00363CFA">
        <w:rPr>
          <w:rFonts w:asciiTheme="majorHAnsi" w:hAnsiTheme="majorHAnsi" w:cstheme="majorHAnsi"/>
          <w:b/>
          <w:iCs/>
          <w:sz w:val="24"/>
          <w:szCs w:val="24"/>
          <w:lang w:val="ro-MD"/>
        </w:rPr>
        <w:t xml:space="preserve">4812,6 </w:t>
      </w:r>
      <w:r w:rsidR="002A3788" w:rsidRPr="00363CFA">
        <w:rPr>
          <w:rFonts w:asciiTheme="majorHAnsi" w:hAnsiTheme="majorHAnsi" w:cstheme="majorHAnsi"/>
          <w:b/>
          <w:iCs/>
          <w:sz w:val="24"/>
          <w:szCs w:val="24"/>
          <w:lang w:val="ro-MD"/>
        </w:rPr>
        <w:t>mii lei</w:t>
      </w:r>
      <w:r w:rsidR="002A3788" w:rsidRPr="008C003A">
        <w:rPr>
          <w:rStyle w:val="FootnoteReference"/>
          <w:rFonts w:asciiTheme="majorHAnsi" w:hAnsiTheme="majorHAnsi" w:cstheme="majorHAnsi"/>
          <w:iCs/>
          <w:sz w:val="24"/>
          <w:szCs w:val="24"/>
          <w:lang w:val="ro-MD"/>
        </w:rPr>
        <w:footnoteReference w:id="23"/>
      </w:r>
      <w:r w:rsidRPr="00A24504">
        <w:rPr>
          <w:rFonts w:asciiTheme="majorHAnsi" w:hAnsiTheme="majorHAnsi" w:cstheme="majorHAnsi"/>
          <w:iCs/>
          <w:sz w:val="24"/>
          <w:szCs w:val="24"/>
          <w:lang w:val="ro-MD"/>
        </w:rPr>
        <w:t>, care</w:t>
      </w:r>
      <w:r w:rsidRPr="00363CFA">
        <w:rPr>
          <w:rFonts w:asciiTheme="majorHAnsi" w:hAnsiTheme="majorHAnsi" w:cstheme="majorHAnsi"/>
          <w:b/>
          <w:iCs/>
          <w:sz w:val="24"/>
          <w:szCs w:val="24"/>
          <w:lang w:val="ro-MD"/>
        </w:rPr>
        <w:t xml:space="preserve"> </w:t>
      </w:r>
      <w:r w:rsidR="008C003A">
        <w:rPr>
          <w:rFonts w:asciiTheme="majorHAnsi" w:hAnsiTheme="majorHAnsi" w:cstheme="majorHAnsi"/>
          <w:iCs/>
          <w:sz w:val="24"/>
          <w:szCs w:val="24"/>
          <w:lang w:val="ro-MD"/>
        </w:rPr>
        <w:t>s-</w:t>
      </w:r>
      <w:r w:rsidR="002A3788" w:rsidRPr="00363CFA">
        <w:rPr>
          <w:rFonts w:asciiTheme="majorHAnsi" w:hAnsiTheme="majorHAnsi" w:cstheme="majorHAnsi"/>
          <w:iCs/>
          <w:sz w:val="24"/>
          <w:szCs w:val="24"/>
          <w:lang w:val="ro-MD"/>
        </w:rPr>
        <w:t xml:space="preserve">au </w:t>
      </w:r>
      <w:r w:rsidR="0096016D" w:rsidRPr="00363CFA">
        <w:rPr>
          <w:rFonts w:asciiTheme="majorHAnsi" w:hAnsiTheme="majorHAnsi" w:cstheme="majorHAnsi"/>
          <w:iCs/>
          <w:sz w:val="24"/>
          <w:szCs w:val="24"/>
          <w:lang w:val="ro-MD"/>
        </w:rPr>
        <w:t>utilizat în scopul majorării salariului angaja</w:t>
      </w:r>
      <w:r w:rsidR="0069374B" w:rsidRPr="00363CFA">
        <w:rPr>
          <w:rFonts w:asciiTheme="majorHAnsi" w:hAnsiTheme="majorHAnsi" w:cstheme="majorHAnsi"/>
          <w:iCs/>
          <w:sz w:val="24"/>
          <w:szCs w:val="24"/>
          <w:lang w:val="ro-MD"/>
        </w:rPr>
        <w:t>ț</w:t>
      </w:r>
      <w:r w:rsidR="0096016D" w:rsidRPr="00363CFA">
        <w:rPr>
          <w:rFonts w:asciiTheme="majorHAnsi" w:hAnsiTheme="majorHAnsi" w:cstheme="majorHAnsi"/>
          <w:iCs/>
          <w:sz w:val="24"/>
          <w:szCs w:val="24"/>
          <w:lang w:val="ro-MD"/>
        </w:rPr>
        <w:t>ilor unei institu</w:t>
      </w:r>
      <w:r w:rsidR="0069374B" w:rsidRPr="00363CFA">
        <w:rPr>
          <w:rFonts w:asciiTheme="majorHAnsi" w:hAnsiTheme="majorHAnsi" w:cstheme="majorHAnsi"/>
          <w:iCs/>
          <w:sz w:val="24"/>
          <w:szCs w:val="24"/>
          <w:lang w:val="ro-MD"/>
        </w:rPr>
        <w:t>ț</w:t>
      </w:r>
      <w:r w:rsidR="0096016D" w:rsidRPr="00363CFA">
        <w:rPr>
          <w:rFonts w:asciiTheme="majorHAnsi" w:hAnsiTheme="majorHAnsi" w:cstheme="majorHAnsi"/>
          <w:iCs/>
          <w:sz w:val="24"/>
          <w:szCs w:val="24"/>
          <w:lang w:val="ro-MD"/>
        </w:rPr>
        <w:t>ii teatrale din UTA Găgăuzia,</w:t>
      </w:r>
      <w:r w:rsidR="0096016D" w:rsidRPr="00363CFA">
        <w:rPr>
          <w:rStyle w:val="FootnoteReference"/>
          <w:rFonts w:asciiTheme="majorHAnsi" w:hAnsiTheme="majorHAnsi" w:cstheme="majorHAnsi"/>
          <w:iCs/>
          <w:sz w:val="24"/>
          <w:szCs w:val="24"/>
          <w:lang w:val="ro-MD"/>
        </w:rPr>
        <w:footnoteReference w:id="24"/>
      </w:r>
      <w:r w:rsidR="0096016D" w:rsidRPr="00363CFA">
        <w:rPr>
          <w:rFonts w:asciiTheme="majorHAnsi" w:hAnsiTheme="majorHAnsi" w:cstheme="majorHAnsi"/>
          <w:iCs/>
          <w:sz w:val="24"/>
          <w:szCs w:val="24"/>
          <w:lang w:val="ro-MD"/>
        </w:rPr>
        <w:t xml:space="preserve"> astfel favoriz</w:t>
      </w:r>
      <w:r w:rsidR="008C003A">
        <w:rPr>
          <w:rFonts w:asciiTheme="majorHAnsi" w:hAnsiTheme="majorHAnsi" w:cstheme="majorHAnsi"/>
          <w:iCs/>
          <w:sz w:val="24"/>
          <w:szCs w:val="24"/>
          <w:lang w:val="ro-MD"/>
        </w:rPr>
        <w:t>â</w:t>
      </w:r>
      <w:r w:rsidR="0096016D" w:rsidRPr="00363CFA">
        <w:rPr>
          <w:rFonts w:asciiTheme="majorHAnsi" w:hAnsiTheme="majorHAnsi" w:cstheme="majorHAnsi"/>
          <w:iCs/>
          <w:sz w:val="24"/>
          <w:szCs w:val="24"/>
          <w:lang w:val="ro-MD"/>
        </w:rPr>
        <w:t>ndu</w:t>
      </w:r>
      <w:r w:rsidRPr="00363CFA">
        <w:rPr>
          <w:rFonts w:asciiTheme="majorHAnsi" w:hAnsiTheme="majorHAnsi" w:cstheme="majorHAnsi"/>
          <w:iCs/>
          <w:sz w:val="24"/>
          <w:szCs w:val="24"/>
          <w:lang w:val="ro-MD"/>
        </w:rPr>
        <w:t>-</w:t>
      </w:r>
      <w:r w:rsidR="0096016D" w:rsidRPr="00363CFA">
        <w:rPr>
          <w:rFonts w:asciiTheme="majorHAnsi" w:hAnsiTheme="majorHAnsi" w:cstheme="majorHAnsi"/>
          <w:iCs/>
          <w:sz w:val="24"/>
          <w:szCs w:val="24"/>
          <w:lang w:val="ro-MD"/>
        </w:rPr>
        <w:t xml:space="preserve">i </w:t>
      </w:r>
      <w:r w:rsidR="008C003A">
        <w:rPr>
          <w:rFonts w:asciiTheme="majorHAnsi" w:hAnsiTheme="majorHAnsi" w:cstheme="majorHAnsi"/>
          <w:iCs/>
          <w:sz w:val="24"/>
          <w:szCs w:val="24"/>
          <w:lang w:val="ro-MD"/>
        </w:rPr>
        <w:t>pe aceștia</w:t>
      </w:r>
      <w:r w:rsidR="003D4BEF">
        <w:rPr>
          <w:rFonts w:asciiTheme="majorHAnsi" w:hAnsiTheme="majorHAnsi" w:cstheme="majorHAnsi"/>
          <w:iCs/>
          <w:sz w:val="24"/>
          <w:szCs w:val="24"/>
          <w:lang w:val="ro-MD"/>
        </w:rPr>
        <w:t>,</w:t>
      </w:r>
      <w:r w:rsidR="008C003A">
        <w:rPr>
          <w:rFonts w:asciiTheme="majorHAnsi" w:hAnsiTheme="majorHAnsi" w:cstheme="majorHAnsi"/>
          <w:iCs/>
          <w:sz w:val="24"/>
          <w:szCs w:val="24"/>
          <w:lang w:val="ro-MD"/>
        </w:rPr>
        <w:t xml:space="preserve"> </w:t>
      </w:r>
      <w:r w:rsidR="0096016D" w:rsidRPr="00363CFA">
        <w:rPr>
          <w:rFonts w:asciiTheme="majorHAnsi" w:hAnsiTheme="majorHAnsi" w:cstheme="majorHAnsi"/>
          <w:iCs/>
          <w:sz w:val="24"/>
          <w:szCs w:val="24"/>
          <w:lang w:val="ro-MD"/>
        </w:rPr>
        <w:t>vis-a-vis de colegii din altă institu</w:t>
      </w:r>
      <w:r w:rsidR="0069374B" w:rsidRPr="00363CFA">
        <w:rPr>
          <w:rFonts w:asciiTheme="majorHAnsi" w:hAnsiTheme="majorHAnsi" w:cstheme="majorHAnsi"/>
          <w:iCs/>
          <w:sz w:val="24"/>
          <w:szCs w:val="24"/>
          <w:lang w:val="ro-MD"/>
        </w:rPr>
        <w:t>ț</w:t>
      </w:r>
      <w:r w:rsidR="0096016D" w:rsidRPr="00363CFA">
        <w:rPr>
          <w:rFonts w:asciiTheme="majorHAnsi" w:hAnsiTheme="majorHAnsi" w:cstheme="majorHAnsi"/>
          <w:iCs/>
          <w:sz w:val="24"/>
          <w:szCs w:val="24"/>
          <w:lang w:val="ro-MD"/>
        </w:rPr>
        <w:t>ie teatrală din UTA Găgăuzia</w:t>
      </w:r>
      <w:r w:rsidR="0096016D" w:rsidRPr="003D4BEF">
        <w:rPr>
          <w:rStyle w:val="FootnoteReference"/>
          <w:rFonts w:asciiTheme="majorHAnsi" w:hAnsiTheme="majorHAnsi" w:cstheme="majorHAnsi"/>
          <w:iCs/>
          <w:sz w:val="24"/>
          <w:szCs w:val="24"/>
          <w:lang w:val="ro-MD"/>
        </w:rPr>
        <w:footnoteReference w:id="25"/>
      </w:r>
      <w:r w:rsidR="0096016D" w:rsidRPr="003D4BEF">
        <w:rPr>
          <w:rFonts w:asciiTheme="majorHAnsi" w:hAnsiTheme="majorHAnsi" w:cstheme="majorHAnsi"/>
          <w:iCs/>
          <w:sz w:val="24"/>
          <w:szCs w:val="24"/>
          <w:lang w:val="ro-MD"/>
        </w:rPr>
        <w:t xml:space="preserve">, </w:t>
      </w:r>
      <w:r w:rsidR="003D4BEF" w:rsidRPr="00A24504">
        <w:rPr>
          <w:rFonts w:asciiTheme="majorHAnsi" w:hAnsiTheme="majorHAnsi" w:cstheme="majorHAnsi"/>
          <w:iCs/>
          <w:sz w:val="24"/>
          <w:szCs w:val="24"/>
          <w:lang w:val="ro-MD"/>
        </w:rPr>
        <w:t>cu</w:t>
      </w:r>
      <w:r w:rsidR="0096016D" w:rsidRPr="003D4BEF">
        <w:rPr>
          <w:rFonts w:asciiTheme="majorHAnsi" w:hAnsiTheme="majorHAnsi" w:cstheme="majorHAnsi"/>
          <w:iCs/>
          <w:sz w:val="24"/>
          <w:szCs w:val="24"/>
          <w:lang w:val="ro-MD"/>
        </w:rPr>
        <w:t xml:space="preserve"> sum</w:t>
      </w:r>
      <w:r w:rsidR="003D4BEF" w:rsidRPr="00A24504">
        <w:rPr>
          <w:rFonts w:asciiTheme="majorHAnsi" w:hAnsiTheme="majorHAnsi" w:cstheme="majorHAnsi"/>
          <w:iCs/>
          <w:sz w:val="24"/>
          <w:szCs w:val="24"/>
          <w:lang w:val="ro-MD"/>
        </w:rPr>
        <w:t>a</w:t>
      </w:r>
      <w:r w:rsidR="0096016D" w:rsidRPr="003D4BEF">
        <w:rPr>
          <w:rFonts w:asciiTheme="majorHAnsi" w:hAnsiTheme="majorHAnsi" w:cstheme="majorHAnsi"/>
          <w:iCs/>
          <w:sz w:val="24"/>
          <w:szCs w:val="24"/>
          <w:lang w:val="ro-MD"/>
        </w:rPr>
        <w:t xml:space="preserve"> de </w:t>
      </w:r>
      <w:r w:rsidR="0096016D" w:rsidRPr="003D4BEF">
        <w:rPr>
          <w:rFonts w:asciiTheme="majorHAnsi" w:hAnsiTheme="majorHAnsi" w:cstheme="majorHAnsi"/>
          <w:b/>
          <w:iCs/>
          <w:sz w:val="24"/>
          <w:szCs w:val="24"/>
          <w:lang w:val="ro-MD"/>
        </w:rPr>
        <w:t>878,6</w:t>
      </w:r>
      <w:r w:rsidR="0096016D" w:rsidRPr="00363CFA">
        <w:rPr>
          <w:rFonts w:asciiTheme="majorHAnsi" w:hAnsiTheme="majorHAnsi" w:cstheme="majorHAnsi"/>
          <w:b/>
          <w:iCs/>
          <w:sz w:val="24"/>
          <w:szCs w:val="24"/>
          <w:lang w:val="ro-MD"/>
        </w:rPr>
        <w:t xml:space="preserve"> mii lei</w:t>
      </w:r>
      <w:r w:rsidR="0096016D" w:rsidRPr="00363CFA">
        <w:rPr>
          <w:rFonts w:asciiTheme="majorHAnsi" w:hAnsiTheme="majorHAnsi" w:cstheme="majorHAnsi"/>
          <w:iCs/>
          <w:sz w:val="24"/>
          <w:szCs w:val="24"/>
          <w:lang w:val="ro-MD"/>
        </w:rPr>
        <w:t>, prin acordarea unui spor la salariu în mărime de 100% din salariu</w:t>
      </w:r>
      <w:r w:rsidR="008C003A">
        <w:rPr>
          <w:rFonts w:asciiTheme="majorHAnsi" w:hAnsiTheme="majorHAnsi" w:cstheme="majorHAnsi"/>
          <w:iCs/>
          <w:sz w:val="24"/>
          <w:szCs w:val="24"/>
          <w:lang w:val="ro-MD"/>
        </w:rPr>
        <w:t>l</w:t>
      </w:r>
      <w:r w:rsidR="0096016D" w:rsidRPr="00363CFA">
        <w:rPr>
          <w:rFonts w:asciiTheme="majorHAnsi" w:hAnsiTheme="majorHAnsi" w:cstheme="majorHAnsi"/>
          <w:iCs/>
          <w:sz w:val="24"/>
          <w:szCs w:val="24"/>
          <w:lang w:val="ro-MD"/>
        </w:rPr>
        <w:t xml:space="preserve"> de func</w:t>
      </w:r>
      <w:r w:rsidR="0069374B" w:rsidRPr="00363CFA">
        <w:rPr>
          <w:rFonts w:asciiTheme="majorHAnsi" w:hAnsiTheme="majorHAnsi" w:cstheme="majorHAnsi"/>
          <w:iCs/>
          <w:sz w:val="24"/>
          <w:szCs w:val="24"/>
          <w:lang w:val="ro-MD"/>
        </w:rPr>
        <w:t>ț</w:t>
      </w:r>
      <w:r w:rsidR="0096016D" w:rsidRPr="00363CFA">
        <w:rPr>
          <w:rFonts w:asciiTheme="majorHAnsi" w:hAnsiTheme="majorHAnsi" w:cstheme="majorHAnsi"/>
          <w:iCs/>
          <w:sz w:val="24"/>
          <w:szCs w:val="24"/>
          <w:lang w:val="ro-MD"/>
        </w:rPr>
        <w:t>ie</w:t>
      </w:r>
      <w:r w:rsidR="0096016D" w:rsidRPr="00363CFA">
        <w:rPr>
          <w:rStyle w:val="FootnoteReference"/>
          <w:rFonts w:asciiTheme="majorHAnsi" w:hAnsiTheme="majorHAnsi" w:cstheme="majorHAnsi"/>
          <w:iCs/>
          <w:sz w:val="24"/>
          <w:szCs w:val="24"/>
          <w:lang w:val="ro-MD"/>
        </w:rPr>
        <w:footnoteReference w:id="26"/>
      </w:r>
      <w:r w:rsidR="0096016D" w:rsidRPr="00363CFA">
        <w:rPr>
          <w:rFonts w:asciiTheme="majorHAnsi" w:hAnsiTheme="majorHAnsi" w:cstheme="majorHAnsi"/>
          <w:iCs/>
          <w:sz w:val="24"/>
          <w:szCs w:val="24"/>
          <w:lang w:val="ro-MD"/>
        </w:rPr>
        <w:t>; procurarea a două unită</w:t>
      </w:r>
      <w:r w:rsidR="0069374B" w:rsidRPr="00363CFA">
        <w:rPr>
          <w:rFonts w:asciiTheme="majorHAnsi" w:hAnsiTheme="majorHAnsi" w:cstheme="majorHAnsi"/>
          <w:iCs/>
          <w:sz w:val="24"/>
          <w:szCs w:val="24"/>
          <w:lang w:val="ro-MD"/>
        </w:rPr>
        <w:t>ț</w:t>
      </w:r>
      <w:r w:rsidR="0096016D" w:rsidRPr="00363CFA">
        <w:rPr>
          <w:rFonts w:asciiTheme="majorHAnsi" w:hAnsiTheme="majorHAnsi" w:cstheme="majorHAnsi"/>
          <w:iCs/>
          <w:sz w:val="24"/>
          <w:szCs w:val="24"/>
          <w:lang w:val="ro-MD"/>
        </w:rPr>
        <w:t xml:space="preserve">i de transport </w:t>
      </w:r>
      <w:r w:rsidR="008E4F00" w:rsidRPr="00363CFA">
        <w:rPr>
          <w:rFonts w:asciiTheme="majorHAnsi" w:hAnsiTheme="majorHAnsi" w:cstheme="majorHAnsi"/>
          <w:iCs/>
          <w:sz w:val="24"/>
          <w:szCs w:val="24"/>
          <w:lang w:val="ro-MD"/>
        </w:rPr>
        <w:t>pentru 2 teatre</w:t>
      </w:r>
      <w:r w:rsidR="008C003A">
        <w:rPr>
          <w:rFonts w:asciiTheme="majorHAnsi" w:hAnsiTheme="majorHAnsi" w:cstheme="majorHAnsi"/>
          <w:iCs/>
          <w:sz w:val="24"/>
          <w:szCs w:val="24"/>
          <w:lang w:val="ro-MD"/>
        </w:rPr>
        <w:t>,</w:t>
      </w:r>
      <w:r w:rsidR="008E4F00" w:rsidRPr="00363CFA">
        <w:rPr>
          <w:rFonts w:asciiTheme="majorHAnsi" w:hAnsiTheme="majorHAnsi" w:cstheme="majorHAnsi"/>
          <w:iCs/>
          <w:sz w:val="24"/>
          <w:szCs w:val="24"/>
          <w:lang w:val="ro-MD"/>
        </w:rPr>
        <w:t xml:space="preserve"> </w:t>
      </w:r>
      <w:r w:rsidR="0096016D" w:rsidRPr="00363CFA">
        <w:rPr>
          <w:rFonts w:asciiTheme="majorHAnsi" w:hAnsiTheme="majorHAnsi" w:cstheme="majorHAnsi"/>
          <w:iCs/>
          <w:sz w:val="24"/>
          <w:szCs w:val="24"/>
          <w:lang w:val="ro-MD"/>
        </w:rPr>
        <w:t xml:space="preserve">în </w:t>
      </w:r>
      <w:r w:rsidR="008C003A">
        <w:rPr>
          <w:rFonts w:asciiTheme="majorHAnsi" w:hAnsiTheme="majorHAnsi" w:cstheme="majorHAnsi"/>
          <w:iCs/>
          <w:sz w:val="24"/>
          <w:szCs w:val="24"/>
          <w:lang w:val="ro-MD"/>
        </w:rPr>
        <w:t>valoare</w:t>
      </w:r>
      <w:r w:rsidR="0096016D" w:rsidRPr="00363CFA">
        <w:rPr>
          <w:rFonts w:asciiTheme="majorHAnsi" w:hAnsiTheme="majorHAnsi" w:cstheme="majorHAnsi"/>
          <w:iCs/>
          <w:sz w:val="24"/>
          <w:szCs w:val="24"/>
          <w:lang w:val="ro-MD"/>
        </w:rPr>
        <w:t xml:space="preserve"> totală de </w:t>
      </w:r>
      <w:r w:rsidR="0096016D" w:rsidRPr="00363CFA">
        <w:rPr>
          <w:rFonts w:asciiTheme="majorHAnsi" w:hAnsiTheme="majorHAnsi" w:cstheme="majorHAnsi"/>
          <w:b/>
          <w:iCs/>
          <w:sz w:val="24"/>
          <w:szCs w:val="24"/>
          <w:lang w:val="ro-MD"/>
        </w:rPr>
        <w:t>2070,0 mii lei</w:t>
      </w:r>
      <w:r w:rsidR="0096016D" w:rsidRPr="00363CFA">
        <w:rPr>
          <w:rFonts w:asciiTheme="majorHAnsi" w:hAnsiTheme="majorHAnsi" w:cstheme="majorHAnsi"/>
          <w:iCs/>
          <w:sz w:val="24"/>
          <w:szCs w:val="24"/>
          <w:lang w:val="ro-MD"/>
        </w:rPr>
        <w:t>, etc. Cele men</w:t>
      </w:r>
      <w:r w:rsidR="0069374B" w:rsidRPr="00363CFA">
        <w:rPr>
          <w:rFonts w:asciiTheme="majorHAnsi" w:hAnsiTheme="majorHAnsi" w:cstheme="majorHAnsi"/>
          <w:iCs/>
          <w:sz w:val="24"/>
          <w:szCs w:val="24"/>
          <w:lang w:val="ro-MD"/>
        </w:rPr>
        <w:t>ț</w:t>
      </w:r>
      <w:r w:rsidR="0096016D" w:rsidRPr="00363CFA">
        <w:rPr>
          <w:rFonts w:asciiTheme="majorHAnsi" w:hAnsiTheme="majorHAnsi" w:cstheme="majorHAnsi"/>
          <w:iCs/>
          <w:sz w:val="24"/>
          <w:szCs w:val="24"/>
          <w:lang w:val="ro-MD"/>
        </w:rPr>
        <w:t xml:space="preserve">ionate denotă faptul că </w:t>
      </w:r>
      <w:r w:rsidR="0096016D" w:rsidRPr="00216968">
        <w:rPr>
          <w:rFonts w:asciiTheme="majorHAnsi" w:hAnsiTheme="majorHAnsi" w:cstheme="majorHAnsi"/>
          <w:iCs/>
          <w:sz w:val="24"/>
          <w:szCs w:val="24"/>
          <w:lang w:val="ro-MD"/>
        </w:rPr>
        <w:t>mijloacele din acest fond nu sunt utilizate pentru ob</w:t>
      </w:r>
      <w:r w:rsidR="0069374B" w:rsidRPr="00216968">
        <w:rPr>
          <w:rFonts w:asciiTheme="majorHAnsi" w:hAnsiTheme="majorHAnsi" w:cstheme="majorHAnsi"/>
          <w:iCs/>
          <w:sz w:val="24"/>
          <w:szCs w:val="24"/>
          <w:lang w:val="ro-MD"/>
        </w:rPr>
        <w:t>ț</w:t>
      </w:r>
      <w:r w:rsidR="0096016D" w:rsidRPr="00216968">
        <w:rPr>
          <w:rFonts w:asciiTheme="majorHAnsi" w:hAnsiTheme="majorHAnsi" w:cstheme="majorHAnsi"/>
          <w:iCs/>
          <w:sz w:val="24"/>
          <w:szCs w:val="24"/>
          <w:lang w:val="ro-MD"/>
        </w:rPr>
        <w:t xml:space="preserve">inerea obiectivelor stabilite prin </w:t>
      </w:r>
      <w:r w:rsidR="008C003A" w:rsidRPr="00216968">
        <w:rPr>
          <w:rFonts w:asciiTheme="majorHAnsi" w:hAnsiTheme="majorHAnsi" w:cstheme="majorHAnsi"/>
          <w:iCs/>
          <w:sz w:val="24"/>
          <w:szCs w:val="24"/>
          <w:lang w:val="ro-MD"/>
        </w:rPr>
        <w:t>l</w:t>
      </w:r>
      <w:r w:rsidR="002335B8" w:rsidRPr="00216968">
        <w:rPr>
          <w:rFonts w:asciiTheme="majorHAnsi" w:hAnsiTheme="majorHAnsi" w:cstheme="majorHAnsi"/>
          <w:iCs/>
          <w:sz w:val="24"/>
          <w:szCs w:val="24"/>
          <w:lang w:val="ro-MD"/>
        </w:rPr>
        <w:t>ege, nefiind asigur</w:t>
      </w:r>
      <w:r w:rsidR="008C4D17" w:rsidRPr="00216968">
        <w:rPr>
          <w:rFonts w:asciiTheme="majorHAnsi" w:hAnsiTheme="majorHAnsi" w:cstheme="majorHAnsi"/>
          <w:iCs/>
          <w:sz w:val="24"/>
          <w:szCs w:val="24"/>
          <w:lang w:val="ro-MD"/>
        </w:rPr>
        <w:t xml:space="preserve">ate careva măsuri </w:t>
      </w:r>
      <w:r w:rsidR="008C003A" w:rsidRPr="00216968">
        <w:rPr>
          <w:rFonts w:asciiTheme="majorHAnsi" w:hAnsiTheme="majorHAnsi" w:cstheme="majorHAnsi"/>
          <w:iCs/>
          <w:sz w:val="24"/>
          <w:szCs w:val="24"/>
          <w:lang w:val="ro-MD"/>
        </w:rPr>
        <w:t>pe</w:t>
      </w:r>
      <w:r w:rsidR="008C4D17" w:rsidRPr="00216968">
        <w:rPr>
          <w:rFonts w:asciiTheme="majorHAnsi" w:hAnsiTheme="majorHAnsi" w:cstheme="majorHAnsi"/>
          <w:iCs/>
          <w:sz w:val="24"/>
          <w:szCs w:val="24"/>
          <w:lang w:val="ro-MD"/>
        </w:rPr>
        <w:t>ntru crearea</w:t>
      </w:r>
      <w:r w:rsidR="0096016D" w:rsidRPr="00216968">
        <w:rPr>
          <w:rFonts w:asciiTheme="majorHAnsi" w:hAnsiTheme="majorHAnsi" w:cstheme="majorHAnsi"/>
          <w:iCs/>
          <w:sz w:val="24"/>
          <w:szCs w:val="24"/>
          <w:lang w:val="ro-MD"/>
        </w:rPr>
        <w:t xml:space="preserve"> </w:t>
      </w:r>
      <w:r w:rsidR="002335B8" w:rsidRPr="00216968">
        <w:rPr>
          <w:rFonts w:asciiTheme="majorHAnsi" w:hAnsiTheme="majorHAnsi" w:cstheme="majorHAnsi"/>
          <w:iCs/>
          <w:sz w:val="24"/>
          <w:szCs w:val="24"/>
          <w:lang w:val="ro-MD"/>
        </w:rPr>
        <w:t>bazei normativ-legale în limba găgăuză, popularizarea vorbirii limbii găgăuze în institu</w:t>
      </w:r>
      <w:r w:rsidR="0069374B" w:rsidRPr="00216968">
        <w:rPr>
          <w:rFonts w:asciiTheme="majorHAnsi" w:hAnsiTheme="majorHAnsi" w:cstheme="majorHAnsi"/>
          <w:iCs/>
          <w:sz w:val="24"/>
          <w:szCs w:val="24"/>
          <w:lang w:val="ro-MD"/>
        </w:rPr>
        <w:t>ț</w:t>
      </w:r>
      <w:r w:rsidR="002335B8" w:rsidRPr="00216968">
        <w:rPr>
          <w:rFonts w:asciiTheme="majorHAnsi" w:hAnsiTheme="majorHAnsi" w:cstheme="majorHAnsi"/>
          <w:iCs/>
          <w:sz w:val="24"/>
          <w:szCs w:val="24"/>
          <w:lang w:val="ro-MD"/>
        </w:rPr>
        <w:t>iile/autorită</w:t>
      </w:r>
      <w:r w:rsidR="0069374B" w:rsidRPr="00216968">
        <w:rPr>
          <w:rFonts w:asciiTheme="majorHAnsi" w:hAnsiTheme="majorHAnsi" w:cstheme="majorHAnsi"/>
          <w:iCs/>
          <w:sz w:val="24"/>
          <w:szCs w:val="24"/>
          <w:lang w:val="ro-MD"/>
        </w:rPr>
        <w:t>ț</w:t>
      </w:r>
      <w:r w:rsidR="002335B8" w:rsidRPr="00216968">
        <w:rPr>
          <w:rFonts w:asciiTheme="majorHAnsi" w:hAnsiTheme="majorHAnsi" w:cstheme="majorHAnsi"/>
          <w:iCs/>
          <w:sz w:val="24"/>
          <w:szCs w:val="24"/>
          <w:lang w:val="ro-MD"/>
        </w:rPr>
        <w:t>ile publice etc.</w:t>
      </w:r>
      <w:r w:rsidR="0096016D" w:rsidRPr="00363CFA">
        <w:rPr>
          <w:rFonts w:asciiTheme="majorHAnsi" w:hAnsiTheme="majorHAnsi" w:cstheme="majorHAnsi"/>
          <w:iCs/>
          <w:sz w:val="24"/>
          <w:szCs w:val="24"/>
          <w:lang w:val="ro-MD"/>
        </w:rPr>
        <w:t xml:space="preserve">  </w:t>
      </w:r>
      <w:r w:rsidR="00950B8F" w:rsidRPr="00363CFA">
        <w:rPr>
          <w:rFonts w:asciiTheme="majorHAnsi" w:hAnsiTheme="majorHAnsi" w:cstheme="majorHAnsi"/>
          <w:iCs/>
          <w:sz w:val="24"/>
          <w:szCs w:val="24"/>
          <w:lang w:val="ro-MD"/>
        </w:rPr>
        <w:t xml:space="preserve"> </w:t>
      </w:r>
    </w:p>
    <w:p w14:paraId="617DDB99" w14:textId="119426C6" w:rsidR="0004504C" w:rsidRPr="005D2EDD" w:rsidRDefault="008549F5" w:rsidP="005D2EDD">
      <w:pPr>
        <w:pStyle w:val="ListParagraph"/>
        <w:numPr>
          <w:ilvl w:val="0"/>
          <w:numId w:val="21"/>
        </w:numPr>
        <w:spacing w:after="0"/>
        <w:ind w:left="0" w:firstLine="0"/>
        <w:jc w:val="both"/>
        <w:rPr>
          <w:rFonts w:asciiTheme="majorHAnsi" w:hAnsiTheme="majorHAnsi" w:cstheme="majorHAnsi"/>
          <w:b/>
          <w:sz w:val="24"/>
          <w:szCs w:val="24"/>
          <w:lang w:val="ro-MD"/>
        </w:rPr>
      </w:pPr>
      <w:r w:rsidRPr="00216968">
        <w:rPr>
          <w:rFonts w:asciiTheme="majorHAnsi" w:hAnsiTheme="majorHAnsi" w:cstheme="majorHAnsi"/>
          <w:b/>
          <w:sz w:val="24"/>
          <w:szCs w:val="24"/>
          <w:lang w:val="ro-MD"/>
        </w:rPr>
        <w:t>Comitetul Executiv subven</w:t>
      </w:r>
      <w:r w:rsidR="0069374B" w:rsidRPr="00216968">
        <w:rPr>
          <w:rFonts w:asciiTheme="majorHAnsi" w:hAnsiTheme="majorHAnsi" w:cstheme="majorHAnsi"/>
          <w:b/>
          <w:sz w:val="24"/>
          <w:szCs w:val="24"/>
          <w:lang w:val="ro-MD"/>
        </w:rPr>
        <w:t>ț</w:t>
      </w:r>
      <w:r w:rsidRPr="00216968">
        <w:rPr>
          <w:rFonts w:asciiTheme="majorHAnsi" w:hAnsiTheme="majorHAnsi" w:cstheme="majorHAnsi"/>
          <w:b/>
          <w:sz w:val="24"/>
          <w:szCs w:val="24"/>
          <w:lang w:val="ro-MD"/>
        </w:rPr>
        <w:t>ionează agen</w:t>
      </w:r>
      <w:r w:rsidR="0069374B" w:rsidRPr="00216968">
        <w:rPr>
          <w:rFonts w:asciiTheme="majorHAnsi" w:hAnsiTheme="majorHAnsi" w:cstheme="majorHAnsi"/>
          <w:b/>
          <w:sz w:val="24"/>
          <w:szCs w:val="24"/>
          <w:lang w:val="ro-MD"/>
        </w:rPr>
        <w:t>ț</w:t>
      </w:r>
      <w:r w:rsidRPr="00216968">
        <w:rPr>
          <w:rFonts w:asciiTheme="majorHAnsi" w:hAnsiTheme="majorHAnsi" w:cstheme="majorHAnsi"/>
          <w:b/>
          <w:sz w:val="24"/>
          <w:szCs w:val="24"/>
          <w:lang w:val="ro-MD"/>
        </w:rPr>
        <w:t xml:space="preserve">ii economici fără a </w:t>
      </w:r>
      <w:r w:rsidR="0069374B" w:rsidRPr="00216968">
        <w:rPr>
          <w:rFonts w:asciiTheme="majorHAnsi" w:hAnsiTheme="majorHAnsi" w:cstheme="majorHAnsi"/>
          <w:b/>
          <w:sz w:val="24"/>
          <w:szCs w:val="24"/>
          <w:lang w:val="ro-MD"/>
        </w:rPr>
        <w:t>ț</w:t>
      </w:r>
      <w:r w:rsidRPr="00216968">
        <w:rPr>
          <w:rFonts w:asciiTheme="majorHAnsi" w:hAnsiTheme="majorHAnsi" w:cstheme="majorHAnsi"/>
          <w:b/>
          <w:sz w:val="24"/>
          <w:szCs w:val="24"/>
          <w:lang w:val="ro-MD"/>
        </w:rPr>
        <w:t>ine cont de prevederile cadrului normativ în vigoare.</w:t>
      </w:r>
      <w:r w:rsidR="00F713B0" w:rsidRPr="00216968">
        <w:rPr>
          <w:rFonts w:asciiTheme="majorHAnsi" w:hAnsiTheme="majorHAnsi" w:cstheme="majorHAnsi"/>
          <w:b/>
          <w:sz w:val="24"/>
          <w:szCs w:val="24"/>
          <w:lang w:val="ro-MD"/>
        </w:rPr>
        <w:t xml:space="preserve"> </w:t>
      </w:r>
      <w:r w:rsidR="0004504C" w:rsidRPr="00216968">
        <w:rPr>
          <w:rFonts w:asciiTheme="majorHAnsi" w:hAnsiTheme="majorHAnsi" w:cstheme="majorHAnsi"/>
          <w:sz w:val="24"/>
          <w:szCs w:val="24"/>
          <w:lang w:val="ro-MD"/>
        </w:rPr>
        <w:t xml:space="preserve">Potrivit prevederilor art.1 alin.(1) din Legea nr. 246 din 23.11.2017 </w:t>
      </w:r>
      <w:r w:rsidR="008630FE" w:rsidRPr="00216968">
        <w:rPr>
          <w:rFonts w:asciiTheme="majorHAnsi" w:hAnsiTheme="majorHAnsi" w:cstheme="majorHAnsi"/>
          <w:sz w:val="24"/>
          <w:szCs w:val="24"/>
          <w:lang w:val="ro-MD"/>
        </w:rPr>
        <w:t>c</w:t>
      </w:r>
      <w:r w:rsidR="0004504C" w:rsidRPr="00216968">
        <w:rPr>
          <w:rFonts w:asciiTheme="majorHAnsi" w:hAnsiTheme="majorHAnsi" w:cstheme="majorHAnsi"/>
          <w:sz w:val="24"/>
          <w:szCs w:val="24"/>
          <w:lang w:val="ro-MD"/>
        </w:rPr>
        <w:t xml:space="preserve">u privire la întreprinderea de stat </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i întreprinderea municipală</w:t>
      </w:r>
      <w:r w:rsidR="008630FE" w:rsidRPr="00216968">
        <w:rPr>
          <w:rFonts w:asciiTheme="majorHAnsi" w:hAnsiTheme="majorHAnsi" w:cstheme="majorHAnsi"/>
          <w:sz w:val="24"/>
          <w:szCs w:val="24"/>
          <w:lang w:val="ro-MD"/>
        </w:rPr>
        <w:t>,</w:t>
      </w:r>
      <w:r w:rsidR="0004504C" w:rsidRPr="00216968">
        <w:rPr>
          <w:rFonts w:asciiTheme="majorHAnsi" w:hAnsiTheme="majorHAnsi" w:cstheme="majorHAnsi"/>
          <w:sz w:val="24"/>
          <w:szCs w:val="24"/>
          <w:lang w:val="ro-MD"/>
        </w:rPr>
        <w:t xml:space="preserve"> întreprinderea de stat este </w:t>
      </w:r>
      <w:r w:rsidR="0004504C" w:rsidRPr="00216968">
        <w:rPr>
          <w:rFonts w:asciiTheme="majorHAnsi" w:hAnsiTheme="majorHAnsi" w:cstheme="majorHAnsi"/>
          <w:sz w:val="24"/>
          <w:szCs w:val="24"/>
          <w:lang w:val="ro-MD"/>
        </w:rPr>
        <w:lastRenderedPageBreak/>
        <w:t>persoana juridică care desfă</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 xml:space="preserve">oară activitate de întreprinzător în baza bunurilor proprietate de stat transmise ei în administrare </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 xml:space="preserve">i/sau ca aport în capitalul social </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i în baza proprietă</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ii ob</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inute de aceasta în rezultatul activită</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 xml:space="preserve">ii economico-financiare. </w:t>
      </w:r>
      <w:r w:rsidR="008630FE" w:rsidRPr="00216968">
        <w:rPr>
          <w:rFonts w:asciiTheme="majorHAnsi" w:hAnsiTheme="majorHAnsi" w:cstheme="majorHAnsi"/>
          <w:sz w:val="24"/>
          <w:szCs w:val="24"/>
          <w:lang w:val="ro-MD"/>
        </w:rPr>
        <w:t>Însă,</w:t>
      </w:r>
      <w:r w:rsidR="0004504C" w:rsidRPr="00216968">
        <w:rPr>
          <w:rFonts w:asciiTheme="majorHAnsi" w:hAnsiTheme="majorHAnsi" w:cstheme="majorHAnsi"/>
          <w:sz w:val="24"/>
          <w:szCs w:val="24"/>
          <w:lang w:val="ro-MD"/>
        </w:rPr>
        <w:t xml:space="preserve"> potrivit prevederilor Ordinului </w:t>
      </w:r>
      <w:r w:rsidR="008630FE" w:rsidRPr="00216968">
        <w:rPr>
          <w:rFonts w:asciiTheme="majorHAnsi" w:hAnsiTheme="majorHAnsi" w:cstheme="majorHAnsi"/>
          <w:sz w:val="24"/>
          <w:szCs w:val="24"/>
          <w:lang w:val="ro-MD"/>
        </w:rPr>
        <w:t xml:space="preserve">ministrului finanțelor </w:t>
      </w:r>
      <w:r w:rsidR="0004504C" w:rsidRPr="00216968">
        <w:rPr>
          <w:rFonts w:asciiTheme="majorHAnsi" w:hAnsiTheme="majorHAnsi" w:cstheme="majorHAnsi"/>
          <w:sz w:val="24"/>
          <w:szCs w:val="24"/>
          <w:lang w:val="ro-MD"/>
        </w:rPr>
        <w:t>nr.216/2015</w:t>
      </w:r>
      <w:r w:rsidR="008630FE" w:rsidRPr="00216968">
        <w:rPr>
          <w:rFonts w:asciiTheme="majorHAnsi" w:hAnsiTheme="majorHAnsi" w:cstheme="majorHAnsi"/>
          <w:sz w:val="24"/>
          <w:szCs w:val="24"/>
          <w:lang w:val="ro-MD"/>
        </w:rPr>
        <w:t>,</w:t>
      </w:r>
      <w:r w:rsidR="0004504C" w:rsidRPr="00216968">
        <w:rPr>
          <w:rFonts w:asciiTheme="majorHAnsi" w:hAnsiTheme="majorHAnsi" w:cstheme="majorHAnsi"/>
          <w:sz w:val="24"/>
          <w:szCs w:val="24"/>
          <w:lang w:val="ro-MD"/>
        </w:rPr>
        <w:t xml:space="preserve"> subven</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iile se achit</w:t>
      </w:r>
      <w:r w:rsidR="008630FE" w:rsidRPr="00216968">
        <w:rPr>
          <w:rFonts w:asciiTheme="majorHAnsi" w:hAnsiTheme="majorHAnsi" w:cstheme="majorHAnsi"/>
          <w:sz w:val="24"/>
          <w:szCs w:val="24"/>
          <w:lang w:val="ro-MD"/>
        </w:rPr>
        <w:t>ă</w:t>
      </w:r>
      <w:r w:rsidR="0004504C" w:rsidRPr="00216968">
        <w:rPr>
          <w:rFonts w:asciiTheme="majorHAnsi" w:hAnsiTheme="majorHAnsi" w:cstheme="majorHAnsi"/>
          <w:sz w:val="24"/>
          <w:szCs w:val="24"/>
          <w:lang w:val="ro-MD"/>
        </w:rPr>
        <w:t xml:space="preserve"> entită</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ilor producătoare sau prestatoare de servicii, cu scopul de a influen</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a procesul de producere sau pre</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urile de livrare. Subven</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iile includ transferurile pentru compensarea pierderilor suportate în procesul de produc</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ie sau prestare a serviciilor</w:t>
      </w:r>
      <w:r w:rsidR="008630FE" w:rsidRPr="00216968">
        <w:rPr>
          <w:rFonts w:asciiTheme="majorHAnsi" w:hAnsiTheme="majorHAnsi" w:cstheme="majorHAnsi"/>
          <w:sz w:val="24"/>
          <w:szCs w:val="24"/>
          <w:lang w:val="ro-MD"/>
        </w:rPr>
        <w:t>,</w:t>
      </w:r>
      <w:r w:rsidR="0004504C" w:rsidRPr="00216968">
        <w:rPr>
          <w:rFonts w:asciiTheme="majorHAnsi" w:hAnsiTheme="majorHAnsi" w:cstheme="majorHAnsi"/>
          <w:sz w:val="24"/>
          <w:szCs w:val="24"/>
          <w:lang w:val="ro-MD"/>
        </w:rPr>
        <w:t xml:space="preserve"> ca rezultat al men</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inerii pre</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 xml:space="preserve">urilor la un nivel mai jos de costuri atunci când politicile economice </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i sociale au fost stabilite de stat, pentru compensarea par</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ială a contribu</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 xml:space="preserve">iilor de asigurări sociale de stat obligatorii, pentru procurarea utilajului </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i materiei prime, pentru compensarea diferen</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ei de pre</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 xml:space="preserve"> sau tarif la servicii</w:t>
      </w:r>
      <w:r w:rsidR="008630FE" w:rsidRPr="00216968">
        <w:rPr>
          <w:rFonts w:asciiTheme="majorHAnsi" w:hAnsiTheme="majorHAnsi" w:cstheme="majorHAnsi"/>
          <w:sz w:val="24"/>
          <w:szCs w:val="24"/>
          <w:lang w:val="ro-MD"/>
        </w:rPr>
        <w:t>le</w:t>
      </w:r>
      <w:r w:rsidR="0004504C" w:rsidRPr="00216968">
        <w:rPr>
          <w:rFonts w:asciiTheme="majorHAnsi" w:hAnsiTheme="majorHAnsi" w:cstheme="majorHAnsi"/>
          <w:sz w:val="24"/>
          <w:szCs w:val="24"/>
          <w:lang w:val="ro-MD"/>
        </w:rPr>
        <w:t xml:space="preserve"> producătorilor sau prestatorilor de servicii, efectuată în folosul tuturor cetă</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enilor.</w:t>
      </w:r>
      <w:r w:rsidRPr="00216968">
        <w:rPr>
          <w:rFonts w:asciiTheme="majorHAnsi" w:hAnsiTheme="majorHAnsi" w:cstheme="majorHAnsi"/>
          <w:sz w:val="24"/>
          <w:szCs w:val="24"/>
          <w:lang w:val="ro-MD"/>
        </w:rPr>
        <w:t xml:space="preserve"> </w:t>
      </w:r>
      <w:r w:rsidR="0004504C" w:rsidRPr="00216968">
        <w:rPr>
          <w:rFonts w:asciiTheme="majorHAnsi" w:hAnsiTheme="majorHAnsi" w:cstheme="majorHAnsi"/>
          <w:sz w:val="24"/>
          <w:szCs w:val="24"/>
          <w:lang w:val="ro-MD"/>
        </w:rPr>
        <w:t>În UTA Găgăuzia î</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i desfă</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oară activitatea Î</w:t>
      </w:r>
      <w:r w:rsidR="008630FE" w:rsidRPr="00216968">
        <w:rPr>
          <w:rFonts w:asciiTheme="majorHAnsi" w:hAnsiTheme="majorHAnsi" w:cstheme="majorHAnsi"/>
          <w:sz w:val="24"/>
          <w:szCs w:val="24"/>
          <w:lang w:val="ro-MD"/>
        </w:rPr>
        <w:t>.</w:t>
      </w:r>
      <w:r w:rsidR="0004504C" w:rsidRPr="00216968">
        <w:rPr>
          <w:rFonts w:asciiTheme="majorHAnsi" w:hAnsiTheme="majorHAnsi" w:cstheme="majorHAnsi"/>
          <w:sz w:val="24"/>
          <w:szCs w:val="24"/>
          <w:lang w:val="ro-MD"/>
        </w:rPr>
        <w:t>S</w:t>
      </w:r>
      <w:r w:rsidR="008630FE" w:rsidRPr="00216968">
        <w:rPr>
          <w:rFonts w:asciiTheme="majorHAnsi" w:hAnsiTheme="majorHAnsi" w:cstheme="majorHAnsi"/>
          <w:sz w:val="24"/>
          <w:szCs w:val="24"/>
          <w:lang w:val="ro-MD"/>
        </w:rPr>
        <w:t>.</w:t>
      </w:r>
      <w:r w:rsidR="0004504C" w:rsidRPr="00216968">
        <w:rPr>
          <w:rFonts w:asciiTheme="majorHAnsi" w:hAnsiTheme="majorHAnsi" w:cstheme="majorHAnsi"/>
          <w:sz w:val="24"/>
          <w:szCs w:val="24"/>
          <w:lang w:val="ro-MD"/>
        </w:rPr>
        <w:t xml:space="preserve"> Ferm</w:t>
      </w:r>
      <w:r w:rsidR="008630FE" w:rsidRPr="00216968">
        <w:rPr>
          <w:rFonts w:asciiTheme="majorHAnsi" w:hAnsiTheme="majorHAnsi" w:cstheme="majorHAnsi"/>
          <w:sz w:val="24"/>
          <w:szCs w:val="24"/>
          <w:lang w:val="ro-MD"/>
        </w:rPr>
        <w:t>a</w:t>
      </w:r>
      <w:r w:rsidR="0004504C" w:rsidRPr="00216968">
        <w:rPr>
          <w:rFonts w:asciiTheme="majorHAnsi" w:hAnsiTheme="majorHAnsi" w:cstheme="majorHAnsi"/>
          <w:sz w:val="24"/>
          <w:szCs w:val="24"/>
          <w:lang w:val="ro-MD"/>
        </w:rPr>
        <w:t xml:space="preserve"> de cre</w:t>
      </w:r>
      <w:r w:rsidR="0069374B" w:rsidRPr="00216968">
        <w:rPr>
          <w:rFonts w:asciiTheme="majorHAnsi" w:hAnsiTheme="majorHAnsi" w:cstheme="majorHAnsi"/>
          <w:sz w:val="24"/>
          <w:szCs w:val="24"/>
          <w:lang w:val="ro-MD"/>
        </w:rPr>
        <w:t>ș</w:t>
      </w:r>
      <w:r w:rsidR="0004504C" w:rsidRPr="00216968">
        <w:rPr>
          <w:rFonts w:asciiTheme="majorHAnsi" w:hAnsiTheme="majorHAnsi" w:cstheme="majorHAnsi"/>
          <w:sz w:val="24"/>
          <w:szCs w:val="24"/>
          <w:lang w:val="ro-MD"/>
        </w:rPr>
        <w:t xml:space="preserve">tere a cailor de rasă „AT-Prolin”, </w:t>
      </w:r>
      <w:r w:rsidR="008630FE" w:rsidRPr="00216968">
        <w:rPr>
          <w:rFonts w:asciiTheme="majorHAnsi" w:hAnsiTheme="majorHAnsi" w:cstheme="majorHAnsi"/>
          <w:sz w:val="24"/>
          <w:szCs w:val="24"/>
          <w:lang w:val="ro-MD"/>
        </w:rPr>
        <w:t xml:space="preserve">al cărei </w:t>
      </w:r>
      <w:r w:rsidR="0004504C" w:rsidRPr="00216968">
        <w:rPr>
          <w:rFonts w:asciiTheme="majorHAnsi" w:hAnsiTheme="majorHAnsi" w:cstheme="majorHAnsi"/>
          <w:sz w:val="24"/>
          <w:szCs w:val="24"/>
          <w:lang w:val="ro-MD"/>
        </w:rPr>
        <w:t>fondator este Direc</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ia Generală Complexul Agroindustrial. Probele de audit denotă că aceasta, în perioada auditată, este între</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inută totalmente din mijloace bugetare, alocate sub formă de subven</w:t>
      </w:r>
      <w:r w:rsidR="0069374B" w:rsidRPr="00216968">
        <w:rPr>
          <w:rFonts w:asciiTheme="majorHAnsi" w:hAnsiTheme="majorHAnsi" w:cstheme="majorHAnsi"/>
          <w:sz w:val="24"/>
          <w:szCs w:val="24"/>
          <w:lang w:val="ro-MD"/>
        </w:rPr>
        <w:t>ț</w:t>
      </w:r>
      <w:r w:rsidR="0004504C" w:rsidRPr="00216968">
        <w:rPr>
          <w:rFonts w:asciiTheme="majorHAnsi" w:hAnsiTheme="majorHAnsi" w:cstheme="majorHAnsi"/>
          <w:sz w:val="24"/>
          <w:szCs w:val="24"/>
          <w:lang w:val="ro-MD"/>
        </w:rPr>
        <w:t>ii de la bugetul central al Găgăuziei</w:t>
      </w:r>
      <w:r w:rsidRPr="00216968">
        <w:rPr>
          <w:rFonts w:asciiTheme="majorHAnsi" w:hAnsiTheme="majorHAnsi" w:cstheme="majorHAnsi"/>
          <w:sz w:val="24"/>
          <w:szCs w:val="24"/>
          <w:lang w:val="ro-MD"/>
        </w:rPr>
        <w:t xml:space="preserve">, care însumează </w:t>
      </w:r>
      <w:r w:rsidR="00C13AD0" w:rsidRPr="00216968">
        <w:rPr>
          <w:rFonts w:asciiTheme="majorHAnsi" w:hAnsiTheme="majorHAnsi" w:cstheme="majorHAnsi"/>
          <w:b/>
          <w:sz w:val="24"/>
          <w:szCs w:val="24"/>
          <w:lang w:val="ro-MD"/>
        </w:rPr>
        <w:t xml:space="preserve">3294,8 </w:t>
      </w:r>
      <w:r w:rsidRPr="00216968">
        <w:rPr>
          <w:rFonts w:asciiTheme="majorHAnsi" w:hAnsiTheme="majorHAnsi" w:cstheme="majorHAnsi"/>
          <w:b/>
          <w:sz w:val="24"/>
          <w:szCs w:val="24"/>
          <w:lang w:val="ro-MD"/>
        </w:rPr>
        <w:t>mii lei</w:t>
      </w:r>
      <w:r w:rsidRPr="00D13A21">
        <w:rPr>
          <w:rStyle w:val="FootnoteReference"/>
          <w:rFonts w:asciiTheme="majorHAnsi" w:eastAsia="Times New Roman" w:hAnsiTheme="majorHAnsi" w:cstheme="majorHAnsi"/>
          <w:sz w:val="24"/>
          <w:szCs w:val="24"/>
          <w:lang w:val="ro-MD"/>
        </w:rPr>
        <w:footnoteReference w:id="27"/>
      </w:r>
      <w:r w:rsidRPr="00216968">
        <w:rPr>
          <w:rFonts w:asciiTheme="majorHAnsi" w:hAnsiTheme="majorHAnsi" w:cstheme="majorHAnsi"/>
          <w:sz w:val="24"/>
          <w:szCs w:val="24"/>
          <w:lang w:val="ro-MD"/>
        </w:rPr>
        <w:t>.</w:t>
      </w:r>
      <w:r w:rsidR="0004504C" w:rsidRPr="00216968">
        <w:rPr>
          <w:rFonts w:asciiTheme="majorHAnsi" w:hAnsiTheme="majorHAnsi" w:cstheme="majorHAnsi"/>
          <w:sz w:val="24"/>
          <w:szCs w:val="24"/>
          <w:lang w:val="ro-MD"/>
        </w:rPr>
        <w:t xml:space="preserve"> </w:t>
      </w:r>
    </w:p>
    <w:p w14:paraId="345E7448" w14:textId="77777777" w:rsidR="00CD41D2" w:rsidRPr="00363CFA" w:rsidRDefault="00CD41D2" w:rsidP="00712FF7">
      <w:pPr>
        <w:tabs>
          <w:tab w:val="left" w:pos="0"/>
          <w:tab w:val="left" w:pos="709"/>
        </w:tabs>
        <w:spacing w:after="0" w:line="276" w:lineRule="auto"/>
        <w:jc w:val="both"/>
        <w:rPr>
          <w:rFonts w:asciiTheme="majorHAnsi" w:eastAsia="Calibri" w:hAnsiTheme="majorHAnsi" w:cstheme="majorHAnsi"/>
          <w:b/>
          <w:bCs/>
          <w:i/>
          <w:sz w:val="24"/>
          <w:szCs w:val="24"/>
          <w:lang w:val="ro-MD" w:eastAsia="lv-LV"/>
        </w:rPr>
      </w:pPr>
      <w:r w:rsidRPr="00363CFA">
        <w:rPr>
          <w:rFonts w:asciiTheme="majorHAnsi" w:eastAsia="Calibri" w:hAnsiTheme="majorHAnsi" w:cstheme="majorHAnsi"/>
          <w:b/>
          <w:bCs/>
          <w:sz w:val="24"/>
          <w:szCs w:val="24"/>
          <w:lang w:val="ro-MD" w:eastAsia="lv-LV"/>
        </w:rPr>
        <w:t>4.2.2. Managementul achizi</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iilor publice din cadrul entită</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 xml:space="preserve">ilor auditate, aferent procesului de </w:t>
      </w:r>
      <w:r w:rsidRPr="00363CFA">
        <w:rPr>
          <w:rFonts w:asciiTheme="majorHAnsi" w:eastAsia="Calibri" w:hAnsiTheme="majorHAnsi" w:cstheme="majorHAnsi"/>
          <w:b/>
          <w:bCs/>
          <w:iCs/>
          <w:sz w:val="24"/>
          <w:szCs w:val="24"/>
          <w:lang w:val="ro-MD" w:eastAsia="lv-LV"/>
        </w:rPr>
        <w:t>planificare a achizi</w:t>
      </w:r>
      <w:r w:rsidR="0069374B" w:rsidRPr="00363CFA">
        <w:rPr>
          <w:rFonts w:asciiTheme="majorHAnsi" w:eastAsia="Calibri" w:hAnsiTheme="majorHAnsi" w:cstheme="majorHAnsi"/>
          <w:b/>
          <w:bCs/>
          <w:iCs/>
          <w:sz w:val="24"/>
          <w:szCs w:val="24"/>
          <w:lang w:val="ro-MD" w:eastAsia="lv-LV"/>
        </w:rPr>
        <w:t>ț</w:t>
      </w:r>
      <w:r w:rsidRPr="00363CFA">
        <w:rPr>
          <w:rFonts w:asciiTheme="majorHAnsi" w:eastAsia="Calibri" w:hAnsiTheme="majorHAnsi" w:cstheme="majorHAnsi"/>
          <w:b/>
          <w:bCs/>
          <w:iCs/>
          <w:sz w:val="24"/>
          <w:szCs w:val="24"/>
          <w:lang w:val="ro-MD" w:eastAsia="lv-LV"/>
        </w:rPr>
        <w:t>iilor publice, de calculare a valorii estimate de achizi</w:t>
      </w:r>
      <w:r w:rsidR="0069374B" w:rsidRPr="00363CFA">
        <w:rPr>
          <w:rFonts w:asciiTheme="majorHAnsi" w:eastAsia="Calibri" w:hAnsiTheme="majorHAnsi" w:cstheme="majorHAnsi"/>
          <w:b/>
          <w:bCs/>
          <w:iCs/>
          <w:sz w:val="24"/>
          <w:szCs w:val="24"/>
          <w:lang w:val="ro-MD" w:eastAsia="lv-LV"/>
        </w:rPr>
        <w:t>ț</w:t>
      </w:r>
      <w:r w:rsidRPr="00363CFA">
        <w:rPr>
          <w:rFonts w:asciiTheme="majorHAnsi" w:eastAsia="Calibri" w:hAnsiTheme="majorHAnsi" w:cstheme="majorHAnsi"/>
          <w:b/>
          <w:bCs/>
          <w:iCs/>
          <w:sz w:val="24"/>
          <w:szCs w:val="24"/>
          <w:lang w:val="ro-MD" w:eastAsia="lv-LV"/>
        </w:rPr>
        <w:t xml:space="preserve">ie a bunurilor, serviciilor </w:t>
      </w:r>
      <w:r w:rsidR="0069374B" w:rsidRPr="00363CFA">
        <w:rPr>
          <w:rFonts w:asciiTheme="majorHAnsi" w:eastAsia="Calibri" w:hAnsiTheme="majorHAnsi" w:cstheme="majorHAnsi"/>
          <w:b/>
          <w:bCs/>
          <w:iCs/>
          <w:sz w:val="24"/>
          <w:szCs w:val="24"/>
          <w:lang w:val="ro-MD" w:eastAsia="lv-LV"/>
        </w:rPr>
        <w:t>ș</w:t>
      </w:r>
      <w:r w:rsidRPr="00363CFA">
        <w:rPr>
          <w:rFonts w:asciiTheme="majorHAnsi" w:eastAsia="Calibri" w:hAnsiTheme="majorHAnsi" w:cstheme="majorHAnsi"/>
          <w:b/>
          <w:bCs/>
          <w:iCs/>
          <w:sz w:val="24"/>
          <w:szCs w:val="24"/>
          <w:lang w:val="ro-MD" w:eastAsia="lv-LV"/>
        </w:rPr>
        <w:t xml:space="preserve">i lucrărilor </w:t>
      </w:r>
      <w:r w:rsidR="0069374B" w:rsidRPr="00363CFA">
        <w:rPr>
          <w:rFonts w:asciiTheme="majorHAnsi" w:eastAsia="Calibri" w:hAnsiTheme="majorHAnsi" w:cstheme="majorHAnsi"/>
          <w:b/>
          <w:bCs/>
          <w:iCs/>
          <w:sz w:val="24"/>
          <w:szCs w:val="24"/>
          <w:lang w:val="ro-MD" w:eastAsia="lv-LV"/>
        </w:rPr>
        <w:t>ș</w:t>
      </w:r>
      <w:r w:rsidRPr="00363CFA">
        <w:rPr>
          <w:rFonts w:asciiTheme="majorHAnsi" w:eastAsia="Calibri" w:hAnsiTheme="majorHAnsi" w:cstheme="majorHAnsi"/>
          <w:b/>
          <w:bCs/>
          <w:iCs/>
          <w:sz w:val="24"/>
          <w:szCs w:val="24"/>
          <w:lang w:val="ro-MD" w:eastAsia="lv-LV"/>
        </w:rPr>
        <w:t>i, respectiv, de organizare a procedurii de achizi</w:t>
      </w:r>
      <w:r w:rsidR="0069374B" w:rsidRPr="00363CFA">
        <w:rPr>
          <w:rFonts w:asciiTheme="majorHAnsi" w:eastAsia="Calibri" w:hAnsiTheme="majorHAnsi" w:cstheme="majorHAnsi"/>
          <w:b/>
          <w:bCs/>
          <w:iCs/>
          <w:sz w:val="24"/>
          <w:szCs w:val="24"/>
          <w:lang w:val="ro-MD" w:eastAsia="lv-LV"/>
        </w:rPr>
        <w:t>ț</w:t>
      </w:r>
      <w:r w:rsidRPr="00363CFA">
        <w:rPr>
          <w:rFonts w:asciiTheme="majorHAnsi" w:eastAsia="Calibri" w:hAnsiTheme="majorHAnsi" w:cstheme="majorHAnsi"/>
          <w:b/>
          <w:bCs/>
          <w:iCs/>
          <w:sz w:val="24"/>
          <w:szCs w:val="24"/>
          <w:lang w:val="ro-MD" w:eastAsia="lv-LV"/>
        </w:rPr>
        <w:t xml:space="preserve">ie publică, </w:t>
      </w:r>
      <w:r w:rsidRPr="00363CFA">
        <w:rPr>
          <w:rFonts w:asciiTheme="majorHAnsi" w:eastAsia="Calibri" w:hAnsiTheme="majorHAnsi" w:cstheme="majorHAnsi"/>
          <w:b/>
          <w:bCs/>
          <w:sz w:val="24"/>
          <w:szCs w:val="24"/>
          <w:lang w:val="ro-MD" w:eastAsia="lv-LV"/>
        </w:rPr>
        <w:t xml:space="preserve">este unul necorespunzător </w:t>
      </w:r>
      <w:r w:rsidR="0069374B" w:rsidRPr="00363CFA">
        <w:rPr>
          <w:rFonts w:asciiTheme="majorHAnsi" w:eastAsia="Calibri" w:hAnsiTheme="majorHAnsi" w:cstheme="majorHAnsi"/>
          <w:b/>
          <w:bCs/>
          <w:sz w:val="24"/>
          <w:szCs w:val="24"/>
          <w:lang w:val="ro-MD" w:eastAsia="lv-LV"/>
        </w:rPr>
        <w:t>ș</w:t>
      </w:r>
      <w:r w:rsidRPr="00363CFA">
        <w:rPr>
          <w:rFonts w:asciiTheme="majorHAnsi" w:eastAsia="Calibri" w:hAnsiTheme="majorHAnsi" w:cstheme="majorHAnsi"/>
          <w:b/>
          <w:bCs/>
          <w:sz w:val="24"/>
          <w:szCs w:val="24"/>
          <w:lang w:val="ro-MD" w:eastAsia="lv-LV"/>
        </w:rPr>
        <w:t>i necesită îmbunătă</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iri esen</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 xml:space="preserve">iale. Aprobarea </w:t>
      </w:r>
      <w:r w:rsidR="0065077C" w:rsidRPr="00363CFA">
        <w:rPr>
          <w:rFonts w:asciiTheme="majorHAnsi" w:eastAsia="Calibri" w:hAnsiTheme="majorHAnsi" w:cstheme="majorHAnsi"/>
          <w:b/>
          <w:bCs/>
          <w:sz w:val="24"/>
          <w:szCs w:val="24"/>
          <w:lang w:val="ro-MD" w:eastAsia="lv-LV"/>
        </w:rPr>
        <w:t xml:space="preserve">nesistemică </w:t>
      </w:r>
      <w:r w:rsidRPr="00363CFA">
        <w:rPr>
          <w:rFonts w:asciiTheme="majorHAnsi" w:eastAsia="Calibri" w:hAnsiTheme="majorHAnsi" w:cstheme="majorHAnsi"/>
          <w:b/>
          <w:bCs/>
          <w:sz w:val="24"/>
          <w:szCs w:val="24"/>
          <w:lang w:val="ro-MD" w:eastAsia="lv-LV"/>
        </w:rPr>
        <w:t>a aloca</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iilor bugetare anuale pentru institu</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 xml:space="preserve">iile </w:t>
      </w:r>
      <w:r w:rsidR="0069374B" w:rsidRPr="00363CFA">
        <w:rPr>
          <w:rFonts w:asciiTheme="majorHAnsi" w:eastAsia="Calibri" w:hAnsiTheme="majorHAnsi" w:cstheme="majorHAnsi"/>
          <w:b/>
          <w:bCs/>
          <w:sz w:val="24"/>
          <w:szCs w:val="24"/>
          <w:lang w:val="ro-MD" w:eastAsia="lv-LV"/>
        </w:rPr>
        <w:t>ș</w:t>
      </w:r>
      <w:r w:rsidRPr="00363CFA">
        <w:rPr>
          <w:rFonts w:asciiTheme="majorHAnsi" w:eastAsia="Calibri" w:hAnsiTheme="majorHAnsi" w:cstheme="majorHAnsi"/>
          <w:b/>
          <w:bCs/>
          <w:sz w:val="24"/>
          <w:szCs w:val="24"/>
          <w:lang w:val="ro-MD" w:eastAsia="lv-LV"/>
        </w:rPr>
        <w:t>i autorită</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 xml:space="preserve">ile publice din cadrul UTA Găgăuzia, cu modificarea/precizarea lor pe parcursul anului </w:t>
      </w:r>
      <w:r w:rsidR="0069374B" w:rsidRPr="00363CFA">
        <w:rPr>
          <w:rFonts w:asciiTheme="majorHAnsi" w:eastAsia="Calibri" w:hAnsiTheme="majorHAnsi" w:cstheme="majorHAnsi"/>
          <w:b/>
          <w:bCs/>
          <w:sz w:val="24"/>
          <w:szCs w:val="24"/>
          <w:lang w:val="ro-MD" w:eastAsia="lv-LV"/>
        </w:rPr>
        <w:t>ș</w:t>
      </w:r>
      <w:r w:rsidRPr="00363CFA">
        <w:rPr>
          <w:rFonts w:asciiTheme="majorHAnsi" w:eastAsia="Calibri" w:hAnsiTheme="majorHAnsi" w:cstheme="majorHAnsi"/>
          <w:b/>
          <w:bCs/>
          <w:sz w:val="24"/>
          <w:szCs w:val="24"/>
          <w:lang w:val="ro-MD" w:eastAsia="lv-LV"/>
        </w:rPr>
        <w:t>i alocarea suplimentară de resurse financiare</w:t>
      </w:r>
      <w:r w:rsidRPr="00363CFA">
        <w:rPr>
          <w:rFonts w:asciiTheme="majorHAnsi" w:eastAsia="Calibri" w:hAnsiTheme="majorHAnsi" w:cstheme="majorHAnsi"/>
          <w:b/>
          <w:bCs/>
          <w:sz w:val="24"/>
          <w:szCs w:val="24"/>
          <w:vertAlign w:val="superscript"/>
          <w:lang w:val="ro-MD" w:eastAsia="lv-LV"/>
        </w:rPr>
        <w:footnoteReference w:id="28"/>
      </w:r>
      <w:r w:rsidRPr="00363CFA">
        <w:rPr>
          <w:rFonts w:asciiTheme="majorHAnsi" w:eastAsia="Calibri" w:hAnsiTheme="majorHAnsi" w:cstheme="majorHAnsi"/>
          <w:b/>
          <w:bCs/>
          <w:sz w:val="24"/>
          <w:szCs w:val="24"/>
          <w:lang w:val="ro-MD" w:eastAsia="lv-LV"/>
        </w:rPr>
        <w:t>, subminează activitatea de achizi</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 xml:space="preserve">ii publice, </w:t>
      </w:r>
      <w:r w:rsidR="0069374B" w:rsidRPr="00363CFA">
        <w:rPr>
          <w:rFonts w:asciiTheme="majorHAnsi" w:eastAsia="Calibri" w:hAnsiTheme="majorHAnsi" w:cstheme="majorHAnsi"/>
          <w:b/>
          <w:bCs/>
          <w:sz w:val="24"/>
          <w:szCs w:val="24"/>
          <w:lang w:val="ro-MD" w:eastAsia="lv-LV"/>
        </w:rPr>
        <w:t>ș</w:t>
      </w:r>
      <w:r w:rsidRPr="00363CFA">
        <w:rPr>
          <w:rFonts w:asciiTheme="majorHAnsi" w:eastAsia="Calibri" w:hAnsiTheme="majorHAnsi" w:cstheme="majorHAnsi"/>
          <w:b/>
          <w:bCs/>
          <w:sz w:val="24"/>
          <w:szCs w:val="24"/>
          <w:lang w:val="ro-MD" w:eastAsia="lv-LV"/>
        </w:rPr>
        <w:t>i anume: planific</w:t>
      </w:r>
      <w:r w:rsidR="004D0BD4" w:rsidRPr="00363CFA">
        <w:rPr>
          <w:rFonts w:asciiTheme="majorHAnsi" w:eastAsia="Calibri" w:hAnsiTheme="majorHAnsi" w:cstheme="majorHAnsi"/>
          <w:b/>
          <w:bCs/>
          <w:sz w:val="24"/>
          <w:szCs w:val="24"/>
          <w:lang w:val="ro-MD" w:eastAsia="lv-LV"/>
        </w:rPr>
        <w:t>area achizi</w:t>
      </w:r>
      <w:r w:rsidR="0069374B" w:rsidRPr="00363CFA">
        <w:rPr>
          <w:rFonts w:asciiTheme="majorHAnsi" w:eastAsia="Calibri" w:hAnsiTheme="majorHAnsi" w:cstheme="majorHAnsi"/>
          <w:b/>
          <w:bCs/>
          <w:sz w:val="24"/>
          <w:szCs w:val="24"/>
          <w:lang w:val="ro-MD" w:eastAsia="lv-LV"/>
        </w:rPr>
        <w:t>ț</w:t>
      </w:r>
      <w:r w:rsidR="004D0BD4" w:rsidRPr="00363CFA">
        <w:rPr>
          <w:rFonts w:asciiTheme="majorHAnsi" w:eastAsia="Calibri" w:hAnsiTheme="majorHAnsi" w:cstheme="majorHAnsi"/>
          <w:b/>
          <w:bCs/>
          <w:sz w:val="24"/>
          <w:szCs w:val="24"/>
          <w:lang w:val="ro-MD" w:eastAsia="lv-LV"/>
        </w:rPr>
        <w:t>iilor</w:t>
      </w:r>
      <w:r w:rsidRPr="00363CFA">
        <w:rPr>
          <w:rFonts w:asciiTheme="majorHAnsi" w:eastAsia="Calibri" w:hAnsiTheme="majorHAnsi" w:cstheme="majorHAnsi"/>
          <w:b/>
          <w:bCs/>
          <w:sz w:val="24"/>
          <w:szCs w:val="24"/>
          <w:lang w:val="ro-MD" w:eastAsia="lv-LV"/>
        </w:rPr>
        <w:t>; impunerea divizării for</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ate a achizi</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iilor prin mai multe contracte sau proceduri aplicate pentru acela</w:t>
      </w:r>
      <w:r w:rsidR="0069374B" w:rsidRPr="00363CFA">
        <w:rPr>
          <w:rFonts w:asciiTheme="majorHAnsi" w:eastAsia="Calibri" w:hAnsiTheme="majorHAnsi" w:cstheme="majorHAnsi"/>
          <w:b/>
          <w:bCs/>
          <w:sz w:val="24"/>
          <w:szCs w:val="24"/>
          <w:lang w:val="ro-MD" w:eastAsia="lv-LV"/>
        </w:rPr>
        <w:t>ș</w:t>
      </w:r>
      <w:r w:rsidRPr="00363CFA">
        <w:rPr>
          <w:rFonts w:asciiTheme="majorHAnsi" w:eastAsia="Calibri" w:hAnsiTheme="majorHAnsi" w:cstheme="majorHAnsi"/>
          <w:b/>
          <w:bCs/>
          <w:sz w:val="24"/>
          <w:szCs w:val="24"/>
          <w:lang w:val="ro-MD" w:eastAsia="lv-LV"/>
        </w:rPr>
        <w:t>i gen sau grup/lot de marfă.</w:t>
      </w:r>
    </w:p>
    <w:p w14:paraId="269FBB56" w14:textId="11D22D01" w:rsidR="00CD41D2" w:rsidRPr="00712FF7" w:rsidRDefault="00CD41D2" w:rsidP="00767ED8">
      <w:pPr>
        <w:tabs>
          <w:tab w:val="left" w:pos="0"/>
          <w:tab w:val="left" w:pos="142"/>
        </w:tabs>
        <w:spacing w:after="0" w:line="276" w:lineRule="auto"/>
        <w:ind w:firstLine="567"/>
        <w:jc w:val="both"/>
        <w:rPr>
          <w:rFonts w:asciiTheme="majorHAnsi" w:eastAsia="Calibri" w:hAnsiTheme="majorHAnsi" w:cstheme="majorHAnsi"/>
          <w:b/>
          <w:bCs/>
          <w:sz w:val="24"/>
          <w:szCs w:val="24"/>
          <w:lang w:val="ro-MD" w:eastAsia="lv-LV"/>
        </w:rPr>
      </w:pPr>
      <w:r w:rsidRPr="00712FF7">
        <w:rPr>
          <w:rFonts w:asciiTheme="majorHAnsi" w:eastAsia="Calibri" w:hAnsiTheme="majorHAnsi" w:cstheme="majorHAnsi"/>
          <w:b/>
          <w:bCs/>
          <w:sz w:val="24"/>
          <w:szCs w:val="24"/>
          <w:lang w:val="ro-MD" w:eastAsia="lv-LV"/>
        </w:rPr>
        <w:t>În acest context, auditul men</w:t>
      </w:r>
      <w:r w:rsidR="0069374B" w:rsidRPr="00712FF7">
        <w:rPr>
          <w:rFonts w:asciiTheme="majorHAnsi" w:eastAsia="Calibri" w:hAnsiTheme="majorHAnsi" w:cstheme="majorHAnsi"/>
          <w:b/>
          <w:bCs/>
          <w:sz w:val="24"/>
          <w:szCs w:val="24"/>
          <w:lang w:val="ro-MD" w:eastAsia="lv-LV"/>
        </w:rPr>
        <w:t>ț</w:t>
      </w:r>
      <w:r w:rsidRPr="00712FF7">
        <w:rPr>
          <w:rFonts w:asciiTheme="majorHAnsi" w:eastAsia="Calibri" w:hAnsiTheme="majorHAnsi" w:cstheme="majorHAnsi"/>
          <w:b/>
          <w:bCs/>
          <w:sz w:val="24"/>
          <w:szCs w:val="24"/>
          <w:lang w:val="ro-MD" w:eastAsia="lv-LV"/>
        </w:rPr>
        <w:t xml:space="preserve">ionează că </w:t>
      </w:r>
      <w:r w:rsidR="0050637E" w:rsidRPr="00712FF7">
        <w:rPr>
          <w:rFonts w:asciiTheme="majorHAnsi" w:eastAsia="Calibri" w:hAnsiTheme="majorHAnsi" w:cstheme="majorHAnsi"/>
          <w:b/>
          <w:bCs/>
          <w:sz w:val="24"/>
          <w:szCs w:val="24"/>
          <w:lang w:val="ro-MD" w:eastAsia="lv-LV"/>
        </w:rPr>
        <w:t xml:space="preserve">unele </w:t>
      </w:r>
      <w:r w:rsidRPr="00712FF7">
        <w:rPr>
          <w:rFonts w:asciiTheme="majorHAnsi" w:eastAsia="Calibri" w:hAnsiTheme="majorHAnsi" w:cstheme="majorHAnsi"/>
          <w:b/>
          <w:bCs/>
          <w:sz w:val="24"/>
          <w:szCs w:val="24"/>
          <w:lang w:val="ro-MD" w:eastAsia="lv-LV"/>
        </w:rPr>
        <w:t>achizi</w:t>
      </w:r>
      <w:r w:rsidR="0069374B" w:rsidRPr="00712FF7">
        <w:rPr>
          <w:rFonts w:asciiTheme="majorHAnsi" w:eastAsia="Calibri" w:hAnsiTheme="majorHAnsi" w:cstheme="majorHAnsi"/>
          <w:b/>
          <w:bCs/>
          <w:sz w:val="24"/>
          <w:szCs w:val="24"/>
          <w:lang w:val="ro-MD" w:eastAsia="lv-LV"/>
        </w:rPr>
        <w:t>ț</w:t>
      </w:r>
      <w:r w:rsidRPr="00712FF7">
        <w:rPr>
          <w:rFonts w:asciiTheme="majorHAnsi" w:eastAsia="Calibri" w:hAnsiTheme="majorHAnsi" w:cstheme="majorHAnsi"/>
          <w:b/>
          <w:bCs/>
          <w:sz w:val="24"/>
          <w:szCs w:val="24"/>
          <w:lang w:val="ro-MD" w:eastAsia="lv-LV"/>
        </w:rPr>
        <w:t>ii publice au fost efectuate de către entită</w:t>
      </w:r>
      <w:r w:rsidR="0069374B" w:rsidRPr="00712FF7">
        <w:rPr>
          <w:rFonts w:asciiTheme="majorHAnsi" w:eastAsia="Calibri" w:hAnsiTheme="majorHAnsi" w:cstheme="majorHAnsi"/>
          <w:b/>
          <w:bCs/>
          <w:sz w:val="24"/>
          <w:szCs w:val="24"/>
          <w:lang w:val="ro-MD" w:eastAsia="lv-LV"/>
        </w:rPr>
        <w:t>ț</w:t>
      </w:r>
      <w:r w:rsidRPr="00712FF7">
        <w:rPr>
          <w:rFonts w:asciiTheme="majorHAnsi" w:eastAsia="Calibri" w:hAnsiTheme="majorHAnsi" w:cstheme="majorHAnsi"/>
          <w:b/>
          <w:bCs/>
          <w:sz w:val="24"/>
          <w:szCs w:val="24"/>
          <w:lang w:val="ro-MD" w:eastAsia="lv-LV"/>
        </w:rPr>
        <w:t>ile auditate cu abateri de la legisla</w:t>
      </w:r>
      <w:r w:rsidR="0069374B" w:rsidRPr="00712FF7">
        <w:rPr>
          <w:rFonts w:asciiTheme="majorHAnsi" w:eastAsia="Calibri" w:hAnsiTheme="majorHAnsi" w:cstheme="majorHAnsi"/>
          <w:b/>
          <w:bCs/>
          <w:sz w:val="24"/>
          <w:szCs w:val="24"/>
          <w:lang w:val="ro-MD" w:eastAsia="lv-LV"/>
        </w:rPr>
        <w:t>ț</w:t>
      </w:r>
      <w:r w:rsidRPr="00712FF7">
        <w:rPr>
          <w:rFonts w:asciiTheme="majorHAnsi" w:eastAsia="Calibri" w:hAnsiTheme="majorHAnsi" w:cstheme="majorHAnsi"/>
          <w:b/>
          <w:bCs/>
          <w:sz w:val="24"/>
          <w:szCs w:val="24"/>
          <w:lang w:val="ro-MD" w:eastAsia="lv-LV"/>
        </w:rPr>
        <w:t>ia în vigoare, care se exprimă prin:</w:t>
      </w:r>
    </w:p>
    <w:p w14:paraId="58E2892A" w14:textId="77777777" w:rsidR="00CD41D2" w:rsidRPr="00363CFA" w:rsidRDefault="00CD41D2" w:rsidP="00767ED8">
      <w:pPr>
        <w:tabs>
          <w:tab w:val="left" w:pos="0"/>
          <w:tab w:val="left" w:pos="142"/>
          <w:tab w:val="left" w:pos="851"/>
        </w:tabs>
        <w:spacing w:after="0" w:line="276" w:lineRule="auto"/>
        <w:ind w:firstLine="567"/>
        <w:jc w:val="both"/>
        <w:rPr>
          <w:rFonts w:asciiTheme="majorHAnsi" w:eastAsia="Calibri" w:hAnsiTheme="majorHAnsi" w:cstheme="majorHAnsi"/>
          <w:bCs/>
          <w:i/>
          <w:sz w:val="24"/>
          <w:szCs w:val="24"/>
          <w:lang w:val="ro-MD" w:eastAsia="lv-LV"/>
        </w:rPr>
      </w:pPr>
      <w:r w:rsidRPr="00363CFA">
        <w:rPr>
          <w:rFonts w:asciiTheme="majorHAnsi" w:eastAsia="Calibri" w:hAnsiTheme="majorHAnsi" w:cstheme="majorHAnsi"/>
          <w:b/>
          <w:bCs/>
          <w:sz w:val="24"/>
          <w:szCs w:val="24"/>
          <w:lang w:val="ro-MD" w:eastAsia="lv-LV"/>
        </w:rPr>
        <w:t>•</w:t>
      </w:r>
      <w:r w:rsidRPr="00363CFA">
        <w:rPr>
          <w:rFonts w:asciiTheme="majorHAnsi" w:eastAsia="Calibri" w:hAnsiTheme="majorHAnsi" w:cstheme="majorHAnsi"/>
          <w:b/>
          <w:bCs/>
          <w:sz w:val="24"/>
          <w:szCs w:val="24"/>
          <w:lang w:val="ro-MD" w:eastAsia="lv-LV"/>
        </w:rPr>
        <w:tab/>
        <w:t xml:space="preserve"> </w:t>
      </w:r>
      <w:r w:rsidRPr="00363CFA">
        <w:rPr>
          <w:rFonts w:asciiTheme="majorHAnsi" w:eastAsia="Calibri" w:hAnsiTheme="majorHAnsi" w:cstheme="majorHAnsi"/>
          <w:bCs/>
          <w:i/>
          <w:sz w:val="24"/>
          <w:szCs w:val="24"/>
          <w:u w:val="single"/>
          <w:lang w:val="ro-MD" w:eastAsia="lv-LV"/>
        </w:rPr>
        <w:t xml:space="preserve">planificarea </w:t>
      </w:r>
      <w:r w:rsidR="0069374B" w:rsidRPr="00363CFA">
        <w:rPr>
          <w:rFonts w:asciiTheme="majorHAnsi" w:eastAsia="Calibri" w:hAnsiTheme="majorHAnsi" w:cstheme="majorHAnsi"/>
          <w:bCs/>
          <w:i/>
          <w:sz w:val="24"/>
          <w:szCs w:val="24"/>
          <w:u w:val="single"/>
          <w:lang w:val="ro-MD" w:eastAsia="lv-LV"/>
        </w:rPr>
        <w:t>ș</w:t>
      </w:r>
      <w:r w:rsidRPr="00363CFA">
        <w:rPr>
          <w:rFonts w:asciiTheme="majorHAnsi" w:eastAsia="Calibri" w:hAnsiTheme="majorHAnsi" w:cstheme="majorHAnsi"/>
          <w:bCs/>
          <w:i/>
          <w:sz w:val="24"/>
          <w:szCs w:val="24"/>
          <w:u w:val="single"/>
          <w:lang w:val="ro-MD" w:eastAsia="lv-LV"/>
        </w:rPr>
        <w:t xml:space="preserve">i realizarea defectuoasă a procedurilor </w:t>
      </w:r>
      <w:r w:rsidRPr="003C2D6D">
        <w:rPr>
          <w:rFonts w:asciiTheme="majorHAnsi" w:eastAsia="Calibri" w:hAnsiTheme="majorHAnsi" w:cstheme="majorHAnsi"/>
          <w:bCs/>
          <w:i/>
          <w:sz w:val="24"/>
          <w:szCs w:val="24"/>
          <w:u w:val="single"/>
          <w:lang w:val="ro-MD" w:eastAsia="lv-LV"/>
        </w:rPr>
        <w:t>de achizi</w:t>
      </w:r>
      <w:r w:rsidR="0069374B" w:rsidRPr="00A87C8B">
        <w:rPr>
          <w:rFonts w:asciiTheme="majorHAnsi" w:eastAsia="Calibri" w:hAnsiTheme="majorHAnsi" w:cstheme="majorHAnsi"/>
          <w:bCs/>
          <w:i/>
          <w:sz w:val="24"/>
          <w:szCs w:val="24"/>
          <w:u w:val="single"/>
          <w:lang w:val="ro-MD" w:eastAsia="lv-LV"/>
        </w:rPr>
        <w:t>ț</w:t>
      </w:r>
      <w:r w:rsidRPr="00A87C8B">
        <w:rPr>
          <w:rFonts w:asciiTheme="majorHAnsi" w:eastAsia="Calibri" w:hAnsiTheme="majorHAnsi" w:cstheme="majorHAnsi"/>
          <w:bCs/>
          <w:i/>
          <w:sz w:val="24"/>
          <w:szCs w:val="24"/>
          <w:u w:val="single"/>
          <w:lang w:val="ro-MD" w:eastAsia="lv-LV"/>
        </w:rPr>
        <w:t>ii publice</w:t>
      </w:r>
    </w:p>
    <w:p w14:paraId="05B4EF92" w14:textId="12100202" w:rsidR="00CD41D2" w:rsidRPr="00363CFA" w:rsidRDefault="00CD41D2" w:rsidP="00767ED8">
      <w:pPr>
        <w:numPr>
          <w:ilvl w:val="0"/>
          <w:numId w:val="20"/>
        </w:numPr>
        <w:tabs>
          <w:tab w:val="left" w:pos="0"/>
          <w:tab w:val="left" w:pos="142"/>
          <w:tab w:val="left" w:pos="851"/>
        </w:tabs>
        <w:spacing w:after="0" w:line="276" w:lineRule="auto"/>
        <w:ind w:left="0" w:firstLine="567"/>
        <w:contextualSpacing/>
        <w:jc w:val="both"/>
        <w:rPr>
          <w:rFonts w:asciiTheme="majorHAnsi" w:eastAsia="Calibri" w:hAnsiTheme="majorHAnsi" w:cstheme="majorHAnsi"/>
          <w:i/>
          <w:sz w:val="24"/>
          <w:szCs w:val="24"/>
          <w:lang w:val="ro-MD"/>
        </w:rPr>
      </w:pPr>
      <w:r w:rsidRPr="00363CFA">
        <w:rPr>
          <w:rFonts w:asciiTheme="majorHAnsi" w:eastAsia="Calibri" w:hAnsiTheme="majorHAnsi" w:cstheme="majorHAnsi"/>
          <w:sz w:val="24"/>
          <w:szCs w:val="24"/>
          <w:lang w:val="ro-MD"/>
        </w:rPr>
        <w:t>Actele normative</w:t>
      </w:r>
      <w:r w:rsidRPr="00363CFA">
        <w:rPr>
          <w:rFonts w:asciiTheme="majorHAnsi" w:eastAsia="Calibri" w:hAnsiTheme="majorHAnsi" w:cstheme="majorHAnsi"/>
          <w:sz w:val="24"/>
          <w:szCs w:val="24"/>
          <w:vertAlign w:val="superscript"/>
          <w:lang w:val="ro-MD"/>
        </w:rPr>
        <w:footnoteReference w:id="29"/>
      </w:r>
      <w:r w:rsidRPr="00363CFA">
        <w:rPr>
          <w:rFonts w:asciiTheme="majorHAnsi" w:eastAsia="Calibri" w:hAnsiTheme="majorHAnsi" w:cstheme="majorHAnsi"/>
          <w:sz w:val="24"/>
          <w:szCs w:val="24"/>
          <w:lang w:val="ro-MD"/>
        </w:rPr>
        <w:t xml:space="preserve"> în vigoare prevăd că </w:t>
      </w:r>
      <w:r w:rsidRPr="00363CFA">
        <w:rPr>
          <w:rFonts w:asciiTheme="majorHAnsi" w:eastAsia="Calibri" w:hAnsiTheme="majorHAnsi" w:cstheme="majorHAnsi"/>
          <w:i/>
          <w:sz w:val="24"/>
          <w:szCs w:val="24"/>
          <w:lang w:val="ro-MD"/>
        </w:rPr>
        <w:t>contractul de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ii publice se încheie conform procedurilor de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ie publică prevăzute de lege, pentru întreaga sumă atribuită unei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ii pe an, în temeiul planului de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 xml:space="preserve">ie </w:t>
      </w:r>
      <w:r w:rsidR="0069374B" w:rsidRPr="00363CFA">
        <w:rPr>
          <w:rFonts w:asciiTheme="majorHAnsi" w:eastAsia="Calibri" w:hAnsiTheme="majorHAnsi" w:cstheme="majorHAnsi"/>
          <w:i/>
          <w:sz w:val="24"/>
          <w:szCs w:val="24"/>
          <w:lang w:val="ro-MD"/>
        </w:rPr>
        <w:t>ș</w:t>
      </w:r>
      <w:r w:rsidRPr="00363CFA">
        <w:rPr>
          <w:rFonts w:asciiTheme="majorHAnsi" w:eastAsia="Calibri" w:hAnsiTheme="majorHAnsi" w:cstheme="majorHAnsi"/>
          <w:i/>
          <w:sz w:val="24"/>
          <w:szCs w:val="24"/>
          <w:lang w:val="ro-MD"/>
        </w:rPr>
        <w:t>i în limita aloca</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iilor aprobate; în cazul în care autoritatea contractantă î</w:t>
      </w:r>
      <w:r w:rsidR="0069374B" w:rsidRPr="00363CFA">
        <w:rPr>
          <w:rFonts w:asciiTheme="majorHAnsi" w:eastAsia="Calibri" w:hAnsiTheme="majorHAnsi" w:cstheme="majorHAnsi"/>
          <w:i/>
          <w:sz w:val="24"/>
          <w:szCs w:val="24"/>
          <w:lang w:val="ro-MD"/>
        </w:rPr>
        <w:t>ș</w:t>
      </w:r>
      <w:r w:rsidRPr="00363CFA">
        <w:rPr>
          <w:rFonts w:asciiTheme="majorHAnsi" w:eastAsia="Calibri" w:hAnsiTheme="majorHAnsi" w:cstheme="majorHAnsi"/>
          <w:i/>
          <w:sz w:val="24"/>
          <w:szCs w:val="24"/>
          <w:lang w:val="ro-MD"/>
        </w:rPr>
        <w:t>i propune să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ioneze bunuri sau servicii similare, dar defalcate pe loturi a căror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ionare face obiectul unor contracte distincte, valoarea estimată se consideră a fi valoarea cumulată a tuturor loturilor; în cazul în care o lucrare permite execu</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ia pe obiecte/loturi pentru care autoritatea contractantă î</w:t>
      </w:r>
      <w:r w:rsidR="0069374B" w:rsidRPr="00363CFA">
        <w:rPr>
          <w:rFonts w:asciiTheme="majorHAnsi" w:eastAsia="Calibri" w:hAnsiTheme="majorHAnsi" w:cstheme="majorHAnsi"/>
          <w:i/>
          <w:sz w:val="24"/>
          <w:szCs w:val="24"/>
          <w:lang w:val="ro-MD"/>
        </w:rPr>
        <w:t>ș</w:t>
      </w:r>
      <w:r w:rsidRPr="00363CFA">
        <w:rPr>
          <w:rFonts w:asciiTheme="majorHAnsi" w:eastAsia="Calibri" w:hAnsiTheme="majorHAnsi" w:cstheme="majorHAnsi"/>
          <w:i/>
          <w:sz w:val="24"/>
          <w:szCs w:val="24"/>
          <w:lang w:val="ro-MD"/>
        </w:rPr>
        <w:t>i propune să atribuie, unuia sau mai multor executan</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 contracte distincte de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ii publice de lucrări, valoarea estimată trebuie determinată avându-se în vedere valoarea cumulată a tuturor obiectelor/loturilor care intră în componen</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a lucrării respective;</w:t>
      </w:r>
      <w:r w:rsidRPr="00363CFA">
        <w:rPr>
          <w:rFonts w:asciiTheme="majorHAnsi" w:eastAsia="Calibri" w:hAnsiTheme="majorHAnsi" w:cstheme="majorHAnsi"/>
          <w:sz w:val="24"/>
          <w:szCs w:val="24"/>
          <w:lang w:val="ro-MD"/>
        </w:rPr>
        <w:t xml:space="preserve"> </w:t>
      </w:r>
      <w:r w:rsidRPr="00363CFA">
        <w:rPr>
          <w:rFonts w:asciiTheme="majorHAnsi" w:eastAsia="Calibri" w:hAnsiTheme="majorHAnsi" w:cstheme="majorHAnsi"/>
          <w:i/>
          <w:sz w:val="24"/>
          <w:szCs w:val="24"/>
          <w:lang w:val="ro-MD"/>
        </w:rPr>
        <w:t>autoritatea contractantă nu are dreptul să utilizeze metode de calcul al valorii estimate a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iei cu scopul de a evita aplicarea procedurilor de atribuire prevăzute de lege; contractul de achizi</w:t>
      </w:r>
      <w:r w:rsidR="0069374B" w:rsidRPr="00363CFA">
        <w:rPr>
          <w:rFonts w:asciiTheme="majorHAnsi" w:eastAsia="Calibri" w:hAnsiTheme="majorHAnsi" w:cstheme="majorHAnsi"/>
          <w:i/>
          <w:sz w:val="24"/>
          <w:szCs w:val="24"/>
          <w:lang w:val="ro-MD"/>
        </w:rPr>
        <w:t>ț</w:t>
      </w:r>
      <w:r w:rsidRPr="00363CFA">
        <w:rPr>
          <w:rFonts w:asciiTheme="majorHAnsi" w:eastAsia="Calibri" w:hAnsiTheme="majorHAnsi" w:cstheme="majorHAnsi"/>
          <w:i/>
          <w:sz w:val="24"/>
          <w:szCs w:val="24"/>
          <w:lang w:val="ro-MD"/>
        </w:rPr>
        <w:t xml:space="preserve">ie publică de valoare mică se încheie, conform </w:t>
      </w:r>
      <w:r w:rsidRPr="00363CFA">
        <w:rPr>
          <w:rFonts w:asciiTheme="majorHAnsi" w:eastAsia="Calibri" w:hAnsiTheme="majorHAnsi" w:cstheme="majorHAnsi"/>
          <w:i/>
          <w:sz w:val="24"/>
          <w:szCs w:val="24"/>
          <w:lang w:val="ro-MD"/>
        </w:rPr>
        <w:lastRenderedPageBreak/>
        <w:t xml:space="preserve">prevederilor </w:t>
      </w:r>
      <w:r w:rsidR="00664A87">
        <w:rPr>
          <w:rFonts w:asciiTheme="majorHAnsi" w:eastAsia="Calibri" w:hAnsiTheme="majorHAnsi" w:cstheme="majorHAnsi"/>
          <w:i/>
          <w:sz w:val="24"/>
          <w:szCs w:val="24"/>
          <w:lang w:val="ro-MD"/>
        </w:rPr>
        <w:t>r</w:t>
      </w:r>
      <w:r w:rsidRPr="00363CFA">
        <w:rPr>
          <w:rFonts w:asciiTheme="majorHAnsi" w:eastAsia="Calibri" w:hAnsiTheme="majorHAnsi" w:cstheme="majorHAnsi"/>
          <w:i/>
          <w:sz w:val="24"/>
          <w:szCs w:val="24"/>
          <w:lang w:val="ro-MD"/>
        </w:rPr>
        <w:t>egulament</w:t>
      </w:r>
      <w:r w:rsidR="0050637E" w:rsidRPr="00363CFA">
        <w:rPr>
          <w:rFonts w:asciiTheme="majorHAnsi" w:eastAsia="Calibri" w:hAnsiTheme="majorHAnsi" w:cstheme="majorHAnsi"/>
          <w:i/>
          <w:sz w:val="24"/>
          <w:szCs w:val="24"/>
          <w:lang w:val="ro-MD"/>
        </w:rPr>
        <w:t>are</w:t>
      </w:r>
      <w:r w:rsidRPr="00363CFA">
        <w:rPr>
          <w:rFonts w:asciiTheme="majorHAnsi" w:eastAsia="Calibri" w:hAnsiTheme="majorHAnsi" w:cstheme="majorHAnsi"/>
          <w:i/>
          <w:sz w:val="24"/>
          <w:szCs w:val="24"/>
          <w:lang w:val="ro-MD"/>
        </w:rPr>
        <w:t xml:space="preserve">, pentru întreaga sumă atribuită acestui contract pe an. </w:t>
      </w:r>
      <w:r w:rsidRPr="00363CFA">
        <w:rPr>
          <w:rFonts w:asciiTheme="majorHAnsi" w:eastAsia="Calibri" w:hAnsiTheme="majorHAnsi" w:cstheme="majorHAnsi"/>
          <w:sz w:val="24"/>
          <w:szCs w:val="24"/>
          <w:lang w:val="ro-MD"/>
        </w:rPr>
        <w:t>Probele de audit denotă că în perioada auditată, la contractarea bunurilor/lucrărilor/serviciilor, unele institu</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ii din subordinea Comitetului Executiv al Găgăuziei, nu în toate cazurile, au </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inut cont de prevederile men</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ionate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au admis divizarea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iei de valoare mică pe acela</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tip/gen de marfă/lucrare/serviciu prin adjudecarea mai multor contracte cu unul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acela</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agent economic sau prin aplicarea mai multor proceduri de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pentru acela</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grup/lot de marfă sau lucrare. Astfel, </w:t>
      </w:r>
    </w:p>
    <w:p w14:paraId="09576951" w14:textId="76BB4760" w:rsidR="00CD41D2" w:rsidRPr="00363CFA" w:rsidRDefault="00CD41D2" w:rsidP="00767ED8">
      <w:pPr>
        <w:numPr>
          <w:ilvl w:val="0"/>
          <w:numId w:val="15"/>
        </w:numPr>
        <w:tabs>
          <w:tab w:val="left" w:pos="0"/>
          <w:tab w:val="left" w:pos="142"/>
          <w:tab w:val="left" w:pos="284"/>
          <w:tab w:val="left" w:pos="567"/>
          <w:tab w:val="left" w:pos="851"/>
        </w:tabs>
        <w:spacing w:after="0" w:line="276" w:lineRule="auto"/>
        <w:ind w:left="0" w:firstLine="567"/>
        <w:contextualSpacing/>
        <w:jc w:val="both"/>
        <w:rPr>
          <w:rFonts w:asciiTheme="majorHAnsi" w:eastAsia="Calibri" w:hAnsiTheme="majorHAnsi" w:cstheme="majorHAnsi"/>
          <w:b/>
          <w:sz w:val="24"/>
          <w:szCs w:val="24"/>
          <w:lang w:val="ro-MD"/>
        </w:rPr>
      </w:pPr>
      <w:r w:rsidRPr="00A24504">
        <w:rPr>
          <w:rFonts w:asciiTheme="majorHAnsi" w:eastAsia="Calibri" w:hAnsiTheme="majorHAnsi" w:cstheme="majorHAnsi"/>
          <w:sz w:val="24"/>
          <w:szCs w:val="24"/>
          <w:lang w:val="ro-MD"/>
        </w:rPr>
        <w:t xml:space="preserve">Cu </w:t>
      </w:r>
      <w:r w:rsidR="00822973">
        <w:rPr>
          <w:rFonts w:asciiTheme="majorHAnsi" w:eastAsia="Calibri" w:hAnsiTheme="majorHAnsi" w:cstheme="majorHAnsi"/>
          <w:sz w:val="24"/>
          <w:szCs w:val="24"/>
          <w:lang w:val="ro-MD"/>
        </w:rPr>
        <w:t>abate</w:t>
      </w:r>
      <w:r w:rsidRPr="00A24504">
        <w:rPr>
          <w:rFonts w:asciiTheme="majorHAnsi" w:eastAsia="Calibri" w:hAnsiTheme="majorHAnsi" w:cstheme="majorHAnsi"/>
          <w:sz w:val="24"/>
          <w:szCs w:val="24"/>
          <w:lang w:val="ro-MD"/>
        </w:rPr>
        <w:t>re de la prevederile actelor normative</w:t>
      </w:r>
      <w:r w:rsidRPr="00A24504">
        <w:rPr>
          <w:rFonts w:asciiTheme="majorHAnsi" w:eastAsia="Calibri" w:hAnsiTheme="majorHAnsi" w:cstheme="majorHAnsi"/>
          <w:sz w:val="24"/>
          <w:szCs w:val="24"/>
          <w:vertAlign w:val="superscript"/>
          <w:lang w:val="ro-MD"/>
        </w:rPr>
        <w:footnoteReference w:id="30"/>
      </w:r>
      <w:r w:rsidRPr="00A24504">
        <w:rPr>
          <w:rFonts w:asciiTheme="majorHAnsi" w:eastAsia="Calibri" w:hAnsiTheme="majorHAnsi" w:cstheme="majorHAnsi"/>
          <w:sz w:val="24"/>
          <w:szCs w:val="24"/>
          <w:lang w:val="ro-MD"/>
        </w:rPr>
        <w:t>, unele institu</w:t>
      </w:r>
      <w:r w:rsidR="0069374B" w:rsidRPr="00A24504">
        <w:rPr>
          <w:rFonts w:asciiTheme="majorHAnsi" w:eastAsia="Calibri" w:hAnsiTheme="majorHAnsi" w:cstheme="majorHAnsi"/>
          <w:sz w:val="24"/>
          <w:szCs w:val="24"/>
          <w:lang w:val="ro-MD"/>
        </w:rPr>
        <w:t>ț</w:t>
      </w:r>
      <w:r w:rsidRPr="00A24504">
        <w:rPr>
          <w:rFonts w:asciiTheme="majorHAnsi" w:eastAsia="Calibri" w:hAnsiTheme="majorHAnsi" w:cstheme="majorHAnsi"/>
          <w:sz w:val="24"/>
          <w:szCs w:val="24"/>
          <w:lang w:val="ro-MD"/>
        </w:rPr>
        <w:t>ii din subordinea Comitetului Executiv al Găgăuziei, la achizi</w:t>
      </w:r>
      <w:r w:rsidR="0069374B" w:rsidRPr="00A24504">
        <w:rPr>
          <w:rFonts w:asciiTheme="majorHAnsi" w:eastAsia="Calibri" w:hAnsiTheme="majorHAnsi" w:cstheme="majorHAnsi"/>
          <w:sz w:val="24"/>
          <w:szCs w:val="24"/>
          <w:lang w:val="ro-MD"/>
        </w:rPr>
        <w:t>ț</w:t>
      </w:r>
      <w:r w:rsidRPr="00A24504">
        <w:rPr>
          <w:rFonts w:asciiTheme="majorHAnsi" w:eastAsia="Calibri" w:hAnsiTheme="majorHAnsi" w:cstheme="majorHAnsi"/>
          <w:sz w:val="24"/>
          <w:szCs w:val="24"/>
          <w:lang w:val="ro-MD"/>
        </w:rPr>
        <w:t>ionarea unui</w:t>
      </w:r>
      <w:r w:rsidR="00664A87" w:rsidRPr="00A24504">
        <w:rPr>
          <w:rFonts w:asciiTheme="majorHAnsi" w:eastAsia="Calibri" w:hAnsiTheme="majorHAnsi" w:cstheme="majorHAnsi"/>
          <w:sz w:val="24"/>
          <w:szCs w:val="24"/>
          <w:lang w:val="ro-MD"/>
        </w:rPr>
        <w:t>a</w:t>
      </w:r>
      <w:r w:rsidRPr="00A24504">
        <w:rPr>
          <w:rFonts w:asciiTheme="majorHAnsi" w:eastAsia="Calibri" w:hAnsiTheme="majorHAnsi" w:cstheme="majorHAnsi"/>
          <w:sz w:val="24"/>
          <w:szCs w:val="24"/>
          <w:lang w:val="ro-MD"/>
        </w:rPr>
        <w:t xml:space="preserve"> </w:t>
      </w:r>
      <w:r w:rsidR="0069374B" w:rsidRPr="00A24504">
        <w:rPr>
          <w:rFonts w:asciiTheme="majorHAnsi" w:eastAsia="Calibri" w:hAnsiTheme="majorHAnsi" w:cstheme="majorHAnsi"/>
          <w:sz w:val="24"/>
          <w:szCs w:val="24"/>
          <w:lang w:val="ro-MD"/>
        </w:rPr>
        <w:t>ș</w:t>
      </w:r>
      <w:r w:rsidRPr="00A24504">
        <w:rPr>
          <w:rFonts w:asciiTheme="majorHAnsi" w:eastAsia="Calibri" w:hAnsiTheme="majorHAnsi" w:cstheme="majorHAnsi"/>
          <w:sz w:val="24"/>
          <w:szCs w:val="24"/>
          <w:lang w:val="ro-MD"/>
        </w:rPr>
        <w:t>i acel</w:t>
      </w:r>
      <w:r w:rsidR="00664A87" w:rsidRPr="00A24504">
        <w:rPr>
          <w:rFonts w:asciiTheme="majorHAnsi" w:eastAsia="Calibri" w:hAnsiTheme="majorHAnsi" w:cstheme="majorHAnsi"/>
          <w:sz w:val="24"/>
          <w:szCs w:val="24"/>
          <w:lang w:val="ro-MD"/>
        </w:rPr>
        <w:t>ui</w:t>
      </w:r>
      <w:r w:rsidRPr="00A24504">
        <w:rPr>
          <w:rFonts w:asciiTheme="majorHAnsi" w:eastAsia="Calibri" w:hAnsiTheme="majorHAnsi" w:cstheme="majorHAnsi"/>
          <w:sz w:val="24"/>
          <w:szCs w:val="24"/>
          <w:lang w:val="ro-MD"/>
        </w:rPr>
        <w:t>a</w:t>
      </w:r>
      <w:r w:rsidR="0069374B" w:rsidRPr="00A24504">
        <w:rPr>
          <w:rFonts w:asciiTheme="majorHAnsi" w:eastAsia="Calibri" w:hAnsiTheme="majorHAnsi" w:cstheme="majorHAnsi"/>
          <w:sz w:val="24"/>
          <w:szCs w:val="24"/>
          <w:lang w:val="ro-MD"/>
        </w:rPr>
        <w:t>ș</w:t>
      </w:r>
      <w:r w:rsidRPr="00A24504">
        <w:rPr>
          <w:rFonts w:asciiTheme="majorHAnsi" w:eastAsia="Calibri" w:hAnsiTheme="majorHAnsi" w:cstheme="majorHAnsi"/>
          <w:sz w:val="24"/>
          <w:szCs w:val="24"/>
          <w:lang w:val="ro-MD"/>
        </w:rPr>
        <w:t xml:space="preserve">i tip/gen de marfă, au admis încheierea mai multor contracte </w:t>
      </w:r>
      <w:r w:rsidR="00664A87" w:rsidRPr="00A24504">
        <w:rPr>
          <w:rFonts w:asciiTheme="majorHAnsi" w:eastAsia="Calibri" w:hAnsiTheme="majorHAnsi" w:cstheme="majorHAnsi"/>
          <w:sz w:val="24"/>
          <w:szCs w:val="24"/>
          <w:lang w:val="ro-MD"/>
        </w:rPr>
        <w:t xml:space="preserve">de achiziție publică </w:t>
      </w:r>
      <w:r w:rsidRPr="00A24504">
        <w:rPr>
          <w:rFonts w:asciiTheme="majorHAnsi" w:eastAsia="Calibri" w:hAnsiTheme="majorHAnsi" w:cstheme="majorHAnsi"/>
          <w:sz w:val="24"/>
          <w:szCs w:val="24"/>
          <w:lang w:val="ro-MD"/>
        </w:rPr>
        <w:t>de valoare mică cu acela</w:t>
      </w:r>
      <w:r w:rsidR="0069374B" w:rsidRPr="00A24504">
        <w:rPr>
          <w:rFonts w:asciiTheme="majorHAnsi" w:eastAsia="Calibri" w:hAnsiTheme="majorHAnsi" w:cstheme="majorHAnsi"/>
          <w:sz w:val="24"/>
          <w:szCs w:val="24"/>
          <w:lang w:val="ro-MD"/>
        </w:rPr>
        <w:t>ș</w:t>
      </w:r>
      <w:r w:rsidRPr="00A24504">
        <w:rPr>
          <w:rFonts w:asciiTheme="majorHAnsi" w:eastAsia="Calibri" w:hAnsiTheme="majorHAnsi" w:cstheme="majorHAnsi"/>
          <w:sz w:val="24"/>
          <w:szCs w:val="24"/>
          <w:lang w:val="ro-MD"/>
        </w:rPr>
        <w:t>i</w:t>
      </w:r>
      <w:r w:rsidRPr="00A24504">
        <w:rPr>
          <w:rFonts w:asciiTheme="majorHAnsi" w:eastAsia="Calibri" w:hAnsiTheme="majorHAnsi" w:cstheme="majorHAnsi"/>
          <w:b/>
          <w:sz w:val="24"/>
          <w:szCs w:val="24"/>
          <w:lang w:val="ro-MD"/>
        </w:rPr>
        <w:t xml:space="preserve"> </w:t>
      </w:r>
      <w:r w:rsidRPr="00A24504">
        <w:rPr>
          <w:rFonts w:asciiTheme="majorHAnsi" w:eastAsia="Calibri" w:hAnsiTheme="majorHAnsi" w:cstheme="majorHAnsi"/>
          <w:sz w:val="24"/>
          <w:szCs w:val="24"/>
          <w:lang w:val="ro-MD"/>
        </w:rPr>
        <w:t>agent economic</w:t>
      </w:r>
      <w:r w:rsidR="00664A87" w:rsidRPr="00A24504">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 sumă totală de </w:t>
      </w:r>
      <w:r w:rsidRPr="00BC3271">
        <w:rPr>
          <w:rFonts w:asciiTheme="majorHAnsi" w:eastAsia="Calibri" w:hAnsiTheme="majorHAnsi" w:cstheme="majorHAnsi"/>
          <w:b/>
          <w:sz w:val="24"/>
          <w:szCs w:val="24"/>
          <w:lang w:val="ro-MD"/>
        </w:rPr>
        <w:t>6035,4 mii lei</w:t>
      </w:r>
      <w:r w:rsidRPr="00363CFA">
        <w:rPr>
          <w:rFonts w:asciiTheme="majorHAnsi" w:eastAsia="Calibri" w:hAnsiTheme="majorHAnsi" w:cstheme="majorHAnsi"/>
          <w:sz w:val="24"/>
          <w:szCs w:val="24"/>
          <w:lang w:val="ro-MD"/>
        </w:rPr>
        <w:t xml:space="preserve"> (valoarea estimată, fără TVA)</w:t>
      </w:r>
      <w:r w:rsidRPr="00363CFA">
        <w:rPr>
          <w:rFonts w:asciiTheme="majorHAnsi" w:eastAsia="Calibri" w:hAnsiTheme="majorHAnsi" w:cstheme="majorHAnsi"/>
          <w:sz w:val="24"/>
          <w:szCs w:val="24"/>
          <w:vertAlign w:val="superscript"/>
          <w:lang w:val="ro-MD"/>
        </w:rPr>
        <w:footnoteReference w:id="31"/>
      </w:r>
      <w:r w:rsidRPr="00363CFA">
        <w:rPr>
          <w:rFonts w:asciiTheme="majorHAnsi" w:eastAsia="Calibri" w:hAnsiTheme="majorHAnsi" w:cstheme="majorHAnsi"/>
          <w:sz w:val="24"/>
          <w:szCs w:val="24"/>
          <w:lang w:val="ro-MD"/>
        </w:rPr>
        <w:t xml:space="preserve"> </w:t>
      </w:r>
      <w:r w:rsidR="00664A87">
        <w:rPr>
          <w:rFonts w:asciiTheme="majorHAnsi" w:eastAsia="Calibri" w:hAnsiTheme="majorHAnsi" w:cstheme="majorHAnsi"/>
          <w:sz w:val="24"/>
          <w:szCs w:val="24"/>
          <w:lang w:val="ro-MD"/>
        </w:rPr>
        <w:t xml:space="preserve">, </w:t>
      </w:r>
      <w:r w:rsidRPr="00363CFA">
        <w:rPr>
          <w:rFonts w:asciiTheme="majorHAnsi" w:eastAsia="Calibri" w:hAnsiTheme="majorHAnsi" w:cstheme="majorHAnsi"/>
          <w:sz w:val="24"/>
          <w:szCs w:val="24"/>
          <w:lang w:val="ro-MD"/>
        </w:rPr>
        <w:t xml:space="preserve">din care: în anul 2018 – </w:t>
      </w:r>
      <w:r w:rsidRPr="00363CFA">
        <w:rPr>
          <w:rFonts w:asciiTheme="majorHAnsi" w:eastAsia="Calibri" w:hAnsiTheme="majorHAnsi" w:cstheme="majorHAnsi"/>
          <w:i/>
          <w:sz w:val="24"/>
          <w:szCs w:val="24"/>
          <w:lang w:val="ro-MD"/>
        </w:rPr>
        <w:t>2142,4 mii lei</w:t>
      </w:r>
      <w:r w:rsidRPr="00363CFA">
        <w:rPr>
          <w:rFonts w:asciiTheme="majorHAnsi" w:eastAsia="Calibri" w:hAnsiTheme="majorHAnsi" w:cstheme="majorHAnsi"/>
          <w:sz w:val="24"/>
          <w:szCs w:val="24"/>
          <w:lang w:val="ro-MD"/>
        </w:rPr>
        <w:t xml:space="preserve">; în anul 2019 – </w:t>
      </w:r>
      <w:r w:rsidRPr="00363CFA">
        <w:rPr>
          <w:rFonts w:asciiTheme="majorHAnsi" w:eastAsia="Calibri" w:hAnsiTheme="majorHAnsi" w:cstheme="majorHAnsi"/>
          <w:i/>
          <w:sz w:val="24"/>
          <w:szCs w:val="24"/>
          <w:lang w:val="ro-MD"/>
        </w:rPr>
        <w:t>1903,3 mii lei</w:t>
      </w:r>
      <w:r w:rsidR="00664A87">
        <w:rPr>
          <w:rFonts w:asciiTheme="majorHAnsi" w:eastAsia="Calibri" w:hAnsiTheme="majorHAnsi" w:cstheme="majorHAnsi"/>
          <w:i/>
          <w:sz w:val="24"/>
          <w:szCs w:val="24"/>
          <w:lang w:val="ro-MD"/>
        </w:rPr>
        <w:t>,</w:t>
      </w:r>
      <w:r w:rsidRPr="00363CFA">
        <w:rPr>
          <w:rFonts w:asciiTheme="majorHAnsi" w:eastAsia="Calibri" w:hAnsiTheme="majorHAnsi" w:cstheme="majorHAnsi"/>
          <w:sz w:val="24"/>
          <w:szCs w:val="24"/>
          <w:lang w:val="ro-MD"/>
        </w:rPr>
        <w:t xml:space="preserv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în </w:t>
      </w:r>
      <w:r w:rsidR="00664A87">
        <w:rPr>
          <w:rFonts w:asciiTheme="majorHAnsi" w:eastAsia="Calibri" w:hAnsiTheme="majorHAnsi" w:cstheme="majorHAnsi"/>
          <w:sz w:val="24"/>
          <w:szCs w:val="24"/>
          <w:lang w:val="ro-MD"/>
        </w:rPr>
        <w:t xml:space="preserve">anul </w:t>
      </w:r>
      <w:r w:rsidRPr="00363CFA">
        <w:rPr>
          <w:rFonts w:asciiTheme="majorHAnsi" w:eastAsia="Calibri" w:hAnsiTheme="majorHAnsi" w:cstheme="majorHAnsi"/>
          <w:sz w:val="24"/>
          <w:szCs w:val="24"/>
          <w:lang w:val="ro-MD"/>
        </w:rPr>
        <w:t xml:space="preserve">2020 – </w:t>
      </w:r>
      <w:r w:rsidRPr="00363CFA">
        <w:rPr>
          <w:rFonts w:asciiTheme="majorHAnsi" w:eastAsia="Calibri" w:hAnsiTheme="majorHAnsi" w:cstheme="majorHAnsi"/>
          <w:i/>
          <w:sz w:val="24"/>
          <w:szCs w:val="24"/>
          <w:lang w:val="ro-MD"/>
        </w:rPr>
        <w:t>1989,7 mii lei</w:t>
      </w:r>
      <w:r w:rsidRPr="00363CFA">
        <w:rPr>
          <w:rFonts w:asciiTheme="majorHAnsi" w:eastAsia="Calibri" w:hAnsiTheme="majorHAnsi" w:cstheme="majorHAnsi"/>
          <w:i/>
          <w:sz w:val="24"/>
          <w:szCs w:val="24"/>
          <w:vertAlign w:val="superscript"/>
          <w:lang w:val="ro-MD"/>
        </w:rPr>
        <w:footnoteReference w:id="32"/>
      </w:r>
      <w:r w:rsidRPr="00363CFA">
        <w:rPr>
          <w:rFonts w:asciiTheme="majorHAnsi" w:eastAsia="Calibri" w:hAnsiTheme="majorHAnsi" w:cstheme="majorHAnsi"/>
          <w:sz w:val="24"/>
          <w:szCs w:val="24"/>
          <w:lang w:val="ro-MD"/>
        </w:rPr>
        <w:t xml:space="preserve">. </w:t>
      </w:r>
    </w:p>
    <w:p w14:paraId="79700185" w14:textId="225CF06C" w:rsidR="00CD41D2" w:rsidRPr="00363CFA" w:rsidRDefault="00CD41D2" w:rsidP="00767ED8">
      <w:pPr>
        <w:numPr>
          <w:ilvl w:val="0"/>
          <w:numId w:val="15"/>
        </w:numPr>
        <w:tabs>
          <w:tab w:val="left" w:pos="0"/>
          <w:tab w:val="left" w:pos="142"/>
          <w:tab w:val="left" w:pos="567"/>
          <w:tab w:val="left" w:pos="851"/>
        </w:tabs>
        <w:spacing w:after="0" w:line="276" w:lineRule="auto"/>
        <w:ind w:left="0" w:firstLine="567"/>
        <w:contextualSpacing/>
        <w:jc w:val="both"/>
        <w:rPr>
          <w:rFonts w:asciiTheme="majorHAnsi" w:eastAsia="Calibri" w:hAnsiTheme="majorHAnsi" w:cstheme="majorHAnsi"/>
          <w:sz w:val="24"/>
          <w:szCs w:val="24"/>
          <w:lang w:val="ro-MD"/>
        </w:rPr>
      </w:pPr>
      <w:r w:rsidRPr="00363CFA">
        <w:rPr>
          <w:rFonts w:asciiTheme="majorHAnsi" w:eastAsia="Calibri" w:hAnsiTheme="majorHAnsi" w:cstheme="majorHAnsi"/>
          <w:b/>
          <w:i/>
          <w:sz w:val="24"/>
          <w:szCs w:val="24"/>
          <w:lang w:val="ro-MD"/>
        </w:rPr>
        <w:t>Direc</w:t>
      </w:r>
      <w:r w:rsidR="0069374B" w:rsidRPr="00363CFA">
        <w:rPr>
          <w:rFonts w:asciiTheme="majorHAnsi" w:eastAsia="Calibri" w:hAnsiTheme="majorHAnsi" w:cstheme="majorHAnsi"/>
          <w:b/>
          <w:i/>
          <w:sz w:val="24"/>
          <w:szCs w:val="24"/>
          <w:lang w:val="ro-MD"/>
        </w:rPr>
        <w:t>ț</w:t>
      </w:r>
      <w:r w:rsidRPr="00363CFA">
        <w:rPr>
          <w:rFonts w:asciiTheme="majorHAnsi" w:eastAsia="Calibri" w:hAnsiTheme="majorHAnsi" w:cstheme="majorHAnsi"/>
          <w:b/>
          <w:i/>
          <w:sz w:val="24"/>
          <w:szCs w:val="24"/>
          <w:lang w:val="ro-MD"/>
        </w:rPr>
        <w:t>ia Generală Construc</w:t>
      </w:r>
      <w:r w:rsidR="0069374B" w:rsidRPr="00363CFA">
        <w:rPr>
          <w:rFonts w:asciiTheme="majorHAnsi" w:eastAsia="Calibri" w:hAnsiTheme="majorHAnsi" w:cstheme="majorHAnsi"/>
          <w:b/>
          <w:i/>
          <w:sz w:val="24"/>
          <w:szCs w:val="24"/>
          <w:lang w:val="ro-MD"/>
        </w:rPr>
        <w:t>ț</w:t>
      </w:r>
      <w:r w:rsidRPr="00363CFA">
        <w:rPr>
          <w:rFonts w:asciiTheme="majorHAnsi" w:eastAsia="Calibri" w:hAnsiTheme="majorHAnsi" w:cstheme="majorHAnsi"/>
          <w:b/>
          <w:i/>
          <w:sz w:val="24"/>
          <w:szCs w:val="24"/>
          <w:lang w:val="ro-MD"/>
        </w:rPr>
        <w:t xml:space="preserve">ii </w:t>
      </w:r>
      <w:r w:rsidR="0069374B" w:rsidRPr="00363CFA">
        <w:rPr>
          <w:rFonts w:asciiTheme="majorHAnsi" w:eastAsia="Calibri" w:hAnsiTheme="majorHAnsi" w:cstheme="majorHAnsi"/>
          <w:b/>
          <w:i/>
          <w:sz w:val="24"/>
          <w:szCs w:val="24"/>
          <w:lang w:val="ro-MD"/>
        </w:rPr>
        <w:t>ș</w:t>
      </w:r>
      <w:r w:rsidRPr="00363CFA">
        <w:rPr>
          <w:rFonts w:asciiTheme="majorHAnsi" w:eastAsia="Calibri" w:hAnsiTheme="majorHAnsi" w:cstheme="majorHAnsi"/>
          <w:b/>
          <w:i/>
          <w:sz w:val="24"/>
          <w:szCs w:val="24"/>
          <w:lang w:val="ro-MD"/>
        </w:rPr>
        <w:t>i Infrastructură</w:t>
      </w:r>
      <w:r w:rsidRPr="00363CFA">
        <w:rPr>
          <w:rFonts w:asciiTheme="majorHAnsi" w:eastAsia="Calibri" w:hAnsiTheme="majorHAnsi" w:cstheme="majorHAnsi"/>
          <w:sz w:val="24"/>
          <w:szCs w:val="24"/>
          <w:lang w:val="ro-MD"/>
        </w:rPr>
        <w:t xml:space="preserve">, </w:t>
      </w:r>
      <w:r w:rsidRPr="00363CFA">
        <w:rPr>
          <w:rFonts w:asciiTheme="majorHAnsi" w:eastAsia="Calibri" w:hAnsiTheme="majorHAnsi" w:cstheme="majorHAnsi"/>
          <w:i/>
          <w:sz w:val="24"/>
          <w:szCs w:val="24"/>
          <w:lang w:val="ro-MD"/>
        </w:rPr>
        <w:t xml:space="preserve">în anul 2018 </w:t>
      </w:r>
      <w:r w:rsidR="0069374B" w:rsidRPr="00363CFA">
        <w:rPr>
          <w:rFonts w:asciiTheme="majorHAnsi" w:eastAsia="Calibri" w:hAnsiTheme="majorHAnsi" w:cstheme="majorHAnsi"/>
          <w:i/>
          <w:sz w:val="24"/>
          <w:szCs w:val="24"/>
          <w:lang w:val="ro-MD"/>
        </w:rPr>
        <w:t>ș</w:t>
      </w:r>
      <w:r w:rsidRPr="00363CFA">
        <w:rPr>
          <w:rFonts w:asciiTheme="majorHAnsi" w:eastAsia="Calibri" w:hAnsiTheme="majorHAnsi" w:cstheme="majorHAnsi"/>
          <w:i/>
          <w:sz w:val="24"/>
          <w:szCs w:val="24"/>
          <w:lang w:val="ro-MD"/>
        </w:rPr>
        <w:t xml:space="preserve">i </w:t>
      </w:r>
      <w:r w:rsidR="00664A87">
        <w:rPr>
          <w:rFonts w:asciiTheme="majorHAnsi" w:eastAsia="Calibri" w:hAnsiTheme="majorHAnsi" w:cstheme="majorHAnsi"/>
          <w:i/>
          <w:sz w:val="24"/>
          <w:szCs w:val="24"/>
          <w:lang w:val="ro-MD"/>
        </w:rPr>
        <w:t xml:space="preserve">anul </w:t>
      </w:r>
      <w:r w:rsidRPr="00363CFA">
        <w:rPr>
          <w:rFonts w:asciiTheme="majorHAnsi" w:eastAsia="Calibri" w:hAnsiTheme="majorHAnsi" w:cstheme="majorHAnsi"/>
          <w:i/>
          <w:sz w:val="24"/>
          <w:szCs w:val="24"/>
          <w:lang w:val="ro-MD"/>
        </w:rPr>
        <w:t>2020</w:t>
      </w:r>
      <w:r w:rsidRPr="00363CFA">
        <w:rPr>
          <w:rFonts w:asciiTheme="majorHAnsi" w:eastAsia="Calibri" w:hAnsiTheme="majorHAnsi" w:cstheme="majorHAnsi"/>
          <w:sz w:val="24"/>
          <w:szCs w:val="24"/>
          <w:lang w:val="ro-MD"/>
        </w:rPr>
        <w:t>, la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ionarea lucrărilor de repara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între</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inere a drumurilor de interes raional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a clădirilor, nu a </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inut cont de prevederile actelor normative sus</w:t>
      </w:r>
      <w:r w:rsidR="00664A87">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men</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ionate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a admis</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contractarea în anul 2020 a lucrărilor de repara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între</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inere a drumurilor în sumă totală de </w:t>
      </w:r>
      <w:r w:rsidRPr="00363CFA">
        <w:rPr>
          <w:rFonts w:asciiTheme="majorHAnsi" w:eastAsia="Calibri" w:hAnsiTheme="majorHAnsi" w:cstheme="majorHAnsi"/>
          <w:b/>
          <w:sz w:val="24"/>
          <w:szCs w:val="24"/>
          <w:lang w:val="ro-MD"/>
        </w:rPr>
        <w:t xml:space="preserve">24341,0 mii lei </w:t>
      </w:r>
      <w:r w:rsidRPr="00363CFA">
        <w:rPr>
          <w:rFonts w:asciiTheme="majorHAnsi" w:eastAsia="Calibri" w:hAnsiTheme="majorHAnsi" w:cstheme="majorHAnsi"/>
          <w:sz w:val="24"/>
          <w:szCs w:val="24"/>
          <w:lang w:val="ro-MD"/>
        </w:rPr>
        <w:t>(inclusiv TVA)</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cu unul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acela</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antreprenor</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 baza a 2 proceduri de licita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publică separate</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 sumă de </w:t>
      </w:r>
      <w:r w:rsidRPr="00363CFA">
        <w:rPr>
          <w:rFonts w:asciiTheme="majorHAnsi" w:eastAsia="Calibri" w:hAnsiTheme="majorHAnsi" w:cstheme="majorHAnsi"/>
          <w:i/>
          <w:sz w:val="24"/>
          <w:szCs w:val="24"/>
          <w:lang w:val="ro-MD"/>
        </w:rPr>
        <w:t xml:space="preserve">21356,3 mii lei </w:t>
      </w:r>
      <w:r w:rsidR="0069374B" w:rsidRPr="00363CFA">
        <w:rPr>
          <w:rFonts w:asciiTheme="majorHAnsi" w:eastAsia="Calibri" w:hAnsiTheme="majorHAnsi" w:cstheme="majorHAnsi"/>
          <w:i/>
          <w:sz w:val="24"/>
          <w:szCs w:val="24"/>
          <w:lang w:val="ro-MD"/>
        </w:rPr>
        <w:t>ș</w:t>
      </w:r>
      <w:r w:rsidRPr="00363CFA">
        <w:rPr>
          <w:rFonts w:asciiTheme="majorHAnsi" w:eastAsia="Calibri" w:hAnsiTheme="majorHAnsi" w:cstheme="majorHAnsi"/>
          <w:i/>
          <w:sz w:val="24"/>
          <w:szCs w:val="24"/>
          <w:lang w:val="ro-MD"/>
        </w:rPr>
        <w:t xml:space="preserve">i </w:t>
      </w:r>
      <w:r w:rsidR="00A23AA2">
        <w:rPr>
          <w:rFonts w:asciiTheme="majorHAnsi" w:eastAsia="Calibri" w:hAnsiTheme="majorHAnsi" w:cstheme="majorHAnsi"/>
          <w:i/>
          <w:sz w:val="24"/>
          <w:szCs w:val="24"/>
          <w:lang w:val="ro-MD"/>
        </w:rPr>
        <w:t xml:space="preserve">de </w:t>
      </w:r>
      <w:r w:rsidRPr="00363CFA">
        <w:rPr>
          <w:rFonts w:asciiTheme="majorHAnsi" w:eastAsia="Calibri" w:hAnsiTheme="majorHAnsi" w:cstheme="majorHAnsi"/>
          <w:i/>
          <w:sz w:val="24"/>
          <w:szCs w:val="24"/>
          <w:lang w:val="ro-MD"/>
        </w:rPr>
        <w:t>2984,7 mii lei</w:t>
      </w:r>
      <w:r w:rsidRPr="00363CFA">
        <w:rPr>
          <w:rFonts w:asciiTheme="majorHAnsi" w:eastAsia="Calibri" w:hAnsiTheme="majorHAnsi" w:cstheme="majorHAnsi"/>
          <w:sz w:val="24"/>
          <w:szCs w:val="24"/>
          <w:lang w:val="ro-MD"/>
        </w:rPr>
        <w:t>;</w:t>
      </w:r>
      <w:r w:rsidRPr="00363CFA">
        <w:rPr>
          <w:rFonts w:asciiTheme="majorHAnsi" w:eastAsia="Calibri" w:hAnsiTheme="majorHAnsi" w:cstheme="majorHAnsi"/>
          <w:i/>
          <w:sz w:val="24"/>
          <w:szCs w:val="24"/>
          <w:lang w:val="ro-MD"/>
        </w:rPr>
        <w:t xml:space="preserve"> </w:t>
      </w:r>
      <w:r w:rsidRPr="00363CFA">
        <w:rPr>
          <w:rFonts w:asciiTheme="majorHAnsi" w:eastAsia="Calibri" w:hAnsiTheme="majorHAnsi" w:cstheme="majorHAnsi"/>
          <w:sz w:val="24"/>
          <w:szCs w:val="24"/>
          <w:lang w:val="ro-MD"/>
        </w:rPr>
        <w:t>contractarea în anul 2018 a lucrărilor de repara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între</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inere a drumurilor în sumă totală de </w:t>
      </w:r>
      <w:r w:rsidRPr="00363CFA">
        <w:rPr>
          <w:rFonts w:asciiTheme="majorHAnsi" w:eastAsia="Calibri" w:hAnsiTheme="majorHAnsi" w:cstheme="majorHAnsi"/>
          <w:b/>
          <w:sz w:val="24"/>
          <w:szCs w:val="24"/>
          <w:lang w:val="ro-MD"/>
        </w:rPr>
        <w:t xml:space="preserve">28696,3 mii lei </w:t>
      </w:r>
      <w:r w:rsidRPr="00363CFA">
        <w:rPr>
          <w:rFonts w:asciiTheme="majorHAnsi" w:eastAsia="Calibri" w:hAnsiTheme="majorHAnsi" w:cstheme="majorHAnsi"/>
          <w:sz w:val="24"/>
          <w:szCs w:val="24"/>
          <w:lang w:val="ro-MD"/>
        </w:rPr>
        <w:t>(inclusiv TVA)</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cu 2 antreprenori</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 baza a 2 proceduri de licita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publică separate</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 sumă de 8881,6 mii lei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w:t>
      </w:r>
      <w:r w:rsidR="00A23AA2">
        <w:rPr>
          <w:rFonts w:asciiTheme="majorHAnsi" w:eastAsia="Calibri" w:hAnsiTheme="majorHAnsi" w:cstheme="majorHAnsi"/>
          <w:sz w:val="24"/>
          <w:szCs w:val="24"/>
          <w:lang w:val="ro-MD"/>
        </w:rPr>
        <w:t xml:space="preserve">de </w:t>
      </w:r>
      <w:r w:rsidRPr="00363CFA">
        <w:rPr>
          <w:rFonts w:asciiTheme="majorHAnsi" w:eastAsia="Calibri" w:hAnsiTheme="majorHAnsi" w:cstheme="majorHAnsi"/>
          <w:sz w:val="24"/>
          <w:szCs w:val="24"/>
          <w:lang w:val="ro-MD"/>
        </w:rPr>
        <w:t>19814,7 mii lei (anul 2018); divizarea valorii estimate a lucrărilor de repara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 capitală a clădirilor, în sumă totală de </w:t>
      </w:r>
      <w:r w:rsidRPr="00363CFA">
        <w:rPr>
          <w:rFonts w:asciiTheme="majorHAnsi" w:eastAsia="Calibri" w:hAnsiTheme="majorHAnsi" w:cstheme="majorHAnsi"/>
          <w:b/>
          <w:sz w:val="24"/>
          <w:szCs w:val="24"/>
          <w:lang w:val="ro-MD"/>
        </w:rPr>
        <w:t xml:space="preserve">23336,3 mii lei </w:t>
      </w:r>
      <w:r w:rsidRPr="00363CFA">
        <w:rPr>
          <w:rFonts w:asciiTheme="majorHAnsi" w:eastAsia="Calibri" w:hAnsiTheme="majorHAnsi" w:cstheme="majorHAnsi"/>
          <w:sz w:val="24"/>
          <w:szCs w:val="24"/>
          <w:lang w:val="ro-MD"/>
        </w:rPr>
        <w:t>(inclusiv TVA), p</w:t>
      </w:r>
      <w:r w:rsidR="00A23AA2">
        <w:rPr>
          <w:rFonts w:asciiTheme="majorHAnsi" w:eastAsia="Calibri" w:hAnsiTheme="majorHAnsi" w:cstheme="majorHAnsi"/>
          <w:sz w:val="24"/>
          <w:szCs w:val="24"/>
          <w:lang w:val="ro-MD"/>
        </w:rPr>
        <w:t>rin</w:t>
      </w:r>
      <w:r w:rsidRPr="00363CFA">
        <w:rPr>
          <w:rFonts w:asciiTheme="majorHAnsi" w:eastAsia="Calibri" w:hAnsiTheme="majorHAnsi" w:cstheme="majorHAnsi"/>
          <w:sz w:val="24"/>
          <w:szCs w:val="24"/>
          <w:lang w:val="ro-MD"/>
        </w:rPr>
        <w:t xml:space="preserve"> 9 proceduri de licita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publică separate (cu 7 antreprenori), nefiind aplicate principiul valorii estimate cumulative a tuturor obiectelor/</w:t>
      </w:r>
      <w:r w:rsidR="00822973">
        <w:rPr>
          <w:rFonts w:asciiTheme="majorHAnsi" w:eastAsia="Calibri" w:hAnsiTheme="majorHAnsi" w:cstheme="majorHAnsi"/>
          <w:sz w:val="24"/>
          <w:szCs w:val="24"/>
          <w:lang w:val="ro-MD"/>
        </w:rPr>
        <w:t xml:space="preserve"> </w:t>
      </w:r>
      <w:r w:rsidRPr="00363CFA">
        <w:rPr>
          <w:rFonts w:asciiTheme="majorHAnsi" w:eastAsia="Calibri" w:hAnsiTheme="majorHAnsi" w:cstheme="majorHAnsi"/>
          <w:sz w:val="24"/>
          <w:szCs w:val="24"/>
          <w:lang w:val="ro-MD"/>
        </w:rPr>
        <w:t>loturilor din componen</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a lucrărilor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procedura unică de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prin licita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 publică. </w:t>
      </w:r>
    </w:p>
    <w:p w14:paraId="58F734E4" w14:textId="53014790" w:rsidR="00CD41D2" w:rsidRPr="00363CFA" w:rsidRDefault="00CD41D2" w:rsidP="00767ED8">
      <w:pPr>
        <w:numPr>
          <w:ilvl w:val="0"/>
          <w:numId w:val="15"/>
        </w:numPr>
        <w:tabs>
          <w:tab w:val="left" w:pos="0"/>
          <w:tab w:val="left" w:pos="142"/>
          <w:tab w:val="left" w:pos="426"/>
          <w:tab w:val="left" w:pos="851"/>
        </w:tabs>
        <w:spacing w:after="0" w:line="276" w:lineRule="auto"/>
        <w:ind w:left="0" w:firstLine="567"/>
        <w:contextualSpacing/>
        <w:jc w:val="both"/>
        <w:rPr>
          <w:rFonts w:asciiTheme="majorHAnsi" w:eastAsia="Calibri" w:hAnsiTheme="majorHAnsi" w:cstheme="majorHAnsi"/>
          <w:sz w:val="24"/>
          <w:szCs w:val="24"/>
          <w:lang w:val="ro-MD"/>
        </w:rPr>
      </w:pPr>
      <w:r w:rsidRPr="00363CFA">
        <w:rPr>
          <w:rFonts w:asciiTheme="majorHAnsi" w:eastAsia="Calibri" w:hAnsiTheme="majorHAnsi" w:cstheme="majorHAnsi"/>
          <w:sz w:val="24"/>
          <w:szCs w:val="24"/>
          <w:lang w:val="ro-MD"/>
        </w:rPr>
        <w:t xml:space="preserve">La efectuarea procurărilor de bunuri, servicii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lucrări, unele entită</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 publice din cadrul UTA Găgăuzia nu au asigurat executarea conformă a unor prevederi legale în domeniul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iilor publice, nefiind aplicate principiul valorii estimate cumulative a tuturor obiectelor/loturilor din componen</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a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iei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procedura unică de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după caz, fie prin cererea ofertelor de pre</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uri, fie prin licita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publică</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au admis divizarea valorii estimate a </w:t>
      </w:r>
      <w:r w:rsidRPr="00363CFA">
        <w:rPr>
          <w:rFonts w:asciiTheme="majorHAnsi" w:eastAsia="Calibri" w:hAnsiTheme="majorHAnsi" w:cstheme="majorHAnsi"/>
          <w:sz w:val="24"/>
          <w:szCs w:val="24"/>
          <w:lang w:val="ro-MD"/>
        </w:rPr>
        <w:lastRenderedPageBreak/>
        <w:t>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iilor prin mai multe proceduri de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separate (de valoare mică, cererea ofertelor de pre</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uri, licita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publică</w:t>
      </w:r>
      <w:r w:rsidRPr="00363CFA">
        <w:rPr>
          <w:rFonts w:asciiTheme="majorHAnsi" w:eastAsia="Calibri" w:hAnsiTheme="majorHAnsi" w:cstheme="majorHAnsi"/>
          <w:sz w:val="24"/>
          <w:szCs w:val="24"/>
          <w:vertAlign w:val="superscript"/>
          <w:lang w:val="ro-MD"/>
        </w:rPr>
        <w:footnoteReference w:id="33"/>
      </w:r>
      <w:r w:rsidRPr="00363CFA">
        <w:rPr>
          <w:rFonts w:asciiTheme="majorHAnsi" w:eastAsia="Calibri" w:hAnsiTheme="majorHAnsi" w:cstheme="majorHAnsi"/>
          <w:sz w:val="24"/>
          <w:szCs w:val="24"/>
          <w:lang w:val="ro-MD"/>
        </w:rPr>
        <w:t>)</w:t>
      </w:r>
      <w:r w:rsidR="00A23AA2">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 sumă totală de </w:t>
      </w:r>
      <w:r w:rsidRPr="00363CFA">
        <w:rPr>
          <w:rFonts w:asciiTheme="majorHAnsi" w:eastAsia="Calibri" w:hAnsiTheme="majorHAnsi" w:cstheme="majorHAnsi"/>
          <w:b/>
          <w:sz w:val="24"/>
          <w:szCs w:val="24"/>
          <w:lang w:val="ro-MD"/>
        </w:rPr>
        <w:t xml:space="preserve">65501,9 mii lei </w:t>
      </w:r>
      <w:r w:rsidRPr="00BC3271">
        <w:rPr>
          <w:rFonts w:asciiTheme="majorHAnsi" w:eastAsia="Calibri" w:hAnsiTheme="majorHAnsi" w:cstheme="majorHAnsi"/>
          <w:sz w:val="24"/>
          <w:szCs w:val="24"/>
          <w:lang w:val="ro-MD"/>
        </w:rPr>
        <w:t>(fără TVA),</w:t>
      </w:r>
      <w:r w:rsidRPr="00363CFA">
        <w:rPr>
          <w:rFonts w:asciiTheme="majorHAnsi" w:eastAsia="Calibri" w:hAnsiTheme="majorHAnsi" w:cstheme="majorHAnsi"/>
          <w:sz w:val="24"/>
          <w:szCs w:val="24"/>
          <w:lang w:val="ro-MD"/>
        </w:rPr>
        <w:t xml:space="preserve"> din care: </w:t>
      </w:r>
      <w:r w:rsidRPr="00363CFA">
        <w:rPr>
          <w:rFonts w:asciiTheme="majorHAnsi" w:eastAsia="Calibri" w:hAnsiTheme="majorHAnsi" w:cstheme="majorHAnsi"/>
          <w:i/>
          <w:sz w:val="24"/>
          <w:szCs w:val="24"/>
          <w:lang w:val="ro-MD"/>
        </w:rPr>
        <w:t>în anul 2018 – 18127,6 mii lei; în anul 2019 – 36796,3 mii lei</w:t>
      </w:r>
      <w:r w:rsidR="00A23AA2">
        <w:rPr>
          <w:rFonts w:asciiTheme="majorHAnsi" w:eastAsia="Calibri" w:hAnsiTheme="majorHAnsi" w:cstheme="majorHAnsi"/>
          <w:i/>
          <w:sz w:val="24"/>
          <w:szCs w:val="24"/>
          <w:lang w:val="ro-MD"/>
        </w:rPr>
        <w:t>,</w:t>
      </w:r>
      <w:r w:rsidRPr="00363CFA">
        <w:rPr>
          <w:rFonts w:asciiTheme="majorHAnsi" w:eastAsia="Calibri" w:hAnsiTheme="majorHAnsi" w:cstheme="majorHAnsi"/>
          <w:i/>
          <w:sz w:val="24"/>
          <w:szCs w:val="24"/>
          <w:lang w:val="ro-MD"/>
        </w:rPr>
        <w:t xml:space="preserve"> </w:t>
      </w:r>
      <w:r w:rsidR="0069374B" w:rsidRPr="00363CFA">
        <w:rPr>
          <w:rFonts w:asciiTheme="majorHAnsi" w:eastAsia="Calibri" w:hAnsiTheme="majorHAnsi" w:cstheme="majorHAnsi"/>
          <w:i/>
          <w:sz w:val="24"/>
          <w:szCs w:val="24"/>
          <w:lang w:val="ro-MD"/>
        </w:rPr>
        <w:t>ș</w:t>
      </w:r>
      <w:r w:rsidRPr="00363CFA">
        <w:rPr>
          <w:rFonts w:asciiTheme="majorHAnsi" w:eastAsia="Calibri" w:hAnsiTheme="majorHAnsi" w:cstheme="majorHAnsi"/>
          <w:i/>
          <w:sz w:val="24"/>
          <w:szCs w:val="24"/>
          <w:lang w:val="ro-MD"/>
        </w:rPr>
        <w:t>i în anul 2020 – 10578,0 mii lei</w:t>
      </w:r>
      <w:r w:rsidRPr="00363CFA">
        <w:rPr>
          <w:rFonts w:asciiTheme="majorHAnsi" w:eastAsia="Calibri" w:hAnsiTheme="majorHAnsi" w:cstheme="majorHAnsi"/>
          <w:sz w:val="24"/>
          <w:szCs w:val="24"/>
          <w:vertAlign w:val="superscript"/>
          <w:lang w:val="ro-MD"/>
        </w:rPr>
        <w:footnoteReference w:id="34"/>
      </w:r>
      <w:r w:rsidRPr="00363CFA">
        <w:rPr>
          <w:rFonts w:asciiTheme="majorHAnsi" w:eastAsia="Calibri" w:hAnsiTheme="majorHAnsi" w:cstheme="majorHAnsi"/>
          <w:sz w:val="24"/>
          <w:szCs w:val="24"/>
          <w:lang w:val="ro-MD"/>
        </w:rPr>
        <w:t xml:space="preserve">. Analiza detaliată </w:t>
      </w:r>
      <w:r w:rsidR="00A23AA2">
        <w:rPr>
          <w:rFonts w:asciiTheme="majorHAnsi" w:eastAsia="Calibri" w:hAnsiTheme="majorHAnsi" w:cstheme="majorHAnsi"/>
          <w:sz w:val="24"/>
          <w:szCs w:val="24"/>
          <w:lang w:val="ro-MD"/>
        </w:rPr>
        <w:t xml:space="preserve">în acest sens </w:t>
      </w:r>
      <w:r w:rsidRPr="00363CFA">
        <w:rPr>
          <w:rFonts w:asciiTheme="majorHAnsi" w:eastAsia="Calibri" w:hAnsiTheme="majorHAnsi" w:cstheme="majorHAnsi"/>
          <w:sz w:val="24"/>
          <w:szCs w:val="24"/>
          <w:lang w:val="ro-MD"/>
        </w:rPr>
        <w:t xml:space="preserve">este prezentată în </w:t>
      </w:r>
      <w:r w:rsidRPr="00BC3271">
        <w:rPr>
          <w:rFonts w:asciiTheme="majorHAnsi" w:eastAsia="Calibri" w:hAnsiTheme="majorHAnsi" w:cstheme="majorHAnsi"/>
          <w:b/>
          <w:sz w:val="24"/>
          <w:szCs w:val="24"/>
          <w:lang w:val="ro-MD"/>
        </w:rPr>
        <w:t xml:space="preserve">Anexa nr. </w:t>
      </w:r>
      <w:r w:rsidR="00C36352" w:rsidRPr="00BC3271">
        <w:rPr>
          <w:rFonts w:asciiTheme="majorHAnsi" w:eastAsia="Calibri" w:hAnsiTheme="majorHAnsi" w:cstheme="majorHAnsi"/>
          <w:b/>
          <w:sz w:val="24"/>
          <w:szCs w:val="24"/>
          <w:lang w:val="ro-MD"/>
        </w:rPr>
        <w:t>8</w:t>
      </w:r>
      <w:r w:rsidR="00C36352" w:rsidRPr="00363CFA">
        <w:rPr>
          <w:rFonts w:asciiTheme="majorHAnsi" w:eastAsia="Calibri" w:hAnsiTheme="majorHAnsi" w:cstheme="majorHAnsi"/>
          <w:b/>
          <w:i/>
          <w:sz w:val="24"/>
          <w:szCs w:val="24"/>
          <w:lang w:val="ro-MD"/>
        </w:rPr>
        <w:t xml:space="preserve"> </w:t>
      </w:r>
      <w:r w:rsidRPr="00363CFA">
        <w:rPr>
          <w:rFonts w:asciiTheme="majorHAnsi" w:eastAsia="Calibri" w:hAnsiTheme="majorHAnsi" w:cstheme="majorHAnsi"/>
          <w:sz w:val="24"/>
          <w:szCs w:val="24"/>
          <w:lang w:val="ro-MD"/>
        </w:rPr>
        <w:t>la Raportul de audit.</w:t>
      </w:r>
    </w:p>
    <w:p w14:paraId="1EB4E61F" w14:textId="62D39E79" w:rsidR="00CD41D2" w:rsidRPr="00363CFA" w:rsidRDefault="00CD41D2" w:rsidP="00767ED8">
      <w:pPr>
        <w:numPr>
          <w:ilvl w:val="0"/>
          <w:numId w:val="15"/>
        </w:numPr>
        <w:tabs>
          <w:tab w:val="left" w:pos="0"/>
          <w:tab w:val="left" w:pos="426"/>
          <w:tab w:val="left" w:pos="709"/>
          <w:tab w:val="left" w:pos="851"/>
        </w:tabs>
        <w:spacing w:after="0" w:line="276" w:lineRule="auto"/>
        <w:ind w:left="0" w:firstLine="567"/>
        <w:contextualSpacing/>
        <w:jc w:val="both"/>
        <w:rPr>
          <w:rFonts w:asciiTheme="majorHAnsi" w:eastAsia="Times New Roman" w:hAnsiTheme="majorHAnsi" w:cstheme="majorHAnsi"/>
          <w:sz w:val="24"/>
          <w:szCs w:val="24"/>
          <w:lang w:val="ro-MD"/>
        </w:rPr>
      </w:pPr>
      <w:r w:rsidRPr="00363CFA">
        <w:rPr>
          <w:rFonts w:asciiTheme="majorHAnsi" w:eastAsia="Calibri" w:hAnsiTheme="majorHAnsi" w:cstheme="majorHAnsi"/>
          <w:sz w:val="24"/>
          <w:szCs w:val="24"/>
          <w:lang w:val="ro-MD"/>
        </w:rPr>
        <w:t>Actele normative</w:t>
      </w:r>
      <w:r w:rsidRPr="00363CFA">
        <w:rPr>
          <w:rFonts w:asciiTheme="majorHAnsi" w:eastAsia="Calibri" w:hAnsiTheme="majorHAnsi" w:cstheme="majorHAnsi"/>
          <w:sz w:val="24"/>
          <w:szCs w:val="24"/>
          <w:vertAlign w:val="superscript"/>
          <w:lang w:val="ro-MD"/>
        </w:rPr>
        <w:footnoteReference w:id="35"/>
      </w:r>
      <w:r w:rsidRPr="00363CFA">
        <w:rPr>
          <w:rFonts w:asciiTheme="majorHAnsi" w:eastAsia="Calibri" w:hAnsiTheme="majorHAnsi" w:cstheme="majorHAnsi"/>
          <w:sz w:val="24"/>
          <w:szCs w:val="24"/>
          <w:lang w:val="ro-MD"/>
        </w:rPr>
        <w:t xml:space="preserve"> stabilesc că</w:t>
      </w:r>
      <w:r w:rsidR="00DF730E">
        <w:rPr>
          <w:rFonts w:asciiTheme="majorHAnsi" w:eastAsia="Calibri" w:hAnsiTheme="majorHAnsi" w:cstheme="majorHAnsi"/>
          <w:sz w:val="24"/>
          <w:szCs w:val="24"/>
          <w:lang w:val="ro-MD"/>
        </w:rPr>
        <w:t xml:space="preserve">, </w:t>
      </w:r>
      <w:r w:rsidRPr="00363CFA">
        <w:rPr>
          <w:rFonts w:asciiTheme="majorHAnsi" w:eastAsia="Times New Roman" w:hAnsiTheme="majorHAnsi" w:cstheme="majorHAnsi"/>
          <w:sz w:val="24"/>
          <w:szCs w:val="24"/>
          <w:lang w:val="ro-MD"/>
        </w:rPr>
        <w:t>începând cu 1 ianuarie 2003</w:t>
      </w:r>
      <w:r w:rsidR="00DF730E">
        <w:rPr>
          <w:rFonts w:asciiTheme="majorHAnsi" w:eastAsia="Times New Roman" w:hAnsiTheme="majorHAnsi" w:cstheme="majorHAnsi"/>
          <w:sz w:val="24"/>
          <w:szCs w:val="24"/>
          <w:lang w:val="ro-MD"/>
        </w:rPr>
        <w:t>,</w:t>
      </w:r>
      <w:r w:rsidRPr="00363CFA">
        <w:rPr>
          <w:rFonts w:asciiTheme="majorHAnsi" w:eastAsia="Times New Roman" w:hAnsiTheme="majorHAnsi" w:cstheme="majorHAnsi"/>
          <w:sz w:val="24"/>
          <w:szCs w:val="24"/>
          <w:lang w:val="ro-MD"/>
        </w:rPr>
        <w:t xml:space="preserve"> întocmirea documenta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iei de deviz pentru obiectivele de construc</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ii se va efectua prin metoda de resurse, conform codului practic CP L.01.01-2001 "Instruc</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iuni privind întocmirea devizelor pentru lucrările de construc</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ii-montaj prin metoda de resurse", utilizând noile norme de deviz pentru lucrările de construc</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ii-montaj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repara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ii la construc</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ii. </w:t>
      </w:r>
      <w:r w:rsidRPr="00363CFA">
        <w:rPr>
          <w:rFonts w:asciiTheme="majorHAnsi" w:eastAsia="Calibri" w:hAnsiTheme="majorHAnsi" w:cstheme="majorHAnsi"/>
          <w:sz w:val="24"/>
          <w:szCs w:val="24"/>
          <w:lang w:val="ro-MD"/>
        </w:rPr>
        <w:t xml:space="preserve">Însă, </w:t>
      </w:r>
      <w:r w:rsidRPr="00363CFA">
        <w:rPr>
          <w:rFonts w:asciiTheme="majorHAnsi" w:eastAsia="Times New Roman" w:hAnsiTheme="majorHAnsi" w:cstheme="majorHAnsi"/>
          <w:sz w:val="24"/>
          <w:szCs w:val="24"/>
          <w:lang w:val="ro-MD"/>
        </w:rPr>
        <w:t>zece entită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 publice</w:t>
      </w:r>
      <w:r w:rsidRPr="00363CFA">
        <w:rPr>
          <w:rFonts w:asciiTheme="majorHAnsi" w:eastAsia="Times New Roman" w:hAnsiTheme="majorHAnsi" w:cstheme="majorHAnsi"/>
          <w:sz w:val="24"/>
          <w:szCs w:val="24"/>
          <w:vertAlign w:val="superscript"/>
          <w:lang w:val="ro-MD"/>
        </w:rPr>
        <w:footnoteReference w:id="36"/>
      </w:r>
      <w:r w:rsidRPr="00363CFA">
        <w:rPr>
          <w:rFonts w:asciiTheme="majorHAnsi" w:eastAsia="Times New Roman" w:hAnsiTheme="majorHAnsi" w:cstheme="majorHAnsi"/>
          <w:sz w:val="24"/>
          <w:szCs w:val="24"/>
          <w:lang w:val="ro-MD"/>
        </w:rPr>
        <w:t>, la contractarea lucrărilor de repara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acceptarea ofertei în cadrul procedurii de achizi</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ie</w:t>
      </w:r>
      <w:r w:rsidR="00EE3D5A" w:rsidRPr="00363CFA">
        <w:rPr>
          <w:rFonts w:asciiTheme="majorHAnsi" w:eastAsia="Times New Roman" w:hAnsiTheme="majorHAnsi" w:cstheme="majorHAnsi"/>
          <w:sz w:val="24"/>
          <w:szCs w:val="24"/>
          <w:lang w:val="ro-MD"/>
        </w:rPr>
        <w:t xml:space="preserve"> în sumă totală de 742,3 mii lei</w:t>
      </w:r>
      <w:r w:rsidRPr="00363CFA">
        <w:rPr>
          <w:rFonts w:asciiTheme="majorHAnsi" w:eastAsia="Times New Roman" w:hAnsiTheme="majorHAnsi" w:cstheme="majorHAnsi"/>
          <w:sz w:val="24"/>
          <w:szCs w:val="24"/>
          <w:lang w:val="ro-MD"/>
        </w:rPr>
        <w:t>, nu a asigurat depunerea de către antreprenor a devizului de cheltuieli întocmit prin metoda de resurse, acesta fiind obligatoriu. Efectiv, ofertantul a depus pre</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ul pentru executarea lucrărilor, nefiind descrise următoarele costuri: manopera; materialele utilizate; utilajele folosite; asigurarea socială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 xml:space="preserve">i medicală; transportul materialelor; cheltuielile de regie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beneficiul de deviz.</w:t>
      </w:r>
    </w:p>
    <w:p w14:paraId="1CECFE31" w14:textId="77777777" w:rsidR="00CD41D2" w:rsidRPr="00363CFA" w:rsidRDefault="00CD41D2" w:rsidP="00767ED8">
      <w:pPr>
        <w:numPr>
          <w:ilvl w:val="0"/>
          <w:numId w:val="16"/>
        </w:numPr>
        <w:tabs>
          <w:tab w:val="left" w:pos="0"/>
          <w:tab w:val="left" w:pos="284"/>
          <w:tab w:val="left" w:pos="851"/>
        </w:tabs>
        <w:spacing w:after="0" w:line="276" w:lineRule="auto"/>
        <w:ind w:left="0" w:firstLine="567"/>
        <w:contextualSpacing/>
        <w:jc w:val="both"/>
        <w:rPr>
          <w:rFonts w:asciiTheme="majorHAnsi" w:eastAsia="Calibri" w:hAnsiTheme="majorHAnsi" w:cstheme="majorHAnsi"/>
          <w:i/>
          <w:sz w:val="24"/>
          <w:szCs w:val="24"/>
          <w:u w:val="single"/>
          <w:lang w:val="ro-MD"/>
        </w:rPr>
      </w:pPr>
      <w:r w:rsidRPr="00363CFA">
        <w:rPr>
          <w:rFonts w:asciiTheme="majorHAnsi" w:eastAsia="Calibri" w:hAnsiTheme="majorHAnsi" w:cstheme="majorHAnsi"/>
          <w:i/>
          <w:sz w:val="24"/>
          <w:szCs w:val="24"/>
          <w:u w:val="single"/>
          <w:lang w:val="ro-MD"/>
        </w:rPr>
        <w:t>executarea contractelor de achizi</w:t>
      </w:r>
      <w:r w:rsidR="0069374B" w:rsidRPr="00363CFA">
        <w:rPr>
          <w:rFonts w:asciiTheme="majorHAnsi" w:eastAsia="Calibri" w:hAnsiTheme="majorHAnsi" w:cstheme="majorHAnsi"/>
          <w:i/>
          <w:sz w:val="24"/>
          <w:szCs w:val="24"/>
          <w:u w:val="single"/>
          <w:lang w:val="ro-MD"/>
        </w:rPr>
        <w:t>ț</w:t>
      </w:r>
      <w:r w:rsidRPr="00363CFA">
        <w:rPr>
          <w:rFonts w:asciiTheme="majorHAnsi" w:eastAsia="Calibri" w:hAnsiTheme="majorHAnsi" w:cstheme="majorHAnsi"/>
          <w:i/>
          <w:sz w:val="24"/>
          <w:szCs w:val="24"/>
          <w:u w:val="single"/>
          <w:lang w:val="ro-MD"/>
        </w:rPr>
        <w:t xml:space="preserve">ie publică </w:t>
      </w:r>
    </w:p>
    <w:p w14:paraId="4AE069DA" w14:textId="26BFBEA1" w:rsidR="00CD41D2" w:rsidRPr="00363CFA" w:rsidRDefault="00CD41D2" w:rsidP="00767ED8">
      <w:pPr>
        <w:numPr>
          <w:ilvl w:val="0"/>
          <w:numId w:val="17"/>
        </w:numPr>
        <w:tabs>
          <w:tab w:val="left" w:pos="851"/>
        </w:tabs>
        <w:spacing w:after="0" w:line="276" w:lineRule="auto"/>
        <w:ind w:left="0" w:firstLine="567"/>
        <w:contextualSpacing/>
        <w:jc w:val="both"/>
        <w:rPr>
          <w:rFonts w:asciiTheme="majorHAnsi" w:eastAsia="Calibri" w:hAnsiTheme="majorHAnsi" w:cstheme="majorHAnsi"/>
          <w:bCs/>
          <w:sz w:val="24"/>
          <w:szCs w:val="24"/>
          <w:lang w:val="ro-MD"/>
        </w:rPr>
      </w:pPr>
      <w:r w:rsidRPr="00363CFA">
        <w:rPr>
          <w:rFonts w:asciiTheme="majorHAnsi" w:eastAsia="Calibri" w:hAnsiTheme="majorHAnsi" w:cstheme="majorHAnsi"/>
          <w:sz w:val="24"/>
          <w:szCs w:val="24"/>
          <w:lang w:val="ro-MD"/>
        </w:rPr>
        <w:t>Nerespectând prevederile actelor normative</w:t>
      </w:r>
      <w:r w:rsidRPr="00363CFA">
        <w:rPr>
          <w:rFonts w:asciiTheme="majorHAnsi" w:eastAsia="Calibri" w:hAnsiTheme="majorHAnsi" w:cstheme="majorHAnsi"/>
          <w:sz w:val="24"/>
          <w:szCs w:val="24"/>
          <w:vertAlign w:val="superscript"/>
          <w:lang w:val="ro-MD"/>
        </w:rPr>
        <w:footnoteReference w:id="37"/>
      </w:r>
      <w:r w:rsidRPr="00363CFA">
        <w:rPr>
          <w:rFonts w:asciiTheme="majorHAnsi" w:eastAsia="Calibri" w:hAnsiTheme="majorHAnsi" w:cstheme="majorHAnsi"/>
          <w:sz w:val="24"/>
          <w:szCs w:val="24"/>
          <w:lang w:val="ro-MD"/>
        </w:rPr>
        <w:t>, la adjudecarea unor contracte de achizi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publică pentru lucrările de repara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grupul de lucru din cadrul a 6 entită</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 publice</w:t>
      </w:r>
      <w:r w:rsidRPr="00363CFA">
        <w:rPr>
          <w:rFonts w:asciiTheme="majorHAnsi" w:eastAsia="Calibri" w:hAnsiTheme="majorHAnsi" w:cstheme="majorHAnsi"/>
          <w:sz w:val="24"/>
          <w:szCs w:val="24"/>
          <w:vertAlign w:val="superscript"/>
          <w:lang w:val="ro-MD"/>
        </w:rPr>
        <w:footnoteReference w:id="38"/>
      </w:r>
      <w:r w:rsidRPr="00363CFA">
        <w:rPr>
          <w:rFonts w:asciiTheme="majorHAnsi" w:eastAsia="Calibri" w:hAnsiTheme="majorHAnsi" w:cstheme="majorHAnsi"/>
          <w:sz w:val="24"/>
          <w:szCs w:val="24"/>
          <w:lang w:val="ro-MD"/>
        </w:rPr>
        <w:t xml:space="preserve"> a admis aplicarea majorată</w:t>
      </w:r>
      <w:r w:rsidR="004D1820">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 costurile de deviz, a cotei de asigurare socială în mărime de 23% vis-a-vis de cea aprobată prin Legea nr. 489-XIV din 08.07.1999, ceea ce a condi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ionat generarea cheltuielilor neregulamentare în sumă totală de </w:t>
      </w:r>
      <w:r w:rsidRPr="00363CFA">
        <w:rPr>
          <w:rFonts w:asciiTheme="majorHAnsi" w:eastAsia="Calibri" w:hAnsiTheme="majorHAnsi" w:cstheme="majorHAnsi"/>
          <w:b/>
          <w:bCs/>
          <w:sz w:val="24"/>
          <w:szCs w:val="24"/>
          <w:lang w:val="ro-MD"/>
        </w:rPr>
        <w:t>34,7 mii lei</w:t>
      </w:r>
      <w:r w:rsidRPr="00363CFA">
        <w:rPr>
          <w:rFonts w:asciiTheme="majorHAnsi" w:eastAsia="Calibri" w:hAnsiTheme="majorHAnsi" w:cstheme="majorHAnsi"/>
          <w:bCs/>
          <w:i/>
          <w:sz w:val="24"/>
          <w:szCs w:val="24"/>
          <w:vertAlign w:val="superscript"/>
          <w:lang w:val="ro-MD"/>
        </w:rPr>
        <w:footnoteReference w:id="39"/>
      </w:r>
      <w:r w:rsidRPr="00363CFA">
        <w:rPr>
          <w:rFonts w:asciiTheme="majorHAnsi" w:eastAsia="Calibri" w:hAnsiTheme="majorHAnsi" w:cstheme="majorHAnsi"/>
          <w:bCs/>
          <w:sz w:val="24"/>
          <w:szCs w:val="24"/>
          <w:lang w:val="ro-MD"/>
        </w:rPr>
        <w:t>.</w:t>
      </w:r>
    </w:p>
    <w:p w14:paraId="1E49B80C" w14:textId="5547E3E1" w:rsidR="00CD41D2" w:rsidRPr="00BC3271" w:rsidRDefault="00CD41D2" w:rsidP="00767ED8">
      <w:pPr>
        <w:numPr>
          <w:ilvl w:val="0"/>
          <w:numId w:val="17"/>
        </w:numPr>
        <w:tabs>
          <w:tab w:val="left" w:pos="851"/>
        </w:tabs>
        <w:spacing w:after="0" w:line="276" w:lineRule="auto"/>
        <w:ind w:left="0" w:firstLine="567"/>
        <w:contextualSpacing/>
        <w:jc w:val="both"/>
        <w:rPr>
          <w:rFonts w:asciiTheme="majorHAnsi" w:eastAsia="Calibri" w:hAnsiTheme="majorHAnsi" w:cstheme="majorHAnsi"/>
          <w:bCs/>
          <w:sz w:val="24"/>
          <w:szCs w:val="24"/>
          <w:lang w:val="ro-MD"/>
        </w:rPr>
      </w:pPr>
      <w:r w:rsidRPr="00363CFA">
        <w:rPr>
          <w:rFonts w:asciiTheme="majorHAnsi" w:eastAsia="Calibri" w:hAnsiTheme="majorHAnsi" w:cstheme="majorHAnsi"/>
          <w:sz w:val="24"/>
          <w:szCs w:val="24"/>
          <w:lang w:val="ro-MD"/>
        </w:rPr>
        <w:t>La adjudecarea unor devize de cheltuieli pentru lucrările de repara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în anul 2020, grupul de lucru din cadrul a 4 entită</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 publice a admis aplicarea la valoarea de deviz a unor costuri neregulamentare - cheltuieli pentru elaborarea de documente</w:t>
      </w:r>
      <w:r w:rsidRPr="00363CFA">
        <w:rPr>
          <w:rFonts w:asciiTheme="majorHAnsi" w:eastAsia="Calibri" w:hAnsiTheme="majorHAnsi" w:cstheme="majorHAnsi"/>
          <w:sz w:val="24"/>
          <w:szCs w:val="24"/>
          <w:vertAlign w:val="superscript"/>
          <w:lang w:val="ro-MD"/>
        </w:rPr>
        <w:footnoteReference w:id="40"/>
      </w:r>
      <w:r w:rsidRPr="00363CFA">
        <w:rPr>
          <w:rFonts w:asciiTheme="majorHAnsi" w:eastAsia="Calibri" w:hAnsiTheme="majorHAnsi" w:cstheme="majorHAnsi"/>
          <w:sz w:val="24"/>
          <w:szCs w:val="24"/>
          <w:lang w:val="ro-MD"/>
        </w:rPr>
        <w:t xml:space="preserve">, cheltuieli pentru </w:t>
      </w:r>
      <w:r w:rsidRPr="00BC3271">
        <w:rPr>
          <w:rFonts w:asciiTheme="majorHAnsi" w:eastAsia="Calibri" w:hAnsiTheme="majorHAnsi" w:cstheme="majorHAnsi"/>
          <w:sz w:val="24"/>
          <w:szCs w:val="24"/>
          <w:lang w:val="ro-MD"/>
        </w:rPr>
        <w:lastRenderedPageBreak/>
        <w:t>transportarea materialelor</w:t>
      </w:r>
      <w:r w:rsidRPr="00BC3271">
        <w:rPr>
          <w:rFonts w:asciiTheme="majorHAnsi" w:eastAsia="Calibri" w:hAnsiTheme="majorHAnsi" w:cstheme="majorHAnsi"/>
          <w:bCs/>
          <w:sz w:val="24"/>
          <w:szCs w:val="24"/>
          <w:vertAlign w:val="superscript"/>
          <w:lang w:val="ro-MD"/>
        </w:rPr>
        <w:footnoteReference w:id="41"/>
      </w:r>
      <w:r w:rsidRPr="00BC3271">
        <w:rPr>
          <w:rFonts w:asciiTheme="majorHAnsi" w:eastAsia="Calibri" w:hAnsiTheme="majorHAnsi" w:cstheme="majorHAnsi"/>
          <w:sz w:val="24"/>
          <w:szCs w:val="24"/>
          <w:lang w:val="ro-MD"/>
        </w:rPr>
        <w:t xml:space="preserve">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cheltuieli pentru supravegherea tehnică</w:t>
      </w:r>
      <w:r w:rsidRPr="00BC3271">
        <w:rPr>
          <w:rFonts w:asciiTheme="majorHAnsi" w:eastAsia="Calibri" w:hAnsiTheme="majorHAnsi" w:cstheme="majorHAnsi"/>
          <w:bCs/>
          <w:sz w:val="24"/>
          <w:szCs w:val="24"/>
          <w:vertAlign w:val="superscript"/>
          <w:lang w:val="ro-MD"/>
        </w:rPr>
        <w:footnoteReference w:id="42"/>
      </w:r>
      <w:r w:rsidRPr="00BC3271">
        <w:rPr>
          <w:rFonts w:asciiTheme="majorHAnsi" w:eastAsia="Calibri" w:hAnsiTheme="majorHAnsi" w:cstheme="majorHAnsi"/>
          <w:sz w:val="24"/>
          <w:szCs w:val="24"/>
          <w:lang w:val="ro-MD"/>
        </w:rPr>
        <w:t xml:space="preserve">, </w:t>
      </w:r>
      <w:r w:rsidR="004D1820" w:rsidRPr="00BC3271">
        <w:rPr>
          <w:rFonts w:asciiTheme="majorHAnsi" w:eastAsia="Calibri" w:hAnsiTheme="majorHAnsi" w:cstheme="majorHAnsi"/>
          <w:sz w:val="24"/>
          <w:szCs w:val="24"/>
          <w:lang w:val="ro-MD"/>
        </w:rPr>
        <w:t xml:space="preserve">astfel </w:t>
      </w:r>
      <w:r w:rsidRPr="00BC3271">
        <w:rPr>
          <w:rFonts w:asciiTheme="majorHAnsi" w:eastAsia="Calibri" w:hAnsiTheme="majorHAnsi" w:cstheme="majorHAnsi"/>
          <w:sz w:val="24"/>
          <w:szCs w:val="24"/>
          <w:lang w:val="ro-MD"/>
        </w:rPr>
        <w:t xml:space="preserve">generând cheltuieli neregulamentare în sumă de </w:t>
      </w:r>
      <w:r w:rsidRPr="00BC3271">
        <w:rPr>
          <w:rFonts w:asciiTheme="majorHAnsi" w:eastAsia="Calibri" w:hAnsiTheme="majorHAnsi" w:cstheme="majorHAnsi"/>
          <w:b/>
          <w:sz w:val="24"/>
          <w:szCs w:val="24"/>
          <w:lang w:val="ro-MD"/>
        </w:rPr>
        <w:t>25,4 mii lei</w:t>
      </w:r>
      <w:r w:rsidRPr="00BC3271">
        <w:rPr>
          <w:rFonts w:asciiTheme="majorHAnsi" w:eastAsia="Calibri" w:hAnsiTheme="majorHAnsi" w:cstheme="majorHAnsi"/>
          <w:sz w:val="24"/>
          <w:szCs w:val="24"/>
          <w:lang w:val="ro-MD"/>
        </w:rPr>
        <w:t>.</w:t>
      </w:r>
    </w:p>
    <w:p w14:paraId="0D2674C3" w14:textId="3FA1399F" w:rsidR="00CD41D2" w:rsidRPr="00BC3271" w:rsidRDefault="00CD41D2" w:rsidP="00767ED8">
      <w:pPr>
        <w:numPr>
          <w:ilvl w:val="0"/>
          <w:numId w:val="17"/>
        </w:numPr>
        <w:tabs>
          <w:tab w:val="left" w:pos="851"/>
        </w:tabs>
        <w:spacing w:after="0" w:line="276" w:lineRule="auto"/>
        <w:ind w:left="0" w:firstLine="567"/>
        <w:contextualSpacing/>
        <w:jc w:val="both"/>
        <w:rPr>
          <w:rFonts w:asciiTheme="majorHAnsi" w:eastAsia="Calibri" w:hAnsiTheme="majorHAnsi" w:cstheme="majorHAnsi"/>
          <w:bCs/>
          <w:sz w:val="24"/>
          <w:szCs w:val="24"/>
          <w:lang w:val="ro-MD"/>
        </w:rPr>
      </w:pPr>
      <w:r w:rsidRPr="00BC3271">
        <w:rPr>
          <w:rFonts w:asciiTheme="majorHAnsi" w:eastAsia="Calibri" w:hAnsiTheme="majorHAnsi" w:cstheme="majorHAnsi"/>
          <w:sz w:val="24"/>
          <w:szCs w:val="24"/>
          <w:lang w:val="ro-MD"/>
        </w:rPr>
        <w:t>Unele autorită</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 contractante, la perfectarea unor acte de recep</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ie pentru lucrările de între</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 xml:space="preserve">inere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repara</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ie a drumurilor locale</w:t>
      </w:r>
      <w:r w:rsidRPr="00BC3271">
        <w:rPr>
          <w:rFonts w:asciiTheme="majorHAnsi" w:eastAsia="Calibri" w:hAnsiTheme="majorHAnsi" w:cstheme="majorHAnsi"/>
          <w:sz w:val="24"/>
          <w:szCs w:val="24"/>
          <w:vertAlign w:val="superscript"/>
          <w:lang w:val="ro-MD"/>
        </w:rPr>
        <w:footnoteReference w:id="43"/>
      </w:r>
      <w:r w:rsidRPr="00BC3271">
        <w:rPr>
          <w:rFonts w:asciiTheme="majorHAnsi" w:eastAsia="Calibri" w:hAnsiTheme="majorHAnsi" w:cstheme="majorHAnsi"/>
          <w:sz w:val="24"/>
          <w:szCs w:val="24"/>
          <w:lang w:val="ro-MD"/>
        </w:rPr>
        <w:t xml:space="preserve">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de repara</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ie a clădirilor</w:t>
      </w:r>
      <w:r w:rsidRPr="00BC3271">
        <w:rPr>
          <w:rFonts w:asciiTheme="majorHAnsi" w:eastAsia="Calibri" w:hAnsiTheme="majorHAnsi" w:cstheme="majorHAnsi"/>
          <w:sz w:val="24"/>
          <w:szCs w:val="24"/>
          <w:vertAlign w:val="superscript"/>
          <w:lang w:val="ro-MD"/>
        </w:rPr>
        <w:footnoteReference w:id="44"/>
      </w:r>
      <w:r w:rsidRPr="00BC3271">
        <w:rPr>
          <w:rFonts w:asciiTheme="majorHAnsi" w:eastAsia="Calibri" w:hAnsiTheme="majorHAnsi" w:cstheme="majorHAnsi"/>
          <w:sz w:val="24"/>
          <w:szCs w:val="24"/>
          <w:lang w:val="ro-MD"/>
        </w:rPr>
        <w:t>, a</w:t>
      </w:r>
      <w:r w:rsidR="00CD636A" w:rsidRPr="00BC3271">
        <w:rPr>
          <w:rFonts w:asciiTheme="majorHAnsi" w:eastAsia="Calibri" w:hAnsiTheme="majorHAnsi" w:cstheme="majorHAnsi"/>
          <w:sz w:val="24"/>
          <w:szCs w:val="24"/>
          <w:lang w:val="ro-MD"/>
        </w:rPr>
        <w:t>u</w:t>
      </w:r>
      <w:r w:rsidRPr="00BC3271">
        <w:rPr>
          <w:rFonts w:asciiTheme="majorHAnsi" w:eastAsia="Calibri" w:hAnsiTheme="majorHAnsi" w:cstheme="majorHAnsi"/>
          <w:sz w:val="24"/>
          <w:szCs w:val="24"/>
          <w:lang w:val="ro-MD"/>
        </w:rPr>
        <w:t xml:space="preserve"> acceptat cote majorate la unele tipuri de cheltuieli, cum ar fi</w:t>
      </w:r>
      <w:r w:rsidR="00CD636A" w:rsidRPr="00BC3271">
        <w:rPr>
          <w:rFonts w:asciiTheme="majorHAnsi" w:eastAsia="Calibri" w:hAnsiTheme="majorHAnsi" w:cstheme="majorHAnsi"/>
          <w:sz w:val="24"/>
          <w:szCs w:val="24"/>
          <w:lang w:val="ro-MD"/>
        </w:rPr>
        <w:t xml:space="preserve"> -</w:t>
      </w:r>
      <w:r w:rsidRPr="00BC3271">
        <w:rPr>
          <w:rFonts w:asciiTheme="majorHAnsi" w:eastAsia="Calibri" w:hAnsiTheme="majorHAnsi" w:cstheme="majorHAnsi"/>
          <w:sz w:val="24"/>
          <w:szCs w:val="24"/>
          <w:lang w:val="ro-MD"/>
        </w:rPr>
        <w:t xml:space="preserve"> cheltuielil</w:t>
      </w:r>
      <w:r w:rsidR="00CD636A" w:rsidRPr="00BC3271">
        <w:rPr>
          <w:rFonts w:asciiTheme="majorHAnsi" w:eastAsia="Calibri" w:hAnsiTheme="majorHAnsi" w:cstheme="majorHAnsi"/>
          <w:sz w:val="24"/>
          <w:szCs w:val="24"/>
          <w:lang w:val="ro-MD"/>
        </w:rPr>
        <w:t>e</w:t>
      </w:r>
      <w:r w:rsidRPr="00BC3271">
        <w:rPr>
          <w:rFonts w:asciiTheme="majorHAnsi" w:eastAsia="Calibri" w:hAnsiTheme="majorHAnsi" w:cstheme="majorHAnsi"/>
          <w:sz w:val="24"/>
          <w:szCs w:val="24"/>
          <w:lang w:val="ro-MD"/>
        </w:rPr>
        <w:t xml:space="preserve"> de regie, pentru transportarea materialelor, de depozitare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 xml:space="preserve">i beneficiului de deviz, în raport cu devizele-ofertă, astfel generând cheltuieli neconforme în sumă totală de </w:t>
      </w:r>
      <w:r w:rsidRPr="00BC3271">
        <w:rPr>
          <w:rFonts w:asciiTheme="majorHAnsi" w:eastAsia="Calibri" w:hAnsiTheme="majorHAnsi" w:cstheme="majorHAnsi"/>
          <w:b/>
          <w:sz w:val="24"/>
          <w:szCs w:val="24"/>
          <w:lang w:val="ro-MD"/>
        </w:rPr>
        <w:t>36,9 mii lei</w:t>
      </w:r>
      <w:r w:rsidRPr="00BC3271">
        <w:rPr>
          <w:rFonts w:asciiTheme="majorHAnsi" w:eastAsia="Calibri" w:hAnsiTheme="majorHAnsi" w:cstheme="majorHAnsi"/>
          <w:sz w:val="24"/>
          <w:szCs w:val="24"/>
          <w:vertAlign w:val="superscript"/>
          <w:lang w:val="ro-MD"/>
        </w:rPr>
        <w:footnoteReference w:id="45"/>
      </w:r>
      <w:r w:rsidRPr="00BC3271">
        <w:rPr>
          <w:rFonts w:asciiTheme="majorHAnsi" w:eastAsia="Calibri" w:hAnsiTheme="majorHAnsi" w:cstheme="majorHAnsi"/>
          <w:sz w:val="24"/>
          <w:szCs w:val="24"/>
          <w:lang w:val="ro-MD"/>
        </w:rPr>
        <w:t>.</w:t>
      </w:r>
    </w:p>
    <w:p w14:paraId="175A0C7F" w14:textId="13A60E91" w:rsidR="00CD41D2" w:rsidRPr="00BC3271" w:rsidRDefault="00CD41D2" w:rsidP="00767ED8">
      <w:pPr>
        <w:numPr>
          <w:ilvl w:val="0"/>
          <w:numId w:val="17"/>
        </w:numPr>
        <w:tabs>
          <w:tab w:val="left" w:pos="851"/>
        </w:tabs>
        <w:spacing w:after="0" w:line="276" w:lineRule="auto"/>
        <w:ind w:left="0" w:firstLine="567"/>
        <w:contextualSpacing/>
        <w:jc w:val="both"/>
        <w:rPr>
          <w:rFonts w:asciiTheme="majorHAnsi" w:eastAsia="Calibri" w:hAnsiTheme="majorHAnsi" w:cstheme="majorHAnsi"/>
          <w:bCs/>
          <w:sz w:val="24"/>
          <w:szCs w:val="24"/>
          <w:lang w:val="ro-MD"/>
        </w:rPr>
      </w:pPr>
      <w:r w:rsidRPr="00BC3271">
        <w:rPr>
          <w:rFonts w:asciiTheme="majorHAnsi" w:eastAsia="Calibri" w:hAnsiTheme="majorHAnsi" w:cstheme="majorHAnsi"/>
          <w:sz w:val="24"/>
          <w:szCs w:val="24"/>
          <w:lang w:val="ro-MD"/>
        </w:rPr>
        <w:t>La perfectarea unui act de recep</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ie pentru lucrările de între</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inere a drumurilor pe timp de iarnă</w:t>
      </w:r>
      <w:r w:rsidRPr="00BC3271">
        <w:rPr>
          <w:rFonts w:asciiTheme="majorHAnsi" w:eastAsia="Calibri" w:hAnsiTheme="majorHAnsi" w:cstheme="majorHAnsi"/>
          <w:sz w:val="24"/>
          <w:szCs w:val="24"/>
          <w:vertAlign w:val="superscript"/>
          <w:lang w:val="ro-MD"/>
        </w:rPr>
        <w:footnoteReference w:id="46"/>
      </w:r>
      <w:r w:rsidRPr="00BC3271">
        <w:rPr>
          <w:rFonts w:asciiTheme="majorHAnsi" w:eastAsia="Calibri" w:hAnsiTheme="majorHAnsi" w:cstheme="majorHAnsi"/>
          <w:sz w:val="24"/>
          <w:szCs w:val="24"/>
          <w:lang w:val="ro-MD"/>
        </w:rPr>
        <w:t>, lucrarea RpDE20A „Informa</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 xml:space="preserve">ii operative privind starea drumurilor publice pe timp de iarnă” (140 </w:t>
      </w:r>
      <w:r w:rsidR="00CD636A" w:rsidRPr="00BC3271">
        <w:rPr>
          <w:rFonts w:asciiTheme="majorHAnsi" w:eastAsia="Calibri" w:hAnsiTheme="majorHAnsi" w:cstheme="majorHAnsi"/>
          <w:sz w:val="24"/>
          <w:szCs w:val="24"/>
          <w:lang w:val="ro-MD"/>
        </w:rPr>
        <w:t xml:space="preserve">de </w:t>
      </w:r>
      <w:r w:rsidRPr="00BC3271">
        <w:rPr>
          <w:rFonts w:asciiTheme="majorHAnsi" w:eastAsia="Calibri" w:hAnsiTheme="majorHAnsi" w:cstheme="majorHAnsi"/>
          <w:sz w:val="24"/>
          <w:szCs w:val="24"/>
          <w:lang w:val="ro-MD"/>
        </w:rPr>
        <w:t>ore</w:t>
      </w:r>
      <w:r w:rsidRPr="00BC3271">
        <w:rPr>
          <w:rFonts w:asciiTheme="majorHAnsi" w:eastAsia="Calibri" w:hAnsiTheme="majorHAnsi" w:cstheme="majorHAnsi"/>
          <w:sz w:val="24"/>
          <w:szCs w:val="24"/>
          <w:vertAlign w:val="superscript"/>
          <w:lang w:val="ro-MD"/>
        </w:rPr>
        <w:footnoteReference w:id="47"/>
      </w:r>
      <w:r w:rsidRPr="00BC3271">
        <w:rPr>
          <w:rFonts w:asciiTheme="majorHAnsi" w:eastAsia="Calibri" w:hAnsiTheme="majorHAnsi" w:cstheme="majorHAnsi"/>
          <w:sz w:val="24"/>
          <w:szCs w:val="24"/>
          <w:lang w:val="ro-MD"/>
        </w:rPr>
        <w:t>) a fost majorată în raport cu devizul-ofertă de cheltuieli contractat (113 ore), admi</w:t>
      </w:r>
      <w:r w:rsidR="00CD636A" w:rsidRPr="00BC3271">
        <w:rPr>
          <w:rFonts w:asciiTheme="majorHAnsi" w:eastAsia="Calibri" w:hAnsiTheme="majorHAnsi" w:cstheme="majorHAnsi"/>
          <w:sz w:val="24"/>
          <w:szCs w:val="24"/>
          <w:lang w:val="ro-MD"/>
        </w:rPr>
        <w:t>țându-se</w:t>
      </w:r>
      <w:r w:rsidRPr="00BC3271">
        <w:rPr>
          <w:rFonts w:asciiTheme="majorHAnsi" w:eastAsia="Calibri" w:hAnsiTheme="majorHAnsi" w:cstheme="majorHAnsi"/>
          <w:sz w:val="24"/>
          <w:szCs w:val="24"/>
          <w:lang w:val="ro-MD"/>
        </w:rPr>
        <w:t xml:space="preserve"> în anul 2019 cheltuieli neconforme la executarea contractului în sumă de </w:t>
      </w:r>
      <w:r w:rsidRPr="00BC3271">
        <w:rPr>
          <w:rFonts w:asciiTheme="majorHAnsi" w:eastAsia="Calibri" w:hAnsiTheme="majorHAnsi" w:cstheme="majorHAnsi"/>
          <w:b/>
          <w:sz w:val="24"/>
          <w:szCs w:val="24"/>
          <w:lang w:val="ro-MD"/>
        </w:rPr>
        <w:t>10,7 mii lei</w:t>
      </w:r>
      <w:r w:rsidRPr="00BC3271">
        <w:rPr>
          <w:rFonts w:asciiTheme="majorHAnsi" w:eastAsia="Calibri" w:hAnsiTheme="majorHAnsi" w:cstheme="majorHAnsi"/>
          <w:sz w:val="24"/>
          <w:szCs w:val="24"/>
          <w:lang w:val="ro-MD"/>
        </w:rPr>
        <w:t>.</w:t>
      </w:r>
    </w:p>
    <w:p w14:paraId="749E2BB1" w14:textId="4DB95CC8" w:rsidR="00CD41D2" w:rsidRPr="00BC3271" w:rsidRDefault="00CD41D2" w:rsidP="00767ED8">
      <w:pPr>
        <w:numPr>
          <w:ilvl w:val="0"/>
          <w:numId w:val="17"/>
        </w:numPr>
        <w:tabs>
          <w:tab w:val="left" w:pos="0"/>
          <w:tab w:val="left" w:pos="851"/>
        </w:tabs>
        <w:spacing w:after="0" w:line="276" w:lineRule="auto"/>
        <w:ind w:left="0" w:firstLine="567"/>
        <w:contextualSpacing/>
        <w:jc w:val="both"/>
        <w:rPr>
          <w:rFonts w:asciiTheme="majorHAnsi" w:eastAsia="Calibri" w:hAnsiTheme="majorHAnsi" w:cstheme="majorHAnsi"/>
          <w:sz w:val="24"/>
          <w:szCs w:val="24"/>
          <w:lang w:val="ro-MD"/>
        </w:rPr>
      </w:pPr>
      <w:r w:rsidRPr="00BC3271">
        <w:rPr>
          <w:rFonts w:asciiTheme="majorHAnsi" w:eastAsia="Calibri" w:hAnsiTheme="majorHAnsi" w:cstheme="majorHAnsi"/>
          <w:sz w:val="24"/>
          <w:szCs w:val="24"/>
          <w:lang w:val="ro-MD"/>
        </w:rPr>
        <w:t>Trei entită</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 publice</w:t>
      </w:r>
      <w:r w:rsidR="00CD636A" w:rsidRPr="00BC3271">
        <w:rPr>
          <w:rFonts w:asciiTheme="majorHAnsi" w:eastAsia="Calibri" w:hAnsiTheme="majorHAnsi" w:cstheme="majorHAnsi"/>
          <w:sz w:val="24"/>
          <w:szCs w:val="24"/>
          <w:lang w:val="ro-MD"/>
        </w:rPr>
        <w:t>,</w:t>
      </w:r>
      <w:r w:rsidRPr="00BC3271">
        <w:rPr>
          <w:rFonts w:asciiTheme="majorHAnsi" w:eastAsia="Calibri" w:hAnsiTheme="majorHAnsi" w:cstheme="majorHAnsi"/>
          <w:sz w:val="24"/>
          <w:szCs w:val="24"/>
          <w:lang w:val="ro-MD"/>
        </w:rPr>
        <w:t xml:space="preserve"> la semnarea actelor de recep</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ie a lucrărilor executate</w:t>
      </w:r>
      <w:r w:rsidR="00CD636A" w:rsidRPr="00BC3271">
        <w:rPr>
          <w:rFonts w:asciiTheme="majorHAnsi" w:eastAsia="Calibri" w:hAnsiTheme="majorHAnsi" w:cstheme="majorHAnsi"/>
          <w:sz w:val="24"/>
          <w:szCs w:val="24"/>
          <w:lang w:val="ro-MD"/>
        </w:rPr>
        <w:t>,</w:t>
      </w:r>
      <w:r w:rsidRPr="00BC3271">
        <w:rPr>
          <w:rFonts w:asciiTheme="majorHAnsi" w:eastAsia="Calibri" w:hAnsiTheme="majorHAnsi" w:cstheme="majorHAnsi"/>
          <w:sz w:val="24"/>
          <w:szCs w:val="24"/>
          <w:lang w:val="ro-MD"/>
        </w:rPr>
        <w:t xml:space="preserve"> nu au determinat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nu au confirmat con</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inutul efectiv al lucrărilor neprevăzute executate</w:t>
      </w:r>
      <w:r w:rsidRPr="00BC3271">
        <w:rPr>
          <w:rFonts w:asciiTheme="majorHAnsi" w:eastAsia="Calibri" w:hAnsiTheme="majorHAnsi" w:cstheme="majorHAnsi"/>
          <w:sz w:val="24"/>
          <w:szCs w:val="24"/>
          <w:vertAlign w:val="superscript"/>
          <w:lang w:val="ro-MD"/>
        </w:rPr>
        <w:footnoteReference w:id="48"/>
      </w:r>
      <w:r w:rsidRPr="00BC3271">
        <w:rPr>
          <w:rFonts w:asciiTheme="majorHAnsi" w:eastAsia="Calibri" w:hAnsiTheme="majorHAnsi" w:cstheme="majorHAnsi"/>
          <w:sz w:val="24"/>
          <w:szCs w:val="24"/>
          <w:lang w:val="ro-MD"/>
        </w:rPr>
        <w:t xml:space="preserve"> (cantitatea/volumul, valoarea pentru o unitate de lucrare)</w:t>
      </w:r>
      <w:r w:rsidRPr="00BC3271">
        <w:rPr>
          <w:rFonts w:asciiTheme="majorHAnsi" w:eastAsia="Calibri" w:hAnsiTheme="majorHAnsi" w:cstheme="majorHAnsi"/>
          <w:sz w:val="24"/>
          <w:szCs w:val="24"/>
          <w:vertAlign w:val="superscript"/>
          <w:lang w:val="ro-MD"/>
        </w:rPr>
        <w:footnoteReference w:id="49"/>
      </w:r>
      <w:r w:rsidRPr="00BC3271">
        <w:rPr>
          <w:rFonts w:asciiTheme="majorHAnsi" w:eastAsia="Calibri" w:hAnsiTheme="majorHAnsi" w:cstheme="majorHAnsi"/>
          <w:sz w:val="24"/>
          <w:szCs w:val="24"/>
          <w:lang w:val="ro-MD"/>
        </w:rPr>
        <w:t xml:space="preserve">, fiind admise cheltuieli neîntemeiate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neconforme</w:t>
      </w:r>
      <w:r w:rsidRPr="00BC3271">
        <w:rPr>
          <w:rFonts w:asciiTheme="majorHAnsi" w:eastAsia="Calibri" w:hAnsiTheme="majorHAnsi" w:cstheme="majorHAnsi"/>
          <w:sz w:val="24"/>
          <w:szCs w:val="24"/>
          <w:vertAlign w:val="superscript"/>
          <w:lang w:val="ro-MD"/>
        </w:rPr>
        <w:footnoteReference w:id="50"/>
      </w:r>
      <w:r w:rsidRPr="00BC3271">
        <w:rPr>
          <w:rFonts w:asciiTheme="majorHAnsi" w:eastAsia="Calibri" w:hAnsiTheme="majorHAnsi" w:cstheme="majorHAnsi"/>
          <w:sz w:val="24"/>
          <w:szCs w:val="24"/>
          <w:lang w:val="ro-MD"/>
        </w:rPr>
        <w:t xml:space="preserve"> în sumă totală de </w:t>
      </w:r>
      <w:r w:rsidRPr="00BC3271">
        <w:rPr>
          <w:rFonts w:asciiTheme="majorHAnsi" w:eastAsia="Calibri" w:hAnsiTheme="majorHAnsi" w:cstheme="majorHAnsi"/>
          <w:b/>
          <w:sz w:val="24"/>
          <w:szCs w:val="24"/>
          <w:lang w:val="ro-MD"/>
        </w:rPr>
        <w:t>9,5 mii lei</w:t>
      </w:r>
      <w:r w:rsidRPr="00BC3271">
        <w:rPr>
          <w:rFonts w:asciiTheme="majorHAnsi" w:eastAsia="Calibri" w:hAnsiTheme="majorHAnsi" w:cstheme="majorHAnsi"/>
          <w:sz w:val="24"/>
          <w:szCs w:val="24"/>
          <w:vertAlign w:val="superscript"/>
          <w:lang w:val="ro-MD"/>
        </w:rPr>
        <w:footnoteReference w:id="51"/>
      </w:r>
      <w:r w:rsidRPr="00BC3271">
        <w:rPr>
          <w:rFonts w:asciiTheme="majorHAnsi" w:eastAsia="Calibri" w:hAnsiTheme="majorHAnsi" w:cstheme="majorHAnsi"/>
          <w:sz w:val="24"/>
          <w:szCs w:val="24"/>
          <w:lang w:val="ro-MD"/>
        </w:rPr>
        <w:t>.</w:t>
      </w:r>
    </w:p>
    <w:p w14:paraId="3E3DDAFE" w14:textId="059FEFF3" w:rsidR="00CD41D2" w:rsidRPr="00363CFA" w:rsidRDefault="00CD41D2" w:rsidP="00767ED8">
      <w:pPr>
        <w:tabs>
          <w:tab w:val="left" w:pos="0"/>
          <w:tab w:val="left" w:pos="709"/>
        </w:tabs>
        <w:spacing w:after="0" w:line="276" w:lineRule="auto"/>
        <w:jc w:val="both"/>
        <w:rPr>
          <w:rFonts w:asciiTheme="majorHAnsi" w:eastAsia="Calibri" w:hAnsiTheme="majorHAnsi" w:cstheme="majorHAnsi"/>
          <w:b/>
          <w:bCs/>
          <w:sz w:val="24"/>
          <w:szCs w:val="24"/>
          <w:lang w:val="ro-MD" w:eastAsia="lv-LV"/>
        </w:rPr>
      </w:pPr>
      <w:r w:rsidRPr="00363CFA">
        <w:rPr>
          <w:rFonts w:asciiTheme="majorHAnsi" w:eastAsia="Calibri" w:hAnsiTheme="majorHAnsi" w:cstheme="majorHAnsi"/>
          <w:b/>
          <w:bCs/>
          <w:sz w:val="24"/>
          <w:szCs w:val="24"/>
          <w:lang w:val="ro-MD" w:eastAsia="lv-LV"/>
        </w:rPr>
        <w:t>4.2.3. Comitetul Executiv a finan</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at</w:t>
      </w:r>
      <w:r w:rsidR="00CD636A">
        <w:rPr>
          <w:rFonts w:asciiTheme="majorHAnsi" w:eastAsia="Calibri" w:hAnsiTheme="majorHAnsi" w:cstheme="majorHAnsi"/>
          <w:b/>
          <w:bCs/>
          <w:sz w:val="24"/>
          <w:szCs w:val="24"/>
          <w:lang w:val="ro-MD" w:eastAsia="lv-LV"/>
        </w:rPr>
        <w:t>,</w:t>
      </w:r>
      <w:r w:rsidRPr="00363CFA">
        <w:rPr>
          <w:rFonts w:asciiTheme="majorHAnsi" w:eastAsia="Calibri" w:hAnsiTheme="majorHAnsi" w:cstheme="majorHAnsi"/>
          <w:b/>
          <w:bCs/>
          <w:sz w:val="24"/>
          <w:szCs w:val="24"/>
          <w:lang w:val="ro-MD" w:eastAsia="lv-LV"/>
        </w:rPr>
        <w:t xml:space="preserve"> în anul 2018, unele lucrări de repara</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ie capitală la o institu</w:t>
      </w:r>
      <w:r w:rsidR="0069374B" w:rsidRPr="00363CFA">
        <w:rPr>
          <w:rFonts w:asciiTheme="majorHAnsi" w:eastAsia="Calibri" w:hAnsiTheme="majorHAnsi" w:cstheme="majorHAnsi"/>
          <w:b/>
          <w:bCs/>
          <w:sz w:val="24"/>
          <w:szCs w:val="24"/>
          <w:lang w:val="ro-MD" w:eastAsia="lv-LV"/>
        </w:rPr>
        <w:t>ț</w:t>
      </w:r>
      <w:r w:rsidRPr="00363CFA">
        <w:rPr>
          <w:rFonts w:asciiTheme="majorHAnsi" w:eastAsia="Calibri" w:hAnsiTheme="majorHAnsi" w:cstheme="majorHAnsi"/>
          <w:b/>
          <w:bCs/>
          <w:sz w:val="24"/>
          <w:szCs w:val="24"/>
          <w:lang w:val="ro-MD" w:eastAsia="lv-LV"/>
        </w:rPr>
        <w:t xml:space="preserve">ie din subordinea APC, a cărei </w:t>
      </w:r>
      <w:r w:rsidR="00CD636A" w:rsidRPr="00363CFA">
        <w:rPr>
          <w:rFonts w:asciiTheme="majorHAnsi" w:eastAsia="Calibri" w:hAnsiTheme="majorHAnsi" w:cstheme="majorHAnsi"/>
          <w:b/>
          <w:bCs/>
          <w:sz w:val="24"/>
          <w:szCs w:val="24"/>
          <w:lang w:val="ro-MD" w:eastAsia="lv-LV"/>
        </w:rPr>
        <w:t>finanțare</w:t>
      </w:r>
      <w:r w:rsidR="00CD636A">
        <w:rPr>
          <w:rFonts w:asciiTheme="majorHAnsi" w:eastAsia="Calibri" w:hAnsiTheme="majorHAnsi" w:cstheme="majorHAnsi"/>
          <w:b/>
          <w:bCs/>
          <w:sz w:val="24"/>
          <w:szCs w:val="24"/>
          <w:lang w:val="ro-MD" w:eastAsia="lv-LV"/>
        </w:rPr>
        <w:t xml:space="preserve"> </w:t>
      </w:r>
      <w:r w:rsidRPr="00363CFA">
        <w:rPr>
          <w:rFonts w:asciiTheme="majorHAnsi" w:eastAsia="Calibri" w:hAnsiTheme="majorHAnsi" w:cstheme="majorHAnsi"/>
          <w:b/>
          <w:bCs/>
          <w:sz w:val="24"/>
          <w:szCs w:val="24"/>
          <w:lang w:val="ro-MD" w:eastAsia="lv-LV"/>
        </w:rPr>
        <w:t>se efectuează de la bugetul  de stat</w:t>
      </w:r>
      <w:r w:rsidR="00CD636A">
        <w:rPr>
          <w:rFonts w:asciiTheme="majorHAnsi" w:eastAsia="Calibri" w:hAnsiTheme="majorHAnsi" w:cstheme="majorHAnsi"/>
          <w:b/>
          <w:bCs/>
          <w:sz w:val="24"/>
          <w:szCs w:val="24"/>
          <w:lang w:val="ro-MD" w:eastAsia="lv-LV"/>
        </w:rPr>
        <w:t>.</w:t>
      </w:r>
      <w:r w:rsidRPr="00363CFA">
        <w:rPr>
          <w:rFonts w:asciiTheme="majorHAnsi" w:eastAsia="Calibri" w:hAnsiTheme="majorHAnsi" w:cstheme="majorHAnsi"/>
          <w:b/>
          <w:bCs/>
          <w:sz w:val="24"/>
          <w:szCs w:val="24"/>
          <w:lang w:val="ro-MD" w:eastAsia="lv-LV"/>
        </w:rPr>
        <w:t xml:space="preserve">   </w:t>
      </w:r>
    </w:p>
    <w:p w14:paraId="66070FD2" w14:textId="5170C02D" w:rsidR="009914D7" w:rsidRPr="00363CFA" w:rsidRDefault="00CD41D2" w:rsidP="00767ED8">
      <w:pPr>
        <w:tabs>
          <w:tab w:val="left" w:pos="0"/>
          <w:tab w:val="left" w:pos="709"/>
        </w:tabs>
        <w:spacing w:after="0" w:line="276" w:lineRule="auto"/>
        <w:ind w:firstLine="567"/>
        <w:jc w:val="both"/>
        <w:rPr>
          <w:rFonts w:asciiTheme="majorHAnsi" w:eastAsia="Calibri" w:hAnsiTheme="majorHAnsi" w:cstheme="majorHAnsi"/>
          <w:bCs/>
          <w:sz w:val="24"/>
          <w:szCs w:val="24"/>
          <w:lang w:val="ro-MD" w:eastAsia="lv-LV"/>
        </w:rPr>
      </w:pPr>
      <w:r w:rsidRPr="00363CFA">
        <w:rPr>
          <w:rFonts w:asciiTheme="majorHAnsi" w:eastAsia="Calibri" w:hAnsiTheme="majorHAnsi" w:cstheme="majorHAnsi"/>
          <w:b/>
          <w:bCs/>
          <w:sz w:val="24"/>
          <w:szCs w:val="24"/>
          <w:lang w:val="ro-MD" w:eastAsia="lv-LV"/>
        </w:rPr>
        <w:tab/>
      </w:r>
      <w:r w:rsidRPr="00363CFA">
        <w:rPr>
          <w:rFonts w:asciiTheme="majorHAnsi" w:eastAsia="Calibri" w:hAnsiTheme="majorHAnsi" w:cstheme="majorHAnsi"/>
          <w:bCs/>
          <w:sz w:val="24"/>
          <w:szCs w:val="24"/>
          <w:lang w:val="ro-MD" w:eastAsia="lv-LV"/>
        </w:rPr>
        <w:t>De</w:t>
      </w:r>
      <w:r w:rsidR="0069374B" w:rsidRPr="00363CFA">
        <w:rPr>
          <w:rFonts w:asciiTheme="majorHAnsi" w:eastAsia="Calibri" w:hAnsiTheme="majorHAnsi" w:cstheme="majorHAnsi"/>
          <w:bCs/>
          <w:sz w:val="24"/>
          <w:szCs w:val="24"/>
          <w:lang w:val="ro-MD" w:eastAsia="lv-LV"/>
        </w:rPr>
        <w:t>ș</w:t>
      </w:r>
      <w:r w:rsidRPr="00363CFA">
        <w:rPr>
          <w:rFonts w:asciiTheme="majorHAnsi" w:eastAsia="Calibri" w:hAnsiTheme="majorHAnsi" w:cstheme="majorHAnsi"/>
          <w:bCs/>
          <w:sz w:val="24"/>
          <w:szCs w:val="24"/>
          <w:lang w:val="ro-MD" w:eastAsia="lv-LV"/>
        </w:rPr>
        <w:t>i finan</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area institu</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 xml:space="preserve">iilor din subordinea APC nu </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ine de competen</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 xml:space="preserve">a </w:t>
      </w:r>
      <w:r w:rsidR="00AD7056" w:rsidRPr="00363CFA">
        <w:rPr>
          <w:rFonts w:asciiTheme="majorHAnsi" w:eastAsia="Calibri" w:hAnsiTheme="majorHAnsi" w:cstheme="majorHAnsi"/>
          <w:bCs/>
          <w:sz w:val="24"/>
          <w:szCs w:val="24"/>
          <w:lang w:val="ro-MD" w:eastAsia="lv-LV"/>
        </w:rPr>
        <w:t>UTA</w:t>
      </w:r>
      <w:r w:rsidRPr="00363CFA">
        <w:rPr>
          <w:rFonts w:asciiTheme="majorHAnsi" w:eastAsia="Calibri" w:hAnsiTheme="majorHAnsi" w:cstheme="majorHAnsi"/>
          <w:bCs/>
          <w:sz w:val="24"/>
          <w:szCs w:val="24"/>
          <w:lang w:val="ro-MD" w:eastAsia="lv-LV"/>
        </w:rPr>
        <w:t xml:space="preserve"> Găgăuzi</w:t>
      </w:r>
      <w:r w:rsidR="00AD7056" w:rsidRPr="00363CFA">
        <w:rPr>
          <w:rFonts w:asciiTheme="majorHAnsi" w:eastAsia="Calibri" w:hAnsiTheme="majorHAnsi" w:cstheme="majorHAnsi"/>
          <w:bCs/>
          <w:sz w:val="24"/>
          <w:szCs w:val="24"/>
          <w:lang w:val="ro-MD" w:eastAsia="lv-LV"/>
        </w:rPr>
        <w:t>a</w:t>
      </w:r>
      <w:r w:rsidR="00135E44" w:rsidRPr="00363CFA">
        <w:rPr>
          <w:rFonts w:asciiTheme="majorHAnsi" w:eastAsia="Calibri" w:hAnsiTheme="majorHAnsi" w:cstheme="majorHAnsi"/>
          <w:bCs/>
          <w:sz w:val="24"/>
          <w:szCs w:val="24"/>
          <w:vertAlign w:val="superscript"/>
          <w:lang w:val="ro-MD" w:eastAsia="lv-LV"/>
        </w:rPr>
        <w:footnoteReference w:id="52"/>
      </w:r>
      <w:r w:rsidRPr="00363CFA">
        <w:rPr>
          <w:rFonts w:asciiTheme="majorHAnsi" w:eastAsia="Calibri" w:hAnsiTheme="majorHAnsi" w:cstheme="majorHAnsi"/>
          <w:bCs/>
          <w:sz w:val="24"/>
          <w:szCs w:val="24"/>
          <w:lang w:val="ro-MD" w:eastAsia="lv-LV"/>
        </w:rPr>
        <w:t xml:space="preserve">, în anul 2018, din bugetul central al Găgăuziei au fost suportate cheltuieli </w:t>
      </w:r>
      <w:r w:rsidR="00135E44" w:rsidRPr="00363CFA">
        <w:rPr>
          <w:rFonts w:asciiTheme="majorHAnsi" w:eastAsia="Calibri" w:hAnsiTheme="majorHAnsi" w:cstheme="majorHAnsi"/>
          <w:bCs/>
          <w:sz w:val="24"/>
          <w:szCs w:val="24"/>
          <w:lang w:val="ro-MD" w:eastAsia="lv-LV"/>
        </w:rPr>
        <w:t xml:space="preserve">în sumă de </w:t>
      </w:r>
      <w:r w:rsidR="00135E44" w:rsidRPr="00363CFA">
        <w:rPr>
          <w:rFonts w:asciiTheme="majorHAnsi" w:eastAsia="Calibri" w:hAnsiTheme="majorHAnsi" w:cstheme="majorHAnsi"/>
          <w:b/>
          <w:bCs/>
          <w:sz w:val="24"/>
          <w:szCs w:val="24"/>
          <w:lang w:val="ro-MD" w:eastAsia="lv-LV"/>
        </w:rPr>
        <w:t xml:space="preserve">185,9 mii </w:t>
      </w:r>
      <w:r w:rsidR="00135E44" w:rsidRPr="00363CFA">
        <w:rPr>
          <w:rFonts w:asciiTheme="majorHAnsi" w:eastAsia="Calibri" w:hAnsiTheme="majorHAnsi" w:cstheme="majorHAnsi"/>
          <w:b/>
          <w:bCs/>
          <w:sz w:val="24"/>
          <w:szCs w:val="24"/>
          <w:lang w:val="ro-MD" w:eastAsia="lv-LV"/>
        </w:rPr>
        <w:lastRenderedPageBreak/>
        <w:t>lei</w:t>
      </w:r>
      <w:r w:rsidR="00135E44" w:rsidRPr="00363CFA">
        <w:rPr>
          <w:rFonts w:asciiTheme="majorHAnsi" w:eastAsia="Calibri" w:hAnsiTheme="majorHAnsi" w:cstheme="majorHAnsi"/>
          <w:bCs/>
          <w:sz w:val="24"/>
          <w:szCs w:val="24"/>
          <w:lang w:val="ro-MD" w:eastAsia="lv-LV"/>
        </w:rPr>
        <w:t xml:space="preserve"> </w:t>
      </w:r>
      <w:r w:rsidRPr="00363CFA">
        <w:rPr>
          <w:rFonts w:asciiTheme="majorHAnsi" w:eastAsia="Calibri" w:hAnsiTheme="majorHAnsi" w:cstheme="majorHAnsi"/>
          <w:bCs/>
          <w:sz w:val="24"/>
          <w:szCs w:val="24"/>
          <w:lang w:val="ro-MD" w:eastAsia="lv-LV"/>
        </w:rPr>
        <w:t>pentru lucrări de repara</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ie capitală a clădirii (acoperi</w:t>
      </w:r>
      <w:r w:rsidR="0069374B" w:rsidRPr="00363CFA">
        <w:rPr>
          <w:rFonts w:asciiTheme="majorHAnsi" w:eastAsia="Calibri" w:hAnsiTheme="majorHAnsi" w:cstheme="majorHAnsi"/>
          <w:bCs/>
          <w:sz w:val="24"/>
          <w:szCs w:val="24"/>
          <w:lang w:val="ro-MD" w:eastAsia="lv-LV"/>
        </w:rPr>
        <w:t>ș</w:t>
      </w:r>
      <w:r w:rsidRPr="00363CFA">
        <w:rPr>
          <w:rFonts w:asciiTheme="majorHAnsi" w:eastAsia="Calibri" w:hAnsiTheme="majorHAnsi" w:cstheme="majorHAnsi"/>
          <w:bCs/>
          <w:sz w:val="24"/>
          <w:szCs w:val="24"/>
          <w:lang w:val="ro-MD" w:eastAsia="lv-LV"/>
        </w:rPr>
        <w:t>ul) Direc</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iei Situa</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ii Excep</w:t>
      </w:r>
      <w:r w:rsidR="0069374B" w:rsidRPr="00363CFA">
        <w:rPr>
          <w:rFonts w:asciiTheme="majorHAnsi" w:eastAsia="Calibri" w:hAnsiTheme="majorHAnsi" w:cstheme="majorHAnsi"/>
          <w:bCs/>
          <w:sz w:val="24"/>
          <w:szCs w:val="24"/>
          <w:lang w:val="ro-MD" w:eastAsia="lv-LV"/>
        </w:rPr>
        <w:t>ț</w:t>
      </w:r>
      <w:r w:rsidRPr="00363CFA">
        <w:rPr>
          <w:rFonts w:asciiTheme="majorHAnsi" w:eastAsia="Calibri" w:hAnsiTheme="majorHAnsi" w:cstheme="majorHAnsi"/>
          <w:bCs/>
          <w:sz w:val="24"/>
          <w:szCs w:val="24"/>
          <w:lang w:val="ro-MD" w:eastAsia="lv-LV"/>
        </w:rPr>
        <w:t>ionale</w:t>
      </w:r>
      <w:r w:rsidR="00135E44" w:rsidRPr="00363CFA">
        <w:rPr>
          <w:rFonts w:asciiTheme="majorHAnsi" w:eastAsia="Calibri" w:hAnsiTheme="majorHAnsi" w:cstheme="majorHAnsi"/>
          <w:bCs/>
          <w:sz w:val="24"/>
          <w:szCs w:val="24"/>
          <w:lang w:val="ro-MD" w:eastAsia="lv-LV"/>
        </w:rPr>
        <w:t xml:space="preserve"> (inclusiv supravegherea tehnică – 2,4 mii lei)</w:t>
      </w:r>
      <w:r w:rsidRPr="00363CFA">
        <w:rPr>
          <w:rFonts w:asciiTheme="majorHAnsi" w:eastAsia="Calibri" w:hAnsiTheme="majorHAnsi" w:cstheme="majorHAnsi"/>
          <w:bCs/>
          <w:sz w:val="24"/>
          <w:szCs w:val="24"/>
          <w:lang w:val="ro-MD" w:eastAsia="lv-LV"/>
        </w:rPr>
        <w:t>, a</w:t>
      </w:r>
      <w:r w:rsidR="001E69CA">
        <w:rPr>
          <w:rFonts w:asciiTheme="majorHAnsi" w:eastAsia="Calibri" w:hAnsiTheme="majorHAnsi" w:cstheme="majorHAnsi"/>
          <w:bCs/>
          <w:sz w:val="24"/>
          <w:szCs w:val="24"/>
          <w:lang w:val="ro-MD" w:eastAsia="lv-LV"/>
        </w:rPr>
        <w:t>l</w:t>
      </w:r>
      <w:r w:rsidRPr="00363CFA">
        <w:rPr>
          <w:rFonts w:asciiTheme="majorHAnsi" w:eastAsia="Calibri" w:hAnsiTheme="majorHAnsi" w:cstheme="majorHAnsi"/>
          <w:bCs/>
          <w:sz w:val="24"/>
          <w:szCs w:val="24"/>
          <w:lang w:val="ro-MD" w:eastAsia="lv-LV"/>
        </w:rPr>
        <w:t xml:space="preserve"> cărei fondator este</w:t>
      </w:r>
      <w:r w:rsidR="00135E44" w:rsidRPr="00363CFA">
        <w:rPr>
          <w:rFonts w:asciiTheme="majorHAnsi" w:eastAsia="Calibri" w:hAnsiTheme="majorHAnsi" w:cstheme="majorHAnsi"/>
          <w:bCs/>
          <w:sz w:val="24"/>
          <w:szCs w:val="24"/>
          <w:lang w:val="ro-MD" w:eastAsia="lv-LV"/>
        </w:rPr>
        <w:t xml:space="preserve"> Ministerul Afacerilor Interne</w:t>
      </w:r>
      <w:r w:rsidRPr="00363CFA">
        <w:rPr>
          <w:rFonts w:asciiTheme="majorHAnsi" w:eastAsia="Calibri" w:hAnsiTheme="majorHAnsi" w:cstheme="majorHAnsi"/>
          <w:bCs/>
          <w:sz w:val="24"/>
          <w:szCs w:val="24"/>
          <w:lang w:val="ro-MD" w:eastAsia="lv-LV"/>
        </w:rPr>
        <w:t>.</w:t>
      </w:r>
      <w:r w:rsidR="0085419B" w:rsidRPr="00363CFA">
        <w:rPr>
          <w:rFonts w:asciiTheme="majorHAnsi" w:eastAsia="Calibri" w:hAnsiTheme="majorHAnsi" w:cstheme="majorHAnsi"/>
          <w:bCs/>
          <w:sz w:val="24"/>
          <w:szCs w:val="24"/>
          <w:lang w:val="ro-MD" w:eastAsia="lv-LV"/>
        </w:rPr>
        <w:t xml:space="preserve"> </w:t>
      </w:r>
      <w:r w:rsidR="00135E44" w:rsidRPr="00363CFA">
        <w:rPr>
          <w:rFonts w:asciiTheme="majorHAnsi" w:eastAsia="Calibri" w:hAnsiTheme="majorHAnsi" w:cstheme="majorHAnsi"/>
          <w:bCs/>
          <w:sz w:val="24"/>
          <w:szCs w:val="24"/>
          <w:lang w:val="ro-MD" w:eastAsia="lv-LV"/>
        </w:rPr>
        <w:t>Autorită</w:t>
      </w:r>
      <w:r w:rsidR="0069374B" w:rsidRPr="00363CFA">
        <w:rPr>
          <w:rFonts w:asciiTheme="majorHAnsi" w:eastAsia="Calibri" w:hAnsiTheme="majorHAnsi" w:cstheme="majorHAnsi"/>
          <w:bCs/>
          <w:sz w:val="24"/>
          <w:szCs w:val="24"/>
          <w:lang w:val="ro-MD" w:eastAsia="lv-LV"/>
        </w:rPr>
        <w:t>ț</w:t>
      </w:r>
      <w:r w:rsidR="00135E44" w:rsidRPr="00363CFA">
        <w:rPr>
          <w:rFonts w:asciiTheme="majorHAnsi" w:eastAsia="Calibri" w:hAnsiTheme="majorHAnsi" w:cstheme="majorHAnsi"/>
          <w:bCs/>
          <w:sz w:val="24"/>
          <w:szCs w:val="24"/>
          <w:lang w:val="ro-MD" w:eastAsia="lv-LV"/>
        </w:rPr>
        <w:t>ile UTA Găgăuzia n</w:t>
      </w:r>
      <w:r w:rsidR="0085419B" w:rsidRPr="00363CFA">
        <w:rPr>
          <w:rFonts w:asciiTheme="majorHAnsi" w:eastAsia="Calibri" w:hAnsiTheme="majorHAnsi" w:cstheme="majorHAnsi"/>
          <w:bCs/>
          <w:sz w:val="24"/>
          <w:szCs w:val="24"/>
          <w:lang w:val="ro-MD" w:eastAsia="lv-LV"/>
        </w:rPr>
        <w:t>u a</w:t>
      </w:r>
      <w:r w:rsidR="00135E44" w:rsidRPr="00363CFA">
        <w:rPr>
          <w:rFonts w:asciiTheme="majorHAnsi" w:eastAsia="Calibri" w:hAnsiTheme="majorHAnsi" w:cstheme="majorHAnsi"/>
          <w:bCs/>
          <w:sz w:val="24"/>
          <w:szCs w:val="24"/>
          <w:lang w:val="ro-MD" w:eastAsia="lv-LV"/>
        </w:rPr>
        <w:t>u</w:t>
      </w:r>
      <w:r w:rsidR="0085419B" w:rsidRPr="00363CFA">
        <w:rPr>
          <w:rFonts w:asciiTheme="majorHAnsi" w:eastAsia="Calibri" w:hAnsiTheme="majorHAnsi" w:cstheme="majorHAnsi"/>
          <w:bCs/>
          <w:sz w:val="24"/>
          <w:szCs w:val="24"/>
          <w:lang w:val="ro-MD" w:eastAsia="lv-LV"/>
        </w:rPr>
        <w:t xml:space="preserve"> asigurat transmiterea </w:t>
      </w:r>
      <w:r w:rsidR="000A4B57" w:rsidRPr="00363CFA">
        <w:rPr>
          <w:rFonts w:asciiTheme="majorHAnsi" w:eastAsia="Calibri" w:hAnsiTheme="majorHAnsi" w:cstheme="majorHAnsi"/>
          <w:bCs/>
          <w:sz w:val="24"/>
          <w:szCs w:val="24"/>
          <w:lang w:val="ro-MD" w:eastAsia="lv-LV"/>
        </w:rPr>
        <w:t>către Inspectoratul</w:t>
      </w:r>
      <w:r w:rsidR="0085419B" w:rsidRPr="00363CFA">
        <w:rPr>
          <w:rFonts w:asciiTheme="majorHAnsi" w:eastAsia="Calibri" w:hAnsiTheme="majorHAnsi" w:cstheme="majorHAnsi"/>
          <w:bCs/>
          <w:sz w:val="24"/>
          <w:szCs w:val="24"/>
          <w:lang w:val="ro-MD" w:eastAsia="lv-LV"/>
        </w:rPr>
        <w:t xml:space="preserve"> General pentru Situa</w:t>
      </w:r>
      <w:r w:rsidR="0069374B" w:rsidRPr="00363CFA">
        <w:rPr>
          <w:rFonts w:asciiTheme="majorHAnsi" w:eastAsia="Calibri" w:hAnsiTheme="majorHAnsi" w:cstheme="majorHAnsi"/>
          <w:bCs/>
          <w:sz w:val="24"/>
          <w:szCs w:val="24"/>
          <w:lang w:val="ro-MD" w:eastAsia="lv-LV"/>
        </w:rPr>
        <w:t>ț</w:t>
      </w:r>
      <w:r w:rsidR="0085419B" w:rsidRPr="00363CFA">
        <w:rPr>
          <w:rFonts w:asciiTheme="majorHAnsi" w:eastAsia="Calibri" w:hAnsiTheme="majorHAnsi" w:cstheme="majorHAnsi"/>
          <w:bCs/>
          <w:sz w:val="24"/>
          <w:szCs w:val="24"/>
          <w:lang w:val="ro-MD" w:eastAsia="lv-LV"/>
        </w:rPr>
        <w:t>ii de Urgen</w:t>
      </w:r>
      <w:r w:rsidR="0069374B" w:rsidRPr="00363CFA">
        <w:rPr>
          <w:rFonts w:asciiTheme="majorHAnsi" w:eastAsia="Calibri" w:hAnsiTheme="majorHAnsi" w:cstheme="majorHAnsi"/>
          <w:bCs/>
          <w:sz w:val="24"/>
          <w:szCs w:val="24"/>
          <w:lang w:val="ro-MD" w:eastAsia="lv-LV"/>
        </w:rPr>
        <w:t>ț</w:t>
      </w:r>
      <w:r w:rsidR="0085419B" w:rsidRPr="00363CFA">
        <w:rPr>
          <w:rFonts w:asciiTheme="majorHAnsi" w:eastAsia="Calibri" w:hAnsiTheme="majorHAnsi" w:cstheme="majorHAnsi"/>
          <w:bCs/>
          <w:sz w:val="24"/>
          <w:szCs w:val="24"/>
          <w:lang w:val="ro-MD" w:eastAsia="lv-LV"/>
        </w:rPr>
        <w:t xml:space="preserve">ă a valorii </w:t>
      </w:r>
      <w:r w:rsidR="00BB6F93" w:rsidRPr="00363CFA">
        <w:rPr>
          <w:rFonts w:asciiTheme="majorHAnsi" w:eastAsia="Calibri" w:hAnsiTheme="majorHAnsi" w:cstheme="majorHAnsi"/>
          <w:bCs/>
          <w:sz w:val="24"/>
          <w:szCs w:val="24"/>
          <w:lang w:val="ro-MD" w:eastAsia="lv-LV"/>
        </w:rPr>
        <w:t>lucrărilor executate</w:t>
      </w:r>
      <w:r w:rsidR="001E69CA">
        <w:rPr>
          <w:rFonts w:asciiTheme="majorHAnsi" w:eastAsia="Calibri" w:hAnsiTheme="majorHAnsi" w:cstheme="majorHAnsi"/>
          <w:bCs/>
          <w:sz w:val="24"/>
          <w:szCs w:val="24"/>
          <w:lang w:val="ro-MD" w:eastAsia="lv-LV"/>
        </w:rPr>
        <w:t>,</w:t>
      </w:r>
      <w:r w:rsidR="00BB6F93" w:rsidRPr="00363CFA">
        <w:rPr>
          <w:rFonts w:asciiTheme="majorHAnsi" w:eastAsia="Calibri" w:hAnsiTheme="majorHAnsi" w:cstheme="majorHAnsi"/>
          <w:bCs/>
          <w:sz w:val="24"/>
          <w:szCs w:val="24"/>
          <w:lang w:val="ro-MD" w:eastAsia="lv-LV"/>
        </w:rPr>
        <w:t xml:space="preserve"> </w:t>
      </w:r>
      <w:r w:rsidR="000A4B57" w:rsidRPr="00363CFA">
        <w:rPr>
          <w:rFonts w:asciiTheme="majorHAnsi" w:eastAsia="Calibri" w:hAnsiTheme="majorHAnsi" w:cstheme="majorHAnsi"/>
          <w:bCs/>
          <w:sz w:val="24"/>
          <w:szCs w:val="24"/>
          <w:lang w:val="ro-MD" w:eastAsia="lv-LV"/>
        </w:rPr>
        <w:t>pentru a fi reflectate la majorarea valorii clădirii</w:t>
      </w:r>
      <w:r w:rsidR="00BB6F93" w:rsidRPr="00363CFA">
        <w:rPr>
          <w:rStyle w:val="FootnoteReference"/>
          <w:rFonts w:asciiTheme="majorHAnsi" w:eastAsia="Calibri" w:hAnsiTheme="majorHAnsi" w:cstheme="majorHAnsi"/>
          <w:bCs/>
          <w:sz w:val="24"/>
          <w:szCs w:val="24"/>
          <w:lang w:val="ro-MD" w:eastAsia="lv-LV"/>
        </w:rPr>
        <w:footnoteReference w:id="53"/>
      </w:r>
      <w:r w:rsidR="000A4B57" w:rsidRPr="00363CFA">
        <w:rPr>
          <w:rFonts w:asciiTheme="majorHAnsi" w:eastAsia="Calibri" w:hAnsiTheme="majorHAnsi" w:cstheme="majorHAnsi"/>
          <w:bCs/>
          <w:sz w:val="24"/>
          <w:szCs w:val="24"/>
          <w:lang w:val="ro-MD" w:eastAsia="lv-LV"/>
        </w:rPr>
        <w:t>.</w:t>
      </w:r>
      <w:r w:rsidR="0085419B" w:rsidRPr="00363CFA">
        <w:rPr>
          <w:rFonts w:asciiTheme="majorHAnsi" w:eastAsia="Calibri" w:hAnsiTheme="majorHAnsi" w:cstheme="majorHAnsi"/>
          <w:bCs/>
          <w:sz w:val="24"/>
          <w:szCs w:val="24"/>
          <w:lang w:val="ro-MD" w:eastAsia="lv-LV"/>
        </w:rPr>
        <w:t xml:space="preserve"> </w:t>
      </w:r>
    </w:p>
    <w:p w14:paraId="37F6EB6B" w14:textId="1E7E222F" w:rsidR="00237E36" w:rsidRDefault="00CD41D2" w:rsidP="00767ED8">
      <w:pPr>
        <w:spacing w:after="0" w:line="276" w:lineRule="auto"/>
        <w:contextualSpacing/>
        <w:jc w:val="both"/>
        <w:rPr>
          <w:rFonts w:asciiTheme="majorHAnsi" w:eastAsia="Times New Roman" w:hAnsiTheme="majorHAnsi" w:cstheme="majorHAnsi"/>
          <w:bCs/>
          <w:noProof/>
          <w:sz w:val="24"/>
          <w:szCs w:val="24"/>
          <w:lang w:val="ro-MD" w:eastAsia="ru-RU"/>
        </w:rPr>
      </w:pPr>
      <w:r w:rsidRPr="00363CFA">
        <w:rPr>
          <w:rFonts w:asciiTheme="majorHAnsi" w:hAnsiTheme="majorHAnsi" w:cstheme="majorHAnsi"/>
          <w:b/>
          <w:iCs/>
          <w:sz w:val="24"/>
          <w:szCs w:val="24"/>
          <w:lang w:val="ro-MD"/>
        </w:rPr>
        <w:t>4.2.4</w:t>
      </w:r>
      <w:r w:rsidR="00A17BBE" w:rsidRPr="00363CFA">
        <w:rPr>
          <w:rFonts w:asciiTheme="majorHAnsi" w:hAnsiTheme="majorHAnsi" w:cstheme="majorHAnsi"/>
          <w:b/>
          <w:iCs/>
          <w:sz w:val="24"/>
          <w:szCs w:val="24"/>
          <w:lang w:val="ro-MD"/>
        </w:rPr>
        <w:t xml:space="preserve">. </w:t>
      </w:r>
      <w:r w:rsidR="00892FF5" w:rsidRPr="00363CFA">
        <w:rPr>
          <w:rFonts w:asciiTheme="majorHAnsi" w:eastAsia="Times New Roman" w:hAnsiTheme="majorHAnsi" w:cstheme="majorHAnsi"/>
          <w:b/>
          <w:bCs/>
          <w:i/>
          <w:noProof/>
          <w:sz w:val="24"/>
          <w:szCs w:val="24"/>
          <w:lang w:val="ro-MD" w:eastAsia="ru-RU"/>
        </w:rPr>
        <w:t xml:space="preserve"> </w:t>
      </w:r>
      <w:r w:rsidR="00C82BA7">
        <w:rPr>
          <w:rFonts w:asciiTheme="majorHAnsi" w:eastAsia="Times New Roman" w:hAnsiTheme="majorHAnsi" w:cstheme="majorHAnsi"/>
          <w:b/>
          <w:bCs/>
          <w:i/>
          <w:noProof/>
          <w:sz w:val="24"/>
          <w:szCs w:val="24"/>
          <w:lang w:val="ro-MD" w:eastAsia="ru-RU"/>
        </w:rPr>
        <w:t>N</w:t>
      </w:r>
      <w:r w:rsidR="00237E36" w:rsidRPr="00A87C8B">
        <w:rPr>
          <w:rFonts w:asciiTheme="majorHAnsi" w:eastAsia="Times New Roman" w:hAnsiTheme="majorHAnsi" w:cstheme="majorHAnsi"/>
          <w:b/>
          <w:bCs/>
          <w:i/>
          <w:noProof/>
          <w:sz w:val="24"/>
          <w:szCs w:val="24"/>
          <w:lang w:val="ro-MD" w:eastAsia="ru-RU"/>
        </w:rPr>
        <w:t>eavizarea de către C</w:t>
      </w:r>
      <w:r w:rsidR="00402B25" w:rsidRPr="00A87C8B">
        <w:rPr>
          <w:rFonts w:asciiTheme="majorHAnsi" w:eastAsia="Times New Roman" w:hAnsiTheme="majorHAnsi" w:cstheme="majorHAnsi"/>
          <w:b/>
          <w:bCs/>
          <w:i/>
          <w:noProof/>
          <w:sz w:val="24"/>
          <w:szCs w:val="24"/>
          <w:lang w:val="ro-MD" w:eastAsia="ru-RU"/>
        </w:rPr>
        <w:t>ancelari</w:t>
      </w:r>
      <w:r w:rsidR="00237E36" w:rsidRPr="00A87C8B">
        <w:rPr>
          <w:rFonts w:asciiTheme="majorHAnsi" w:eastAsia="Times New Roman" w:hAnsiTheme="majorHAnsi" w:cstheme="majorHAnsi"/>
          <w:b/>
          <w:bCs/>
          <w:i/>
          <w:noProof/>
          <w:sz w:val="24"/>
          <w:szCs w:val="24"/>
          <w:lang w:val="ro-MD" w:eastAsia="ru-RU"/>
        </w:rPr>
        <w:t>a de Stat a statelor de personal</w:t>
      </w:r>
      <w:r w:rsidR="00C82BA7">
        <w:rPr>
          <w:rStyle w:val="FootnoteReference"/>
          <w:rFonts w:asciiTheme="majorHAnsi" w:eastAsia="Times New Roman" w:hAnsiTheme="majorHAnsi" w:cstheme="majorHAnsi"/>
          <w:b/>
          <w:bCs/>
          <w:i/>
          <w:noProof/>
          <w:sz w:val="24"/>
          <w:szCs w:val="24"/>
          <w:lang w:val="ro-MD" w:eastAsia="ru-RU"/>
        </w:rPr>
        <w:footnoteReference w:id="54"/>
      </w:r>
      <w:r w:rsidR="00237E36" w:rsidRPr="00A87C8B">
        <w:rPr>
          <w:rFonts w:asciiTheme="majorHAnsi" w:eastAsia="Times New Roman" w:hAnsiTheme="majorHAnsi" w:cstheme="majorHAnsi"/>
          <w:b/>
          <w:bCs/>
          <w:i/>
          <w:noProof/>
          <w:sz w:val="24"/>
          <w:szCs w:val="24"/>
          <w:lang w:val="ro-MD" w:eastAsia="ru-RU"/>
        </w:rPr>
        <w:t xml:space="preserve"> </w:t>
      </w:r>
      <w:r w:rsidR="00C82BA7">
        <w:rPr>
          <w:rFonts w:asciiTheme="majorHAnsi" w:eastAsia="Times New Roman" w:hAnsiTheme="majorHAnsi" w:cstheme="majorHAnsi"/>
          <w:b/>
          <w:bCs/>
          <w:i/>
          <w:noProof/>
          <w:sz w:val="24"/>
          <w:szCs w:val="24"/>
          <w:lang w:val="ro-MD" w:eastAsia="ru-RU"/>
        </w:rPr>
        <w:t>a</w:t>
      </w:r>
      <w:r w:rsidR="00FF0E14">
        <w:rPr>
          <w:rFonts w:asciiTheme="majorHAnsi" w:eastAsia="Times New Roman" w:hAnsiTheme="majorHAnsi" w:cstheme="majorHAnsi"/>
          <w:b/>
          <w:bCs/>
          <w:i/>
          <w:noProof/>
          <w:sz w:val="24"/>
          <w:szCs w:val="24"/>
          <w:lang w:val="ro-MD" w:eastAsia="ru-RU"/>
        </w:rPr>
        <w:t>le</w:t>
      </w:r>
      <w:r w:rsidR="00C82BA7">
        <w:rPr>
          <w:rFonts w:asciiTheme="majorHAnsi" w:eastAsia="Times New Roman" w:hAnsiTheme="majorHAnsi" w:cstheme="majorHAnsi"/>
          <w:b/>
          <w:bCs/>
          <w:i/>
          <w:noProof/>
          <w:sz w:val="24"/>
          <w:szCs w:val="24"/>
          <w:lang w:val="ro-MD" w:eastAsia="ru-RU"/>
        </w:rPr>
        <w:t xml:space="preserve"> </w:t>
      </w:r>
      <w:r w:rsidR="00C82BA7" w:rsidRPr="00363CFA">
        <w:rPr>
          <w:rFonts w:asciiTheme="majorHAnsi" w:eastAsia="Times New Roman" w:hAnsiTheme="majorHAnsi" w:cstheme="majorHAnsi"/>
          <w:b/>
          <w:bCs/>
          <w:i/>
          <w:noProof/>
          <w:sz w:val="24"/>
          <w:szCs w:val="24"/>
          <w:lang w:val="ro-MD" w:eastAsia="ru-RU"/>
        </w:rPr>
        <w:t>un</w:t>
      </w:r>
      <w:r w:rsidR="00C82BA7">
        <w:rPr>
          <w:rFonts w:asciiTheme="majorHAnsi" w:eastAsia="Times New Roman" w:hAnsiTheme="majorHAnsi" w:cstheme="majorHAnsi"/>
          <w:b/>
          <w:bCs/>
          <w:i/>
          <w:noProof/>
          <w:sz w:val="24"/>
          <w:szCs w:val="24"/>
          <w:lang w:val="ro-MD" w:eastAsia="ru-RU"/>
        </w:rPr>
        <w:t>or</w:t>
      </w:r>
      <w:r w:rsidR="00C82BA7" w:rsidRPr="00363CFA">
        <w:rPr>
          <w:rFonts w:asciiTheme="majorHAnsi" w:eastAsia="Times New Roman" w:hAnsiTheme="majorHAnsi" w:cstheme="majorHAnsi"/>
          <w:b/>
          <w:bCs/>
          <w:i/>
          <w:noProof/>
          <w:sz w:val="24"/>
          <w:szCs w:val="24"/>
          <w:lang w:val="ro-MD" w:eastAsia="ru-RU"/>
        </w:rPr>
        <w:t xml:space="preserve"> instituții </w:t>
      </w:r>
      <w:r w:rsidR="00C82BA7" w:rsidRPr="00A87C8B">
        <w:rPr>
          <w:rFonts w:asciiTheme="majorHAnsi" w:eastAsia="Times New Roman" w:hAnsiTheme="majorHAnsi" w:cstheme="majorHAnsi"/>
          <w:b/>
          <w:bCs/>
          <w:i/>
          <w:noProof/>
          <w:sz w:val="24"/>
          <w:szCs w:val="24"/>
          <w:lang w:val="ro-MD" w:eastAsia="ru-RU"/>
        </w:rPr>
        <w:t>create</w:t>
      </w:r>
      <w:r w:rsidR="00C82BA7">
        <w:rPr>
          <w:rFonts w:asciiTheme="majorHAnsi" w:eastAsia="Times New Roman" w:hAnsiTheme="majorHAnsi" w:cstheme="majorHAnsi"/>
          <w:b/>
          <w:bCs/>
          <w:i/>
          <w:noProof/>
          <w:sz w:val="24"/>
          <w:szCs w:val="24"/>
          <w:lang w:val="ro-MD" w:eastAsia="ru-RU"/>
        </w:rPr>
        <w:t xml:space="preserve"> neconform</w:t>
      </w:r>
      <w:r w:rsidR="00C82BA7">
        <w:rPr>
          <w:rStyle w:val="FootnoteReference"/>
          <w:rFonts w:asciiTheme="majorHAnsi" w:eastAsia="Times New Roman" w:hAnsiTheme="majorHAnsi" w:cstheme="majorHAnsi"/>
          <w:b/>
          <w:bCs/>
          <w:i/>
          <w:noProof/>
          <w:sz w:val="24"/>
          <w:szCs w:val="24"/>
          <w:lang w:val="ro-MD" w:eastAsia="ru-RU"/>
        </w:rPr>
        <w:footnoteReference w:id="55"/>
      </w:r>
      <w:r w:rsidR="00C82BA7" w:rsidRPr="00A87C8B">
        <w:rPr>
          <w:rFonts w:asciiTheme="majorHAnsi" w:eastAsia="Times New Roman" w:hAnsiTheme="majorHAnsi" w:cstheme="majorHAnsi"/>
          <w:b/>
          <w:bCs/>
          <w:i/>
          <w:noProof/>
          <w:sz w:val="24"/>
          <w:szCs w:val="24"/>
          <w:lang w:val="ro-MD" w:eastAsia="ru-RU"/>
        </w:rPr>
        <w:t xml:space="preserve"> de către autoritățile deliberativă și executivă ale UTA Găgăuzia</w:t>
      </w:r>
      <w:r w:rsidR="00C82BA7" w:rsidRPr="00363CFA">
        <w:rPr>
          <w:rFonts w:asciiTheme="majorHAnsi" w:eastAsia="Times New Roman" w:hAnsiTheme="majorHAnsi" w:cstheme="majorHAnsi"/>
          <w:b/>
          <w:bCs/>
          <w:i/>
          <w:noProof/>
          <w:sz w:val="24"/>
          <w:szCs w:val="24"/>
          <w:lang w:val="ro-MD" w:eastAsia="ru-RU"/>
        </w:rPr>
        <w:t xml:space="preserve"> (</w:t>
      </w:r>
      <w:r w:rsidR="00C82BA7" w:rsidRPr="003C2D6D">
        <w:rPr>
          <w:rFonts w:asciiTheme="majorHAnsi" w:eastAsia="Times New Roman" w:hAnsiTheme="majorHAnsi" w:cstheme="majorHAnsi"/>
          <w:b/>
          <w:bCs/>
          <w:i/>
          <w:noProof/>
          <w:sz w:val="24"/>
          <w:szCs w:val="24"/>
          <w:lang w:val="ro-MD" w:eastAsia="ru-RU"/>
        </w:rPr>
        <w:t>Curtea de Conturi a Găgăuziei, Comisia Electorală Centrală a Găgăuziei; administraț</w:t>
      </w:r>
      <w:r w:rsidR="00C82BA7" w:rsidRPr="00A87C8B">
        <w:rPr>
          <w:rFonts w:asciiTheme="majorHAnsi" w:eastAsia="Times New Roman" w:hAnsiTheme="majorHAnsi" w:cstheme="majorHAnsi"/>
          <w:b/>
          <w:bCs/>
          <w:i/>
          <w:noProof/>
          <w:sz w:val="24"/>
          <w:szCs w:val="24"/>
          <w:lang w:val="ro-MD" w:eastAsia="ru-RU"/>
        </w:rPr>
        <w:t>iile dolayurilor Comrat, Ceadâr-Lunga și Vulcănești)</w:t>
      </w:r>
      <w:r w:rsidR="00237E36" w:rsidRPr="00A87C8B">
        <w:rPr>
          <w:rFonts w:asciiTheme="majorHAnsi" w:eastAsia="Times New Roman" w:hAnsiTheme="majorHAnsi" w:cstheme="majorHAnsi"/>
          <w:b/>
          <w:bCs/>
          <w:i/>
          <w:noProof/>
          <w:sz w:val="24"/>
          <w:szCs w:val="24"/>
          <w:lang w:val="ro-MD" w:eastAsia="ru-RU"/>
        </w:rPr>
        <w:t xml:space="preserve"> </w:t>
      </w:r>
      <w:r w:rsidR="00892FF5" w:rsidRPr="00A87C8B">
        <w:rPr>
          <w:rFonts w:asciiTheme="majorHAnsi" w:eastAsia="Times New Roman" w:hAnsiTheme="majorHAnsi" w:cstheme="majorHAnsi"/>
          <w:b/>
          <w:bCs/>
          <w:i/>
          <w:noProof/>
          <w:sz w:val="24"/>
          <w:szCs w:val="24"/>
          <w:lang w:val="ro-MD" w:eastAsia="ru-RU"/>
        </w:rPr>
        <w:t xml:space="preserve">generează cheltuieli </w:t>
      </w:r>
      <w:r w:rsidR="00237E36" w:rsidRPr="00A87C8B">
        <w:rPr>
          <w:rFonts w:asciiTheme="majorHAnsi" w:eastAsia="Times New Roman" w:hAnsiTheme="majorHAnsi" w:cstheme="majorHAnsi"/>
          <w:b/>
          <w:bCs/>
          <w:i/>
          <w:noProof/>
          <w:sz w:val="24"/>
          <w:szCs w:val="24"/>
          <w:lang w:val="ro-MD" w:eastAsia="ru-RU"/>
        </w:rPr>
        <w:t>neregulamentare pentru remunerarea</w:t>
      </w:r>
      <w:r w:rsidR="00237E36" w:rsidRPr="00363CFA">
        <w:rPr>
          <w:rFonts w:asciiTheme="majorHAnsi" w:eastAsia="Times New Roman" w:hAnsiTheme="majorHAnsi" w:cstheme="majorHAnsi"/>
          <w:b/>
          <w:bCs/>
          <w:i/>
          <w:noProof/>
          <w:sz w:val="24"/>
          <w:szCs w:val="24"/>
          <w:lang w:val="ro-MD" w:eastAsia="ru-RU"/>
        </w:rPr>
        <w:t xml:space="preserve"> muncii, care </w:t>
      </w:r>
      <w:r w:rsidR="00FF0E14" w:rsidRPr="00363CFA">
        <w:rPr>
          <w:rFonts w:asciiTheme="majorHAnsi" w:eastAsia="Times New Roman" w:hAnsiTheme="majorHAnsi" w:cstheme="majorHAnsi"/>
          <w:b/>
          <w:bCs/>
          <w:i/>
          <w:noProof/>
          <w:sz w:val="24"/>
          <w:szCs w:val="24"/>
          <w:lang w:val="ro-MD" w:eastAsia="ru-RU"/>
        </w:rPr>
        <w:t>în</w:t>
      </w:r>
      <w:r w:rsidR="00FF0E14">
        <w:rPr>
          <w:rFonts w:asciiTheme="majorHAnsi" w:eastAsia="Times New Roman" w:hAnsiTheme="majorHAnsi" w:cstheme="majorHAnsi"/>
          <w:b/>
          <w:bCs/>
          <w:i/>
          <w:noProof/>
          <w:sz w:val="24"/>
          <w:szCs w:val="24"/>
          <w:lang w:val="ro-MD" w:eastAsia="ru-RU"/>
        </w:rPr>
        <w:t xml:space="preserve"> anul</w:t>
      </w:r>
      <w:r w:rsidR="00FF0E14" w:rsidRPr="00363CFA">
        <w:rPr>
          <w:rFonts w:asciiTheme="majorHAnsi" w:eastAsia="Times New Roman" w:hAnsiTheme="majorHAnsi" w:cstheme="majorHAnsi"/>
          <w:b/>
          <w:bCs/>
          <w:i/>
          <w:noProof/>
          <w:sz w:val="24"/>
          <w:szCs w:val="24"/>
          <w:lang w:val="ro-MD" w:eastAsia="ru-RU"/>
        </w:rPr>
        <w:t xml:space="preserve"> 2019 </w:t>
      </w:r>
      <w:r w:rsidR="00237E36" w:rsidRPr="00363CFA">
        <w:rPr>
          <w:rFonts w:asciiTheme="majorHAnsi" w:eastAsia="Times New Roman" w:hAnsiTheme="majorHAnsi" w:cstheme="majorHAnsi"/>
          <w:b/>
          <w:bCs/>
          <w:i/>
          <w:noProof/>
          <w:sz w:val="24"/>
          <w:szCs w:val="24"/>
          <w:lang w:val="ro-MD" w:eastAsia="ru-RU"/>
        </w:rPr>
        <w:t xml:space="preserve">au constituit </w:t>
      </w:r>
      <w:r w:rsidR="009E096A" w:rsidRPr="00363CFA">
        <w:rPr>
          <w:rFonts w:asciiTheme="majorHAnsi" w:eastAsia="Times New Roman" w:hAnsiTheme="majorHAnsi" w:cstheme="majorHAnsi"/>
          <w:b/>
          <w:bCs/>
          <w:i/>
          <w:noProof/>
          <w:sz w:val="24"/>
          <w:szCs w:val="24"/>
          <w:lang w:val="ro-MD" w:eastAsia="ru-RU"/>
        </w:rPr>
        <w:t xml:space="preserve">2210,2 </w:t>
      </w:r>
      <w:r w:rsidR="00237E36" w:rsidRPr="00363CFA">
        <w:rPr>
          <w:rFonts w:asciiTheme="majorHAnsi" w:eastAsia="Times New Roman" w:hAnsiTheme="majorHAnsi" w:cstheme="majorHAnsi"/>
          <w:b/>
          <w:bCs/>
          <w:i/>
          <w:noProof/>
          <w:sz w:val="24"/>
          <w:szCs w:val="24"/>
          <w:lang w:val="ro-MD" w:eastAsia="ru-RU"/>
        </w:rPr>
        <w:t>mii lei</w:t>
      </w:r>
      <w:r w:rsidR="00FF0E14">
        <w:rPr>
          <w:rFonts w:asciiTheme="majorHAnsi" w:eastAsia="Times New Roman" w:hAnsiTheme="majorHAnsi" w:cstheme="majorHAnsi"/>
          <w:b/>
          <w:bCs/>
          <w:i/>
          <w:noProof/>
          <w:sz w:val="24"/>
          <w:szCs w:val="24"/>
          <w:lang w:val="ro-MD" w:eastAsia="ru-RU"/>
        </w:rPr>
        <w:t>, iar</w:t>
      </w:r>
      <w:r w:rsidR="00237E36" w:rsidRPr="00363CFA">
        <w:rPr>
          <w:rFonts w:asciiTheme="majorHAnsi" w:eastAsia="Times New Roman" w:hAnsiTheme="majorHAnsi" w:cstheme="majorHAnsi"/>
          <w:b/>
          <w:bCs/>
          <w:i/>
          <w:noProof/>
          <w:sz w:val="24"/>
          <w:szCs w:val="24"/>
          <w:lang w:val="ro-MD" w:eastAsia="ru-RU"/>
        </w:rPr>
        <w:t xml:space="preserve"> în </w:t>
      </w:r>
      <w:r w:rsidR="001E69CA">
        <w:rPr>
          <w:rFonts w:asciiTheme="majorHAnsi" w:eastAsia="Times New Roman" w:hAnsiTheme="majorHAnsi" w:cstheme="majorHAnsi"/>
          <w:b/>
          <w:bCs/>
          <w:i/>
          <w:noProof/>
          <w:sz w:val="24"/>
          <w:szCs w:val="24"/>
          <w:lang w:val="ro-MD" w:eastAsia="ru-RU"/>
        </w:rPr>
        <w:t xml:space="preserve">anul </w:t>
      </w:r>
      <w:r w:rsidR="00237E36" w:rsidRPr="00363CFA">
        <w:rPr>
          <w:rFonts w:asciiTheme="majorHAnsi" w:eastAsia="Times New Roman" w:hAnsiTheme="majorHAnsi" w:cstheme="majorHAnsi"/>
          <w:b/>
          <w:bCs/>
          <w:i/>
          <w:noProof/>
          <w:sz w:val="24"/>
          <w:szCs w:val="24"/>
          <w:lang w:val="ro-MD" w:eastAsia="ru-RU"/>
        </w:rPr>
        <w:t xml:space="preserve">2020 </w:t>
      </w:r>
      <w:r w:rsidR="009E096A" w:rsidRPr="00363CFA">
        <w:rPr>
          <w:rFonts w:asciiTheme="majorHAnsi" w:eastAsia="Times New Roman" w:hAnsiTheme="majorHAnsi" w:cstheme="majorHAnsi"/>
          <w:b/>
          <w:bCs/>
          <w:i/>
          <w:noProof/>
          <w:sz w:val="24"/>
          <w:szCs w:val="24"/>
          <w:lang w:val="ro-MD" w:eastAsia="ru-RU"/>
        </w:rPr>
        <w:t xml:space="preserve">– 2769,0 </w:t>
      </w:r>
      <w:r w:rsidR="00237E36" w:rsidRPr="00363CFA">
        <w:rPr>
          <w:rFonts w:asciiTheme="majorHAnsi" w:eastAsia="Times New Roman" w:hAnsiTheme="majorHAnsi" w:cstheme="majorHAnsi"/>
          <w:b/>
          <w:bCs/>
          <w:i/>
          <w:noProof/>
          <w:sz w:val="24"/>
          <w:szCs w:val="24"/>
          <w:lang w:val="ro-MD" w:eastAsia="ru-RU"/>
        </w:rPr>
        <w:t>mii lei</w:t>
      </w:r>
      <w:r w:rsidR="00C82BA7">
        <w:rPr>
          <w:rFonts w:asciiTheme="majorHAnsi" w:eastAsia="Times New Roman" w:hAnsiTheme="majorHAnsi" w:cstheme="majorHAnsi"/>
          <w:b/>
          <w:bCs/>
          <w:i/>
          <w:noProof/>
          <w:sz w:val="24"/>
          <w:szCs w:val="24"/>
          <w:lang w:val="ro-MD" w:eastAsia="ru-RU"/>
        </w:rPr>
        <w:t xml:space="preserve"> (</w:t>
      </w:r>
      <w:r w:rsidR="00FF0E14">
        <w:rPr>
          <w:rFonts w:asciiTheme="majorHAnsi" w:eastAsia="Times New Roman" w:hAnsiTheme="majorHAnsi" w:cstheme="majorHAnsi"/>
          <w:b/>
          <w:bCs/>
          <w:i/>
          <w:noProof/>
          <w:sz w:val="24"/>
          <w:szCs w:val="24"/>
          <w:lang w:val="ro-MD" w:eastAsia="ru-RU"/>
        </w:rPr>
        <w:t xml:space="preserve">în </w:t>
      </w:r>
      <w:r w:rsidR="00C82BA7">
        <w:rPr>
          <w:rFonts w:asciiTheme="majorHAnsi" w:eastAsia="Times New Roman" w:hAnsiTheme="majorHAnsi" w:cstheme="majorHAnsi"/>
          <w:b/>
          <w:bCs/>
          <w:i/>
          <w:noProof/>
          <w:sz w:val="24"/>
          <w:szCs w:val="24"/>
          <w:lang w:val="ro-MD" w:eastAsia="ru-RU"/>
        </w:rPr>
        <w:t xml:space="preserve">total </w:t>
      </w:r>
      <w:r w:rsidR="00FF0E14">
        <w:rPr>
          <w:rFonts w:asciiTheme="majorHAnsi" w:eastAsia="Times New Roman" w:hAnsiTheme="majorHAnsi" w:cstheme="majorHAnsi"/>
          <w:b/>
          <w:bCs/>
          <w:i/>
          <w:noProof/>
          <w:sz w:val="24"/>
          <w:szCs w:val="24"/>
          <w:lang w:val="ro-MD" w:eastAsia="ru-RU"/>
        </w:rPr>
        <w:t xml:space="preserve">- </w:t>
      </w:r>
      <w:r w:rsidR="00C82BA7" w:rsidRPr="00363CFA">
        <w:rPr>
          <w:rFonts w:asciiTheme="majorHAnsi" w:eastAsia="Times New Roman" w:hAnsiTheme="majorHAnsi" w:cstheme="majorHAnsi"/>
          <w:b/>
          <w:bCs/>
          <w:i/>
          <w:noProof/>
          <w:sz w:val="24"/>
          <w:szCs w:val="24"/>
          <w:lang w:val="ro-MD" w:eastAsia="ru-RU"/>
        </w:rPr>
        <w:t>4979,2 mii lei</w:t>
      </w:r>
      <w:r w:rsidR="00C82BA7">
        <w:rPr>
          <w:rFonts w:asciiTheme="majorHAnsi" w:eastAsia="Times New Roman" w:hAnsiTheme="majorHAnsi" w:cstheme="majorHAnsi"/>
          <w:b/>
          <w:bCs/>
          <w:i/>
          <w:noProof/>
          <w:sz w:val="24"/>
          <w:szCs w:val="24"/>
          <w:lang w:val="ro-MD" w:eastAsia="ru-RU"/>
        </w:rPr>
        <w:t>)</w:t>
      </w:r>
      <w:r w:rsidR="00237E36" w:rsidRPr="00363CFA">
        <w:rPr>
          <w:rFonts w:asciiTheme="majorHAnsi" w:eastAsia="Times New Roman" w:hAnsiTheme="majorHAnsi" w:cstheme="majorHAnsi"/>
          <w:b/>
          <w:bCs/>
          <w:i/>
          <w:noProof/>
          <w:sz w:val="24"/>
          <w:szCs w:val="24"/>
          <w:lang w:val="ro-MD" w:eastAsia="ru-RU"/>
        </w:rPr>
        <w:t xml:space="preserve">. </w:t>
      </w:r>
      <w:r w:rsidR="008A338C" w:rsidRPr="00363CFA">
        <w:rPr>
          <w:rFonts w:asciiTheme="majorHAnsi" w:eastAsia="Times New Roman" w:hAnsiTheme="majorHAnsi" w:cstheme="majorHAnsi"/>
          <w:b/>
          <w:bCs/>
          <w:i/>
          <w:noProof/>
          <w:sz w:val="24"/>
          <w:szCs w:val="24"/>
          <w:lang w:val="ro-MD" w:eastAsia="ru-RU"/>
        </w:rPr>
        <w:t xml:space="preserve"> </w:t>
      </w:r>
      <w:r w:rsidR="00BB6F93" w:rsidRPr="00363CFA">
        <w:rPr>
          <w:rFonts w:asciiTheme="majorHAnsi" w:eastAsia="Times New Roman" w:hAnsiTheme="majorHAnsi" w:cstheme="majorHAnsi"/>
          <w:b/>
          <w:bCs/>
          <w:i/>
          <w:noProof/>
          <w:sz w:val="24"/>
          <w:szCs w:val="24"/>
          <w:lang w:val="ro-MD" w:eastAsia="ru-RU"/>
        </w:rPr>
        <w:t>De men</w:t>
      </w:r>
      <w:r w:rsidR="0069374B" w:rsidRPr="00363CFA">
        <w:rPr>
          <w:rFonts w:asciiTheme="majorHAnsi" w:eastAsia="Times New Roman" w:hAnsiTheme="majorHAnsi" w:cstheme="majorHAnsi"/>
          <w:b/>
          <w:bCs/>
          <w:i/>
          <w:noProof/>
          <w:sz w:val="24"/>
          <w:szCs w:val="24"/>
          <w:lang w:val="ro-MD" w:eastAsia="ru-RU"/>
        </w:rPr>
        <w:t>ț</w:t>
      </w:r>
      <w:r w:rsidR="00BB6F93" w:rsidRPr="00363CFA">
        <w:rPr>
          <w:rFonts w:asciiTheme="majorHAnsi" w:eastAsia="Times New Roman" w:hAnsiTheme="majorHAnsi" w:cstheme="majorHAnsi"/>
          <w:b/>
          <w:bCs/>
          <w:i/>
          <w:noProof/>
          <w:sz w:val="24"/>
          <w:szCs w:val="24"/>
          <w:lang w:val="ro-MD" w:eastAsia="ru-RU"/>
        </w:rPr>
        <w:t>ionat că</w:t>
      </w:r>
      <w:r w:rsidR="001E69CA">
        <w:rPr>
          <w:rFonts w:asciiTheme="majorHAnsi" w:eastAsia="Times New Roman" w:hAnsiTheme="majorHAnsi" w:cstheme="majorHAnsi"/>
          <w:b/>
          <w:bCs/>
          <w:i/>
          <w:noProof/>
          <w:sz w:val="24"/>
          <w:szCs w:val="24"/>
          <w:lang w:val="ro-MD" w:eastAsia="ru-RU"/>
        </w:rPr>
        <w:t>,</w:t>
      </w:r>
      <w:r w:rsidR="00BB6F93" w:rsidRPr="00363CFA">
        <w:rPr>
          <w:rFonts w:asciiTheme="majorHAnsi" w:eastAsia="Times New Roman" w:hAnsiTheme="majorHAnsi" w:cstheme="majorHAnsi"/>
          <w:b/>
          <w:bCs/>
          <w:i/>
          <w:noProof/>
          <w:sz w:val="24"/>
          <w:szCs w:val="24"/>
          <w:lang w:val="ro-MD" w:eastAsia="ru-RU"/>
        </w:rPr>
        <w:t xml:space="preserve"> p</w:t>
      </w:r>
      <w:r w:rsidR="00D30C83" w:rsidRPr="00363CFA">
        <w:rPr>
          <w:rFonts w:asciiTheme="majorHAnsi" w:eastAsia="Times New Roman" w:hAnsiTheme="majorHAnsi" w:cstheme="majorHAnsi"/>
          <w:b/>
          <w:bCs/>
          <w:i/>
          <w:noProof/>
          <w:sz w:val="24"/>
          <w:szCs w:val="24"/>
          <w:lang w:val="ro-MD" w:eastAsia="ru-RU"/>
        </w:rPr>
        <w:t xml:space="preserve">otrivit prevederilor art.25 alin.(4) </w:t>
      </w:r>
      <w:r w:rsidR="00D30C83" w:rsidRPr="003C2D6D">
        <w:rPr>
          <w:rFonts w:asciiTheme="majorHAnsi" w:eastAsia="Times New Roman" w:hAnsiTheme="majorHAnsi" w:cstheme="majorHAnsi"/>
          <w:b/>
          <w:bCs/>
          <w:i/>
          <w:noProof/>
          <w:sz w:val="24"/>
          <w:szCs w:val="24"/>
          <w:lang w:val="ro-MD" w:eastAsia="ru-RU"/>
        </w:rPr>
        <w:t xml:space="preserve">din Legea </w:t>
      </w:r>
      <w:r w:rsidR="001E69CA" w:rsidRPr="00A87C8B">
        <w:rPr>
          <w:rFonts w:asciiTheme="majorHAnsi" w:eastAsia="Times New Roman" w:hAnsiTheme="majorHAnsi" w:cstheme="majorHAnsi"/>
          <w:b/>
          <w:bCs/>
          <w:i/>
          <w:noProof/>
          <w:sz w:val="24"/>
          <w:szCs w:val="24"/>
          <w:lang w:val="ro-MD" w:eastAsia="ru-RU"/>
        </w:rPr>
        <w:t>nr.</w:t>
      </w:r>
      <w:r w:rsidR="00D30C83" w:rsidRPr="00A87C8B">
        <w:rPr>
          <w:rFonts w:asciiTheme="majorHAnsi" w:eastAsia="Times New Roman" w:hAnsiTheme="majorHAnsi" w:cstheme="majorHAnsi"/>
          <w:b/>
          <w:bCs/>
          <w:i/>
          <w:noProof/>
          <w:sz w:val="24"/>
          <w:szCs w:val="24"/>
          <w:lang w:val="ro-MD" w:eastAsia="ru-RU"/>
        </w:rPr>
        <w:t xml:space="preserve">270/2018 </w:t>
      </w:r>
      <w:r w:rsidR="001E69CA" w:rsidRPr="00A87C8B">
        <w:rPr>
          <w:rFonts w:asciiTheme="majorHAnsi" w:eastAsia="Times New Roman" w:hAnsiTheme="majorHAnsi" w:cstheme="majorHAnsi"/>
          <w:b/>
          <w:bCs/>
          <w:i/>
          <w:noProof/>
          <w:sz w:val="24"/>
          <w:szCs w:val="24"/>
          <w:lang w:val="ro-MD" w:eastAsia="ru-RU"/>
        </w:rPr>
        <w:t>p</w:t>
      </w:r>
      <w:r w:rsidR="00D30C83" w:rsidRPr="00A87C8B">
        <w:rPr>
          <w:rFonts w:asciiTheme="majorHAnsi" w:eastAsia="Times New Roman" w:hAnsiTheme="majorHAnsi" w:cstheme="majorHAnsi"/>
          <w:b/>
          <w:bCs/>
          <w:i/>
          <w:noProof/>
          <w:sz w:val="24"/>
          <w:szCs w:val="24"/>
          <w:lang w:val="ro-MD" w:eastAsia="ru-RU"/>
        </w:rPr>
        <w:t>rivind</w:t>
      </w:r>
      <w:r w:rsidR="00D30C83" w:rsidRPr="00363CFA">
        <w:rPr>
          <w:rFonts w:asciiTheme="majorHAnsi" w:eastAsia="Times New Roman" w:hAnsiTheme="majorHAnsi" w:cstheme="majorHAnsi"/>
          <w:b/>
          <w:bCs/>
          <w:i/>
          <w:noProof/>
          <w:sz w:val="24"/>
          <w:szCs w:val="24"/>
          <w:lang w:val="ro-MD" w:eastAsia="ru-RU"/>
        </w:rPr>
        <w:t xml:space="preserve"> sistemul unitar de salarizare în sectorul bugetar</w:t>
      </w:r>
      <w:r w:rsidR="001E69CA">
        <w:rPr>
          <w:rFonts w:asciiTheme="majorHAnsi" w:eastAsia="Times New Roman" w:hAnsiTheme="majorHAnsi" w:cstheme="majorHAnsi"/>
          <w:b/>
          <w:bCs/>
          <w:i/>
          <w:noProof/>
          <w:sz w:val="24"/>
          <w:szCs w:val="24"/>
          <w:lang w:val="ro-MD" w:eastAsia="ru-RU"/>
        </w:rPr>
        <w:t>,</w:t>
      </w:r>
      <w:r w:rsidR="00021868" w:rsidRPr="00363CFA">
        <w:rPr>
          <w:rFonts w:asciiTheme="majorHAnsi" w:eastAsia="Times New Roman" w:hAnsiTheme="majorHAnsi" w:cstheme="majorHAnsi"/>
          <w:b/>
          <w:bCs/>
          <w:i/>
          <w:noProof/>
          <w:sz w:val="24"/>
          <w:szCs w:val="24"/>
          <w:lang w:val="ro-MD" w:eastAsia="ru-RU"/>
        </w:rPr>
        <w:t xml:space="preserve"> în cazul în care func</w:t>
      </w:r>
      <w:r w:rsidR="0069374B" w:rsidRPr="00363CFA">
        <w:rPr>
          <w:rFonts w:asciiTheme="majorHAnsi" w:eastAsia="Times New Roman" w:hAnsiTheme="majorHAnsi" w:cstheme="majorHAnsi"/>
          <w:b/>
          <w:bCs/>
          <w:i/>
          <w:noProof/>
          <w:sz w:val="24"/>
          <w:szCs w:val="24"/>
          <w:lang w:val="ro-MD" w:eastAsia="ru-RU"/>
        </w:rPr>
        <w:t>ț</w:t>
      </w:r>
      <w:r w:rsidR="00021868" w:rsidRPr="00363CFA">
        <w:rPr>
          <w:rFonts w:asciiTheme="majorHAnsi" w:eastAsia="Times New Roman" w:hAnsiTheme="majorHAnsi" w:cstheme="majorHAnsi"/>
          <w:b/>
          <w:bCs/>
          <w:i/>
          <w:noProof/>
          <w:sz w:val="24"/>
          <w:szCs w:val="24"/>
          <w:lang w:val="ro-MD" w:eastAsia="ru-RU"/>
        </w:rPr>
        <w:t>ia de</w:t>
      </w:r>
      <w:r w:rsidR="0069374B" w:rsidRPr="00363CFA">
        <w:rPr>
          <w:rFonts w:asciiTheme="majorHAnsi" w:eastAsia="Times New Roman" w:hAnsiTheme="majorHAnsi" w:cstheme="majorHAnsi"/>
          <w:b/>
          <w:bCs/>
          <w:i/>
          <w:noProof/>
          <w:sz w:val="24"/>
          <w:szCs w:val="24"/>
          <w:lang w:val="ro-MD" w:eastAsia="ru-RU"/>
        </w:rPr>
        <w:t>ț</w:t>
      </w:r>
      <w:r w:rsidR="00021868" w:rsidRPr="00363CFA">
        <w:rPr>
          <w:rFonts w:asciiTheme="majorHAnsi" w:eastAsia="Times New Roman" w:hAnsiTheme="majorHAnsi" w:cstheme="majorHAnsi"/>
          <w:b/>
          <w:bCs/>
          <w:i/>
          <w:noProof/>
          <w:sz w:val="24"/>
          <w:szCs w:val="24"/>
          <w:lang w:val="ro-MD" w:eastAsia="ru-RU"/>
        </w:rPr>
        <w:t>inută în luna anterioară intrării în vigoare a prezentei legi nu se regăse</w:t>
      </w:r>
      <w:r w:rsidR="0069374B" w:rsidRPr="00363CFA">
        <w:rPr>
          <w:rFonts w:asciiTheme="majorHAnsi" w:eastAsia="Times New Roman" w:hAnsiTheme="majorHAnsi" w:cstheme="majorHAnsi"/>
          <w:b/>
          <w:bCs/>
          <w:i/>
          <w:noProof/>
          <w:sz w:val="24"/>
          <w:szCs w:val="24"/>
          <w:lang w:val="ro-MD" w:eastAsia="ru-RU"/>
        </w:rPr>
        <w:t>ș</w:t>
      </w:r>
      <w:r w:rsidR="00021868" w:rsidRPr="00363CFA">
        <w:rPr>
          <w:rFonts w:asciiTheme="majorHAnsi" w:eastAsia="Times New Roman" w:hAnsiTheme="majorHAnsi" w:cstheme="majorHAnsi"/>
          <w:b/>
          <w:bCs/>
          <w:i/>
          <w:noProof/>
          <w:sz w:val="24"/>
          <w:szCs w:val="24"/>
          <w:lang w:val="ro-MD" w:eastAsia="ru-RU"/>
        </w:rPr>
        <w:t>te în anexele la lege, încadrarea persoanei se va face prin asimilarea func</w:t>
      </w:r>
      <w:r w:rsidR="0069374B" w:rsidRPr="00363CFA">
        <w:rPr>
          <w:rFonts w:asciiTheme="majorHAnsi" w:eastAsia="Times New Roman" w:hAnsiTheme="majorHAnsi" w:cstheme="majorHAnsi"/>
          <w:b/>
          <w:bCs/>
          <w:i/>
          <w:noProof/>
          <w:sz w:val="24"/>
          <w:szCs w:val="24"/>
          <w:lang w:val="ro-MD" w:eastAsia="ru-RU"/>
        </w:rPr>
        <w:t>ț</w:t>
      </w:r>
      <w:r w:rsidR="00021868" w:rsidRPr="00363CFA">
        <w:rPr>
          <w:rFonts w:asciiTheme="majorHAnsi" w:eastAsia="Times New Roman" w:hAnsiTheme="majorHAnsi" w:cstheme="majorHAnsi"/>
          <w:b/>
          <w:bCs/>
          <w:i/>
          <w:noProof/>
          <w:sz w:val="24"/>
          <w:szCs w:val="24"/>
          <w:lang w:val="ro-MD" w:eastAsia="ru-RU"/>
        </w:rPr>
        <w:t>iei anterior de</w:t>
      </w:r>
      <w:r w:rsidR="0069374B" w:rsidRPr="00363CFA">
        <w:rPr>
          <w:rFonts w:asciiTheme="majorHAnsi" w:eastAsia="Times New Roman" w:hAnsiTheme="majorHAnsi" w:cstheme="majorHAnsi"/>
          <w:b/>
          <w:bCs/>
          <w:i/>
          <w:noProof/>
          <w:sz w:val="24"/>
          <w:szCs w:val="24"/>
          <w:lang w:val="ro-MD" w:eastAsia="ru-RU"/>
        </w:rPr>
        <w:t>ț</w:t>
      </w:r>
      <w:r w:rsidR="00021868" w:rsidRPr="00363CFA">
        <w:rPr>
          <w:rFonts w:asciiTheme="majorHAnsi" w:eastAsia="Times New Roman" w:hAnsiTheme="majorHAnsi" w:cstheme="majorHAnsi"/>
          <w:b/>
          <w:bCs/>
          <w:i/>
          <w:noProof/>
          <w:sz w:val="24"/>
          <w:szCs w:val="24"/>
          <w:lang w:val="ro-MD" w:eastAsia="ru-RU"/>
        </w:rPr>
        <w:t>inute cu una dintre func</w:t>
      </w:r>
      <w:r w:rsidR="0069374B" w:rsidRPr="00363CFA">
        <w:rPr>
          <w:rFonts w:asciiTheme="majorHAnsi" w:eastAsia="Times New Roman" w:hAnsiTheme="majorHAnsi" w:cstheme="majorHAnsi"/>
          <w:b/>
          <w:bCs/>
          <w:i/>
          <w:noProof/>
          <w:sz w:val="24"/>
          <w:szCs w:val="24"/>
          <w:lang w:val="ro-MD" w:eastAsia="ru-RU"/>
        </w:rPr>
        <w:t>ț</w:t>
      </w:r>
      <w:r w:rsidR="00021868" w:rsidRPr="00363CFA">
        <w:rPr>
          <w:rFonts w:asciiTheme="majorHAnsi" w:eastAsia="Times New Roman" w:hAnsiTheme="majorHAnsi" w:cstheme="majorHAnsi"/>
          <w:b/>
          <w:bCs/>
          <w:i/>
          <w:noProof/>
          <w:sz w:val="24"/>
          <w:szCs w:val="24"/>
          <w:lang w:val="ro-MD" w:eastAsia="ru-RU"/>
        </w:rPr>
        <w:t>iile din anexele men</w:t>
      </w:r>
      <w:r w:rsidR="0069374B" w:rsidRPr="00363CFA">
        <w:rPr>
          <w:rFonts w:asciiTheme="majorHAnsi" w:eastAsia="Times New Roman" w:hAnsiTheme="majorHAnsi" w:cstheme="majorHAnsi"/>
          <w:b/>
          <w:bCs/>
          <w:i/>
          <w:noProof/>
          <w:sz w:val="24"/>
          <w:szCs w:val="24"/>
          <w:lang w:val="ro-MD" w:eastAsia="ru-RU"/>
        </w:rPr>
        <w:t>ț</w:t>
      </w:r>
      <w:r w:rsidR="00021868" w:rsidRPr="00363CFA">
        <w:rPr>
          <w:rFonts w:asciiTheme="majorHAnsi" w:eastAsia="Times New Roman" w:hAnsiTheme="majorHAnsi" w:cstheme="majorHAnsi"/>
          <w:b/>
          <w:bCs/>
          <w:i/>
          <w:noProof/>
          <w:sz w:val="24"/>
          <w:szCs w:val="24"/>
          <w:lang w:val="ro-MD" w:eastAsia="ru-RU"/>
        </w:rPr>
        <w:t>ionate</w:t>
      </w:r>
      <w:r w:rsidR="00BB6F93" w:rsidRPr="00363CFA">
        <w:rPr>
          <w:rFonts w:asciiTheme="majorHAnsi" w:eastAsia="Times New Roman" w:hAnsiTheme="majorHAnsi" w:cstheme="majorHAnsi"/>
          <w:b/>
          <w:bCs/>
          <w:i/>
          <w:noProof/>
          <w:sz w:val="24"/>
          <w:szCs w:val="24"/>
          <w:lang w:val="ro-MD" w:eastAsia="ru-RU"/>
        </w:rPr>
        <w:t xml:space="preserve">. </w:t>
      </w:r>
      <w:r w:rsidR="00237E36" w:rsidRPr="00363CFA">
        <w:rPr>
          <w:rFonts w:asciiTheme="majorHAnsi" w:eastAsia="Times New Roman" w:hAnsiTheme="majorHAnsi" w:cstheme="majorHAnsi"/>
          <w:bCs/>
          <w:noProof/>
          <w:sz w:val="24"/>
          <w:szCs w:val="24"/>
          <w:lang w:val="ro-MD" w:eastAsia="ru-RU"/>
        </w:rPr>
        <w:t>Astfel,</w:t>
      </w:r>
    </w:p>
    <w:p w14:paraId="16B23294" w14:textId="70AEBF6F" w:rsidR="000B2038" w:rsidRPr="00261C73" w:rsidRDefault="00237E36" w:rsidP="00767ED8">
      <w:pPr>
        <w:pStyle w:val="ListParagraph"/>
        <w:numPr>
          <w:ilvl w:val="0"/>
          <w:numId w:val="9"/>
        </w:numPr>
        <w:spacing w:after="0" w:line="276" w:lineRule="auto"/>
        <w:ind w:left="0" w:firstLine="349"/>
        <w:jc w:val="both"/>
        <w:rPr>
          <w:rFonts w:asciiTheme="majorHAnsi" w:eastAsia="Times New Roman" w:hAnsiTheme="majorHAnsi" w:cstheme="majorHAnsi"/>
          <w:sz w:val="24"/>
          <w:szCs w:val="24"/>
          <w:lang w:val="ro-MD" w:eastAsia="ru-RU"/>
        </w:rPr>
      </w:pPr>
      <w:r w:rsidRPr="00363CFA">
        <w:rPr>
          <w:rFonts w:asciiTheme="majorHAnsi" w:eastAsia="Times New Roman" w:hAnsiTheme="majorHAnsi" w:cstheme="majorHAnsi"/>
          <w:sz w:val="24"/>
          <w:szCs w:val="24"/>
          <w:lang w:val="ro-MD" w:eastAsia="ru-RU"/>
        </w:rPr>
        <w:t xml:space="preserve">Adunarea Populară a Găgăuziei a creat, </w:t>
      </w:r>
      <w:r w:rsidRPr="00363CFA">
        <w:rPr>
          <w:rFonts w:asciiTheme="majorHAnsi" w:eastAsia="Times New Roman" w:hAnsiTheme="majorHAnsi" w:cstheme="majorHAnsi"/>
          <w:bCs/>
          <w:noProof/>
          <w:sz w:val="24"/>
          <w:szCs w:val="24"/>
          <w:lang w:val="ro-MD" w:eastAsia="ru-RU"/>
        </w:rPr>
        <w:t>p</w:t>
      </w:r>
      <w:r w:rsidRPr="00363CFA">
        <w:rPr>
          <w:rFonts w:asciiTheme="majorHAnsi" w:eastAsia="Times New Roman" w:hAnsiTheme="majorHAnsi" w:cstheme="majorHAnsi"/>
          <w:sz w:val="24"/>
          <w:szCs w:val="24"/>
          <w:lang w:val="ro-MD" w:eastAsia="ru-RU"/>
        </w:rPr>
        <w:t>rin Legea UTA Găgăuzia nr.12-XI/I din 28.06.1996</w:t>
      </w:r>
      <w:r w:rsidR="00402B25" w:rsidRPr="00363CFA">
        <w:rPr>
          <w:rStyle w:val="FootnoteReference"/>
          <w:rFonts w:asciiTheme="majorHAnsi" w:eastAsia="Times New Roman" w:hAnsiTheme="majorHAnsi" w:cstheme="majorHAnsi"/>
          <w:sz w:val="24"/>
          <w:szCs w:val="24"/>
          <w:lang w:val="ro-MD" w:eastAsia="ru-RU"/>
        </w:rPr>
        <w:footnoteReference w:id="56"/>
      </w:r>
      <w:r w:rsidR="003246A7" w:rsidRPr="00BC3271">
        <w:rPr>
          <w:rFonts w:asciiTheme="majorHAnsi" w:eastAsia="Times New Roman" w:hAnsiTheme="majorHAnsi" w:cstheme="majorHAnsi"/>
          <w:i/>
          <w:sz w:val="24"/>
          <w:szCs w:val="24"/>
          <w:lang w:val="ro-MD" w:eastAsia="ru-RU"/>
        </w:rPr>
        <w:t>,</w:t>
      </w:r>
      <w:r w:rsidRPr="00363CFA">
        <w:rPr>
          <w:rFonts w:asciiTheme="majorHAnsi" w:eastAsia="Times New Roman" w:hAnsiTheme="majorHAnsi" w:cstheme="majorHAnsi"/>
          <w:sz w:val="24"/>
          <w:szCs w:val="24"/>
          <w:lang w:val="ro-MD" w:eastAsia="ru-RU"/>
        </w:rPr>
        <w:t xml:space="preserve"> </w:t>
      </w:r>
      <w:r w:rsidRPr="00363CFA">
        <w:rPr>
          <w:rFonts w:asciiTheme="majorHAnsi" w:eastAsia="Times New Roman" w:hAnsiTheme="majorHAnsi" w:cstheme="majorHAnsi"/>
          <w:i/>
          <w:sz w:val="24"/>
          <w:szCs w:val="24"/>
          <w:lang w:val="ro-MD" w:eastAsia="ru-RU"/>
        </w:rPr>
        <w:t>Curtea de Conturi</w:t>
      </w:r>
      <w:r w:rsidRPr="00363CFA">
        <w:rPr>
          <w:rFonts w:asciiTheme="majorHAnsi" w:eastAsia="Times New Roman" w:hAnsiTheme="majorHAnsi" w:cstheme="majorHAnsi"/>
          <w:sz w:val="24"/>
          <w:szCs w:val="24"/>
          <w:lang w:val="ro-MD" w:eastAsia="ru-RU"/>
        </w:rPr>
        <w:t xml:space="preserve"> a Găgăuziei</w:t>
      </w:r>
      <w:r w:rsidRPr="00363CFA">
        <w:rPr>
          <w:rStyle w:val="FootnoteReference"/>
          <w:rFonts w:asciiTheme="majorHAnsi" w:eastAsia="Times New Roman" w:hAnsiTheme="majorHAnsi" w:cstheme="majorHAnsi"/>
          <w:sz w:val="24"/>
          <w:szCs w:val="24"/>
          <w:lang w:val="ro-MD" w:eastAsia="ru-RU"/>
        </w:rPr>
        <w:footnoteReference w:id="57"/>
      </w:r>
      <w:r w:rsidR="009574FE">
        <w:rPr>
          <w:rFonts w:asciiTheme="majorHAnsi" w:eastAsia="Times New Roman" w:hAnsiTheme="majorHAnsi" w:cstheme="majorHAnsi"/>
          <w:sz w:val="24"/>
          <w:szCs w:val="24"/>
          <w:lang w:val="ro-MD" w:eastAsia="ru-RU"/>
        </w:rPr>
        <w:t xml:space="preserve">, </w:t>
      </w:r>
      <w:r w:rsidR="009574FE" w:rsidRPr="00216968">
        <w:rPr>
          <w:rFonts w:asciiTheme="majorHAnsi" w:eastAsia="Times New Roman" w:hAnsiTheme="majorHAnsi" w:cstheme="majorHAnsi"/>
          <w:sz w:val="24"/>
          <w:szCs w:val="24"/>
          <w:lang w:val="ro-MD" w:eastAsia="ru-RU"/>
        </w:rPr>
        <w:t>ceea</w:t>
      </w:r>
      <w:r w:rsidR="003246A7" w:rsidRPr="00216968">
        <w:rPr>
          <w:rFonts w:asciiTheme="majorHAnsi" w:eastAsia="Times New Roman" w:hAnsiTheme="majorHAnsi" w:cstheme="majorHAnsi"/>
          <w:sz w:val="24"/>
          <w:szCs w:val="24"/>
          <w:lang w:val="ro-MD" w:eastAsia="ru-RU"/>
        </w:rPr>
        <w:t xml:space="preserve"> ce</w:t>
      </w:r>
      <w:r w:rsidR="00402B25" w:rsidRPr="00216968">
        <w:rPr>
          <w:rFonts w:asciiTheme="majorHAnsi" w:eastAsia="Times New Roman" w:hAnsiTheme="majorHAnsi" w:cstheme="majorHAnsi"/>
          <w:sz w:val="24"/>
          <w:szCs w:val="24"/>
          <w:lang w:val="ro-MD" w:eastAsia="ru-RU"/>
        </w:rPr>
        <w:t xml:space="preserve"> contra</w:t>
      </w:r>
      <w:r w:rsidR="003246A7" w:rsidRPr="00216968">
        <w:rPr>
          <w:rFonts w:asciiTheme="majorHAnsi" w:eastAsia="Times New Roman" w:hAnsiTheme="majorHAnsi" w:cstheme="majorHAnsi"/>
          <w:sz w:val="24"/>
          <w:szCs w:val="24"/>
          <w:lang w:val="ro-MD" w:eastAsia="ru-RU"/>
        </w:rPr>
        <w:t>vine</w:t>
      </w:r>
      <w:r w:rsidR="00402B25" w:rsidRPr="00216968">
        <w:rPr>
          <w:rFonts w:asciiTheme="majorHAnsi" w:eastAsia="Times New Roman" w:hAnsiTheme="majorHAnsi" w:cstheme="majorHAnsi"/>
          <w:sz w:val="24"/>
          <w:szCs w:val="24"/>
          <w:lang w:val="ro-MD" w:eastAsia="ru-RU"/>
        </w:rPr>
        <w:t xml:space="preserve"> prevederil</w:t>
      </w:r>
      <w:r w:rsidR="003246A7" w:rsidRPr="00216968">
        <w:rPr>
          <w:rFonts w:asciiTheme="majorHAnsi" w:eastAsia="Times New Roman" w:hAnsiTheme="majorHAnsi" w:cstheme="majorHAnsi"/>
          <w:sz w:val="24"/>
          <w:szCs w:val="24"/>
          <w:lang w:val="ro-MD" w:eastAsia="ru-RU"/>
        </w:rPr>
        <w:t>or</w:t>
      </w:r>
      <w:r w:rsidR="00402B25" w:rsidRPr="00216968">
        <w:rPr>
          <w:rFonts w:asciiTheme="majorHAnsi" w:eastAsia="Times New Roman" w:hAnsiTheme="majorHAnsi" w:cstheme="majorHAnsi"/>
          <w:sz w:val="24"/>
          <w:szCs w:val="24"/>
          <w:lang w:val="ro-MD" w:eastAsia="ru-RU"/>
        </w:rPr>
        <w:t xml:space="preserve"> art.133 din Constitu</w:t>
      </w:r>
      <w:r w:rsidR="0069374B" w:rsidRPr="00216968">
        <w:rPr>
          <w:rFonts w:asciiTheme="majorHAnsi" w:eastAsia="Times New Roman" w:hAnsiTheme="majorHAnsi" w:cstheme="majorHAnsi"/>
          <w:sz w:val="24"/>
          <w:szCs w:val="24"/>
          <w:lang w:val="ro-MD" w:eastAsia="ru-RU"/>
        </w:rPr>
        <w:t>ț</w:t>
      </w:r>
      <w:r w:rsidR="00402B25" w:rsidRPr="00216968">
        <w:rPr>
          <w:rFonts w:asciiTheme="majorHAnsi" w:eastAsia="Times New Roman" w:hAnsiTheme="majorHAnsi" w:cstheme="majorHAnsi"/>
          <w:sz w:val="24"/>
          <w:szCs w:val="24"/>
          <w:lang w:val="ro-MD" w:eastAsia="ru-RU"/>
        </w:rPr>
        <w:t xml:space="preserve">ia </w:t>
      </w:r>
      <w:r w:rsidR="0069374B" w:rsidRPr="00216968">
        <w:rPr>
          <w:rFonts w:asciiTheme="majorHAnsi" w:eastAsia="Times New Roman" w:hAnsiTheme="majorHAnsi" w:cstheme="majorHAnsi"/>
          <w:sz w:val="24"/>
          <w:szCs w:val="24"/>
          <w:lang w:val="ro-MD" w:eastAsia="ru-RU"/>
        </w:rPr>
        <w:t>ș</w:t>
      </w:r>
      <w:r w:rsidR="00402B25" w:rsidRPr="00216968">
        <w:rPr>
          <w:rFonts w:asciiTheme="majorHAnsi" w:eastAsia="Times New Roman" w:hAnsiTheme="majorHAnsi" w:cstheme="majorHAnsi"/>
          <w:sz w:val="24"/>
          <w:szCs w:val="24"/>
          <w:lang w:val="ro-MD" w:eastAsia="ru-RU"/>
        </w:rPr>
        <w:t>i actele normative</w:t>
      </w:r>
      <w:r w:rsidR="00402B25" w:rsidRPr="00363CFA">
        <w:rPr>
          <w:rFonts w:asciiTheme="majorHAnsi" w:eastAsia="Times New Roman" w:hAnsiTheme="majorHAnsi" w:cstheme="majorHAnsi"/>
          <w:sz w:val="24"/>
          <w:szCs w:val="24"/>
          <w:lang w:val="ro-MD" w:eastAsia="ru-RU"/>
        </w:rPr>
        <w:t xml:space="preserve"> ale R</w:t>
      </w:r>
      <w:r w:rsidR="003246A7">
        <w:rPr>
          <w:rFonts w:asciiTheme="majorHAnsi" w:eastAsia="Times New Roman" w:hAnsiTheme="majorHAnsi" w:cstheme="majorHAnsi"/>
          <w:sz w:val="24"/>
          <w:szCs w:val="24"/>
          <w:lang w:val="ro-MD" w:eastAsia="ru-RU"/>
        </w:rPr>
        <w:t xml:space="preserve">epublicii </w:t>
      </w:r>
      <w:r w:rsidR="00402B25" w:rsidRPr="00363CFA">
        <w:rPr>
          <w:rFonts w:asciiTheme="majorHAnsi" w:eastAsia="Times New Roman" w:hAnsiTheme="majorHAnsi" w:cstheme="majorHAnsi"/>
          <w:sz w:val="24"/>
          <w:szCs w:val="24"/>
          <w:lang w:val="ro-MD" w:eastAsia="ru-RU"/>
        </w:rPr>
        <w:t>M</w:t>
      </w:r>
      <w:r w:rsidR="003246A7">
        <w:rPr>
          <w:rFonts w:asciiTheme="majorHAnsi" w:eastAsia="Times New Roman" w:hAnsiTheme="majorHAnsi" w:cstheme="majorHAnsi"/>
          <w:sz w:val="24"/>
          <w:szCs w:val="24"/>
          <w:lang w:val="ro-MD" w:eastAsia="ru-RU"/>
        </w:rPr>
        <w:t>oldova</w:t>
      </w:r>
      <w:r w:rsidR="00402B25" w:rsidRPr="00363CFA">
        <w:rPr>
          <w:rFonts w:asciiTheme="majorHAnsi" w:eastAsia="Times New Roman" w:hAnsiTheme="majorHAnsi" w:cstheme="majorHAnsi"/>
          <w:sz w:val="24"/>
          <w:szCs w:val="24"/>
          <w:lang w:val="ro-MD" w:eastAsia="ru-RU"/>
        </w:rPr>
        <w:t xml:space="preserve">, care nu prevăd </w:t>
      </w:r>
      <w:r w:rsidR="00402B25" w:rsidRPr="00363CFA">
        <w:rPr>
          <w:rFonts w:asciiTheme="majorHAnsi" w:eastAsia="Times New Roman" w:hAnsiTheme="majorHAnsi" w:cstheme="majorHAnsi"/>
          <w:i/>
          <w:sz w:val="24"/>
          <w:szCs w:val="24"/>
          <w:lang w:val="ro-MD" w:eastAsia="ru-RU"/>
        </w:rPr>
        <w:t xml:space="preserve">Curtea de Conturi </w:t>
      </w:r>
      <w:r w:rsidR="00402B25" w:rsidRPr="00BC3271">
        <w:rPr>
          <w:rFonts w:asciiTheme="majorHAnsi" w:eastAsia="Times New Roman" w:hAnsiTheme="majorHAnsi" w:cstheme="majorHAnsi"/>
          <w:sz w:val="24"/>
          <w:szCs w:val="24"/>
          <w:lang w:val="ro-MD" w:eastAsia="ru-RU"/>
        </w:rPr>
        <w:t>pentru</w:t>
      </w:r>
      <w:r w:rsidR="00402B25" w:rsidRPr="00363CFA">
        <w:rPr>
          <w:rFonts w:asciiTheme="majorHAnsi" w:eastAsia="Times New Roman" w:hAnsiTheme="majorHAnsi" w:cstheme="majorHAnsi"/>
          <w:i/>
          <w:sz w:val="24"/>
          <w:szCs w:val="24"/>
          <w:lang w:val="ro-MD" w:eastAsia="ru-RU"/>
        </w:rPr>
        <w:t xml:space="preserve"> UTA Găgăuzia</w:t>
      </w:r>
      <w:r w:rsidR="003246A7">
        <w:rPr>
          <w:rFonts w:asciiTheme="majorHAnsi" w:eastAsia="Times New Roman" w:hAnsiTheme="majorHAnsi" w:cstheme="majorHAnsi"/>
          <w:i/>
          <w:sz w:val="24"/>
          <w:szCs w:val="24"/>
          <w:lang w:val="ro-MD" w:eastAsia="ru-RU"/>
        </w:rPr>
        <w:t xml:space="preserve"> </w:t>
      </w:r>
      <w:r w:rsidR="003246A7" w:rsidRPr="00BC3271">
        <w:rPr>
          <w:rFonts w:asciiTheme="majorHAnsi" w:eastAsia="Times New Roman" w:hAnsiTheme="majorHAnsi" w:cstheme="majorHAnsi"/>
          <w:sz w:val="24"/>
          <w:szCs w:val="24"/>
          <w:lang w:val="ro-MD" w:eastAsia="ru-RU"/>
        </w:rPr>
        <w:t>și</w:t>
      </w:r>
      <w:r w:rsidR="00402B25" w:rsidRPr="00BC3271">
        <w:rPr>
          <w:rFonts w:asciiTheme="majorHAnsi" w:eastAsia="Times New Roman" w:hAnsiTheme="majorHAnsi" w:cstheme="majorHAnsi"/>
          <w:sz w:val="24"/>
          <w:szCs w:val="24"/>
          <w:lang w:val="ro-MD" w:eastAsia="ru-RU"/>
        </w:rPr>
        <w:t>,</w:t>
      </w:r>
      <w:r w:rsidR="00402B25" w:rsidRPr="00363CFA">
        <w:rPr>
          <w:rFonts w:asciiTheme="majorHAnsi" w:eastAsia="Times New Roman" w:hAnsiTheme="majorHAnsi" w:cstheme="majorHAnsi"/>
          <w:i/>
          <w:sz w:val="24"/>
          <w:szCs w:val="24"/>
          <w:lang w:val="ro-MD" w:eastAsia="ru-RU"/>
        </w:rPr>
        <w:t xml:space="preserve"> </w:t>
      </w:r>
      <w:r w:rsidR="00402B25" w:rsidRPr="00363CFA">
        <w:rPr>
          <w:rFonts w:asciiTheme="majorHAnsi" w:eastAsia="Times New Roman" w:hAnsiTheme="majorHAnsi" w:cstheme="majorHAnsi"/>
          <w:sz w:val="24"/>
          <w:szCs w:val="24"/>
          <w:lang w:val="ro-MD" w:eastAsia="ru-RU"/>
        </w:rPr>
        <w:t>respectiv</w:t>
      </w:r>
      <w:r w:rsidR="003246A7">
        <w:rPr>
          <w:rFonts w:asciiTheme="majorHAnsi" w:eastAsia="Times New Roman" w:hAnsiTheme="majorHAnsi" w:cstheme="majorHAnsi"/>
          <w:sz w:val="24"/>
          <w:szCs w:val="24"/>
          <w:lang w:val="ro-MD" w:eastAsia="ru-RU"/>
        </w:rPr>
        <w:t>,</w:t>
      </w:r>
      <w:r w:rsidR="00402B25" w:rsidRPr="00363CFA">
        <w:rPr>
          <w:rFonts w:asciiTheme="majorHAnsi" w:eastAsia="Times New Roman" w:hAnsiTheme="majorHAnsi" w:cstheme="majorHAnsi"/>
          <w:sz w:val="24"/>
          <w:szCs w:val="24"/>
          <w:lang w:val="ro-MD" w:eastAsia="ru-RU"/>
        </w:rPr>
        <w:t xml:space="preserve"> nici </w:t>
      </w:r>
      <w:r w:rsidR="003246A7">
        <w:rPr>
          <w:rFonts w:asciiTheme="majorHAnsi" w:eastAsia="Times New Roman" w:hAnsiTheme="majorHAnsi" w:cstheme="majorHAnsi"/>
          <w:sz w:val="24"/>
          <w:szCs w:val="24"/>
          <w:lang w:val="ro-MD" w:eastAsia="ru-RU"/>
        </w:rPr>
        <w:t>reglementări</w:t>
      </w:r>
      <w:r w:rsidR="00402B25" w:rsidRPr="00363CFA">
        <w:rPr>
          <w:rFonts w:asciiTheme="majorHAnsi" w:eastAsia="Times New Roman" w:hAnsiTheme="majorHAnsi" w:cstheme="majorHAnsi"/>
          <w:sz w:val="24"/>
          <w:szCs w:val="24"/>
          <w:lang w:val="ro-MD" w:eastAsia="ru-RU"/>
        </w:rPr>
        <w:t xml:space="preserve"> privind remunerarea </w:t>
      </w:r>
      <w:r w:rsidR="003246A7">
        <w:rPr>
          <w:rFonts w:asciiTheme="majorHAnsi" w:eastAsia="Times New Roman" w:hAnsiTheme="majorHAnsi" w:cstheme="majorHAnsi"/>
          <w:sz w:val="24"/>
          <w:szCs w:val="24"/>
          <w:lang w:val="ro-MD" w:eastAsia="ru-RU"/>
        </w:rPr>
        <w:t>muncii</w:t>
      </w:r>
      <w:r w:rsidR="00402B25" w:rsidRPr="00363CFA">
        <w:rPr>
          <w:rFonts w:asciiTheme="majorHAnsi" w:eastAsia="Times New Roman" w:hAnsiTheme="majorHAnsi" w:cstheme="majorHAnsi"/>
          <w:sz w:val="24"/>
          <w:szCs w:val="24"/>
          <w:lang w:val="ro-MD" w:eastAsia="ru-RU"/>
        </w:rPr>
        <w:t xml:space="preserve"> </w:t>
      </w:r>
      <w:r w:rsidR="003246A7">
        <w:rPr>
          <w:rFonts w:asciiTheme="majorHAnsi" w:eastAsia="Times New Roman" w:hAnsiTheme="majorHAnsi" w:cstheme="majorHAnsi"/>
          <w:sz w:val="24"/>
          <w:szCs w:val="24"/>
          <w:lang w:val="ro-MD" w:eastAsia="ru-RU"/>
        </w:rPr>
        <w:t xml:space="preserve">pentru </w:t>
      </w:r>
      <w:r w:rsidR="00402B25" w:rsidRPr="00363CFA">
        <w:rPr>
          <w:rFonts w:asciiTheme="majorHAnsi" w:eastAsia="Times New Roman" w:hAnsiTheme="majorHAnsi" w:cstheme="majorHAnsi"/>
          <w:sz w:val="24"/>
          <w:szCs w:val="24"/>
          <w:lang w:val="ro-MD" w:eastAsia="ru-RU"/>
        </w:rPr>
        <w:t>angaja</w:t>
      </w:r>
      <w:r w:rsidR="0069374B" w:rsidRPr="00363CFA">
        <w:rPr>
          <w:rFonts w:asciiTheme="majorHAnsi" w:eastAsia="Times New Roman" w:hAnsiTheme="majorHAnsi" w:cstheme="majorHAnsi"/>
          <w:sz w:val="24"/>
          <w:szCs w:val="24"/>
          <w:lang w:val="ro-MD" w:eastAsia="ru-RU"/>
        </w:rPr>
        <w:t>ț</w:t>
      </w:r>
      <w:r w:rsidR="00402B25" w:rsidRPr="00363CFA">
        <w:rPr>
          <w:rFonts w:asciiTheme="majorHAnsi" w:eastAsia="Times New Roman" w:hAnsiTheme="majorHAnsi" w:cstheme="majorHAnsi"/>
          <w:sz w:val="24"/>
          <w:szCs w:val="24"/>
          <w:lang w:val="ro-MD" w:eastAsia="ru-RU"/>
        </w:rPr>
        <w:t>i</w:t>
      </w:r>
      <w:r w:rsidR="003246A7">
        <w:rPr>
          <w:rFonts w:asciiTheme="majorHAnsi" w:eastAsia="Times New Roman" w:hAnsiTheme="majorHAnsi" w:cstheme="majorHAnsi"/>
          <w:sz w:val="24"/>
          <w:szCs w:val="24"/>
          <w:lang w:val="ro-MD" w:eastAsia="ru-RU"/>
        </w:rPr>
        <w:t xml:space="preserve">i </w:t>
      </w:r>
      <w:r w:rsidR="00402B25" w:rsidRPr="00363CFA">
        <w:rPr>
          <w:rFonts w:asciiTheme="majorHAnsi" w:eastAsia="Times New Roman" w:hAnsiTheme="majorHAnsi" w:cstheme="majorHAnsi"/>
          <w:sz w:val="24"/>
          <w:szCs w:val="24"/>
          <w:lang w:val="ro-MD" w:eastAsia="ru-RU"/>
        </w:rPr>
        <w:t xml:space="preserve"> acesteia. Angaja</w:t>
      </w:r>
      <w:r w:rsidR="0069374B" w:rsidRPr="00363CFA">
        <w:rPr>
          <w:rFonts w:asciiTheme="majorHAnsi" w:eastAsia="Times New Roman" w:hAnsiTheme="majorHAnsi" w:cstheme="majorHAnsi"/>
          <w:sz w:val="24"/>
          <w:szCs w:val="24"/>
          <w:lang w:val="ro-MD" w:eastAsia="ru-RU"/>
        </w:rPr>
        <w:t>ț</w:t>
      </w:r>
      <w:r w:rsidR="00402B25" w:rsidRPr="00363CFA">
        <w:rPr>
          <w:rFonts w:asciiTheme="majorHAnsi" w:eastAsia="Times New Roman" w:hAnsiTheme="majorHAnsi" w:cstheme="majorHAnsi"/>
          <w:sz w:val="24"/>
          <w:szCs w:val="24"/>
          <w:lang w:val="ro-MD" w:eastAsia="ru-RU"/>
        </w:rPr>
        <w:t>ii acestei institu</w:t>
      </w:r>
      <w:r w:rsidR="0069374B" w:rsidRPr="00363CFA">
        <w:rPr>
          <w:rFonts w:asciiTheme="majorHAnsi" w:eastAsia="Times New Roman" w:hAnsiTheme="majorHAnsi" w:cstheme="majorHAnsi"/>
          <w:sz w:val="24"/>
          <w:szCs w:val="24"/>
          <w:lang w:val="ro-MD" w:eastAsia="ru-RU"/>
        </w:rPr>
        <w:t>ț</w:t>
      </w:r>
      <w:r w:rsidR="00402B25" w:rsidRPr="00363CFA">
        <w:rPr>
          <w:rFonts w:asciiTheme="majorHAnsi" w:eastAsia="Times New Roman" w:hAnsiTheme="majorHAnsi" w:cstheme="majorHAnsi"/>
          <w:sz w:val="24"/>
          <w:szCs w:val="24"/>
          <w:lang w:val="ro-MD" w:eastAsia="ru-RU"/>
        </w:rPr>
        <w:t>i</w:t>
      </w:r>
      <w:r w:rsidR="003246A7">
        <w:rPr>
          <w:rFonts w:asciiTheme="majorHAnsi" w:eastAsia="Times New Roman" w:hAnsiTheme="majorHAnsi" w:cstheme="majorHAnsi"/>
          <w:sz w:val="24"/>
          <w:szCs w:val="24"/>
          <w:lang w:val="ro-MD" w:eastAsia="ru-RU"/>
        </w:rPr>
        <w:t xml:space="preserve"> sunt</w:t>
      </w:r>
      <w:r w:rsidR="00402B25" w:rsidRPr="00363CFA">
        <w:rPr>
          <w:rFonts w:asciiTheme="majorHAnsi" w:eastAsia="Times New Roman" w:hAnsiTheme="majorHAnsi" w:cstheme="majorHAnsi"/>
          <w:sz w:val="24"/>
          <w:szCs w:val="24"/>
          <w:lang w:val="ro-MD" w:eastAsia="ru-RU"/>
        </w:rPr>
        <w:t xml:space="preserve"> remunera</w:t>
      </w:r>
      <w:r w:rsidR="0069374B" w:rsidRPr="00363CFA">
        <w:rPr>
          <w:rFonts w:asciiTheme="majorHAnsi" w:eastAsia="Times New Roman" w:hAnsiTheme="majorHAnsi" w:cstheme="majorHAnsi"/>
          <w:sz w:val="24"/>
          <w:szCs w:val="24"/>
          <w:lang w:val="ro-MD" w:eastAsia="ru-RU"/>
        </w:rPr>
        <w:t>ț</w:t>
      </w:r>
      <w:r w:rsidR="00402B25" w:rsidRPr="00363CFA">
        <w:rPr>
          <w:rFonts w:asciiTheme="majorHAnsi" w:eastAsia="Times New Roman" w:hAnsiTheme="majorHAnsi" w:cstheme="majorHAnsi"/>
          <w:sz w:val="24"/>
          <w:szCs w:val="24"/>
          <w:lang w:val="ro-MD" w:eastAsia="ru-RU"/>
        </w:rPr>
        <w:t>i la nivelul autorită</w:t>
      </w:r>
      <w:r w:rsidR="0069374B" w:rsidRPr="00363CFA">
        <w:rPr>
          <w:rFonts w:asciiTheme="majorHAnsi" w:eastAsia="Times New Roman" w:hAnsiTheme="majorHAnsi" w:cstheme="majorHAnsi"/>
          <w:sz w:val="24"/>
          <w:szCs w:val="24"/>
          <w:lang w:val="ro-MD" w:eastAsia="ru-RU"/>
        </w:rPr>
        <w:t>ț</w:t>
      </w:r>
      <w:r w:rsidR="00402B25" w:rsidRPr="00363CFA">
        <w:rPr>
          <w:rFonts w:asciiTheme="majorHAnsi" w:eastAsia="Times New Roman" w:hAnsiTheme="majorHAnsi" w:cstheme="majorHAnsi"/>
          <w:sz w:val="24"/>
          <w:szCs w:val="24"/>
          <w:lang w:val="ro-MD" w:eastAsia="ru-RU"/>
        </w:rPr>
        <w:t>ilor publice autonome</w:t>
      </w:r>
      <w:r w:rsidR="00402B25" w:rsidRPr="00363CFA">
        <w:rPr>
          <w:rStyle w:val="FootnoteReference"/>
          <w:rFonts w:asciiTheme="majorHAnsi" w:eastAsia="Times New Roman" w:hAnsiTheme="majorHAnsi" w:cstheme="majorHAnsi"/>
          <w:sz w:val="24"/>
          <w:szCs w:val="24"/>
          <w:lang w:val="ro-MD" w:eastAsia="ru-RU"/>
        </w:rPr>
        <w:footnoteReference w:id="58"/>
      </w:r>
      <w:r w:rsidR="00402B25" w:rsidRPr="00363CFA">
        <w:rPr>
          <w:rFonts w:asciiTheme="majorHAnsi" w:eastAsia="Times New Roman" w:hAnsiTheme="majorHAnsi" w:cstheme="majorHAnsi"/>
          <w:sz w:val="24"/>
          <w:szCs w:val="24"/>
          <w:lang w:val="ro-MD" w:eastAsia="ru-RU"/>
        </w:rPr>
        <w:t>. Faptul că statele de personal nu sunt avizate de către Cancelaria de Stat, nici Ministerul Finan</w:t>
      </w:r>
      <w:r w:rsidR="0069374B" w:rsidRPr="00363CFA">
        <w:rPr>
          <w:rFonts w:asciiTheme="majorHAnsi" w:eastAsia="Times New Roman" w:hAnsiTheme="majorHAnsi" w:cstheme="majorHAnsi"/>
          <w:sz w:val="24"/>
          <w:szCs w:val="24"/>
          <w:lang w:val="ro-MD" w:eastAsia="ru-RU"/>
        </w:rPr>
        <w:t>ț</w:t>
      </w:r>
      <w:r w:rsidR="00402B25" w:rsidRPr="00363CFA">
        <w:rPr>
          <w:rFonts w:asciiTheme="majorHAnsi" w:eastAsia="Times New Roman" w:hAnsiTheme="majorHAnsi" w:cstheme="majorHAnsi"/>
          <w:sz w:val="24"/>
          <w:szCs w:val="24"/>
          <w:lang w:val="ro-MD" w:eastAsia="ru-RU"/>
        </w:rPr>
        <w:t>elor nu înregistrează statele de personal ale acestei institu</w:t>
      </w:r>
      <w:r w:rsidR="0069374B" w:rsidRPr="00363CFA">
        <w:rPr>
          <w:rFonts w:asciiTheme="majorHAnsi" w:eastAsia="Times New Roman" w:hAnsiTheme="majorHAnsi" w:cstheme="majorHAnsi"/>
          <w:sz w:val="24"/>
          <w:szCs w:val="24"/>
          <w:lang w:val="ro-MD" w:eastAsia="ru-RU"/>
        </w:rPr>
        <w:t>ț</w:t>
      </w:r>
      <w:r w:rsidR="00402B25" w:rsidRPr="00363CFA">
        <w:rPr>
          <w:rFonts w:asciiTheme="majorHAnsi" w:eastAsia="Times New Roman" w:hAnsiTheme="majorHAnsi" w:cstheme="majorHAnsi"/>
          <w:sz w:val="24"/>
          <w:szCs w:val="24"/>
          <w:lang w:val="ro-MD" w:eastAsia="ru-RU"/>
        </w:rPr>
        <w:t xml:space="preserve">ii, </w:t>
      </w:r>
      <w:r w:rsidR="00E11F7C" w:rsidRPr="00216968">
        <w:rPr>
          <w:rFonts w:asciiTheme="majorHAnsi" w:eastAsia="Times New Roman" w:hAnsiTheme="majorHAnsi" w:cstheme="majorHAnsi"/>
          <w:sz w:val="24"/>
          <w:szCs w:val="24"/>
          <w:lang w:val="ro-MD" w:eastAsia="ru-RU"/>
        </w:rPr>
        <w:t xml:space="preserve">ceea </w:t>
      </w:r>
      <w:r w:rsidR="003246A7" w:rsidRPr="00216968">
        <w:rPr>
          <w:rFonts w:asciiTheme="majorHAnsi" w:eastAsia="Times New Roman" w:hAnsiTheme="majorHAnsi" w:cstheme="majorHAnsi"/>
          <w:sz w:val="24"/>
          <w:szCs w:val="24"/>
          <w:lang w:val="ro-MD" w:eastAsia="ru-RU"/>
        </w:rPr>
        <w:t xml:space="preserve">ce </w:t>
      </w:r>
      <w:r w:rsidR="00402B25" w:rsidRPr="00216968">
        <w:rPr>
          <w:rFonts w:asciiTheme="majorHAnsi" w:eastAsia="Times New Roman" w:hAnsiTheme="majorHAnsi" w:cstheme="majorHAnsi"/>
          <w:sz w:val="24"/>
          <w:szCs w:val="24"/>
          <w:lang w:val="ro-MD" w:eastAsia="ru-RU"/>
        </w:rPr>
        <w:t>condi</w:t>
      </w:r>
      <w:r w:rsidR="0069374B" w:rsidRPr="00216968">
        <w:rPr>
          <w:rFonts w:asciiTheme="majorHAnsi" w:eastAsia="Times New Roman" w:hAnsiTheme="majorHAnsi" w:cstheme="majorHAnsi"/>
          <w:sz w:val="24"/>
          <w:szCs w:val="24"/>
          <w:lang w:val="ro-MD" w:eastAsia="ru-RU"/>
        </w:rPr>
        <w:t>ț</w:t>
      </w:r>
      <w:r w:rsidR="00402B25" w:rsidRPr="00216968">
        <w:rPr>
          <w:rFonts w:asciiTheme="majorHAnsi" w:eastAsia="Times New Roman" w:hAnsiTheme="majorHAnsi" w:cstheme="majorHAnsi"/>
          <w:sz w:val="24"/>
          <w:szCs w:val="24"/>
          <w:lang w:val="ro-MD" w:eastAsia="ru-RU"/>
        </w:rPr>
        <w:t>ionează</w:t>
      </w:r>
      <w:r w:rsidR="00402B25" w:rsidRPr="00363CFA">
        <w:rPr>
          <w:rFonts w:asciiTheme="majorHAnsi" w:eastAsia="Times New Roman" w:hAnsiTheme="majorHAnsi" w:cstheme="majorHAnsi"/>
          <w:sz w:val="24"/>
          <w:szCs w:val="24"/>
          <w:lang w:val="ro-MD" w:eastAsia="ru-RU"/>
        </w:rPr>
        <w:t xml:space="preserve"> generarea cheltuielilor neregulamentare pentru remunerarea munc</w:t>
      </w:r>
      <w:r w:rsidR="00D367EA" w:rsidRPr="00363CFA">
        <w:rPr>
          <w:rFonts w:asciiTheme="majorHAnsi" w:eastAsia="Times New Roman" w:hAnsiTheme="majorHAnsi" w:cstheme="majorHAnsi"/>
          <w:sz w:val="24"/>
          <w:szCs w:val="24"/>
          <w:lang w:val="ro-MD" w:eastAsia="ru-RU"/>
        </w:rPr>
        <w:t>ii angaja</w:t>
      </w:r>
      <w:r w:rsidR="0069374B" w:rsidRPr="00363CFA">
        <w:rPr>
          <w:rFonts w:asciiTheme="majorHAnsi" w:eastAsia="Times New Roman" w:hAnsiTheme="majorHAnsi" w:cstheme="majorHAnsi"/>
          <w:sz w:val="24"/>
          <w:szCs w:val="24"/>
          <w:lang w:val="ro-MD" w:eastAsia="ru-RU"/>
        </w:rPr>
        <w:t>ț</w:t>
      </w:r>
      <w:r w:rsidR="00D367EA" w:rsidRPr="00363CFA">
        <w:rPr>
          <w:rFonts w:asciiTheme="majorHAnsi" w:eastAsia="Times New Roman" w:hAnsiTheme="majorHAnsi" w:cstheme="majorHAnsi"/>
          <w:sz w:val="24"/>
          <w:szCs w:val="24"/>
          <w:lang w:val="ro-MD" w:eastAsia="ru-RU"/>
        </w:rPr>
        <w:t xml:space="preserve">ilor, care în perioada </w:t>
      </w:r>
      <w:r w:rsidR="003246A7">
        <w:rPr>
          <w:rFonts w:asciiTheme="majorHAnsi" w:eastAsia="Times New Roman" w:hAnsiTheme="majorHAnsi" w:cstheme="majorHAnsi"/>
          <w:sz w:val="24"/>
          <w:szCs w:val="24"/>
          <w:lang w:val="ro-MD" w:eastAsia="ru-RU"/>
        </w:rPr>
        <w:t xml:space="preserve">anilor </w:t>
      </w:r>
      <w:r w:rsidR="00D367EA" w:rsidRPr="00363CFA">
        <w:rPr>
          <w:rFonts w:asciiTheme="majorHAnsi" w:eastAsia="Times New Roman" w:hAnsiTheme="majorHAnsi" w:cstheme="majorHAnsi"/>
          <w:sz w:val="24"/>
          <w:szCs w:val="24"/>
          <w:lang w:val="ro-MD" w:eastAsia="ru-RU"/>
        </w:rPr>
        <w:t xml:space="preserve">2019-2020 au constituit </w:t>
      </w:r>
      <w:r w:rsidR="00D367EA" w:rsidRPr="00BC3271">
        <w:rPr>
          <w:rFonts w:asciiTheme="majorHAnsi" w:eastAsia="Times New Roman" w:hAnsiTheme="majorHAnsi" w:cstheme="majorHAnsi"/>
          <w:b/>
          <w:sz w:val="24"/>
          <w:szCs w:val="24"/>
          <w:lang w:val="ro-MD" w:eastAsia="ru-RU"/>
        </w:rPr>
        <w:t>1499,2 mii lei</w:t>
      </w:r>
      <w:r w:rsidR="000B2038" w:rsidRPr="00BC3271">
        <w:rPr>
          <w:rStyle w:val="FootnoteReference"/>
          <w:rFonts w:asciiTheme="majorHAnsi" w:eastAsia="Times New Roman" w:hAnsiTheme="majorHAnsi" w:cstheme="majorHAnsi"/>
          <w:sz w:val="24"/>
          <w:szCs w:val="24"/>
          <w:lang w:val="ro-MD" w:eastAsia="ru-RU"/>
        </w:rPr>
        <w:footnoteReference w:id="59"/>
      </w:r>
      <w:r w:rsidR="00D367EA" w:rsidRPr="003246A7">
        <w:rPr>
          <w:rFonts w:asciiTheme="majorHAnsi" w:eastAsia="Times New Roman" w:hAnsiTheme="majorHAnsi" w:cstheme="majorHAnsi"/>
          <w:sz w:val="24"/>
          <w:szCs w:val="24"/>
          <w:lang w:val="ro-MD" w:eastAsia="ru-RU"/>
        </w:rPr>
        <w:t>,</w:t>
      </w:r>
      <w:r w:rsidR="00D367EA" w:rsidRPr="00363CFA">
        <w:rPr>
          <w:rFonts w:asciiTheme="majorHAnsi" w:eastAsia="Times New Roman" w:hAnsiTheme="majorHAnsi" w:cstheme="majorHAnsi"/>
          <w:sz w:val="24"/>
          <w:szCs w:val="24"/>
          <w:lang w:val="ro-MD" w:eastAsia="ru-RU"/>
        </w:rPr>
        <w:t xml:space="preserve"> inclusiv contribu</w:t>
      </w:r>
      <w:r w:rsidR="0069374B" w:rsidRPr="00363CFA">
        <w:rPr>
          <w:rFonts w:asciiTheme="majorHAnsi" w:eastAsia="Times New Roman" w:hAnsiTheme="majorHAnsi" w:cstheme="majorHAnsi"/>
          <w:sz w:val="24"/>
          <w:szCs w:val="24"/>
          <w:lang w:val="ro-MD" w:eastAsia="ru-RU"/>
        </w:rPr>
        <w:t>ț</w:t>
      </w:r>
      <w:r w:rsidR="00D367EA" w:rsidRPr="00363CFA">
        <w:rPr>
          <w:rFonts w:asciiTheme="majorHAnsi" w:eastAsia="Times New Roman" w:hAnsiTheme="majorHAnsi" w:cstheme="majorHAnsi"/>
          <w:sz w:val="24"/>
          <w:szCs w:val="24"/>
          <w:lang w:val="ro-MD" w:eastAsia="ru-RU"/>
        </w:rPr>
        <w:t xml:space="preserve">ii obligatorii </w:t>
      </w:r>
      <w:r w:rsidR="003246A7">
        <w:rPr>
          <w:rFonts w:asciiTheme="majorHAnsi" w:eastAsia="Times New Roman" w:hAnsiTheme="majorHAnsi" w:cstheme="majorHAnsi"/>
          <w:sz w:val="24"/>
          <w:szCs w:val="24"/>
          <w:lang w:val="ro-MD" w:eastAsia="ru-RU"/>
        </w:rPr>
        <w:t xml:space="preserve">- </w:t>
      </w:r>
      <w:r w:rsidR="00D367EA" w:rsidRPr="00363CFA">
        <w:rPr>
          <w:rFonts w:asciiTheme="majorHAnsi" w:eastAsia="Times New Roman" w:hAnsiTheme="majorHAnsi" w:cstheme="majorHAnsi"/>
          <w:sz w:val="24"/>
          <w:szCs w:val="24"/>
          <w:lang w:val="ro-MD" w:eastAsia="ru-RU"/>
        </w:rPr>
        <w:t>298,8 mii lei</w:t>
      </w:r>
      <w:r w:rsidR="003246A7">
        <w:rPr>
          <w:rFonts w:asciiTheme="majorHAnsi" w:eastAsia="Times New Roman" w:hAnsiTheme="majorHAnsi" w:cstheme="majorHAnsi"/>
          <w:sz w:val="24"/>
          <w:szCs w:val="24"/>
          <w:lang w:val="ro-MD" w:eastAsia="ru-RU"/>
        </w:rPr>
        <w:t>, f</w:t>
      </w:r>
      <w:r w:rsidR="00385D15" w:rsidRPr="00363CFA">
        <w:rPr>
          <w:rFonts w:asciiTheme="majorHAnsi" w:eastAsia="Times New Roman" w:hAnsiTheme="majorHAnsi" w:cstheme="majorHAnsi"/>
          <w:sz w:val="24"/>
          <w:szCs w:val="24"/>
          <w:lang w:val="ro-MD" w:eastAsia="ru-RU"/>
        </w:rPr>
        <w:t>on</w:t>
      </w:r>
      <w:r w:rsidR="00D367EA" w:rsidRPr="00363CFA">
        <w:rPr>
          <w:rFonts w:asciiTheme="majorHAnsi" w:eastAsia="Times New Roman" w:hAnsiTheme="majorHAnsi" w:cstheme="majorHAnsi"/>
          <w:sz w:val="24"/>
          <w:szCs w:val="24"/>
          <w:lang w:val="ro-MD" w:eastAsia="ru-RU"/>
        </w:rPr>
        <w:t>dul anual de remunerare</w:t>
      </w:r>
      <w:r w:rsidR="009574FE">
        <w:rPr>
          <w:rFonts w:asciiTheme="majorHAnsi" w:eastAsia="Times New Roman" w:hAnsiTheme="majorHAnsi" w:cstheme="majorHAnsi"/>
          <w:sz w:val="24"/>
          <w:szCs w:val="24"/>
          <w:lang w:val="ro-MD" w:eastAsia="ru-RU"/>
        </w:rPr>
        <w:t>,</w:t>
      </w:r>
      <w:r w:rsidR="00D367EA" w:rsidRPr="00363CFA">
        <w:rPr>
          <w:rFonts w:asciiTheme="majorHAnsi" w:eastAsia="Times New Roman" w:hAnsiTheme="majorHAnsi" w:cstheme="majorHAnsi"/>
          <w:sz w:val="24"/>
          <w:szCs w:val="24"/>
          <w:lang w:val="ro-MD" w:eastAsia="ru-RU"/>
        </w:rPr>
        <w:t xml:space="preserve"> în </w:t>
      </w:r>
      <w:r w:rsidR="009574FE">
        <w:rPr>
          <w:rFonts w:asciiTheme="majorHAnsi" w:eastAsia="Times New Roman" w:hAnsiTheme="majorHAnsi" w:cstheme="majorHAnsi"/>
          <w:sz w:val="24"/>
          <w:szCs w:val="24"/>
          <w:lang w:val="ro-MD" w:eastAsia="ru-RU"/>
        </w:rPr>
        <w:t xml:space="preserve">această </w:t>
      </w:r>
      <w:r w:rsidR="00D367EA" w:rsidRPr="00363CFA">
        <w:rPr>
          <w:rFonts w:asciiTheme="majorHAnsi" w:eastAsia="Times New Roman" w:hAnsiTheme="majorHAnsi" w:cstheme="majorHAnsi"/>
          <w:sz w:val="24"/>
          <w:szCs w:val="24"/>
          <w:lang w:val="ro-MD" w:eastAsia="ru-RU"/>
        </w:rPr>
        <w:t>perioad</w:t>
      </w:r>
      <w:r w:rsidR="009574FE">
        <w:rPr>
          <w:rFonts w:asciiTheme="majorHAnsi" w:eastAsia="Times New Roman" w:hAnsiTheme="majorHAnsi" w:cstheme="majorHAnsi"/>
          <w:sz w:val="24"/>
          <w:szCs w:val="24"/>
          <w:lang w:val="ro-MD" w:eastAsia="ru-RU"/>
        </w:rPr>
        <w:t>ă,</w:t>
      </w:r>
      <w:r w:rsidR="00385D15" w:rsidRPr="00363CFA">
        <w:rPr>
          <w:rFonts w:asciiTheme="majorHAnsi" w:eastAsia="Times New Roman" w:hAnsiTheme="majorHAnsi" w:cstheme="majorHAnsi"/>
          <w:sz w:val="24"/>
          <w:szCs w:val="24"/>
          <w:lang w:val="ro-MD" w:eastAsia="ru-RU"/>
        </w:rPr>
        <w:t xml:space="preserve"> constituind</w:t>
      </w:r>
      <w:r w:rsidR="00D367EA" w:rsidRPr="00363CFA">
        <w:rPr>
          <w:rFonts w:asciiTheme="majorHAnsi" w:eastAsia="Times New Roman" w:hAnsiTheme="majorHAnsi" w:cstheme="majorHAnsi"/>
          <w:sz w:val="24"/>
          <w:szCs w:val="24"/>
          <w:lang w:val="ro-MD" w:eastAsia="ru-RU"/>
        </w:rPr>
        <w:t xml:space="preserve"> </w:t>
      </w:r>
      <w:r w:rsidR="00D367EA" w:rsidRPr="00BC3271">
        <w:rPr>
          <w:rFonts w:asciiTheme="majorHAnsi" w:eastAsia="Times New Roman" w:hAnsiTheme="majorHAnsi" w:cstheme="majorHAnsi"/>
          <w:b/>
          <w:sz w:val="24"/>
          <w:szCs w:val="24"/>
          <w:lang w:val="ro-MD" w:eastAsia="ru-RU"/>
        </w:rPr>
        <w:t>1975,6 mii lei</w:t>
      </w:r>
      <w:r w:rsidR="00D367EA" w:rsidRPr="003246A7">
        <w:rPr>
          <w:rFonts w:asciiTheme="majorHAnsi" w:eastAsia="Times New Roman" w:hAnsiTheme="majorHAnsi" w:cstheme="majorHAnsi"/>
          <w:sz w:val="24"/>
          <w:szCs w:val="24"/>
          <w:lang w:val="ro-MD" w:eastAsia="ru-RU"/>
        </w:rPr>
        <w:t>,</w:t>
      </w:r>
      <w:r w:rsidR="00D367EA" w:rsidRPr="00363CFA">
        <w:rPr>
          <w:rFonts w:asciiTheme="majorHAnsi" w:eastAsia="Times New Roman" w:hAnsiTheme="majorHAnsi" w:cstheme="majorHAnsi"/>
          <w:sz w:val="24"/>
          <w:szCs w:val="24"/>
          <w:lang w:val="ro-MD" w:eastAsia="ru-RU"/>
        </w:rPr>
        <w:t xml:space="preserve"> inclusiv contribu</w:t>
      </w:r>
      <w:r w:rsidR="0069374B" w:rsidRPr="00363CFA">
        <w:rPr>
          <w:rFonts w:asciiTheme="majorHAnsi" w:eastAsia="Times New Roman" w:hAnsiTheme="majorHAnsi" w:cstheme="majorHAnsi"/>
          <w:sz w:val="24"/>
          <w:szCs w:val="24"/>
          <w:lang w:val="ro-MD" w:eastAsia="ru-RU"/>
        </w:rPr>
        <w:t>ț</w:t>
      </w:r>
      <w:r w:rsidR="00D367EA" w:rsidRPr="00363CFA">
        <w:rPr>
          <w:rFonts w:asciiTheme="majorHAnsi" w:eastAsia="Times New Roman" w:hAnsiTheme="majorHAnsi" w:cstheme="majorHAnsi"/>
          <w:sz w:val="24"/>
          <w:szCs w:val="24"/>
          <w:lang w:val="ro-MD" w:eastAsia="ru-RU"/>
        </w:rPr>
        <w:t>ii obligatorii -</w:t>
      </w:r>
      <w:r w:rsidR="003246A7">
        <w:rPr>
          <w:rFonts w:asciiTheme="majorHAnsi" w:eastAsia="Times New Roman" w:hAnsiTheme="majorHAnsi" w:cstheme="majorHAnsi"/>
          <w:sz w:val="24"/>
          <w:szCs w:val="24"/>
          <w:lang w:val="ro-MD" w:eastAsia="ru-RU"/>
        </w:rPr>
        <w:t xml:space="preserve"> </w:t>
      </w:r>
      <w:r w:rsidR="00D367EA" w:rsidRPr="00363CFA">
        <w:rPr>
          <w:rFonts w:asciiTheme="majorHAnsi" w:eastAsia="Times New Roman" w:hAnsiTheme="majorHAnsi" w:cstheme="majorHAnsi"/>
          <w:sz w:val="24"/>
          <w:szCs w:val="24"/>
          <w:lang w:val="ro-MD" w:eastAsia="ru-RU"/>
        </w:rPr>
        <w:t>426,1 mii lei (</w:t>
      </w:r>
      <w:r w:rsidR="003246A7">
        <w:rPr>
          <w:rFonts w:asciiTheme="majorHAnsi" w:eastAsia="Times New Roman" w:hAnsiTheme="majorHAnsi" w:cstheme="majorHAnsi"/>
          <w:sz w:val="24"/>
          <w:szCs w:val="24"/>
          <w:lang w:val="ro-MD" w:eastAsia="ru-RU"/>
        </w:rPr>
        <w:t>a.</w:t>
      </w:r>
      <w:r w:rsidR="00D367EA" w:rsidRPr="00363CFA">
        <w:rPr>
          <w:rFonts w:asciiTheme="majorHAnsi" w:eastAsia="Times New Roman" w:hAnsiTheme="majorHAnsi" w:cstheme="majorHAnsi"/>
          <w:sz w:val="24"/>
          <w:szCs w:val="24"/>
          <w:lang w:val="ro-MD" w:eastAsia="ru-RU"/>
        </w:rPr>
        <w:t xml:space="preserve">2019 – 922,4 mii lei; </w:t>
      </w:r>
      <w:r w:rsidR="003246A7">
        <w:rPr>
          <w:rFonts w:asciiTheme="majorHAnsi" w:eastAsia="Times New Roman" w:hAnsiTheme="majorHAnsi" w:cstheme="majorHAnsi"/>
          <w:sz w:val="24"/>
          <w:szCs w:val="24"/>
          <w:lang w:val="ro-MD" w:eastAsia="ru-RU"/>
        </w:rPr>
        <w:t>a.</w:t>
      </w:r>
      <w:r w:rsidR="00D367EA" w:rsidRPr="00363CFA">
        <w:rPr>
          <w:rFonts w:asciiTheme="majorHAnsi" w:eastAsia="Times New Roman" w:hAnsiTheme="majorHAnsi" w:cstheme="majorHAnsi"/>
          <w:sz w:val="24"/>
          <w:szCs w:val="24"/>
          <w:lang w:val="ro-MD" w:eastAsia="ru-RU"/>
        </w:rPr>
        <w:t>2020 – 1053,2 mii lei).</w:t>
      </w:r>
      <w:r w:rsidR="009574FE">
        <w:rPr>
          <w:rFonts w:asciiTheme="majorHAnsi" w:eastAsia="Times New Roman" w:hAnsiTheme="majorHAnsi" w:cstheme="majorHAnsi"/>
          <w:sz w:val="24"/>
          <w:szCs w:val="24"/>
          <w:lang w:val="ro-MD" w:eastAsia="ru-RU"/>
        </w:rPr>
        <w:t xml:space="preserve"> Dacă </w:t>
      </w:r>
      <w:r w:rsidR="00090B7C" w:rsidRPr="00363CFA">
        <w:rPr>
          <w:rFonts w:asciiTheme="majorHAnsi" w:eastAsia="Times New Roman" w:hAnsiTheme="majorHAnsi" w:cstheme="majorHAnsi"/>
          <w:sz w:val="24"/>
          <w:szCs w:val="24"/>
          <w:lang w:val="ro-MD" w:eastAsia="ru-RU"/>
        </w:rPr>
        <w:t xml:space="preserve"> institu</w:t>
      </w:r>
      <w:r w:rsidR="0069374B" w:rsidRPr="00363CFA">
        <w:rPr>
          <w:rFonts w:asciiTheme="majorHAnsi" w:eastAsia="Times New Roman" w:hAnsiTheme="majorHAnsi" w:cstheme="majorHAnsi"/>
          <w:sz w:val="24"/>
          <w:szCs w:val="24"/>
          <w:lang w:val="ro-MD" w:eastAsia="ru-RU"/>
        </w:rPr>
        <w:t>ț</w:t>
      </w:r>
      <w:r w:rsidR="00090B7C" w:rsidRPr="00363CFA">
        <w:rPr>
          <w:rFonts w:asciiTheme="majorHAnsi" w:eastAsia="Times New Roman" w:hAnsiTheme="majorHAnsi" w:cstheme="majorHAnsi"/>
          <w:sz w:val="24"/>
          <w:szCs w:val="24"/>
          <w:lang w:val="ro-MD" w:eastAsia="ru-RU"/>
        </w:rPr>
        <w:t>i</w:t>
      </w:r>
      <w:r w:rsidR="009574FE">
        <w:rPr>
          <w:rFonts w:asciiTheme="majorHAnsi" w:eastAsia="Times New Roman" w:hAnsiTheme="majorHAnsi" w:cstheme="majorHAnsi"/>
          <w:sz w:val="24"/>
          <w:szCs w:val="24"/>
          <w:lang w:val="ro-MD" w:eastAsia="ru-RU"/>
        </w:rPr>
        <w:t>a dată</w:t>
      </w:r>
      <w:r w:rsidR="00090B7C" w:rsidRPr="00363CFA">
        <w:rPr>
          <w:rFonts w:asciiTheme="majorHAnsi" w:eastAsia="Times New Roman" w:hAnsiTheme="majorHAnsi" w:cstheme="majorHAnsi"/>
          <w:sz w:val="24"/>
          <w:szCs w:val="24"/>
          <w:lang w:val="ro-MD" w:eastAsia="ru-RU"/>
        </w:rPr>
        <w:t xml:space="preserve"> </w:t>
      </w:r>
      <w:r w:rsidR="000A618A" w:rsidRPr="00363CFA">
        <w:rPr>
          <w:rFonts w:asciiTheme="majorHAnsi" w:eastAsia="Times New Roman" w:hAnsiTheme="majorHAnsi" w:cstheme="majorHAnsi"/>
          <w:sz w:val="24"/>
          <w:szCs w:val="24"/>
          <w:lang w:val="ro-MD" w:eastAsia="ru-RU"/>
        </w:rPr>
        <w:t xml:space="preserve">ar fi fost </w:t>
      </w:r>
      <w:r w:rsidR="00090B7C" w:rsidRPr="00363CFA">
        <w:rPr>
          <w:rFonts w:asciiTheme="majorHAnsi" w:eastAsia="Times New Roman" w:hAnsiTheme="majorHAnsi" w:cstheme="majorHAnsi"/>
          <w:sz w:val="24"/>
          <w:szCs w:val="24"/>
          <w:lang w:val="ro-MD" w:eastAsia="ru-RU"/>
        </w:rPr>
        <w:t xml:space="preserve"> </w:t>
      </w:r>
      <w:r w:rsidR="00D367EA" w:rsidRPr="00363CFA">
        <w:rPr>
          <w:rFonts w:asciiTheme="majorHAnsi" w:eastAsia="Times New Roman" w:hAnsiTheme="majorHAnsi" w:cstheme="majorHAnsi"/>
          <w:sz w:val="24"/>
          <w:szCs w:val="24"/>
          <w:lang w:val="ro-MD" w:eastAsia="ru-RU"/>
        </w:rPr>
        <w:t xml:space="preserve">clasificată </w:t>
      </w:r>
      <w:r w:rsidR="00090B7C" w:rsidRPr="00363CFA">
        <w:rPr>
          <w:rFonts w:asciiTheme="majorHAnsi" w:eastAsia="Times New Roman" w:hAnsiTheme="majorHAnsi" w:cstheme="majorHAnsi"/>
          <w:sz w:val="24"/>
          <w:szCs w:val="24"/>
          <w:lang w:val="ro-MD" w:eastAsia="ru-RU"/>
        </w:rPr>
        <w:t xml:space="preserve">ca un „serviciu de audit intern”, </w:t>
      </w:r>
      <w:r w:rsidR="009574FE">
        <w:rPr>
          <w:rFonts w:asciiTheme="majorHAnsi" w:eastAsia="Times New Roman" w:hAnsiTheme="majorHAnsi" w:cstheme="majorHAnsi"/>
          <w:sz w:val="24"/>
          <w:szCs w:val="24"/>
          <w:lang w:val="ro-MD" w:eastAsia="ru-RU"/>
        </w:rPr>
        <w:t>aceasta</w:t>
      </w:r>
      <w:r w:rsidR="000A618A" w:rsidRPr="00363CFA">
        <w:rPr>
          <w:rFonts w:asciiTheme="majorHAnsi" w:eastAsia="Times New Roman" w:hAnsiTheme="majorHAnsi" w:cstheme="majorHAnsi"/>
          <w:sz w:val="24"/>
          <w:szCs w:val="24"/>
          <w:lang w:val="ro-MD" w:eastAsia="ru-RU"/>
        </w:rPr>
        <w:t xml:space="preserve"> </w:t>
      </w:r>
      <w:r w:rsidR="00090B7C" w:rsidRPr="00363CFA">
        <w:rPr>
          <w:rFonts w:asciiTheme="majorHAnsi" w:eastAsia="Times New Roman" w:hAnsiTheme="majorHAnsi" w:cstheme="majorHAnsi"/>
          <w:sz w:val="24"/>
          <w:szCs w:val="24"/>
          <w:lang w:val="ro-MD" w:eastAsia="ru-RU"/>
        </w:rPr>
        <w:t>ar fi economisit mijloace băne</w:t>
      </w:r>
      <w:r w:rsidR="0069374B" w:rsidRPr="00363CFA">
        <w:rPr>
          <w:rFonts w:asciiTheme="majorHAnsi" w:eastAsia="Times New Roman" w:hAnsiTheme="majorHAnsi" w:cstheme="majorHAnsi"/>
          <w:sz w:val="24"/>
          <w:szCs w:val="24"/>
          <w:lang w:val="ro-MD" w:eastAsia="ru-RU"/>
        </w:rPr>
        <w:t>ș</w:t>
      </w:r>
      <w:r w:rsidR="00090B7C" w:rsidRPr="00363CFA">
        <w:rPr>
          <w:rFonts w:asciiTheme="majorHAnsi" w:eastAsia="Times New Roman" w:hAnsiTheme="majorHAnsi" w:cstheme="majorHAnsi"/>
          <w:sz w:val="24"/>
          <w:szCs w:val="24"/>
          <w:lang w:val="ro-MD" w:eastAsia="ru-RU"/>
        </w:rPr>
        <w:t xml:space="preserve">ti pentru remunerarea </w:t>
      </w:r>
      <w:r w:rsidR="009574FE">
        <w:rPr>
          <w:rFonts w:asciiTheme="majorHAnsi" w:eastAsia="Times New Roman" w:hAnsiTheme="majorHAnsi" w:cstheme="majorHAnsi"/>
          <w:sz w:val="24"/>
          <w:szCs w:val="24"/>
          <w:lang w:val="ro-MD" w:eastAsia="ru-RU"/>
        </w:rPr>
        <w:t xml:space="preserve">muncii </w:t>
      </w:r>
      <w:r w:rsidR="00090B7C" w:rsidRPr="00363CFA">
        <w:rPr>
          <w:rFonts w:asciiTheme="majorHAnsi" w:eastAsia="Times New Roman" w:hAnsiTheme="majorHAnsi" w:cstheme="majorHAnsi"/>
          <w:sz w:val="24"/>
          <w:szCs w:val="24"/>
          <w:lang w:val="ro-MD" w:eastAsia="ru-RU"/>
        </w:rPr>
        <w:t>angaja</w:t>
      </w:r>
      <w:r w:rsidR="0069374B" w:rsidRPr="00363CFA">
        <w:rPr>
          <w:rFonts w:asciiTheme="majorHAnsi" w:eastAsia="Times New Roman" w:hAnsiTheme="majorHAnsi" w:cstheme="majorHAnsi"/>
          <w:sz w:val="24"/>
          <w:szCs w:val="24"/>
          <w:lang w:val="ro-MD" w:eastAsia="ru-RU"/>
        </w:rPr>
        <w:t>ț</w:t>
      </w:r>
      <w:r w:rsidR="00090B7C" w:rsidRPr="00363CFA">
        <w:rPr>
          <w:rFonts w:asciiTheme="majorHAnsi" w:eastAsia="Times New Roman" w:hAnsiTheme="majorHAnsi" w:cstheme="majorHAnsi"/>
          <w:sz w:val="24"/>
          <w:szCs w:val="24"/>
          <w:lang w:val="ro-MD" w:eastAsia="ru-RU"/>
        </w:rPr>
        <w:t xml:space="preserve">ilor, în perioada </w:t>
      </w:r>
      <w:r w:rsidR="003246A7">
        <w:rPr>
          <w:rFonts w:asciiTheme="majorHAnsi" w:eastAsia="Times New Roman" w:hAnsiTheme="majorHAnsi" w:cstheme="majorHAnsi"/>
          <w:sz w:val="24"/>
          <w:szCs w:val="24"/>
          <w:lang w:val="ro-MD" w:eastAsia="ru-RU"/>
        </w:rPr>
        <w:t xml:space="preserve">anilor </w:t>
      </w:r>
      <w:r w:rsidR="00090B7C" w:rsidRPr="00363CFA">
        <w:rPr>
          <w:rFonts w:asciiTheme="majorHAnsi" w:eastAsia="Times New Roman" w:hAnsiTheme="majorHAnsi" w:cstheme="majorHAnsi"/>
          <w:sz w:val="24"/>
          <w:szCs w:val="24"/>
          <w:lang w:val="ro-MD" w:eastAsia="ru-RU"/>
        </w:rPr>
        <w:t xml:space="preserve">2019 </w:t>
      </w:r>
      <w:r w:rsidR="0069374B" w:rsidRPr="00363CFA">
        <w:rPr>
          <w:rFonts w:asciiTheme="majorHAnsi" w:eastAsia="Times New Roman" w:hAnsiTheme="majorHAnsi" w:cstheme="majorHAnsi"/>
          <w:sz w:val="24"/>
          <w:szCs w:val="24"/>
          <w:lang w:val="ro-MD" w:eastAsia="ru-RU"/>
        </w:rPr>
        <w:t>ș</w:t>
      </w:r>
      <w:r w:rsidR="00090B7C" w:rsidRPr="00363CFA">
        <w:rPr>
          <w:rFonts w:asciiTheme="majorHAnsi" w:eastAsia="Times New Roman" w:hAnsiTheme="majorHAnsi" w:cstheme="majorHAnsi"/>
          <w:sz w:val="24"/>
          <w:szCs w:val="24"/>
          <w:lang w:val="ro-MD" w:eastAsia="ru-RU"/>
        </w:rPr>
        <w:t>i 2020, de circa</w:t>
      </w:r>
      <w:r w:rsidR="00872C37" w:rsidRPr="00363CFA">
        <w:rPr>
          <w:rFonts w:asciiTheme="majorHAnsi" w:eastAsia="Times New Roman" w:hAnsiTheme="majorHAnsi" w:cstheme="majorHAnsi"/>
          <w:sz w:val="24"/>
          <w:szCs w:val="24"/>
          <w:lang w:val="ro-MD" w:eastAsia="ru-RU"/>
        </w:rPr>
        <w:t xml:space="preserve"> </w:t>
      </w:r>
      <w:r w:rsidR="00872C37" w:rsidRPr="00BC3271">
        <w:rPr>
          <w:rFonts w:asciiTheme="majorHAnsi" w:eastAsia="Times New Roman" w:hAnsiTheme="majorHAnsi" w:cstheme="majorHAnsi"/>
          <w:b/>
          <w:sz w:val="24"/>
          <w:szCs w:val="24"/>
          <w:lang w:val="ro-MD" w:eastAsia="ru-RU"/>
        </w:rPr>
        <w:t>378,5</w:t>
      </w:r>
      <w:r w:rsidR="00090B7C" w:rsidRPr="00BC3271">
        <w:rPr>
          <w:rFonts w:asciiTheme="majorHAnsi" w:eastAsia="Times New Roman" w:hAnsiTheme="majorHAnsi" w:cstheme="majorHAnsi"/>
          <w:b/>
          <w:sz w:val="24"/>
          <w:szCs w:val="24"/>
          <w:lang w:val="ro-MD" w:eastAsia="ru-RU"/>
        </w:rPr>
        <w:t xml:space="preserve"> mii lei</w:t>
      </w:r>
      <w:r w:rsidR="00090B7C" w:rsidRPr="00363CFA">
        <w:rPr>
          <w:rStyle w:val="FootnoteReference"/>
          <w:rFonts w:asciiTheme="majorHAnsi" w:eastAsia="Times New Roman" w:hAnsiTheme="majorHAnsi" w:cstheme="majorHAnsi"/>
          <w:sz w:val="24"/>
          <w:szCs w:val="24"/>
          <w:lang w:val="ro-MD" w:eastAsia="ru-RU"/>
        </w:rPr>
        <w:footnoteReference w:id="60"/>
      </w:r>
      <w:r w:rsidR="00090B7C" w:rsidRPr="00363CFA">
        <w:rPr>
          <w:rFonts w:asciiTheme="majorHAnsi" w:eastAsia="Times New Roman" w:hAnsiTheme="majorHAnsi" w:cstheme="majorHAnsi"/>
          <w:sz w:val="24"/>
          <w:szCs w:val="24"/>
          <w:lang w:val="ro-MD" w:eastAsia="ru-RU"/>
        </w:rPr>
        <w:t xml:space="preserve"> (inclusiv contribu</w:t>
      </w:r>
      <w:r w:rsidR="0069374B" w:rsidRPr="00363CFA">
        <w:rPr>
          <w:rFonts w:asciiTheme="majorHAnsi" w:eastAsia="Times New Roman" w:hAnsiTheme="majorHAnsi" w:cstheme="majorHAnsi"/>
          <w:sz w:val="24"/>
          <w:szCs w:val="24"/>
          <w:lang w:val="ro-MD" w:eastAsia="ru-RU"/>
        </w:rPr>
        <w:t>ț</w:t>
      </w:r>
      <w:r w:rsidR="00090B7C" w:rsidRPr="00363CFA">
        <w:rPr>
          <w:rFonts w:asciiTheme="majorHAnsi" w:eastAsia="Times New Roman" w:hAnsiTheme="majorHAnsi" w:cstheme="majorHAnsi"/>
          <w:sz w:val="24"/>
          <w:szCs w:val="24"/>
          <w:lang w:val="ro-MD" w:eastAsia="ru-RU"/>
        </w:rPr>
        <w:t xml:space="preserve">ii obligatorii </w:t>
      </w:r>
      <w:r w:rsidR="00261C73">
        <w:rPr>
          <w:rFonts w:asciiTheme="majorHAnsi" w:eastAsia="Times New Roman" w:hAnsiTheme="majorHAnsi" w:cstheme="majorHAnsi"/>
          <w:sz w:val="24"/>
          <w:szCs w:val="24"/>
          <w:lang w:val="ro-MD" w:eastAsia="ru-RU"/>
        </w:rPr>
        <w:t xml:space="preserve">- </w:t>
      </w:r>
      <w:r w:rsidR="00090B7C" w:rsidRPr="00363CFA">
        <w:rPr>
          <w:rFonts w:asciiTheme="majorHAnsi" w:eastAsia="Times New Roman" w:hAnsiTheme="majorHAnsi" w:cstheme="majorHAnsi"/>
          <w:sz w:val="24"/>
          <w:szCs w:val="24"/>
          <w:lang w:val="ro-MD" w:eastAsia="ru-RU"/>
        </w:rPr>
        <w:t>în sumă de 81,6 mii lei)</w:t>
      </w:r>
      <w:r w:rsidR="00872C37" w:rsidRPr="00363CFA">
        <w:rPr>
          <w:rFonts w:asciiTheme="majorHAnsi" w:eastAsia="Times New Roman" w:hAnsiTheme="majorHAnsi" w:cstheme="majorHAnsi"/>
          <w:sz w:val="24"/>
          <w:szCs w:val="24"/>
          <w:lang w:val="ro-MD" w:eastAsia="ru-RU"/>
        </w:rPr>
        <w:t xml:space="preserve">. </w:t>
      </w:r>
      <w:r w:rsidR="008F7042" w:rsidRPr="00363CFA">
        <w:rPr>
          <w:rFonts w:asciiTheme="majorHAnsi" w:eastAsia="Times New Roman" w:hAnsiTheme="majorHAnsi" w:cstheme="majorHAnsi"/>
          <w:sz w:val="24"/>
          <w:szCs w:val="24"/>
          <w:lang w:val="ro-MD" w:eastAsia="ru-RU"/>
        </w:rPr>
        <w:t>A</w:t>
      </w:r>
      <w:r w:rsidR="008F7042" w:rsidRPr="00363CFA">
        <w:rPr>
          <w:rFonts w:asciiTheme="majorHAnsi" w:hAnsiTheme="majorHAnsi" w:cstheme="majorHAnsi"/>
          <w:color w:val="000000" w:themeColor="text1"/>
          <w:sz w:val="24"/>
          <w:szCs w:val="24"/>
          <w:lang w:val="ro-MD"/>
        </w:rPr>
        <w:t xml:space="preserve">naliza detaliată </w:t>
      </w:r>
      <w:r w:rsidR="00261C73">
        <w:rPr>
          <w:rFonts w:asciiTheme="majorHAnsi" w:hAnsiTheme="majorHAnsi" w:cstheme="majorHAnsi"/>
          <w:color w:val="000000" w:themeColor="text1"/>
          <w:sz w:val="24"/>
          <w:szCs w:val="24"/>
          <w:lang w:val="ro-MD"/>
        </w:rPr>
        <w:t xml:space="preserve">în acest sens </w:t>
      </w:r>
      <w:r w:rsidR="008F7042" w:rsidRPr="00363CFA">
        <w:rPr>
          <w:rFonts w:asciiTheme="majorHAnsi" w:hAnsiTheme="majorHAnsi" w:cstheme="majorHAnsi"/>
          <w:color w:val="000000" w:themeColor="text1"/>
          <w:sz w:val="24"/>
          <w:szCs w:val="24"/>
          <w:lang w:val="ro-MD"/>
        </w:rPr>
        <w:t xml:space="preserve">este prezentată în </w:t>
      </w:r>
      <w:r w:rsidR="008F7042" w:rsidRPr="00BC3271">
        <w:rPr>
          <w:rFonts w:asciiTheme="majorHAnsi" w:hAnsiTheme="majorHAnsi" w:cstheme="majorHAnsi"/>
          <w:b/>
          <w:color w:val="000000" w:themeColor="text1"/>
          <w:sz w:val="24"/>
          <w:szCs w:val="24"/>
          <w:lang w:val="ro-MD"/>
        </w:rPr>
        <w:t>Anexa nr.9</w:t>
      </w:r>
      <w:r w:rsidR="008F7042" w:rsidRPr="00BC3271">
        <w:rPr>
          <w:rFonts w:asciiTheme="majorHAnsi" w:hAnsiTheme="majorHAnsi" w:cstheme="majorHAnsi"/>
          <w:color w:val="000000" w:themeColor="text1"/>
          <w:sz w:val="24"/>
          <w:szCs w:val="24"/>
          <w:lang w:val="ro-MD"/>
        </w:rPr>
        <w:t xml:space="preserve"> la Raportul de audit.</w:t>
      </w:r>
    </w:p>
    <w:p w14:paraId="4D4B0EEA" w14:textId="7F0F8E34" w:rsidR="00237E36" w:rsidRPr="00363CFA" w:rsidRDefault="002C0468" w:rsidP="00767ED8">
      <w:pPr>
        <w:pStyle w:val="ListParagraph"/>
        <w:numPr>
          <w:ilvl w:val="0"/>
          <w:numId w:val="9"/>
        </w:numPr>
        <w:spacing w:after="0" w:line="276" w:lineRule="auto"/>
        <w:ind w:left="0" w:firstLine="426"/>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lastRenderedPageBreak/>
        <w:t>În c</w:t>
      </w:r>
      <w:r w:rsidR="000B2038" w:rsidRPr="00363CFA">
        <w:rPr>
          <w:rFonts w:asciiTheme="majorHAnsi" w:eastAsia="Times New Roman" w:hAnsiTheme="majorHAnsi" w:cstheme="majorHAnsi"/>
          <w:sz w:val="24"/>
          <w:szCs w:val="24"/>
          <w:lang w:val="ro-MD" w:eastAsia="ru-RU"/>
        </w:rPr>
        <w:t>onform</w:t>
      </w:r>
      <w:r>
        <w:rPr>
          <w:rFonts w:asciiTheme="majorHAnsi" w:eastAsia="Times New Roman" w:hAnsiTheme="majorHAnsi" w:cstheme="majorHAnsi"/>
          <w:sz w:val="24"/>
          <w:szCs w:val="24"/>
          <w:lang w:val="ro-MD" w:eastAsia="ru-RU"/>
        </w:rPr>
        <w:t>itate cu</w:t>
      </w:r>
      <w:r w:rsidR="000B2038" w:rsidRPr="00363CFA">
        <w:rPr>
          <w:rFonts w:asciiTheme="majorHAnsi" w:eastAsia="Times New Roman" w:hAnsiTheme="majorHAnsi" w:cstheme="majorHAnsi"/>
          <w:sz w:val="24"/>
          <w:szCs w:val="24"/>
          <w:lang w:val="ro-MD" w:eastAsia="ru-RU"/>
        </w:rPr>
        <w:t xml:space="preserve"> Hotărâr</w:t>
      </w:r>
      <w:r>
        <w:rPr>
          <w:rFonts w:asciiTheme="majorHAnsi" w:eastAsia="Times New Roman" w:hAnsiTheme="majorHAnsi" w:cstheme="majorHAnsi"/>
          <w:sz w:val="24"/>
          <w:szCs w:val="24"/>
          <w:lang w:val="ro-MD" w:eastAsia="ru-RU"/>
        </w:rPr>
        <w:t>ea</w:t>
      </w:r>
      <w:r w:rsidR="000B2038" w:rsidRPr="00363CFA">
        <w:rPr>
          <w:rFonts w:asciiTheme="majorHAnsi" w:eastAsia="Times New Roman" w:hAnsiTheme="majorHAnsi" w:cstheme="majorHAnsi"/>
          <w:sz w:val="24"/>
          <w:szCs w:val="24"/>
          <w:lang w:val="ro-MD" w:eastAsia="ru-RU"/>
        </w:rPr>
        <w:t xml:space="preserve"> Adunării Populare a Găgăuziei nr.450-XXVI/V din 22.12.2015 „Cu privire la fondarea </w:t>
      </w:r>
      <w:r w:rsidR="000B2038" w:rsidRPr="00363CFA">
        <w:rPr>
          <w:rFonts w:asciiTheme="majorHAnsi" w:eastAsia="Times New Roman" w:hAnsiTheme="majorHAnsi" w:cstheme="majorHAnsi"/>
          <w:b/>
          <w:sz w:val="24"/>
          <w:szCs w:val="24"/>
          <w:lang w:val="ro-MD" w:eastAsia="ru-RU"/>
        </w:rPr>
        <w:t>Comisiei Electorale Centrale a Găgăuziei</w:t>
      </w:r>
      <w:r w:rsidR="000B2038" w:rsidRPr="00363CFA">
        <w:rPr>
          <w:rFonts w:asciiTheme="majorHAnsi" w:eastAsia="Times New Roman" w:hAnsiTheme="majorHAnsi" w:cstheme="majorHAnsi"/>
          <w:sz w:val="24"/>
          <w:szCs w:val="24"/>
          <w:lang w:val="ro-MD" w:eastAsia="ru-RU"/>
        </w:rPr>
        <w:t xml:space="preserve"> </w:t>
      </w:r>
      <w:r w:rsidR="0069374B" w:rsidRPr="00363CFA">
        <w:rPr>
          <w:rFonts w:asciiTheme="majorHAnsi" w:eastAsia="Times New Roman" w:hAnsiTheme="majorHAnsi" w:cstheme="majorHAnsi"/>
          <w:sz w:val="24"/>
          <w:szCs w:val="24"/>
          <w:lang w:val="ro-MD" w:eastAsia="ru-RU"/>
        </w:rPr>
        <w:t>ș</w:t>
      </w:r>
      <w:r w:rsidR="000B2038" w:rsidRPr="00363CFA">
        <w:rPr>
          <w:rFonts w:asciiTheme="majorHAnsi" w:eastAsia="Times New Roman" w:hAnsiTheme="majorHAnsi" w:cstheme="majorHAnsi"/>
          <w:sz w:val="24"/>
          <w:szCs w:val="24"/>
          <w:lang w:val="ro-MD" w:eastAsia="ru-RU"/>
        </w:rPr>
        <w:t>i aprobarea componen</w:t>
      </w:r>
      <w:r w:rsidR="0069374B" w:rsidRPr="00363CFA">
        <w:rPr>
          <w:rFonts w:asciiTheme="majorHAnsi" w:eastAsia="Times New Roman" w:hAnsiTheme="majorHAnsi" w:cstheme="majorHAnsi"/>
          <w:sz w:val="24"/>
          <w:szCs w:val="24"/>
          <w:lang w:val="ro-MD" w:eastAsia="ru-RU"/>
        </w:rPr>
        <w:t>ț</w:t>
      </w:r>
      <w:r w:rsidR="000B2038" w:rsidRPr="00363CFA">
        <w:rPr>
          <w:rFonts w:asciiTheme="majorHAnsi" w:eastAsia="Times New Roman" w:hAnsiTheme="majorHAnsi" w:cstheme="majorHAnsi"/>
          <w:sz w:val="24"/>
          <w:szCs w:val="24"/>
          <w:lang w:val="ro-MD" w:eastAsia="ru-RU"/>
        </w:rPr>
        <w:t>ei nominale”</w:t>
      </w:r>
      <w:r w:rsidR="00261C73">
        <w:rPr>
          <w:rFonts w:asciiTheme="majorHAnsi" w:eastAsia="Times New Roman" w:hAnsiTheme="majorHAnsi" w:cstheme="majorHAnsi"/>
          <w:sz w:val="24"/>
          <w:szCs w:val="24"/>
          <w:lang w:val="ro-MD" w:eastAsia="ru-RU"/>
        </w:rPr>
        <w:t>,</w:t>
      </w:r>
      <w:r w:rsidR="000B2038" w:rsidRPr="00363CFA">
        <w:rPr>
          <w:rFonts w:asciiTheme="majorHAnsi" w:eastAsia="Times New Roman" w:hAnsiTheme="majorHAnsi" w:cstheme="majorHAnsi"/>
          <w:sz w:val="24"/>
          <w:szCs w:val="24"/>
          <w:lang w:val="ro-MD" w:eastAsia="ru-RU"/>
        </w:rPr>
        <w:t xml:space="preserve"> a fost </w:t>
      </w:r>
      <w:r w:rsidR="00261C73">
        <w:rPr>
          <w:rFonts w:asciiTheme="majorHAnsi" w:eastAsia="Times New Roman" w:hAnsiTheme="majorHAnsi" w:cstheme="majorHAnsi"/>
          <w:sz w:val="24"/>
          <w:szCs w:val="24"/>
          <w:lang w:val="ro-MD" w:eastAsia="ru-RU"/>
        </w:rPr>
        <w:t>cre</w:t>
      </w:r>
      <w:r w:rsidR="000B2038" w:rsidRPr="00363CFA">
        <w:rPr>
          <w:rFonts w:asciiTheme="majorHAnsi" w:eastAsia="Times New Roman" w:hAnsiTheme="majorHAnsi" w:cstheme="majorHAnsi"/>
          <w:sz w:val="24"/>
          <w:szCs w:val="24"/>
          <w:lang w:val="ro-MD" w:eastAsia="ru-RU"/>
        </w:rPr>
        <w:t>ată Comisia Electorală Centrală a Găgăuziei</w:t>
      </w:r>
      <w:r w:rsidR="00261C73">
        <w:rPr>
          <w:rFonts w:asciiTheme="majorHAnsi" w:eastAsia="Times New Roman" w:hAnsiTheme="majorHAnsi" w:cstheme="majorHAnsi"/>
          <w:sz w:val="24"/>
          <w:szCs w:val="24"/>
          <w:lang w:val="ro-MD" w:eastAsia="ru-RU"/>
        </w:rPr>
        <w:t>, compusă</w:t>
      </w:r>
      <w:r w:rsidR="000B2038" w:rsidRPr="00363CFA">
        <w:rPr>
          <w:rFonts w:asciiTheme="majorHAnsi" w:eastAsia="Times New Roman" w:hAnsiTheme="majorHAnsi" w:cstheme="majorHAnsi"/>
          <w:sz w:val="24"/>
          <w:szCs w:val="24"/>
          <w:lang w:val="ro-MD" w:eastAsia="ru-RU"/>
        </w:rPr>
        <w:t xml:space="preserve"> din 9 membri</w:t>
      </w:r>
      <w:r w:rsidR="00261C73">
        <w:rPr>
          <w:rFonts w:asciiTheme="majorHAnsi" w:eastAsia="Times New Roman" w:hAnsiTheme="majorHAnsi" w:cstheme="majorHAnsi"/>
          <w:sz w:val="24"/>
          <w:szCs w:val="24"/>
          <w:lang w:val="ro-MD" w:eastAsia="ru-RU"/>
        </w:rPr>
        <w:t>,</w:t>
      </w:r>
      <w:r w:rsidR="000B2038" w:rsidRPr="00363CFA">
        <w:rPr>
          <w:rFonts w:asciiTheme="majorHAnsi" w:eastAsia="Times New Roman" w:hAnsiTheme="majorHAnsi" w:cstheme="majorHAnsi"/>
          <w:sz w:val="24"/>
          <w:szCs w:val="24"/>
          <w:lang w:val="ro-MD" w:eastAsia="ru-RU"/>
        </w:rPr>
        <w:t xml:space="preserve"> </w:t>
      </w:r>
      <w:r w:rsidR="0069374B" w:rsidRPr="00363CFA">
        <w:rPr>
          <w:rFonts w:asciiTheme="majorHAnsi" w:eastAsia="Times New Roman" w:hAnsiTheme="majorHAnsi" w:cstheme="majorHAnsi"/>
          <w:sz w:val="24"/>
          <w:szCs w:val="24"/>
          <w:lang w:val="ro-MD" w:eastAsia="ru-RU"/>
        </w:rPr>
        <w:t>ș</w:t>
      </w:r>
      <w:r w:rsidR="000B2038" w:rsidRPr="00363CFA">
        <w:rPr>
          <w:rFonts w:asciiTheme="majorHAnsi" w:eastAsia="Times New Roman" w:hAnsiTheme="majorHAnsi" w:cstheme="majorHAnsi"/>
          <w:sz w:val="24"/>
          <w:szCs w:val="24"/>
          <w:lang w:val="ro-MD" w:eastAsia="ru-RU"/>
        </w:rPr>
        <w:t xml:space="preserve">i </w:t>
      </w:r>
      <w:r w:rsidR="00604A3A">
        <w:rPr>
          <w:rFonts w:asciiTheme="majorHAnsi" w:eastAsia="Times New Roman" w:hAnsiTheme="majorHAnsi" w:cstheme="majorHAnsi"/>
          <w:sz w:val="24"/>
          <w:szCs w:val="24"/>
          <w:lang w:val="ro-MD" w:eastAsia="ru-RU"/>
        </w:rPr>
        <w:t xml:space="preserve">s-a </w:t>
      </w:r>
      <w:r w:rsidR="000B2038" w:rsidRPr="00363CFA">
        <w:rPr>
          <w:rFonts w:asciiTheme="majorHAnsi" w:eastAsia="Times New Roman" w:hAnsiTheme="majorHAnsi" w:cstheme="majorHAnsi"/>
          <w:sz w:val="24"/>
          <w:szCs w:val="24"/>
          <w:lang w:val="ro-MD" w:eastAsia="ru-RU"/>
        </w:rPr>
        <w:t>aprobat componen</w:t>
      </w:r>
      <w:r w:rsidR="0069374B" w:rsidRPr="00363CFA">
        <w:rPr>
          <w:rFonts w:asciiTheme="majorHAnsi" w:eastAsia="Times New Roman" w:hAnsiTheme="majorHAnsi" w:cstheme="majorHAnsi"/>
          <w:sz w:val="24"/>
          <w:szCs w:val="24"/>
          <w:lang w:val="ro-MD" w:eastAsia="ru-RU"/>
        </w:rPr>
        <w:t>ț</w:t>
      </w:r>
      <w:r w:rsidR="000B2038" w:rsidRPr="00363CFA">
        <w:rPr>
          <w:rFonts w:asciiTheme="majorHAnsi" w:eastAsia="Times New Roman" w:hAnsiTheme="majorHAnsi" w:cstheme="majorHAnsi"/>
          <w:sz w:val="24"/>
          <w:szCs w:val="24"/>
          <w:lang w:val="ro-MD" w:eastAsia="ru-RU"/>
        </w:rPr>
        <w:t>a nominală a acesteia. Comisia Electorală Centrală a Găgăuziei, conform extrasului din Registrul de stat al unită</w:t>
      </w:r>
      <w:r w:rsidR="0069374B" w:rsidRPr="00363CFA">
        <w:rPr>
          <w:rFonts w:asciiTheme="majorHAnsi" w:eastAsia="Times New Roman" w:hAnsiTheme="majorHAnsi" w:cstheme="majorHAnsi"/>
          <w:sz w:val="24"/>
          <w:szCs w:val="24"/>
          <w:lang w:val="ro-MD" w:eastAsia="ru-RU"/>
        </w:rPr>
        <w:t>ț</w:t>
      </w:r>
      <w:r w:rsidR="000B2038" w:rsidRPr="00363CFA">
        <w:rPr>
          <w:rFonts w:asciiTheme="majorHAnsi" w:eastAsia="Times New Roman" w:hAnsiTheme="majorHAnsi" w:cstheme="majorHAnsi"/>
          <w:sz w:val="24"/>
          <w:szCs w:val="24"/>
          <w:lang w:val="ro-MD" w:eastAsia="ru-RU"/>
        </w:rPr>
        <w:t xml:space="preserve">ilor de drept, a fost înregistrată în Registrul de stat cu numărul de identificare 1016601000016. Potrivit prevederilor Codului </w:t>
      </w:r>
      <w:r>
        <w:rPr>
          <w:rFonts w:asciiTheme="majorHAnsi" w:eastAsia="Times New Roman" w:hAnsiTheme="majorHAnsi" w:cstheme="majorHAnsi"/>
          <w:sz w:val="24"/>
          <w:szCs w:val="24"/>
          <w:lang w:val="ro-MD" w:eastAsia="ru-RU"/>
        </w:rPr>
        <w:t>e</w:t>
      </w:r>
      <w:r w:rsidR="000B2038" w:rsidRPr="00363CFA">
        <w:rPr>
          <w:rFonts w:asciiTheme="majorHAnsi" w:eastAsia="Times New Roman" w:hAnsiTheme="majorHAnsi" w:cstheme="majorHAnsi"/>
          <w:sz w:val="24"/>
          <w:szCs w:val="24"/>
          <w:lang w:val="ro-MD" w:eastAsia="ru-RU"/>
        </w:rPr>
        <w:t>lectoral al Găgăuziei nr. 60-XXVII/V din 30.07.2015</w:t>
      </w:r>
      <w:r>
        <w:rPr>
          <w:rFonts w:asciiTheme="majorHAnsi" w:eastAsia="Times New Roman" w:hAnsiTheme="majorHAnsi" w:cstheme="majorHAnsi"/>
          <w:sz w:val="24"/>
          <w:szCs w:val="24"/>
          <w:lang w:val="ro-MD" w:eastAsia="ru-RU"/>
        </w:rPr>
        <w:t>,</w:t>
      </w:r>
      <w:r w:rsidR="000B2038" w:rsidRPr="00363CFA">
        <w:rPr>
          <w:rFonts w:asciiTheme="majorHAnsi" w:eastAsia="Times New Roman" w:hAnsiTheme="majorHAnsi" w:cstheme="majorHAnsi"/>
          <w:sz w:val="24"/>
          <w:szCs w:val="24"/>
          <w:lang w:val="ro-MD" w:eastAsia="ru-RU"/>
        </w:rPr>
        <w:t xml:space="preserve">  Comisia Electorală Centrală a Găgăuziei este organ oficial de stat, înfiin</w:t>
      </w:r>
      <w:r w:rsidR="0069374B" w:rsidRPr="00363CFA">
        <w:rPr>
          <w:rFonts w:asciiTheme="majorHAnsi" w:eastAsia="Times New Roman" w:hAnsiTheme="majorHAnsi" w:cstheme="majorHAnsi"/>
          <w:sz w:val="24"/>
          <w:szCs w:val="24"/>
          <w:lang w:val="ro-MD" w:eastAsia="ru-RU"/>
        </w:rPr>
        <w:t>ț</w:t>
      </w:r>
      <w:r w:rsidR="000B2038" w:rsidRPr="00363CFA">
        <w:rPr>
          <w:rFonts w:asciiTheme="majorHAnsi" w:eastAsia="Times New Roman" w:hAnsiTheme="majorHAnsi" w:cstheme="majorHAnsi"/>
          <w:sz w:val="24"/>
          <w:szCs w:val="24"/>
          <w:lang w:val="ro-MD" w:eastAsia="ru-RU"/>
        </w:rPr>
        <w:t>at de către Adunarea Populară</w:t>
      </w:r>
      <w:r>
        <w:rPr>
          <w:rFonts w:asciiTheme="majorHAnsi" w:eastAsia="Times New Roman" w:hAnsiTheme="majorHAnsi" w:cstheme="majorHAnsi"/>
          <w:sz w:val="24"/>
          <w:szCs w:val="24"/>
          <w:lang w:val="ro-MD" w:eastAsia="ru-RU"/>
        </w:rPr>
        <w:t>,</w:t>
      </w:r>
      <w:r w:rsidR="000B2038" w:rsidRPr="00363CFA">
        <w:rPr>
          <w:rFonts w:asciiTheme="majorHAnsi" w:eastAsia="Times New Roman" w:hAnsiTheme="majorHAnsi" w:cstheme="majorHAnsi"/>
          <w:sz w:val="24"/>
          <w:szCs w:val="24"/>
          <w:lang w:val="ro-MD" w:eastAsia="ru-RU"/>
        </w:rPr>
        <w:t xml:space="preserve"> pentru realizarea politicii electorale, în scopul organizării </w:t>
      </w:r>
      <w:r w:rsidR="0069374B" w:rsidRPr="00363CFA">
        <w:rPr>
          <w:rFonts w:asciiTheme="majorHAnsi" w:eastAsia="Times New Roman" w:hAnsiTheme="majorHAnsi" w:cstheme="majorHAnsi"/>
          <w:sz w:val="24"/>
          <w:szCs w:val="24"/>
          <w:lang w:val="ro-MD" w:eastAsia="ru-RU"/>
        </w:rPr>
        <w:t>ș</w:t>
      </w:r>
      <w:r w:rsidR="000B2038" w:rsidRPr="00363CFA">
        <w:rPr>
          <w:rFonts w:asciiTheme="majorHAnsi" w:eastAsia="Times New Roman" w:hAnsiTheme="majorHAnsi" w:cstheme="majorHAnsi"/>
          <w:sz w:val="24"/>
          <w:szCs w:val="24"/>
          <w:lang w:val="ro-MD" w:eastAsia="ru-RU"/>
        </w:rPr>
        <w:t>i desfă</w:t>
      </w:r>
      <w:r w:rsidR="0069374B" w:rsidRPr="00363CFA">
        <w:rPr>
          <w:rFonts w:asciiTheme="majorHAnsi" w:eastAsia="Times New Roman" w:hAnsiTheme="majorHAnsi" w:cstheme="majorHAnsi"/>
          <w:sz w:val="24"/>
          <w:szCs w:val="24"/>
          <w:lang w:val="ro-MD" w:eastAsia="ru-RU"/>
        </w:rPr>
        <w:t>ș</w:t>
      </w:r>
      <w:r w:rsidR="000B2038" w:rsidRPr="00363CFA">
        <w:rPr>
          <w:rFonts w:asciiTheme="majorHAnsi" w:eastAsia="Times New Roman" w:hAnsiTheme="majorHAnsi" w:cstheme="majorHAnsi"/>
          <w:sz w:val="24"/>
          <w:szCs w:val="24"/>
          <w:lang w:val="ro-MD" w:eastAsia="ru-RU"/>
        </w:rPr>
        <w:t xml:space="preserve">urării alegerilor </w:t>
      </w:r>
      <w:r w:rsidR="0069374B" w:rsidRPr="00363CFA">
        <w:rPr>
          <w:rFonts w:asciiTheme="majorHAnsi" w:eastAsia="Times New Roman" w:hAnsiTheme="majorHAnsi" w:cstheme="majorHAnsi"/>
          <w:sz w:val="24"/>
          <w:szCs w:val="24"/>
          <w:lang w:val="ro-MD" w:eastAsia="ru-RU"/>
        </w:rPr>
        <w:t>ș</w:t>
      </w:r>
      <w:r w:rsidR="000B2038" w:rsidRPr="00363CFA">
        <w:rPr>
          <w:rFonts w:asciiTheme="majorHAnsi" w:eastAsia="Times New Roman" w:hAnsiTheme="majorHAnsi" w:cstheme="majorHAnsi"/>
          <w:sz w:val="24"/>
          <w:szCs w:val="24"/>
          <w:lang w:val="ro-MD" w:eastAsia="ru-RU"/>
        </w:rPr>
        <w:t xml:space="preserve">i referendumurilor pe teritoriul Găgăuziei, în conformitate cu prevederile acestui </w:t>
      </w:r>
      <w:r>
        <w:rPr>
          <w:rFonts w:asciiTheme="majorHAnsi" w:eastAsia="Times New Roman" w:hAnsiTheme="majorHAnsi" w:cstheme="majorHAnsi"/>
          <w:sz w:val="24"/>
          <w:szCs w:val="24"/>
          <w:lang w:val="ro-MD" w:eastAsia="ru-RU"/>
        </w:rPr>
        <w:t>C</w:t>
      </w:r>
      <w:r w:rsidR="000B2038" w:rsidRPr="00363CFA">
        <w:rPr>
          <w:rFonts w:asciiTheme="majorHAnsi" w:eastAsia="Times New Roman" w:hAnsiTheme="majorHAnsi" w:cstheme="majorHAnsi"/>
          <w:sz w:val="24"/>
          <w:szCs w:val="24"/>
          <w:lang w:val="ro-MD" w:eastAsia="ru-RU"/>
        </w:rPr>
        <w:t>od. Comisia Electorală Centrală este organul de stat permanent al UTA Găgăuzia, persoană juridică</w:t>
      </w:r>
      <w:r>
        <w:rPr>
          <w:rFonts w:asciiTheme="majorHAnsi" w:eastAsia="Times New Roman" w:hAnsiTheme="majorHAnsi" w:cstheme="majorHAnsi"/>
          <w:sz w:val="24"/>
          <w:szCs w:val="24"/>
          <w:lang w:val="ro-MD" w:eastAsia="ru-RU"/>
        </w:rPr>
        <w:t>,</w:t>
      </w:r>
      <w:r w:rsidR="000B2038" w:rsidRPr="00363CFA">
        <w:rPr>
          <w:rFonts w:asciiTheme="majorHAnsi" w:eastAsia="Times New Roman" w:hAnsiTheme="majorHAnsi" w:cstheme="majorHAnsi"/>
          <w:sz w:val="24"/>
          <w:szCs w:val="24"/>
          <w:lang w:val="ro-MD" w:eastAsia="ru-RU"/>
        </w:rPr>
        <w:t xml:space="preserve"> care dispune de buget propriu, cont bancar </w:t>
      </w:r>
      <w:r w:rsidR="0069374B" w:rsidRPr="00363CFA">
        <w:rPr>
          <w:rFonts w:asciiTheme="majorHAnsi" w:eastAsia="Times New Roman" w:hAnsiTheme="majorHAnsi" w:cstheme="majorHAnsi"/>
          <w:sz w:val="24"/>
          <w:szCs w:val="24"/>
          <w:lang w:val="ro-MD" w:eastAsia="ru-RU"/>
        </w:rPr>
        <w:t>ș</w:t>
      </w:r>
      <w:r w:rsidR="000B2038" w:rsidRPr="00363CFA">
        <w:rPr>
          <w:rFonts w:asciiTheme="majorHAnsi" w:eastAsia="Times New Roman" w:hAnsiTheme="majorHAnsi" w:cstheme="majorHAnsi"/>
          <w:sz w:val="24"/>
          <w:szCs w:val="24"/>
          <w:lang w:val="ro-MD" w:eastAsia="ru-RU"/>
        </w:rPr>
        <w:t xml:space="preserve">i </w:t>
      </w:r>
      <w:r w:rsidR="0069374B" w:rsidRPr="00363CFA">
        <w:rPr>
          <w:rFonts w:asciiTheme="majorHAnsi" w:eastAsia="Times New Roman" w:hAnsiTheme="majorHAnsi" w:cstheme="majorHAnsi"/>
          <w:sz w:val="24"/>
          <w:szCs w:val="24"/>
          <w:lang w:val="ro-MD" w:eastAsia="ru-RU"/>
        </w:rPr>
        <w:t>ș</w:t>
      </w:r>
      <w:r w:rsidR="000B2038" w:rsidRPr="00363CFA">
        <w:rPr>
          <w:rFonts w:asciiTheme="majorHAnsi" w:eastAsia="Times New Roman" w:hAnsiTheme="majorHAnsi" w:cstheme="majorHAnsi"/>
          <w:sz w:val="24"/>
          <w:szCs w:val="24"/>
          <w:lang w:val="ro-MD" w:eastAsia="ru-RU"/>
        </w:rPr>
        <w:t>tampilă cu simbolica Găgăuziei. Faptul că actele normati</w:t>
      </w:r>
      <w:r w:rsidR="00C97336" w:rsidRPr="00363CFA">
        <w:rPr>
          <w:rFonts w:asciiTheme="majorHAnsi" w:eastAsia="Times New Roman" w:hAnsiTheme="majorHAnsi" w:cstheme="majorHAnsi"/>
          <w:sz w:val="24"/>
          <w:szCs w:val="24"/>
          <w:lang w:val="ro-MD" w:eastAsia="ru-RU"/>
        </w:rPr>
        <w:t xml:space="preserve">ve </w:t>
      </w:r>
      <w:r w:rsidRPr="00363CFA">
        <w:rPr>
          <w:rFonts w:asciiTheme="majorHAnsi" w:eastAsia="Times New Roman" w:hAnsiTheme="majorHAnsi" w:cstheme="majorHAnsi"/>
          <w:sz w:val="24"/>
          <w:szCs w:val="24"/>
          <w:lang w:val="ro-MD" w:eastAsia="ru-RU"/>
        </w:rPr>
        <w:t xml:space="preserve">în vigoare </w:t>
      </w:r>
      <w:r w:rsidR="00C97336" w:rsidRPr="00363CFA">
        <w:rPr>
          <w:rFonts w:asciiTheme="majorHAnsi" w:eastAsia="Times New Roman" w:hAnsiTheme="majorHAnsi" w:cstheme="majorHAnsi"/>
          <w:sz w:val="24"/>
          <w:szCs w:val="24"/>
          <w:lang w:val="ro-MD" w:eastAsia="ru-RU"/>
        </w:rPr>
        <w:t>ale R</w:t>
      </w:r>
      <w:r>
        <w:rPr>
          <w:rFonts w:asciiTheme="majorHAnsi" w:eastAsia="Times New Roman" w:hAnsiTheme="majorHAnsi" w:cstheme="majorHAnsi"/>
          <w:sz w:val="24"/>
          <w:szCs w:val="24"/>
          <w:lang w:val="ro-MD" w:eastAsia="ru-RU"/>
        </w:rPr>
        <w:t xml:space="preserve">epublicii </w:t>
      </w:r>
      <w:r w:rsidR="00C97336" w:rsidRPr="00363CFA">
        <w:rPr>
          <w:rFonts w:asciiTheme="majorHAnsi" w:eastAsia="Times New Roman" w:hAnsiTheme="majorHAnsi" w:cstheme="majorHAnsi"/>
          <w:sz w:val="24"/>
          <w:szCs w:val="24"/>
          <w:lang w:val="ro-MD" w:eastAsia="ru-RU"/>
        </w:rPr>
        <w:t>M</w:t>
      </w:r>
      <w:r>
        <w:rPr>
          <w:rFonts w:asciiTheme="majorHAnsi" w:eastAsia="Times New Roman" w:hAnsiTheme="majorHAnsi" w:cstheme="majorHAnsi"/>
          <w:sz w:val="24"/>
          <w:szCs w:val="24"/>
          <w:lang w:val="ro-MD" w:eastAsia="ru-RU"/>
        </w:rPr>
        <w:t xml:space="preserve">oldova </w:t>
      </w:r>
      <w:r w:rsidR="00C97336" w:rsidRPr="00363CFA">
        <w:rPr>
          <w:rFonts w:asciiTheme="majorHAnsi" w:eastAsia="Times New Roman" w:hAnsiTheme="majorHAnsi" w:cstheme="majorHAnsi"/>
          <w:sz w:val="24"/>
          <w:szCs w:val="24"/>
          <w:lang w:val="ro-MD" w:eastAsia="ru-RU"/>
        </w:rPr>
        <w:t>nu prevăd C</w:t>
      </w:r>
      <w:r w:rsidR="000B2038" w:rsidRPr="00363CFA">
        <w:rPr>
          <w:rFonts w:asciiTheme="majorHAnsi" w:eastAsia="Times New Roman" w:hAnsiTheme="majorHAnsi" w:cstheme="majorHAnsi"/>
          <w:sz w:val="24"/>
          <w:szCs w:val="24"/>
          <w:lang w:val="ro-MD" w:eastAsia="ru-RU"/>
        </w:rPr>
        <w:t>omisie Electorală Centrală pentru UTA Găgăuzia generează cheltuieli neregulamentare pentru remunerarea muncii angaja</w:t>
      </w:r>
      <w:r w:rsidR="0069374B" w:rsidRPr="00363CFA">
        <w:rPr>
          <w:rFonts w:asciiTheme="majorHAnsi" w:eastAsia="Times New Roman" w:hAnsiTheme="majorHAnsi" w:cstheme="majorHAnsi"/>
          <w:sz w:val="24"/>
          <w:szCs w:val="24"/>
          <w:lang w:val="ro-MD" w:eastAsia="ru-RU"/>
        </w:rPr>
        <w:t>ț</w:t>
      </w:r>
      <w:r w:rsidR="000B2038" w:rsidRPr="00363CFA">
        <w:rPr>
          <w:rFonts w:asciiTheme="majorHAnsi" w:eastAsia="Times New Roman" w:hAnsiTheme="majorHAnsi" w:cstheme="majorHAnsi"/>
          <w:sz w:val="24"/>
          <w:szCs w:val="24"/>
          <w:lang w:val="ro-MD" w:eastAsia="ru-RU"/>
        </w:rPr>
        <w:t>ilor acestei instit</w:t>
      </w:r>
      <w:r w:rsidR="00C97336" w:rsidRPr="00363CFA">
        <w:rPr>
          <w:rFonts w:asciiTheme="majorHAnsi" w:eastAsia="Times New Roman" w:hAnsiTheme="majorHAnsi" w:cstheme="majorHAnsi"/>
          <w:sz w:val="24"/>
          <w:szCs w:val="24"/>
          <w:lang w:val="ro-MD" w:eastAsia="ru-RU"/>
        </w:rPr>
        <w:t>u</w:t>
      </w:r>
      <w:r w:rsidR="0069374B" w:rsidRPr="00363CFA">
        <w:rPr>
          <w:rFonts w:asciiTheme="majorHAnsi" w:eastAsia="Times New Roman" w:hAnsiTheme="majorHAnsi" w:cstheme="majorHAnsi"/>
          <w:sz w:val="24"/>
          <w:szCs w:val="24"/>
          <w:lang w:val="ro-MD" w:eastAsia="ru-RU"/>
        </w:rPr>
        <w:t>ț</w:t>
      </w:r>
      <w:r w:rsidR="00C97336" w:rsidRPr="00363CFA">
        <w:rPr>
          <w:rFonts w:asciiTheme="majorHAnsi" w:eastAsia="Times New Roman" w:hAnsiTheme="majorHAnsi" w:cstheme="majorHAnsi"/>
          <w:sz w:val="24"/>
          <w:szCs w:val="24"/>
          <w:lang w:val="ro-MD" w:eastAsia="ru-RU"/>
        </w:rPr>
        <w:t xml:space="preserve">ii, care în perioada </w:t>
      </w:r>
      <w:r>
        <w:rPr>
          <w:rFonts w:asciiTheme="majorHAnsi" w:eastAsia="Times New Roman" w:hAnsiTheme="majorHAnsi" w:cstheme="majorHAnsi"/>
          <w:sz w:val="24"/>
          <w:szCs w:val="24"/>
          <w:lang w:val="ro-MD" w:eastAsia="ru-RU"/>
        </w:rPr>
        <w:t xml:space="preserve">anilor </w:t>
      </w:r>
      <w:r w:rsidR="00C97336" w:rsidRPr="00363CFA">
        <w:rPr>
          <w:rFonts w:asciiTheme="majorHAnsi" w:eastAsia="Times New Roman" w:hAnsiTheme="majorHAnsi" w:cstheme="majorHAnsi"/>
          <w:sz w:val="24"/>
          <w:szCs w:val="24"/>
          <w:lang w:val="ro-MD" w:eastAsia="ru-RU"/>
        </w:rPr>
        <w:t>2018</w:t>
      </w:r>
      <w:r w:rsidR="000B2038" w:rsidRPr="00363CFA">
        <w:rPr>
          <w:rFonts w:asciiTheme="majorHAnsi" w:eastAsia="Times New Roman" w:hAnsiTheme="majorHAnsi" w:cstheme="majorHAnsi"/>
          <w:sz w:val="24"/>
          <w:szCs w:val="24"/>
          <w:lang w:val="ro-MD" w:eastAsia="ru-RU"/>
        </w:rPr>
        <w:t xml:space="preserve"> - 2020</w:t>
      </w:r>
      <w:r w:rsidR="00C97336" w:rsidRPr="00363CFA">
        <w:rPr>
          <w:rFonts w:asciiTheme="majorHAnsi" w:eastAsia="Times New Roman" w:hAnsiTheme="majorHAnsi" w:cstheme="majorHAnsi"/>
          <w:sz w:val="24"/>
          <w:szCs w:val="24"/>
          <w:lang w:val="ro-MD" w:eastAsia="ru-RU"/>
        </w:rPr>
        <w:t xml:space="preserve"> au constituit </w:t>
      </w:r>
      <w:r w:rsidR="00C97336" w:rsidRPr="00363CFA">
        <w:rPr>
          <w:rFonts w:asciiTheme="majorHAnsi" w:eastAsia="Times New Roman" w:hAnsiTheme="majorHAnsi" w:cstheme="majorHAnsi"/>
          <w:b/>
          <w:sz w:val="24"/>
          <w:szCs w:val="24"/>
          <w:lang w:val="ro-MD" w:eastAsia="ru-RU"/>
        </w:rPr>
        <w:t>1</w:t>
      </w:r>
      <w:r w:rsidR="008F7042" w:rsidRPr="00363CFA">
        <w:rPr>
          <w:rFonts w:asciiTheme="majorHAnsi" w:eastAsia="Times New Roman" w:hAnsiTheme="majorHAnsi" w:cstheme="majorHAnsi"/>
          <w:b/>
          <w:sz w:val="24"/>
          <w:szCs w:val="24"/>
          <w:lang w:val="ro-MD" w:eastAsia="ru-RU"/>
        </w:rPr>
        <w:t>410,2</w:t>
      </w:r>
      <w:r w:rsidR="000B2038" w:rsidRPr="00363CFA">
        <w:rPr>
          <w:rFonts w:asciiTheme="majorHAnsi" w:eastAsia="Times New Roman" w:hAnsiTheme="majorHAnsi" w:cstheme="majorHAnsi"/>
          <w:b/>
          <w:sz w:val="24"/>
          <w:szCs w:val="24"/>
          <w:lang w:val="ro-MD" w:eastAsia="ru-RU"/>
        </w:rPr>
        <w:t xml:space="preserve"> mii lei</w:t>
      </w:r>
      <w:r w:rsidR="00C97336" w:rsidRPr="00BC3271">
        <w:rPr>
          <w:rStyle w:val="FootnoteReference"/>
          <w:rFonts w:asciiTheme="majorHAnsi" w:eastAsia="Times New Roman" w:hAnsiTheme="majorHAnsi" w:cstheme="majorHAnsi"/>
          <w:sz w:val="24"/>
          <w:szCs w:val="24"/>
          <w:lang w:val="ro-MD" w:eastAsia="ru-RU"/>
        </w:rPr>
        <w:footnoteReference w:id="61"/>
      </w:r>
      <w:r w:rsidR="000B2038" w:rsidRPr="002C0468">
        <w:rPr>
          <w:rFonts w:asciiTheme="majorHAnsi" w:eastAsia="Times New Roman" w:hAnsiTheme="majorHAnsi" w:cstheme="majorHAnsi"/>
          <w:sz w:val="24"/>
          <w:szCs w:val="24"/>
          <w:lang w:val="ro-MD" w:eastAsia="ru-RU"/>
        </w:rPr>
        <w:t xml:space="preserve"> </w:t>
      </w:r>
      <w:r w:rsidR="000B2038" w:rsidRPr="00363CFA">
        <w:rPr>
          <w:rFonts w:asciiTheme="majorHAnsi" w:eastAsia="Times New Roman" w:hAnsiTheme="majorHAnsi" w:cstheme="majorHAnsi"/>
          <w:sz w:val="24"/>
          <w:szCs w:val="24"/>
          <w:lang w:val="ro-MD" w:eastAsia="ru-RU"/>
        </w:rPr>
        <w:t>(inclusiv contribu</w:t>
      </w:r>
      <w:r w:rsidR="0069374B" w:rsidRPr="00363CFA">
        <w:rPr>
          <w:rFonts w:asciiTheme="majorHAnsi" w:eastAsia="Times New Roman" w:hAnsiTheme="majorHAnsi" w:cstheme="majorHAnsi"/>
          <w:sz w:val="24"/>
          <w:szCs w:val="24"/>
          <w:lang w:val="ro-MD" w:eastAsia="ru-RU"/>
        </w:rPr>
        <w:t>ț</w:t>
      </w:r>
      <w:r w:rsidR="000B2038" w:rsidRPr="00363CFA">
        <w:rPr>
          <w:rFonts w:asciiTheme="majorHAnsi" w:eastAsia="Times New Roman" w:hAnsiTheme="majorHAnsi" w:cstheme="majorHAnsi"/>
          <w:sz w:val="24"/>
          <w:szCs w:val="24"/>
          <w:lang w:val="ro-MD" w:eastAsia="ru-RU"/>
        </w:rPr>
        <w:t>ii obligatorii</w:t>
      </w:r>
      <w:r w:rsidR="00C97336" w:rsidRPr="00363CFA">
        <w:rPr>
          <w:rFonts w:asciiTheme="majorHAnsi" w:eastAsia="Times New Roman" w:hAnsiTheme="majorHAnsi" w:cstheme="majorHAnsi"/>
          <w:sz w:val="24"/>
          <w:szCs w:val="24"/>
          <w:lang w:val="ro-MD" w:eastAsia="ru-RU"/>
        </w:rPr>
        <w:t xml:space="preserve"> – 368,6</w:t>
      </w:r>
      <w:r>
        <w:rPr>
          <w:rFonts w:asciiTheme="majorHAnsi" w:eastAsia="Times New Roman" w:hAnsiTheme="majorHAnsi" w:cstheme="majorHAnsi"/>
          <w:sz w:val="24"/>
          <w:szCs w:val="24"/>
          <w:lang w:val="ro-MD" w:eastAsia="ru-RU"/>
        </w:rPr>
        <w:t xml:space="preserve"> mii lei</w:t>
      </w:r>
      <w:r w:rsidR="000B2038" w:rsidRPr="00363CFA">
        <w:rPr>
          <w:rFonts w:asciiTheme="majorHAnsi" w:eastAsia="Times New Roman" w:hAnsiTheme="majorHAnsi" w:cstheme="majorHAnsi"/>
          <w:sz w:val="24"/>
          <w:szCs w:val="24"/>
          <w:lang w:val="ro-MD" w:eastAsia="ru-RU"/>
        </w:rPr>
        <w:t>)</w:t>
      </w:r>
      <w:r w:rsidR="00C97336" w:rsidRPr="00363CFA">
        <w:rPr>
          <w:rFonts w:asciiTheme="majorHAnsi" w:eastAsia="Times New Roman" w:hAnsiTheme="majorHAnsi" w:cstheme="majorHAnsi"/>
          <w:sz w:val="24"/>
          <w:szCs w:val="24"/>
          <w:lang w:val="ro-MD" w:eastAsia="ru-RU"/>
        </w:rPr>
        <w:t>.</w:t>
      </w:r>
      <w:r w:rsidR="000B2038" w:rsidRPr="00363CFA">
        <w:rPr>
          <w:rFonts w:asciiTheme="majorHAnsi" w:eastAsia="Times New Roman" w:hAnsiTheme="majorHAnsi" w:cstheme="majorHAnsi"/>
          <w:sz w:val="24"/>
          <w:szCs w:val="24"/>
          <w:lang w:val="ro-MD" w:eastAsia="ru-RU"/>
        </w:rPr>
        <w:t xml:space="preserve">  </w:t>
      </w:r>
    </w:p>
    <w:p w14:paraId="5387F4DC" w14:textId="0010A95C" w:rsidR="00892FF5" w:rsidRPr="00363CFA" w:rsidRDefault="00C97336" w:rsidP="00767ED8">
      <w:pPr>
        <w:pStyle w:val="ListParagraph"/>
        <w:numPr>
          <w:ilvl w:val="0"/>
          <w:numId w:val="9"/>
        </w:numPr>
        <w:spacing w:after="0" w:line="276" w:lineRule="auto"/>
        <w:ind w:left="0" w:firstLine="426"/>
        <w:jc w:val="both"/>
        <w:rPr>
          <w:rFonts w:asciiTheme="majorHAnsi" w:eastAsia="Times New Roman" w:hAnsiTheme="majorHAnsi" w:cstheme="majorHAnsi"/>
          <w:sz w:val="24"/>
          <w:szCs w:val="24"/>
          <w:lang w:val="ro-MD" w:eastAsia="ru-RU"/>
        </w:rPr>
      </w:pPr>
      <w:r w:rsidRPr="00363CFA">
        <w:rPr>
          <w:rFonts w:asciiTheme="majorHAnsi" w:eastAsia="Times New Roman" w:hAnsiTheme="majorHAnsi" w:cstheme="majorHAnsi"/>
          <w:sz w:val="24"/>
          <w:szCs w:val="24"/>
          <w:lang w:val="ro-MD" w:eastAsia="ru-RU"/>
        </w:rPr>
        <w:t>Cadrul normativ al R</w:t>
      </w:r>
      <w:r w:rsidR="00604A3A">
        <w:rPr>
          <w:rFonts w:asciiTheme="majorHAnsi" w:eastAsia="Times New Roman" w:hAnsiTheme="majorHAnsi" w:cstheme="majorHAnsi"/>
          <w:sz w:val="24"/>
          <w:szCs w:val="24"/>
          <w:lang w:val="ro-MD" w:eastAsia="ru-RU"/>
        </w:rPr>
        <w:t xml:space="preserve">epublicii </w:t>
      </w:r>
      <w:r w:rsidRPr="00363CFA">
        <w:rPr>
          <w:rFonts w:asciiTheme="majorHAnsi" w:eastAsia="Times New Roman" w:hAnsiTheme="majorHAnsi" w:cstheme="majorHAnsi"/>
          <w:sz w:val="24"/>
          <w:szCs w:val="24"/>
          <w:lang w:val="ro-MD" w:eastAsia="ru-RU"/>
        </w:rPr>
        <w:t>M</w:t>
      </w:r>
      <w:r w:rsidR="00604A3A">
        <w:rPr>
          <w:rFonts w:asciiTheme="majorHAnsi" w:eastAsia="Times New Roman" w:hAnsiTheme="majorHAnsi" w:cstheme="majorHAnsi"/>
          <w:sz w:val="24"/>
          <w:szCs w:val="24"/>
          <w:lang w:val="ro-MD" w:eastAsia="ru-RU"/>
        </w:rPr>
        <w:t>oldova</w:t>
      </w:r>
      <w:r w:rsidR="00881022" w:rsidRPr="00363CFA">
        <w:rPr>
          <w:rStyle w:val="FootnoteReference"/>
          <w:rFonts w:asciiTheme="majorHAnsi" w:eastAsia="Times New Roman" w:hAnsiTheme="majorHAnsi" w:cstheme="majorHAnsi"/>
          <w:sz w:val="24"/>
          <w:szCs w:val="24"/>
          <w:lang w:val="ro-MD" w:eastAsia="ru-RU"/>
        </w:rPr>
        <w:footnoteReference w:id="62"/>
      </w:r>
      <w:r w:rsidRPr="00363CFA">
        <w:rPr>
          <w:rFonts w:asciiTheme="majorHAnsi" w:eastAsia="Times New Roman" w:hAnsiTheme="majorHAnsi" w:cstheme="majorHAnsi"/>
          <w:sz w:val="24"/>
          <w:szCs w:val="24"/>
          <w:lang w:val="ro-MD" w:eastAsia="ru-RU"/>
        </w:rPr>
        <w:t xml:space="preserve"> nu prevede pentru UTA Găgăuzia </w:t>
      </w:r>
      <w:r w:rsidR="00881022" w:rsidRPr="00363CFA">
        <w:rPr>
          <w:rFonts w:asciiTheme="majorHAnsi" w:eastAsia="Times New Roman" w:hAnsiTheme="majorHAnsi" w:cstheme="majorHAnsi"/>
          <w:sz w:val="24"/>
          <w:szCs w:val="24"/>
          <w:lang w:val="ro-MD" w:eastAsia="ru-RU"/>
        </w:rPr>
        <w:t>divizarea în raioane</w:t>
      </w:r>
      <w:r w:rsidR="00881022" w:rsidRPr="003C2D6D">
        <w:rPr>
          <w:rFonts w:asciiTheme="majorHAnsi" w:eastAsia="Times New Roman" w:hAnsiTheme="majorHAnsi" w:cstheme="majorHAnsi"/>
          <w:sz w:val="24"/>
          <w:szCs w:val="24"/>
          <w:lang w:val="ro-MD" w:eastAsia="ru-RU"/>
        </w:rPr>
        <w:t>. Autoritat</w:t>
      </w:r>
      <w:r w:rsidR="00A87C8B" w:rsidRPr="00BC3271">
        <w:rPr>
          <w:rFonts w:asciiTheme="majorHAnsi" w:eastAsia="Times New Roman" w:hAnsiTheme="majorHAnsi" w:cstheme="majorHAnsi"/>
          <w:sz w:val="24"/>
          <w:szCs w:val="24"/>
          <w:lang w:val="ro-MD" w:eastAsia="ru-RU"/>
        </w:rPr>
        <w:t>ățile</w:t>
      </w:r>
      <w:r w:rsidR="00881022" w:rsidRPr="003C2D6D">
        <w:rPr>
          <w:rFonts w:asciiTheme="majorHAnsi" w:eastAsia="Times New Roman" w:hAnsiTheme="majorHAnsi" w:cstheme="majorHAnsi"/>
          <w:sz w:val="24"/>
          <w:szCs w:val="24"/>
          <w:lang w:val="ro-MD" w:eastAsia="ru-RU"/>
        </w:rPr>
        <w:t xml:space="preserve"> deliberativă </w:t>
      </w:r>
      <w:r w:rsidR="0069374B" w:rsidRPr="00A87C8B">
        <w:rPr>
          <w:rFonts w:asciiTheme="majorHAnsi" w:eastAsia="Times New Roman" w:hAnsiTheme="majorHAnsi" w:cstheme="majorHAnsi"/>
          <w:sz w:val="24"/>
          <w:szCs w:val="24"/>
          <w:lang w:val="ro-MD" w:eastAsia="ru-RU"/>
        </w:rPr>
        <w:t>ș</w:t>
      </w:r>
      <w:r w:rsidR="00881022" w:rsidRPr="00A87C8B">
        <w:rPr>
          <w:rFonts w:asciiTheme="majorHAnsi" w:eastAsia="Times New Roman" w:hAnsiTheme="majorHAnsi" w:cstheme="majorHAnsi"/>
          <w:sz w:val="24"/>
          <w:szCs w:val="24"/>
          <w:lang w:val="ro-MD" w:eastAsia="ru-RU"/>
        </w:rPr>
        <w:t>i executivă a</w:t>
      </w:r>
      <w:r w:rsidR="00A87C8B" w:rsidRPr="00BC3271">
        <w:rPr>
          <w:rFonts w:asciiTheme="majorHAnsi" w:eastAsia="Times New Roman" w:hAnsiTheme="majorHAnsi" w:cstheme="majorHAnsi"/>
          <w:sz w:val="24"/>
          <w:szCs w:val="24"/>
          <w:lang w:val="ro-MD" w:eastAsia="ru-RU"/>
        </w:rPr>
        <w:t>le</w:t>
      </w:r>
      <w:r w:rsidR="00881022" w:rsidRPr="003C2D6D">
        <w:rPr>
          <w:rFonts w:asciiTheme="majorHAnsi" w:eastAsia="Times New Roman" w:hAnsiTheme="majorHAnsi" w:cstheme="majorHAnsi"/>
          <w:sz w:val="24"/>
          <w:szCs w:val="24"/>
          <w:lang w:val="ro-MD" w:eastAsia="ru-RU"/>
        </w:rPr>
        <w:t xml:space="preserve"> UTA Găgăuzia</w:t>
      </w:r>
      <w:r w:rsidR="00881022" w:rsidRPr="00363CFA">
        <w:rPr>
          <w:rFonts w:asciiTheme="majorHAnsi" w:eastAsia="Times New Roman" w:hAnsiTheme="majorHAnsi" w:cstheme="majorHAnsi"/>
          <w:sz w:val="24"/>
          <w:szCs w:val="24"/>
          <w:lang w:val="ro-MD" w:eastAsia="ru-RU"/>
        </w:rPr>
        <w:t xml:space="preserve"> a</w:t>
      </w:r>
      <w:r w:rsidR="00A87C8B">
        <w:rPr>
          <w:rFonts w:asciiTheme="majorHAnsi" w:eastAsia="Times New Roman" w:hAnsiTheme="majorHAnsi" w:cstheme="majorHAnsi"/>
          <w:sz w:val="24"/>
          <w:szCs w:val="24"/>
          <w:lang w:val="ro-MD" w:eastAsia="ru-RU"/>
        </w:rPr>
        <w:t>u</w:t>
      </w:r>
      <w:r w:rsidR="00881022" w:rsidRPr="00363CFA">
        <w:rPr>
          <w:rFonts w:asciiTheme="majorHAnsi" w:eastAsia="Times New Roman" w:hAnsiTheme="majorHAnsi" w:cstheme="majorHAnsi"/>
          <w:sz w:val="24"/>
          <w:szCs w:val="24"/>
          <w:lang w:val="ro-MD" w:eastAsia="ru-RU"/>
        </w:rPr>
        <w:t xml:space="preserve"> creat 3 institu</w:t>
      </w:r>
      <w:r w:rsidR="0069374B" w:rsidRPr="00363CFA">
        <w:rPr>
          <w:rFonts w:asciiTheme="majorHAnsi" w:eastAsia="Times New Roman" w:hAnsiTheme="majorHAnsi" w:cstheme="majorHAnsi"/>
          <w:sz w:val="24"/>
          <w:szCs w:val="24"/>
          <w:lang w:val="ro-MD" w:eastAsia="ru-RU"/>
        </w:rPr>
        <w:t>ț</w:t>
      </w:r>
      <w:r w:rsidR="00881022" w:rsidRPr="00363CFA">
        <w:rPr>
          <w:rFonts w:asciiTheme="majorHAnsi" w:eastAsia="Times New Roman" w:hAnsiTheme="majorHAnsi" w:cstheme="majorHAnsi"/>
          <w:sz w:val="24"/>
          <w:szCs w:val="24"/>
          <w:lang w:val="ro-MD" w:eastAsia="ru-RU"/>
        </w:rPr>
        <w:t xml:space="preserve">ii cu denumirea de </w:t>
      </w:r>
      <w:r w:rsidR="00881022" w:rsidRPr="00363CFA">
        <w:rPr>
          <w:rFonts w:asciiTheme="majorHAnsi" w:eastAsia="Times New Roman" w:hAnsiTheme="majorHAnsi" w:cstheme="majorHAnsi"/>
          <w:i/>
          <w:sz w:val="24"/>
          <w:szCs w:val="24"/>
          <w:lang w:val="ro-MD" w:eastAsia="ru-RU"/>
        </w:rPr>
        <w:t>„Administra</w:t>
      </w:r>
      <w:r w:rsidR="0069374B" w:rsidRPr="00363CFA">
        <w:rPr>
          <w:rFonts w:asciiTheme="majorHAnsi" w:eastAsia="Times New Roman" w:hAnsiTheme="majorHAnsi" w:cstheme="majorHAnsi"/>
          <w:i/>
          <w:sz w:val="24"/>
          <w:szCs w:val="24"/>
          <w:lang w:val="ro-MD" w:eastAsia="ru-RU"/>
        </w:rPr>
        <w:t>ț</w:t>
      </w:r>
      <w:r w:rsidR="00881022" w:rsidRPr="00363CFA">
        <w:rPr>
          <w:rFonts w:asciiTheme="majorHAnsi" w:eastAsia="Times New Roman" w:hAnsiTheme="majorHAnsi" w:cstheme="majorHAnsi"/>
          <w:i/>
          <w:sz w:val="24"/>
          <w:szCs w:val="24"/>
          <w:lang w:val="ro-MD" w:eastAsia="ru-RU"/>
        </w:rPr>
        <w:t>ia raională</w:t>
      </w:r>
      <w:r w:rsidR="005E1F71" w:rsidRPr="00363CFA">
        <w:rPr>
          <w:rFonts w:asciiTheme="majorHAnsi" w:eastAsia="Times New Roman" w:hAnsiTheme="majorHAnsi" w:cstheme="majorHAnsi"/>
          <w:i/>
          <w:sz w:val="24"/>
          <w:szCs w:val="24"/>
          <w:lang w:val="ro-MD" w:eastAsia="ru-RU"/>
        </w:rPr>
        <w:t>/dolay</w:t>
      </w:r>
      <w:r w:rsidR="00881022" w:rsidRPr="00363CFA">
        <w:rPr>
          <w:rFonts w:asciiTheme="majorHAnsi" w:eastAsia="Times New Roman" w:hAnsiTheme="majorHAnsi" w:cstheme="majorHAnsi"/>
          <w:i/>
          <w:sz w:val="24"/>
          <w:szCs w:val="24"/>
          <w:lang w:val="ro-MD" w:eastAsia="ru-RU"/>
        </w:rPr>
        <w:t>”</w:t>
      </w:r>
      <w:r w:rsidR="00F00358" w:rsidRPr="00363CFA">
        <w:rPr>
          <w:rFonts w:asciiTheme="majorHAnsi" w:eastAsia="Times New Roman" w:hAnsiTheme="majorHAnsi" w:cstheme="majorHAnsi"/>
          <w:i/>
          <w:sz w:val="24"/>
          <w:szCs w:val="24"/>
          <w:lang w:val="ro-MD" w:eastAsia="ru-RU"/>
        </w:rPr>
        <w:t>,</w:t>
      </w:r>
      <w:r w:rsidR="00604A3A">
        <w:rPr>
          <w:rFonts w:asciiTheme="majorHAnsi" w:eastAsia="Times New Roman" w:hAnsiTheme="majorHAnsi" w:cstheme="majorHAnsi"/>
          <w:sz w:val="24"/>
          <w:szCs w:val="24"/>
          <w:lang w:val="ro-MD" w:eastAsia="ru-RU"/>
        </w:rPr>
        <w:t xml:space="preserve"> </w:t>
      </w:r>
      <w:r w:rsidR="00F00358" w:rsidRPr="00363CFA">
        <w:rPr>
          <w:rFonts w:asciiTheme="majorHAnsi" w:eastAsia="Times New Roman" w:hAnsiTheme="majorHAnsi" w:cstheme="majorHAnsi"/>
          <w:sz w:val="24"/>
          <w:szCs w:val="24"/>
          <w:lang w:val="ro-MD" w:eastAsia="ru-RU"/>
        </w:rPr>
        <w:t xml:space="preserve">conduse de un </w:t>
      </w:r>
      <w:r w:rsidR="00F00358" w:rsidRPr="00363CFA">
        <w:rPr>
          <w:rFonts w:asciiTheme="majorHAnsi" w:eastAsia="Times New Roman" w:hAnsiTheme="majorHAnsi" w:cstheme="majorHAnsi"/>
          <w:i/>
          <w:sz w:val="24"/>
          <w:szCs w:val="24"/>
          <w:lang w:val="ro-MD" w:eastAsia="ru-RU"/>
        </w:rPr>
        <w:t>pre</w:t>
      </w:r>
      <w:r w:rsidR="0069374B" w:rsidRPr="00363CFA">
        <w:rPr>
          <w:rFonts w:asciiTheme="majorHAnsi" w:eastAsia="Times New Roman" w:hAnsiTheme="majorHAnsi" w:cstheme="majorHAnsi"/>
          <w:i/>
          <w:sz w:val="24"/>
          <w:szCs w:val="24"/>
          <w:lang w:val="ro-MD" w:eastAsia="ru-RU"/>
        </w:rPr>
        <w:t>ș</w:t>
      </w:r>
      <w:r w:rsidR="00F00358" w:rsidRPr="00363CFA">
        <w:rPr>
          <w:rFonts w:asciiTheme="majorHAnsi" w:eastAsia="Times New Roman" w:hAnsiTheme="majorHAnsi" w:cstheme="majorHAnsi"/>
          <w:i/>
          <w:sz w:val="24"/>
          <w:szCs w:val="24"/>
          <w:lang w:val="ro-MD" w:eastAsia="ru-RU"/>
        </w:rPr>
        <w:t xml:space="preserve">edinte de </w:t>
      </w:r>
      <w:r w:rsidR="00403F34" w:rsidRPr="00363CFA">
        <w:rPr>
          <w:rFonts w:asciiTheme="majorHAnsi" w:eastAsia="Times New Roman" w:hAnsiTheme="majorHAnsi" w:cstheme="majorHAnsi"/>
          <w:i/>
          <w:sz w:val="24"/>
          <w:szCs w:val="24"/>
          <w:lang w:val="ro-MD" w:eastAsia="ru-RU"/>
        </w:rPr>
        <w:t>dolay</w:t>
      </w:r>
      <w:r w:rsidR="00F00358" w:rsidRPr="00363CFA">
        <w:rPr>
          <w:rFonts w:asciiTheme="majorHAnsi" w:eastAsia="Times New Roman" w:hAnsiTheme="majorHAnsi" w:cstheme="majorHAnsi"/>
          <w:sz w:val="24"/>
          <w:szCs w:val="24"/>
          <w:lang w:val="ro-MD" w:eastAsia="ru-RU"/>
        </w:rPr>
        <w:t xml:space="preserve">, care este numit </w:t>
      </w:r>
      <w:r w:rsidR="0069374B" w:rsidRPr="00363CFA">
        <w:rPr>
          <w:rFonts w:asciiTheme="majorHAnsi" w:eastAsia="Times New Roman" w:hAnsiTheme="majorHAnsi" w:cstheme="majorHAnsi"/>
          <w:sz w:val="24"/>
          <w:szCs w:val="24"/>
          <w:lang w:val="ro-MD" w:eastAsia="ru-RU"/>
        </w:rPr>
        <w:t>ș</w:t>
      </w:r>
      <w:r w:rsidR="00F00358" w:rsidRPr="00363CFA">
        <w:rPr>
          <w:rFonts w:asciiTheme="majorHAnsi" w:eastAsia="Times New Roman" w:hAnsiTheme="majorHAnsi" w:cstheme="majorHAnsi"/>
          <w:sz w:val="24"/>
          <w:szCs w:val="24"/>
          <w:lang w:val="ro-MD" w:eastAsia="ru-RU"/>
        </w:rPr>
        <w:t>i eliberat din func</w:t>
      </w:r>
      <w:r w:rsidR="0069374B" w:rsidRPr="00363CFA">
        <w:rPr>
          <w:rFonts w:asciiTheme="majorHAnsi" w:eastAsia="Times New Roman" w:hAnsiTheme="majorHAnsi" w:cstheme="majorHAnsi"/>
          <w:sz w:val="24"/>
          <w:szCs w:val="24"/>
          <w:lang w:val="ro-MD" w:eastAsia="ru-RU"/>
        </w:rPr>
        <w:t>ț</w:t>
      </w:r>
      <w:r w:rsidR="00F00358" w:rsidRPr="00363CFA">
        <w:rPr>
          <w:rFonts w:asciiTheme="majorHAnsi" w:eastAsia="Times New Roman" w:hAnsiTheme="majorHAnsi" w:cstheme="majorHAnsi"/>
          <w:sz w:val="24"/>
          <w:szCs w:val="24"/>
          <w:lang w:val="ro-MD" w:eastAsia="ru-RU"/>
        </w:rPr>
        <w:t xml:space="preserve">ie de către Guvernatorul Găgăuziei, </w:t>
      </w:r>
      <w:r w:rsidR="00F00358" w:rsidRPr="00363CFA">
        <w:rPr>
          <w:rFonts w:asciiTheme="majorHAnsi" w:eastAsia="Times New Roman" w:hAnsiTheme="majorHAnsi" w:cstheme="majorHAnsi"/>
          <w:bCs/>
          <w:noProof/>
          <w:sz w:val="24"/>
          <w:szCs w:val="24"/>
          <w:lang w:val="ro-MD" w:eastAsia="ru-RU"/>
        </w:rPr>
        <w:t>după coordonarea candidaturii cu Adunarea Populară, pentru executarea unor func</w:t>
      </w:r>
      <w:r w:rsidR="0069374B" w:rsidRPr="00363CFA">
        <w:rPr>
          <w:rFonts w:asciiTheme="majorHAnsi" w:eastAsia="Times New Roman" w:hAnsiTheme="majorHAnsi" w:cstheme="majorHAnsi"/>
          <w:bCs/>
          <w:noProof/>
          <w:sz w:val="24"/>
          <w:szCs w:val="24"/>
          <w:lang w:val="ro-MD" w:eastAsia="ru-RU"/>
        </w:rPr>
        <w:t>ț</w:t>
      </w:r>
      <w:r w:rsidR="00F00358" w:rsidRPr="00363CFA">
        <w:rPr>
          <w:rFonts w:asciiTheme="majorHAnsi" w:eastAsia="Times New Roman" w:hAnsiTheme="majorHAnsi" w:cstheme="majorHAnsi"/>
          <w:bCs/>
          <w:noProof/>
          <w:sz w:val="24"/>
          <w:szCs w:val="24"/>
          <w:lang w:val="ro-MD" w:eastAsia="ru-RU"/>
        </w:rPr>
        <w:t xml:space="preserve">ii administrative </w:t>
      </w:r>
      <w:r w:rsidR="0069374B" w:rsidRPr="00363CFA">
        <w:rPr>
          <w:rFonts w:asciiTheme="majorHAnsi" w:eastAsia="Times New Roman" w:hAnsiTheme="majorHAnsi" w:cstheme="majorHAnsi"/>
          <w:bCs/>
          <w:noProof/>
          <w:sz w:val="24"/>
          <w:szCs w:val="24"/>
          <w:lang w:val="ro-MD" w:eastAsia="ru-RU"/>
        </w:rPr>
        <w:t>ș</w:t>
      </w:r>
      <w:r w:rsidR="00F00358" w:rsidRPr="00363CFA">
        <w:rPr>
          <w:rFonts w:asciiTheme="majorHAnsi" w:eastAsia="Times New Roman" w:hAnsiTheme="majorHAnsi" w:cstheme="majorHAnsi"/>
          <w:bCs/>
          <w:noProof/>
          <w:sz w:val="24"/>
          <w:szCs w:val="24"/>
          <w:lang w:val="ro-MD" w:eastAsia="ru-RU"/>
        </w:rPr>
        <w:t>i de control în teritoriul administrat; este membru al Comitetului Executiv al Găgăuziei; prezintă rapoarte de activitate Comitetului Executiv; exercită alte atribu</w:t>
      </w:r>
      <w:r w:rsidR="0069374B" w:rsidRPr="00363CFA">
        <w:rPr>
          <w:rFonts w:asciiTheme="majorHAnsi" w:eastAsia="Times New Roman" w:hAnsiTheme="majorHAnsi" w:cstheme="majorHAnsi"/>
          <w:bCs/>
          <w:noProof/>
          <w:sz w:val="24"/>
          <w:szCs w:val="24"/>
          <w:lang w:val="ro-MD" w:eastAsia="ru-RU"/>
        </w:rPr>
        <w:t>ț</w:t>
      </w:r>
      <w:r w:rsidR="00F00358" w:rsidRPr="00363CFA">
        <w:rPr>
          <w:rFonts w:asciiTheme="majorHAnsi" w:eastAsia="Times New Roman" w:hAnsiTheme="majorHAnsi" w:cstheme="majorHAnsi"/>
          <w:bCs/>
          <w:noProof/>
          <w:sz w:val="24"/>
          <w:szCs w:val="24"/>
          <w:lang w:val="ro-MD" w:eastAsia="ru-RU"/>
        </w:rPr>
        <w:t xml:space="preserve">ii delegate de Guvernatorul Găgăuziei sau de Comitetul Executiv. </w:t>
      </w:r>
      <w:r w:rsidR="00F00358" w:rsidRPr="00363CFA">
        <w:rPr>
          <w:rFonts w:asciiTheme="majorHAnsi" w:eastAsia="Times New Roman" w:hAnsiTheme="majorHAnsi" w:cstheme="majorHAnsi"/>
          <w:bCs/>
          <w:i/>
          <w:noProof/>
          <w:sz w:val="24"/>
          <w:szCs w:val="24"/>
          <w:lang w:val="ro-MD" w:eastAsia="ru-RU"/>
        </w:rPr>
        <w:t>Vicepre</w:t>
      </w:r>
      <w:r w:rsidR="0069374B" w:rsidRPr="00363CFA">
        <w:rPr>
          <w:rFonts w:asciiTheme="majorHAnsi" w:eastAsia="Times New Roman" w:hAnsiTheme="majorHAnsi" w:cstheme="majorHAnsi"/>
          <w:bCs/>
          <w:i/>
          <w:noProof/>
          <w:sz w:val="24"/>
          <w:szCs w:val="24"/>
          <w:lang w:val="ro-MD" w:eastAsia="ru-RU"/>
        </w:rPr>
        <w:t>ș</w:t>
      </w:r>
      <w:r w:rsidR="00F00358" w:rsidRPr="00363CFA">
        <w:rPr>
          <w:rFonts w:asciiTheme="majorHAnsi" w:eastAsia="Times New Roman" w:hAnsiTheme="majorHAnsi" w:cstheme="majorHAnsi"/>
          <w:bCs/>
          <w:i/>
          <w:noProof/>
          <w:sz w:val="24"/>
          <w:szCs w:val="24"/>
          <w:lang w:val="ro-MD" w:eastAsia="ru-RU"/>
        </w:rPr>
        <w:t>edin</w:t>
      </w:r>
      <w:r w:rsidR="0069374B" w:rsidRPr="00363CFA">
        <w:rPr>
          <w:rFonts w:asciiTheme="majorHAnsi" w:eastAsia="Times New Roman" w:hAnsiTheme="majorHAnsi" w:cstheme="majorHAnsi"/>
          <w:bCs/>
          <w:i/>
          <w:noProof/>
          <w:sz w:val="24"/>
          <w:szCs w:val="24"/>
          <w:lang w:val="ro-MD" w:eastAsia="ru-RU"/>
        </w:rPr>
        <w:t>ț</w:t>
      </w:r>
      <w:r w:rsidR="00F00358" w:rsidRPr="00363CFA">
        <w:rPr>
          <w:rFonts w:asciiTheme="majorHAnsi" w:eastAsia="Times New Roman" w:hAnsiTheme="majorHAnsi" w:cstheme="majorHAnsi"/>
          <w:bCs/>
          <w:i/>
          <w:noProof/>
          <w:sz w:val="24"/>
          <w:szCs w:val="24"/>
          <w:lang w:val="ro-MD" w:eastAsia="ru-RU"/>
        </w:rPr>
        <w:t xml:space="preserve">ii </w:t>
      </w:r>
      <w:r w:rsidR="005E1F71" w:rsidRPr="00363CFA">
        <w:rPr>
          <w:rFonts w:asciiTheme="majorHAnsi" w:eastAsia="Times New Roman" w:hAnsiTheme="majorHAnsi" w:cstheme="majorHAnsi"/>
          <w:i/>
          <w:sz w:val="24"/>
          <w:szCs w:val="24"/>
          <w:lang w:val="ro-MD" w:eastAsia="ru-RU"/>
        </w:rPr>
        <w:t>dolay</w:t>
      </w:r>
      <w:r w:rsidR="00F00358" w:rsidRPr="00363CFA">
        <w:rPr>
          <w:rFonts w:asciiTheme="majorHAnsi" w:eastAsia="Times New Roman" w:hAnsiTheme="majorHAnsi" w:cstheme="majorHAnsi"/>
          <w:bCs/>
          <w:i/>
          <w:noProof/>
          <w:sz w:val="24"/>
          <w:szCs w:val="24"/>
          <w:lang w:val="ro-MD" w:eastAsia="ru-RU"/>
        </w:rPr>
        <w:t xml:space="preserve">ului </w:t>
      </w:r>
      <w:r w:rsidR="00F00358" w:rsidRPr="00363CFA">
        <w:rPr>
          <w:rFonts w:asciiTheme="majorHAnsi" w:eastAsia="Times New Roman" w:hAnsiTheme="majorHAnsi" w:cstheme="majorHAnsi"/>
          <w:bCs/>
          <w:noProof/>
          <w:sz w:val="24"/>
          <w:szCs w:val="24"/>
          <w:lang w:val="ro-MD" w:eastAsia="ru-RU"/>
        </w:rPr>
        <w:t>sunt numi</w:t>
      </w:r>
      <w:r w:rsidR="0069374B" w:rsidRPr="00363CFA">
        <w:rPr>
          <w:rFonts w:asciiTheme="majorHAnsi" w:eastAsia="Times New Roman" w:hAnsiTheme="majorHAnsi" w:cstheme="majorHAnsi"/>
          <w:bCs/>
          <w:noProof/>
          <w:sz w:val="24"/>
          <w:szCs w:val="24"/>
          <w:lang w:val="ro-MD" w:eastAsia="ru-RU"/>
        </w:rPr>
        <w:t>ț</w:t>
      </w:r>
      <w:r w:rsidR="00F00358" w:rsidRPr="00363CFA">
        <w:rPr>
          <w:rFonts w:asciiTheme="majorHAnsi" w:eastAsia="Times New Roman" w:hAnsiTheme="majorHAnsi" w:cstheme="majorHAnsi"/>
          <w:bCs/>
          <w:noProof/>
          <w:sz w:val="24"/>
          <w:szCs w:val="24"/>
          <w:lang w:val="ro-MD" w:eastAsia="ru-RU"/>
        </w:rPr>
        <w:t xml:space="preserve">i </w:t>
      </w:r>
      <w:r w:rsidR="0069374B" w:rsidRPr="00363CFA">
        <w:rPr>
          <w:rFonts w:asciiTheme="majorHAnsi" w:eastAsia="Times New Roman" w:hAnsiTheme="majorHAnsi" w:cstheme="majorHAnsi"/>
          <w:bCs/>
          <w:noProof/>
          <w:sz w:val="24"/>
          <w:szCs w:val="24"/>
          <w:lang w:val="ro-MD" w:eastAsia="ru-RU"/>
        </w:rPr>
        <w:t>ș</w:t>
      </w:r>
      <w:r w:rsidR="00F00358" w:rsidRPr="00363CFA">
        <w:rPr>
          <w:rFonts w:asciiTheme="majorHAnsi" w:eastAsia="Times New Roman" w:hAnsiTheme="majorHAnsi" w:cstheme="majorHAnsi"/>
          <w:bCs/>
          <w:noProof/>
          <w:sz w:val="24"/>
          <w:szCs w:val="24"/>
          <w:lang w:val="ro-MD" w:eastAsia="ru-RU"/>
        </w:rPr>
        <w:t>i elibera</w:t>
      </w:r>
      <w:r w:rsidR="0069374B" w:rsidRPr="00363CFA">
        <w:rPr>
          <w:rFonts w:asciiTheme="majorHAnsi" w:eastAsia="Times New Roman" w:hAnsiTheme="majorHAnsi" w:cstheme="majorHAnsi"/>
          <w:bCs/>
          <w:noProof/>
          <w:sz w:val="24"/>
          <w:szCs w:val="24"/>
          <w:lang w:val="ro-MD" w:eastAsia="ru-RU"/>
        </w:rPr>
        <w:t>ț</w:t>
      </w:r>
      <w:r w:rsidR="00F00358" w:rsidRPr="00363CFA">
        <w:rPr>
          <w:rFonts w:asciiTheme="majorHAnsi" w:eastAsia="Times New Roman" w:hAnsiTheme="majorHAnsi" w:cstheme="majorHAnsi"/>
          <w:bCs/>
          <w:noProof/>
          <w:sz w:val="24"/>
          <w:szCs w:val="24"/>
          <w:lang w:val="ro-MD" w:eastAsia="ru-RU"/>
        </w:rPr>
        <w:t>i din func</w:t>
      </w:r>
      <w:r w:rsidR="0069374B" w:rsidRPr="00363CFA">
        <w:rPr>
          <w:rFonts w:asciiTheme="majorHAnsi" w:eastAsia="Times New Roman" w:hAnsiTheme="majorHAnsi" w:cstheme="majorHAnsi"/>
          <w:bCs/>
          <w:noProof/>
          <w:sz w:val="24"/>
          <w:szCs w:val="24"/>
          <w:lang w:val="ro-MD" w:eastAsia="ru-RU"/>
        </w:rPr>
        <w:t>ț</w:t>
      </w:r>
      <w:r w:rsidR="00F00358" w:rsidRPr="00363CFA">
        <w:rPr>
          <w:rFonts w:asciiTheme="majorHAnsi" w:eastAsia="Times New Roman" w:hAnsiTheme="majorHAnsi" w:cstheme="majorHAnsi"/>
          <w:bCs/>
          <w:noProof/>
          <w:sz w:val="24"/>
          <w:szCs w:val="24"/>
          <w:lang w:val="ro-MD" w:eastAsia="ru-RU"/>
        </w:rPr>
        <w:t>ie prin dispozi</w:t>
      </w:r>
      <w:r w:rsidR="0069374B" w:rsidRPr="00363CFA">
        <w:rPr>
          <w:rFonts w:asciiTheme="majorHAnsi" w:eastAsia="Times New Roman" w:hAnsiTheme="majorHAnsi" w:cstheme="majorHAnsi"/>
          <w:bCs/>
          <w:noProof/>
          <w:sz w:val="24"/>
          <w:szCs w:val="24"/>
          <w:lang w:val="ro-MD" w:eastAsia="ru-RU"/>
        </w:rPr>
        <w:t>ț</w:t>
      </w:r>
      <w:r w:rsidR="00F00358" w:rsidRPr="00363CFA">
        <w:rPr>
          <w:rFonts w:asciiTheme="majorHAnsi" w:eastAsia="Times New Roman" w:hAnsiTheme="majorHAnsi" w:cstheme="majorHAnsi"/>
          <w:bCs/>
          <w:noProof/>
          <w:sz w:val="24"/>
          <w:szCs w:val="24"/>
          <w:lang w:val="ro-MD" w:eastAsia="ru-RU"/>
        </w:rPr>
        <w:t>ia pre</w:t>
      </w:r>
      <w:r w:rsidR="0069374B" w:rsidRPr="00363CFA">
        <w:rPr>
          <w:rFonts w:asciiTheme="majorHAnsi" w:eastAsia="Times New Roman" w:hAnsiTheme="majorHAnsi" w:cstheme="majorHAnsi"/>
          <w:bCs/>
          <w:noProof/>
          <w:sz w:val="24"/>
          <w:szCs w:val="24"/>
          <w:lang w:val="ro-MD" w:eastAsia="ru-RU"/>
        </w:rPr>
        <w:t>ș</w:t>
      </w:r>
      <w:r w:rsidR="00F00358" w:rsidRPr="00363CFA">
        <w:rPr>
          <w:rFonts w:asciiTheme="majorHAnsi" w:eastAsia="Times New Roman" w:hAnsiTheme="majorHAnsi" w:cstheme="majorHAnsi"/>
          <w:bCs/>
          <w:noProof/>
          <w:sz w:val="24"/>
          <w:szCs w:val="24"/>
          <w:lang w:val="ro-MD" w:eastAsia="ru-RU"/>
        </w:rPr>
        <w:t xml:space="preserve">edintelui </w:t>
      </w:r>
      <w:r w:rsidR="005E1F71" w:rsidRPr="005E1F71">
        <w:rPr>
          <w:rFonts w:asciiTheme="majorHAnsi" w:eastAsia="Times New Roman" w:hAnsiTheme="majorHAnsi" w:cstheme="majorHAnsi"/>
          <w:sz w:val="24"/>
          <w:szCs w:val="24"/>
          <w:lang w:val="ro-MD" w:eastAsia="ru-RU"/>
        </w:rPr>
        <w:t>dolay</w:t>
      </w:r>
      <w:r w:rsidR="00F00358" w:rsidRPr="00363CFA">
        <w:rPr>
          <w:rFonts w:asciiTheme="majorHAnsi" w:eastAsia="Times New Roman" w:hAnsiTheme="majorHAnsi" w:cstheme="majorHAnsi"/>
          <w:bCs/>
          <w:noProof/>
          <w:sz w:val="24"/>
          <w:szCs w:val="24"/>
          <w:lang w:val="ro-MD" w:eastAsia="ru-RU"/>
        </w:rPr>
        <w:t>ului. Astfel, efectiv</w:t>
      </w:r>
      <w:r w:rsidR="000777A8">
        <w:rPr>
          <w:rFonts w:asciiTheme="majorHAnsi" w:eastAsia="Times New Roman" w:hAnsiTheme="majorHAnsi" w:cstheme="majorHAnsi"/>
          <w:bCs/>
          <w:noProof/>
          <w:sz w:val="24"/>
          <w:szCs w:val="24"/>
          <w:lang w:val="ro-MD" w:eastAsia="ru-RU"/>
        </w:rPr>
        <w:t>,</w:t>
      </w:r>
      <w:r w:rsidR="00F00358" w:rsidRPr="00363CFA">
        <w:rPr>
          <w:rFonts w:asciiTheme="majorHAnsi" w:eastAsia="Times New Roman" w:hAnsiTheme="majorHAnsi" w:cstheme="majorHAnsi"/>
          <w:bCs/>
          <w:noProof/>
          <w:sz w:val="24"/>
          <w:szCs w:val="24"/>
          <w:lang w:val="ro-MD" w:eastAsia="ru-RU"/>
        </w:rPr>
        <w:t xml:space="preserve"> administra</w:t>
      </w:r>
      <w:r w:rsidR="0069374B" w:rsidRPr="00363CFA">
        <w:rPr>
          <w:rFonts w:asciiTheme="majorHAnsi" w:eastAsia="Times New Roman" w:hAnsiTheme="majorHAnsi" w:cstheme="majorHAnsi"/>
          <w:bCs/>
          <w:noProof/>
          <w:sz w:val="24"/>
          <w:szCs w:val="24"/>
          <w:lang w:val="ro-MD" w:eastAsia="ru-RU"/>
        </w:rPr>
        <w:t>ț</w:t>
      </w:r>
      <w:r w:rsidR="00F00358" w:rsidRPr="00363CFA">
        <w:rPr>
          <w:rFonts w:asciiTheme="majorHAnsi" w:eastAsia="Times New Roman" w:hAnsiTheme="majorHAnsi" w:cstheme="majorHAnsi"/>
          <w:bCs/>
          <w:noProof/>
          <w:sz w:val="24"/>
          <w:szCs w:val="24"/>
          <w:lang w:val="ro-MD" w:eastAsia="ru-RU"/>
        </w:rPr>
        <w:t xml:space="preserve">ia </w:t>
      </w:r>
      <w:r w:rsidR="005E1F71" w:rsidRPr="005E1F71">
        <w:rPr>
          <w:rFonts w:asciiTheme="majorHAnsi" w:eastAsia="Times New Roman" w:hAnsiTheme="majorHAnsi" w:cstheme="majorHAnsi"/>
          <w:sz w:val="24"/>
          <w:szCs w:val="24"/>
          <w:lang w:val="ro-MD" w:eastAsia="ru-RU"/>
        </w:rPr>
        <w:t>dolay</w:t>
      </w:r>
      <w:r w:rsidR="00F00358" w:rsidRPr="00363CFA">
        <w:rPr>
          <w:rFonts w:asciiTheme="majorHAnsi" w:eastAsia="Times New Roman" w:hAnsiTheme="majorHAnsi" w:cstheme="majorHAnsi"/>
          <w:bCs/>
          <w:noProof/>
          <w:sz w:val="24"/>
          <w:szCs w:val="24"/>
          <w:lang w:val="ro-MD" w:eastAsia="ru-RU"/>
        </w:rPr>
        <w:t xml:space="preserve">ului </w:t>
      </w:r>
      <w:r w:rsidR="000777A8">
        <w:rPr>
          <w:rFonts w:asciiTheme="majorHAnsi" w:eastAsia="Times New Roman" w:hAnsiTheme="majorHAnsi" w:cstheme="majorHAnsi"/>
          <w:bCs/>
          <w:noProof/>
          <w:sz w:val="24"/>
          <w:szCs w:val="24"/>
          <w:lang w:val="ro-MD" w:eastAsia="ru-RU"/>
        </w:rPr>
        <w:t>este</w:t>
      </w:r>
      <w:r w:rsidR="00F00358" w:rsidRPr="00363CFA">
        <w:rPr>
          <w:rFonts w:asciiTheme="majorHAnsi" w:eastAsia="Times New Roman" w:hAnsiTheme="majorHAnsi" w:cstheme="majorHAnsi"/>
          <w:bCs/>
          <w:noProof/>
          <w:sz w:val="24"/>
          <w:szCs w:val="24"/>
          <w:lang w:val="ro-MD" w:eastAsia="ru-RU"/>
        </w:rPr>
        <w:t xml:space="preserve"> o subdiviziune a Comitetului Executiv în teritoriu. Pe motiv că </w:t>
      </w:r>
      <w:r w:rsidR="00F00358" w:rsidRPr="00363CFA">
        <w:rPr>
          <w:rFonts w:asciiTheme="majorHAnsi" w:eastAsia="Times New Roman" w:hAnsiTheme="majorHAnsi" w:cstheme="majorHAnsi"/>
          <w:b/>
          <w:i/>
          <w:sz w:val="24"/>
          <w:szCs w:val="24"/>
          <w:lang w:val="ro-MD" w:eastAsia="ru-RU"/>
        </w:rPr>
        <w:t>func</w:t>
      </w:r>
      <w:r w:rsidR="0069374B" w:rsidRPr="00363CFA">
        <w:rPr>
          <w:rFonts w:asciiTheme="majorHAnsi" w:eastAsia="Times New Roman" w:hAnsiTheme="majorHAnsi" w:cstheme="majorHAnsi"/>
          <w:b/>
          <w:i/>
          <w:sz w:val="24"/>
          <w:szCs w:val="24"/>
          <w:lang w:val="ro-MD" w:eastAsia="ru-RU"/>
        </w:rPr>
        <w:t>ț</w:t>
      </w:r>
      <w:r w:rsidR="00F00358" w:rsidRPr="00363CFA">
        <w:rPr>
          <w:rFonts w:asciiTheme="majorHAnsi" w:eastAsia="Times New Roman" w:hAnsiTheme="majorHAnsi" w:cstheme="majorHAnsi"/>
          <w:b/>
          <w:i/>
          <w:sz w:val="24"/>
          <w:szCs w:val="24"/>
          <w:lang w:val="ro-MD" w:eastAsia="ru-RU"/>
        </w:rPr>
        <w:t>i</w:t>
      </w:r>
      <w:r w:rsidR="000777A8">
        <w:rPr>
          <w:rFonts w:asciiTheme="majorHAnsi" w:eastAsia="Times New Roman" w:hAnsiTheme="majorHAnsi" w:cstheme="majorHAnsi"/>
          <w:b/>
          <w:i/>
          <w:sz w:val="24"/>
          <w:szCs w:val="24"/>
          <w:lang w:val="ro-MD" w:eastAsia="ru-RU"/>
        </w:rPr>
        <w:t>ile</w:t>
      </w:r>
      <w:r w:rsidR="00F00358" w:rsidRPr="00363CFA">
        <w:rPr>
          <w:rFonts w:asciiTheme="majorHAnsi" w:eastAsia="Times New Roman" w:hAnsiTheme="majorHAnsi" w:cstheme="majorHAnsi"/>
          <w:b/>
          <w:i/>
          <w:sz w:val="24"/>
          <w:szCs w:val="24"/>
          <w:lang w:val="ro-MD" w:eastAsia="ru-RU"/>
        </w:rPr>
        <w:t xml:space="preserve"> de pre</w:t>
      </w:r>
      <w:r w:rsidR="0069374B" w:rsidRPr="00363CFA">
        <w:rPr>
          <w:rFonts w:asciiTheme="majorHAnsi" w:eastAsia="Times New Roman" w:hAnsiTheme="majorHAnsi" w:cstheme="majorHAnsi"/>
          <w:b/>
          <w:i/>
          <w:sz w:val="24"/>
          <w:szCs w:val="24"/>
          <w:lang w:val="ro-MD" w:eastAsia="ru-RU"/>
        </w:rPr>
        <w:t>ș</w:t>
      </w:r>
      <w:r w:rsidR="00F00358" w:rsidRPr="00363CFA">
        <w:rPr>
          <w:rFonts w:asciiTheme="majorHAnsi" w:eastAsia="Times New Roman" w:hAnsiTheme="majorHAnsi" w:cstheme="majorHAnsi"/>
          <w:b/>
          <w:i/>
          <w:sz w:val="24"/>
          <w:szCs w:val="24"/>
          <w:lang w:val="ro-MD" w:eastAsia="ru-RU"/>
        </w:rPr>
        <w:t xml:space="preserve">edinte </w:t>
      </w:r>
      <w:r w:rsidR="0069374B" w:rsidRPr="00363CFA">
        <w:rPr>
          <w:rFonts w:asciiTheme="majorHAnsi" w:eastAsia="Times New Roman" w:hAnsiTheme="majorHAnsi" w:cstheme="majorHAnsi"/>
          <w:b/>
          <w:i/>
          <w:sz w:val="24"/>
          <w:szCs w:val="24"/>
          <w:lang w:val="ro-MD" w:eastAsia="ru-RU"/>
        </w:rPr>
        <w:t>ș</w:t>
      </w:r>
      <w:r w:rsidR="00F00358" w:rsidRPr="00363CFA">
        <w:rPr>
          <w:rFonts w:asciiTheme="majorHAnsi" w:eastAsia="Times New Roman" w:hAnsiTheme="majorHAnsi" w:cstheme="majorHAnsi"/>
          <w:b/>
          <w:i/>
          <w:sz w:val="24"/>
          <w:szCs w:val="24"/>
          <w:lang w:val="ro-MD" w:eastAsia="ru-RU"/>
        </w:rPr>
        <w:t>i</w:t>
      </w:r>
      <w:r w:rsidR="000777A8">
        <w:rPr>
          <w:rFonts w:asciiTheme="majorHAnsi" w:eastAsia="Times New Roman" w:hAnsiTheme="majorHAnsi" w:cstheme="majorHAnsi"/>
          <w:b/>
          <w:i/>
          <w:sz w:val="24"/>
          <w:szCs w:val="24"/>
          <w:lang w:val="ro-MD" w:eastAsia="ru-RU"/>
        </w:rPr>
        <w:t xml:space="preserve"> de </w:t>
      </w:r>
      <w:r w:rsidR="00F00358" w:rsidRPr="00363CFA">
        <w:rPr>
          <w:rFonts w:asciiTheme="majorHAnsi" w:eastAsia="Times New Roman" w:hAnsiTheme="majorHAnsi" w:cstheme="majorHAnsi"/>
          <w:b/>
          <w:i/>
          <w:sz w:val="24"/>
          <w:szCs w:val="24"/>
          <w:lang w:val="ro-MD" w:eastAsia="ru-RU"/>
        </w:rPr>
        <w:t>vicepre</w:t>
      </w:r>
      <w:r w:rsidR="0069374B" w:rsidRPr="00363CFA">
        <w:rPr>
          <w:rFonts w:asciiTheme="majorHAnsi" w:eastAsia="Times New Roman" w:hAnsiTheme="majorHAnsi" w:cstheme="majorHAnsi"/>
          <w:b/>
          <w:i/>
          <w:sz w:val="24"/>
          <w:szCs w:val="24"/>
          <w:lang w:val="ro-MD" w:eastAsia="ru-RU"/>
        </w:rPr>
        <w:t>ș</w:t>
      </w:r>
      <w:r w:rsidR="00F00358" w:rsidRPr="00363CFA">
        <w:rPr>
          <w:rFonts w:asciiTheme="majorHAnsi" w:eastAsia="Times New Roman" w:hAnsiTheme="majorHAnsi" w:cstheme="majorHAnsi"/>
          <w:b/>
          <w:i/>
          <w:sz w:val="24"/>
          <w:szCs w:val="24"/>
          <w:lang w:val="ro-MD" w:eastAsia="ru-RU"/>
        </w:rPr>
        <w:t>edinte a</w:t>
      </w:r>
      <w:r w:rsidR="000777A8">
        <w:rPr>
          <w:rFonts w:asciiTheme="majorHAnsi" w:eastAsia="Times New Roman" w:hAnsiTheme="majorHAnsi" w:cstheme="majorHAnsi"/>
          <w:b/>
          <w:i/>
          <w:sz w:val="24"/>
          <w:szCs w:val="24"/>
          <w:lang w:val="ro-MD" w:eastAsia="ru-RU"/>
        </w:rPr>
        <w:t>i</w:t>
      </w:r>
      <w:r w:rsidR="00F00358" w:rsidRPr="00363CFA">
        <w:rPr>
          <w:rFonts w:asciiTheme="majorHAnsi" w:eastAsia="Times New Roman" w:hAnsiTheme="majorHAnsi" w:cstheme="majorHAnsi"/>
          <w:b/>
          <w:i/>
          <w:sz w:val="24"/>
          <w:szCs w:val="24"/>
          <w:lang w:val="ro-MD" w:eastAsia="ru-RU"/>
        </w:rPr>
        <w:t xml:space="preserve"> </w:t>
      </w:r>
      <w:r w:rsidR="007D6F33">
        <w:rPr>
          <w:rFonts w:asciiTheme="majorHAnsi" w:eastAsia="Times New Roman" w:hAnsiTheme="majorHAnsi" w:cstheme="majorHAnsi"/>
          <w:b/>
          <w:i/>
          <w:sz w:val="24"/>
          <w:szCs w:val="24"/>
          <w:lang w:val="ro-MD" w:eastAsia="ru-RU"/>
        </w:rPr>
        <w:t>dolay</w:t>
      </w:r>
      <w:r w:rsidR="007D6F33" w:rsidRPr="00363CFA">
        <w:rPr>
          <w:rFonts w:asciiTheme="majorHAnsi" w:eastAsia="Times New Roman" w:hAnsiTheme="majorHAnsi" w:cstheme="majorHAnsi"/>
          <w:b/>
          <w:i/>
          <w:sz w:val="24"/>
          <w:szCs w:val="24"/>
          <w:lang w:val="ro-MD" w:eastAsia="ru-RU"/>
        </w:rPr>
        <w:t>ului</w:t>
      </w:r>
      <w:r w:rsidR="007D6F33" w:rsidRPr="00363CFA">
        <w:rPr>
          <w:rFonts w:asciiTheme="majorHAnsi" w:eastAsia="Times New Roman" w:hAnsiTheme="majorHAnsi" w:cstheme="majorHAnsi"/>
          <w:sz w:val="24"/>
          <w:szCs w:val="24"/>
          <w:lang w:val="ro-MD" w:eastAsia="ru-RU"/>
        </w:rPr>
        <w:t xml:space="preserve"> </w:t>
      </w:r>
      <w:r w:rsidR="00F00358" w:rsidRPr="00363CFA">
        <w:rPr>
          <w:rFonts w:asciiTheme="majorHAnsi" w:eastAsia="Times New Roman" w:hAnsiTheme="majorHAnsi" w:cstheme="majorHAnsi"/>
          <w:sz w:val="24"/>
          <w:szCs w:val="24"/>
          <w:lang w:val="ro-MD" w:eastAsia="ru-RU"/>
        </w:rPr>
        <w:t>nu sunt prevăzute de Leg</w:t>
      </w:r>
      <w:r w:rsidR="000777A8">
        <w:rPr>
          <w:rFonts w:asciiTheme="majorHAnsi" w:eastAsia="Times New Roman" w:hAnsiTheme="majorHAnsi" w:cstheme="majorHAnsi"/>
          <w:sz w:val="24"/>
          <w:szCs w:val="24"/>
          <w:lang w:val="ro-MD" w:eastAsia="ru-RU"/>
        </w:rPr>
        <w:t>ea</w:t>
      </w:r>
      <w:r w:rsidR="00F00358" w:rsidRPr="00363CFA">
        <w:rPr>
          <w:rFonts w:asciiTheme="majorHAnsi" w:eastAsia="Times New Roman" w:hAnsiTheme="majorHAnsi" w:cstheme="majorHAnsi"/>
          <w:sz w:val="24"/>
          <w:szCs w:val="24"/>
          <w:lang w:val="ro-MD" w:eastAsia="ru-RU"/>
        </w:rPr>
        <w:t xml:space="preserve"> nr. 436-XVI din 28.12.2006 </w:t>
      </w:r>
      <w:r w:rsidR="000777A8">
        <w:rPr>
          <w:rFonts w:asciiTheme="majorHAnsi" w:eastAsia="Times New Roman" w:hAnsiTheme="majorHAnsi" w:cstheme="majorHAnsi"/>
          <w:sz w:val="24"/>
          <w:szCs w:val="24"/>
          <w:lang w:val="ro-MD" w:eastAsia="ru-RU"/>
        </w:rPr>
        <w:t>p</w:t>
      </w:r>
      <w:r w:rsidR="00F00358" w:rsidRPr="00363CFA">
        <w:rPr>
          <w:rFonts w:asciiTheme="majorHAnsi" w:eastAsia="Times New Roman" w:hAnsiTheme="majorHAnsi" w:cstheme="majorHAnsi"/>
          <w:sz w:val="24"/>
          <w:szCs w:val="24"/>
          <w:lang w:val="ro-MD" w:eastAsia="ru-RU"/>
        </w:rPr>
        <w:t>rivind administra</w:t>
      </w:r>
      <w:r w:rsidR="0069374B" w:rsidRPr="00363CFA">
        <w:rPr>
          <w:rFonts w:asciiTheme="majorHAnsi" w:eastAsia="Times New Roman" w:hAnsiTheme="majorHAnsi" w:cstheme="majorHAnsi"/>
          <w:sz w:val="24"/>
          <w:szCs w:val="24"/>
          <w:lang w:val="ro-MD" w:eastAsia="ru-RU"/>
        </w:rPr>
        <w:t>ț</w:t>
      </w:r>
      <w:r w:rsidR="00F00358" w:rsidRPr="00363CFA">
        <w:rPr>
          <w:rFonts w:asciiTheme="majorHAnsi" w:eastAsia="Times New Roman" w:hAnsiTheme="majorHAnsi" w:cstheme="majorHAnsi"/>
          <w:sz w:val="24"/>
          <w:szCs w:val="24"/>
          <w:lang w:val="ro-MD" w:eastAsia="ru-RU"/>
        </w:rPr>
        <w:t>ia publică locală</w:t>
      </w:r>
      <w:r w:rsidR="000777A8">
        <w:rPr>
          <w:rFonts w:asciiTheme="majorHAnsi" w:eastAsia="Times New Roman" w:hAnsiTheme="majorHAnsi" w:cstheme="majorHAnsi"/>
          <w:sz w:val="24"/>
          <w:szCs w:val="24"/>
          <w:lang w:val="ro-MD" w:eastAsia="ru-RU"/>
        </w:rPr>
        <w:t>,</w:t>
      </w:r>
      <w:r w:rsidR="00F00358" w:rsidRPr="00363CFA">
        <w:rPr>
          <w:rFonts w:asciiTheme="majorHAnsi" w:eastAsia="Times New Roman" w:hAnsiTheme="majorHAnsi" w:cstheme="majorHAnsi"/>
          <w:sz w:val="24"/>
          <w:szCs w:val="24"/>
          <w:lang w:val="ro-MD" w:eastAsia="ru-RU"/>
        </w:rPr>
        <w:t xml:space="preserve"> pentru UTA Găgăuzia, Cancelaria de Stat nu avizează </w:t>
      </w:r>
      <w:r w:rsidR="000777A8">
        <w:rPr>
          <w:rFonts w:asciiTheme="majorHAnsi" w:eastAsia="Times New Roman" w:hAnsiTheme="majorHAnsi" w:cstheme="majorHAnsi"/>
          <w:sz w:val="24"/>
          <w:szCs w:val="24"/>
          <w:lang w:val="ro-MD" w:eastAsia="ru-RU"/>
        </w:rPr>
        <w:t>s</w:t>
      </w:r>
      <w:r w:rsidR="00F00358" w:rsidRPr="00363CFA">
        <w:rPr>
          <w:rFonts w:asciiTheme="majorHAnsi" w:eastAsia="Times New Roman" w:hAnsiTheme="majorHAnsi" w:cstheme="majorHAnsi"/>
          <w:sz w:val="24"/>
          <w:szCs w:val="24"/>
          <w:lang w:val="ro-MD" w:eastAsia="ru-RU"/>
        </w:rPr>
        <w:t xml:space="preserve">tatele de personal </w:t>
      </w:r>
      <w:r w:rsidR="0069374B" w:rsidRPr="00363CFA">
        <w:rPr>
          <w:rFonts w:asciiTheme="majorHAnsi" w:eastAsia="Times New Roman" w:hAnsiTheme="majorHAnsi" w:cstheme="majorHAnsi"/>
          <w:sz w:val="24"/>
          <w:szCs w:val="24"/>
          <w:lang w:val="ro-MD" w:eastAsia="ru-RU"/>
        </w:rPr>
        <w:t>ș</w:t>
      </w:r>
      <w:r w:rsidR="00F00358" w:rsidRPr="00363CFA">
        <w:rPr>
          <w:rFonts w:asciiTheme="majorHAnsi" w:eastAsia="Times New Roman" w:hAnsiTheme="majorHAnsi" w:cstheme="majorHAnsi"/>
          <w:sz w:val="24"/>
          <w:szCs w:val="24"/>
          <w:lang w:val="ro-MD" w:eastAsia="ru-RU"/>
        </w:rPr>
        <w:t>i Ministerul Finan</w:t>
      </w:r>
      <w:r w:rsidR="0069374B" w:rsidRPr="00363CFA">
        <w:rPr>
          <w:rFonts w:asciiTheme="majorHAnsi" w:eastAsia="Times New Roman" w:hAnsiTheme="majorHAnsi" w:cstheme="majorHAnsi"/>
          <w:sz w:val="24"/>
          <w:szCs w:val="24"/>
          <w:lang w:val="ro-MD" w:eastAsia="ru-RU"/>
        </w:rPr>
        <w:t>ț</w:t>
      </w:r>
      <w:r w:rsidR="00F00358" w:rsidRPr="00363CFA">
        <w:rPr>
          <w:rFonts w:asciiTheme="majorHAnsi" w:eastAsia="Times New Roman" w:hAnsiTheme="majorHAnsi" w:cstheme="majorHAnsi"/>
          <w:sz w:val="24"/>
          <w:szCs w:val="24"/>
          <w:lang w:val="ro-MD" w:eastAsia="ru-RU"/>
        </w:rPr>
        <w:t>elor nu înregistrează statele de personal ale Administra</w:t>
      </w:r>
      <w:r w:rsidR="0069374B" w:rsidRPr="00363CFA">
        <w:rPr>
          <w:rFonts w:asciiTheme="majorHAnsi" w:eastAsia="Times New Roman" w:hAnsiTheme="majorHAnsi" w:cstheme="majorHAnsi"/>
          <w:sz w:val="24"/>
          <w:szCs w:val="24"/>
          <w:lang w:val="ro-MD" w:eastAsia="ru-RU"/>
        </w:rPr>
        <w:t>ț</w:t>
      </w:r>
      <w:r w:rsidR="00F00358" w:rsidRPr="00363CFA">
        <w:rPr>
          <w:rFonts w:asciiTheme="majorHAnsi" w:eastAsia="Times New Roman" w:hAnsiTheme="majorHAnsi" w:cstheme="majorHAnsi"/>
          <w:sz w:val="24"/>
          <w:szCs w:val="24"/>
          <w:lang w:val="ro-MD" w:eastAsia="ru-RU"/>
        </w:rPr>
        <w:t xml:space="preserve">iilor </w:t>
      </w:r>
      <w:r w:rsidR="00403F34" w:rsidRPr="00A87C8B">
        <w:rPr>
          <w:rFonts w:asciiTheme="majorHAnsi" w:eastAsia="Times New Roman" w:hAnsiTheme="majorHAnsi" w:cstheme="majorHAnsi"/>
          <w:sz w:val="24"/>
          <w:szCs w:val="24"/>
          <w:lang w:val="ro-MD" w:eastAsia="ru-RU"/>
        </w:rPr>
        <w:t>dolay</w:t>
      </w:r>
      <w:r w:rsidR="00A87C8B" w:rsidRPr="00A87C8B">
        <w:rPr>
          <w:rFonts w:asciiTheme="majorHAnsi" w:eastAsia="Times New Roman" w:hAnsiTheme="majorHAnsi" w:cstheme="majorHAnsi"/>
          <w:sz w:val="24"/>
          <w:szCs w:val="24"/>
          <w:lang w:val="ro-MD" w:eastAsia="ru-RU"/>
        </w:rPr>
        <w:t>urilor</w:t>
      </w:r>
      <w:r w:rsidR="00F00358" w:rsidRPr="00363CFA">
        <w:rPr>
          <w:rFonts w:asciiTheme="majorHAnsi" w:eastAsia="Times New Roman" w:hAnsiTheme="majorHAnsi" w:cstheme="majorHAnsi"/>
          <w:sz w:val="24"/>
          <w:szCs w:val="24"/>
          <w:lang w:val="ro-MD" w:eastAsia="ru-RU"/>
        </w:rPr>
        <w:t xml:space="preserve"> Comrat, Cead</w:t>
      </w:r>
      <w:r w:rsidR="000777A8">
        <w:rPr>
          <w:rFonts w:asciiTheme="majorHAnsi" w:eastAsia="Times New Roman" w:hAnsiTheme="majorHAnsi" w:cstheme="majorHAnsi"/>
          <w:sz w:val="24"/>
          <w:szCs w:val="24"/>
          <w:lang w:val="ro-MD" w:eastAsia="ru-RU"/>
        </w:rPr>
        <w:t>â</w:t>
      </w:r>
      <w:r w:rsidR="00F00358" w:rsidRPr="00363CFA">
        <w:rPr>
          <w:rFonts w:asciiTheme="majorHAnsi" w:eastAsia="Times New Roman" w:hAnsiTheme="majorHAnsi" w:cstheme="majorHAnsi"/>
          <w:sz w:val="24"/>
          <w:szCs w:val="24"/>
          <w:lang w:val="ro-MD" w:eastAsia="ru-RU"/>
        </w:rPr>
        <w:t xml:space="preserve">r-Lunga </w:t>
      </w:r>
      <w:r w:rsidR="0069374B" w:rsidRPr="00363CFA">
        <w:rPr>
          <w:rFonts w:asciiTheme="majorHAnsi" w:eastAsia="Times New Roman" w:hAnsiTheme="majorHAnsi" w:cstheme="majorHAnsi"/>
          <w:sz w:val="24"/>
          <w:szCs w:val="24"/>
          <w:lang w:val="ro-MD" w:eastAsia="ru-RU"/>
        </w:rPr>
        <w:t>ș</w:t>
      </w:r>
      <w:r w:rsidR="00F00358" w:rsidRPr="00363CFA">
        <w:rPr>
          <w:rFonts w:asciiTheme="majorHAnsi" w:eastAsia="Times New Roman" w:hAnsiTheme="majorHAnsi" w:cstheme="majorHAnsi"/>
          <w:sz w:val="24"/>
          <w:szCs w:val="24"/>
          <w:lang w:val="ro-MD" w:eastAsia="ru-RU"/>
        </w:rPr>
        <w:t>i Vulcăne</w:t>
      </w:r>
      <w:r w:rsidR="0069374B" w:rsidRPr="00363CFA">
        <w:rPr>
          <w:rFonts w:asciiTheme="majorHAnsi" w:eastAsia="Times New Roman" w:hAnsiTheme="majorHAnsi" w:cstheme="majorHAnsi"/>
          <w:sz w:val="24"/>
          <w:szCs w:val="24"/>
          <w:lang w:val="ro-MD" w:eastAsia="ru-RU"/>
        </w:rPr>
        <w:t>ș</w:t>
      </w:r>
      <w:r w:rsidR="00F00358" w:rsidRPr="00363CFA">
        <w:rPr>
          <w:rFonts w:asciiTheme="majorHAnsi" w:eastAsia="Times New Roman" w:hAnsiTheme="majorHAnsi" w:cstheme="majorHAnsi"/>
          <w:sz w:val="24"/>
          <w:szCs w:val="24"/>
          <w:lang w:val="ro-MD" w:eastAsia="ru-RU"/>
        </w:rPr>
        <w:t>ti. Remunerarea angaja</w:t>
      </w:r>
      <w:r w:rsidR="0069374B" w:rsidRPr="00363CFA">
        <w:rPr>
          <w:rFonts w:asciiTheme="majorHAnsi" w:eastAsia="Times New Roman" w:hAnsiTheme="majorHAnsi" w:cstheme="majorHAnsi"/>
          <w:sz w:val="24"/>
          <w:szCs w:val="24"/>
          <w:lang w:val="ro-MD" w:eastAsia="ru-RU"/>
        </w:rPr>
        <w:t>ț</w:t>
      </w:r>
      <w:r w:rsidR="00F00358" w:rsidRPr="00363CFA">
        <w:rPr>
          <w:rFonts w:asciiTheme="majorHAnsi" w:eastAsia="Times New Roman" w:hAnsiTheme="majorHAnsi" w:cstheme="majorHAnsi"/>
          <w:sz w:val="24"/>
          <w:szCs w:val="24"/>
          <w:lang w:val="ro-MD" w:eastAsia="ru-RU"/>
        </w:rPr>
        <w:t xml:space="preserve">ilor </w:t>
      </w:r>
      <w:r w:rsidR="00BE040C">
        <w:rPr>
          <w:rFonts w:asciiTheme="majorHAnsi" w:eastAsia="Times New Roman" w:hAnsiTheme="majorHAnsi" w:cstheme="majorHAnsi"/>
          <w:sz w:val="24"/>
          <w:szCs w:val="24"/>
          <w:lang w:val="ro-MD" w:eastAsia="ru-RU"/>
        </w:rPr>
        <w:t>desemnați în aceste</w:t>
      </w:r>
      <w:r w:rsidR="00F00358" w:rsidRPr="00363CFA">
        <w:rPr>
          <w:rFonts w:asciiTheme="majorHAnsi" w:eastAsia="Times New Roman" w:hAnsiTheme="majorHAnsi" w:cstheme="majorHAnsi"/>
          <w:sz w:val="24"/>
          <w:szCs w:val="24"/>
          <w:lang w:val="ro-MD" w:eastAsia="ru-RU"/>
        </w:rPr>
        <w:t xml:space="preserve"> func</w:t>
      </w:r>
      <w:r w:rsidR="0069374B" w:rsidRPr="00363CFA">
        <w:rPr>
          <w:rFonts w:asciiTheme="majorHAnsi" w:eastAsia="Times New Roman" w:hAnsiTheme="majorHAnsi" w:cstheme="majorHAnsi"/>
          <w:sz w:val="24"/>
          <w:szCs w:val="24"/>
          <w:lang w:val="ro-MD" w:eastAsia="ru-RU"/>
        </w:rPr>
        <w:t>ț</w:t>
      </w:r>
      <w:r w:rsidR="00F00358" w:rsidRPr="00363CFA">
        <w:rPr>
          <w:rFonts w:asciiTheme="majorHAnsi" w:eastAsia="Times New Roman" w:hAnsiTheme="majorHAnsi" w:cstheme="majorHAnsi"/>
          <w:sz w:val="24"/>
          <w:szCs w:val="24"/>
          <w:lang w:val="ro-MD" w:eastAsia="ru-RU"/>
        </w:rPr>
        <w:t xml:space="preserve">ii se efectuează conform prevederilor Legii </w:t>
      </w:r>
      <w:r w:rsidR="00BE040C" w:rsidRPr="003C2D6D">
        <w:rPr>
          <w:rFonts w:asciiTheme="majorHAnsi" w:eastAsia="Times New Roman" w:hAnsiTheme="majorHAnsi" w:cstheme="majorHAnsi"/>
          <w:sz w:val="24"/>
          <w:szCs w:val="24"/>
          <w:lang w:val="ro-MD" w:eastAsia="ru-RU"/>
        </w:rPr>
        <w:t>nr.</w:t>
      </w:r>
      <w:r w:rsidR="00F00358" w:rsidRPr="003C2D6D">
        <w:rPr>
          <w:rFonts w:asciiTheme="majorHAnsi" w:eastAsia="Times New Roman" w:hAnsiTheme="majorHAnsi" w:cstheme="majorHAnsi"/>
          <w:sz w:val="24"/>
          <w:szCs w:val="24"/>
          <w:lang w:val="ro-MD" w:eastAsia="ru-RU"/>
        </w:rPr>
        <w:t>270/2018</w:t>
      </w:r>
      <w:r w:rsidR="00F00358" w:rsidRPr="003C2D6D">
        <w:rPr>
          <w:rStyle w:val="FootnoteReference"/>
          <w:rFonts w:asciiTheme="majorHAnsi" w:eastAsia="Times New Roman" w:hAnsiTheme="majorHAnsi" w:cstheme="majorHAnsi"/>
          <w:sz w:val="24"/>
          <w:szCs w:val="24"/>
          <w:lang w:val="ro-MD" w:eastAsia="ru-RU"/>
        </w:rPr>
        <w:footnoteReference w:id="63"/>
      </w:r>
      <w:r w:rsidR="00F00358" w:rsidRPr="003C2D6D">
        <w:rPr>
          <w:rFonts w:asciiTheme="majorHAnsi" w:eastAsia="Times New Roman" w:hAnsiTheme="majorHAnsi" w:cstheme="majorHAnsi"/>
          <w:sz w:val="24"/>
          <w:szCs w:val="24"/>
          <w:lang w:val="ro-MD" w:eastAsia="ru-RU"/>
        </w:rPr>
        <w:t xml:space="preserve"> pentru</w:t>
      </w:r>
      <w:r w:rsidR="00F00358" w:rsidRPr="00363CFA">
        <w:rPr>
          <w:rFonts w:asciiTheme="majorHAnsi" w:eastAsia="Times New Roman" w:hAnsiTheme="majorHAnsi" w:cstheme="majorHAnsi"/>
          <w:sz w:val="24"/>
          <w:szCs w:val="24"/>
          <w:lang w:val="ro-MD" w:eastAsia="ru-RU"/>
        </w:rPr>
        <w:t xml:space="preserve"> func</w:t>
      </w:r>
      <w:r w:rsidR="0069374B" w:rsidRPr="00363CFA">
        <w:rPr>
          <w:rFonts w:asciiTheme="majorHAnsi" w:eastAsia="Times New Roman" w:hAnsiTheme="majorHAnsi" w:cstheme="majorHAnsi"/>
          <w:sz w:val="24"/>
          <w:szCs w:val="24"/>
          <w:lang w:val="ro-MD" w:eastAsia="ru-RU"/>
        </w:rPr>
        <w:t>ț</w:t>
      </w:r>
      <w:r w:rsidR="00F00358" w:rsidRPr="00363CFA">
        <w:rPr>
          <w:rFonts w:asciiTheme="majorHAnsi" w:eastAsia="Times New Roman" w:hAnsiTheme="majorHAnsi" w:cstheme="majorHAnsi"/>
          <w:sz w:val="24"/>
          <w:szCs w:val="24"/>
          <w:lang w:val="ro-MD" w:eastAsia="ru-RU"/>
        </w:rPr>
        <w:t>iile similare din raioanele de pe teritoriul R</w:t>
      </w:r>
      <w:r w:rsidR="006550CC">
        <w:rPr>
          <w:rFonts w:asciiTheme="majorHAnsi" w:eastAsia="Times New Roman" w:hAnsiTheme="majorHAnsi" w:cstheme="majorHAnsi"/>
          <w:sz w:val="24"/>
          <w:szCs w:val="24"/>
          <w:lang w:val="ro-MD" w:eastAsia="ru-RU"/>
        </w:rPr>
        <w:t xml:space="preserve">epublicii </w:t>
      </w:r>
      <w:r w:rsidR="00F00358" w:rsidRPr="00363CFA">
        <w:rPr>
          <w:rFonts w:asciiTheme="majorHAnsi" w:eastAsia="Times New Roman" w:hAnsiTheme="majorHAnsi" w:cstheme="majorHAnsi"/>
          <w:sz w:val="24"/>
          <w:szCs w:val="24"/>
          <w:lang w:val="ro-MD" w:eastAsia="ru-RU"/>
        </w:rPr>
        <w:t>M</w:t>
      </w:r>
      <w:r w:rsidR="006550CC">
        <w:rPr>
          <w:rFonts w:asciiTheme="majorHAnsi" w:eastAsia="Times New Roman" w:hAnsiTheme="majorHAnsi" w:cstheme="majorHAnsi"/>
          <w:sz w:val="24"/>
          <w:szCs w:val="24"/>
          <w:lang w:val="ro-MD" w:eastAsia="ru-RU"/>
        </w:rPr>
        <w:t>oldova,</w:t>
      </w:r>
      <w:r w:rsidR="00F00358" w:rsidRPr="00363CFA">
        <w:rPr>
          <w:rFonts w:asciiTheme="majorHAnsi" w:eastAsia="Times New Roman" w:hAnsiTheme="majorHAnsi" w:cstheme="majorHAnsi"/>
          <w:sz w:val="24"/>
          <w:szCs w:val="24"/>
          <w:lang w:val="ro-MD" w:eastAsia="ru-RU"/>
        </w:rPr>
        <w:t xml:space="preserve"> în perioada </w:t>
      </w:r>
      <w:r w:rsidR="00BE040C">
        <w:rPr>
          <w:rFonts w:asciiTheme="majorHAnsi" w:eastAsia="Times New Roman" w:hAnsiTheme="majorHAnsi" w:cstheme="majorHAnsi"/>
          <w:sz w:val="24"/>
          <w:szCs w:val="24"/>
          <w:lang w:val="ro-MD" w:eastAsia="ru-RU"/>
        </w:rPr>
        <w:t xml:space="preserve">anilor </w:t>
      </w:r>
      <w:r w:rsidR="00F00358" w:rsidRPr="00363CFA">
        <w:rPr>
          <w:rFonts w:asciiTheme="majorHAnsi" w:eastAsia="Times New Roman" w:hAnsiTheme="majorHAnsi" w:cstheme="majorHAnsi"/>
          <w:sz w:val="24"/>
          <w:szCs w:val="24"/>
          <w:lang w:val="ro-MD" w:eastAsia="ru-RU"/>
        </w:rPr>
        <w:t>2019 – 2020 constitui</w:t>
      </w:r>
      <w:r w:rsidR="006550CC">
        <w:rPr>
          <w:rFonts w:asciiTheme="majorHAnsi" w:eastAsia="Times New Roman" w:hAnsiTheme="majorHAnsi" w:cstheme="majorHAnsi"/>
          <w:sz w:val="24"/>
          <w:szCs w:val="24"/>
          <w:lang w:val="ro-MD" w:eastAsia="ru-RU"/>
        </w:rPr>
        <w:t>nd suma de</w:t>
      </w:r>
      <w:r w:rsidR="00F00358" w:rsidRPr="00363CFA">
        <w:rPr>
          <w:rFonts w:asciiTheme="majorHAnsi" w:eastAsia="Times New Roman" w:hAnsiTheme="majorHAnsi" w:cstheme="majorHAnsi"/>
          <w:sz w:val="24"/>
          <w:szCs w:val="24"/>
          <w:lang w:val="ro-MD" w:eastAsia="ru-RU"/>
        </w:rPr>
        <w:t xml:space="preserve"> </w:t>
      </w:r>
      <w:r w:rsidR="00F267BB" w:rsidRPr="00363CFA">
        <w:rPr>
          <w:rFonts w:asciiTheme="majorHAnsi" w:eastAsia="Times New Roman" w:hAnsiTheme="majorHAnsi" w:cstheme="majorHAnsi"/>
          <w:sz w:val="24"/>
          <w:szCs w:val="24"/>
          <w:lang w:val="ro-MD" w:eastAsia="ru-RU"/>
        </w:rPr>
        <w:t>2638,7 mii lei</w:t>
      </w:r>
      <w:r w:rsidR="00F267BB" w:rsidRPr="00363CFA">
        <w:rPr>
          <w:rStyle w:val="FootnoteReference"/>
          <w:rFonts w:asciiTheme="majorHAnsi" w:eastAsia="Times New Roman" w:hAnsiTheme="majorHAnsi" w:cstheme="majorHAnsi"/>
          <w:sz w:val="24"/>
          <w:szCs w:val="24"/>
          <w:lang w:val="ro-MD" w:eastAsia="ru-RU"/>
        </w:rPr>
        <w:footnoteReference w:id="64"/>
      </w:r>
      <w:r w:rsidR="00F267BB" w:rsidRPr="00363CFA">
        <w:rPr>
          <w:rFonts w:asciiTheme="majorHAnsi" w:eastAsia="Times New Roman" w:hAnsiTheme="majorHAnsi" w:cstheme="majorHAnsi"/>
          <w:sz w:val="24"/>
          <w:szCs w:val="24"/>
          <w:lang w:val="ro-MD" w:eastAsia="ru-RU"/>
        </w:rPr>
        <w:t>, inclusiv contribu</w:t>
      </w:r>
      <w:r w:rsidR="0069374B" w:rsidRPr="00363CFA">
        <w:rPr>
          <w:rFonts w:asciiTheme="majorHAnsi" w:eastAsia="Times New Roman" w:hAnsiTheme="majorHAnsi" w:cstheme="majorHAnsi"/>
          <w:sz w:val="24"/>
          <w:szCs w:val="24"/>
          <w:lang w:val="ro-MD" w:eastAsia="ru-RU"/>
        </w:rPr>
        <w:t>ț</w:t>
      </w:r>
      <w:r w:rsidR="00F267BB" w:rsidRPr="00363CFA">
        <w:rPr>
          <w:rFonts w:asciiTheme="majorHAnsi" w:eastAsia="Times New Roman" w:hAnsiTheme="majorHAnsi" w:cstheme="majorHAnsi"/>
          <w:sz w:val="24"/>
          <w:szCs w:val="24"/>
          <w:lang w:val="ro-MD" w:eastAsia="ru-RU"/>
        </w:rPr>
        <w:t>ii obligatorii – 561,1 mii lei</w:t>
      </w:r>
      <w:r w:rsidR="008F7042" w:rsidRPr="00363CFA">
        <w:rPr>
          <w:rFonts w:asciiTheme="majorHAnsi" w:eastAsia="Times New Roman" w:hAnsiTheme="majorHAnsi" w:cstheme="majorHAnsi"/>
          <w:sz w:val="24"/>
          <w:szCs w:val="24"/>
          <w:lang w:val="ro-MD" w:eastAsia="ru-RU"/>
        </w:rPr>
        <w:t xml:space="preserve"> </w:t>
      </w:r>
      <w:r w:rsidR="00F267BB" w:rsidRPr="00363CFA">
        <w:rPr>
          <w:rFonts w:asciiTheme="majorHAnsi" w:eastAsia="Times New Roman" w:hAnsiTheme="majorHAnsi" w:cstheme="majorHAnsi"/>
          <w:sz w:val="24"/>
          <w:szCs w:val="24"/>
          <w:lang w:val="ro-MD" w:eastAsia="ru-RU"/>
        </w:rPr>
        <w:t>(fondul de remunerare)</w:t>
      </w:r>
      <w:r w:rsidR="008F7042" w:rsidRPr="00363CFA">
        <w:rPr>
          <w:rFonts w:asciiTheme="majorHAnsi" w:eastAsia="Times New Roman" w:hAnsiTheme="majorHAnsi" w:cstheme="majorHAnsi"/>
          <w:sz w:val="24"/>
          <w:szCs w:val="24"/>
          <w:lang w:val="ro-MD" w:eastAsia="ru-RU"/>
        </w:rPr>
        <w:t>.</w:t>
      </w:r>
      <w:r w:rsidR="00F267BB" w:rsidRPr="00363CFA">
        <w:rPr>
          <w:rFonts w:asciiTheme="majorHAnsi" w:eastAsia="Times New Roman" w:hAnsiTheme="majorHAnsi" w:cstheme="majorHAnsi"/>
          <w:sz w:val="24"/>
          <w:szCs w:val="24"/>
          <w:lang w:val="ro-MD" w:eastAsia="ru-RU"/>
        </w:rPr>
        <w:t xml:space="preserve">  În opinia echipei de audit,  institu</w:t>
      </w:r>
      <w:r w:rsidR="0069374B" w:rsidRPr="00363CFA">
        <w:rPr>
          <w:rFonts w:asciiTheme="majorHAnsi" w:eastAsia="Times New Roman" w:hAnsiTheme="majorHAnsi" w:cstheme="majorHAnsi"/>
          <w:sz w:val="24"/>
          <w:szCs w:val="24"/>
          <w:lang w:val="ro-MD" w:eastAsia="ru-RU"/>
        </w:rPr>
        <w:t>ț</w:t>
      </w:r>
      <w:r w:rsidR="00F267BB" w:rsidRPr="00363CFA">
        <w:rPr>
          <w:rFonts w:asciiTheme="majorHAnsi" w:eastAsia="Times New Roman" w:hAnsiTheme="majorHAnsi" w:cstheme="majorHAnsi"/>
          <w:sz w:val="24"/>
          <w:szCs w:val="24"/>
          <w:lang w:val="ro-MD" w:eastAsia="ru-RU"/>
        </w:rPr>
        <w:t>ii</w:t>
      </w:r>
      <w:r w:rsidR="009D231E">
        <w:rPr>
          <w:rFonts w:asciiTheme="majorHAnsi" w:eastAsia="Times New Roman" w:hAnsiTheme="majorHAnsi" w:cstheme="majorHAnsi"/>
          <w:sz w:val="24"/>
          <w:szCs w:val="24"/>
          <w:lang w:val="ro-MD" w:eastAsia="ru-RU"/>
        </w:rPr>
        <w:t>le menționate</w:t>
      </w:r>
      <w:r w:rsidR="00F267BB" w:rsidRPr="00363CFA">
        <w:rPr>
          <w:rFonts w:asciiTheme="majorHAnsi" w:eastAsia="Times New Roman" w:hAnsiTheme="majorHAnsi" w:cstheme="majorHAnsi"/>
          <w:sz w:val="24"/>
          <w:szCs w:val="24"/>
          <w:lang w:val="ro-MD" w:eastAsia="ru-RU"/>
        </w:rPr>
        <w:t xml:space="preserve"> urmau a fi clasificate ca  „direc</w:t>
      </w:r>
      <w:r w:rsidR="0069374B" w:rsidRPr="00363CFA">
        <w:rPr>
          <w:rFonts w:asciiTheme="majorHAnsi" w:eastAsia="Times New Roman" w:hAnsiTheme="majorHAnsi" w:cstheme="majorHAnsi"/>
          <w:sz w:val="24"/>
          <w:szCs w:val="24"/>
          <w:lang w:val="ro-MD" w:eastAsia="ru-RU"/>
        </w:rPr>
        <w:t>ț</w:t>
      </w:r>
      <w:r w:rsidR="00F267BB" w:rsidRPr="00363CFA">
        <w:rPr>
          <w:rFonts w:asciiTheme="majorHAnsi" w:eastAsia="Times New Roman" w:hAnsiTheme="majorHAnsi" w:cstheme="majorHAnsi"/>
          <w:sz w:val="24"/>
          <w:szCs w:val="24"/>
          <w:lang w:val="ro-MD" w:eastAsia="ru-RU"/>
        </w:rPr>
        <w:t>ii generale”</w:t>
      </w:r>
      <w:r w:rsidR="00BE040C">
        <w:rPr>
          <w:rFonts w:asciiTheme="majorHAnsi" w:eastAsia="Times New Roman" w:hAnsiTheme="majorHAnsi" w:cstheme="majorHAnsi"/>
          <w:sz w:val="24"/>
          <w:szCs w:val="24"/>
          <w:lang w:val="ro-MD" w:eastAsia="ru-RU"/>
        </w:rPr>
        <w:t>,</w:t>
      </w:r>
      <w:r w:rsidR="00F267BB" w:rsidRPr="00363CFA">
        <w:rPr>
          <w:rFonts w:asciiTheme="majorHAnsi" w:eastAsia="Times New Roman" w:hAnsiTheme="majorHAnsi" w:cstheme="majorHAnsi"/>
          <w:sz w:val="24"/>
          <w:szCs w:val="24"/>
          <w:lang w:val="ro-MD" w:eastAsia="ru-RU"/>
        </w:rPr>
        <w:t xml:space="preserve"> cu remunerarea pentru func</w:t>
      </w:r>
      <w:r w:rsidR="0069374B" w:rsidRPr="00363CFA">
        <w:rPr>
          <w:rFonts w:asciiTheme="majorHAnsi" w:eastAsia="Times New Roman" w:hAnsiTheme="majorHAnsi" w:cstheme="majorHAnsi"/>
          <w:sz w:val="24"/>
          <w:szCs w:val="24"/>
          <w:lang w:val="ro-MD" w:eastAsia="ru-RU"/>
        </w:rPr>
        <w:t>ț</w:t>
      </w:r>
      <w:r w:rsidR="00F267BB" w:rsidRPr="00363CFA">
        <w:rPr>
          <w:rFonts w:asciiTheme="majorHAnsi" w:eastAsia="Times New Roman" w:hAnsiTheme="majorHAnsi" w:cstheme="majorHAnsi"/>
          <w:sz w:val="24"/>
          <w:szCs w:val="24"/>
          <w:lang w:val="ro-MD" w:eastAsia="ru-RU"/>
        </w:rPr>
        <w:t xml:space="preserve">iile respective, ceea ce ar fi </w:t>
      </w:r>
      <w:r w:rsidR="006550CC">
        <w:rPr>
          <w:rFonts w:asciiTheme="majorHAnsi" w:eastAsia="Times New Roman" w:hAnsiTheme="majorHAnsi" w:cstheme="majorHAnsi"/>
          <w:sz w:val="24"/>
          <w:szCs w:val="24"/>
          <w:lang w:val="ro-MD" w:eastAsia="ru-RU"/>
        </w:rPr>
        <w:t xml:space="preserve">determinat </w:t>
      </w:r>
      <w:r w:rsidR="00F267BB" w:rsidRPr="00363CFA">
        <w:rPr>
          <w:rFonts w:asciiTheme="majorHAnsi" w:eastAsia="Times New Roman" w:hAnsiTheme="majorHAnsi" w:cstheme="majorHAnsi"/>
          <w:sz w:val="24"/>
          <w:szCs w:val="24"/>
          <w:lang w:val="ro-MD" w:eastAsia="ru-RU"/>
        </w:rPr>
        <w:t>economisi</w:t>
      </w:r>
      <w:r w:rsidR="006550CC">
        <w:rPr>
          <w:rFonts w:asciiTheme="majorHAnsi" w:eastAsia="Times New Roman" w:hAnsiTheme="majorHAnsi" w:cstheme="majorHAnsi"/>
          <w:sz w:val="24"/>
          <w:szCs w:val="24"/>
          <w:lang w:val="ro-MD" w:eastAsia="ru-RU"/>
        </w:rPr>
        <w:t>rea</w:t>
      </w:r>
      <w:r w:rsidR="00F267BB" w:rsidRPr="00363CFA">
        <w:rPr>
          <w:rFonts w:asciiTheme="majorHAnsi" w:eastAsia="Times New Roman" w:hAnsiTheme="majorHAnsi" w:cstheme="majorHAnsi"/>
          <w:sz w:val="24"/>
          <w:szCs w:val="24"/>
          <w:lang w:val="ro-MD" w:eastAsia="ru-RU"/>
        </w:rPr>
        <w:t xml:space="preserve"> mijloace</w:t>
      </w:r>
      <w:r w:rsidR="006550CC">
        <w:rPr>
          <w:rFonts w:asciiTheme="majorHAnsi" w:eastAsia="Times New Roman" w:hAnsiTheme="majorHAnsi" w:cstheme="majorHAnsi"/>
          <w:sz w:val="24"/>
          <w:szCs w:val="24"/>
          <w:lang w:val="ro-MD" w:eastAsia="ru-RU"/>
        </w:rPr>
        <w:t>lor</w:t>
      </w:r>
      <w:r w:rsidR="00F267BB" w:rsidRPr="00363CFA">
        <w:rPr>
          <w:rFonts w:asciiTheme="majorHAnsi" w:eastAsia="Times New Roman" w:hAnsiTheme="majorHAnsi" w:cstheme="majorHAnsi"/>
          <w:sz w:val="24"/>
          <w:szCs w:val="24"/>
          <w:lang w:val="ro-MD" w:eastAsia="ru-RU"/>
        </w:rPr>
        <w:t xml:space="preserve"> băne</w:t>
      </w:r>
      <w:r w:rsidR="0069374B" w:rsidRPr="00363CFA">
        <w:rPr>
          <w:rFonts w:asciiTheme="majorHAnsi" w:eastAsia="Times New Roman" w:hAnsiTheme="majorHAnsi" w:cstheme="majorHAnsi"/>
          <w:sz w:val="24"/>
          <w:szCs w:val="24"/>
          <w:lang w:val="ro-MD" w:eastAsia="ru-RU"/>
        </w:rPr>
        <w:t>ș</w:t>
      </w:r>
      <w:r w:rsidR="00F267BB" w:rsidRPr="00363CFA">
        <w:rPr>
          <w:rFonts w:asciiTheme="majorHAnsi" w:eastAsia="Times New Roman" w:hAnsiTheme="majorHAnsi" w:cstheme="majorHAnsi"/>
          <w:sz w:val="24"/>
          <w:szCs w:val="24"/>
          <w:lang w:val="ro-MD" w:eastAsia="ru-RU"/>
        </w:rPr>
        <w:t>ti pentru remunerarea angaja</w:t>
      </w:r>
      <w:r w:rsidR="0069374B" w:rsidRPr="00363CFA">
        <w:rPr>
          <w:rFonts w:asciiTheme="majorHAnsi" w:eastAsia="Times New Roman" w:hAnsiTheme="majorHAnsi" w:cstheme="majorHAnsi"/>
          <w:sz w:val="24"/>
          <w:szCs w:val="24"/>
          <w:lang w:val="ro-MD" w:eastAsia="ru-RU"/>
        </w:rPr>
        <w:t>ț</w:t>
      </w:r>
      <w:r w:rsidR="00F267BB" w:rsidRPr="00363CFA">
        <w:rPr>
          <w:rFonts w:asciiTheme="majorHAnsi" w:eastAsia="Times New Roman" w:hAnsiTheme="majorHAnsi" w:cstheme="majorHAnsi"/>
          <w:sz w:val="24"/>
          <w:szCs w:val="24"/>
          <w:lang w:val="ro-MD" w:eastAsia="ru-RU"/>
        </w:rPr>
        <w:t xml:space="preserve">ilor </w:t>
      </w:r>
      <w:r w:rsidR="006550CC">
        <w:rPr>
          <w:rFonts w:asciiTheme="majorHAnsi" w:eastAsia="Times New Roman" w:hAnsiTheme="majorHAnsi" w:cstheme="majorHAnsi"/>
          <w:sz w:val="24"/>
          <w:szCs w:val="24"/>
          <w:lang w:val="ro-MD" w:eastAsia="ru-RU"/>
        </w:rPr>
        <w:t>în</w:t>
      </w:r>
      <w:r w:rsidR="00F267BB" w:rsidRPr="00363CFA">
        <w:rPr>
          <w:rFonts w:asciiTheme="majorHAnsi" w:eastAsia="Times New Roman" w:hAnsiTheme="majorHAnsi" w:cstheme="majorHAnsi"/>
          <w:sz w:val="24"/>
          <w:szCs w:val="24"/>
          <w:lang w:val="ro-MD" w:eastAsia="ru-RU"/>
        </w:rPr>
        <w:t xml:space="preserve"> aceste func</w:t>
      </w:r>
      <w:r w:rsidR="0069374B" w:rsidRPr="00363CFA">
        <w:rPr>
          <w:rFonts w:asciiTheme="majorHAnsi" w:eastAsia="Times New Roman" w:hAnsiTheme="majorHAnsi" w:cstheme="majorHAnsi"/>
          <w:sz w:val="24"/>
          <w:szCs w:val="24"/>
          <w:lang w:val="ro-MD" w:eastAsia="ru-RU"/>
        </w:rPr>
        <w:t>ț</w:t>
      </w:r>
      <w:r w:rsidR="00F267BB" w:rsidRPr="00363CFA">
        <w:rPr>
          <w:rFonts w:asciiTheme="majorHAnsi" w:eastAsia="Times New Roman" w:hAnsiTheme="majorHAnsi" w:cstheme="majorHAnsi"/>
          <w:sz w:val="24"/>
          <w:szCs w:val="24"/>
          <w:lang w:val="ro-MD" w:eastAsia="ru-RU"/>
        </w:rPr>
        <w:t xml:space="preserve">ii, în perioada </w:t>
      </w:r>
      <w:r w:rsidR="006550CC">
        <w:rPr>
          <w:rFonts w:asciiTheme="majorHAnsi" w:eastAsia="Times New Roman" w:hAnsiTheme="majorHAnsi" w:cstheme="majorHAnsi"/>
          <w:sz w:val="24"/>
          <w:szCs w:val="24"/>
          <w:lang w:val="ro-MD" w:eastAsia="ru-RU"/>
        </w:rPr>
        <w:t xml:space="preserve">anilor </w:t>
      </w:r>
      <w:r w:rsidR="00F267BB" w:rsidRPr="00363CFA">
        <w:rPr>
          <w:rFonts w:asciiTheme="majorHAnsi" w:eastAsia="Times New Roman" w:hAnsiTheme="majorHAnsi" w:cstheme="majorHAnsi"/>
          <w:sz w:val="24"/>
          <w:szCs w:val="24"/>
          <w:lang w:val="ro-MD" w:eastAsia="ru-RU"/>
        </w:rPr>
        <w:t xml:space="preserve">2019 </w:t>
      </w:r>
      <w:r w:rsidR="0069374B" w:rsidRPr="00363CFA">
        <w:rPr>
          <w:rFonts w:asciiTheme="majorHAnsi" w:eastAsia="Times New Roman" w:hAnsiTheme="majorHAnsi" w:cstheme="majorHAnsi"/>
          <w:sz w:val="24"/>
          <w:szCs w:val="24"/>
          <w:lang w:val="ro-MD" w:eastAsia="ru-RU"/>
        </w:rPr>
        <w:t>ș</w:t>
      </w:r>
      <w:r w:rsidR="00F267BB" w:rsidRPr="00363CFA">
        <w:rPr>
          <w:rFonts w:asciiTheme="majorHAnsi" w:eastAsia="Times New Roman" w:hAnsiTheme="majorHAnsi" w:cstheme="majorHAnsi"/>
          <w:sz w:val="24"/>
          <w:szCs w:val="24"/>
          <w:lang w:val="ro-MD" w:eastAsia="ru-RU"/>
        </w:rPr>
        <w:t xml:space="preserve">i 2020, </w:t>
      </w:r>
      <w:r w:rsidR="00FA2F03">
        <w:rPr>
          <w:rFonts w:asciiTheme="majorHAnsi" w:eastAsia="Times New Roman" w:hAnsiTheme="majorHAnsi" w:cstheme="majorHAnsi"/>
          <w:sz w:val="24"/>
          <w:szCs w:val="24"/>
          <w:lang w:val="ro-MD" w:eastAsia="ru-RU"/>
        </w:rPr>
        <w:t xml:space="preserve">în sumă </w:t>
      </w:r>
      <w:r w:rsidR="00F267BB" w:rsidRPr="00363CFA">
        <w:rPr>
          <w:rFonts w:asciiTheme="majorHAnsi" w:eastAsia="Times New Roman" w:hAnsiTheme="majorHAnsi" w:cstheme="majorHAnsi"/>
          <w:sz w:val="24"/>
          <w:szCs w:val="24"/>
          <w:lang w:val="ro-MD" w:eastAsia="ru-RU"/>
        </w:rPr>
        <w:t xml:space="preserve">de circa </w:t>
      </w:r>
      <w:r w:rsidR="00F267BB" w:rsidRPr="00BC3271">
        <w:rPr>
          <w:rFonts w:asciiTheme="majorHAnsi" w:eastAsia="Times New Roman" w:hAnsiTheme="majorHAnsi" w:cstheme="majorHAnsi"/>
          <w:b/>
          <w:sz w:val="24"/>
          <w:szCs w:val="24"/>
          <w:lang w:val="ro-MD" w:eastAsia="ru-RU"/>
        </w:rPr>
        <w:t>656,2 mii lei</w:t>
      </w:r>
      <w:r w:rsidR="00F267BB" w:rsidRPr="00363CFA">
        <w:rPr>
          <w:rStyle w:val="FootnoteReference"/>
          <w:rFonts w:asciiTheme="majorHAnsi" w:eastAsia="Times New Roman" w:hAnsiTheme="majorHAnsi" w:cstheme="majorHAnsi"/>
          <w:sz w:val="24"/>
          <w:szCs w:val="24"/>
          <w:lang w:val="ro-MD" w:eastAsia="ru-RU"/>
        </w:rPr>
        <w:footnoteReference w:id="65"/>
      </w:r>
      <w:r w:rsidR="00F267BB" w:rsidRPr="00363CFA">
        <w:rPr>
          <w:rFonts w:asciiTheme="majorHAnsi" w:eastAsia="Times New Roman" w:hAnsiTheme="majorHAnsi" w:cstheme="majorHAnsi"/>
          <w:sz w:val="24"/>
          <w:szCs w:val="24"/>
          <w:lang w:val="ro-MD" w:eastAsia="ru-RU"/>
        </w:rPr>
        <w:t xml:space="preserve"> </w:t>
      </w:r>
      <w:r w:rsidR="00F267BB" w:rsidRPr="00363CFA">
        <w:rPr>
          <w:rFonts w:asciiTheme="majorHAnsi" w:eastAsia="Times New Roman" w:hAnsiTheme="majorHAnsi" w:cstheme="majorHAnsi"/>
          <w:i/>
          <w:sz w:val="24"/>
          <w:szCs w:val="24"/>
          <w:lang w:val="ro-MD" w:eastAsia="ru-RU"/>
        </w:rPr>
        <w:t xml:space="preserve">(vezi </w:t>
      </w:r>
      <w:r w:rsidR="00F267BB" w:rsidRPr="00BC3271">
        <w:rPr>
          <w:rFonts w:asciiTheme="majorHAnsi" w:eastAsia="Times New Roman" w:hAnsiTheme="majorHAnsi" w:cstheme="majorHAnsi"/>
          <w:b/>
          <w:sz w:val="24"/>
          <w:szCs w:val="24"/>
          <w:lang w:val="ro-MD" w:eastAsia="ru-RU"/>
        </w:rPr>
        <w:t>Anexa nr.</w:t>
      </w:r>
      <w:r w:rsidR="008F7042" w:rsidRPr="00BC3271">
        <w:rPr>
          <w:rFonts w:asciiTheme="majorHAnsi" w:eastAsia="Times New Roman" w:hAnsiTheme="majorHAnsi" w:cstheme="majorHAnsi"/>
          <w:b/>
          <w:sz w:val="24"/>
          <w:szCs w:val="24"/>
          <w:lang w:val="ro-MD" w:eastAsia="ru-RU"/>
        </w:rPr>
        <w:t>9</w:t>
      </w:r>
      <w:r w:rsidR="00F267BB" w:rsidRPr="00363CFA">
        <w:rPr>
          <w:rFonts w:asciiTheme="majorHAnsi" w:eastAsia="Times New Roman" w:hAnsiTheme="majorHAnsi" w:cstheme="majorHAnsi"/>
          <w:i/>
          <w:sz w:val="24"/>
          <w:szCs w:val="24"/>
          <w:lang w:val="ro-MD" w:eastAsia="ru-RU"/>
        </w:rPr>
        <w:t>)</w:t>
      </w:r>
      <w:r w:rsidR="00BE040C">
        <w:rPr>
          <w:rFonts w:asciiTheme="majorHAnsi" w:eastAsia="Times New Roman" w:hAnsiTheme="majorHAnsi" w:cstheme="majorHAnsi"/>
          <w:i/>
          <w:sz w:val="24"/>
          <w:szCs w:val="24"/>
          <w:lang w:val="ro-MD" w:eastAsia="ru-RU"/>
        </w:rPr>
        <w:t>.</w:t>
      </w:r>
      <w:r w:rsidR="00F267BB" w:rsidRPr="00363CFA">
        <w:rPr>
          <w:rFonts w:asciiTheme="majorHAnsi" w:eastAsia="Times New Roman" w:hAnsiTheme="majorHAnsi" w:cstheme="majorHAnsi"/>
          <w:b/>
          <w:i/>
          <w:sz w:val="24"/>
          <w:szCs w:val="24"/>
          <w:lang w:val="ro-MD" w:eastAsia="ru-RU"/>
        </w:rPr>
        <w:t xml:space="preserve">   </w:t>
      </w:r>
    </w:p>
    <w:p w14:paraId="47223DBF" w14:textId="328504AE" w:rsidR="00E67CAD" w:rsidRPr="00363CFA" w:rsidRDefault="00CD41D2" w:rsidP="00767ED8">
      <w:pPr>
        <w:spacing w:after="0" w:line="276" w:lineRule="auto"/>
        <w:contextualSpacing/>
        <w:jc w:val="both"/>
        <w:rPr>
          <w:rFonts w:asciiTheme="majorHAnsi" w:hAnsiTheme="majorHAnsi" w:cstheme="majorHAnsi"/>
          <w:b/>
          <w:iCs/>
          <w:sz w:val="24"/>
          <w:szCs w:val="24"/>
          <w:lang w:val="ro-MD"/>
        </w:rPr>
      </w:pPr>
      <w:r w:rsidRPr="00363CFA">
        <w:rPr>
          <w:rFonts w:asciiTheme="majorHAnsi" w:hAnsiTheme="majorHAnsi" w:cstheme="majorHAnsi"/>
          <w:b/>
          <w:iCs/>
          <w:sz w:val="24"/>
          <w:szCs w:val="24"/>
          <w:lang w:val="ro-MD"/>
        </w:rPr>
        <w:t>4.2.5</w:t>
      </w:r>
      <w:r w:rsidR="008A1E68" w:rsidRPr="00363CFA">
        <w:rPr>
          <w:rFonts w:asciiTheme="majorHAnsi" w:hAnsiTheme="majorHAnsi" w:cstheme="majorHAnsi"/>
          <w:b/>
          <w:iCs/>
          <w:sz w:val="24"/>
          <w:szCs w:val="24"/>
          <w:lang w:val="ro-MD"/>
        </w:rPr>
        <w:t xml:space="preserve">. </w:t>
      </w:r>
      <w:r w:rsidR="00194D9E" w:rsidRPr="00363CFA">
        <w:rPr>
          <w:rFonts w:asciiTheme="majorHAnsi" w:hAnsiTheme="majorHAnsi" w:cstheme="majorHAnsi"/>
          <w:b/>
          <w:iCs/>
          <w:sz w:val="24"/>
          <w:szCs w:val="24"/>
          <w:lang w:val="ro-MD"/>
        </w:rPr>
        <w:t>Alimenta</w:t>
      </w:r>
      <w:r w:rsidR="0069374B" w:rsidRPr="00363CFA">
        <w:rPr>
          <w:rFonts w:asciiTheme="majorHAnsi" w:hAnsiTheme="majorHAnsi" w:cstheme="majorHAnsi"/>
          <w:b/>
          <w:iCs/>
          <w:sz w:val="24"/>
          <w:szCs w:val="24"/>
          <w:lang w:val="ro-MD"/>
        </w:rPr>
        <w:t>ț</w:t>
      </w:r>
      <w:r w:rsidR="00194D9E" w:rsidRPr="00363CFA">
        <w:rPr>
          <w:rFonts w:asciiTheme="majorHAnsi" w:hAnsiTheme="majorHAnsi" w:cstheme="majorHAnsi"/>
          <w:b/>
          <w:iCs/>
          <w:sz w:val="24"/>
          <w:szCs w:val="24"/>
          <w:lang w:val="ro-MD"/>
        </w:rPr>
        <w:t xml:space="preserve">ia copiilor </w:t>
      </w:r>
      <w:r w:rsidR="00E67CAD" w:rsidRPr="00363CFA">
        <w:rPr>
          <w:rFonts w:asciiTheme="majorHAnsi" w:hAnsiTheme="majorHAnsi" w:cstheme="majorHAnsi"/>
          <w:b/>
          <w:iCs/>
          <w:sz w:val="24"/>
          <w:szCs w:val="24"/>
          <w:lang w:val="ro-MD"/>
        </w:rPr>
        <w:t xml:space="preserve"> din institu</w:t>
      </w:r>
      <w:r w:rsidR="0069374B" w:rsidRPr="00363CFA">
        <w:rPr>
          <w:rFonts w:asciiTheme="majorHAnsi" w:hAnsiTheme="majorHAnsi" w:cstheme="majorHAnsi"/>
          <w:b/>
          <w:iCs/>
          <w:sz w:val="24"/>
          <w:szCs w:val="24"/>
          <w:lang w:val="ro-MD"/>
        </w:rPr>
        <w:t>ț</w:t>
      </w:r>
      <w:r w:rsidR="00E67CAD" w:rsidRPr="00363CFA">
        <w:rPr>
          <w:rFonts w:asciiTheme="majorHAnsi" w:hAnsiTheme="majorHAnsi" w:cstheme="majorHAnsi"/>
          <w:b/>
          <w:iCs/>
          <w:sz w:val="24"/>
          <w:szCs w:val="24"/>
          <w:lang w:val="ro-MD"/>
        </w:rPr>
        <w:t>iile d</w:t>
      </w:r>
      <w:r w:rsidR="00194D9E" w:rsidRPr="00363CFA">
        <w:rPr>
          <w:rFonts w:asciiTheme="majorHAnsi" w:hAnsiTheme="majorHAnsi" w:cstheme="majorHAnsi"/>
          <w:b/>
          <w:iCs/>
          <w:sz w:val="24"/>
          <w:szCs w:val="24"/>
          <w:lang w:val="ro-MD"/>
        </w:rPr>
        <w:t>e învă</w:t>
      </w:r>
      <w:r w:rsidR="0069374B" w:rsidRPr="00363CFA">
        <w:rPr>
          <w:rFonts w:asciiTheme="majorHAnsi" w:hAnsiTheme="majorHAnsi" w:cstheme="majorHAnsi"/>
          <w:b/>
          <w:iCs/>
          <w:sz w:val="24"/>
          <w:szCs w:val="24"/>
          <w:lang w:val="ro-MD"/>
        </w:rPr>
        <w:t>ț</w:t>
      </w:r>
      <w:r w:rsidR="00194D9E" w:rsidRPr="00363CFA">
        <w:rPr>
          <w:rFonts w:asciiTheme="majorHAnsi" w:hAnsiTheme="majorHAnsi" w:cstheme="majorHAnsi"/>
          <w:b/>
          <w:iCs/>
          <w:sz w:val="24"/>
          <w:szCs w:val="24"/>
          <w:lang w:val="ro-MD"/>
        </w:rPr>
        <w:t>ăm</w:t>
      </w:r>
      <w:r w:rsidR="00FA2F03">
        <w:rPr>
          <w:rFonts w:asciiTheme="majorHAnsi" w:hAnsiTheme="majorHAnsi" w:cstheme="majorHAnsi"/>
          <w:b/>
          <w:iCs/>
          <w:sz w:val="24"/>
          <w:szCs w:val="24"/>
          <w:lang w:val="ro-MD"/>
        </w:rPr>
        <w:t>â</w:t>
      </w:r>
      <w:r w:rsidR="00194D9E" w:rsidRPr="00363CFA">
        <w:rPr>
          <w:rFonts w:asciiTheme="majorHAnsi" w:hAnsiTheme="majorHAnsi" w:cstheme="majorHAnsi"/>
          <w:b/>
          <w:iCs/>
          <w:sz w:val="24"/>
          <w:szCs w:val="24"/>
          <w:lang w:val="ro-MD"/>
        </w:rPr>
        <w:t>nt pre</w:t>
      </w:r>
      <w:r w:rsidR="0069374B" w:rsidRPr="00363CFA">
        <w:rPr>
          <w:rFonts w:asciiTheme="majorHAnsi" w:hAnsiTheme="majorHAnsi" w:cstheme="majorHAnsi"/>
          <w:b/>
          <w:iCs/>
          <w:sz w:val="24"/>
          <w:szCs w:val="24"/>
          <w:lang w:val="ro-MD"/>
        </w:rPr>
        <w:t>ș</w:t>
      </w:r>
      <w:r w:rsidR="00194D9E" w:rsidRPr="00363CFA">
        <w:rPr>
          <w:rFonts w:asciiTheme="majorHAnsi" w:hAnsiTheme="majorHAnsi" w:cstheme="majorHAnsi"/>
          <w:b/>
          <w:iCs/>
          <w:sz w:val="24"/>
          <w:szCs w:val="24"/>
          <w:lang w:val="ro-MD"/>
        </w:rPr>
        <w:t>colar din UTA Găgăuzia</w:t>
      </w:r>
    </w:p>
    <w:p w14:paraId="07A7A766" w14:textId="3AF1A460" w:rsidR="00143E2C" w:rsidRPr="00363CFA" w:rsidRDefault="00143E2C" w:rsidP="00712FF7">
      <w:pPr>
        <w:spacing w:after="0" w:line="276" w:lineRule="auto"/>
        <w:ind w:right="-22"/>
        <w:jc w:val="both"/>
        <w:rPr>
          <w:rFonts w:asciiTheme="majorHAnsi" w:eastAsia="Calibri" w:hAnsiTheme="majorHAnsi" w:cstheme="majorHAnsi"/>
          <w:b/>
          <w:i/>
          <w:sz w:val="24"/>
          <w:szCs w:val="24"/>
          <w:lang w:val="ro-MD"/>
        </w:rPr>
      </w:pPr>
      <w:r w:rsidRPr="00363CFA">
        <w:rPr>
          <w:rFonts w:asciiTheme="majorHAnsi" w:hAnsiTheme="majorHAnsi" w:cstheme="majorHAnsi"/>
          <w:b/>
          <w:i/>
          <w:sz w:val="24"/>
          <w:szCs w:val="24"/>
          <w:lang w:val="ro-MD"/>
        </w:rPr>
        <w:lastRenderedPageBreak/>
        <w:t>4.2.5.1. În perioada auditată</w:t>
      </w:r>
      <w:r w:rsidR="00FA2F03">
        <w:rPr>
          <w:rFonts w:asciiTheme="majorHAnsi" w:hAnsiTheme="majorHAnsi" w:cstheme="majorHAnsi"/>
          <w:b/>
          <w:i/>
          <w:sz w:val="24"/>
          <w:szCs w:val="24"/>
          <w:lang w:val="ro-MD"/>
        </w:rPr>
        <w:t xml:space="preserve"> (</w:t>
      </w:r>
      <w:r w:rsidRPr="00363CFA">
        <w:rPr>
          <w:rFonts w:asciiTheme="majorHAnsi" w:hAnsiTheme="majorHAnsi" w:cstheme="majorHAnsi"/>
          <w:b/>
          <w:i/>
          <w:sz w:val="24"/>
          <w:szCs w:val="24"/>
          <w:lang w:val="ro-MD"/>
        </w:rPr>
        <w:t>an</w:t>
      </w:r>
      <w:r w:rsidR="00FA2F03">
        <w:rPr>
          <w:rFonts w:asciiTheme="majorHAnsi" w:hAnsiTheme="majorHAnsi" w:cstheme="majorHAnsi"/>
          <w:b/>
          <w:i/>
          <w:sz w:val="24"/>
          <w:szCs w:val="24"/>
          <w:lang w:val="ro-MD"/>
        </w:rPr>
        <w:t>ii</w:t>
      </w:r>
      <w:r w:rsidRPr="00363CFA">
        <w:rPr>
          <w:rFonts w:asciiTheme="majorHAnsi" w:hAnsiTheme="majorHAnsi" w:cstheme="majorHAnsi"/>
          <w:b/>
          <w:i/>
          <w:sz w:val="24"/>
          <w:szCs w:val="24"/>
          <w:lang w:val="ro-MD"/>
        </w:rPr>
        <w:t xml:space="preserve"> 2018-2020</w:t>
      </w:r>
      <w:r w:rsidR="00FA2F03">
        <w:rPr>
          <w:rFonts w:asciiTheme="majorHAnsi" w:hAnsiTheme="majorHAnsi" w:cstheme="majorHAnsi"/>
          <w:b/>
          <w:i/>
          <w:sz w:val="24"/>
          <w:szCs w:val="24"/>
          <w:lang w:val="ro-MD"/>
        </w:rPr>
        <w:t>)</w:t>
      </w:r>
      <w:r w:rsidRPr="00363CFA">
        <w:rPr>
          <w:rFonts w:asciiTheme="majorHAnsi" w:hAnsiTheme="majorHAnsi" w:cstheme="majorHAnsi"/>
          <w:b/>
          <w:i/>
          <w:sz w:val="24"/>
          <w:szCs w:val="24"/>
          <w:lang w:val="ro-MD"/>
        </w:rPr>
        <w:t xml:space="preserve">, </w:t>
      </w:r>
      <w:r w:rsidRPr="00363CFA">
        <w:rPr>
          <w:rFonts w:asciiTheme="majorHAnsi" w:hAnsiTheme="majorHAnsi" w:cstheme="majorHAnsi"/>
          <w:b/>
          <w:i/>
          <w:color w:val="000000" w:themeColor="text1"/>
          <w:sz w:val="24"/>
          <w:szCs w:val="24"/>
          <w:lang w:val="ro-MD"/>
        </w:rPr>
        <w:t>APL de nivelul I din UTA Găgăuzia</w:t>
      </w:r>
      <w:r w:rsidR="008C3818" w:rsidRPr="00363CFA">
        <w:rPr>
          <w:rFonts w:asciiTheme="majorHAnsi" w:hAnsiTheme="majorHAnsi" w:cstheme="majorHAnsi"/>
          <w:b/>
          <w:i/>
          <w:color w:val="000000" w:themeColor="text1"/>
          <w:sz w:val="24"/>
          <w:szCs w:val="24"/>
          <w:lang w:val="ro-MD"/>
        </w:rPr>
        <w:t xml:space="preserve"> (primăriile)</w:t>
      </w:r>
      <w:r w:rsidRPr="00363CFA">
        <w:rPr>
          <w:rFonts w:asciiTheme="majorHAnsi" w:hAnsiTheme="majorHAnsi" w:cstheme="majorHAnsi"/>
          <w:b/>
          <w:i/>
          <w:color w:val="000000" w:themeColor="text1"/>
          <w:sz w:val="24"/>
          <w:szCs w:val="24"/>
          <w:lang w:val="ro-MD"/>
        </w:rPr>
        <w:t xml:space="preserve"> nu au asigurat monitorizarea respectării meniului-model aprobat, nu au verificat cantitatea reală a produselor alimentare, utilizate la prepararea bucatelor pentru copiii din institu</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iile de învă</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ăm</w:t>
      </w:r>
      <w:r w:rsidR="009D231E">
        <w:rPr>
          <w:rFonts w:asciiTheme="majorHAnsi" w:hAnsiTheme="majorHAnsi" w:cstheme="majorHAnsi"/>
          <w:b/>
          <w:i/>
          <w:color w:val="000000" w:themeColor="text1"/>
          <w:sz w:val="24"/>
          <w:szCs w:val="24"/>
          <w:lang w:val="ro-MD"/>
        </w:rPr>
        <w:t>â</w:t>
      </w:r>
      <w:r w:rsidRPr="00363CFA">
        <w:rPr>
          <w:rFonts w:asciiTheme="majorHAnsi" w:hAnsiTheme="majorHAnsi" w:cstheme="majorHAnsi"/>
          <w:b/>
          <w:i/>
          <w:color w:val="000000" w:themeColor="text1"/>
          <w:sz w:val="24"/>
          <w:szCs w:val="24"/>
          <w:lang w:val="ro-MD"/>
        </w:rPr>
        <w:t>nt pre</w:t>
      </w:r>
      <w:r w:rsidR="0069374B" w:rsidRPr="00363CFA">
        <w:rPr>
          <w:rFonts w:asciiTheme="majorHAnsi" w:hAnsiTheme="majorHAnsi" w:cstheme="majorHAnsi"/>
          <w:b/>
          <w:i/>
          <w:color w:val="000000" w:themeColor="text1"/>
          <w:sz w:val="24"/>
          <w:szCs w:val="24"/>
          <w:lang w:val="ro-MD"/>
        </w:rPr>
        <w:t>ș</w:t>
      </w:r>
      <w:r w:rsidRPr="00363CFA">
        <w:rPr>
          <w:rFonts w:asciiTheme="majorHAnsi" w:hAnsiTheme="majorHAnsi" w:cstheme="majorHAnsi"/>
          <w:b/>
          <w:i/>
          <w:color w:val="000000" w:themeColor="text1"/>
          <w:sz w:val="24"/>
          <w:szCs w:val="24"/>
          <w:lang w:val="ro-MD"/>
        </w:rPr>
        <w:t>colar</w:t>
      </w:r>
      <w:r w:rsidRPr="00363CFA">
        <w:rPr>
          <w:rFonts w:asciiTheme="majorHAnsi" w:hAnsiTheme="majorHAnsi" w:cstheme="majorHAnsi"/>
          <w:b/>
          <w:i/>
          <w:sz w:val="24"/>
          <w:szCs w:val="24"/>
          <w:lang w:val="ro-MD"/>
        </w:rPr>
        <w:t xml:space="preserve">, </w:t>
      </w:r>
      <w:r w:rsidR="0069374B" w:rsidRPr="00363CFA">
        <w:rPr>
          <w:rFonts w:asciiTheme="majorHAnsi" w:hAnsiTheme="majorHAnsi" w:cstheme="majorHAnsi"/>
          <w:b/>
          <w:i/>
          <w:sz w:val="24"/>
          <w:szCs w:val="24"/>
          <w:lang w:val="ro-MD"/>
        </w:rPr>
        <w:t>ș</w:t>
      </w:r>
      <w:r w:rsidRPr="00363CFA">
        <w:rPr>
          <w:rFonts w:asciiTheme="majorHAnsi" w:hAnsiTheme="majorHAnsi" w:cstheme="majorHAnsi"/>
          <w:b/>
          <w:i/>
          <w:sz w:val="24"/>
          <w:szCs w:val="24"/>
          <w:lang w:val="ro-MD"/>
        </w:rPr>
        <w:t>i nici personalul medical</w:t>
      </w:r>
      <w:r w:rsidRPr="00363CFA">
        <w:rPr>
          <w:rFonts w:asciiTheme="majorHAnsi" w:hAnsiTheme="majorHAnsi" w:cstheme="majorHAnsi"/>
          <w:b/>
          <w:i/>
          <w:color w:val="000000" w:themeColor="text1"/>
          <w:sz w:val="24"/>
          <w:szCs w:val="24"/>
          <w:lang w:val="ro-MD"/>
        </w:rPr>
        <w:t xml:space="preserve"> nu a respectat principiile de întocmire corectă a meniurilor </w:t>
      </w:r>
      <w:r w:rsidR="0069374B" w:rsidRPr="00363CFA">
        <w:rPr>
          <w:rFonts w:asciiTheme="majorHAnsi" w:hAnsiTheme="majorHAnsi" w:cstheme="majorHAnsi"/>
          <w:b/>
          <w:i/>
          <w:color w:val="000000" w:themeColor="text1"/>
          <w:sz w:val="24"/>
          <w:szCs w:val="24"/>
          <w:lang w:val="ro-MD"/>
        </w:rPr>
        <w:t>ș</w:t>
      </w:r>
      <w:r w:rsidRPr="00363CFA">
        <w:rPr>
          <w:rFonts w:asciiTheme="majorHAnsi" w:hAnsiTheme="majorHAnsi" w:cstheme="majorHAnsi"/>
          <w:b/>
          <w:i/>
          <w:color w:val="000000" w:themeColor="text1"/>
          <w:sz w:val="24"/>
          <w:szCs w:val="24"/>
          <w:lang w:val="ro-MD"/>
        </w:rPr>
        <w:t>i nu a evaluat alimenta</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 xml:space="preserve">ia </w:t>
      </w:r>
      <w:r w:rsidR="0069374B" w:rsidRPr="00363CFA">
        <w:rPr>
          <w:rFonts w:asciiTheme="majorHAnsi" w:hAnsiTheme="majorHAnsi" w:cstheme="majorHAnsi"/>
          <w:b/>
          <w:i/>
          <w:color w:val="000000" w:themeColor="text1"/>
          <w:sz w:val="24"/>
          <w:szCs w:val="24"/>
          <w:lang w:val="ro-MD"/>
        </w:rPr>
        <w:t>ș</w:t>
      </w:r>
      <w:r w:rsidRPr="00363CFA">
        <w:rPr>
          <w:rFonts w:asciiTheme="majorHAnsi" w:hAnsiTheme="majorHAnsi" w:cstheme="majorHAnsi"/>
          <w:b/>
          <w:i/>
          <w:color w:val="000000" w:themeColor="text1"/>
          <w:sz w:val="24"/>
          <w:szCs w:val="24"/>
          <w:lang w:val="ro-MD"/>
        </w:rPr>
        <w:t>i statutul nutri</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ional al copiilor, după cum prevede cadrul normativ, ceea ce a condi</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ionat nerespectarea cantită</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ii zilnice necesare de produse alimentare pentru un copil din institu</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iile pre</w:t>
      </w:r>
      <w:r w:rsidR="0069374B" w:rsidRPr="00363CFA">
        <w:rPr>
          <w:rFonts w:asciiTheme="majorHAnsi" w:hAnsiTheme="majorHAnsi" w:cstheme="majorHAnsi"/>
          <w:b/>
          <w:i/>
          <w:color w:val="000000" w:themeColor="text1"/>
          <w:sz w:val="24"/>
          <w:szCs w:val="24"/>
          <w:lang w:val="ro-MD"/>
        </w:rPr>
        <w:t>ș</w:t>
      </w:r>
      <w:r w:rsidRPr="00363CFA">
        <w:rPr>
          <w:rFonts w:asciiTheme="majorHAnsi" w:hAnsiTheme="majorHAnsi" w:cstheme="majorHAnsi"/>
          <w:b/>
          <w:i/>
          <w:color w:val="000000" w:themeColor="text1"/>
          <w:sz w:val="24"/>
          <w:szCs w:val="24"/>
          <w:lang w:val="ro-MD"/>
        </w:rPr>
        <w:t>colare respective, prevăzut</w:t>
      </w:r>
      <w:r w:rsidR="009D231E">
        <w:rPr>
          <w:rFonts w:asciiTheme="majorHAnsi" w:hAnsiTheme="majorHAnsi" w:cstheme="majorHAnsi"/>
          <w:b/>
          <w:i/>
          <w:color w:val="000000" w:themeColor="text1"/>
          <w:sz w:val="24"/>
          <w:szCs w:val="24"/>
          <w:lang w:val="ro-MD"/>
        </w:rPr>
        <w:t>ă</w:t>
      </w:r>
      <w:r w:rsidRPr="00363CFA">
        <w:rPr>
          <w:rFonts w:asciiTheme="majorHAnsi" w:hAnsiTheme="majorHAnsi" w:cstheme="majorHAnsi"/>
          <w:b/>
          <w:i/>
          <w:color w:val="000000" w:themeColor="text1"/>
          <w:sz w:val="24"/>
          <w:szCs w:val="24"/>
          <w:lang w:val="ro-MD"/>
        </w:rPr>
        <w:t xml:space="preserve"> de cadrul normativ. Ca urmare, se atestă </w:t>
      </w:r>
      <w:r w:rsidR="0069374B" w:rsidRPr="00363CFA">
        <w:rPr>
          <w:rFonts w:asciiTheme="majorHAnsi" w:hAnsiTheme="majorHAnsi" w:cstheme="majorHAnsi"/>
          <w:b/>
          <w:i/>
          <w:color w:val="000000" w:themeColor="text1"/>
          <w:sz w:val="24"/>
          <w:szCs w:val="24"/>
          <w:lang w:val="ro-MD"/>
        </w:rPr>
        <w:t>ș</w:t>
      </w:r>
      <w:r w:rsidRPr="00363CFA">
        <w:rPr>
          <w:rFonts w:asciiTheme="majorHAnsi" w:hAnsiTheme="majorHAnsi" w:cstheme="majorHAnsi"/>
          <w:b/>
          <w:i/>
          <w:color w:val="000000" w:themeColor="text1"/>
          <w:sz w:val="24"/>
          <w:szCs w:val="24"/>
          <w:lang w:val="ro-MD"/>
        </w:rPr>
        <w:t>i nerespectarea normativului financiar per copil pentru zilele de frecven</w:t>
      </w:r>
      <w:r w:rsidR="0069374B" w:rsidRPr="00363CFA">
        <w:rPr>
          <w:rFonts w:asciiTheme="majorHAnsi" w:hAnsiTheme="majorHAnsi" w:cstheme="majorHAnsi"/>
          <w:b/>
          <w:i/>
          <w:color w:val="000000" w:themeColor="text1"/>
          <w:sz w:val="24"/>
          <w:szCs w:val="24"/>
          <w:lang w:val="ro-MD"/>
        </w:rPr>
        <w:t>ț</w:t>
      </w:r>
      <w:r w:rsidRPr="00363CFA">
        <w:rPr>
          <w:rFonts w:asciiTheme="majorHAnsi" w:hAnsiTheme="majorHAnsi" w:cstheme="majorHAnsi"/>
          <w:b/>
          <w:i/>
          <w:color w:val="000000" w:themeColor="text1"/>
          <w:sz w:val="24"/>
          <w:szCs w:val="24"/>
          <w:lang w:val="ro-MD"/>
        </w:rPr>
        <w:t xml:space="preserve">ă efectiv înregistrate. </w:t>
      </w:r>
    </w:p>
    <w:p w14:paraId="45CDB3D2" w14:textId="643313D3" w:rsidR="00143E2C" w:rsidRPr="00363CFA" w:rsidRDefault="00143E2C" w:rsidP="00767ED8">
      <w:pPr>
        <w:spacing w:after="0" w:line="276" w:lineRule="auto"/>
        <w:ind w:right="-22" w:firstLine="567"/>
        <w:jc w:val="both"/>
        <w:rPr>
          <w:rFonts w:asciiTheme="majorHAnsi" w:hAnsiTheme="majorHAnsi" w:cstheme="majorHAnsi"/>
          <w:sz w:val="24"/>
          <w:szCs w:val="24"/>
          <w:lang w:val="ro-MD"/>
        </w:rPr>
      </w:pPr>
      <w:r w:rsidRPr="00BC3271">
        <w:rPr>
          <w:rFonts w:asciiTheme="majorHAnsi" w:eastAsia="Calibri" w:hAnsiTheme="majorHAnsi" w:cstheme="majorHAnsi"/>
          <w:sz w:val="24"/>
          <w:szCs w:val="24"/>
          <w:lang w:val="ro-MD"/>
        </w:rPr>
        <w:t xml:space="preserve">Prin Ordinul ministrului </w:t>
      </w:r>
      <w:r w:rsidR="00FA2F03" w:rsidRPr="00BC3271">
        <w:rPr>
          <w:rFonts w:asciiTheme="majorHAnsi" w:eastAsia="Calibri" w:hAnsiTheme="majorHAnsi" w:cstheme="majorHAnsi"/>
          <w:sz w:val="24"/>
          <w:szCs w:val="24"/>
          <w:lang w:val="ro-MD"/>
        </w:rPr>
        <w:t>s</w:t>
      </w:r>
      <w:r w:rsidRPr="00BC3271">
        <w:rPr>
          <w:rFonts w:asciiTheme="majorHAnsi" w:eastAsia="Calibri" w:hAnsiTheme="majorHAnsi" w:cstheme="majorHAnsi"/>
          <w:sz w:val="24"/>
          <w:szCs w:val="24"/>
          <w:lang w:val="ro-MD"/>
        </w:rPr>
        <w:t>ănătă</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ii nr. 638 din 12.08.2016</w:t>
      </w:r>
      <w:r w:rsidRPr="00BC3271">
        <w:rPr>
          <w:rStyle w:val="FootnoteReference"/>
          <w:rFonts w:asciiTheme="majorHAnsi" w:eastAsia="Calibri" w:hAnsiTheme="majorHAnsi" w:cstheme="majorHAnsi"/>
          <w:sz w:val="24"/>
          <w:szCs w:val="24"/>
          <w:lang w:val="ro-MD"/>
        </w:rPr>
        <w:footnoteReference w:id="66"/>
      </w:r>
      <w:r w:rsidRPr="00BC3271">
        <w:rPr>
          <w:rFonts w:asciiTheme="majorHAnsi" w:eastAsia="Calibri" w:hAnsiTheme="majorHAnsi" w:cstheme="majorHAnsi"/>
          <w:sz w:val="24"/>
          <w:szCs w:val="24"/>
          <w:lang w:val="ro-MD"/>
        </w:rPr>
        <w:t xml:space="preserve"> (Anexa nr.1, </w:t>
      </w:r>
      <w:r w:rsidR="009D231E" w:rsidRPr="00BC3271">
        <w:rPr>
          <w:rFonts w:asciiTheme="majorHAnsi" w:eastAsia="Calibri" w:hAnsiTheme="majorHAnsi" w:cstheme="majorHAnsi"/>
          <w:sz w:val="24"/>
          <w:szCs w:val="24"/>
          <w:lang w:val="ro-MD"/>
        </w:rPr>
        <w:t>T</w:t>
      </w:r>
      <w:r w:rsidRPr="00BC3271">
        <w:rPr>
          <w:rFonts w:asciiTheme="majorHAnsi" w:eastAsia="Calibri" w:hAnsiTheme="majorHAnsi" w:cstheme="majorHAnsi"/>
          <w:sz w:val="24"/>
          <w:szCs w:val="24"/>
          <w:lang w:val="ro-MD"/>
        </w:rPr>
        <w:t>abelul nr.1) a fost aprobată cantitatea zilnică necesară de produse alimentare pentru un copil din institu</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iile de învă</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ământ. Auditul a constatat că, în anul 2019, personalul medical din institu</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iile de învă</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ământ pre</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 xml:space="preserve">colar din </w:t>
      </w:r>
      <w:r w:rsidRPr="00F63694">
        <w:rPr>
          <w:rFonts w:asciiTheme="majorHAnsi" w:hAnsiTheme="majorHAnsi" w:cstheme="majorHAnsi"/>
          <w:color w:val="000000" w:themeColor="text1"/>
          <w:sz w:val="24"/>
          <w:szCs w:val="24"/>
          <w:lang w:val="ro-MD"/>
        </w:rPr>
        <w:t>U</w:t>
      </w:r>
      <w:r w:rsidR="009F5F46" w:rsidRPr="00F63694">
        <w:rPr>
          <w:rFonts w:asciiTheme="majorHAnsi" w:hAnsiTheme="majorHAnsi" w:cstheme="majorHAnsi"/>
          <w:color w:val="000000" w:themeColor="text1"/>
          <w:sz w:val="24"/>
          <w:szCs w:val="24"/>
          <w:lang w:val="ro-MD"/>
        </w:rPr>
        <w:t>TA</w:t>
      </w:r>
      <w:r w:rsidRPr="00F63694">
        <w:rPr>
          <w:rFonts w:asciiTheme="majorHAnsi" w:hAnsiTheme="majorHAnsi" w:cstheme="majorHAnsi"/>
          <w:color w:val="000000" w:themeColor="text1"/>
          <w:sz w:val="24"/>
          <w:szCs w:val="24"/>
          <w:lang w:val="ro-MD"/>
        </w:rPr>
        <w:t xml:space="preserve"> Găgăuzia</w:t>
      </w:r>
      <w:r w:rsidRPr="00BC3271">
        <w:rPr>
          <w:rFonts w:asciiTheme="majorHAnsi" w:hAnsiTheme="majorHAnsi" w:cstheme="majorHAnsi"/>
          <w:b/>
          <w:i/>
          <w:color w:val="000000" w:themeColor="text1"/>
          <w:sz w:val="24"/>
          <w:szCs w:val="24"/>
          <w:lang w:val="ro-MD"/>
        </w:rPr>
        <w:t xml:space="preserve"> </w:t>
      </w:r>
      <w:r w:rsidRPr="00BC3271">
        <w:rPr>
          <w:rFonts w:asciiTheme="majorHAnsi" w:eastAsia="Calibri" w:hAnsiTheme="majorHAnsi" w:cstheme="majorHAnsi"/>
          <w:sz w:val="24"/>
          <w:szCs w:val="24"/>
          <w:lang w:val="ro-MD"/>
        </w:rPr>
        <w:t xml:space="preserve">nu a respectat, la întocmirea meniurilor, pentru unele produse, cantitatea zilnică </w:t>
      </w:r>
      <w:r w:rsidR="009D231E" w:rsidRPr="00BC3271">
        <w:rPr>
          <w:rFonts w:asciiTheme="majorHAnsi" w:eastAsia="Calibri" w:hAnsiTheme="majorHAnsi" w:cstheme="majorHAnsi"/>
          <w:sz w:val="24"/>
          <w:szCs w:val="24"/>
          <w:lang w:val="ro-MD"/>
        </w:rPr>
        <w:t>per</w:t>
      </w:r>
      <w:r w:rsidRPr="00BC3271">
        <w:rPr>
          <w:rFonts w:asciiTheme="majorHAnsi" w:eastAsia="Calibri" w:hAnsiTheme="majorHAnsi" w:cstheme="majorHAnsi"/>
          <w:sz w:val="24"/>
          <w:szCs w:val="24"/>
          <w:lang w:val="ro-MD"/>
        </w:rPr>
        <w:t xml:space="preserve"> copil</w:t>
      </w:r>
      <w:r w:rsidR="009F5F46" w:rsidRPr="00BC3271">
        <w:rPr>
          <w:rFonts w:asciiTheme="majorHAnsi" w:eastAsia="Calibri" w:hAnsiTheme="majorHAnsi" w:cstheme="majorHAnsi"/>
          <w:sz w:val="24"/>
          <w:szCs w:val="24"/>
          <w:lang w:val="ro-MD"/>
        </w:rPr>
        <w:t xml:space="preserve"> (</w:t>
      </w:r>
      <w:r w:rsidRPr="00BC3271">
        <w:rPr>
          <w:rFonts w:asciiTheme="majorHAnsi" w:eastAsia="Calibri" w:hAnsiTheme="majorHAnsi" w:cstheme="majorHAnsi"/>
          <w:sz w:val="24"/>
          <w:szCs w:val="24"/>
          <w:lang w:val="ro-MD"/>
        </w:rPr>
        <w:t xml:space="preserve">pentru unele </w:t>
      </w:r>
      <w:r w:rsidR="009D231E" w:rsidRPr="00BC3271">
        <w:rPr>
          <w:rFonts w:asciiTheme="majorHAnsi" w:eastAsia="Calibri" w:hAnsiTheme="majorHAnsi" w:cstheme="majorHAnsi"/>
          <w:sz w:val="24"/>
          <w:szCs w:val="24"/>
          <w:lang w:val="ro-MD"/>
        </w:rPr>
        <w:t xml:space="preserve">produse </w:t>
      </w:r>
      <w:r w:rsidRPr="00BC3271">
        <w:rPr>
          <w:rFonts w:asciiTheme="majorHAnsi" w:eastAsia="Calibri" w:hAnsiTheme="majorHAnsi" w:cstheme="majorHAnsi"/>
          <w:sz w:val="24"/>
          <w:szCs w:val="24"/>
          <w:lang w:val="ro-MD"/>
        </w:rPr>
        <w:t>fiind mic</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 xml:space="preserve">orată, iar pentru altele </w:t>
      </w:r>
      <w:r w:rsidR="009F5F46" w:rsidRPr="00BC3271">
        <w:rPr>
          <w:rFonts w:asciiTheme="majorHAnsi" w:eastAsia="Calibri" w:hAnsiTheme="majorHAnsi" w:cstheme="majorHAnsi"/>
          <w:sz w:val="24"/>
          <w:szCs w:val="24"/>
          <w:lang w:val="ro-MD"/>
        </w:rPr>
        <w:t>–</w:t>
      </w:r>
      <w:r w:rsidR="009D231E" w:rsidRPr="00BC3271">
        <w:rPr>
          <w:rFonts w:asciiTheme="majorHAnsi" w:eastAsia="Calibri" w:hAnsiTheme="majorHAnsi" w:cstheme="majorHAnsi"/>
          <w:sz w:val="24"/>
          <w:szCs w:val="24"/>
          <w:lang w:val="ro-MD"/>
        </w:rPr>
        <w:t xml:space="preserve"> </w:t>
      </w:r>
      <w:r w:rsidRPr="00BC3271">
        <w:rPr>
          <w:rFonts w:asciiTheme="majorHAnsi" w:eastAsia="Calibri" w:hAnsiTheme="majorHAnsi" w:cstheme="majorHAnsi"/>
          <w:sz w:val="24"/>
          <w:szCs w:val="24"/>
          <w:lang w:val="ro-MD"/>
        </w:rPr>
        <w:t>majorată</w:t>
      </w:r>
      <w:r w:rsidR="009F5F46" w:rsidRPr="00BC3271">
        <w:rPr>
          <w:rFonts w:asciiTheme="majorHAnsi" w:eastAsia="Calibri" w:hAnsiTheme="majorHAnsi" w:cstheme="majorHAnsi"/>
          <w:sz w:val="24"/>
          <w:szCs w:val="24"/>
          <w:lang w:val="ro-MD"/>
        </w:rPr>
        <w:t>)</w:t>
      </w:r>
      <w:r w:rsidRPr="00BC3271">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w:t>
      </w:r>
    </w:p>
    <w:p w14:paraId="7F7848DD" w14:textId="509E0249" w:rsidR="00143E2C" w:rsidRPr="00F63694" w:rsidRDefault="00CD4F8C" w:rsidP="00767ED8">
      <w:pPr>
        <w:spacing w:after="0" w:line="276" w:lineRule="auto"/>
        <w:ind w:right="-22" w:firstLine="567"/>
        <w:jc w:val="both"/>
        <w:rPr>
          <w:rFonts w:asciiTheme="majorHAnsi" w:eastAsia="Calibri" w:hAnsiTheme="majorHAnsi" w:cstheme="majorHAnsi"/>
          <w:sz w:val="24"/>
          <w:szCs w:val="24"/>
          <w:lang w:val="ro-MD"/>
        </w:rPr>
      </w:pPr>
      <w:r w:rsidRPr="00F63694">
        <w:rPr>
          <w:rFonts w:asciiTheme="majorHAnsi" w:eastAsia="Calibri" w:hAnsiTheme="majorHAnsi" w:cstheme="majorHAnsi"/>
          <w:sz w:val="24"/>
          <w:szCs w:val="24"/>
          <w:lang w:val="ro-MD"/>
        </w:rPr>
        <w:t xml:space="preserve">Doar unele </w:t>
      </w:r>
      <w:r w:rsidR="00143E2C" w:rsidRPr="00F63694">
        <w:rPr>
          <w:rFonts w:asciiTheme="majorHAnsi" w:eastAsia="Calibri" w:hAnsiTheme="majorHAnsi" w:cstheme="majorHAnsi"/>
          <w:sz w:val="24"/>
          <w:szCs w:val="24"/>
          <w:lang w:val="ro-MD"/>
        </w:rPr>
        <w:t>institu</w:t>
      </w:r>
      <w:r w:rsidR="0069374B" w:rsidRPr="00F63694">
        <w:rPr>
          <w:rFonts w:asciiTheme="majorHAnsi" w:eastAsia="Calibri" w:hAnsiTheme="majorHAnsi" w:cstheme="majorHAnsi"/>
          <w:sz w:val="24"/>
          <w:szCs w:val="24"/>
          <w:lang w:val="ro-MD"/>
        </w:rPr>
        <w:t>ț</w:t>
      </w:r>
      <w:r w:rsidR="00143E2C" w:rsidRPr="00F63694">
        <w:rPr>
          <w:rFonts w:asciiTheme="majorHAnsi" w:eastAsia="Calibri" w:hAnsiTheme="majorHAnsi" w:cstheme="majorHAnsi"/>
          <w:sz w:val="24"/>
          <w:szCs w:val="24"/>
          <w:lang w:val="ro-MD"/>
        </w:rPr>
        <w:t xml:space="preserve">ii </w:t>
      </w:r>
      <w:r w:rsidR="009F5F46" w:rsidRPr="00F63694">
        <w:rPr>
          <w:rFonts w:asciiTheme="majorHAnsi" w:eastAsia="Calibri" w:hAnsiTheme="majorHAnsi" w:cstheme="majorHAnsi"/>
          <w:sz w:val="24"/>
          <w:szCs w:val="24"/>
          <w:lang w:val="ro-MD"/>
        </w:rPr>
        <w:t xml:space="preserve">de învățământ </w:t>
      </w:r>
      <w:r w:rsidR="00143E2C" w:rsidRPr="00F63694">
        <w:rPr>
          <w:rFonts w:asciiTheme="majorHAnsi" w:eastAsia="Calibri" w:hAnsiTheme="majorHAnsi" w:cstheme="majorHAnsi"/>
          <w:sz w:val="24"/>
          <w:szCs w:val="24"/>
          <w:lang w:val="ro-MD"/>
        </w:rPr>
        <w:t>pre</w:t>
      </w:r>
      <w:r w:rsidR="0069374B" w:rsidRPr="00F63694">
        <w:rPr>
          <w:rFonts w:asciiTheme="majorHAnsi" w:eastAsia="Calibri" w:hAnsiTheme="majorHAnsi" w:cstheme="majorHAnsi"/>
          <w:sz w:val="24"/>
          <w:szCs w:val="24"/>
          <w:lang w:val="ro-MD"/>
        </w:rPr>
        <w:t>ș</w:t>
      </w:r>
      <w:r w:rsidR="00143E2C" w:rsidRPr="00F63694">
        <w:rPr>
          <w:rFonts w:asciiTheme="majorHAnsi" w:eastAsia="Calibri" w:hAnsiTheme="majorHAnsi" w:cstheme="majorHAnsi"/>
          <w:sz w:val="24"/>
          <w:szCs w:val="24"/>
          <w:lang w:val="ro-MD"/>
        </w:rPr>
        <w:t>colar respectă cantitatea zilnică de produse alimentare aprobată per copil la unele pozi</w:t>
      </w:r>
      <w:r w:rsidR="0069374B" w:rsidRPr="00F63694">
        <w:rPr>
          <w:rFonts w:asciiTheme="majorHAnsi" w:eastAsia="Calibri" w:hAnsiTheme="majorHAnsi" w:cstheme="majorHAnsi"/>
          <w:sz w:val="24"/>
          <w:szCs w:val="24"/>
          <w:lang w:val="ro-MD"/>
        </w:rPr>
        <w:t>ț</w:t>
      </w:r>
      <w:r w:rsidR="00143E2C" w:rsidRPr="00F63694">
        <w:rPr>
          <w:rFonts w:asciiTheme="majorHAnsi" w:eastAsia="Calibri" w:hAnsiTheme="majorHAnsi" w:cstheme="majorHAnsi"/>
          <w:sz w:val="24"/>
          <w:szCs w:val="24"/>
          <w:lang w:val="ro-MD"/>
        </w:rPr>
        <w:t>ii (pe</w:t>
      </w:r>
      <w:r w:rsidR="0069374B" w:rsidRPr="00F63694">
        <w:rPr>
          <w:rFonts w:asciiTheme="majorHAnsi" w:eastAsia="Calibri" w:hAnsiTheme="majorHAnsi" w:cstheme="majorHAnsi"/>
          <w:sz w:val="24"/>
          <w:szCs w:val="24"/>
          <w:lang w:val="ro-MD"/>
        </w:rPr>
        <w:t>ș</w:t>
      </w:r>
      <w:r w:rsidR="00143E2C" w:rsidRPr="00F63694">
        <w:rPr>
          <w:rFonts w:asciiTheme="majorHAnsi" w:eastAsia="Calibri" w:hAnsiTheme="majorHAnsi" w:cstheme="majorHAnsi"/>
          <w:sz w:val="24"/>
          <w:szCs w:val="24"/>
          <w:lang w:val="ro-MD"/>
        </w:rPr>
        <w:t>te, carne, fructe uscate, produse lactate etc.), alte pozi</w:t>
      </w:r>
      <w:r w:rsidR="0069374B" w:rsidRPr="00F63694">
        <w:rPr>
          <w:rFonts w:asciiTheme="majorHAnsi" w:eastAsia="Calibri" w:hAnsiTheme="majorHAnsi" w:cstheme="majorHAnsi"/>
          <w:sz w:val="24"/>
          <w:szCs w:val="24"/>
          <w:lang w:val="ro-MD"/>
        </w:rPr>
        <w:t>ț</w:t>
      </w:r>
      <w:r w:rsidR="00143E2C" w:rsidRPr="00F63694">
        <w:rPr>
          <w:rFonts w:asciiTheme="majorHAnsi" w:eastAsia="Calibri" w:hAnsiTheme="majorHAnsi" w:cstheme="majorHAnsi"/>
          <w:sz w:val="24"/>
          <w:szCs w:val="24"/>
          <w:lang w:val="ro-MD"/>
        </w:rPr>
        <w:t>ii fiind asigurate cu depă</w:t>
      </w:r>
      <w:r w:rsidR="0069374B" w:rsidRPr="00F63694">
        <w:rPr>
          <w:rFonts w:asciiTheme="majorHAnsi" w:eastAsia="Calibri" w:hAnsiTheme="majorHAnsi" w:cstheme="majorHAnsi"/>
          <w:sz w:val="24"/>
          <w:szCs w:val="24"/>
          <w:lang w:val="ro-MD"/>
        </w:rPr>
        <w:t>ș</w:t>
      </w:r>
      <w:r w:rsidR="00143E2C" w:rsidRPr="00F63694">
        <w:rPr>
          <w:rFonts w:asciiTheme="majorHAnsi" w:eastAsia="Calibri" w:hAnsiTheme="majorHAnsi" w:cstheme="majorHAnsi"/>
          <w:sz w:val="24"/>
          <w:szCs w:val="24"/>
          <w:lang w:val="ro-MD"/>
        </w:rPr>
        <w:t>irea cantită</w:t>
      </w:r>
      <w:r w:rsidR="0069374B" w:rsidRPr="00F63694">
        <w:rPr>
          <w:rFonts w:asciiTheme="majorHAnsi" w:eastAsia="Calibri" w:hAnsiTheme="majorHAnsi" w:cstheme="majorHAnsi"/>
          <w:sz w:val="24"/>
          <w:szCs w:val="24"/>
          <w:lang w:val="ro-MD"/>
        </w:rPr>
        <w:t>ț</w:t>
      </w:r>
      <w:r w:rsidR="00143E2C" w:rsidRPr="00F63694">
        <w:rPr>
          <w:rFonts w:asciiTheme="majorHAnsi" w:eastAsia="Calibri" w:hAnsiTheme="majorHAnsi" w:cstheme="majorHAnsi"/>
          <w:sz w:val="24"/>
          <w:szCs w:val="24"/>
          <w:lang w:val="ro-MD"/>
        </w:rPr>
        <w:t xml:space="preserve">ilor aprobate (crupe, pâine, paste făinoase, leguminoase, produse de cofetărie, sare iodată etc.). </w:t>
      </w:r>
    </w:p>
    <w:p w14:paraId="449054B9" w14:textId="42D7CB71" w:rsidR="00143E2C" w:rsidRPr="00F63694" w:rsidRDefault="00143E2C" w:rsidP="00767ED8">
      <w:pPr>
        <w:spacing w:after="0" w:line="276" w:lineRule="auto"/>
        <w:ind w:right="-22" w:firstLine="567"/>
        <w:jc w:val="both"/>
        <w:rPr>
          <w:rFonts w:asciiTheme="majorHAnsi" w:hAnsiTheme="majorHAnsi" w:cstheme="majorHAnsi"/>
          <w:sz w:val="24"/>
          <w:szCs w:val="24"/>
          <w:lang w:val="ro-MD"/>
        </w:rPr>
      </w:pPr>
      <w:r w:rsidRPr="00363CFA">
        <w:rPr>
          <w:rFonts w:asciiTheme="majorHAnsi" w:eastAsia="Calibri" w:hAnsiTheme="majorHAnsi" w:cstheme="majorHAnsi"/>
          <w:sz w:val="24"/>
          <w:szCs w:val="24"/>
          <w:lang w:val="ro-MD"/>
        </w:rPr>
        <w:t>Astfel,</w:t>
      </w:r>
      <w:r w:rsidRPr="00363CFA">
        <w:rPr>
          <w:rFonts w:asciiTheme="majorHAnsi" w:eastAsia="Calibri" w:hAnsiTheme="majorHAnsi" w:cstheme="majorHAnsi"/>
          <w:b/>
          <w:sz w:val="24"/>
          <w:szCs w:val="24"/>
          <w:lang w:val="ro-MD"/>
        </w:rPr>
        <w:t xml:space="preserve"> </w:t>
      </w:r>
      <w:r w:rsidRPr="00363CFA">
        <w:rPr>
          <w:rFonts w:asciiTheme="majorHAnsi" w:eastAsia="Calibri" w:hAnsiTheme="majorHAnsi" w:cstheme="majorHAnsi"/>
          <w:sz w:val="24"/>
          <w:szCs w:val="24"/>
          <w:lang w:val="ro-MD"/>
        </w:rPr>
        <w:t xml:space="preserve">auditul constată </w:t>
      </w:r>
      <w:r w:rsidRPr="009F5F46">
        <w:rPr>
          <w:rFonts w:asciiTheme="majorHAnsi" w:eastAsia="Calibri" w:hAnsiTheme="majorHAnsi" w:cstheme="majorHAnsi"/>
          <w:sz w:val="24"/>
          <w:szCs w:val="24"/>
          <w:lang w:val="ro-MD"/>
        </w:rPr>
        <w:t>că nicio institu</w:t>
      </w:r>
      <w:r w:rsidR="0069374B" w:rsidRPr="009F5F46">
        <w:rPr>
          <w:rFonts w:asciiTheme="majorHAnsi" w:eastAsia="Calibri" w:hAnsiTheme="majorHAnsi" w:cstheme="majorHAnsi"/>
          <w:sz w:val="24"/>
          <w:szCs w:val="24"/>
          <w:lang w:val="ro-MD"/>
        </w:rPr>
        <w:t>ț</w:t>
      </w:r>
      <w:r w:rsidRPr="009F5F46">
        <w:rPr>
          <w:rFonts w:asciiTheme="majorHAnsi" w:eastAsia="Calibri" w:hAnsiTheme="majorHAnsi" w:cstheme="majorHAnsi"/>
          <w:sz w:val="24"/>
          <w:szCs w:val="24"/>
          <w:lang w:val="ro-MD"/>
        </w:rPr>
        <w:t>ie</w:t>
      </w:r>
      <w:r w:rsidRPr="00363CFA">
        <w:rPr>
          <w:rFonts w:asciiTheme="majorHAnsi" w:eastAsia="Calibri" w:hAnsiTheme="majorHAnsi" w:cstheme="majorHAnsi"/>
          <w:sz w:val="24"/>
          <w:szCs w:val="24"/>
          <w:lang w:val="ro-MD"/>
        </w:rPr>
        <w:t xml:space="preserve"> </w:t>
      </w:r>
      <w:r w:rsidR="009F5F46" w:rsidRPr="00363CFA">
        <w:rPr>
          <w:rFonts w:asciiTheme="majorHAnsi" w:eastAsia="Calibri" w:hAnsiTheme="majorHAnsi" w:cstheme="majorHAnsi"/>
          <w:sz w:val="24"/>
          <w:szCs w:val="24"/>
          <w:lang w:val="ro-MD"/>
        </w:rPr>
        <w:t xml:space="preserve">de învățământ </w:t>
      </w:r>
      <w:r w:rsidRPr="00363CFA">
        <w:rPr>
          <w:rFonts w:asciiTheme="majorHAnsi" w:eastAsia="Calibri" w:hAnsiTheme="majorHAnsi" w:cstheme="majorHAnsi"/>
          <w:sz w:val="24"/>
          <w:szCs w:val="24"/>
          <w:lang w:val="ro-MD"/>
        </w:rPr>
        <w:t>pre</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colar din UTA Găgăuzia nu a asigurat normativul zilnic aprobat per copil pentru majoritatea produselor alimentare</w:t>
      </w:r>
      <w:r w:rsidR="009F5F46">
        <w:rPr>
          <w:rFonts w:asciiTheme="majorHAnsi" w:eastAsia="Calibri" w:hAnsiTheme="majorHAnsi" w:cstheme="majorHAnsi"/>
          <w:sz w:val="24"/>
          <w:szCs w:val="24"/>
          <w:lang w:val="ro-MD"/>
        </w:rPr>
        <w:t>, c</w:t>
      </w:r>
      <w:r w:rsidRPr="00363CFA">
        <w:rPr>
          <w:rFonts w:asciiTheme="majorHAnsi" w:eastAsia="Calibri" w:hAnsiTheme="majorHAnsi" w:cstheme="majorHAnsi"/>
          <w:sz w:val="24"/>
          <w:szCs w:val="24"/>
          <w:lang w:val="ro-MD"/>
        </w:rPr>
        <w:t xml:space="preserve">ele mai semnificative </w:t>
      </w:r>
      <w:r w:rsidRPr="00F63694">
        <w:rPr>
          <w:rFonts w:asciiTheme="majorHAnsi" w:eastAsia="Calibri" w:hAnsiTheme="majorHAnsi" w:cstheme="majorHAnsi"/>
          <w:sz w:val="24"/>
          <w:szCs w:val="24"/>
          <w:lang w:val="ro-MD"/>
        </w:rPr>
        <w:t xml:space="preserve">fiind: </w:t>
      </w:r>
      <w:r w:rsidR="009F5F46" w:rsidRPr="00F63694">
        <w:rPr>
          <w:rFonts w:asciiTheme="majorHAnsi" w:eastAsia="Calibri" w:hAnsiTheme="majorHAnsi" w:cstheme="majorHAnsi"/>
          <w:b/>
          <w:i/>
          <w:sz w:val="24"/>
          <w:szCs w:val="24"/>
          <w:lang w:val="ro-MD"/>
        </w:rPr>
        <w:t>p</w:t>
      </w:r>
      <w:r w:rsidRPr="00F63694">
        <w:rPr>
          <w:rFonts w:asciiTheme="majorHAnsi" w:eastAsia="Calibri" w:hAnsiTheme="majorHAnsi" w:cstheme="majorHAnsi"/>
          <w:b/>
          <w:i/>
          <w:sz w:val="24"/>
          <w:szCs w:val="24"/>
          <w:lang w:val="ro-MD"/>
        </w:rPr>
        <w:t>e</w:t>
      </w:r>
      <w:r w:rsidR="0069374B" w:rsidRPr="00F63694">
        <w:rPr>
          <w:rFonts w:asciiTheme="majorHAnsi" w:eastAsia="Calibri" w:hAnsiTheme="majorHAnsi" w:cstheme="majorHAnsi"/>
          <w:b/>
          <w:i/>
          <w:sz w:val="24"/>
          <w:szCs w:val="24"/>
          <w:lang w:val="ro-MD"/>
        </w:rPr>
        <w:t>ș</w:t>
      </w:r>
      <w:r w:rsidRPr="00F63694">
        <w:rPr>
          <w:rFonts w:asciiTheme="majorHAnsi" w:eastAsia="Calibri" w:hAnsiTheme="majorHAnsi" w:cstheme="majorHAnsi"/>
          <w:b/>
          <w:i/>
          <w:sz w:val="24"/>
          <w:szCs w:val="24"/>
          <w:lang w:val="ro-MD"/>
        </w:rPr>
        <w:t>te</w:t>
      </w:r>
      <w:r w:rsidR="009F5F46" w:rsidRPr="00F63694">
        <w:rPr>
          <w:rFonts w:asciiTheme="majorHAnsi" w:eastAsia="Calibri" w:hAnsiTheme="majorHAnsi" w:cstheme="majorHAnsi"/>
          <w:b/>
          <w:i/>
          <w:sz w:val="24"/>
          <w:szCs w:val="24"/>
          <w:lang w:val="ro-MD"/>
        </w:rPr>
        <w:t>le</w:t>
      </w:r>
      <w:r w:rsidRPr="00F63694">
        <w:rPr>
          <w:rFonts w:asciiTheme="majorHAnsi" w:eastAsia="Calibri" w:hAnsiTheme="majorHAnsi" w:cstheme="majorHAnsi"/>
          <w:b/>
          <w:i/>
          <w:sz w:val="24"/>
          <w:szCs w:val="24"/>
          <w:lang w:val="ro-MD"/>
        </w:rPr>
        <w:t xml:space="preserve"> </w:t>
      </w:r>
      <w:r w:rsidR="0069374B" w:rsidRPr="00F63694">
        <w:rPr>
          <w:rFonts w:asciiTheme="majorHAnsi" w:eastAsia="Calibri" w:hAnsiTheme="majorHAnsi" w:cstheme="majorHAnsi"/>
          <w:b/>
          <w:i/>
          <w:sz w:val="24"/>
          <w:szCs w:val="24"/>
          <w:lang w:val="ro-MD"/>
        </w:rPr>
        <w:t>ș</w:t>
      </w:r>
      <w:r w:rsidRPr="00F63694">
        <w:rPr>
          <w:rFonts w:asciiTheme="majorHAnsi" w:eastAsia="Calibri" w:hAnsiTheme="majorHAnsi" w:cstheme="majorHAnsi"/>
          <w:b/>
          <w:i/>
          <w:sz w:val="24"/>
          <w:szCs w:val="24"/>
          <w:lang w:val="ro-MD"/>
        </w:rPr>
        <w:t>i carne</w:t>
      </w:r>
      <w:r w:rsidR="009F5F46" w:rsidRPr="00F63694">
        <w:rPr>
          <w:rFonts w:asciiTheme="majorHAnsi" w:eastAsia="Calibri" w:hAnsiTheme="majorHAnsi" w:cstheme="majorHAnsi"/>
          <w:b/>
          <w:i/>
          <w:sz w:val="24"/>
          <w:szCs w:val="24"/>
          <w:lang w:val="ro-MD"/>
        </w:rPr>
        <w:t>a,</w:t>
      </w:r>
      <w:r w:rsidRPr="00F63694">
        <w:rPr>
          <w:rFonts w:asciiTheme="majorHAnsi" w:eastAsia="Calibri" w:hAnsiTheme="majorHAnsi" w:cstheme="majorHAnsi"/>
          <w:i/>
          <w:sz w:val="24"/>
          <w:szCs w:val="24"/>
          <w:lang w:val="ro-MD"/>
        </w:rPr>
        <w:t xml:space="preserve"> </w:t>
      </w:r>
      <w:r w:rsidRPr="00F63694">
        <w:rPr>
          <w:rFonts w:asciiTheme="majorHAnsi" w:eastAsia="Calibri" w:hAnsiTheme="majorHAnsi" w:cstheme="majorHAnsi"/>
          <w:sz w:val="24"/>
          <w:szCs w:val="24"/>
          <w:lang w:val="ro-MD"/>
        </w:rPr>
        <w:t xml:space="preserve"> care au fost asigurate </w:t>
      </w:r>
      <w:r w:rsidR="009F5F46" w:rsidRPr="00F63694">
        <w:rPr>
          <w:rFonts w:asciiTheme="majorHAnsi" w:eastAsia="Calibri" w:hAnsiTheme="majorHAnsi" w:cstheme="majorHAnsi"/>
          <w:sz w:val="24"/>
          <w:szCs w:val="24"/>
          <w:lang w:val="ro-MD"/>
        </w:rPr>
        <w:t>la nivelul</w:t>
      </w:r>
      <w:r w:rsidRPr="00F63694">
        <w:rPr>
          <w:rFonts w:asciiTheme="majorHAnsi" w:eastAsia="Calibri" w:hAnsiTheme="majorHAnsi" w:cstheme="majorHAnsi"/>
          <w:sz w:val="24"/>
          <w:szCs w:val="24"/>
          <w:lang w:val="ro-MD"/>
        </w:rPr>
        <w:t xml:space="preserve"> de la 9</w:t>
      </w:r>
      <w:r w:rsidR="004C399F" w:rsidRPr="00F63694">
        <w:rPr>
          <w:rFonts w:asciiTheme="majorHAnsi" w:eastAsia="Calibri" w:hAnsiTheme="majorHAnsi" w:cstheme="majorHAnsi"/>
          <w:sz w:val="24"/>
          <w:szCs w:val="24"/>
          <w:lang w:val="ro-MD"/>
        </w:rPr>
        <w:t>%</w:t>
      </w:r>
      <w:r w:rsidRPr="00F63694">
        <w:rPr>
          <w:rFonts w:asciiTheme="majorHAnsi" w:eastAsia="Calibri" w:hAnsiTheme="majorHAnsi" w:cstheme="majorHAnsi"/>
          <w:sz w:val="24"/>
          <w:szCs w:val="24"/>
          <w:lang w:val="ro-MD"/>
        </w:rPr>
        <w:t xml:space="preserve"> </w:t>
      </w:r>
      <w:r w:rsidR="0069374B" w:rsidRPr="00F63694">
        <w:rPr>
          <w:rFonts w:asciiTheme="majorHAnsi" w:eastAsia="Calibri" w:hAnsiTheme="majorHAnsi" w:cstheme="majorHAnsi"/>
          <w:sz w:val="24"/>
          <w:szCs w:val="24"/>
          <w:lang w:val="ro-MD"/>
        </w:rPr>
        <w:t>ș</w:t>
      </w:r>
      <w:r w:rsidRPr="00F63694">
        <w:rPr>
          <w:rFonts w:asciiTheme="majorHAnsi" w:eastAsia="Calibri" w:hAnsiTheme="majorHAnsi" w:cstheme="majorHAnsi"/>
          <w:sz w:val="24"/>
          <w:szCs w:val="24"/>
          <w:lang w:val="ro-MD"/>
        </w:rPr>
        <w:t>i, respectiv, 23</w:t>
      </w:r>
      <w:r w:rsidR="004C399F" w:rsidRPr="00F63694">
        <w:rPr>
          <w:rFonts w:asciiTheme="majorHAnsi" w:eastAsia="Calibri" w:hAnsiTheme="majorHAnsi" w:cstheme="majorHAnsi"/>
          <w:sz w:val="24"/>
          <w:szCs w:val="24"/>
          <w:lang w:val="ro-MD"/>
        </w:rPr>
        <w:t xml:space="preserve">% </w:t>
      </w:r>
      <w:r w:rsidRPr="00F63694">
        <w:rPr>
          <w:rFonts w:asciiTheme="majorHAnsi" w:eastAsia="Calibri" w:hAnsiTheme="majorHAnsi" w:cstheme="majorHAnsi"/>
          <w:sz w:val="24"/>
          <w:szCs w:val="24"/>
          <w:lang w:val="ro-MD"/>
        </w:rPr>
        <w:t>până la 97</w:t>
      </w:r>
      <w:r w:rsidR="004C399F" w:rsidRPr="00F63694">
        <w:rPr>
          <w:rFonts w:asciiTheme="majorHAnsi" w:eastAsia="Calibri" w:hAnsiTheme="majorHAnsi" w:cstheme="majorHAnsi"/>
          <w:sz w:val="24"/>
          <w:szCs w:val="24"/>
          <w:lang w:val="ro-MD"/>
        </w:rPr>
        <w:t>%</w:t>
      </w:r>
      <w:r w:rsidR="009F5F46" w:rsidRPr="00F63694">
        <w:rPr>
          <w:rFonts w:asciiTheme="majorHAnsi" w:eastAsia="Calibri" w:hAnsiTheme="majorHAnsi" w:cstheme="majorHAnsi"/>
          <w:sz w:val="24"/>
          <w:szCs w:val="24"/>
          <w:lang w:val="ro-MD"/>
        </w:rPr>
        <w:t>;</w:t>
      </w:r>
      <w:r w:rsidRPr="00F63694">
        <w:rPr>
          <w:rFonts w:asciiTheme="majorHAnsi" w:eastAsia="Calibri" w:hAnsiTheme="majorHAnsi" w:cstheme="majorHAnsi"/>
          <w:i/>
          <w:sz w:val="24"/>
          <w:szCs w:val="24"/>
          <w:lang w:val="ro-MD"/>
        </w:rPr>
        <w:t xml:space="preserve"> </w:t>
      </w:r>
      <w:r w:rsidR="009F5F46" w:rsidRPr="00F63694">
        <w:rPr>
          <w:rFonts w:asciiTheme="majorHAnsi" w:eastAsia="Calibri" w:hAnsiTheme="majorHAnsi" w:cstheme="majorHAnsi"/>
          <w:b/>
          <w:i/>
          <w:sz w:val="24"/>
          <w:szCs w:val="24"/>
          <w:lang w:val="ro-MD"/>
        </w:rPr>
        <w:t>f</w:t>
      </w:r>
      <w:r w:rsidRPr="00F63694">
        <w:rPr>
          <w:rFonts w:asciiTheme="majorHAnsi" w:eastAsia="Calibri" w:hAnsiTheme="majorHAnsi" w:cstheme="majorHAnsi"/>
          <w:b/>
          <w:i/>
          <w:sz w:val="24"/>
          <w:szCs w:val="24"/>
          <w:lang w:val="ro-MD"/>
        </w:rPr>
        <w:t>ructe</w:t>
      </w:r>
      <w:r w:rsidR="009F5F46" w:rsidRPr="00F63694">
        <w:rPr>
          <w:rFonts w:asciiTheme="majorHAnsi" w:eastAsia="Calibri" w:hAnsiTheme="majorHAnsi" w:cstheme="majorHAnsi"/>
          <w:b/>
          <w:i/>
          <w:sz w:val="24"/>
          <w:szCs w:val="24"/>
          <w:lang w:val="ro-MD"/>
        </w:rPr>
        <w:t>le</w:t>
      </w:r>
      <w:r w:rsidRPr="00F63694">
        <w:rPr>
          <w:rFonts w:asciiTheme="majorHAnsi" w:eastAsia="Calibri" w:hAnsiTheme="majorHAnsi" w:cstheme="majorHAnsi"/>
          <w:b/>
          <w:i/>
          <w:sz w:val="24"/>
          <w:szCs w:val="24"/>
          <w:lang w:val="ro-MD"/>
        </w:rPr>
        <w:t xml:space="preserve"> uscate </w:t>
      </w:r>
      <w:r w:rsidR="0069374B" w:rsidRPr="00F63694">
        <w:rPr>
          <w:rFonts w:asciiTheme="majorHAnsi" w:eastAsia="Calibri" w:hAnsiTheme="majorHAnsi" w:cstheme="majorHAnsi"/>
          <w:b/>
          <w:i/>
          <w:sz w:val="24"/>
          <w:szCs w:val="24"/>
          <w:lang w:val="ro-MD"/>
        </w:rPr>
        <w:t>ș</w:t>
      </w:r>
      <w:r w:rsidRPr="00F63694">
        <w:rPr>
          <w:rFonts w:asciiTheme="majorHAnsi" w:eastAsia="Calibri" w:hAnsiTheme="majorHAnsi" w:cstheme="majorHAnsi"/>
          <w:b/>
          <w:i/>
          <w:sz w:val="24"/>
          <w:szCs w:val="24"/>
          <w:lang w:val="ro-MD"/>
        </w:rPr>
        <w:t>i legume</w:t>
      </w:r>
      <w:r w:rsidR="009F5F46" w:rsidRPr="00F63694">
        <w:rPr>
          <w:rFonts w:asciiTheme="majorHAnsi" w:eastAsia="Calibri" w:hAnsiTheme="majorHAnsi" w:cstheme="majorHAnsi"/>
          <w:b/>
          <w:i/>
          <w:sz w:val="24"/>
          <w:szCs w:val="24"/>
          <w:lang w:val="ro-MD"/>
        </w:rPr>
        <w:t>le</w:t>
      </w:r>
      <w:r w:rsidRPr="00F63694">
        <w:rPr>
          <w:rFonts w:asciiTheme="majorHAnsi" w:eastAsia="Calibri" w:hAnsiTheme="majorHAnsi" w:cstheme="majorHAnsi"/>
          <w:sz w:val="24"/>
          <w:szCs w:val="24"/>
          <w:lang w:val="ro-MD"/>
        </w:rPr>
        <w:t xml:space="preserve">  - de la 7</w:t>
      </w:r>
      <w:r w:rsidR="004C399F" w:rsidRPr="00F63694">
        <w:rPr>
          <w:rFonts w:asciiTheme="majorHAnsi" w:eastAsia="Calibri" w:hAnsiTheme="majorHAnsi" w:cstheme="majorHAnsi"/>
          <w:sz w:val="24"/>
          <w:szCs w:val="24"/>
          <w:lang w:val="ro-MD"/>
        </w:rPr>
        <w:t>%</w:t>
      </w:r>
      <w:r w:rsidRPr="00F63694">
        <w:rPr>
          <w:rFonts w:asciiTheme="majorHAnsi" w:eastAsia="Calibri" w:hAnsiTheme="majorHAnsi" w:cstheme="majorHAnsi"/>
          <w:sz w:val="24"/>
          <w:szCs w:val="24"/>
          <w:lang w:val="ro-MD"/>
        </w:rPr>
        <w:t xml:space="preserve"> </w:t>
      </w:r>
      <w:r w:rsidR="0069374B" w:rsidRPr="00F63694">
        <w:rPr>
          <w:rFonts w:asciiTheme="majorHAnsi" w:eastAsia="Calibri" w:hAnsiTheme="majorHAnsi" w:cstheme="majorHAnsi"/>
          <w:sz w:val="24"/>
          <w:szCs w:val="24"/>
          <w:lang w:val="ro-MD"/>
        </w:rPr>
        <w:t>ș</w:t>
      </w:r>
      <w:r w:rsidRPr="00F63694">
        <w:rPr>
          <w:rFonts w:asciiTheme="majorHAnsi" w:eastAsia="Calibri" w:hAnsiTheme="majorHAnsi" w:cstheme="majorHAnsi"/>
          <w:sz w:val="24"/>
          <w:szCs w:val="24"/>
          <w:lang w:val="ro-MD"/>
        </w:rPr>
        <w:t>i, respectiv, 34</w:t>
      </w:r>
      <w:r w:rsidR="004C399F" w:rsidRPr="00F63694">
        <w:rPr>
          <w:rFonts w:asciiTheme="majorHAnsi" w:eastAsia="Calibri" w:hAnsiTheme="majorHAnsi" w:cstheme="majorHAnsi"/>
          <w:sz w:val="24"/>
          <w:szCs w:val="24"/>
          <w:lang w:val="ro-MD"/>
        </w:rPr>
        <w:t>%</w:t>
      </w:r>
      <w:r w:rsidRPr="00F63694">
        <w:rPr>
          <w:rFonts w:asciiTheme="majorHAnsi" w:eastAsia="Calibri" w:hAnsiTheme="majorHAnsi" w:cstheme="majorHAnsi"/>
          <w:sz w:val="24"/>
          <w:szCs w:val="24"/>
          <w:lang w:val="ro-MD"/>
        </w:rPr>
        <w:t xml:space="preserve"> până la 93 </w:t>
      </w:r>
      <w:r w:rsidR="004C399F" w:rsidRPr="00F63694">
        <w:rPr>
          <w:rFonts w:asciiTheme="majorHAnsi" w:eastAsia="Calibri" w:hAnsiTheme="majorHAnsi" w:cstheme="majorHAnsi"/>
          <w:sz w:val="24"/>
          <w:szCs w:val="24"/>
          <w:lang w:val="ro-MD"/>
        </w:rPr>
        <w:t>–</w:t>
      </w:r>
      <w:r w:rsidR="009F5F46" w:rsidRPr="00F63694">
        <w:rPr>
          <w:rFonts w:asciiTheme="majorHAnsi" w:eastAsia="Calibri" w:hAnsiTheme="majorHAnsi" w:cstheme="majorHAnsi"/>
          <w:sz w:val="24"/>
          <w:szCs w:val="24"/>
          <w:lang w:val="ro-MD"/>
        </w:rPr>
        <w:t xml:space="preserve"> </w:t>
      </w:r>
      <w:r w:rsidRPr="00F63694">
        <w:rPr>
          <w:rFonts w:asciiTheme="majorHAnsi" w:eastAsia="Calibri" w:hAnsiTheme="majorHAnsi" w:cstheme="majorHAnsi"/>
          <w:sz w:val="24"/>
          <w:szCs w:val="24"/>
          <w:lang w:val="ro-MD"/>
        </w:rPr>
        <w:t>96</w:t>
      </w:r>
      <w:r w:rsidR="004C399F" w:rsidRPr="00F63694">
        <w:rPr>
          <w:rFonts w:asciiTheme="majorHAnsi" w:eastAsia="Calibri" w:hAnsiTheme="majorHAnsi" w:cstheme="majorHAnsi"/>
          <w:sz w:val="24"/>
          <w:szCs w:val="24"/>
          <w:lang w:val="ro-MD"/>
        </w:rPr>
        <w:t>%</w:t>
      </w:r>
      <w:r w:rsidRPr="00F63694">
        <w:rPr>
          <w:rStyle w:val="FootnoteReference"/>
          <w:rFonts w:asciiTheme="majorHAnsi" w:eastAsia="Calibri" w:hAnsiTheme="majorHAnsi" w:cstheme="majorHAnsi"/>
          <w:sz w:val="24"/>
          <w:szCs w:val="24"/>
          <w:lang w:val="ro-MD"/>
        </w:rPr>
        <w:footnoteReference w:id="67"/>
      </w:r>
      <w:r w:rsidRPr="00F63694">
        <w:rPr>
          <w:rFonts w:asciiTheme="majorHAnsi" w:eastAsia="Calibri" w:hAnsiTheme="majorHAnsi" w:cstheme="majorHAnsi"/>
          <w:sz w:val="24"/>
          <w:szCs w:val="24"/>
          <w:lang w:val="ro-MD"/>
        </w:rPr>
        <w:t xml:space="preserve">. </w:t>
      </w:r>
      <w:r w:rsidRPr="00F63694">
        <w:rPr>
          <w:rFonts w:asciiTheme="majorHAnsi" w:hAnsiTheme="majorHAnsi" w:cstheme="majorHAnsi"/>
          <w:sz w:val="24"/>
          <w:szCs w:val="24"/>
          <w:lang w:val="ro-MD"/>
        </w:rPr>
        <w:t>De</w:t>
      </w:r>
      <w:r w:rsidR="0069374B" w:rsidRPr="00F63694">
        <w:rPr>
          <w:rFonts w:asciiTheme="majorHAnsi" w:hAnsiTheme="majorHAnsi" w:cstheme="majorHAnsi"/>
          <w:sz w:val="24"/>
          <w:szCs w:val="24"/>
          <w:lang w:val="ro-MD"/>
        </w:rPr>
        <w:t>ș</w:t>
      </w:r>
      <w:r w:rsidRPr="00F63694">
        <w:rPr>
          <w:rFonts w:asciiTheme="majorHAnsi" w:hAnsiTheme="majorHAnsi" w:cstheme="majorHAnsi"/>
          <w:sz w:val="24"/>
          <w:szCs w:val="24"/>
          <w:lang w:val="ro-MD"/>
        </w:rPr>
        <w:t xml:space="preserve">i </w:t>
      </w:r>
      <w:r w:rsidRPr="00F63694">
        <w:rPr>
          <w:rFonts w:asciiTheme="majorHAnsi" w:hAnsiTheme="majorHAnsi" w:cstheme="majorHAnsi"/>
          <w:b/>
          <w:i/>
          <w:sz w:val="24"/>
          <w:szCs w:val="24"/>
          <w:lang w:val="ro-MD"/>
        </w:rPr>
        <w:t>lactatele</w:t>
      </w:r>
      <w:r w:rsidRPr="00F63694">
        <w:rPr>
          <w:rFonts w:asciiTheme="majorHAnsi" w:hAnsiTheme="majorHAnsi" w:cstheme="majorHAnsi"/>
          <w:sz w:val="24"/>
          <w:szCs w:val="24"/>
          <w:lang w:val="ro-MD"/>
        </w:rPr>
        <w:t xml:space="preserve"> fac parte din produsele alimentare care urmează a fi promovate în institu</w:t>
      </w:r>
      <w:r w:rsidR="0069374B" w:rsidRPr="00F63694">
        <w:rPr>
          <w:rFonts w:asciiTheme="majorHAnsi" w:hAnsiTheme="majorHAnsi" w:cstheme="majorHAnsi"/>
          <w:sz w:val="24"/>
          <w:szCs w:val="24"/>
          <w:lang w:val="ro-MD"/>
        </w:rPr>
        <w:t>ț</w:t>
      </w:r>
      <w:r w:rsidRPr="00F63694">
        <w:rPr>
          <w:rFonts w:asciiTheme="majorHAnsi" w:hAnsiTheme="majorHAnsi" w:cstheme="majorHAnsi"/>
          <w:sz w:val="24"/>
          <w:szCs w:val="24"/>
          <w:lang w:val="ro-MD"/>
        </w:rPr>
        <w:t>iile de învă</w:t>
      </w:r>
      <w:r w:rsidR="0069374B" w:rsidRPr="00F63694">
        <w:rPr>
          <w:rFonts w:asciiTheme="majorHAnsi" w:hAnsiTheme="majorHAnsi" w:cstheme="majorHAnsi"/>
          <w:sz w:val="24"/>
          <w:szCs w:val="24"/>
          <w:lang w:val="ro-MD"/>
        </w:rPr>
        <w:t>ț</w:t>
      </w:r>
      <w:r w:rsidRPr="00F63694">
        <w:rPr>
          <w:rFonts w:asciiTheme="majorHAnsi" w:hAnsiTheme="majorHAnsi" w:cstheme="majorHAnsi"/>
          <w:sz w:val="24"/>
          <w:szCs w:val="24"/>
          <w:lang w:val="ro-MD"/>
        </w:rPr>
        <w:t>ământ, în anul 2020, numai 17 din 55 de institu</w:t>
      </w:r>
      <w:r w:rsidR="0069374B" w:rsidRPr="00F63694">
        <w:rPr>
          <w:rFonts w:asciiTheme="majorHAnsi" w:hAnsiTheme="majorHAnsi" w:cstheme="majorHAnsi"/>
          <w:sz w:val="24"/>
          <w:szCs w:val="24"/>
          <w:lang w:val="ro-MD"/>
        </w:rPr>
        <w:t>ț</w:t>
      </w:r>
      <w:r w:rsidRPr="00F63694">
        <w:rPr>
          <w:rFonts w:asciiTheme="majorHAnsi" w:hAnsiTheme="majorHAnsi" w:cstheme="majorHAnsi"/>
          <w:sz w:val="24"/>
          <w:szCs w:val="24"/>
          <w:lang w:val="ro-MD"/>
        </w:rPr>
        <w:t>ii pre</w:t>
      </w:r>
      <w:r w:rsidR="0069374B" w:rsidRPr="00F63694">
        <w:rPr>
          <w:rFonts w:asciiTheme="majorHAnsi" w:hAnsiTheme="majorHAnsi" w:cstheme="majorHAnsi"/>
          <w:sz w:val="24"/>
          <w:szCs w:val="24"/>
          <w:lang w:val="ro-MD"/>
        </w:rPr>
        <w:t>ș</w:t>
      </w:r>
      <w:r w:rsidRPr="00F63694">
        <w:rPr>
          <w:rFonts w:asciiTheme="majorHAnsi" w:hAnsiTheme="majorHAnsi" w:cstheme="majorHAnsi"/>
          <w:sz w:val="24"/>
          <w:szCs w:val="24"/>
          <w:lang w:val="ro-MD"/>
        </w:rPr>
        <w:t xml:space="preserve">colare din UTA Găgăuzia au asigurat cantitatea zilnică </w:t>
      </w:r>
      <w:r w:rsidR="004C399F" w:rsidRPr="00F63694">
        <w:rPr>
          <w:rFonts w:asciiTheme="majorHAnsi" w:hAnsiTheme="majorHAnsi" w:cstheme="majorHAnsi"/>
          <w:sz w:val="24"/>
          <w:szCs w:val="24"/>
          <w:lang w:val="ro-MD"/>
        </w:rPr>
        <w:t xml:space="preserve">de aceste produse </w:t>
      </w:r>
      <w:r w:rsidRPr="00F63694">
        <w:rPr>
          <w:rFonts w:asciiTheme="majorHAnsi" w:hAnsiTheme="majorHAnsi" w:cstheme="majorHAnsi"/>
          <w:sz w:val="24"/>
          <w:szCs w:val="24"/>
          <w:lang w:val="ro-MD"/>
        </w:rPr>
        <w:t xml:space="preserve">pentru un copil. Restul 38 </w:t>
      </w:r>
      <w:r w:rsidR="004C399F" w:rsidRPr="00F63694">
        <w:rPr>
          <w:rFonts w:asciiTheme="majorHAnsi" w:hAnsiTheme="majorHAnsi" w:cstheme="majorHAnsi"/>
          <w:sz w:val="24"/>
          <w:szCs w:val="24"/>
          <w:lang w:val="ro-MD"/>
        </w:rPr>
        <w:t xml:space="preserve">de </w:t>
      </w:r>
      <w:r w:rsidRPr="00F63694">
        <w:rPr>
          <w:rFonts w:asciiTheme="majorHAnsi" w:hAnsiTheme="majorHAnsi" w:cstheme="majorHAnsi"/>
          <w:sz w:val="24"/>
          <w:szCs w:val="24"/>
          <w:lang w:val="ro-MD"/>
        </w:rPr>
        <w:t>institu</w:t>
      </w:r>
      <w:r w:rsidR="0069374B" w:rsidRPr="00F63694">
        <w:rPr>
          <w:rFonts w:asciiTheme="majorHAnsi" w:hAnsiTheme="majorHAnsi" w:cstheme="majorHAnsi"/>
          <w:sz w:val="24"/>
          <w:szCs w:val="24"/>
          <w:lang w:val="ro-MD"/>
        </w:rPr>
        <w:t>ț</w:t>
      </w:r>
      <w:r w:rsidRPr="00F63694">
        <w:rPr>
          <w:rFonts w:asciiTheme="majorHAnsi" w:hAnsiTheme="majorHAnsi" w:cstheme="majorHAnsi"/>
          <w:sz w:val="24"/>
          <w:szCs w:val="24"/>
          <w:lang w:val="ro-MD"/>
        </w:rPr>
        <w:t xml:space="preserve">ii nu au atins acest normativ, astfel </w:t>
      </w:r>
      <w:r w:rsidR="004C399F" w:rsidRPr="00F63694">
        <w:rPr>
          <w:rFonts w:asciiTheme="majorHAnsi" w:hAnsiTheme="majorHAnsi" w:cstheme="majorHAnsi"/>
          <w:sz w:val="24"/>
          <w:szCs w:val="24"/>
          <w:lang w:val="ro-MD"/>
        </w:rPr>
        <w:t>nivel</w:t>
      </w:r>
      <w:r w:rsidRPr="00F63694">
        <w:rPr>
          <w:rFonts w:asciiTheme="majorHAnsi" w:hAnsiTheme="majorHAnsi" w:cstheme="majorHAnsi"/>
          <w:sz w:val="24"/>
          <w:szCs w:val="24"/>
          <w:lang w:val="ro-MD"/>
        </w:rPr>
        <w:t xml:space="preserve">ul de asigurare zilnică a copiilor cu produse lactate a variat între 20 % </w:t>
      </w:r>
      <w:r w:rsidR="0069374B" w:rsidRPr="00F63694">
        <w:rPr>
          <w:rFonts w:asciiTheme="majorHAnsi" w:hAnsiTheme="majorHAnsi" w:cstheme="majorHAnsi"/>
          <w:sz w:val="24"/>
          <w:szCs w:val="24"/>
          <w:lang w:val="ro-MD"/>
        </w:rPr>
        <w:t>ș</w:t>
      </w:r>
      <w:r w:rsidRPr="00F63694">
        <w:rPr>
          <w:rFonts w:asciiTheme="majorHAnsi" w:hAnsiTheme="majorHAnsi" w:cstheme="majorHAnsi"/>
          <w:sz w:val="24"/>
          <w:szCs w:val="24"/>
          <w:lang w:val="ro-MD"/>
        </w:rPr>
        <w:t>i 96% fa</w:t>
      </w:r>
      <w:r w:rsidR="0069374B" w:rsidRPr="00F63694">
        <w:rPr>
          <w:rFonts w:asciiTheme="majorHAnsi" w:hAnsiTheme="majorHAnsi" w:cstheme="majorHAnsi"/>
          <w:sz w:val="24"/>
          <w:szCs w:val="24"/>
          <w:lang w:val="ro-MD"/>
        </w:rPr>
        <w:t>ț</w:t>
      </w:r>
      <w:r w:rsidRPr="00F63694">
        <w:rPr>
          <w:rFonts w:asciiTheme="majorHAnsi" w:hAnsiTheme="majorHAnsi" w:cstheme="majorHAnsi"/>
          <w:sz w:val="24"/>
          <w:szCs w:val="24"/>
          <w:lang w:val="ro-MD"/>
        </w:rPr>
        <w:t xml:space="preserve">ă de necesarul aprobat. </w:t>
      </w:r>
    </w:p>
    <w:p w14:paraId="700F2295" w14:textId="72DE2AD8" w:rsidR="00143E2C" w:rsidRPr="00363CFA" w:rsidRDefault="00143E2C" w:rsidP="00767ED8">
      <w:pPr>
        <w:spacing w:after="0" w:line="276" w:lineRule="auto"/>
        <w:contextualSpacing/>
        <w:jc w:val="both"/>
        <w:rPr>
          <w:rFonts w:asciiTheme="majorHAnsi" w:hAnsiTheme="majorHAnsi" w:cstheme="majorHAnsi"/>
          <w:b/>
          <w:iCs/>
          <w:sz w:val="24"/>
          <w:szCs w:val="24"/>
          <w:u w:val="single"/>
          <w:lang w:val="ro-MD"/>
        </w:rPr>
      </w:pPr>
      <w:r w:rsidRPr="00F63694">
        <w:rPr>
          <w:rFonts w:asciiTheme="majorHAnsi" w:hAnsiTheme="majorHAnsi" w:cstheme="majorHAnsi"/>
          <w:sz w:val="24"/>
          <w:szCs w:val="24"/>
          <w:lang w:val="ro-MD"/>
        </w:rPr>
        <w:t>Totodată, în majoritatea institu</w:t>
      </w:r>
      <w:r w:rsidR="0069374B" w:rsidRPr="00F63694">
        <w:rPr>
          <w:rFonts w:asciiTheme="majorHAnsi" w:hAnsiTheme="majorHAnsi" w:cstheme="majorHAnsi"/>
          <w:sz w:val="24"/>
          <w:szCs w:val="24"/>
          <w:lang w:val="ro-MD"/>
        </w:rPr>
        <w:t>ț</w:t>
      </w:r>
      <w:r w:rsidRPr="00F63694">
        <w:rPr>
          <w:rFonts w:asciiTheme="majorHAnsi" w:hAnsiTheme="majorHAnsi" w:cstheme="majorHAnsi"/>
          <w:sz w:val="24"/>
          <w:szCs w:val="24"/>
          <w:lang w:val="ro-MD"/>
        </w:rPr>
        <w:t>iilor pre</w:t>
      </w:r>
      <w:r w:rsidR="0069374B" w:rsidRPr="00F63694">
        <w:rPr>
          <w:rFonts w:asciiTheme="majorHAnsi" w:hAnsiTheme="majorHAnsi" w:cstheme="majorHAnsi"/>
          <w:sz w:val="24"/>
          <w:szCs w:val="24"/>
          <w:lang w:val="ro-MD"/>
        </w:rPr>
        <w:t>ș</w:t>
      </w:r>
      <w:r w:rsidRPr="00F63694">
        <w:rPr>
          <w:rFonts w:asciiTheme="majorHAnsi" w:hAnsiTheme="majorHAnsi" w:cstheme="majorHAnsi"/>
          <w:sz w:val="24"/>
          <w:szCs w:val="24"/>
          <w:lang w:val="ro-MD"/>
        </w:rPr>
        <w:t>colare se atestă supranormativul zilnic pentru un copil la pozi</w:t>
      </w:r>
      <w:r w:rsidR="0069374B" w:rsidRPr="00F63694">
        <w:rPr>
          <w:rFonts w:asciiTheme="majorHAnsi" w:hAnsiTheme="majorHAnsi" w:cstheme="majorHAnsi"/>
          <w:sz w:val="24"/>
          <w:szCs w:val="24"/>
          <w:lang w:val="ro-MD"/>
        </w:rPr>
        <w:t>ț</w:t>
      </w:r>
      <w:r w:rsidRPr="00F63694">
        <w:rPr>
          <w:rFonts w:asciiTheme="majorHAnsi" w:hAnsiTheme="majorHAnsi" w:cstheme="majorHAnsi"/>
          <w:sz w:val="24"/>
          <w:szCs w:val="24"/>
          <w:lang w:val="ro-MD"/>
        </w:rPr>
        <w:t xml:space="preserve">iile </w:t>
      </w:r>
      <w:r w:rsidRPr="00F63694">
        <w:rPr>
          <w:rFonts w:asciiTheme="majorHAnsi" w:hAnsiTheme="majorHAnsi" w:cstheme="majorHAnsi"/>
          <w:b/>
          <w:i/>
          <w:sz w:val="24"/>
          <w:szCs w:val="24"/>
          <w:lang w:val="ro-MD"/>
        </w:rPr>
        <w:t>crupe, pâine, leguminoase, paste făinoase, produse de cofetărie etc</w:t>
      </w:r>
      <w:r w:rsidR="00AE0489" w:rsidRPr="00F63694">
        <w:rPr>
          <w:rFonts w:asciiTheme="majorHAnsi" w:hAnsiTheme="majorHAnsi" w:cstheme="majorHAnsi"/>
          <w:b/>
          <w:i/>
          <w:sz w:val="24"/>
          <w:szCs w:val="24"/>
          <w:lang w:val="ro-MD"/>
        </w:rPr>
        <w:t>.</w:t>
      </w:r>
      <w:r w:rsidRPr="00F63694">
        <w:rPr>
          <w:rStyle w:val="FootnoteReference"/>
          <w:rFonts w:asciiTheme="majorHAnsi" w:hAnsiTheme="majorHAnsi" w:cstheme="majorHAnsi"/>
          <w:b/>
          <w:i/>
          <w:sz w:val="24"/>
          <w:szCs w:val="24"/>
          <w:lang w:val="ro-MD"/>
        </w:rPr>
        <w:footnoteReference w:id="68"/>
      </w:r>
      <w:r w:rsidRPr="00F63694">
        <w:rPr>
          <w:rFonts w:asciiTheme="majorHAnsi" w:hAnsiTheme="majorHAnsi" w:cstheme="majorHAnsi"/>
          <w:i/>
          <w:sz w:val="24"/>
          <w:szCs w:val="24"/>
          <w:lang w:val="ro-MD"/>
        </w:rPr>
        <w:t xml:space="preserve"> </w:t>
      </w:r>
      <w:r w:rsidRPr="00F63694">
        <w:rPr>
          <w:rFonts w:asciiTheme="majorHAnsi" w:hAnsiTheme="majorHAnsi" w:cstheme="majorHAnsi"/>
          <w:sz w:val="24"/>
          <w:szCs w:val="24"/>
          <w:lang w:val="ro-MD"/>
        </w:rPr>
        <w:t>De</w:t>
      </w:r>
      <w:r w:rsidR="0069374B" w:rsidRPr="00F63694">
        <w:rPr>
          <w:rFonts w:asciiTheme="majorHAnsi" w:hAnsiTheme="majorHAnsi" w:cstheme="majorHAnsi"/>
          <w:sz w:val="24"/>
          <w:szCs w:val="24"/>
          <w:lang w:val="ro-MD"/>
        </w:rPr>
        <w:t>ș</w:t>
      </w:r>
      <w:r w:rsidRPr="00F63694">
        <w:rPr>
          <w:rFonts w:asciiTheme="majorHAnsi" w:hAnsiTheme="majorHAnsi" w:cstheme="majorHAnsi"/>
          <w:sz w:val="24"/>
          <w:szCs w:val="24"/>
          <w:lang w:val="ro-MD"/>
        </w:rPr>
        <w:t xml:space="preserve">i </w:t>
      </w:r>
      <w:r w:rsidRPr="00F63694">
        <w:rPr>
          <w:rFonts w:asciiTheme="majorHAnsi" w:hAnsiTheme="majorHAnsi" w:cstheme="majorHAnsi"/>
          <w:b/>
          <w:i/>
          <w:sz w:val="24"/>
          <w:szCs w:val="24"/>
          <w:lang w:val="ro-MD"/>
        </w:rPr>
        <w:t>biscui</w:t>
      </w:r>
      <w:r w:rsidR="0069374B" w:rsidRPr="00F63694">
        <w:rPr>
          <w:rFonts w:asciiTheme="majorHAnsi" w:hAnsiTheme="majorHAnsi" w:cstheme="majorHAnsi"/>
          <w:b/>
          <w:i/>
          <w:sz w:val="24"/>
          <w:szCs w:val="24"/>
          <w:lang w:val="ro-MD"/>
        </w:rPr>
        <w:t>ț</w:t>
      </w:r>
      <w:r w:rsidRPr="00F63694">
        <w:rPr>
          <w:rFonts w:asciiTheme="majorHAnsi" w:hAnsiTheme="majorHAnsi" w:cstheme="majorHAnsi"/>
          <w:b/>
          <w:i/>
          <w:sz w:val="24"/>
          <w:szCs w:val="24"/>
          <w:lang w:val="ro-MD"/>
        </w:rPr>
        <w:t>ii</w:t>
      </w:r>
      <w:r w:rsidRPr="00363CFA">
        <w:rPr>
          <w:rFonts w:asciiTheme="majorHAnsi" w:hAnsiTheme="majorHAnsi" w:cstheme="majorHAnsi"/>
          <w:b/>
          <w:i/>
          <w:sz w:val="24"/>
          <w:szCs w:val="24"/>
          <w:lang w:val="ro-MD"/>
        </w:rPr>
        <w:t xml:space="preserve"> </w:t>
      </w:r>
      <w:r w:rsidRPr="00363CFA">
        <w:rPr>
          <w:rFonts w:asciiTheme="majorHAnsi" w:hAnsiTheme="majorHAnsi" w:cstheme="majorHAnsi"/>
          <w:sz w:val="24"/>
          <w:szCs w:val="24"/>
          <w:lang w:val="ro-MD"/>
        </w:rPr>
        <w:t xml:space="preserve">fac parte din produsele alimentare care urmează a fi limitate până la </w:t>
      </w:r>
      <w:r w:rsidR="00A17FD6">
        <w:rPr>
          <w:rFonts w:asciiTheme="majorHAnsi" w:hAnsiTheme="majorHAnsi" w:cstheme="majorHAnsi"/>
          <w:sz w:val="24"/>
          <w:szCs w:val="24"/>
          <w:lang w:val="ro-MD"/>
        </w:rPr>
        <w:t>1</w:t>
      </w:r>
      <w:r w:rsidRPr="00363CFA">
        <w:rPr>
          <w:rFonts w:asciiTheme="majorHAnsi" w:hAnsiTheme="majorHAnsi" w:cstheme="majorHAnsi"/>
          <w:sz w:val="24"/>
          <w:szCs w:val="24"/>
          <w:lang w:val="ro-MD"/>
        </w:rPr>
        <w:t xml:space="preserve"> – </w:t>
      </w:r>
      <w:r w:rsidR="00A17FD6">
        <w:rPr>
          <w:rFonts w:asciiTheme="majorHAnsi" w:hAnsiTheme="majorHAnsi" w:cstheme="majorHAnsi"/>
          <w:sz w:val="24"/>
          <w:szCs w:val="24"/>
          <w:lang w:val="ro-MD"/>
        </w:rPr>
        <w:t>2</w:t>
      </w:r>
      <w:r w:rsidRPr="00363CFA">
        <w:rPr>
          <w:rFonts w:asciiTheme="majorHAnsi" w:hAnsiTheme="majorHAnsi" w:cstheme="majorHAnsi"/>
          <w:sz w:val="24"/>
          <w:szCs w:val="24"/>
          <w:lang w:val="ro-MD"/>
        </w:rPr>
        <w:t xml:space="preserve"> ori pe săptămână, </w:t>
      </w:r>
      <w:r w:rsidR="00A17FD6">
        <w:rPr>
          <w:rFonts w:asciiTheme="majorHAnsi" w:hAnsiTheme="majorHAnsi" w:cstheme="majorHAnsi"/>
          <w:sz w:val="24"/>
          <w:szCs w:val="24"/>
          <w:lang w:val="ro-MD"/>
        </w:rPr>
        <w:t xml:space="preserve">la </w:t>
      </w:r>
      <w:r w:rsidRPr="00363CFA">
        <w:rPr>
          <w:rFonts w:asciiTheme="majorHAnsi" w:hAnsiTheme="majorHAnsi" w:cstheme="majorHAnsi"/>
          <w:sz w:val="24"/>
          <w:szCs w:val="24"/>
          <w:lang w:val="ro-MD"/>
        </w:rPr>
        <w:t xml:space="preserve"> 29 de institu</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 a fost atestat supraconsumul zilnic per copil</w:t>
      </w:r>
      <w:r w:rsidR="00A17FD6">
        <w:rPr>
          <w:rFonts w:asciiTheme="majorHAnsi" w:hAnsiTheme="majorHAnsi" w:cstheme="majorHAnsi"/>
          <w:sz w:val="24"/>
          <w:szCs w:val="24"/>
          <w:lang w:val="ro-MD"/>
        </w:rPr>
        <w:t xml:space="preserve"> de acest produs</w:t>
      </w:r>
      <w:r w:rsidRPr="00363CFA">
        <w:rPr>
          <w:rFonts w:asciiTheme="majorHAnsi" w:hAnsiTheme="majorHAnsi" w:cstheme="majorHAnsi"/>
          <w:sz w:val="24"/>
          <w:szCs w:val="24"/>
          <w:lang w:val="ro-MD"/>
        </w:rPr>
        <w:t>, care a variat de la 103</w:t>
      </w:r>
      <w:r w:rsidR="00A17FD6">
        <w:rPr>
          <w:rFonts w:asciiTheme="majorHAnsi" w:hAnsiTheme="majorHAnsi" w:cstheme="majorHAnsi"/>
          <w:sz w:val="24"/>
          <w:szCs w:val="24"/>
          <w:lang w:val="ro-MD"/>
        </w:rPr>
        <w:t>%</w:t>
      </w:r>
      <w:r w:rsidRPr="00363CFA">
        <w:rPr>
          <w:rFonts w:asciiTheme="majorHAnsi" w:hAnsiTheme="majorHAnsi" w:cstheme="majorHAnsi"/>
          <w:sz w:val="24"/>
          <w:szCs w:val="24"/>
          <w:lang w:val="ro-MD"/>
        </w:rPr>
        <w:t xml:space="preserve"> până la 594</w:t>
      </w:r>
      <w:r w:rsidR="00A17FD6">
        <w:rPr>
          <w:rFonts w:asciiTheme="majorHAnsi" w:hAnsiTheme="majorHAnsi" w:cstheme="majorHAnsi"/>
          <w:sz w:val="24"/>
          <w:szCs w:val="24"/>
          <w:lang w:val="ro-MD"/>
        </w:rPr>
        <w:t>%</w:t>
      </w:r>
      <w:r w:rsidRPr="00363CFA">
        <w:rPr>
          <w:rFonts w:asciiTheme="majorHAnsi" w:hAnsiTheme="majorHAnsi" w:cstheme="majorHAnsi"/>
          <w:sz w:val="24"/>
          <w:szCs w:val="24"/>
          <w:lang w:val="ro-MD"/>
        </w:rPr>
        <w:t>.</w:t>
      </w:r>
    </w:p>
    <w:p w14:paraId="0FAEA51E" w14:textId="77777777" w:rsidR="00143E2C" w:rsidRPr="00BC3271" w:rsidRDefault="00143E2C" w:rsidP="00712FF7">
      <w:pPr>
        <w:spacing w:after="0" w:line="276" w:lineRule="auto"/>
        <w:ind w:right="-22"/>
        <w:jc w:val="both"/>
        <w:rPr>
          <w:rFonts w:asciiTheme="majorHAnsi" w:hAnsiTheme="majorHAnsi" w:cstheme="majorHAnsi"/>
          <w:b/>
          <w:i/>
          <w:sz w:val="24"/>
          <w:szCs w:val="24"/>
          <w:lang w:val="ro-MD"/>
        </w:rPr>
      </w:pPr>
      <w:r w:rsidRPr="00712FF7">
        <w:rPr>
          <w:rFonts w:asciiTheme="majorHAnsi" w:hAnsiTheme="majorHAnsi" w:cstheme="majorHAnsi"/>
          <w:b/>
          <w:i/>
          <w:iCs/>
          <w:sz w:val="24"/>
          <w:szCs w:val="24"/>
          <w:lang w:val="ro-MD"/>
        </w:rPr>
        <w:t xml:space="preserve">4.2.5.2. </w:t>
      </w:r>
      <w:r w:rsidRPr="00712FF7">
        <w:rPr>
          <w:rFonts w:asciiTheme="majorHAnsi" w:hAnsiTheme="majorHAnsi" w:cstheme="majorHAnsi"/>
          <w:b/>
          <w:i/>
          <w:sz w:val="24"/>
          <w:szCs w:val="24"/>
          <w:lang w:val="ro-MD"/>
        </w:rPr>
        <w:t xml:space="preserve">APL din UAT de nivelul I din Găgăuzia </w:t>
      </w:r>
      <w:r w:rsidR="008C3818" w:rsidRPr="00712FF7">
        <w:rPr>
          <w:rFonts w:asciiTheme="majorHAnsi" w:hAnsiTheme="majorHAnsi" w:cstheme="majorHAnsi"/>
          <w:b/>
          <w:i/>
          <w:sz w:val="24"/>
          <w:szCs w:val="24"/>
          <w:lang w:val="ro-MD"/>
        </w:rPr>
        <w:t xml:space="preserve">(primăriile) </w:t>
      </w:r>
      <w:r w:rsidRPr="00712FF7">
        <w:rPr>
          <w:rFonts w:asciiTheme="majorHAnsi" w:hAnsiTheme="majorHAnsi" w:cstheme="majorHAnsi"/>
          <w:b/>
          <w:i/>
          <w:sz w:val="24"/>
          <w:szCs w:val="24"/>
          <w:lang w:val="ro-MD"/>
        </w:rPr>
        <w:t>nu au asigurat, în anul 2020, un control</w:t>
      </w:r>
      <w:r w:rsidRPr="00BC3271">
        <w:rPr>
          <w:rFonts w:asciiTheme="majorHAnsi" w:hAnsiTheme="majorHAnsi" w:cstheme="majorHAnsi"/>
          <w:b/>
          <w:i/>
          <w:sz w:val="24"/>
          <w:szCs w:val="24"/>
          <w:lang w:val="ro-MD"/>
        </w:rPr>
        <w:t xml:space="preserve"> riguros asupra respectării normelor financiare aprobate pentru alimentarea copiilor din institu</w:t>
      </w:r>
      <w:r w:rsidR="0069374B" w:rsidRPr="00BC3271">
        <w:rPr>
          <w:rFonts w:asciiTheme="majorHAnsi" w:hAnsiTheme="majorHAnsi" w:cstheme="majorHAnsi"/>
          <w:b/>
          <w:i/>
          <w:sz w:val="24"/>
          <w:szCs w:val="24"/>
          <w:lang w:val="ro-MD"/>
        </w:rPr>
        <w:t>ț</w:t>
      </w:r>
      <w:r w:rsidRPr="00BC3271">
        <w:rPr>
          <w:rFonts w:asciiTheme="majorHAnsi" w:hAnsiTheme="majorHAnsi" w:cstheme="majorHAnsi"/>
          <w:b/>
          <w:i/>
          <w:sz w:val="24"/>
          <w:szCs w:val="24"/>
          <w:lang w:val="ro-MD"/>
        </w:rPr>
        <w:t>iile de învă</w:t>
      </w:r>
      <w:r w:rsidR="0069374B" w:rsidRPr="00BC3271">
        <w:rPr>
          <w:rFonts w:asciiTheme="majorHAnsi" w:hAnsiTheme="majorHAnsi" w:cstheme="majorHAnsi"/>
          <w:b/>
          <w:i/>
          <w:sz w:val="24"/>
          <w:szCs w:val="24"/>
          <w:lang w:val="ro-MD"/>
        </w:rPr>
        <w:t>ț</w:t>
      </w:r>
      <w:r w:rsidRPr="00BC3271">
        <w:rPr>
          <w:rFonts w:asciiTheme="majorHAnsi" w:hAnsiTheme="majorHAnsi" w:cstheme="majorHAnsi"/>
          <w:b/>
          <w:i/>
          <w:sz w:val="24"/>
          <w:szCs w:val="24"/>
          <w:lang w:val="ro-MD"/>
        </w:rPr>
        <w:t>ământ pre</w:t>
      </w:r>
      <w:r w:rsidR="0069374B" w:rsidRPr="00BC3271">
        <w:rPr>
          <w:rFonts w:asciiTheme="majorHAnsi" w:hAnsiTheme="majorHAnsi" w:cstheme="majorHAnsi"/>
          <w:b/>
          <w:i/>
          <w:sz w:val="24"/>
          <w:szCs w:val="24"/>
          <w:lang w:val="ro-MD"/>
        </w:rPr>
        <w:t>ș</w:t>
      </w:r>
      <w:r w:rsidRPr="00BC3271">
        <w:rPr>
          <w:rFonts w:asciiTheme="majorHAnsi" w:hAnsiTheme="majorHAnsi" w:cstheme="majorHAnsi"/>
          <w:b/>
          <w:i/>
          <w:sz w:val="24"/>
          <w:szCs w:val="24"/>
          <w:lang w:val="ro-MD"/>
        </w:rPr>
        <w:t>colar din subordine.</w:t>
      </w:r>
    </w:p>
    <w:p w14:paraId="3A013475" w14:textId="7BAE1095" w:rsidR="00143E2C" w:rsidRPr="00363CFA" w:rsidRDefault="00143E2C" w:rsidP="00FE7324">
      <w:pPr>
        <w:spacing w:after="0" w:line="276" w:lineRule="auto"/>
        <w:ind w:firstLine="567"/>
        <w:contextualSpacing/>
        <w:jc w:val="both"/>
        <w:rPr>
          <w:rFonts w:asciiTheme="majorHAnsi" w:hAnsiTheme="majorHAnsi" w:cstheme="majorHAnsi"/>
          <w:sz w:val="24"/>
          <w:szCs w:val="24"/>
          <w:lang w:val="ro-MD"/>
        </w:rPr>
      </w:pPr>
      <w:r w:rsidRPr="00BC3271">
        <w:rPr>
          <w:rFonts w:asciiTheme="majorHAnsi" w:hAnsiTheme="majorHAnsi" w:cstheme="majorHAnsi"/>
          <w:sz w:val="24"/>
          <w:szCs w:val="24"/>
          <w:lang w:val="ro-MD"/>
        </w:rPr>
        <w:lastRenderedPageBreak/>
        <w:t>Conform prevederilor cadrului normativ</w:t>
      </w:r>
      <w:r w:rsidRPr="00BC3271">
        <w:rPr>
          <w:rStyle w:val="FootnoteReference"/>
          <w:rFonts w:asciiTheme="majorHAnsi" w:hAnsiTheme="majorHAnsi" w:cstheme="majorHAnsi"/>
          <w:sz w:val="24"/>
          <w:szCs w:val="24"/>
          <w:lang w:val="ro-MD"/>
        </w:rPr>
        <w:footnoteReference w:id="69"/>
      </w:r>
      <w:r w:rsidR="00F4211E" w:rsidRPr="00BC3271">
        <w:rPr>
          <w:rFonts w:asciiTheme="majorHAnsi" w:hAnsiTheme="majorHAnsi" w:cstheme="majorHAnsi"/>
          <w:sz w:val="24"/>
          <w:szCs w:val="24"/>
          <w:lang w:val="ro-MD"/>
        </w:rPr>
        <w:t xml:space="preserve"> în vigoare, </w:t>
      </w:r>
      <w:r w:rsidRPr="00BC3271">
        <w:rPr>
          <w:rFonts w:asciiTheme="majorHAnsi" w:hAnsiTheme="majorHAnsi" w:cstheme="majorHAnsi"/>
          <w:sz w:val="24"/>
          <w:szCs w:val="24"/>
          <w:lang w:val="ro-MD"/>
        </w:rPr>
        <w:t>APL de nivelul I</w:t>
      </w:r>
      <w:r w:rsidR="008C3818" w:rsidRPr="00BC3271">
        <w:rPr>
          <w:rFonts w:asciiTheme="majorHAnsi" w:hAnsiTheme="majorHAnsi" w:cstheme="majorHAnsi"/>
          <w:sz w:val="24"/>
          <w:szCs w:val="24"/>
          <w:lang w:val="ro-MD"/>
        </w:rPr>
        <w:t xml:space="preserve"> (primăria)</w:t>
      </w:r>
      <w:r w:rsidRPr="00BC3271">
        <w:rPr>
          <w:rFonts w:asciiTheme="majorHAnsi" w:hAnsiTheme="majorHAnsi" w:cstheme="majorHAnsi"/>
          <w:sz w:val="24"/>
          <w:szCs w:val="24"/>
          <w:lang w:val="ro-MD"/>
        </w:rPr>
        <w:t xml:space="preserve"> este responsabilă de gestionarea </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i între</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inerea institu</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iilor pre</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colare. Normele financiare, asigurate din mijloacele bugetare, pentru alimentarea copiilor/elevilor din institu</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iile de învă</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 xml:space="preserve">ământ pentru anul 2020 au fost aprobate prin Ordinul comun al ministrului </w:t>
      </w:r>
      <w:r w:rsidR="00A17FD6" w:rsidRPr="00BC3271">
        <w:rPr>
          <w:rFonts w:asciiTheme="majorHAnsi" w:hAnsiTheme="majorHAnsi" w:cstheme="majorHAnsi"/>
          <w:sz w:val="24"/>
          <w:szCs w:val="24"/>
          <w:lang w:val="ro-MD"/>
        </w:rPr>
        <w:t>e</w:t>
      </w:r>
      <w:r w:rsidRPr="00BC3271">
        <w:rPr>
          <w:rFonts w:asciiTheme="majorHAnsi" w:hAnsiTheme="majorHAnsi" w:cstheme="majorHAnsi"/>
          <w:sz w:val="24"/>
          <w:szCs w:val="24"/>
          <w:lang w:val="ro-MD"/>
        </w:rPr>
        <w:t>duca</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 xml:space="preserve">iei, </w:t>
      </w:r>
      <w:r w:rsidR="00A17FD6" w:rsidRPr="00BC3271">
        <w:rPr>
          <w:rFonts w:asciiTheme="majorHAnsi" w:hAnsiTheme="majorHAnsi" w:cstheme="majorHAnsi"/>
          <w:sz w:val="24"/>
          <w:szCs w:val="24"/>
          <w:lang w:val="ro-MD"/>
        </w:rPr>
        <w:t>c</w:t>
      </w:r>
      <w:r w:rsidRPr="00BC3271">
        <w:rPr>
          <w:rFonts w:asciiTheme="majorHAnsi" w:hAnsiTheme="majorHAnsi" w:cstheme="majorHAnsi"/>
          <w:sz w:val="24"/>
          <w:szCs w:val="24"/>
          <w:lang w:val="ro-MD"/>
        </w:rPr>
        <w:t xml:space="preserve">ulturii </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 xml:space="preserve">i </w:t>
      </w:r>
      <w:r w:rsidR="00A17FD6" w:rsidRPr="00BC3271">
        <w:rPr>
          <w:rFonts w:asciiTheme="majorHAnsi" w:hAnsiTheme="majorHAnsi" w:cstheme="majorHAnsi"/>
          <w:sz w:val="24"/>
          <w:szCs w:val="24"/>
          <w:lang w:val="ro-MD"/>
        </w:rPr>
        <w:t>c</w:t>
      </w:r>
      <w:r w:rsidRPr="00BC3271">
        <w:rPr>
          <w:rFonts w:asciiTheme="majorHAnsi" w:hAnsiTheme="majorHAnsi" w:cstheme="majorHAnsi"/>
          <w:sz w:val="24"/>
          <w:szCs w:val="24"/>
          <w:lang w:val="ro-MD"/>
        </w:rPr>
        <w:t xml:space="preserve">ercetării </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 xml:space="preserve">i al ministrului </w:t>
      </w:r>
      <w:r w:rsidR="00A17FD6" w:rsidRPr="00BC3271">
        <w:rPr>
          <w:rFonts w:asciiTheme="majorHAnsi" w:hAnsiTheme="majorHAnsi" w:cstheme="majorHAnsi"/>
          <w:sz w:val="24"/>
          <w:szCs w:val="24"/>
          <w:lang w:val="ro-MD"/>
        </w:rPr>
        <w:t>f</w:t>
      </w:r>
      <w:r w:rsidRPr="00BC3271">
        <w:rPr>
          <w:rFonts w:asciiTheme="majorHAnsi" w:hAnsiTheme="majorHAnsi" w:cstheme="majorHAnsi"/>
          <w:sz w:val="24"/>
          <w:szCs w:val="24"/>
          <w:lang w:val="ro-MD"/>
        </w:rPr>
        <w:t>inan</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elor nr. 9/12 din 15.01.2020</w:t>
      </w:r>
      <w:r w:rsidRPr="00BC3271">
        <w:rPr>
          <w:rStyle w:val="FootnoteReference"/>
          <w:rFonts w:asciiTheme="majorHAnsi" w:hAnsiTheme="majorHAnsi" w:cstheme="majorHAnsi"/>
          <w:sz w:val="24"/>
          <w:szCs w:val="24"/>
          <w:lang w:val="ro-MD"/>
        </w:rPr>
        <w:footnoteReference w:id="70"/>
      </w:r>
      <w:r w:rsidRPr="00BC3271">
        <w:rPr>
          <w:rFonts w:asciiTheme="majorHAnsi" w:hAnsiTheme="majorHAnsi" w:cstheme="majorHAnsi"/>
          <w:sz w:val="24"/>
          <w:szCs w:val="24"/>
          <w:lang w:val="ro-MD"/>
        </w:rPr>
        <w:t>, în func</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ie de tipul institu</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iei de învă</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 xml:space="preserve">ământ, </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i constituie pentru institu</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iile de învă</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ământ pre</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 xml:space="preserve">colar cu programul de activitate de 9 - 10,5 ore – </w:t>
      </w:r>
      <w:r w:rsidRPr="00BC3271">
        <w:rPr>
          <w:rFonts w:asciiTheme="majorHAnsi" w:hAnsiTheme="majorHAnsi" w:cstheme="majorHAnsi"/>
          <w:b/>
          <w:i/>
          <w:sz w:val="24"/>
          <w:szCs w:val="24"/>
          <w:lang w:val="ro-MD"/>
        </w:rPr>
        <w:t>17,5 lei/zi per copil,</w:t>
      </w:r>
      <w:r w:rsidRPr="00BC3271">
        <w:rPr>
          <w:rFonts w:asciiTheme="majorHAnsi" w:hAnsiTheme="majorHAnsi" w:cstheme="majorHAnsi"/>
          <w:sz w:val="24"/>
          <w:szCs w:val="24"/>
          <w:lang w:val="ro-MD"/>
        </w:rPr>
        <w:t xml:space="preserve"> </w:t>
      </w:r>
      <w:r w:rsidR="0044372A" w:rsidRPr="00BC3271">
        <w:rPr>
          <w:rFonts w:asciiTheme="majorHAnsi" w:hAnsiTheme="majorHAnsi" w:cstheme="majorHAnsi"/>
          <w:sz w:val="24"/>
          <w:szCs w:val="24"/>
          <w:lang w:val="ro-MD"/>
        </w:rPr>
        <w:t>iar</w:t>
      </w:r>
      <w:r w:rsidRPr="00BC3271">
        <w:rPr>
          <w:rFonts w:asciiTheme="majorHAnsi" w:hAnsiTheme="majorHAnsi" w:cstheme="majorHAnsi"/>
          <w:sz w:val="24"/>
          <w:szCs w:val="24"/>
          <w:lang w:val="ro-MD"/>
        </w:rPr>
        <w:t xml:space="preserve"> cu programul de activitate de 12 ore – </w:t>
      </w:r>
      <w:r w:rsidRPr="00BC3271">
        <w:rPr>
          <w:rFonts w:asciiTheme="majorHAnsi" w:hAnsiTheme="majorHAnsi" w:cstheme="majorHAnsi"/>
          <w:b/>
          <w:i/>
          <w:sz w:val="24"/>
          <w:szCs w:val="24"/>
          <w:lang w:val="ro-MD"/>
        </w:rPr>
        <w:t>19,1 lei/zi per copil</w:t>
      </w:r>
      <w:r w:rsidRPr="00BC3271">
        <w:rPr>
          <w:rFonts w:asciiTheme="majorHAnsi" w:hAnsiTheme="majorHAnsi" w:cstheme="majorHAnsi"/>
          <w:sz w:val="24"/>
          <w:szCs w:val="24"/>
          <w:lang w:val="ro-MD"/>
        </w:rPr>
        <w:t>. În anul 2020</w:t>
      </w:r>
      <w:r w:rsidR="0044372A" w:rsidRPr="00BC3271">
        <w:rPr>
          <w:rFonts w:asciiTheme="majorHAnsi" w:hAnsiTheme="majorHAnsi" w:cstheme="majorHAnsi"/>
          <w:sz w:val="24"/>
          <w:szCs w:val="24"/>
          <w:lang w:val="ro-MD"/>
        </w:rPr>
        <w:t>,</w:t>
      </w:r>
      <w:r w:rsidRPr="00BC3271">
        <w:rPr>
          <w:rFonts w:asciiTheme="majorHAnsi" w:hAnsiTheme="majorHAnsi" w:cstheme="majorHAnsi"/>
          <w:sz w:val="24"/>
          <w:szCs w:val="24"/>
          <w:lang w:val="ro-MD"/>
        </w:rPr>
        <w:t xml:space="preserve"> normativul financiar a fost men</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 xml:space="preserve">inut la nivelul celui aprobat pentru anul 2018, fără a se </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ine cont de infla</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ia prognozată pentru acest an. Taxa de între</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inere în institu</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iile de învă</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ământ pre</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colar, care urma a fi achitată de către părin</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 este de 50</w:t>
      </w:r>
      <w:r w:rsidR="0044372A" w:rsidRPr="00BC3271">
        <w:rPr>
          <w:rFonts w:asciiTheme="majorHAnsi" w:hAnsiTheme="majorHAnsi" w:cstheme="majorHAnsi"/>
          <w:sz w:val="24"/>
          <w:szCs w:val="24"/>
          <w:lang w:val="ro-MD"/>
        </w:rPr>
        <w:t xml:space="preserve">% </w:t>
      </w:r>
      <w:r w:rsidRPr="00BC3271">
        <w:rPr>
          <w:rFonts w:asciiTheme="majorHAnsi" w:hAnsiTheme="majorHAnsi" w:cstheme="majorHAnsi"/>
          <w:sz w:val="24"/>
          <w:szCs w:val="24"/>
          <w:lang w:val="ro-MD"/>
        </w:rPr>
        <w:t xml:space="preserve"> pentru fiecare zi frecventată din costul normelor de cheltuieli pentru alimentarea copiilor suportate din buget. Autoritatea Executivă a Găgăuziei a decis, în anul 2020, compensarea plă</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ii din sursele</w:t>
      </w:r>
      <w:r w:rsidR="003C2D6D" w:rsidRPr="00BC3271">
        <w:rPr>
          <w:rFonts w:asciiTheme="majorHAnsi" w:hAnsiTheme="majorHAnsi" w:cstheme="majorHAnsi"/>
          <w:sz w:val="24"/>
          <w:szCs w:val="24"/>
          <w:lang w:val="ro-MD"/>
        </w:rPr>
        <w:t xml:space="preserve"> proprii</w:t>
      </w:r>
      <w:r w:rsidRPr="00BC3271">
        <w:rPr>
          <w:rFonts w:asciiTheme="majorHAnsi" w:hAnsiTheme="majorHAnsi" w:cstheme="majorHAnsi"/>
          <w:sz w:val="24"/>
          <w:szCs w:val="24"/>
          <w:lang w:val="ro-MD"/>
        </w:rPr>
        <w:t>, în mărime de 100%. Însă</w:t>
      </w:r>
      <w:r w:rsidR="0044372A" w:rsidRPr="00BC3271">
        <w:rPr>
          <w:rFonts w:asciiTheme="majorHAnsi" w:hAnsiTheme="majorHAnsi" w:cstheme="majorHAnsi"/>
          <w:sz w:val="24"/>
          <w:szCs w:val="24"/>
          <w:lang w:val="ro-MD"/>
        </w:rPr>
        <w:t>, cu toate că</w:t>
      </w:r>
      <w:r w:rsidRPr="00BC3271">
        <w:rPr>
          <w:rFonts w:asciiTheme="majorHAnsi" w:hAnsiTheme="majorHAnsi" w:cstheme="majorHAnsi"/>
          <w:sz w:val="24"/>
          <w:szCs w:val="24"/>
          <w:lang w:val="ro-MD"/>
        </w:rPr>
        <w:t xml:space="preserve"> alimentarea copiilor din institu</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 xml:space="preserve">iile </w:t>
      </w:r>
      <w:r w:rsidR="0044372A" w:rsidRPr="00BC3271">
        <w:rPr>
          <w:rFonts w:asciiTheme="majorHAnsi" w:hAnsiTheme="majorHAnsi" w:cstheme="majorHAnsi"/>
          <w:sz w:val="24"/>
          <w:szCs w:val="24"/>
          <w:lang w:val="ro-MD"/>
        </w:rPr>
        <w:t xml:space="preserve">de învățământ </w:t>
      </w:r>
      <w:r w:rsidRPr="00BC3271">
        <w:rPr>
          <w:rFonts w:asciiTheme="majorHAnsi" w:hAnsiTheme="majorHAnsi" w:cstheme="majorHAnsi"/>
          <w:sz w:val="24"/>
          <w:szCs w:val="24"/>
          <w:lang w:val="ro-MD"/>
        </w:rPr>
        <w:t>pre</w:t>
      </w:r>
      <w:r w:rsidR="0069374B" w:rsidRPr="00BC3271">
        <w:rPr>
          <w:rFonts w:asciiTheme="majorHAnsi" w:hAnsiTheme="majorHAnsi" w:cstheme="majorHAnsi"/>
          <w:sz w:val="24"/>
          <w:szCs w:val="24"/>
          <w:lang w:val="ro-MD"/>
        </w:rPr>
        <w:t>ș</w:t>
      </w:r>
      <w:r w:rsidRPr="00BC3271">
        <w:rPr>
          <w:rFonts w:asciiTheme="majorHAnsi" w:hAnsiTheme="majorHAnsi" w:cstheme="majorHAnsi"/>
          <w:sz w:val="24"/>
          <w:szCs w:val="24"/>
          <w:lang w:val="ro-MD"/>
        </w:rPr>
        <w:t>colar din UTA Găgăuzia este asigurată 100</w:t>
      </w:r>
      <w:r w:rsidR="0044372A" w:rsidRPr="00BC3271">
        <w:rPr>
          <w:rFonts w:asciiTheme="majorHAnsi" w:hAnsiTheme="majorHAnsi" w:cstheme="majorHAnsi"/>
          <w:sz w:val="24"/>
          <w:szCs w:val="24"/>
          <w:lang w:val="ro-MD"/>
        </w:rPr>
        <w:t>%</w:t>
      </w:r>
      <w:r w:rsidRPr="00BC3271">
        <w:rPr>
          <w:rFonts w:asciiTheme="majorHAnsi" w:hAnsiTheme="majorHAnsi" w:cstheme="majorHAnsi"/>
          <w:sz w:val="24"/>
          <w:szCs w:val="24"/>
          <w:lang w:val="ro-MD"/>
        </w:rPr>
        <w:t xml:space="preserve"> din mijloace bugetare, calitatea alimenta</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iei acestora nu s-a îmbunătă</w:t>
      </w:r>
      <w:r w:rsidR="0069374B" w:rsidRPr="00BC3271">
        <w:rPr>
          <w:rFonts w:asciiTheme="majorHAnsi" w:hAnsiTheme="majorHAnsi" w:cstheme="majorHAnsi"/>
          <w:sz w:val="24"/>
          <w:szCs w:val="24"/>
          <w:lang w:val="ro-MD"/>
        </w:rPr>
        <w:t>ț</w:t>
      </w:r>
      <w:r w:rsidRPr="00BC3271">
        <w:rPr>
          <w:rFonts w:asciiTheme="majorHAnsi" w:hAnsiTheme="majorHAnsi" w:cstheme="majorHAnsi"/>
          <w:sz w:val="24"/>
          <w:szCs w:val="24"/>
          <w:lang w:val="ro-MD"/>
        </w:rPr>
        <w:t>it.</w:t>
      </w:r>
      <w:r w:rsidRPr="00363CFA">
        <w:rPr>
          <w:rFonts w:asciiTheme="majorHAnsi" w:hAnsiTheme="majorHAnsi" w:cstheme="majorHAnsi"/>
          <w:sz w:val="24"/>
          <w:szCs w:val="24"/>
          <w:lang w:val="ro-MD"/>
        </w:rPr>
        <w:t xml:space="preserve"> </w:t>
      </w:r>
    </w:p>
    <w:p w14:paraId="5B464E0F" w14:textId="4662DBC2" w:rsidR="00143E2C" w:rsidRPr="00363CFA" w:rsidRDefault="00143E2C" w:rsidP="00767ED8">
      <w:pPr>
        <w:spacing w:after="0" w:line="276" w:lineRule="auto"/>
        <w:ind w:right="-22" w:firstLine="567"/>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 xml:space="preserve">Pentru alimentarea în anul 2020 a </w:t>
      </w:r>
      <w:r w:rsidRPr="00363CFA">
        <w:rPr>
          <w:rFonts w:asciiTheme="majorHAnsi" w:hAnsiTheme="majorHAnsi" w:cstheme="majorHAnsi"/>
          <w:b/>
          <w:i/>
          <w:sz w:val="24"/>
          <w:szCs w:val="24"/>
          <w:lang w:val="ro-MD"/>
        </w:rPr>
        <w:t xml:space="preserve">6162 de copii </w:t>
      </w:r>
      <w:r w:rsidRPr="00363CFA">
        <w:rPr>
          <w:rFonts w:asciiTheme="majorHAnsi" w:hAnsiTheme="majorHAnsi" w:cstheme="majorHAnsi"/>
          <w:sz w:val="24"/>
          <w:szCs w:val="24"/>
          <w:lang w:val="ro-MD"/>
        </w:rPr>
        <w:t>din institu</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iile de învă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ăm</w:t>
      </w:r>
      <w:r w:rsidR="0044372A">
        <w:rPr>
          <w:rFonts w:asciiTheme="majorHAnsi" w:hAnsiTheme="majorHAnsi" w:cstheme="majorHAnsi"/>
          <w:sz w:val="24"/>
          <w:szCs w:val="24"/>
          <w:lang w:val="ro-MD"/>
        </w:rPr>
        <w:t>â</w:t>
      </w:r>
      <w:r w:rsidRPr="00363CFA">
        <w:rPr>
          <w:rFonts w:asciiTheme="majorHAnsi" w:hAnsiTheme="majorHAnsi" w:cstheme="majorHAnsi"/>
          <w:sz w:val="24"/>
          <w:szCs w:val="24"/>
          <w:lang w:val="ro-MD"/>
        </w:rPr>
        <w:t>nt pre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colar au fost utilizate mijloace financiare în sumă totală de </w:t>
      </w:r>
      <w:r w:rsidRPr="00363CFA">
        <w:rPr>
          <w:rFonts w:asciiTheme="majorHAnsi" w:hAnsiTheme="majorHAnsi" w:cstheme="majorHAnsi"/>
          <w:b/>
          <w:i/>
          <w:sz w:val="24"/>
          <w:szCs w:val="24"/>
          <w:lang w:val="ro-MD"/>
        </w:rPr>
        <w:t>12419,0 mii lei</w:t>
      </w:r>
      <w:r w:rsidRPr="00363CFA">
        <w:rPr>
          <w:rFonts w:asciiTheme="majorHAnsi" w:hAnsiTheme="majorHAnsi" w:cstheme="majorHAnsi"/>
          <w:sz w:val="24"/>
          <w:szCs w:val="24"/>
          <w:lang w:val="ro-MD"/>
        </w:rPr>
        <w:t xml:space="preserve">, din care: </w:t>
      </w:r>
      <w:r w:rsidRPr="00363CFA">
        <w:rPr>
          <w:rFonts w:asciiTheme="majorHAnsi" w:hAnsiTheme="majorHAnsi" w:cstheme="majorHAnsi"/>
          <w:b/>
          <w:i/>
          <w:sz w:val="24"/>
          <w:szCs w:val="24"/>
          <w:lang w:val="ro-MD"/>
        </w:rPr>
        <w:t>8076,8 mii lei</w:t>
      </w:r>
      <w:r w:rsidRPr="00363CFA">
        <w:rPr>
          <w:rFonts w:asciiTheme="majorHAnsi" w:hAnsiTheme="majorHAnsi" w:cstheme="majorHAnsi"/>
          <w:sz w:val="24"/>
          <w:szCs w:val="24"/>
          <w:lang w:val="ro-MD"/>
        </w:rPr>
        <w:t xml:space="preserve"> – din contul mijloacelor bugetare (din transferurile primite de la bugetul de stat),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w:t>
      </w:r>
      <w:r w:rsidRPr="00363CFA">
        <w:rPr>
          <w:rFonts w:asciiTheme="majorHAnsi" w:hAnsiTheme="majorHAnsi" w:cstheme="majorHAnsi"/>
          <w:b/>
          <w:i/>
          <w:sz w:val="24"/>
          <w:szCs w:val="24"/>
          <w:lang w:val="ro-MD"/>
        </w:rPr>
        <w:t>4342,2 mii lei</w:t>
      </w:r>
      <w:r w:rsidRPr="00363CFA">
        <w:rPr>
          <w:rFonts w:asciiTheme="majorHAnsi" w:hAnsiTheme="majorHAnsi" w:cstheme="majorHAnsi"/>
          <w:sz w:val="24"/>
          <w:szCs w:val="24"/>
          <w:lang w:val="ro-MD"/>
        </w:rPr>
        <w:t xml:space="preserve"> – din contul taxei compensate din contul mijloacelor de la bugetul central. Din cele 55 de institu</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ii, numai 21 </w:t>
      </w:r>
      <w:r w:rsidR="00E63D77">
        <w:rPr>
          <w:rFonts w:asciiTheme="majorHAnsi" w:hAnsiTheme="majorHAnsi" w:cstheme="majorHAnsi"/>
          <w:sz w:val="24"/>
          <w:szCs w:val="24"/>
          <w:lang w:val="ro-MD"/>
        </w:rPr>
        <w:t xml:space="preserve">de </w:t>
      </w:r>
      <w:r w:rsidRPr="00363CFA">
        <w:rPr>
          <w:rFonts w:asciiTheme="majorHAnsi" w:hAnsiTheme="majorHAnsi" w:cstheme="majorHAnsi"/>
          <w:sz w:val="24"/>
          <w:szCs w:val="24"/>
          <w:lang w:val="ro-MD"/>
        </w:rPr>
        <w:t>institu</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 pre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colare au respectat normativul financiar </w:t>
      </w:r>
      <w:r w:rsidR="003153D7" w:rsidRPr="00363CFA">
        <w:rPr>
          <w:rFonts w:asciiTheme="majorHAnsi" w:hAnsiTheme="majorHAnsi" w:cstheme="majorHAnsi"/>
          <w:sz w:val="24"/>
          <w:szCs w:val="24"/>
          <w:lang w:val="ro-MD"/>
        </w:rPr>
        <w:t xml:space="preserve">per </w:t>
      </w:r>
      <w:r w:rsidRPr="00363CFA">
        <w:rPr>
          <w:rFonts w:asciiTheme="majorHAnsi" w:hAnsiTheme="majorHAnsi" w:cstheme="majorHAnsi"/>
          <w:sz w:val="24"/>
          <w:szCs w:val="24"/>
          <w:lang w:val="ro-MD"/>
        </w:rPr>
        <w:t>zi/copil. În celelalte 34 de institu</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 pre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colare normativul financiar a fost diminuat </w:t>
      </w:r>
      <w:r w:rsidR="003153D7" w:rsidRPr="00363CFA">
        <w:rPr>
          <w:rFonts w:asciiTheme="majorHAnsi" w:hAnsiTheme="majorHAnsi" w:cstheme="majorHAnsi"/>
          <w:sz w:val="24"/>
          <w:szCs w:val="24"/>
          <w:lang w:val="ro-MD"/>
        </w:rPr>
        <w:t>cu</w:t>
      </w:r>
      <w:r w:rsidRPr="00363CFA">
        <w:rPr>
          <w:rFonts w:asciiTheme="majorHAnsi" w:hAnsiTheme="majorHAnsi" w:cstheme="majorHAnsi"/>
          <w:sz w:val="24"/>
          <w:szCs w:val="24"/>
          <w:lang w:val="ro-MD"/>
        </w:rPr>
        <w:t xml:space="preserve"> circa 1 leu/zi/copil </w:t>
      </w:r>
      <w:r w:rsidR="005F6473">
        <w:rPr>
          <w:rFonts w:asciiTheme="majorHAnsi" w:hAnsiTheme="majorHAnsi" w:cstheme="majorHAnsi"/>
          <w:sz w:val="24"/>
          <w:szCs w:val="24"/>
          <w:lang w:val="ro-MD"/>
        </w:rPr>
        <w:t xml:space="preserve">- </w:t>
      </w:r>
      <w:r w:rsidR="003153D7" w:rsidRPr="00363CFA">
        <w:rPr>
          <w:rFonts w:asciiTheme="majorHAnsi" w:hAnsiTheme="majorHAnsi" w:cstheme="majorHAnsi"/>
          <w:sz w:val="24"/>
          <w:szCs w:val="24"/>
          <w:lang w:val="ro-MD"/>
        </w:rPr>
        <w:t xml:space="preserve">cu </w:t>
      </w:r>
      <w:r w:rsidR="00B44D9B">
        <w:rPr>
          <w:rFonts w:asciiTheme="majorHAnsi" w:hAnsiTheme="majorHAnsi" w:cstheme="majorHAnsi"/>
          <w:sz w:val="24"/>
          <w:szCs w:val="24"/>
          <w:lang w:val="ro-MD"/>
        </w:rPr>
        <w:t>până la 5,80</w:t>
      </w:r>
      <w:r w:rsidRPr="00363CFA">
        <w:rPr>
          <w:rFonts w:asciiTheme="majorHAnsi" w:hAnsiTheme="majorHAnsi" w:cstheme="majorHAnsi"/>
          <w:sz w:val="24"/>
          <w:szCs w:val="24"/>
          <w:lang w:val="ro-MD"/>
        </w:rPr>
        <w:t xml:space="preserve"> lei/zi/copil. </w:t>
      </w:r>
    </w:p>
    <w:p w14:paraId="332D8252" w14:textId="378B1A9F" w:rsidR="00143E2C" w:rsidRPr="00363CFA" w:rsidRDefault="00143E2C" w:rsidP="00767ED8">
      <w:pPr>
        <w:spacing w:after="0" w:line="276" w:lineRule="auto"/>
        <w:ind w:firstLine="567"/>
        <w:jc w:val="both"/>
        <w:rPr>
          <w:rFonts w:asciiTheme="majorHAnsi" w:hAnsiTheme="majorHAnsi" w:cstheme="majorHAnsi"/>
          <w:b/>
          <w:i/>
          <w:color w:val="000000" w:themeColor="text1"/>
          <w:sz w:val="24"/>
          <w:szCs w:val="24"/>
          <w:lang w:val="ro-MD"/>
        </w:rPr>
      </w:pPr>
      <w:r w:rsidRPr="00363CFA">
        <w:rPr>
          <w:rFonts w:asciiTheme="majorHAnsi" w:hAnsiTheme="majorHAnsi" w:cstheme="majorHAnsi"/>
          <w:sz w:val="24"/>
          <w:szCs w:val="24"/>
          <w:lang w:val="ro-MD"/>
        </w:rPr>
        <w:t xml:space="preserve">Analiza comparativă a cheltuielilor efective </w:t>
      </w:r>
      <w:r w:rsidR="004A02E0">
        <w:rPr>
          <w:rFonts w:asciiTheme="majorHAnsi" w:hAnsiTheme="majorHAnsi" w:cstheme="majorHAnsi"/>
          <w:sz w:val="24"/>
          <w:szCs w:val="24"/>
          <w:lang w:val="ro-MD"/>
        </w:rPr>
        <w:t>execut</w:t>
      </w:r>
      <w:r w:rsidRPr="00363CFA">
        <w:rPr>
          <w:rFonts w:asciiTheme="majorHAnsi" w:hAnsiTheme="majorHAnsi" w:cstheme="majorHAnsi"/>
          <w:sz w:val="24"/>
          <w:szCs w:val="24"/>
          <w:lang w:val="ro-MD"/>
        </w:rPr>
        <w:t>ate pentru alimentarea copiilor în institu</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iile pre</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colare din cele 25 UAT cu necesarul de mijloace financiare care urma a fi cheltuit în acest scop relevă că acestea nu au utilizat 607,3 mii lei din contul bugetului de stat. </w:t>
      </w:r>
    </w:p>
    <w:p w14:paraId="73BDA033" w14:textId="189D2168" w:rsidR="00A52B16" w:rsidRPr="00363CFA" w:rsidRDefault="00CD41D2" w:rsidP="00767ED8">
      <w:pPr>
        <w:spacing w:after="0" w:line="276" w:lineRule="auto"/>
        <w:contextualSpacing/>
        <w:jc w:val="both"/>
        <w:rPr>
          <w:rFonts w:asciiTheme="majorHAnsi" w:hAnsiTheme="majorHAnsi" w:cstheme="majorHAnsi"/>
          <w:b/>
          <w:i/>
          <w:color w:val="000000" w:themeColor="text1"/>
          <w:sz w:val="24"/>
          <w:szCs w:val="24"/>
          <w:lang w:val="ro-MD"/>
        </w:rPr>
      </w:pPr>
      <w:r w:rsidRPr="00363CFA">
        <w:rPr>
          <w:rFonts w:asciiTheme="majorHAnsi" w:hAnsiTheme="majorHAnsi" w:cstheme="majorHAnsi"/>
          <w:b/>
          <w:i/>
          <w:color w:val="000000" w:themeColor="text1"/>
          <w:sz w:val="24"/>
          <w:szCs w:val="24"/>
          <w:lang w:val="ro-MD"/>
        </w:rPr>
        <w:t>4.2.6</w:t>
      </w:r>
      <w:r w:rsidR="00A52B16" w:rsidRPr="00363CFA">
        <w:rPr>
          <w:rFonts w:asciiTheme="majorHAnsi" w:hAnsiTheme="majorHAnsi" w:cstheme="majorHAnsi"/>
          <w:b/>
          <w:i/>
          <w:color w:val="000000" w:themeColor="text1"/>
          <w:sz w:val="24"/>
          <w:szCs w:val="24"/>
          <w:lang w:val="ro-MD"/>
        </w:rPr>
        <w:t xml:space="preserve">. </w:t>
      </w:r>
      <w:r w:rsidR="00EA5D7E" w:rsidRPr="003C2D6D">
        <w:rPr>
          <w:rFonts w:asciiTheme="majorHAnsi" w:hAnsiTheme="majorHAnsi" w:cstheme="majorHAnsi"/>
          <w:b/>
          <w:i/>
          <w:color w:val="000000" w:themeColor="text1"/>
          <w:sz w:val="24"/>
          <w:szCs w:val="24"/>
          <w:lang w:val="ro-MD"/>
        </w:rPr>
        <w:t>Autorită</w:t>
      </w:r>
      <w:r w:rsidR="0069374B" w:rsidRPr="003C2D6D">
        <w:rPr>
          <w:rFonts w:asciiTheme="majorHAnsi" w:hAnsiTheme="majorHAnsi" w:cstheme="majorHAnsi"/>
          <w:b/>
          <w:i/>
          <w:color w:val="000000" w:themeColor="text1"/>
          <w:sz w:val="24"/>
          <w:szCs w:val="24"/>
          <w:lang w:val="ro-MD"/>
        </w:rPr>
        <w:t>ț</w:t>
      </w:r>
      <w:r w:rsidR="00EA5D7E" w:rsidRPr="003C2D6D">
        <w:rPr>
          <w:rFonts w:asciiTheme="majorHAnsi" w:hAnsiTheme="majorHAnsi" w:cstheme="majorHAnsi"/>
          <w:b/>
          <w:i/>
          <w:color w:val="000000" w:themeColor="text1"/>
          <w:sz w:val="24"/>
          <w:szCs w:val="24"/>
          <w:lang w:val="ro-MD"/>
        </w:rPr>
        <w:t>ile deliberati</w:t>
      </w:r>
      <w:r w:rsidR="009914D7" w:rsidRPr="003C2D6D">
        <w:rPr>
          <w:rFonts w:asciiTheme="majorHAnsi" w:hAnsiTheme="majorHAnsi" w:cstheme="majorHAnsi"/>
          <w:b/>
          <w:i/>
          <w:color w:val="000000" w:themeColor="text1"/>
          <w:sz w:val="24"/>
          <w:szCs w:val="24"/>
          <w:lang w:val="ro-MD"/>
        </w:rPr>
        <w:t xml:space="preserve">vă </w:t>
      </w:r>
      <w:r w:rsidR="0069374B" w:rsidRPr="003C2D6D">
        <w:rPr>
          <w:rFonts w:asciiTheme="majorHAnsi" w:hAnsiTheme="majorHAnsi" w:cstheme="majorHAnsi"/>
          <w:b/>
          <w:i/>
          <w:color w:val="000000" w:themeColor="text1"/>
          <w:sz w:val="24"/>
          <w:szCs w:val="24"/>
          <w:lang w:val="ro-MD"/>
        </w:rPr>
        <w:t>ș</w:t>
      </w:r>
      <w:r w:rsidR="009914D7" w:rsidRPr="003C2D6D">
        <w:rPr>
          <w:rFonts w:asciiTheme="majorHAnsi" w:hAnsiTheme="majorHAnsi" w:cstheme="majorHAnsi"/>
          <w:b/>
          <w:i/>
          <w:color w:val="000000" w:themeColor="text1"/>
          <w:sz w:val="24"/>
          <w:szCs w:val="24"/>
          <w:lang w:val="ro-MD"/>
        </w:rPr>
        <w:t>i executivă a</w:t>
      </w:r>
      <w:r w:rsidR="004A02E0" w:rsidRPr="00BC3271">
        <w:rPr>
          <w:rFonts w:asciiTheme="majorHAnsi" w:hAnsiTheme="majorHAnsi" w:cstheme="majorHAnsi"/>
          <w:b/>
          <w:i/>
          <w:color w:val="000000" w:themeColor="text1"/>
          <w:sz w:val="24"/>
          <w:szCs w:val="24"/>
          <w:lang w:val="ro-MD"/>
        </w:rPr>
        <w:t>le</w:t>
      </w:r>
      <w:r w:rsidR="009914D7" w:rsidRPr="003C2D6D">
        <w:rPr>
          <w:rFonts w:asciiTheme="majorHAnsi" w:hAnsiTheme="majorHAnsi" w:cstheme="majorHAnsi"/>
          <w:b/>
          <w:i/>
          <w:color w:val="000000" w:themeColor="text1"/>
          <w:sz w:val="24"/>
          <w:szCs w:val="24"/>
          <w:lang w:val="ro-MD"/>
        </w:rPr>
        <w:t xml:space="preserve"> UTA Găgăuzia </w:t>
      </w:r>
      <w:r w:rsidR="003153D7" w:rsidRPr="003C2D6D">
        <w:rPr>
          <w:rFonts w:asciiTheme="majorHAnsi" w:hAnsiTheme="majorHAnsi" w:cstheme="majorHAnsi"/>
          <w:b/>
          <w:i/>
          <w:color w:val="000000" w:themeColor="text1"/>
          <w:sz w:val="24"/>
          <w:szCs w:val="24"/>
          <w:lang w:val="ro-MD"/>
        </w:rPr>
        <w:t xml:space="preserve">au utilizat ineficient mijloace financiare pentru </w:t>
      </w:r>
      <w:r w:rsidR="009914D7" w:rsidRPr="003C2D6D">
        <w:rPr>
          <w:rFonts w:asciiTheme="majorHAnsi" w:hAnsiTheme="majorHAnsi" w:cstheme="majorHAnsi"/>
          <w:b/>
          <w:i/>
          <w:color w:val="000000" w:themeColor="text1"/>
          <w:sz w:val="24"/>
          <w:szCs w:val="24"/>
          <w:lang w:val="ro-MD"/>
        </w:rPr>
        <w:t>cheltuieli</w:t>
      </w:r>
      <w:r w:rsidR="009914D7" w:rsidRPr="00363CFA">
        <w:rPr>
          <w:rFonts w:asciiTheme="majorHAnsi" w:hAnsiTheme="majorHAnsi" w:cstheme="majorHAnsi"/>
          <w:b/>
          <w:i/>
          <w:color w:val="000000" w:themeColor="text1"/>
          <w:sz w:val="24"/>
          <w:szCs w:val="24"/>
          <w:lang w:val="ro-MD"/>
        </w:rPr>
        <w:t xml:space="preserve"> de protocol</w:t>
      </w:r>
      <w:r w:rsidR="004A02E0">
        <w:rPr>
          <w:rFonts w:asciiTheme="majorHAnsi" w:hAnsiTheme="majorHAnsi" w:cstheme="majorHAnsi"/>
          <w:b/>
          <w:i/>
          <w:color w:val="000000" w:themeColor="text1"/>
          <w:sz w:val="24"/>
          <w:szCs w:val="24"/>
          <w:lang w:val="ro-MD"/>
        </w:rPr>
        <w:t>.</w:t>
      </w:r>
    </w:p>
    <w:p w14:paraId="4CB7CB9F" w14:textId="5383DBC1" w:rsidR="00EA5D7E" w:rsidRPr="00363CFA" w:rsidRDefault="00F83D65" w:rsidP="00767ED8">
      <w:pPr>
        <w:tabs>
          <w:tab w:val="left" w:pos="0"/>
          <w:tab w:val="left" w:pos="567"/>
          <w:tab w:val="left" w:pos="851"/>
        </w:tabs>
        <w:spacing w:after="0" w:line="276" w:lineRule="auto"/>
        <w:jc w:val="both"/>
        <w:rPr>
          <w:rFonts w:asciiTheme="majorHAnsi" w:eastAsia="Calibri" w:hAnsiTheme="majorHAnsi" w:cstheme="majorHAnsi"/>
          <w:sz w:val="24"/>
          <w:szCs w:val="24"/>
          <w:lang w:val="ro-MD"/>
        </w:rPr>
      </w:pPr>
      <w:r w:rsidRPr="00363CFA">
        <w:rPr>
          <w:rFonts w:asciiTheme="majorHAnsi" w:eastAsia="Calibri" w:hAnsiTheme="majorHAnsi" w:cstheme="majorHAnsi"/>
          <w:sz w:val="24"/>
          <w:szCs w:val="24"/>
          <w:lang w:val="ro-MD"/>
        </w:rPr>
        <w:tab/>
      </w:r>
      <w:r w:rsidR="00EA5D7E" w:rsidRPr="00363CFA">
        <w:rPr>
          <w:rFonts w:asciiTheme="majorHAnsi" w:eastAsia="Calibri" w:hAnsiTheme="majorHAnsi" w:cstheme="majorHAnsi"/>
          <w:sz w:val="24"/>
          <w:szCs w:val="24"/>
          <w:lang w:val="ro-MD"/>
        </w:rPr>
        <w:t>Cadrul normativ în vigoare</w:t>
      </w:r>
      <w:r w:rsidR="00EA5D7E" w:rsidRPr="00363CFA">
        <w:rPr>
          <w:rStyle w:val="FootnoteReference"/>
          <w:rFonts w:asciiTheme="majorHAnsi" w:eastAsia="Calibri" w:hAnsiTheme="majorHAnsi" w:cstheme="majorHAnsi"/>
          <w:sz w:val="24"/>
          <w:szCs w:val="24"/>
          <w:lang w:val="ro-MD"/>
        </w:rPr>
        <w:footnoteReference w:id="71"/>
      </w:r>
      <w:r w:rsidR="00EA5D7E" w:rsidRPr="00363CFA">
        <w:rPr>
          <w:rFonts w:asciiTheme="majorHAnsi" w:eastAsia="Calibri" w:hAnsiTheme="majorHAnsi" w:cstheme="majorHAnsi"/>
          <w:sz w:val="24"/>
          <w:szCs w:val="24"/>
          <w:lang w:val="ro-MD"/>
        </w:rPr>
        <w:t xml:space="preserve"> prevede modul de utilizare a mijloacelor financiare pentru deservirea delega</w:t>
      </w:r>
      <w:r w:rsidR="0069374B" w:rsidRPr="00363CFA">
        <w:rPr>
          <w:rFonts w:asciiTheme="majorHAnsi" w:eastAsia="Calibri" w:hAnsiTheme="majorHAnsi" w:cstheme="majorHAnsi"/>
          <w:sz w:val="24"/>
          <w:szCs w:val="24"/>
          <w:lang w:val="ro-MD"/>
        </w:rPr>
        <w:t>ț</w:t>
      </w:r>
      <w:r w:rsidR="00EA5D7E" w:rsidRPr="00363CFA">
        <w:rPr>
          <w:rFonts w:asciiTheme="majorHAnsi" w:eastAsia="Calibri" w:hAnsiTheme="majorHAnsi" w:cstheme="majorHAnsi"/>
          <w:sz w:val="24"/>
          <w:szCs w:val="24"/>
          <w:lang w:val="ro-MD"/>
        </w:rPr>
        <w:t xml:space="preserve">iilor </w:t>
      </w:r>
      <w:r w:rsidR="0069374B" w:rsidRPr="00363CFA">
        <w:rPr>
          <w:rFonts w:asciiTheme="majorHAnsi" w:eastAsia="Calibri" w:hAnsiTheme="majorHAnsi" w:cstheme="majorHAnsi"/>
          <w:sz w:val="24"/>
          <w:szCs w:val="24"/>
          <w:lang w:val="ro-MD"/>
        </w:rPr>
        <w:t>ș</w:t>
      </w:r>
      <w:r w:rsidR="00EA5D7E" w:rsidRPr="00363CFA">
        <w:rPr>
          <w:rFonts w:asciiTheme="majorHAnsi" w:eastAsia="Calibri" w:hAnsiTheme="majorHAnsi" w:cstheme="majorHAnsi"/>
          <w:sz w:val="24"/>
          <w:szCs w:val="24"/>
          <w:lang w:val="ro-MD"/>
        </w:rPr>
        <w:t>i persoanelor oficiale străine, stabile</w:t>
      </w:r>
      <w:r w:rsidR="0069374B" w:rsidRPr="00363CFA">
        <w:rPr>
          <w:rFonts w:asciiTheme="majorHAnsi" w:eastAsia="Calibri" w:hAnsiTheme="majorHAnsi" w:cstheme="majorHAnsi"/>
          <w:sz w:val="24"/>
          <w:szCs w:val="24"/>
          <w:lang w:val="ro-MD"/>
        </w:rPr>
        <w:t>ș</w:t>
      </w:r>
      <w:r w:rsidR="00EA5D7E" w:rsidRPr="00363CFA">
        <w:rPr>
          <w:rFonts w:asciiTheme="majorHAnsi" w:eastAsia="Calibri" w:hAnsiTheme="majorHAnsi" w:cstheme="majorHAnsi"/>
          <w:sz w:val="24"/>
          <w:szCs w:val="24"/>
          <w:lang w:val="ro-MD"/>
        </w:rPr>
        <w:t>te unele norme de cheltuieli necesare pentru recep</w:t>
      </w:r>
      <w:r w:rsidR="0069374B" w:rsidRPr="00363CFA">
        <w:rPr>
          <w:rFonts w:asciiTheme="majorHAnsi" w:eastAsia="Calibri" w:hAnsiTheme="majorHAnsi" w:cstheme="majorHAnsi"/>
          <w:sz w:val="24"/>
          <w:szCs w:val="24"/>
          <w:lang w:val="ro-MD"/>
        </w:rPr>
        <w:t>ț</w:t>
      </w:r>
      <w:r w:rsidR="00EA5D7E" w:rsidRPr="00363CFA">
        <w:rPr>
          <w:rFonts w:asciiTheme="majorHAnsi" w:eastAsia="Calibri" w:hAnsiTheme="majorHAnsi" w:cstheme="majorHAnsi"/>
          <w:sz w:val="24"/>
          <w:szCs w:val="24"/>
          <w:lang w:val="ro-MD"/>
        </w:rPr>
        <w:t>ia delega</w:t>
      </w:r>
      <w:r w:rsidR="0069374B" w:rsidRPr="00363CFA">
        <w:rPr>
          <w:rFonts w:asciiTheme="majorHAnsi" w:eastAsia="Calibri" w:hAnsiTheme="majorHAnsi" w:cstheme="majorHAnsi"/>
          <w:sz w:val="24"/>
          <w:szCs w:val="24"/>
          <w:lang w:val="ro-MD"/>
        </w:rPr>
        <w:t>ț</w:t>
      </w:r>
      <w:r w:rsidR="00EA5D7E" w:rsidRPr="00363CFA">
        <w:rPr>
          <w:rFonts w:asciiTheme="majorHAnsi" w:eastAsia="Calibri" w:hAnsiTheme="majorHAnsi" w:cstheme="majorHAnsi"/>
          <w:sz w:val="24"/>
          <w:szCs w:val="24"/>
          <w:lang w:val="ro-MD"/>
        </w:rPr>
        <w:t xml:space="preserve">iilor </w:t>
      </w:r>
      <w:r w:rsidR="0069374B" w:rsidRPr="00363CFA">
        <w:rPr>
          <w:rFonts w:asciiTheme="majorHAnsi" w:eastAsia="Calibri" w:hAnsiTheme="majorHAnsi" w:cstheme="majorHAnsi"/>
          <w:sz w:val="24"/>
          <w:szCs w:val="24"/>
          <w:lang w:val="ro-MD"/>
        </w:rPr>
        <w:t>ș</w:t>
      </w:r>
      <w:r w:rsidR="00EA5D7E" w:rsidRPr="00363CFA">
        <w:rPr>
          <w:rFonts w:asciiTheme="majorHAnsi" w:eastAsia="Calibri" w:hAnsiTheme="majorHAnsi" w:cstheme="majorHAnsi"/>
          <w:sz w:val="24"/>
          <w:szCs w:val="24"/>
          <w:lang w:val="ro-MD"/>
        </w:rPr>
        <w:t>i persoanelor oficiale străine, care pot fi suportate de către autorită</w:t>
      </w:r>
      <w:r w:rsidR="0069374B" w:rsidRPr="00363CFA">
        <w:rPr>
          <w:rFonts w:asciiTheme="majorHAnsi" w:eastAsia="Calibri" w:hAnsiTheme="majorHAnsi" w:cstheme="majorHAnsi"/>
          <w:sz w:val="24"/>
          <w:szCs w:val="24"/>
          <w:lang w:val="ro-MD"/>
        </w:rPr>
        <w:t>ț</w:t>
      </w:r>
      <w:r w:rsidR="00EA5D7E" w:rsidRPr="00363CFA">
        <w:rPr>
          <w:rFonts w:asciiTheme="majorHAnsi" w:eastAsia="Calibri" w:hAnsiTheme="majorHAnsi" w:cstheme="majorHAnsi"/>
          <w:sz w:val="24"/>
          <w:szCs w:val="24"/>
          <w:lang w:val="ro-MD"/>
        </w:rPr>
        <w:t xml:space="preserve">ile publice locale </w:t>
      </w:r>
      <w:r w:rsidR="0069374B" w:rsidRPr="00363CFA">
        <w:rPr>
          <w:rFonts w:asciiTheme="majorHAnsi" w:eastAsia="Calibri" w:hAnsiTheme="majorHAnsi" w:cstheme="majorHAnsi"/>
          <w:sz w:val="24"/>
          <w:szCs w:val="24"/>
          <w:lang w:val="ro-MD"/>
        </w:rPr>
        <w:t>ș</w:t>
      </w:r>
      <w:r w:rsidR="00EA5D7E" w:rsidRPr="00363CFA">
        <w:rPr>
          <w:rFonts w:asciiTheme="majorHAnsi" w:eastAsia="Calibri" w:hAnsiTheme="majorHAnsi" w:cstheme="majorHAnsi"/>
          <w:sz w:val="24"/>
          <w:szCs w:val="24"/>
          <w:lang w:val="ro-MD"/>
        </w:rPr>
        <w:t>i institu</w:t>
      </w:r>
      <w:r w:rsidR="0069374B" w:rsidRPr="00363CFA">
        <w:rPr>
          <w:rFonts w:asciiTheme="majorHAnsi" w:eastAsia="Calibri" w:hAnsiTheme="majorHAnsi" w:cstheme="majorHAnsi"/>
          <w:sz w:val="24"/>
          <w:szCs w:val="24"/>
          <w:lang w:val="ro-MD"/>
        </w:rPr>
        <w:t>ț</w:t>
      </w:r>
      <w:r w:rsidR="00EA5D7E" w:rsidRPr="00363CFA">
        <w:rPr>
          <w:rFonts w:asciiTheme="majorHAnsi" w:eastAsia="Calibri" w:hAnsiTheme="majorHAnsi" w:cstheme="majorHAnsi"/>
          <w:sz w:val="24"/>
          <w:szCs w:val="24"/>
          <w:lang w:val="ro-MD"/>
        </w:rPr>
        <w:t xml:space="preserve">iile bugetare în </w:t>
      </w:r>
      <w:r w:rsidR="00E605D0">
        <w:rPr>
          <w:rFonts w:asciiTheme="majorHAnsi" w:eastAsia="Calibri" w:hAnsiTheme="majorHAnsi" w:cstheme="majorHAnsi"/>
          <w:sz w:val="24"/>
          <w:szCs w:val="24"/>
          <w:lang w:val="ro-MD"/>
        </w:rPr>
        <w:t>funcție</w:t>
      </w:r>
      <w:r w:rsidR="00EA5D7E" w:rsidRPr="00363CFA">
        <w:rPr>
          <w:rFonts w:asciiTheme="majorHAnsi" w:eastAsia="Calibri" w:hAnsiTheme="majorHAnsi" w:cstheme="majorHAnsi"/>
          <w:sz w:val="24"/>
          <w:szCs w:val="24"/>
          <w:lang w:val="ro-MD"/>
        </w:rPr>
        <w:t xml:space="preserve"> de grupele delega</w:t>
      </w:r>
      <w:r w:rsidR="0069374B" w:rsidRPr="00363CFA">
        <w:rPr>
          <w:rFonts w:asciiTheme="majorHAnsi" w:eastAsia="Calibri" w:hAnsiTheme="majorHAnsi" w:cstheme="majorHAnsi"/>
          <w:sz w:val="24"/>
          <w:szCs w:val="24"/>
          <w:lang w:val="ro-MD"/>
        </w:rPr>
        <w:t>ț</w:t>
      </w:r>
      <w:r w:rsidR="00EA5D7E" w:rsidRPr="00363CFA">
        <w:rPr>
          <w:rFonts w:asciiTheme="majorHAnsi" w:eastAsia="Calibri" w:hAnsiTheme="majorHAnsi" w:cstheme="majorHAnsi"/>
          <w:sz w:val="24"/>
          <w:szCs w:val="24"/>
          <w:lang w:val="ro-MD"/>
        </w:rPr>
        <w:t xml:space="preserve">iilor </w:t>
      </w:r>
      <w:r w:rsidR="0069374B" w:rsidRPr="00363CFA">
        <w:rPr>
          <w:rFonts w:asciiTheme="majorHAnsi" w:eastAsia="Calibri" w:hAnsiTheme="majorHAnsi" w:cstheme="majorHAnsi"/>
          <w:sz w:val="24"/>
          <w:szCs w:val="24"/>
          <w:lang w:val="ro-MD"/>
        </w:rPr>
        <w:t>ș</w:t>
      </w:r>
      <w:r w:rsidR="00EA5D7E" w:rsidRPr="00363CFA">
        <w:rPr>
          <w:rFonts w:asciiTheme="majorHAnsi" w:eastAsia="Calibri" w:hAnsiTheme="majorHAnsi" w:cstheme="majorHAnsi"/>
          <w:sz w:val="24"/>
          <w:szCs w:val="24"/>
          <w:lang w:val="ro-MD"/>
        </w:rPr>
        <w:t>i persoanelor oficiale străine.</w:t>
      </w:r>
    </w:p>
    <w:p w14:paraId="420B7FC8" w14:textId="52D624B7" w:rsidR="00EA5D7E" w:rsidRPr="00363CFA" w:rsidRDefault="00EA5D7E" w:rsidP="00767ED8">
      <w:pPr>
        <w:tabs>
          <w:tab w:val="left" w:pos="567"/>
        </w:tabs>
        <w:spacing w:after="0" w:line="276" w:lineRule="auto"/>
        <w:ind w:firstLine="567"/>
        <w:contextualSpacing/>
        <w:jc w:val="both"/>
        <w:rPr>
          <w:rFonts w:asciiTheme="majorHAnsi" w:eastAsia="Calibri" w:hAnsiTheme="majorHAnsi" w:cstheme="majorHAnsi"/>
          <w:sz w:val="24"/>
          <w:szCs w:val="24"/>
          <w:lang w:val="ro-MD"/>
        </w:rPr>
      </w:pPr>
      <w:r w:rsidRPr="00363CFA">
        <w:rPr>
          <w:rFonts w:asciiTheme="majorHAnsi" w:eastAsia="Calibri" w:hAnsiTheme="majorHAnsi" w:cstheme="majorHAnsi"/>
          <w:sz w:val="24"/>
          <w:szCs w:val="24"/>
          <w:lang w:val="ro-MD"/>
        </w:rPr>
        <w:t xml:space="preserve">Probele de audit denotă că în </w:t>
      </w:r>
      <w:r w:rsidRPr="003C2D6D">
        <w:rPr>
          <w:rFonts w:asciiTheme="majorHAnsi" w:eastAsia="Calibri" w:hAnsiTheme="majorHAnsi" w:cstheme="majorHAnsi"/>
          <w:sz w:val="24"/>
          <w:szCs w:val="24"/>
          <w:lang w:val="ro-MD"/>
        </w:rPr>
        <w:t>perioada auditată</w:t>
      </w:r>
      <w:r w:rsidR="00E605D0" w:rsidRPr="003C2D6D">
        <w:rPr>
          <w:rFonts w:asciiTheme="majorHAnsi" w:eastAsia="Calibri" w:hAnsiTheme="majorHAnsi" w:cstheme="majorHAnsi"/>
          <w:sz w:val="24"/>
          <w:szCs w:val="24"/>
          <w:lang w:val="ro-MD"/>
        </w:rPr>
        <w:t xml:space="preserve"> (</w:t>
      </w:r>
      <w:r w:rsidRPr="003C2D6D">
        <w:rPr>
          <w:rFonts w:asciiTheme="majorHAnsi" w:eastAsia="Calibri" w:hAnsiTheme="majorHAnsi" w:cstheme="majorHAnsi"/>
          <w:sz w:val="24"/>
          <w:szCs w:val="24"/>
          <w:lang w:val="ro-MD"/>
        </w:rPr>
        <w:t>anii 2018 – 2020</w:t>
      </w:r>
      <w:r w:rsidR="00E605D0" w:rsidRPr="003C2D6D">
        <w:rPr>
          <w:rFonts w:asciiTheme="majorHAnsi" w:eastAsia="Calibri" w:hAnsiTheme="majorHAnsi" w:cstheme="majorHAnsi"/>
          <w:sz w:val="24"/>
          <w:szCs w:val="24"/>
          <w:lang w:val="ro-MD"/>
        </w:rPr>
        <w:t>)</w:t>
      </w:r>
      <w:r w:rsidRPr="003C2D6D">
        <w:rPr>
          <w:rFonts w:asciiTheme="majorHAnsi" w:eastAsia="Calibri" w:hAnsiTheme="majorHAnsi" w:cstheme="majorHAnsi"/>
          <w:sz w:val="24"/>
          <w:szCs w:val="24"/>
          <w:lang w:val="ro-MD"/>
        </w:rPr>
        <w:t xml:space="preserve"> cheltuielile pentru deservirea delega</w:t>
      </w:r>
      <w:r w:rsidR="0069374B" w:rsidRPr="003C2D6D">
        <w:rPr>
          <w:rFonts w:asciiTheme="majorHAnsi" w:eastAsia="Calibri" w:hAnsiTheme="majorHAnsi" w:cstheme="majorHAnsi"/>
          <w:sz w:val="24"/>
          <w:szCs w:val="24"/>
          <w:lang w:val="ro-MD"/>
        </w:rPr>
        <w:t>ț</w:t>
      </w:r>
      <w:r w:rsidRPr="003C2D6D">
        <w:rPr>
          <w:rFonts w:asciiTheme="majorHAnsi" w:eastAsia="Calibri" w:hAnsiTheme="majorHAnsi" w:cstheme="majorHAnsi"/>
          <w:sz w:val="24"/>
          <w:szCs w:val="24"/>
          <w:lang w:val="ro-MD"/>
        </w:rPr>
        <w:t xml:space="preserve">iilor </w:t>
      </w:r>
      <w:r w:rsidR="0069374B" w:rsidRPr="003C2D6D">
        <w:rPr>
          <w:rFonts w:asciiTheme="majorHAnsi" w:eastAsia="Calibri" w:hAnsiTheme="majorHAnsi" w:cstheme="majorHAnsi"/>
          <w:sz w:val="24"/>
          <w:szCs w:val="24"/>
          <w:lang w:val="ro-MD"/>
        </w:rPr>
        <w:t>ș</w:t>
      </w:r>
      <w:r w:rsidRPr="003C2D6D">
        <w:rPr>
          <w:rFonts w:asciiTheme="majorHAnsi" w:eastAsia="Calibri" w:hAnsiTheme="majorHAnsi" w:cstheme="majorHAnsi"/>
          <w:sz w:val="24"/>
          <w:szCs w:val="24"/>
          <w:lang w:val="ro-MD"/>
        </w:rPr>
        <w:t>i persoanelor oficiale străine, achitate din bugetele autorită</w:t>
      </w:r>
      <w:r w:rsidR="0069374B" w:rsidRPr="003C2D6D">
        <w:rPr>
          <w:rFonts w:asciiTheme="majorHAnsi" w:eastAsia="Calibri" w:hAnsiTheme="majorHAnsi" w:cstheme="majorHAnsi"/>
          <w:sz w:val="24"/>
          <w:szCs w:val="24"/>
          <w:lang w:val="ro-MD"/>
        </w:rPr>
        <w:t>ț</w:t>
      </w:r>
      <w:r w:rsidRPr="003C2D6D">
        <w:rPr>
          <w:rFonts w:asciiTheme="majorHAnsi" w:eastAsia="Calibri" w:hAnsiTheme="majorHAnsi" w:cstheme="majorHAnsi"/>
          <w:sz w:val="24"/>
          <w:szCs w:val="24"/>
          <w:lang w:val="ro-MD"/>
        </w:rPr>
        <w:t>ilor deliberativ</w:t>
      </w:r>
      <w:r w:rsidR="003C2D6D" w:rsidRPr="00BC3271">
        <w:rPr>
          <w:rFonts w:asciiTheme="majorHAnsi" w:eastAsia="Calibri" w:hAnsiTheme="majorHAnsi" w:cstheme="majorHAnsi"/>
          <w:sz w:val="24"/>
          <w:szCs w:val="24"/>
          <w:lang w:val="ro-MD"/>
        </w:rPr>
        <w:t>ă</w:t>
      </w:r>
      <w:r w:rsidRPr="003C2D6D">
        <w:rPr>
          <w:rFonts w:asciiTheme="majorHAnsi" w:eastAsia="Calibri" w:hAnsiTheme="majorHAnsi" w:cstheme="majorHAnsi"/>
          <w:sz w:val="24"/>
          <w:szCs w:val="24"/>
          <w:lang w:val="ro-MD"/>
        </w:rPr>
        <w:t xml:space="preserve"> </w:t>
      </w:r>
      <w:r w:rsidR="0069374B" w:rsidRPr="003C2D6D">
        <w:rPr>
          <w:rFonts w:asciiTheme="majorHAnsi" w:eastAsia="Calibri" w:hAnsiTheme="majorHAnsi" w:cstheme="majorHAnsi"/>
          <w:sz w:val="24"/>
          <w:szCs w:val="24"/>
          <w:lang w:val="ro-MD"/>
        </w:rPr>
        <w:t>ș</w:t>
      </w:r>
      <w:r w:rsidRPr="003C2D6D">
        <w:rPr>
          <w:rFonts w:asciiTheme="majorHAnsi" w:eastAsia="Calibri" w:hAnsiTheme="majorHAnsi" w:cstheme="majorHAnsi"/>
          <w:sz w:val="24"/>
          <w:szCs w:val="24"/>
          <w:lang w:val="ro-MD"/>
        </w:rPr>
        <w:t>i executiv</w:t>
      </w:r>
      <w:r w:rsidR="003C2D6D" w:rsidRPr="00BC3271">
        <w:rPr>
          <w:rFonts w:asciiTheme="majorHAnsi" w:eastAsia="Calibri" w:hAnsiTheme="majorHAnsi" w:cstheme="majorHAnsi"/>
          <w:sz w:val="24"/>
          <w:szCs w:val="24"/>
          <w:lang w:val="ro-MD"/>
        </w:rPr>
        <w:t>ă</w:t>
      </w:r>
      <w:r w:rsidRPr="003C2D6D">
        <w:rPr>
          <w:rFonts w:asciiTheme="majorHAnsi" w:eastAsia="Calibri" w:hAnsiTheme="majorHAnsi" w:cstheme="majorHAnsi"/>
          <w:sz w:val="24"/>
          <w:szCs w:val="24"/>
          <w:lang w:val="ro-MD"/>
        </w:rPr>
        <w:t xml:space="preserve"> ale Găgăuziei, au</w:t>
      </w:r>
      <w:r w:rsidRPr="00363CFA">
        <w:rPr>
          <w:rFonts w:asciiTheme="majorHAnsi" w:eastAsia="Calibri" w:hAnsiTheme="majorHAnsi" w:cstheme="majorHAnsi"/>
          <w:sz w:val="24"/>
          <w:szCs w:val="24"/>
          <w:lang w:val="ro-MD"/>
        </w:rPr>
        <w:t xml:space="preserve"> constituit în total suma de 1521,2 mii lei</w:t>
      </w:r>
      <w:r w:rsidRPr="00363CFA">
        <w:rPr>
          <w:rStyle w:val="FootnoteReference"/>
          <w:rFonts w:asciiTheme="majorHAnsi" w:eastAsia="Calibri" w:hAnsiTheme="majorHAnsi" w:cstheme="majorHAnsi"/>
          <w:sz w:val="24"/>
          <w:szCs w:val="24"/>
          <w:lang w:val="ro-MD"/>
        </w:rPr>
        <w:footnoteReference w:id="72"/>
      </w:r>
      <w:r w:rsidRPr="00363CFA">
        <w:rPr>
          <w:rFonts w:asciiTheme="majorHAnsi" w:eastAsia="Calibri" w:hAnsiTheme="majorHAnsi" w:cstheme="majorHAnsi"/>
          <w:sz w:val="24"/>
          <w:szCs w:val="24"/>
          <w:lang w:val="ro-MD"/>
        </w:rPr>
        <w:t xml:space="preserve">, din care: în </w:t>
      </w:r>
      <w:r w:rsidR="00E605D0">
        <w:rPr>
          <w:rFonts w:asciiTheme="majorHAnsi" w:eastAsia="Calibri" w:hAnsiTheme="majorHAnsi" w:cstheme="majorHAnsi"/>
          <w:sz w:val="24"/>
          <w:szCs w:val="24"/>
          <w:lang w:val="ro-MD"/>
        </w:rPr>
        <w:t>a.</w:t>
      </w:r>
      <w:r w:rsidRPr="00363CFA">
        <w:rPr>
          <w:rFonts w:asciiTheme="majorHAnsi" w:eastAsia="Calibri" w:hAnsiTheme="majorHAnsi" w:cstheme="majorHAnsi"/>
          <w:sz w:val="24"/>
          <w:szCs w:val="24"/>
          <w:lang w:val="ro-MD"/>
        </w:rPr>
        <w:t xml:space="preserve">2018 – 488,8 mii lei, în </w:t>
      </w:r>
      <w:r w:rsidR="00E605D0">
        <w:rPr>
          <w:rFonts w:asciiTheme="majorHAnsi" w:eastAsia="Calibri" w:hAnsiTheme="majorHAnsi" w:cstheme="majorHAnsi"/>
          <w:sz w:val="24"/>
          <w:szCs w:val="24"/>
          <w:lang w:val="ro-MD"/>
        </w:rPr>
        <w:t>a.</w:t>
      </w:r>
      <w:r w:rsidRPr="00363CFA">
        <w:rPr>
          <w:rFonts w:asciiTheme="majorHAnsi" w:eastAsia="Calibri" w:hAnsiTheme="majorHAnsi" w:cstheme="majorHAnsi"/>
          <w:sz w:val="24"/>
          <w:szCs w:val="24"/>
          <w:lang w:val="ro-MD"/>
        </w:rPr>
        <w:t>2019 – 571,1 mii lei</w:t>
      </w:r>
      <w:r w:rsidR="00E605D0">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în </w:t>
      </w:r>
      <w:r w:rsidR="00E605D0">
        <w:rPr>
          <w:rFonts w:asciiTheme="majorHAnsi" w:eastAsia="Calibri" w:hAnsiTheme="majorHAnsi" w:cstheme="majorHAnsi"/>
          <w:sz w:val="24"/>
          <w:szCs w:val="24"/>
          <w:lang w:val="ro-MD"/>
        </w:rPr>
        <w:t>a.</w:t>
      </w:r>
      <w:r w:rsidRPr="00363CFA">
        <w:rPr>
          <w:rFonts w:asciiTheme="majorHAnsi" w:eastAsia="Calibri" w:hAnsiTheme="majorHAnsi" w:cstheme="majorHAnsi"/>
          <w:sz w:val="24"/>
          <w:szCs w:val="24"/>
          <w:lang w:val="ro-MD"/>
        </w:rPr>
        <w:t>2020 – 461,3 mii lei. De men</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ionat faptul că</w:t>
      </w:r>
      <w:r w:rsidR="00E605D0">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la întocmirea devizelor de cheltuieli pentru deservirea delega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iilor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persoanelor oficiale străine, autorită</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ile în cauză nu au </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inut cont de normele financiare stabilite de cadrul </w:t>
      </w:r>
      <w:r w:rsidRPr="00363CFA">
        <w:rPr>
          <w:rFonts w:asciiTheme="majorHAnsi" w:eastAsia="Calibri" w:hAnsiTheme="majorHAnsi" w:cstheme="majorHAnsi"/>
          <w:sz w:val="24"/>
          <w:szCs w:val="24"/>
          <w:lang w:val="ro-MD"/>
        </w:rPr>
        <w:lastRenderedPageBreak/>
        <w:t>normativ al R</w:t>
      </w:r>
      <w:r w:rsidR="00E605D0">
        <w:rPr>
          <w:rFonts w:asciiTheme="majorHAnsi" w:eastAsia="Calibri" w:hAnsiTheme="majorHAnsi" w:cstheme="majorHAnsi"/>
          <w:sz w:val="24"/>
          <w:szCs w:val="24"/>
          <w:lang w:val="ro-MD"/>
        </w:rPr>
        <w:t xml:space="preserve">epublcii </w:t>
      </w:r>
      <w:r w:rsidRPr="00363CFA">
        <w:rPr>
          <w:rFonts w:asciiTheme="majorHAnsi" w:eastAsia="Calibri" w:hAnsiTheme="majorHAnsi" w:cstheme="majorHAnsi"/>
          <w:sz w:val="24"/>
          <w:szCs w:val="24"/>
          <w:lang w:val="ro-MD"/>
        </w:rPr>
        <w:t>M</w:t>
      </w:r>
      <w:r w:rsidR="00E605D0">
        <w:rPr>
          <w:rFonts w:asciiTheme="majorHAnsi" w:eastAsia="Calibri" w:hAnsiTheme="majorHAnsi" w:cstheme="majorHAnsi"/>
          <w:sz w:val="24"/>
          <w:szCs w:val="24"/>
          <w:lang w:val="ro-MD"/>
        </w:rPr>
        <w:t>oldova,</w:t>
      </w:r>
      <w:r w:rsidRPr="00363CFA">
        <w:rPr>
          <w:rFonts w:asciiTheme="majorHAnsi" w:eastAsia="Calibri" w:hAnsiTheme="majorHAnsi" w:cstheme="majorHAnsi"/>
          <w:sz w:val="24"/>
          <w:szCs w:val="24"/>
          <w:lang w:val="ro-MD"/>
        </w:rPr>
        <w:t xml:space="preserve"> </w:t>
      </w:r>
      <w:r w:rsidR="0069374B" w:rsidRPr="00363CFA">
        <w:rPr>
          <w:rFonts w:asciiTheme="majorHAnsi" w:eastAsia="Calibri" w:hAnsiTheme="majorHAnsi" w:cstheme="majorHAnsi"/>
          <w:sz w:val="24"/>
          <w:szCs w:val="24"/>
          <w:lang w:val="ro-MD"/>
        </w:rPr>
        <w:t>ș</w:t>
      </w:r>
      <w:r w:rsidR="00F83D65" w:rsidRPr="00363CFA">
        <w:rPr>
          <w:rFonts w:asciiTheme="majorHAnsi" w:eastAsia="Calibri" w:hAnsiTheme="majorHAnsi" w:cstheme="majorHAnsi"/>
          <w:sz w:val="24"/>
          <w:szCs w:val="24"/>
          <w:lang w:val="ro-MD"/>
        </w:rPr>
        <w:t xml:space="preserve">i  </w:t>
      </w:r>
      <w:r w:rsidRPr="00363CFA">
        <w:rPr>
          <w:rFonts w:asciiTheme="majorHAnsi" w:eastAsia="Calibri" w:hAnsiTheme="majorHAnsi" w:cstheme="majorHAnsi"/>
          <w:sz w:val="24"/>
          <w:szCs w:val="24"/>
          <w:lang w:val="ro-MD"/>
        </w:rPr>
        <w:t>nici nu au aprobat norme proprii prin care s-ar reglementa limitele de cheltuieli pentru deservirea acestora, devizele de cheltuieli fiind aprobate prin acte interne, care includ cheltuieli stabilite în mod arbitrar, de la delega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ie la delega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 fapt ce </w:t>
      </w:r>
      <w:r w:rsidR="00F83D65" w:rsidRPr="00363CFA">
        <w:rPr>
          <w:rFonts w:asciiTheme="majorHAnsi" w:eastAsia="Calibri" w:hAnsiTheme="majorHAnsi" w:cstheme="majorHAnsi"/>
          <w:sz w:val="24"/>
          <w:szCs w:val="24"/>
          <w:lang w:val="ro-MD"/>
        </w:rPr>
        <w:t xml:space="preserve">a </w:t>
      </w:r>
      <w:r w:rsidRPr="00363CFA">
        <w:rPr>
          <w:rFonts w:asciiTheme="majorHAnsi" w:eastAsia="Calibri" w:hAnsiTheme="majorHAnsi" w:cstheme="majorHAnsi"/>
          <w:sz w:val="24"/>
          <w:szCs w:val="24"/>
          <w:lang w:val="ro-MD"/>
        </w:rPr>
        <w:t>genera</w:t>
      </w:r>
      <w:r w:rsidR="00F83D65" w:rsidRPr="00363CFA">
        <w:rPr>
          <w:rFonts w:asciiTheme="majorHAnsi" w:eastAsia="Calibri" w:hAnsiTheme="majorHAnsi" w:cstheme="majorHAnsi"/>
          <w:sz w:val="24"/>
          <w:szCs w:val="24"/>
          <w:lang w:val="ro-MD"/>
        </w:rPr>
        <w:t>t</w:t>
      </w:r>
      <w:r w:rsidRPr="00363CFA">
        <w:rPr>
          <w:rFonts w:asciiTheme="majorHAnsi" w:eastAsia="Calibri" w:hAnsiTheme="majorHAnsi" w:cstheme="majorHAnsi"/>
          <w:sz w:val="24"/>
          <w:szCs w:val="24"/>
          <w:lang w:val="ro-MD"/>
        </w:rPr>
        <w:t xml:space="preserve"> unele cheltuieli de protocol exagerate.      </w:t>
      </w:r>
    </w:p>
    <w:p w14:paraId="4E320082" w14:textId="61174005" w:rsidR="00EA5D7E" w:rsidRPr="00BC3271" w:rsidRDefault="00EA5D7E" w:rsidP="00767ED8">
      <w:pPr>
        <w:tabs>
          <w:tab w:val="left" w:pos="0"/>
          <w:tab w:val="left" w:pos="567"/>
        </w:tabs>
        <w:spacing w:after="0" w:line="276" w:lineRule="auto"/>
        <w:contextualSpacing/>
        <w:jc w:val="both"/>
        <w:rPr>
          <w:rFonts w:asciiTheme="majorHAnsi" w:eastAsia="Calibri" w:hAnsiTheme="majorHAnsi" w:cstheme="majorHAnsi"/>
          <w:sz w:val="24"/>
          <w:szCs w:val="24"/>
          <w:lang w:val="ro-MD"/>
        </w:rPr>
      </w:pPr>
      <w:r w:rsidRPr="00363CFA">
        <w:rPr>
          <w:rFonts w:asciiTheme="majorHAnsi" w:eastAsia="Calibri" w:hAnsiTheme="majorHAnsi" w:cstheme="majorHAnsi"/>
          <w:sz w:val="24"/>
          <w:szCs w:val="24"/>
          <w:lang w:val="ro-MD"/>
        </w:rPr>
        <w:tab/>
        <w:t>O situa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ie similară se înregistrează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 xml:space="preserve">i </w:t>
      </w:r>
      <w:r w:rsidR="00E605D0">
        <w:rPr>
          <w:rFonts w:asciiTheme="majorHAnsi" w:eastAsia="Calibri" w:hAnsiTheme="majorHAnsi" w:cstheme="majorHAnsi"/>
          <w:sz w:val="24"/>
          <w:szCs w:val="24"/>
          <w:lang w:val="ro-MD"/>
        </w:rPr>
        <w:t>în</w:t>
      </w:r>
      <w:r w:rsidRPr="00363CFA">
        <w:rPr>
          <w:rFonts w:asciiTheme="majorHAnsi" w:eastAsia="Calibri" w:hAnsiTheme="majorHAnsi" w:cstheme="majorHAnsi"/>
          <w:sz w:val="24"/>
          <w:szCs w:val="24"/>
          <w:lang w:val="ro-MD"/>
        </w:rPr>
        <w:t xml:space="preserve"> activită</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ile de organizare a conferin</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elor, simpozioanelor, festivalurilor etc., unde Comitetul Executiv al UTA Găgăuzia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Direc</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ia Generală de Dezvoltare Economică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Turism</w:t>
      </w:r>
      <w:r w:rsidR="00E605D0">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de asemenea</w:t>
      </w:r>
      <w:r w:rsidR="00E605D0">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întocmesc devizele de cheltuieli în mod arbitrar</w:t>
      </w:r>
      <w:r w:rsidRPr="00363CFA">
        <w:rPr>
          <w:rStyle w:val="FootnoteReference"/>
          <w:rFonts w:asciiTheme="majorHAnsi" w:eastAsia="Calibri" w:hAnsiTheme="majorHAnsi" w:cstheme="majorHAnsi"/>
          <w:sz w:val="24"/>
          <w:szCs w:val="24"/>
          <w:lang w:val="ro-MD"/>
        </w:rPr>
        <w:footnoteReference w:id="73"/>
      </w:r>
      <w:r w:rsidRPr="00363CFA">
        <w:rPr>
          <w:rFonts w:asciiTheme="majorHAnsi" w:eastAsia="Calibri" w:hAnsiTheme="majorHAnsi" w:cstheme="majorHAnsi"/>
          <w:sz w:val="24"/>
          <w:szCs w:val="24"/>
          <w:lang w:val="ro-MD"/>
        </w:rPr>
        <w:t>, nu au aprobate acte normative locale proprii de reglementare a acestor activită</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 inclusiv a normelor de cheltuieli care urmează a fi executate în </w:t>
      </w:r>
      <w:r w:rsidR="00E605D0">
        <w:rPr>
          <w:rFonts w:asciiTheme="majorHAnsi" w:eastAsia="Calibri" w:hAnsiTheme="majorHAnsi" w:cstheme="majorHAnsi"/>
          <w:sz w:val="24"/>
          <w:szCs w:val="24"/>
          <w:lang w:val="ro-MD"/>
        </w:rPr>
        <w:t>funcție</w:t>
      </w:r>
      <w:r w:rsidRPr="00363CFA">
        <w:rPr>
          <w:rFonts w:asciiTheme="majorHAnsi" w:eastAsia="Calibri" w:hAnsiTheme="majorHAnsi" w:cstheme="majorHAnsi"/>
          <w:sz w:val="24"/>
          <w:szCs w:val="24"/>
          <w:lang w:val="ro-MD"/>
        </w:rPr>
        <w:t xml:space="preserve"> de nivelul măsurii</w:t>
      </w:r>
      <w:r w:rsidRPr="00363CFA">
        <w:rPr>
          <w:rFonts w:asciiTheme="majorHAnsi" w:eastAsia="Calibri" w:hAnsiTheme="majorHAnsi" w:cstheme="majorHAnsi"/>
          <w:sz w:val="24"/>
          <w:szCs w:val="24"/>
          <w:vertAlign w:val="superscript"/>
          <w:lang w:val="ro-MD"/>
        </w:rPr>
        <w:footnoteReference w:id="74"/>
      </w:r>
      <w:r w:rsidRPr="00363CFA">
        <w:rPr>
          <w:rFonts w:asciiTheme="majorHAnsi" w:eastAsia="Calibri" w:hAnsiTheme="majorHAnsi" w:cstheme="majorHAnsi"/>
          <w:sz w:val="24"/>
          <w:szCs w:val="24"/>
          <w:lang w:val="ro-MD"/>
        </w:rPr>
        <w:t xml:space="preserve">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tipul cheltuielilor preconizate</w:t>
      </w:r>
      <w:r w:rsidRPr="00363CFA">
        <w:rPr>
          <w:rFonts w:asciiTheme="majorHAnsi" w:eastAsia="Calibri" w:hAnsiTheme="majorHAnsi" w:cstheme="majorHAnsi"/>
          <w:sz w:val="24"/>
          <w:szCs w:val="24"/>
          <w:vertAlign w:val="superscript"/>
          <w:lang w:val="ro-MD"/>
        </w:rPr>
        <w:footnoteReference w:id="75"/>
      </w:r>
      <w:r w:rsidRPr="00363CFA">
        <w:rPr>
          <w:rFonts w:asciiTheme="majorHAnsi" w:eastAsia="Calibri" w:hAnsiTheme="majorHAnsi" w:cstheme="majorHAnsi"/>
          <w:sz w:val="24"/>
          <w:szCs w:val="24"/>
          <w:lang w:val="ro-MD"/>
        </w:rPr>
        <w:t>. Ca exemplu, Direc</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 xml:space="preserve">ia Generală de Dezvoltare Economică </w:t>
      </w:r>
      <w:r w:rsidR="0069374B" w:rsidRPr="00363CFA">
        <w:rPr>
          <w:rFonts w:asciiTheme="majorHAnsi" w:eastAsia="Calibri" w:hAnsiTheme="majorHAnsi" w:cstheme="majorHAnsi"/>
          <w:sz w:val="24"/>
          <w:szCs w:val="24"/>
          <w:lang w:val="ro-MD"/>
        </w:rPr>
        <w:t>ș</w:t>
      </w:r>
      <w:r w:rsidRPr="00363CFA">
        <w:rPr>
          <w:rFonts w:asciiTheme="majorHAnsi" w:eastAsia="Calibri" w:hAnsiTheme="majorHAnsi" w:cstheme="majorHAnsi"/>
          <w:sz w:val="24"/>
          <w:szCs w:val="24"/>
          <w:lang w:val="ro-MD"/>
        </w:rPr>
        <w:t>i Turism a efectuat cheltuieli în cadrul forumului investi</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ional interna</w:t>
      </w:r>
      <w:r w:rsidR="0069374B" w:rsidRPr="00363CFA">
        <w:rPr>
          <w:rFonts w:asciiTheme="majorHAnsi" w:eastAsia="Calibri" w:hAnsiTheme="majorHAnsi" w:cstheme="majorHAnsi"/>
          <w:sz w:val="24"/>
          <w:szCs w:val="24"/>
          <w:lang w:val="ro-MD"/>
        </w:rPr>
        <w:t>ț</w:t>
      </w:r>
      <w:r w:rsidRPr="00363CFA">
        <w:rPr>
          <w:rFonts w:asciiTheme="majorHAnsi" w:eastAsia="Calibri" w:hAnsiTheme="majorHAnsi" w:cstheme="majorHAnsi"/>
          <w:sz w:val="24"/>
          <w:szCs w:val="24"/>
          <w:lang w:val="ro-MD"/>
        </w:rPr>
        <w:t>ional „Invest Găgăuzia”</w:t>
      </w:r>
      <w:r w:rsidR="00E605D0">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cu participarea a 300 </w:t>
      </w:r>
      <w:r w:rsidR="00E605D0">
        <w:rPr>
          <w:rFonts w:asciiTheme="majorHAnsi" w:eastAsia="Calibri" w:hAnsiTheme="majorHAnsi" w:cstheme="majorHAnsi"/>
          <w:sz w:val="24"/>
          <w:szCs w:val="24"/>
          <w:lang w:val="ro-MD"/>
        </w:rPr>
        <w:t xml:space="preserve">de </w:t>
      </w:r>
      <w:r w:rsidRPr="00363CFA">
        <w:rPr>
          <w:rFonts w:asciiTheme="majorHAnsi" w:eastAsia="Calibri" w:hAnsiTheme="majorHAnsi" w:cstheme="majorHAnsi"/>
          <w:sz w:val="24"/>
          <w:szCs w:val="24"/>
          <w:lang w:val="ro-MD"/>
        </w:rPr>
        <w:t>persoane (2 zile)</w:t>
      </w:r>
      <w:r w:rsidR="00E605D0">
        <w:rPr>
          <w:rFonts w:asciiTheme="majorHAnsi" w:eastAsia="Calibri" w:hAnsiTheme="majorHAnsi" w:cstheme="majorHAnsi"/>
          <w:sz w:val="24"/>
          <w:szCs w:val="24"/>
          <w:lang w:val="ro-MD"/>
        </w:rPr>
        <w:t>,</w:t>
      </w:r>
      <w:r w:rsidRPr="00363CFA">
        <w:rPr>
          <w:rFonts w:asciiTheme="majorHAnsi" w:eastAsia="Calibri" w:hAnsiTheme="majorHAnsi" w:cstheme="majorHAnsi"/>
          <w:sz w:val="24"/>
          <w:szCs w:val="24"/>
          <w:lang w:val="ro-MD"/>
        </w:rPr>
        <w:t xml:space="preserve"> </w:t>
      </w:r>
      <w:r w:rsidR="009954A3" w:rsidRPr="00363CFA">
        <w:rPr>
          <w:rFonts w:asciiTheme="majorHAnsi" w:eastAsia="Calibri" w:hAnsiTheme="majorHAnsi" w:cstheme="majorHAnsi"/>
          <w:sz w:val="24"/>
          <w:szCs w:val="24"/>
          <w:lang w:val="ro-MD"/>
        </w:rPr>
        <w:t xml:space="preserve">în anul 2020, </w:t>
      </w:r>
      <w:r w:rsidRPr="00363CFA">
        <w:rPr>
          <w:rFonts w:asciiTheme="majorHAnsi" w:eastAsia="Calibri" w:hAnsiTheme="majorHAnsi" w:cstheme="majorHAnsi"/>
          <w:sz w:val="24"/>
          <w:szCs w:val="24"/>
          <w:lang w:val="ro-MD"/>
        </w:rPr>
        <w:t xml:space="preserve">în sumă totală de </w:t>
      </w:r>
      <w:r w:rsidRPr="00363CFA">
        <w:rPr>
          <w:rFonts w:asciiTheme="majorHAnsi" w:eastAsia="Calibri" w:hAnsiTheme="majorHAnsi" w:cstheme="majorHAnsi"/>
          <w:b/>
          <w:i/>
          <w:sz w:val="24"/>
          <w:szCs w:val="24"/>
          <w:lang w:val="ro-MD"/>
        </w:rPr>
        <w:t>975,2 mii lei</w:t>
      </w:r>
      <w:r w:rsidRPr="009954A3">
        <w:rPr>
          <w:rFonts w:asciiTheme="majorHAnsi" w:eastAsia="Calibri" w:hAnsiTheme="majorHAnsi" w:cstheme="majorHAnsi"/>
          <w:sz w:val="24"/>
          <w:szCs w:val="24"/>
          <w:vertAlign w:val="superscript"/>
          <w:lang w:val="ro-MD"/>
        </w:rPr>
        <w:footnoteReference w:id="76"/>
      </w:r>
      <w:r w:rsidR="009954A3" w:rsidRPr="009954A3">
        <w:rPr>
          <w:rFonts w:asciiTheme="majorHAnsi" w:eastAsia="Calibri" w:hAnsiTheme="majorHAnsi" w:cstheme="majorHAnsi"/>
          <w:sz w:val="24"/>
          <w:szCs w:val="24"/>
          <w:lang w:val="ro-MD"/>
        </w:rPr>
        <w:t>, î</w:t>
      </w:r>
      <w:r w:rsidRPr="009954A3">
        <w:rPr>
          <w:rFonts w:asciiTheme="majorHAnsi" w:eastAsia="Calibri" w:hAnsiTheme="majorHAnsi" w:cstheme="majorHAnsi"/>
          <w:sz w:val="24"/>
          <w:szCs w:val="24"/>
          <w:lang w:val="ro-MD"/>
        </w:rPr>
        <w:t>n anul 2019</w:t>
      </w:r>
      <w:r w:rsidR="009954A3">
        <w:rPr>
          <w:rFonts w:asciiTheme="majorHAnsi" w:eastAsia="Calibri" w:hAnsiTheme="majorHAnsi" w:cstheme="majorHAnsi"/>
          <w:sz w:val="24"/>
          <w:szCs w:val="24"/>
          <w:lang w:val="ro-MD"/>
        </w:rPr>
        <w:t xml:space="preserve"> - </w:t>
      </w:r>
      <w:r w:rsidRPr="00BC3271">
        <w:rPr>
          <w:rFonts w:asciiTheme="majorHAnsi" w:eastAsia="Calibri" w:hAnsiTheme="majorHAnsi" w:cstheme="majorHAnsi"/>
          <w:sz w:val="24"/>
          <w:szCs w:val="24"/>
          <w:lang w:val="ro-MD"/>
        </w:rPr>
        <w:t xml:space="preserve">în sumă totală de </w:t>
      </w:r>
      <w:r w:rsidRPr="00BC3271">
        <w:rPr>
          <w:rFonts w:asciiTheme="majorHAnsi" w:eastAsia="Calibri" w:hAnsiTheme="majorHAnsi" w:cstheme="majorHAnsi"/>
          <w:b/>
          <w:i/>
          <w:sz w:val="24"/>
          <w:szCs w:val="24"/>
          <w:lang w:val="ro-MD"/>
        </w:rPr>
        <w:t>817,0 mii lei</w:t>
      </w:r>
      <w:r w:rsidRPr="00BC3271">
        <w:rPr>
          <w:rFonts w:asciiTheme="majorHAnsi" w:eastAsia="Calibri" w:hAnsiTheme="majorHAnsi" w:cstheme="majorHAnsi"/>
          <w:sz w:val="24"/>
          <w:szCs w:val="24"/>
          <w:vertAlign w:val="superscript"/>
          <w:lang w:val="ro-MD"/>
        </w:rPr>
        <w:footnoteReference w:id="77"/>
      </w:r>
      <w:r w:rsidR="009954A3">
        <w:rPr>
          <w:rFonts w:asciiTheme="majorHAnsi" w:eastAsia="Calibri" w:hAnsiTheme="majorHAnsi" w:cstheme="majorHAnsi"/>
          <w:b/>
          <w:i/>
          <w:sz w:val="24"/>
          <w:szCs w:val="24"/>
          <w:lang w:val="ro-MD"/>
        </w:rPr>
        <w:t>,</w:t>
      </w:r>
      <w:r w:rsidRPr="00BC3271">
        <w:rPr>
          <w:rFonts w:asciiTheme="majorHAnsi" w:eastAsia="Calibri" w:hAnsiTheme="majorHAnsi" w:cstheme="majorHAnsi"/>
          <w:sz w:val="24"/>
          <w:szCs w:val="24"/>
          <w:lang w:val="ro-MD"/>
        </w:rPr>
        <w:t xml:space="preserve"> </w:t>
      </w:r>
      <w:r w:rsidR="009954A3" w:rsidRPr="009954A3">
        <w:rPr>
          <w:rFonts w:asciiTheme="majorHAnsi" w:eastAsia="Calibri" w:hAnsiTheme="majorHAnsi" w:cstheme="majorHAnsi"/>
          <w:sz w:val="24"/>
          <w:szCs w:val="24"/>
          <w:lang w:val="ro-MD"/>
        </w:rPr>
        <w:t xml:space="preserve">iar </w:t>
      </w:r>
      <w:r w:rsidR="009954A3">
        <w:rPr>
          <w:rFonts w:asciiTheme="majorHAnsi" w:eastAsia="Calibri" w:hAnsiTheme="majorHAnsi" w:cstheme="majorHAnsi"/>
          <w:sz w:val="24"/>
          <w:szCs w:val="24"/>
          <w:lang w:val="ro-MD"/>
        </w:rPr>
        <w:t>î</w:t>
      </w:r>
      <w:r w:rsidRPr="00BC3271">
        <w:rPr>
          <w:rFonts w:asciiTheme="majorHAnsi" w:eastAsia="Calibri" w:hAnsiTheme="majorHAnsi" w:cstheme="majorHAnsi"/>
          <w:sz w:val="24"/>
          <w:szCs w:val="24"/>
          <w:lang w:val="ro-MD"/>
        </w:rPr>
        <w:t>n anul 2018</w:t>
      </w:r>
      <w:r w:rsidR="009954A3">
        <w:rPr>
          <w:rFonts w:asciiTheme="majorHAnsi" w:eastAsia="Calibri" w:hAnsiTheme="majorHAnsi" w:cstheme="majorHAnsi"/>
          <w:sz w:val="24"/>
          <w:szCs w:val="24"/>
          <w:lang w:val="ro-MD"/>
        </w:rPr>
        <w:t xml:space="preserve"> în sumă de</w:t>
      </w:r>
      <w:r w:rsidRPr="00BC3271">
        <w:rPr>
          <w:rFonts w:asciiTheme="majorHAnsi" w:eastAsia="Calibri" w:hAnsiTheme="majorHAnsi" w:cstheme="majorHAnsi"/>
          <w:sz w:val="24"/>
          <w:szCs w:val="24"/>
          <w:lang w:val="ro-MD"/>
        </w:rPr>
        <w:t xml:space="preserve"> </w:t>
      </w:r>
      <w:r w:rsidRPr="00BC3271">
        <w:rPr>
          <w:rFonts w:asciiTheme="majorHAnsi" w:eastAsia="Calibri" w:hAnsiTheme="majorHAnsi" w:cstheme="majorHAnsi"/>
          <w:b/>
          <w:i/>
          <w:sz w:val="24"/>
          <w:szCs w:val="24"/>
          <w:lang w:val="ro-MD"/>
        </w:rPr>
        <w:t>366,1 mii lei</w:t>
      </w:r>
      <w:r w:rsidRPr="00BC3271">
        <w:rPr>
          <w:rFonts w:asciiTheme="majorHAnsi" w:eastAsia="Calibri" w:hAnsiTheme="majorHAnsi" w:cstheme="majorHAnsi"/>
          <w:sz w:val="24"/>
          <w:szCs w:val="24"/>
          <w:vertAlign w:val="superscript"/>
          <w:lang w:val="ro-MD"/>
        </w:rPr>
        <w:footnoteReference w:id="78"/>
      </w:r>
      <w:r w:rsidRPr="00BC3271">
        <w:rPr>
          <w:rFonts w:asciiTheme="majorHAnsi" w:eastAsia="Calibri" w:hAnsiTheme="majorHAnsi" w:cstheme="majorHAnsi"/>
          <w:sz w:val="24"/>
          <w:szCs w:val="24"/>
          <w:lang w:val="ro-MD"/>
        </w:rPr>
        <w:t xml:space="preserve">. </w:t>
      </w:r>
    </w:p>
    <w:p w14:paraId="6F4A67CC" w14:textId="4D123729" w:rsidR="00EA5D7E" w:rsidRPr="00BC3271" w:rsidRDefault="00F83D65" w:rsidP="0048212B">
      <w:pPr>
        <w:tabs>
          <w:tab w:val="left" w:pos="0"/>
          <w:tab w:val="left" w:pos="567"/>
        </w:tabs>
        <w:spacing w:after="0" w:line="276" w:lineRule="auto"/>
        <w:jc w:val="both"/>
        <w:rPr>
          <w:rFonts w:asciiTheme="majorHAnsi" w:eastAsia="Calibri" w:hAnsiTheme="majorHAnsi" w:cstheme="majorHAnsi"/>
          <w:sz w:val="24"/>
          <w:szCs w:val="24"/>
          <w:lang w:val="ro-MD"/>
        </w:rPr>
      </w:pPr>
      <w:r w:rsidRPr="00BC3271">
        <w:rPr>
          <w:rFonts w:asciiTheme="majorHAnsi" w:eastAsia="Calibri" w:hAnsiTheme="majorHAnsi" w:cstheme="majorHAnsi"/>
          <w:sz w:val="24"/>
          <w:szCs w:val="24"/>
          <w:lang w:val="ro-MD"/>
        </w:rPr>
        <w:tab/>
      </w:r>
      <w:r w:rsidRPr="00BC3271">
        <w:rPr>
          <w:rFonts w:asciiTheme="majorHAnsi" w:eastAsia="Calibri" w:hAnsiTheme="majorHAnsi" w:cstheme="majorHAnsi"/>
          <w:sz w:val="24"/>
          <w:szCs w:val="24"/>
          <w:lang w:val="ro-MD"/>
        </w:rPr>
        <w:tab/>
      </w:r>
      <w:r w:rsidR="009954A3">
        <w:rPr>
          <w:rFonts w:asciiTheme="majorHAnsi" w:eastAsia="Calibri" w:hAnsiTheme="majorHAnsi" w:cstheme="majorHAnsi"/>
          <w:sz w:val="24"/>
          <w:szCs w:val="24"/>
          <w:lang w:val="ro-MD"/>
        </w:rPr>
        <w:t>Cu abate</w:t>
      </w:r>
      <w:r w:rsidR="00EA5D7E" w:rsidRPr="00BC3271">
        <w:rPr>
          <w:rFonts w:asciiTheme="majorHAnsi" w:eastAsia="Calibri" w:hAnsiTheme="majorHAnsi" w:cstheme="majorHAnsi"/>
          <w:sz w:val="24"/>
          <w:szCs w:val="24"/>
          <w:lang w:val="ro-MD"/>
        </w:rPr>
        <w:t>re de la competen</w:t>
      </w:r>
      <w:r w:rsidR="0069374B" w:rsidRPr="00BC3271">
        <w:rPr>
          <w:rFonts w:asciiTheme="majorHAnsi" w:eastAsia="Calibri" w:hAnsiTheme="majorHAnsi" w:cstheme="majorHAnsi"/>
          <w:sz w:val="24"/>
          <w:szCs w:val="24"/>
          <w:lang w:val="ro-MD"/>
        </w:rPr>
        <w:t>ț</w:t>
      </w:r>
      <w:r w:rsidR="00EA5D7E" w:rsidRPr="00BC3271">
        <w:rPr>
          <w:rFonts w:asciiTheme="majorHAnsi" w:eastAsia="Calibri" w:hAnsiTheme="majorHAnsi" w:cstheme="majorHAnsi"/>
          <w:sz w:val="24"/>
          <w:szCs w:val="24"/>
          <w:lang w:val="ro-MD"/>
        </w:rPr>
        <w:t xml:space="preserve">ele </w:t>
      </w:r>
      <w:r w:rsidR="0069374B" w:rsidRPr="00BC3271">
        <w:rPr>
          <w:rFonts w:asciiTheme="majorHAnsi" w:eastAsia="Calibri" w:hAnsiTheme="majorHAnsi" w:cstheme="majorHAnsi"/>
          <w:sz w:val="24"/>
          <w:szCs w:val="24"/>
          <w:lang w:val="ro-MD"/>
        </w:rPr>
        <w:t>ș</w:t>
      </w:r>
      <w:r w:rsidR="00EA5D7E" w:rsidRPr="00BC3271">
        <w:rPr>
          <w:rFonts w:asciiTheme="majorHAnsi" w:eastAsia="Calibri" w:hAnsiTheme="majorHAnsi" w:cstheme="majorHAnsi"/>
          <w:sz w:val="24"/>
          <w:szCs w:val="24"/>
          <w:lang w:val="ro-MD"/>
        </w:rPr>
        <w:t>i atribu</w:t>
      </w:r>
      <w:r w:rsidR="0069374B" w:rsidRPr="00BC3271">
        <w:rPr>
          <w:rFonts w:asciiTheme="majorHAnsi" w:eastAsia="Calibri" w:hAnsiTheme="majorHAnsi" w:cstheme="majorHAnsi"/>
          <w:sz w:val="24"/>
          <w:szCs w:val="24"/>
          <w:lang w:val="ro-MD"/>
        </w:rPr>
        <w:t>ț</w:t>
      </w:r>
      <w:r w:rsidR="00EA5D7E" w:rsidRPr="00BC3271">
        <w:rPr>
          <w:rFonts w:asciiTheme="majorHAnsi" w:eastAsia="Calibri" w:hAnsiTheme="majorHAnsi" w:cstheme="majorHAnsi"/>
          <w:sz w:val="24"/>
          <w:szCs w:val="24"/>
          <w:lang w:val="ro-MD"/>
        </w:rPr>
        <w:t xml:space="preserve">iile de activitate, reglementate de </w:t>
      </w:r>
      <w:r w:rsidR="00EA5D7E" w:rsidRPr="00BC3271">
        <w:rPr>
          <w:rFonts w:asciiTheme="majorHAnsi" w:hAnsiTheme="majorHAnsi" w:cstheme="majorHAnsi"/>
          <w:sz w:val="24"/>
          <w:szCs w:val="24"/>
          <w:lang w:val="ro-MD"/>
        </w:rPr>
        <w:t xml:space="preserve">art.8 alin.(1) </w:t>
      </w:r>
      <w:r w:rsidR="0069374B" w:rsidRPr="00BC3271">
        <w:rPr>
          <w:rFonts w:asciiTheme="majorHAnsi" w:hAnsiTheme="majorHAnsi" w:cstheme="majorHAnsi"/>
          <w:sz w:val="24"/>
          <w:szCs w:val="24"/>
          <w:lang w:val="ro-MD"/>
        </w:rPr>
        <w:t>ș</w:t>
      </w:r>
      <w:r w:rsidR="00EA5D7E" w:rsidRPr="00BC3271">
        <w:rPr>
          <w:rFonts w:asciiTheme="majorHAnsi" w:hAnsiTheme="majorHAnsi" w:cstheme="majorHAnsi"/>
          <w:sz w:val="24"/>
          <w:szCs w:val="24"/>
          <w:lang w:val="ro-MD"/>
        </w:rPr>
        <w:t xml:space="preserve">i alin.(2) din Legea nr.397-XV din 16.10.2003,  </w:t>
      </w:r>
      <w:r w:rsidR="00EA5D7E" w:rsidRPr="00BC3271">
        <w:rPr>
          <w:rFonts w:asciiTheme="majorHAnsi" w:hAnsiTheme="majorHAnsi" w:cstheme="majorHAnsi"/>
          <w:iCs/>
          <w:sz w:val="24"/>
          <w:szCs w:val="24"/>
          <w:lang w:val="ro-MD"/>
        </w:rPr>
        <w:t xml:space="preserve">art.4 alin.(2) </w:t>
      </w:r>
      <w:r w:rsidR="0069374B" w:rsidRPr="00BC3271">
        <w:rPr>
          <w:rFonts w:asciiTheme="majorHAnsi" w:hAnsiTheme="majorHAnsi" w:cstheme="majorHAnsi"/>
          <w:iCs/>
          <w:sz w:val="24"/>
          <w:szCs w:val="24"/>
          <w:lang w:val="ro-MD"/>
        </w:rPr>
        <w:t>ș</w:t>
      </w:r>
      <w:r w:rsidR="00EA5D7E" w:rsidRPr="00BC3271">
        <w:rPr>
          <w:rFonts w:asciiTheme="majorHAnsi" w:hAnsiTheme="majorHAnsi" w:cstheme="majorHAnsi"/>
          <w:iCs/>
          <w:sz w:val="24"/>
          <w:szCs w:val="24"/>
          <w:lang w:val="ro-MD"/>
        </w:rPr>
        <w:t>i alin.(3) din Legea nr.435-XVI din 28.12.2006</w:t>
      </w:r>
      <w:r w:rsidR="00042681" w:rsidRPr="00BC3271">
        <w:rPr>
          <w:rFonts w:asciiTheme="majorHAnsi" w:hAnsiTheme="majorHAnsi" w:cstheme="majorHAnsi"/>
          <w:iCs/>
          <w:sz w:val="24"/>
          <w:szCs w:val="24"/>
          <w:lang w:val="ro-MD"/>
        </w:rPr>
        <w:t>,</w:t>
      </w:r>
      <w:r w:rsidR="00EA5D7E" w:rsidRPr="00BC3271">
        <w:rPr>
          <w:rFonts w:asciiTheme="majorHAnsi" w:hAnsiTheme="majorHAnsi" w:cstheme="majorHAnsi"/>
          <w:iCs/>
          <w:sz w:val="24"/>
          <w:szCs w:val="24"/>
          <w:lang w:val="ro-MD"/>
        </w:rPr>
        <w:t xml:space="preserve"> art.12 alin.(2) </w:t>
      </w:r>
      <w:r w:rsidR="0069374B" w:rsidRPr="00BC3271">
        <w:rPr>
          <w:rFonts w:asciiTheme="majorHAnsi" w:hAnsiTheme="majorHAnsi" w:cstheme="majorHAnsi"/>
          <w:iCs/>
          <w:sz w:val="24"/>
          <w:szCs w:val="24"/>
          <w:lang w:val="ro-MD"/>
        </w:rPr>
        <w:t>ș</w:t>
      </w:r>
      <w:r w:rsidR="00EA5D7E" w:rsidRPr="00BC3271">
        <w:rPr>
          <w:rFonts w:asciiTheme="majorHAnsi" w:hAnsiTheme="majorHAnsi" w:cstheme="majorHAnsi"/>
          <w:iCs/>
          <w:sz w:val="24"/>
          <w:szCs w:val="24"/>
          <w:lang w:val="ro-MD"/>
        </w:rPr>
        <w:t>i art.17 alin.(1) din Legea nr.344-XIII din 23.12.1994 pentru autorită</w:t>
      </w:r>
      <w:r w:rsidR="0069374B" w:rsidRPr="00BC3271">
        <w:rPr>
          <w:rFonts w:asciiTheme="majorHAnsi" w:hAnsiTheme="majorHAnsi" w:cstheme="majorHAnsi"/>
          <w:iCs/>
          <w:sz w:val="24"/>
          <w:szCs w:val="24"/>
          <w:lang w:val="ro-MD"/>
        </w:rPr>
        <w:t>ț</w:t>
      </w:r>
      <w:r w:rsidR="00EA5D7E" w:rsidRPr="00BC3271">
        <w:rPr>
          <w:rFonts w:asciiTheme="majorHAnsi" w:hAnsiTheme="majorHAnsi" w:cstheme="majorHAnsi"/>
          <w:iCs/>
          <w:sz w:val="24"/>
          <w:szCs w:val="24"/>
          <w:lang w:val="ro-MD"/>
        </w:rPr>
        <w:t xml:space="preserve">ile </w:t>
      </w:r>
      <w:r w:rsidR="0069374B" w:rsidRPr="00BC3271">
        <w:rPr>
          <w:rFonts w:asciiTheme="majorHAnsi" w:hAnsiTheme="majorHAnsi" w:cstheme="majorHAnsi"/>
          <w:iCs/>
          <w:sz w:val="24"/>
          <w:szCs w:val="24"/>
          <w:lang w:val="ro-MD"/>
        </w:rPr>
        <w:t>ș</w:t>
      </w:r>
      <w:r w:rsidR="00EA5D7E" w:rsidRPr="00BC3271">
        <w:rPr>
          <w:rFonts w:asciiTheme="majorHAnsi" w:hAnsiTheme="majorHAnsi" w:cstheme="majorHAnsi"/>
          <w:iCs/>
          <w:sz w:val="24"/>
          <w:szCs w:val="24"/>
          <w:lang w:val="ro-MD"/>
        </w:rPr>
        <w:t>i institu</w:t>
      </w:r>
      <w:r w:rsidR="0069374B" w:rsidRPr="00BC3271">
        <w:rPr>
          <w:rFonts w:asciiTheme="majorHAnsi" w:hAnsiTheme="majorHAnsi" w:cstheme="majorHAnsi"/>
          <w:iCs/>
          <w:sz w:val="24"/>
          <w:szCs w:val="24"/>
          <w:lang w:val="ro-MD"/>
        </w:rPr>
        <w:t>ț</w:t>
      </w:r>
      <w:r w:rsidR="00EA5D7E" w:rsidRPr="00BC3271">
        <w:rPr>
          <w:rFonts w:asciiTheme="majorHAnsi" w:hAnsiTheme="majorHAnsi" w:cstheme="majorHAnsi"/>
          <w:iCs/>
          <w:sz w:val="24"/>
          <w:szCs w:val="24"/>
          <w:lang w:val="ro-MD"/>
        </w:rPr>
        <w:t>iile publice, în perioada auditată</w:t>
      </w:r>
      <w:r w:rsidR="00042681" w:rsidRPr="00BC3271">
        <w:rPr>
          <w:rFonts w:asciiTheme="majorHAnsi" w:hAnsiTheme="majorHAnsi" w:cstheme="majorHAnsi"/>
          <w:iCs/>
          <w:sz w:val="24"/>
          <w:szCs w:val="24"/>
          <w:lang w:val="ro-MD"/>
        </w:rPr>
        <w:t xml:space="preserve"> (</w:t>
      </w:r>
      <w:r w:rsidR="00EA5D7E" w:rsidRPr="00BC3271">
        <w:rPr>
          <w:rFonts w:asciiTheme="majorHAnsi" w:hAnsiTheme="majorHAnsi" w:cstheme="majorHAnsi"/>
          <w:iCs/>
          <w:sz w:val="24"/>
          <w:szCs w:val="24"/>
          <w:lang w:val="ro-MD"/>
        </w:rPr>
        <w:t>an</w:t>
      </w:r>
      <w:r w:rsidR="00042681" w:rsidRPr="00BC3271">
        <w:rPr>
          <w:rFonts w:asciiTheme="majorHAnsi" w:hAnsiTheme="majorHAnsi" w:cstheme="majorHAnsi"/>
          <w:iCs/>
          <w:sz w:val="24"/>
          <w:szCs w:val="24"/>
          <w:lang w:val="ro-MD"/>
        </w:rPr>
        <w:t xml:space="preserve">ii </w:t>
      </w:r>
      <w:r w:rsidR="00EA5D7E" w:rsidRPr="00BC3271">
        <w:rPr>
          <w:rFonts w:asciiTheme="majorHAnsi" w:hAnsiTheme="majorHAnsi" w:cstheme="majorHAnsi"/>
          <w:iCs/>
          <w:sz w:val="24"/>
          <w:szCs w:val="24"/>
          <w:lang w:val="ro-MD"/>
        </w:rPr>
        <w:t>2018-2020</w:t>
      </w:r>
      <w:r w:rsidR="00042681" w:rsidRPr="00BC3271">
        <w:rPr>
          <w:rFonts w:asciiTheme="majorHAnsi" w:hAnsiTheme="majorHAnsi" w:cstheme="majorHAnsi"/>
          <w:iCs/>
          <w:sz w:val="24"/>
          <w:szCs w:val="24"/>
          <w:lang w:val="ro-MD"/>
        </w:rPr>
        <w:t>)</w:t>
      </w:r>
      <w:r w:rsidR="00EA5D7E" w:rsidRPr="00BC3271">
        <w:rPr>
          <w:rFonts w:asciiTheme="majorHAnsi" w:hAnsiTheme="majorHAnsi" w:cstheme="majorHAnsi"/>
          <w:iCs/>
          <w:sz w:val="24"/>
          <w:szCs w:val="24"/>
          <w:lang w:val="ro-MD"/>
        </w:rPr>
        <w:t>, unele autorită</w:t>
      </w:r>
      <w:r w:rsidR="0069374B" w:rsidRPr="00BC3271">
        <w:rPr>
          <w:rFonts w:asciiTheme="majorHAnsi" w:hAnsiTheme="majorHAnsi" w:cstheme="majorHAnsi"/>
          <w:iCs/>
          <w:sz w:val="24"/>
          <w:szCs w:val="24"/>
          <w:lang w:val="ro-MD"/>
        </w:rPr>
        <w:t>ț</w:t>
      </w:r>
      <w:r w:rsidR="00EA5D7E" w:rsidRPr="00BC3271">
        <w:rPr>
          <w:rFonts w:asciiTheme="majorHAnsi" w:hAnsiTheme="majorHAnsi" w:cstheme="majorHAnsi"/>
          <w:iCs/>
          <w:sz w:val="24"/>
          <w:szCs w:val="24"/>
          <w:lang w:val="ro-MD"/>
        </w:rPr>
        <w:t>i/</w:t>
      </w:r>
      <w:r w:rsidR="0065196B">
        <w:rPr>
          <w:rFonts w:asciiTheme="majorHAnsi" w:hAnsiTheme="majorHAnsi" w:cstheme="majorHAnsi"/>
          <w:iCs/>
          <w:sz w:val="24"/>
          <w:szCs w:val="24"/>
          <w:lang w:val="ro-MD"/>
        </w:rPr>
        <w:t xml:space="preserve"> </w:t>
      </w:r>
      <w:r w:rsidR="00EA5D7E" w:rsidRPr="00BC3271">
        <w:rPr>
          <w:rFonts w:asciiTheme="majorHAnsi" w:hAnsiTheme="majorHAnsi" w:cstheme="majorHAnsi"/>
          <w:iCs/>
          <w:sz w:val="24"/>
          <w:szCs w:val="24"/>
          <w:lang w:val="ro-MD"/>
        </w:rPr>
        <w:t>institu</w:t>
      </w:r>
      <w:r w:rsidR="0069374B" w:rsidRPr="00BC3271">
        <w:rPr>
          <w:rFonts w:asciiTheme="majorHAnsi" w:hAnsiTheme="majorHAnsi" w:cstheme="majorHAnsi"/>
          <w:iCs/>
          <w:sz w:val="24"/>
          <w:szCs w:val="24"/>
          <w:lang w:val="ro-MD"/>
        </w:rPr>
        <w:t>ț</w:t>
      </w:r>
      <w:r w:rsidR="00EA5D7E" w:rsidRPr="00BC3271">
        <w:rPr>
          <w:rFonts w:asciiTheme="majorHAnsi" w:hAnsiTheme="majorHAnsi" w:cstheme="majorHAnsi"/>
          <w:iCs/>
          <w:sz w:val="24"/>
          <w:szCs w:val="24"/>
          <w:lang w:val="ro-MD"/>
        </w:rPr>
        <w:t xml:space="preserve">ii din UTA Găgăuzia au admis </w:t>
      </w:r>
      <w:r w:rsidRPr="00BC3271">
        <w:rPr>
          <w:rFonts w:asciiTheme="majorHAnsi" w:hAnsiTheme="majorHAnsi" w:cstheme="majorHAnsi"/>
          <w:iCs/>
          <w:sz w:val="24"/>
          <w:szCs w:val="24"/>
          <w:lang w:val="ro-MD"/>
        </w:rPr>
        <w:t xml:space="preserve">utilizarea </w:t>
      </w:r>
      <w:r w:rsidR="00EA5D7E" w:rsidRPr="00BC3271">
        <w:rPr>
          <w:rFonts w:asciiTheme="majorHAnsi" w:hAnsiTheme="majorHAnsi" w:cstheme="majorHAnsi"/>
          <w:iCs/>
          <w:sz w:val="24"/>
          <w:szCs w:val="24"/>
          <w:lang w:val="ro-MD"/>
        </w:rPr>
        <w:t>de fonduri în alte scopuri decât cele institu</w:t>
      </w:r>
      <w:r w:rsidR="0069374B" w:rsidRPr="00BC3271">
        <w:rPr>
          <w:rFonts w:asciiTheme="majorHAnsi" w:hAnsiTheme="majorHAnsi" w:cstheme="majorHAnsi"/>
          <w:iCs/>
          <w:sz w:val="24"/>
          <w:szCs w:val="24"/>
          <w:lang w:val="ro-MD"/>
        </w:rPr>
        <w:t>ț</w:t>
      </w:r>
      <w:r w:rsidR="00EA5D7E" w:rsidRPr="00BC3271">
        <w:rPr>
          <w:rFonts w:asciiTheme="majorHAnsi" w:hAnsiTheme="majorHAnsi" w:cstheme="majorHAnsi"/>
          <w:iCs/>
          <w:sz w:val="24"/>
          <w:szCs w:val="24"/>
          <w:lang w:val="ro-MD"/>
        </w:rPr>
        <w:t>ionale</w:t>
      </w:r>
      <w:r w:rsidR="00C570D2" w:rsidRPr="00BC3271">
        <w:rPr>
          <w:rFonts w:asciiTheme="majorHAnsi" w:hAnsiTheme="majorHAnsi" w:cstheme="majorHAnsi"/>
          <w:iCs/>
          <w:sz w:val="24"/>
          <w:szCs w:val="24"/>
          <w:lang w:val="ro-MD"/>
        </w:rPr>
        <w:t>, necompatibile cu competen</w:t>
      </w:r>
      <w:r w:rsidR="0069374B" w:rsidRPr="00BC3271">
        <w:rPr>
          <w:rFonts w:asciiTheme="majorHAnsi" w:hAnsiTheme="majorHAnsi" w:cstheme="majorHAnsi"/>
          <w:iCs/>
          <w:sz w:val="24"/>
          <w:szCs w:val="24"/>
          <w:lang w:val="ro-MD"/>
        </w:rPr>
        <w:t>ț</w:t>
      </w:r>
      <w:r w:rsidR="00C570D2" w:rsidRPr="00BC3271">
        <w:rPr>
          <w:rFonts w:asciiTheme="majorHAnsi" w:hAnsiTheme="majorHAnsi" w:cstheme="majorHAnsi"/>
          <w:iCs/>
          <w:sz w:val="24"/>
          <w:szCs w:val="24"/>
          <w:lang w:val="ro-MD"/>
        </w:rPr>
        <w:t>ele de</w:t>
      </w:r>
      <w:r w:rsidR="0069374B" w:rsidRPr="00BC3271">
        <w:rPr>
          <w:rFonts w:asciiTheme="majorHAnsi" w:hAnsiTheme="majorHAnsi" w:cstheme="majorHAnsi"/>
          <w:iCs/>
          <w:sz w:val="24"/>
          <w:szCs w:val="24"/>
          <w:lang w:val="ro-MD"/>
        </w:rPr>
        <w:t>ț</w:t>
      </w:r>
      <w:r w:rsidR="00C570D2" w:rsidRPr="00BC3271">
        <w:rPr>
          <w:rFonts w:asciiTheme="majorHAnsi" w:hAnsiTheme="majorHAnsi" w:cstheme="majorHAnsi"/>
          <w:iCs/>
          <w:sz w:val="24"/>
          <w:szCs w:val="24"/>
          <w:lang w:val="ro-MD"/>
        </w:rPr>
        <w:t>inute</w:t>
      </w:r>
      <w:r w:rsidR="00042681" w:rsidRPr="00BC3271">
        <w:rPr>
          <w:rFonts w:asciiTheme="majorHAnsi" w:hAnsiTheme="majorHAnsi" w:cstheme="majorHAnsi"/>
          <w:iCs/>
          <w:sz w:val="24"/>
          <w:szCs w:val="24"/>
          <w:lang w:val="ro-MD"/>
        </w:rPr>
        <w:t xml:space="preserve"> </w:t>
      </w:r>
      <w:r w:rsidR="00EE3D5A" w:rsidRPr="00BC3271">
        <w:rPr>
          <w:rFonts w:asciiTheme="majorHAnsi" w:hAnsiTheme="majorHAnsi" w:cstheme="majorHAnsi"/>
          <w:iCs/>
          <w:sz w:val="24"/>
          <w:szCs w:val="24"/>
          <w:lang w:val="ro-MD"/>
        </w:rPr>
        <w:t>(cadouri</w:t>
      </w:r>
      <w:r w:rsidR="00C570D2" w:rsidRPr="00BC3271">
        <w:rPr>
          <w:rFonts w:asciiTheme="majorHAnsi" w:hAnsiTheme="majorHAnsi" w:cstheme="majorHAnsi"/>
          <w:iCs/>
          <w:sz w:val="24"/>
          <w:szCs w:val="24"/>
          <w:lang w:val="ro-MD"/>
        </w:rPr>
        <w:t xml:space="preserve"> </w:t>
      </w:r>
      <w:r w:rsidR="0069374B" w:rsidRPr="00BC3271">
        <w:rPr>
          <w:rFonts w:asciiTheme="majorHAnsi" w:hAnsiTheme="majorHAnsi" w:cstheme="majorHAnsi"/>
          <w:iCs/>
          <w:sz w:val="24"/>
          <w:szCs w:val="24"/>
          <w:lang w:val="ro-MD"/>
        </w:rPr>
        <w:t>ș</w:t>
      </w:r>
      <w:r w:rsidR="00C570D2" w:rsidRPr="00BC3271">
        <w:rPr>
          <w:rFonts w:asciiTheme="majorHAnsi" w:hAnsiTheme="majorHAnsi" w:cstheme="majorHAnsi"/>
          <w:iCs/>
          <w:sz w:val="24"/>
          <w:szCs w:val="24"/>
          <w:lang w:val="ro-MD"/>
        </w:rPr>
        <w:t>i flori</w:t>
      </w:r>
      <w:r w:rsidR="00EE3D5A" w:rsidRPr="00BC3271">
        <w:rPr>
          <w:rFonts w:asciiTheme="majorHAnsi" w:hAnsiTheme="majorHAnsi" w:cstheme="majorHAnsi"/>
          <w:iCs/>
          <w:sz w:val="24"/>
          <w:szCs w:val="24"/>
          <w:lang w:val="ro-MD"/>
        </w:rPr>
        <w:t xml:space="preserve"> cu ocazia zilei de na</w:t>
      </w:r>
      <w:r w:rsidR="0069374B" w:rsidRPr="00BC3271">
        <w:rPr>
          <w:rFonts w:asciiTheme="majorHAnsi" w:hAnsiTheme="majorHAnsi" w:cstheme="majorHAnsi"/>
          <w:iCs/>
          <w:sz w:val="24"/>
          <w:szCs w:val="24"/>
          <w:lang w:val="ro-MD"/>
        </w:rPr>
        <w:t>ș</w:t>
      </w:r>
      <w:r w:rsidR="00EE3D5A" w:rsidRPr="00BC3271">
        <w:rPr>
          <w:rFonts w:asciiTheme="majorHAnsi" w:hAnsiTheme="majorHAnsi" w:cstheme="majorHAnsi"/>
          <w:iCs/>
          <w:sz w:val="24"/>
          <w:szCs w:val="24"/>
          <w:lang w:val="ro-MD"/>
        </w:rPr>
        <w:t>tere</w:t>
      </w:r>
      <w:r w:rsidR="00C570D2" w:rsidRPr="00BC3271">
        <w:rPr>
          <w:rFonts w:asciiTheme="majorHAnsi" w:hAnsiTheme="majorHAnsi" w:cstheme="majorHAnsi"/>
          <w:iCs/>
          <w:sz w:val="24"/>
          <w:szCs w:val="24"/>
          <w:lang w:val="ro-MD"/>
        </w:rPr>
        <w:t>, săr</w:t>
      </w:r>
      <w:r w:rsidR="00F857BD" w:rsidRPr="00BC3271">
        <w:rPr>
          <w:rFonts w:asciiTheme="majorHAnsi" w:hAnsiTheme="majorHAnsi" w:cstheme="majorHAnsi"/>
          <w:iCs/>
          <w:sz w:val="24"/>
          <w:szCs w:val="24"/>
          <w:lang w:val="ro-MD"/>
        </w:rPr>
        <w:t>b</w:t>
      </w:r>
      <w:r w:rsidR="00C570D2" w:rsidRPr="00BC3271">
        <w:rPr>
          <w:rFonts w:asciiTheme="majorHAnsi" w:hAnsiTheme="majorHAnsi" w:cstheme="majorHAnsi"/>
          <w:iCs/>
          <w:sz w:val="24"/>
          <w:szCs w:val="24"/>
          <w:lang w:val="ro-MD"/>
        </w:rPr>
        <w:t xml:space="preserve">ătorii </w:t>
      </w:r>
      <w:r w:rsidR="00F857BD" w:rsidRPr="00BC3271">
        <w:rPr>
          <w:rFonts w:asciiTheme="majorHAnsi" w:hAnsiTheme="majorHAnsi" w:cstheme="majorHAnsi"/>
          <w:iCs/>
          <w:sz w:val="24"/>
          <w:szCs w:val="24"/>
          <w:lang w:val="ro-MD"/>
        </w:rPr>
        <w:t xml:space="preserve">de </w:t>
      </w:r>
      <w:r w:rsidR="00C570D2" w:rsidRPr="00BC3271">
        <w:rPr>
          <w:rFonts w:asciiTheme="majorHAnsi" w:hAnsiTheme="majorHAnsi" w:cstheme="majorHAnsi"/>
          <w:iCs/>
          <w:sz w:val="24"/>
          <w:szCs w:val="24"/>
          <w:lang w:val="ro-MD"/>
        </w:rPr>
        <w:t xml:space="preserve">Anul Nou, </w:t>
      </w:r>
      <w:r w:rsidR="00F857BD" w:rsidRPr="00BC3271">
        <w:rPr>
          <w:rFonts w:asciiTheme="majorHAnsi" w:hAnsiTheme="majorHAnsi" w:cstheme="majorHAnsi"/>
          <w:iCs/>
          <w:sz w:val="24"/>
          <w:szCs w:val="24"/>
          <w:lang w:val="ro-MD"/>
        </w:rPr>
        <w:t xml:space="preserve">a </w:t>
      </w:r>
      <w:r w:rsidR="00C570D2" w:rsidRPr="00BC3271">
        <w:rPr>
          <w:rFonts w:asciiTheme="majorHAnsi" w:hAnsiTheme="majorHAnsi" w:cstheme="majorHAnsi"/>
          <w:iCs/>
          <w:sz w:val="24"/>
          <w:szCs w:val="24"/>
          <w:lang w:val="ro-MD"/>
        </w:rPr>
        <w:t>Hramului  localit</w:t>
      </w:r>
      <w:r w:rsidR="00F857BD" w:rsidRPr="00BC3271">
        <w:rPr>
          <w:rFonts w:asciiTheme="majorHAnsi" w:hAnsiTheme="majorHAnsi" w:cstheme="majorHAnsi"/>
          <w:iCs/>
          <w:sz w:val="24"/>
          <w:szCs w:val="24"/>
          <w:lang w:val="ro-MD"/>
        </w:rPr>
        <w:t>ă</w:t>
      </w:r>
      <w:r w:rsidR="0069374B" w:rsidRPr="00BC3271">
        <w:rPr>
          <w:rFonts w:asciiTheme="majorHAnsi" w:hAnsiTheme="majorHAnsi" w:cstheme="majorHAnsi"/>
          <w:iCs/>
          <w:sz w:val="24"/>
          <w:szCs w:val="24"/>
          <w:lang w:val="ro-MD"/>
        </w:rPr>
        <w:t>ț</w:t>
      </w:r>
      <w:r w:rsidR="00F857BD" w:rsidRPr="00BC3271">
        <w:rPr>
          <w:rFonts w:asciiTheme="majorHAnsi" w:hAnsiTheme="majorHAnsi" w:cstheme="majorHAnsi"/>
          <w:iCs/>
          <w:sz w:val="24"/>
          <w:szCs w:val="24"/>
          <w:lang w:val="ro-MD"/>
        </w:rPr>
        <w:t>ii</w:t>
      </w:r>
      <w:r w:rsidR="00F82D7C" w:rsidRPr="00BC3271">
        <w:rPr>
          <w:rFonts w:asciiTheme="majorHAnsi" w:hAnsiTheme="majorHAnsi" w:cstheme="majorHAnsi"/>
          <w:iCs/>
          <w:sz w:val="24"/>
          <w:szCs w:val="24"/>
          <w:lang w:val="ro-MD"/>
        </w:rPr>
        <w:t>;</w:t>
      </w:r>
      <w:r w:rsidR="00644603" w:rsidRPr="00BC3271">
        <w:rPr>
          <w:rFonts w:asciiTheme="majorHAnsi" w:hAnsiTheme="majorHAnsi" w:cstheme="majorHAnsi"/>
          <w:iCs/>
          <w:sz w:val="24"/>
          <w:szCs w:val="24"/>
          <w:lang w:val="ro-MD"/>
        </w:rPr>
        <w:t xml:space="preserve"> </w:t>
      </w:r>
      <w:r w:rsidR="00C570D2" w:rsidRPr="00BC3271">
        <w:rPr>
          <w:rFonts w:asciiTheme="majorHAnsi" w:hAnsiTheme="majorHAnsi" w:cstheme="majorHAnsi"/>
          <w:iCs/>
          <w:sz w:val="24"/>
          <w:szCs w:val="24"/>
          <w:lang w:val="ro-MD"/>
        </w:rPr>
        <w:t>cheltuieli pentru alimenta</w:t>
      </w:r>
      <w:r w:rsidR="0069374B" w:rsidRPr="00BC3271">
        <w:rPr>
          <w:rFonts w:asciiTheme="majorHAnsi" w:hAnsiTheme="majorHAnsi" w:cstheme="majorHAnsi"/>
          <w:iCs/>
          <w:sz w:val="24"/>
          <w:szCs w:val="24"/>
          <w:lang w:val="ro-MD"/>
        </w:rPr>
        <w:t>ț</w:t>
      </w:r>
      <w:r w:rsidR="00C570D2" w:rsidRPr="00BC3271">
        <w:rPr>
          <w:rFonts w:asciiTheme="majorHAnsi" w:hAnsiTheme="majorHAnsi" w:cstheme="majorHAnsi"/>
          <w:iCs/>
          <w:sz w:val="24"/>
          <w:szCs w:val="24"/>
          <w:lang w:val="ro-MD"/>
        </w:rPr>
        <w:t>ie în cadrul unor întruniri</w:t>
      </w:r>
      <w:r w:rsidR="00F82D7C" w:rsidRPr="00BC3271">
        <w:rPr>
          <w:rFonts w:asciiTheme="majorHAnsi" w:hAnsiTheme="majorHAnsi" w:cstheme="majorHAnsi"/>
          <w:iCs/>
          <w:sz w:val="24"/>
          <w:szCs w:val="24"/>
          <w:lang w:val="ro-MD"/>
        </w:rPr>
        <w:t>; etc</w:t>
      </w:r>
      <w:r w:rsidR="00042681" w:rsidRPr="00BC3271">
        <w:rPr>
          <w:rFonts w:asciiTheme="majorHAnsi" w:hAnsiTheme="majorHAnsi" w:cstheme="majorHAnsi"/>
          <w:iCs/>
          <w:sz w:val="24"/>
          <w:szCs w:val="24"/>
          <w:lang w:val="ro-MD"/>
        </w:rPr>
        <w:t>.</w:t>
      </w:r>
      <w:r w:rsidR="00C570D2" w:rsidRPr="00BC3271">
        <w:rPr>
          <w:rFonts w:asciiTheme="majorHAnsi" w:hAnsiTheme="majorHAnsi" w:cstheme="majorHAnsi"/>
          <w:iCs/>
          <w:sz w:val="24"/>
          <w:szCs w:val="24"/>
          <w:lang w:val="ro-MD"/>
        </w:rPr>
        <w:t>)</w:t>
      </w:r>
      <w:r w:rsidR="00042681" w:rsidRPr="00BC3271">
        <w:rPr>
          <w:rFonts w:asciiTheme="majorHAnsi" w:hAnsiTheme="majorHAnsi" w:cstheme="majorHAnsi"/>
          <w:iCs/>
          <w:sz w:val="24"/>
          <w:szCs w:val="24"/>
          <w:lang w:val="ro-MD"/>
        </w:rPr>
        <w:t>,</w:t>
      </w:r>
      <w:r w:rsidR="00C570D2" w:rsidRPr="00BC3271">
        <w:rPr>
          <w:rFonts w:asciiTheme="majorHAnsi" w:hAnsiTheme="majorHAnsi" w:cstheme="majorHAnsi"/>
          <w:iCs/>
          <w:sz w:val="24"/>
          <w:szCs w:val="24"/>
          <w:lang w:val="ro-MD"/>
        </w:rPr>
        <w:t xml:space="preserve"> </w:t>
      </w:r>
      <w:r w:rsidR="00EA5D7E" w:rsidRPr="00BC3271">
        <w:rPr>
          <w:rFonts w:asciiTheme="majorHAnsi" w:hAnsiTheme="majorHAnsi" w:cstheme="majorHAnsi"/>
          <w:iCs/>
          <w:sz w:val="24"/>
          <w:szCs w:val="24"/>
          <w:lang w:val="ro-MD"/>
        </w:rPr>
        <w:t xml:space="preserve">care au însumat în total </w:t>
      </w:r>
      <w:r w:rsidR="00EA5D7E" w:rsidRPr="00BC3271">
        <w:rPr>
          <w:rFonts w:asciiTheme="majorHAnsi" w:hAnsiTheme="majorHAnsi" w:cstheme="majorHAnsi"/>
          <w:b/>
          <w:i/>
          <w:iCs/>
          <w:sz w:val="24"/>
          <w:szCs w:val="24"/>
          <w:lang w:val="ro-MD"/>
        </w:rPr>
        <w:t>2559,4 mii lei</w:t>
      </w:r>
      <w:r w:rsidR="00EA5D7E" w:rsidRPr="00BC3271">
        <w:rPr>
          <w:rFonts w:asciiTheme="majorHAnsi" w:hAnsiTheme="majorHAnsi" w:cstheme="majorHAnsi"/>
          <w:iCs/>
          <w:sz w:val="24"/>
          <w:szCs w:val="24"/>
          <w:lang w:val="ro-MD"/>
        </w:rPr>
        <w:t xml:space="preserve">, </w:t>
      </w:r>
      <w:r w:rsidR="00042681" w:rsidRPr="00BC3271">
        <w:rPr>
          <w:rFonts w:asciiTheme="majorHAnsi" w:hAnsiTheme="majorHAnsi" w:cstheme="majorHAnsi"/>
          <w:iCs/>
          <w:sz w:val="24"/>
          <w:szCs w:val="24"/>
          <w:lang w:val="ro-MD"/>
        </w:rPr>
        <w:t>inclusiv</w:t>
      </w:r>
      <w:r w:rsidR="00EA5D7E" w:rsidRPr="00BC3271">
        <w:rPr>
          <w:rFonts w:asciiTheme="majorHAnsi" w:hAnsiTheme="majorHAnsi" w:cstheme="majorHAnsi"/>
          <w:iCs/>
          <w:sz w:val="24"/>
          <w:szCs w:val="24"/>
          <w:lang w:val="ro-MD"/>
        </w:rPr>
        <w:t>: în anul 2018 – 950,4 mii lei, în anul 2019 – 881,2 mii lei</w:t>
      </w:r>
      <w:r w:rsidR="00042681" w:rsidRPr="00BC3271">
        <w:rPr>
          <w:rFonts w:asciiTheme="majorHAnsi" w:hAnsiTheme="majorHAnsi" w:cstheme="majorHAnsi"/>
          <w:iCs/>
          <w:sz w:val="24"/>
          <w:szCs w:val="24"/>
          <w:lang w:val="ro-MD"/>
        </w:rPr>
        <w:t>,</w:t>
      </w:r>
      <w:r w:rsidR="00EA5D7E" w:rsidRPr="00BC3271">
        <w:rPr>
          <w:rFonts w:asciiTheme="majorHAnsi" w:hAnsiTheme="majorHAnsi" w:cstheme="majorHAnsi"/>
          <w:iCs/>
          <w:sz w:val="24"/>
          <w:szCs w:val="24"/>
          <w:lang w:val="ro-MD"/>
        </w:rPr>
        <w:t xml:space="preserve"> </w:t>
      </w:r>
      <w:r w:rsidR="0069374B" w:rsidRPr="00BC3271">
        <w:rPr>
          <w:rFonts w:asciiTheme="majorHAnsi" w:hAnsiTheme="majorHAnsi" w:cstheme="majorHAnsi"/>
          <w:iCs/>
          <w:sz w:val="24"/>
          <w:szCs w:val="24"/>
          <w:lang w:val="ro-MD"/>
        </w:rPr>
        <w:t>ș</w:t>
      </w:r>
      <w:r w:rsidR="00EA5D7E" w:rsidRPr="00BC3271">
        <w:rPr>
          <w:rFonts w:asciiTheme="majorHAnsi" w:hAnsiTheme="majorHAnsi" w:cstheme="majorHAnsi"/>
          <w:iCs/>
          <w:sz w:val="24"/>
          <w:szCs w:val="24"/>
          <w:lang w:val="ro-MD"/>
        </w:rPr>
        <w:t xml:space="preserve">i în </w:t>
      </w:r>
      <w:r w:rsidR="007D2D99" w:rsidRPr="00BC3271">
        <w:rPr>
          <w:rFonts w:asciiTheme="majorHAnsi" w:hAnsiTheme="majorHAnsi" w:cstheme="majorHAnsi"/>
          <w:iCs/>
          <w:sz w:val="24"/>
          <w:szCs w:val="24"/>
          <w:lang w:val="ro-MD"/>
        </w:rPr>
        <w:t xml:space="preserve">anul </w:t>
      </w:r>
      <w:r w:rsidR="00EA5D7E" w:rsidRPr="00BC3271">
        <w:rPr>
          <w:rFonts w:asciiTheme="majorHAnsi" w:hAnsiTheme="majorHAnsi" w:cstheme="majorHAnsi"/>
          <w:iCs/>
          <w:sz w:val="24"/>
          <w:szCs w:val="24"/>
          <w:lang w:val="ro-MD"/>
        </w:rPr>
        <w:t xml:space="preserve">2020 – 727,8 mii lei. </w:t>
      </w:r>
    </w:p>
    <w:p w14:paraId="15714CE4" w14:textId="0DAE92ED" w:rsidR="00A52B16" w:rsidRPr="00BC3271" w:rsidRDefault="00B024C4" w:rsidP="00767ED8">
      <w:pPr>
        <w:spacing w:after="0" w:line="276" w:lineRule="auto"/>
        <w:contextualSpacing/>
        <w:jc w:val="both"/>
        <w:rPr>
          <w:rFonts w:asciiTheme="majorHAnsi" w:hAnsiTheme="majorHAnsi" w:cstheme="majorHAnsi"/>
          <w:b/>
          <w:i/>
          <w:color w:val="000000" w:themeColor="text1"/>
          <w:sz w:val="24"/>
          <w:szCs w:val="24"/>
          <w:lang w:val="ro-MD"/>
        </w:rPr>
      </w:pPr>
      <w:r w:rsidRPr="00BC3271">
        <w:rPr>
          <w:rFonts w:asciiTheme="majorHAnsi" w:hAnsiTheme="majorHAnsi" w:cstheme="majorHAnsi"/>
          <w:b/>
          <w:i/>
          <w:color w:val="000000" w:themeColor="text1"/>
          <w:sz w:val="24"/>
          <w:szCs w:val="24"/>
          <w:lang w:val="ro-MD"/>
        </w:rPr>
        <w:t>4.2.7</w:t>
      </w:r>
      <w:r w:rsidR="00A52B16" w:rsidRPr="00BC3271">
        <w:rPr>
          <w:rFonts w:asciiTheme="majorHAnsi" w:hAnsiTheme="majorHAnsi" w:cstheme="majorHAnsi"/>
          <w:b/>
          <w:i/>
          <w:color w:val="000000" w:themeColor="text1"/>
          <w:sz w:val="24"/>
          <w:szCs w:val="24"/>
          <w:lang w:val="ro-MD"/>
        </w:rPr>
        <w:t xml:space="preserve">. </w:t>
      </w:r>
      <w:r w:rsidR="00A63243" w:rsidRPr="00BC3271">
        <w:rPr>
          <w:rFonts w:asciiTheme="majorHAnsi" w:hAnsiTheme="majorHAnsi" w:cstheme="majorHAnsi"/>
          <w:b/>
          <w:i/>
          <w:color w:val="000000" w:themeColor="text1"/>
          <w:sz w:val="24"/>
          <w:szCs w:val="24"/>
          <w:lang w:val="ro-MD"/>
        </w:rPr>
        <w:t xml:space="preserve">Cheltuielile  pentru prevenirea </w:t>
      </w:r>
      <w:r w:rsidR="0069374B" w:rsidRPr="00BC3271">
        <w:rPr>
          <w:rFonts w:asciiTheme="majorHAnsi" w:hAnsiTheme="majorHAnsi" w:cstheme="majorHAnsi"/>
          <w:b/>
          <w:i/>
          <w:color w:val="000000" w:themeColor="text1"/>
          <w:sz w:val="24"/>
          <w:szCs w:val="24"/>
          <w:lang w:val="ro-MD"/>
        </w:rPr>
        <w:t>ș</w:t>
      </w:r>
      <w:r w:rsidR="00A63243" w:rsidRPr="00BC3271">
        <w:rPr>
          <w:rFonts w:asciiTheme="majorHAnsi" w:hAnsiTheme="majorHAnsi" w:cstheme="majorHAnsi"/>
          <w:b/>
          <w:i/>
          <w:color w:val="000000" w:themeColor="text1"/>
          <w:sz w:val="24"/>
          <w:szCs w:val="24"/>
          <w:lang w:val="ro-MD"/>
        </w:rPr>
        <w:t>i combaterea îmbolnăvirii cu  COVID – 19</w:t>
      </w:r>
    </w:p>
    <w:p w14:paraId="369F7FA0" w14:textId="14F9B95F" w:rsidR="00A062AB" w:rsidRPr="00BC3271" w:rsidRDefault="00170011" w:rsidP="00767ED8">
      <w:pPr>
        <w:spacing w:after="0" w:line="276" w:lineRule="auto"/>
        <w:ind w:firstLine="680"/>
        <w:contextualSpacing/>
        <w:jc w:val="both"/>
        <w:rPr>
          <w:rFonts w:asciiTheme="majorHAnsi" w:eastAsia="Times New Roman" w:hAnsiTheme="majorHAnsi" w:cstheme="majorHAnsi"/>
          <w:sz w:val="24"/>
          <w:szCs w:val="24"/>
          <w:lang w:val="ro-MD" w:eastAsia="ru-RU"/>
        </w:rPr>
      </w:pPr>
      <w:r w:rsidRPr="00BC3271">
        <w:rPr>
          <w:rFonts w:asciiTheme="majorHAnsi" w:eastAsia="Times New Roman" w:hAnsiTheme="majorHAnsi" w:cstheme="majorHAnsi"/>
          <w:sz w:val="24"/>
          <w:szCs w:val="24"/>
          <w:lang w:val="ro-MD" w:eastAsia="ru-RU"/>
        </w:rPr>
        <w:t>Din fondul de interven</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 xml:space="preserve">ie </w:t>
      </w:r>
      <w:r w:rsidR="0069374B" w:rsidRPr="00BC3271">
        <w:rPr>
          <w:rFonts w:asciiTheme="majorHAnsi" w:eastAsia="Times New Roman" w:hAnsiTheme="majorHAnsi" w:cstheme="majorHAnsi"/>
          <w:sz w:val="24"/>
          <w:szCs w:val="24"/>
          <w:lang w:val="ro-MD" w:eastAsia="ru-RU"/>
        </w:rPr>
        <w:t>ș</w:t>
      </w:r>
      <w:r w:rsidRPr="00BC3271">
        <w:rPr>
          <w:rFonts w:asciiTheme="majorHAnsi" w:eastAsia="Times New Roman" w:hAnsiTheme="majorHAnsi" w:cstheme="majorHAnsi"/>
          <w:sz w:val="24"/>
          <w:szCs w:val="24"/>
          <w:lang w:val="ro-MD" w:eastAsia="ru-RU"/>
        </w:rPr>
        <w:t>i din fondul de rezervă ale Guvernului, pentru acordarea indemniza</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iilor unice angaja</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ilor infecta</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 xml:space="preserve">i cu </w:t>
      </w:r>
      <w:r w:rsidRPr="00BC3271">
        <w:rPr>
          <w:rFonts w:asciiTheme="majorHAnsi" w:eastAsia="Times New Roman" w:hAnsiTheme="majorHAnsi" w:cstheme="majorHAnsi"/>
          <w:b/>
          <w:sz w:val="24"/>
          <w:szCs w:val="24"/>
          <w:lang w:val="ro-MD" w:eastAsia="ru-RU"/>
        </w:rPr>
        <w:t>COVID-19</w:t>
      </w:r>
      <w:r w:rsidRPr="00BC3271">
        <w:rPr>
          <w:rFonts w:asciiTheme="majorHAnsi" w:eastAsia="Times New Roman" w:hAnsiTheme="majorHAnsi" w:cstheme="majorHAnsi"/>
          <w:sz w:val="24"/>
          <w:szCs w:val="24"/>
          <w:lang w:val="ro-MD" w:eastAsia="ru-RU"/>
        </w:rPr>
        <w:t xml:space="preserve"> în timpul exercitării atribu</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iilor de serviciu</w:t>
      </w:r>
      <w:r w:rsidR="007D2D99" w:rsidRPr="00BC3271">
        <w:rPr>
          <w:rFonts w:asciiTheme="majorHAnsi" w:eastAsia="Times New Roman" w:hAnsiTheme="majorHAnsi" w:cstheme="majorHAnsi"/>
          <w:sz w:val="24"/>
          <w:szCs w:val="24"/>
          <w:lang w:val="ro-MD" w:eastAsia="ru-RU"/>
        </w:rPr>
        <w:t>,</w:t>
      </w:r>
      <w:r w:rsidRPr="00BC3271">
        <w:rPr>
          <w:rFonts w:asciiTheme="majorHAnsi" w:eastAsia="Times New Roman" w:hAnsiTheme="majorHAnsi" w:cstheme="majorHAnsi"/>
          <w:sz w:val="24"/>
          <w:szCs w:val="24"/>
          <w:lang w:val="ro-MD" w:eastAsia="ru-RU"/>
        </w:rPr>
        <w:t xml:space="preserve"> Comitetului Executiv al Găgăuziei i s-au alocat mijloace financiare în sumă de 6,9 mil</w:t>
      </w:r>
      <w:r w:rsidR="007D2D99" w:rsidRPr="00BC3271">
        <w:rPr>
          <w:rFonts w:asciiTheme="majorHAnsi" w:eastAsia="Times New Roman" w:hAnsiTheme="majorHAnsi" w:cstheme="majorHAnsi"/>
          <w:sz w:val="24"/>
          <w:szCs w:val="24"/>
          <w:lang w:val="ro-MD" w:eastAsia="ru-RU"/>
        </w:rPr>
        <w:t>.</w:t>
      </w:r>
      <w:r w:rsidRPr="00BC3271">
        <w:rPr>
          <w:rFonts w:asciiTheme="majorHAnsi" w:eastAsia="Times New Roman" w:hAnsiTheme="majorHAnsi" w:cstheme="majorHAnsi"/>
          <w:sz w:val="24"/>
          <w:szCs w:val="24"/>
          <w:lang w:val="ro-MD" w:eastAsia="ru-RU"/>
        </w:rPr>
        <w:t xml:space="preserve"> lei, </w:t>
      </w:r>
      <w:r w:rsidR="007D2D99" w:rsidRPr="00BC3271">
        <w:rPr>
          <w:rFonts w:asciiTheme="majorHAnsi" w:eastAsia="Times New Roman" w:hAnsiTheme="majorHAnsi" w:cstheme="majorHAnsi"/>
          <w:sz w:val="24"/>
          <w:szCs w:val="24"/>
          <w:lang w:val="ro-MD" w:eastAsia="ru-RU"/>
        </w:rPr>
        <w:t xml:space="preserve">fiind </w:t>
      </w:r>
      <w:r w:rsidRPr="00BC3271">
        <w:rPr>
          <w:rFonts w:asciiTheme="majorHAnsi" w:eastAsia="Times New Roman" w:hAnsiTheme="majorHAnsi" w:cstheme="majorHAnsi"/>
          <w:sz w:val="24"/>
          <w:szCs w:val="24"/>
          <w:lang w:val="ro-MD" w:eastAsia="ru-RU"/>
        </w:rPr>
        <w:t xml:space="preserve">utilizate </w:t>
      </w:r>
      <w:r w:rsidR="006A26CB" w:rsidRPr="00BC3271">
        <w:rPr>
          <w:rFonts w:asciiTheme="majorHAnsi" w:eastAsia="Times New Roman" w:hAnsiTheme="majorHAnsi" w:cstheme="majorHAnsi"/>
          <w:b/>
          <w:sz w:val="24"/>
          <w:szCs w:val="24"/>
          <w:lang w:val="ro-MD" w:eastAsia="ru-RU"/>
        </w:rPr>
        <w:t>6,6 mil</w:t>
      </w:r>
      <w:r w:rsidR="007D2D99" w:rsidRPr="00BC3271">
        <w:rPr>
          <w:rFonts w:asciiTheme="majorHAnsi" w:eastAsia="Times New Roman" w:hAnsiTheme="majorHAnsi" w:cstheme="majorHAnsi"/>
          <w:b/>
          <w:sz w:val="24"/>
          <w:szCs w:val="24"/>
          <w:lang w:val="ro-MD" w:eastAsia="ru-RU"/>
        </w:rPr>
        <w:t>.</w:t>
      </w:r>
      <w:r w:rsidRPr="00BC3271">
        <w:rPr>
          <w:rFonts w:asciiTheme="majorHAnsi" w:eastAsia="Times New Roman" w:hAnsiTheme="majorHAnsi" w:cstheme="majorHAnsi"/>
          <w:b/>
          <w:sz w:val="24"/>
          <w:szCs w:val="24"/>
          <w:lang w:val="ro-MD" w:eastAsia="ru-RU"/>
        </w:rPr>
        <w:t xml:space="preserve"> lei</w:t>
      </w:r>
      <w:r w:rsidRPr="00BC3271">
        <w:rPr>
          <w:rFonts w:asciiTheme="majorHAnsi" w:eastAsia="Times New Roman" w:hAnsiTheme="majorHAnsi" w:cstheme="majorHAnsi"/>
          <w:sz w:val="24"/>
          <w:szCs w:val="24"/>
          <w:lang w:val="ro-MD" w:eastAsia="ru-RU"/>
        </w:rPr>
        <w:t>. Soldul restant</w:t>
      </w:r>
      <w:r w:rsidR="006A26CB" w:rsidRPr="00BC3271">
        <w:rPr>
          <w:rFonts w:asciiTheme="majorHAnsi" w:eastAsia="Times New Roman" w:hAnsiTheme="majorHAnsi" w:cstheme="majorHAnsi"/>
          <w:sz w:val="24"/>
          <w:szCs w:val="24"/>
          <w:lang w:val="ro-MD" w:eastAsia="ru-RU"/>
        </w:rPr>
        <w:t>, în sumă de 0,3 mil</w:t>
      </w:r>
      <w:r w:rsidR="007D2D99" w:rsidRPr="00BC3271">
        <w:rPr>
          <w:rFonts w:asciiTheme="majorHAnsi" w:eastAsia="Times New Roman" w:hAnsiTheme="majorHAnsi" w:cstheme="majorHAnsi"/>
          <w:sz w:val="24"/>
          <w:szCs w:val="24"/>
          <w:lang w:val="ro-MD" w:eastAsia="ru-RU"/>
        </w:rPr>
        <w:t>.</w:t>
      </w:r>
      <w:r w:rsidRPr="00BC3271">
        <w:rPr>
          <w:rFonts w:asciiTheme="majorHAnsi" w:eastAsia="Times New Roman" w:hAnsiTheme="majorHAnsi" w:cstheme="majorHAnsi"/>
          <w:sz w:val="24"/>
          <w:szCs w:val="24"/>
          <w:lang w:val="ro-MD" w:eastAsia="ru-RU"/>
        </w:rPr>
        <w:t xml:space="preserve"> lei</w:t>
      </w:r>
      <w:r w:rsidR="007D2D99" w:rsidRPr="00BC3271">
        <w:rPr>
          <w:rFonts w:asciiTheme="majorHAnsi" w:eastAsia="Times New Roman" w:hAnsiTheme="majorHAnsi" w:cstheme="majorHAnsi"/>
          <w:sz w:val="24"/>
          <w:szCs w:val="24"/>
          <w:lang w:val="ro-MD" w:eastAsia="ru-RU"/>
        </w:rPr>
        <w:t>,</w:t>
      </w:r>
      <w:r w:rsidRPr="00BC3271">
        <w:rPr>
          <w:rFonts w:asciiTheme="majorHAnsi" w:eastAsia="Times New Roman" w:hAnsiTheme="majorHAnsi" w:cstheme="majorHAnsi"/>
          <w:sz w:val="24"/>
          <w:szCs w:val="24"/>
          <w:lang w:val="ro-MD" w:eastAsia="ru-RU"/>
        </w:rPr>
        <w:t xml:space="preserve"> </w:t>
      </w:r>
      <w:r w:rsidR="007D2D99" w:rsidRPr="00BC3271">
        <w:rPr>
          <w:rFonts w:asciiTheme="majorHAnsi" w:eastAsia="Times New Roman" w:hAnsiTheme="majorHAnsi" w:cstheme="majorHAnsi"/>
          <w:sz w:val="24"/>
          <w:szCs w:val="24"/>
          <w:lang w:val="ro-MD" w:eastAsia="ru-RU"/>
        </w:rPr>
        <w:t>a fost</w:t>
      </w:r>
      <w:r w:rsidRPr="00BC3271">
        <w:rPr>
          <w:rFonts w:asciiTheme="majorHAnsi" w:eastAsia="Times New Roman" w:hAnsiTheme="majorHAnsi" w:cstheme="majorHAnsi"/>
          <w:sz w:val="24"/>
          <w:szCs w:val="24"/>
          <w:lang w:val="ro-MD" w:eastAsia="ru-RU"/>
        </w:rPr>
        <w:t xml:space="preserve"> restituit la bugetul de stat. De indemniza</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ii unice, în</w:t>
      </w:r>
      <w:r w:rsidR="007D2D99" w:rsidRPr="00BC3271">
        <w:rPr>
          <w:rFonts w:asciiTheme="majorHAnsi" w:eastAsia="Times New Roman" w:hAnsiTheme="majorHAnsi" w:cstheme="majorHAnsi"/>
          <w:sz w:val="24"/>
          <w:szCs w:val="24"/>
          <w:lang w:val="ro-MD" w:eastAsia="ru-RU"/>
        </w:rPr>
        <w:t xml:space="preserve"> sumă a câte</w:t>
      </w:r>
      <w:r w:rsidRPr="00BC3271">
        <w:rPr>
          <w:rFonts w:asciiTheme="majorHAnsi" w:eastAsia="Times New Roman" w:hAnsiTheme="majorHAnsi" w:cstheme="majorHAnsi"/>
          <w:sz w:val="24"/>
          <w:szCs w:val="24"/>
          <w:lang w:val="ro-MD" w:eastAsia="ru-RU"/>
        </w:rPr>
        <w:t xml:space="preserve"> 16,0 mii lei, au beneficiat </w:t>
      </w:r>
      <w:r w:rsidRPr="00BC3271">
        <w:rPr>
          <w:rFonts w:asciiTheme="majorHAnsi" w:eastAsia="Times New Roman" w:hAnsiTheme="majorHAnsi" w:cstheme="majorHAnsi"/>
          <w:b/>
          <w:sz w:val="24"/>
          <w:szCs w:val="24"/>
          <w:lang w:val="ro-MD" w:eastAsia="ru-RU"/>
        </w:rPr>
        <w:t>410 angaja</w:t>
      </w:r>
      <w:r w:rsidR="0069374B" w:rsidRPr="00BC3271">
        <w:rPr>
          <w:rFonts w:asciiTheme="majorHAnsi" w:eastAsia="Times New Roman" w:hAnsiTheme="majorHAnsi" w:cstheme="majorHAnsi"/>
          <w:b/>
          <w:sz w:val="24"/>
          <w:szCs w:val="24"/>
          <w:lang w:val="ro-MD" w:eastAsia="ru-RU"/>
        </w:rPr>
        <w:t>ț</w:t>
      </w:r>
      <w:r w:rsidRPr="00BC3271">
        <w:rPr>
          <w:rFonts w:asciiTheme="majorHAnsi" w:eastAsia="Times New Roman" w:hAnsiTheme="majorHAnsi" w:cstheme="majorHAnsi"/>
          <w:b/>
          <w:sz w:val="24"/>
          <w:szCs w:val="24"/>
          <w:lang w:val="ro-MD" w:eastAsia="ru-RU"/>
        </w:rPr>
        <w:t>i</w:t>
      </w:r>
      <w:r w:rsidR="007D2D99" w:rsidRPr="00BC3271">
        <w:rPr>
          <w:rFonts w:asciiTheme="majorHAnsi" w:eastAsia="Times New Roman" w:hAnsiTheme="majorHAnsi" w:cstheme="majorHAnsi"/>
          <w:sz w:val="24"/>
          <w:szCs w:val="24"/>
          <w:lang w:val="ro-MD" w:eastAsia="ru-RU"/>
        </w:rPr>
        <w:t>, a</w:t>
      </w:r>
      <w:r w:rsidRPr="00BC3271">
        <w:rPr>
          <w:rFonts w:asciiTheme="majorHAnsi" w:eastAsia="Times New Roman" w:hAnsiTheme="majorHAnsi" w:cstheme="majorHAnsi"/>
          <w:sz w:val="24"/>
          <w:szCs w:val="24"/>
          <w:lang w:val="ro-MD" w:eastAsia="ru-RU"/>
        </w:rPr>
        <w:t>ceste</w:t>
      </w:r>
      <w:r w:rsidR="007D2D99" w:rsidRPr="00BC3271">
        <w:rPr>
          <w:rFonts w:asciiTheme="majorHAnsi" w:eastAsia="Times New Roman" w:hAnsiTheme="majorHAnsi" w:cstheme="majorHAnsi"/>
          <w:sz w:val="24"/>
          <w:szCs w:val="24"/>
          <w:lang w:val="ro-MD" w:eastAsia="ru-RU"/>
        </w:rPr>
        <w:t>a</w:t>
      </w:r>
      <w:r w:rsidRPr="00BC3271">
        <w:rPr>
          <w:rFonts w:asciiTheme="majorHAnsi" w:eastAsia="Times New Roman" w:hAnsiTheme="majorHAnsi" w:cstheme="majorHAnsi"/>
          <w:sz w:val="24"/>
          <w:szCs w:val="24"/>
          <w:lang w:val="ro-MD" w:eastAsia="ru-RU"/>
        </w:rPr>
        <w:t xml:space="preserve"> fiind achitate în baza listelor nominale a</w:t>
      </w:r>
      <w:r w:rsidR="007D2D99" w:rsidRPr="00BC3271">
        <w:rPr>
          <w:rFonts w:asciiTheme="majorHAnsi" w:eastAsia="Times New Roman" w:hAnsiTheme="majorHAnsi" w:cstheme="majorHAnsi"/>
          <w:sz w:val="24"/>
          <w:szCs w:val="24"/>
          <w:lang w:val="ro-MD" w:eastAsia="ru-RU"/>
        </w:rPr>
        <w:t>le</w:t>
      </w:r>
      <w:r w:rsidRPr="00BC3271">
        <w:rPr>
          <w:rFonts w:asciiTheme="majorHAnsi" w:eastAsia="Times New Roman" w:hAnsiTheme="majorHAnsi" w:cstheme="majorHAnsi"/>
          <w:sz w:val="24"/>
          <w:szCs w:val="24"/>
          <w:lang w:val="ro-MD" w:eastAsia="ru-RU"/>
        </w:rPr>
        <w:t xml:space="preserve"> beneficiarilor de indemniza</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ii unice, întocmit</w:t>
      </w:r>
      <w:r w:rsidR="007D2D99" w:rsidRPr="00BC3271">
        <w:rPr>
          <w:rFonts w:asciiTheme="majorHAnsi" w:eastAsia="Times New Roman" w:hAnsiTheme="majorHAnsi" w:cstheme="majorHAnsi"/>
          <w:sz w:val="24"/>
          <w:szCs w:val="24"/>
          <w:lang w:val="ro-MD" w:eastAsia="ru-RU"/>
        </w:rPr>
        <w:t>e</w:t>
      </w:r>
      <w:r w:rsidRPr="00BC3271">
        <w:rPr>
          <w:rFonts w:asciiTheme="majorHAnsi" w:eastAsia="Times New Roman" w:hAnsiTheme="majorHAnsi" w:cstheme="majorHAnsi"/>
          <w:sz w:val="24"/>
          <w:szCs w:val="24"/>
          <w:lang w:val="ro-MD" w:eastAsia="ru-RU"/>
        </w:rPr>
        <w:t xml:space="preserve"> de către Ministerul Sănătă</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 xml:space="preserve">ii, Muncii </w:t>
      </w:r>
      <w:r w:rsidR="0069374B" w:rsidRPr="00BC3271">
        <w:rPr>
          <w:rFonts w:asciiTheme="majorHAnsi" w:eastAsia="Times New Roman" w:hAnsiTheme="majorHAnsi" w:cstheme="majorHAnsi"/>
          <w:sz w:val="24"/>
          <w:szCs w:val="24"/>
          <w:lang w:val="ro-MD" w:eastAsia="ru-RU"/>
        </w:rPr>
        <w:t>ș</w:t>
      </w:r>
      <w:r w:rsidRPr="00BC3271">
        <w:rPr>
          <w:rFonts w:asciiTheme="majorHAnsi" w:eastAsia="Times New Roman" w:hAnsiTheme="majorHAnsi" w:cstheme="majorHAnsi"/>
          <w:sz w:val="24"/>
          <w:szCs w:val="24"/>
          <w:lang w:val="ro-MD" w:eastAsia="ru-RU"/>
        </w:rPr>
        <w:t>i Protec</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 xml:space="preserve">iei Sociale. </w:t>
      </w:r>
    </w:p>
    <w:p w14:paraId="1FEFEAD4" w14:textId="4DD64B4B" w:rsidR="00170011" w:rsidRPr="00BC3271" w:rsidRDefault="00170011" w:rsidP="00767ED8">
      <w:pPr>
        <w:spacing w:after="0" w:line="276" w:lineRule="auto"/>
        <w:ind w:firstLine="680"/>
        <w:contextualSpacing/>
        <w:jc w:val="both"/>
        <w:rPr>
          <w:rFonts w:asciiTheme="majorHAnsi" w:eastAsia="Times New Roman" w:hAnsiTheme="majorHAnsi" w:cstheme="majorHAnsi"/>
          <w:sz w:val="24"/>
          <w:szCs w:val="24"/>
          <w:lang w:val="ro-MD" w:eastAsia="ru-RU"/>
        </w:rPr>
      </w:pPr>
      <w:r w:rsidRPr="00BC3271">
        <w:rPr>
          <w:rFonts w:asciiTheme="majorHAnsi" w:eastAsia="Times New Roman" w:hAnsiTheme="majorHAnsi" w:cstheme="majorHAnsi"/>
          <w:sz w:val="24"/>
          <w:szCs w:val="24"/>
          <w:lang w:val="ro-MD" w:eastAsia="ru-RU"/>
        </w:rPr>
        <w:t xml:space="preserve">Din </w:t>
      </w:r>
      <w:r w:rsidR="00711475" w:rsidRPr="00BC3271">
        <w:rPr>
          <w:rFonts w:asciiTheme="majorHAnsi" w:eastAsia="Times New Roman" w:hAnsiTheme="majorHAnsi" w:cstheme="majorHAnsi"/>
          <w:sz w:val="24"/>
          <w:szCs w:val="24"/>
          <w:lang w:val="ro-MD" w:eastAsia="ru-RU"/>
        </w:rPr>
        <w:t>mijloacele fondului de rezervă a</w:t>
      </w:r>
      <w:r w:rsidR="007D2D99" w:rsidRPr="00BC3271">
        <w:rPr>
          <w:rFonts w:asciiTheme="majorHAnsi" w:eastAsia="Times New Roman" w:hAnsiTheme="majorHAnsi" w:cstheme="majorHAnsi"/>
          <w:sz w:val="24"/>
          <w:szCs w:val="24"/>
          <w:lang w:val="ro-MD" w:eastAsia="ru-RU"/>
        </w:rPr>
        <w:t>l</w:t>
      </w:r>
      <w:r w:rsidR="00711475" w:rsidRPr="00BC3271">
        <w:rPr>
          <w:rFonts w:asciiTheme="majorHAnsi" w:eastAsia="Times New Roman" w:hAnsiTheme="majorHAnsi" w:cstheme="majorHAnsi"/>
          <w:sz w:val="24"/>
          <w:szCs w:val="24"/>
          <w:lang w:val="ro-MD" w:eastAsia="ru-RU"/>
        </w:rPr>
        <w:t xml:space="preserve"> Comitetului Executiv, pentru prevenirea </w:t>
      </w:r>
      <w:r w:rsidR="0069374B" w:rsidRPr="00BC3271">
        <w:rPr>
          <w:rFonts w:asciiTheme="majorHAnsi" w:eastAsia="Times New Roman" w:hAnsiTheme="majorHAnsi" w:cstheme="majorHAnsi"/>
          <w:sz w:val="24"/>
          <w:szCs w:val="24"/>
          <w:lang w:val="ro-MD" w:eastAsia="ru-RU"/>
        </w:rPr>
        <w:t>ș</w:t>
      </w:r>
      <w:r w:rsidR="00711475" w:rsidRPr="00BC3271">
        <w:rPr>
          <w:rFonts w:asciiTheme="majorHAnsi" w:eastAsia="Times New Roman" w:hAnsiTheme="majorHAnsi" w:cstheme="majorHAnsi"/>
          <w:sz w:val="24"/>
          <w:szCs w:val="24"/>
          <w:lang w:val="ro-MD" w:eastAsia="ru-RU"/>
        </w:rPr>
        <w:t>i combaterea îmbolnăvirii cu</w:t>
      </w:r>
      <w:r w:rsidR="00C01BA8">
        <w:rPr>
          <w:rFonts w:asciiTheme="majorHAnsi" w:eastAsia="Times New Roman" w:hAnsiTheme="majorHAnsi" w:cstheme="majorHAnsi"/>
          <w:sz w:val="24"/>
          <w:szCs w:val="24"/>
          <w:lang w:val="ro-MD" w:eastAsia="ru-RU"/>
        </w:rPr>
        <w:t xml:space="preserve"> </w:t>
      </w:r>
      <w:r w:rsidR="00711475" w:rsidRPr="00BC3271">
        <w:rPr>
          <w:rFonts w:asciiTheme="majorHAnsi" w:eastAsia="Times New Roman" w:hAnsiTheme="majorHAnsi" w:cstheme="majorHAnsi"/>
          <w:sz w:val="24"/>
          <w:szCs w:val="24"/>
          <w:lang w:val="ro-MD" w:eastAsia="ru-RU"/>
        </w:rPr>
        <w:t>COVID-19</w:t>
      </w:r>
      <w:r w:rsidR="007D2D99" w:rsidRPr="00BC3271">
        <w:rPr>
          <w:rFonts w:asciiTheme="majorHAnsi" w:eastAsia="Times New Roman" w:hAnsiTheme="majorHAnsi" w:cstheme="majorHAnsi"/>
          <w:sz w:val="24"/>
          <w:szCs w:val="24"/>
          <w:lang w:val="ro-MD" w:eastAsia="ru-RU"/>
        </w:rPr>
        <w:t>,</w:t>
      </w:r>
      <w:r w:rsidR="00636DFA" w:rsidRPr="00BC3271">
        <w:rPr>
          <w:rFonts w:asciiTheme="majorHAnsi" w:eastAsia="Times New Roman" w:hAnsiTheme="majorHAnsi" w:cstheme="majorHAnsi"/>
          <w:sz w:val="24"/>
          <w:szCs w:val="24"/>
          <w:lang w:val="ro-MD" w:eastAsia="ru-RU"/>
        </w:rPr>
        <w:t xml:space="preserve"> au fost alocate, în baza actelor normative ale autorită</w:t>
      </w:r>
      <w:r w:rsidR="0069374B" w:rsidRPr="00BC3271">
        <w:rPr>
          <w:rFonts w:asciiTheme="majorHAnsi" w:eastAsia="Times New Roman" w:hAnsiTheme="majorHAnsi" w:cstheme="majorHAnsi"/>
          <w:sz w:val="24"/>
          <w:szCs w:val="24"/>
          <w:lang w:val="ro-MD" w:eastAsia="ru-RU"/>
        </w:rPr>
        <w:t>ț</w:t>
      </w:r>
      <w:r w:rsidR="00636DFA" w:rsidRPr="00BC3271">
        <w:rPr>
          <w:rFonts w:asciiTheme="majorHAnsi" w:eastAsia="Times New Roman" w:hAnsiTheme="majorHAnsi" w:cstheme="majorHAnsi"/>
          <w:sz w:val="24"/>
          <w:szCs w:val="24"/>
          <w:lang w:val="ro-MD" w:eastAsia="ru-RU"/>
        </w:rPr>
        <w:t>i</w:t>
      </w:r>
      <w:r w:rsidR="003C2D6D" w:rsidRPr="00BC3271">
        <w:rPr>
          <w:rFonts w:asciiTheme="majorHAnsi" w:eastAsia="Times New Roman" w:hAnsiTheme="majorHAnsi" w:cstheme="majorHAnsi"/>
          <w:sz w:val="24"/>
          <w:szCs w:val="24"/>
          <w:lang w:val="ro-MD" w:eastAsia="ru-RU"/>
        </w:rPr>
        <w:t>lor</w:t>
      </w:r>
      <w:r w:rsidR="00636DFA" w:rsidRPr="00BC3271">
        <w:rPr>
          <w:rFonts w:asciiTheme="majorHAnsi" w:eastAsia="Times New Roman" w:hAnsiTheme="majorHAnsi" w:cstheme="majorHAnsi"/>
          <w:sz w:val="24"/>
          <w:szCs w:val="24"/>
          <w:lang w:val="ro-MD" w:eastAsia="ru-RU"/>
        </w:rPr>
        <w:t xml:space="preserve"> deliberativ</w:t>
      </w:r>
      <w:r w:rsidR="003C2D6D" w:rsidRPr="00BC3271">
        <w:rPr>
          <w:rFonts w:asciiTheme="majorHAnsi" w:eastAsia="Times New Roman" w:hAnsiTheme="majorHAnsi" w:cstheme="majorHAnsi"/>
          <w:sz w:val="24"/>
          <w:szCs w:val="24"/>
          <w:lang w:val="ro-MD" w:eastAsia="ru-RU"/>
        </w:rPr>
        <w:t>ă</w:t>
      </w:r>
      <w:r w:rsidR="00636DFA" w:rsidRPr="00BC3271">
        <w:rPr>
          <w:rFonts w:asciiTheme="majorHAnsi" w:eastAsia="Times New Roman" w:hAnsiTheme="majorHAnsi" w:cstheme="majorHAnsi"/>
          <w:sz w:val="24"/>
          <w:szCs w:val="24"/>
          <w:lang w:val="ro-MD" w:eastAsia="ru-RU"/>
        </w:rPr>
        <w:t xml:space="preserve"> </w:t>
      </w:r>
      <w:r w:rsidR="0069374B" w:rsidRPr="00BC3271">
        <w:rPr>
          <w:rFonts w:asciiTheme="majorHAnsi" w:eastAsia="Times New Roman" w:hAnsiTheme="majorHAnsi" w:cstheme="majorHAnsi"/>
          <w:sz w:val="24"/>
          <w:szCs w:val="24"/>
          <w:lang w:val="ro-MD" w:eastAsia="ru-RU"/>
        </w:rPr>
        <w:t>ș</w:t>
      </w:r>
      <w:r w:rsidR="00636DFA" w:rsidRPr="00BC3271">
        <w:rPr>
          <w:rFonts w:asciiTheme="majorHAnsi" w:eastAsia="Times New Roman" w:hAnsiTheme="majorHAnsi" w:cstheme="majorHAnsi"/>
          <w:sz w:val="24"/>
          <w:szCs w:val="24"/>
          <w:lang w:val="ro-MD" w:eastAsia="ru-RU"/>
        </w:rPr>
        <w:t>i executiv</w:t>
      </w:r>
      <w:r w:rsidR="003C2D6D" w:rsidRPr="00BC3271">
        <w:rPr>
          <w:rFonts w:asciiTheme="majorHAnsi" w:eastAsia="Times New Roman" w:hAnsiTheme="majorHAnsi" w:cstheme="majorHAnsi"/>
          <w:sz w:val="24"/>
          <w:szCs w:val="24"/>
          <w:lang w:val="ro-MD" w:eastAsia="ru-RU"/>
        </w:rPr>
        <w:t>ă</w:t>
      </w:r>
      <w:r w:rsidR="00636DFA" w:rsidRPr="00BC3271">
        <w:rPr>
          <w:rFonts w:asciiTheme="majorHAnsi" w:eastAsia="Times New Roman" w:hAnsiTheme="majorHAnsi" w:cstheme="majorHAnsi"/>
          <w:sz w:val="24"/>
          <w:szCs w:val="24"/>
          <w:lang w:val="ro-MD" w:eastAsia="ru-RU"/>
        </w:rPr>
        <w:t xml:space="preserve"> a</w:t>
      </w:r>
      <w:r w:rsidR="003C2D6D" w:rsidRPr="00BC3271">
        <w:rPr>
          <w:rFonts w:asciiTheme="majorHAnsi" w:eastAsia="Times New Roman" w:hAnsiTheme="majorHAnsi" w:cstheme="majorHAnsi"/>
          <w:sz w:val="24"/>
          <w:szCs w:val="24"/>
          <w:lang w:val="ro-MD" w:eastAsia="ru-RU"/>
        </w:rPr>
        <w:t>le</w:t>
      </w:r>
      <w:r w:rsidR="00636DFA" w:rsidRPr="00BC3271">
        <w:rPr>
          <w:rFonts w:asciiTheme="majorHAnsi" w:eastAsia="Times New Roman" w:hAnsiTheme="majorHAnsi" w:cstheme="majorHAnsi"/>
          <w:sz w:val="24"/>
          <w:szCs w:val="24"/>
          <w:lang w:val="ro-MD" w:eastAsia="ru-RU"/>
        </w:rPr>
        <w:t xml:space="preserve"> Găgăuziei, mijloace financiare în sumă totală de </w:t>
      </w:r>
      <w:r w:rsidR="00E41124" w:rsidRPr="00BC3271">
        <w:rPr>
          <w:rFonts w:asciiTheme="majorHAnsi" w:eastAsia="Times New Roman" w:hAnsiTheme="majorHAnsi" w:cstheme="majorHAnsi"/>
          <w:b/>
          <w:sz w:val="24"/>
          <w:szCs w:val="24"/>
          <w:lang w:val="ro-MD" w:eastAsia="ru-RU"/>
        </w:rPr>
        <w:t xml:space="preserve">23,0 </w:t>
      </w:r>
      <w:r w:rsidR="00E41124" w:rsidRPr="00BC3271">
        <w:rPr>
          <w:rFonts w:asciiTheme="majorHAnsi" w:eastAsia="Times New Roman" w:hAnsiTheme="majorHAnsi" w:cstheme="majorHAnsi"/>
          <w:b/>
          <w:sz w:val="24"/>
          <w:szCs w:val="24"/>
          <w:lang w:val="ro-MD" w:eastAsia="ru-RU"/>
        </w:rPr>
        <w:lastRenderedPageBreak/>
        <w:t>mil</w:t>
      </w:r>
      <w:r w:rsidR="007D2D99" w:rsidRPr="00BC3271">
        <w:rPr>
          <w:rFonts w:asciiTheme="majorHAnsi" w:eastAsia="Times New Roman" w:hAnsiTheme="majorHAnsi" w:cstheme="majorHAnsi"/>
          <w:b/>
          <w:sz w:val="24"/>
          <w:szCs w:val="24"/>
          <w:lang w:val="ro-MD" w:eastAsia="ru-RU"/>
        </w:rPr>
        <w:t>.</w:t>
      </w:r>
      <w:r w:rsidR="00E41124" w:rsidRPr="00BC3271">
        <w:rPr>
          <w:rFonts w:asciiTheme="majorHAnsi" w:eastAsia="Times New Roman" w:hAnsiTheme="majorHAnsi" w:cstheme="majorHAnsi"/>
          <w:b/>
          <w:sz w:val="24"/>
          <w:szCs w:val="24"/>
          <w:lang w:val="ro-MD" w:eastAsia="ru-RU"/>
        </w:rPr>
        <w:t xml:space="preserve"> lei, </w:t>
      </w:r>
      <w:r w:rsidR="00E41124" w:rsidRPr="00BC3271">
        <w:rPr>
          <w:rFonts w:asciiTheme="majorHAnsi" w:eastAsia="Times New Roman" w:hAnsiTheme="majorHAnsi" w:cstheme="majorHAnsi"/>
          <w:sz w:val="24"/>
          <w:szCs w:val="24"/>
          <w:lang w:val="ro-MD" w:eastAsia="ru-RU"/>
        </w:rPr>
        <w:t>pentru: i) asigurarea transportării bolnavilor la centrul de COVID</w:t>
      </w:r>
      <w:r w:rsidR="00C01BA8">
        <w:rPr>
          <w:rFonts w:asciiTheme="majorHAnsi" w:eastAsia="Times New Roman" w:hAnsiTheme="majorHAnsi" w:cstheme="majorHAnsi"/>
          <w:sz w:val="24"/>
          <w:szCs w:val="24"/>
          <w:lang w:val="ro-MD" w:eastAsia="ru-RU"/>
        </w:rPr>
        <w:t>-19</w:t>
      </w:r>
      <w:r w:rsidR="00E41124" w:rsidRPr="00BC3271">
        <w:rPr>
          <w:rFonts w:asciiTheme="majorHAnsi" w:eastAsia="Times New Roman" w:hAnsiTheme="majorHAnsi" w:cstheme="majorHAnsi"/>
          <w:sz w:val="24"/>
          <w:szCs w:val="24"/>
          <w:lang w:val="ro-MD" w:eastAsia="ru-RU"/>
        </w:rPr>
        <w:t>; ii) asigurarea institu</w:t>
      </w:r>
      <w:r w:rsidR="0069374B" w:rsidRPr="00BC3271">
        <w:rPr>
          <w:rFonts w:asciiTheme="majorHAnsi" w:eastAsia="Times New Roman" w:hAnsiTheme="majorHAnsi" w:cstheme="majorHAnsi"/>
          <w:sz w:val="24"/>
          <w:szCs w:val="24"/>
          <w:lang w:val="ro-MD" w:eastAsia="ru-RU"/>
        </w:rPr>
        <w:t>ț</w:t>
      </w:r>
      <w:r w:rsidR="00E41124" w:rsidRPr="00BC3271">
        <w:rPr>
          <w:rFonts w:asciiTheme="majorHAnsi" w:eastAsia="Times New Roman" w:hAnsiTheme="majorHAnsi" w:cstheme="majorHAnsi"/>
          <w:sz w:val="24"/>
          <w:szCs w:val="24"/>
          <w:lang w:val="ro-MD" w:eastAsia="ru-RU"/>
        </w:rPr>
        <w:t>iilor medico-sanitare publice cu materialele necesare pentru combaterea infec</w:t>
      </w:r>
      <w:r w:rsidR="0069374B" w:rsidRPr="00BC3271">
        <w:rPr>
          <w:rFonts w:asciiTheme="majorHAnsi" w:eastAsia="Times New Roman" w:hAnsiTheme="majorHAnsi" w:cstheme="majorHAnsi"/>
          <w:sz w:val="24"/>
          <w:szCs w:val="24"/>
          <w:lang w:val="ro-MD" w:eastAsia="ru-RU"/>
        </w:rPr>
        <w:t>ț</w:t>
      </w:r>
      <w:r w:rsidR="00E41124" w:rsidRPr="00BC3271">
        <w:rPr>
          <w:rFonts w:asciiTheme="majorHAnsi" w:eastAsia="Times New Roman" w:hAnsiTheme="majorHAnsi" w:cstheme="majorHAnsi"/>
          <w:sz w:val="24"/>
          <w:szCs w:val="24"/>
          <w:lang w:val="ro-MD" w:eastAsia="ru-RU"/>
        </w:rPr>
        <w:t>iei; iii) repara</w:t>
      </w:r>
      <w:r w:rsidR="0069374B" w:rsidRPr="00BC3271">
        <w:rPr>
          <w:rFonts w:asciiTheme="majorHAnsi" w:eastAsia="Times New Roman" w:hAnsiTheme="majorHAnsi" w:cstheme="majorHAnsi"/>
          <w:sz w:val="24"/>
          <w:szCs w:val="24"/>
          <w:lang w:val="ro-MD" w:eastAsia="ru-RU"/>
        </w:rPr>
        <w:t>ț</w:t>
      </w:r>
      <w:r w:rsidR="00E41124" w:rsidRPr="00BC3271">
        <w:rPr>
          <w:rFonts w:asciiTheme="majorHAnsi" w:eastAsia="Times New Roman" w:hAnsiTheme="majorHAnsi" w:cstheme="majorHAnsi"/>
          <w:sz w:val="24"/>
          <w:szCs w:val="24"/>
          <w:lang w:val="ro-MD" w:eastAsia="ru-RU"/>
        </w:rPr>
        <w:t xml:space="preserve">ii capitale </w:t>
      </w:r>
      <w:r w:rsidR="0069374B" w:rsidRPr="00BC3271">
        <w:rPr>
          <w:rFonts w:asciiTheme="majorHAnsi" w:eastAsia="Times New Roman" w:hAnsiTheme="majorHAnsi" w:cstheme="majorHAnsi"/>
          <w:sz w:val="24"/>
          <w:szCs w:val="24"/>
          <w:lang w:val="ro-MD" w:eastAsia="ru-RU"/>
        </w:rPr>
        <w:t>ș</w:t>
      </w:r>
      <w:r w:rsidR="00E41124" w:rsidRPr="00BC3271">
        <w:rPr>
          <w:rFonts w:asciiTheme="majorHAnsi" w:eastAsia="Times New Roman" w:hAnsiTheme="majorHAnsi" w:cstheme="majorHAnsi"/>
          <w:sz w:val="24"/>
          <w:szCs w:val="24"/>
          <w:lang w:val="ro-MD" w:eastAsia="ru-RU"/>
        </w:rPr>
        <w:t>i curente la IMSP; etc.</w:t>
      </w:r>
      <w:r w:rsidR="007D2D99" w:rsidRPr="00BC3271">
        <w:rPr>
          <w:rFonts w:asciiTheme="majorHAnsi" w:eastAsia="Times New Roman" w:hAnsiTheme="majorHAnsi" w:cstheme="majorHAnsi"/>
          <w:sz w:val="24"/>
          <w:szCs w:val="24"/>
          <w:lang w:val="ro-MD" w:eastAsia="ru-RU"/>
        </w:rPr>
        <w:t>,</w:t>
      </w:r>
      <w:r w:rsidR="00E41124" w:rsidRPr="00BC3271">
        <w:rPr>
          <w:rFonts w:asciiTheme="majorHAnsi" w:eastAsia="Times New Roman" w:hAnsiTheme="majorHAnsi" w:cstheme="majorHAnsi"/>
          <w:sz w:val="24"/>
          <w:szCs w:val="24"/>
          <w:lang w:val="ro-MD" w:eastAsia="ru-RU"/>
        </w:rPr>
        <w:t xml:space="preserve"> </w:t>
      </w:r>
      <w:r w:rsidR="007D2D99" w:rsidRPr="00BC3271">
        <w:rPr>
          <w:rFonts w:asciiTheme="majorHAnsi" w:eastAsia="Times New Roman" w:hAnsiTheme="majorHAnsi" w:cstheme="majorHAnsi"/>
          <w:sz w:val="24"/>
          <w:szCs w:val="24"/>
          <w:lang w:val="ro-MD" w:eastAsia="ru-RU"/>
        </w:rPr>
        <w:t xml:space="preserve">efectiv fiind </w:t>
      </w:r>
      <w:r w:rsidR="00E41124" w:rsidRPr="00BC3271">
        <w:rPr>
          <w:rFonts w:asciiTheme="majorHAnsi" w:eastAsia="Times New Roman" w:hAnsiTheme="majorHAnsi" w:cstheme="majorHAnsi"/>
          <w:sz w:val="24"/>
          <w:szCs w:val="24"/>
          <w:lang w:val="ro-MD" w:eastAsia="ru-RU"/>
        </w:rPr>
        <w:t xml:space="preserve">utilizate </w:t>
      </w:r>
      <w:r w:rsidR="00E41124" w:rsidRPr="00BC3271">
        <w:rPr>
          <w:rFonts w:asciiTheme="majorHAnsi" w:eastAsia="Times New Roman" w:hAnsiTheme="majorHAnsi" w:cstheme="majorHAnsi"/>
          <w:b/>
          <w:sz w:val="24"/>
          <w:szCs w:val="24"/>
          <w:lang w:val="ro-MD" w:eastAsia="ru-RU"/>
        </w:rPr>
        <w:t>10,3 mil</w:t>
      </w:r>
      <w:r w:rsidR="007D2D99" w:rsidRPr="00BC3271">
        <w:rPr>
          <w:rFonts w:asciiTheme="majorHAnsi" w:eastAsia="Times New Roman" w:hAnsiTheme="majorHAnsi" w:cstheme="majorHAnsi"/>
          <w:b/>
          <w:sz w:val="24"/>
          <w:szCs w:val="24"/>
          <w:lang w:val="ro-MD" w:eastAsia="ru-RU"/>
        </w:rPr>
        <w:t>.</w:t>
      </w:r>
      <w:r w:rsidR="00E41124" w:rsidRPr="00BC3271">
        <w:rPr>
          <w:rFonts w:asciiTheme="majorHAnsi" w:eastAsia="Times New Roman" w:hAnsiTheme="majorHAnsi" w:cstheme="majorHAnsi"/>
          <w:b/>
          <w:sz w:val="24"/>
          <w:szCs w:val="24"/>
          <w:lang w:val="ro-MD" w:eastAsia="ru-RU"/>
        </w:rPr>
        <w:t xml:space="preserve"> lei.</w:t>
      </w:r>
    </w:p>
    <w:tbl>
      <w:tblPr>
        <w:tblW w:w="9069" w:type="dxa"/>
        <w:tblLook w:val="04A0" w:firstRow="1" w:lastRow="0" w:firstColumn="1" w:lastColumn="0" w:noHBand="0" w:noVBand="1"/>
      </w:tblPr>
      <w:tblGrid>
        <w:gridCol w:w="5382"/>
        <w:gridCol w:w="1211"/>
        <w:gridCol w:w="1211"/>
        <w:gridCol w:w="1265"/>
      </w:tblGrid>
      <w:tr w:rsidR="00D55E09" w:rsidRPr="00FB1851" w14:paraId="021F1D38" w14:textId="77777777" w:rsidTr="00FB1851">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BCD85" w14:textId="77777777" w:rsidR="00D55E09" w:rsidRPr="00FB1851" w:rsidRDefault="00D55E09" w:rsidP="00767ED8">
            <w:pPr>
              <w:spacing w:after="0" w:line="240" w:lineRule="auto"/>
              <w:jc w:val="center"/>
              <w:rPr>
                <w:rFonts w:asciiTheme="majorHAnsi" w:eastAsia="Times New Roman" w:hAnsiTheme="majorHAnsi" w:cstheme="majorHAnsi"/>
                <w:b/>
                <w:bCs/>
                <w:color w:val="000000"/>
                <w:sz w:val="16"/>
                <w:szCs w:val="16"/>
                <w:lang w:val="ro-MD"/>
              </w:rPr>
            </w:pPr>
            <w:r w:rsidRPr="00FB1851">
              <w:rPr>
                <w:rFonts w:asciiTheme="majorHAnsi" w:eastAsia="Times New Roman" w:hAnsiTheme="majorHAnsi" w:cstheme="majorHAnsi"/>
                <w:b/>
                <w:bCs/>
                <w:color w:val="000000"/>
                <w:sz w:val="16"/>
                <w:szCs w:val="16"/>
                <w:lang w:val="ro-MD"/>
              </w:rPr>
              <w:t>Tipul plă</w:t>
            </w:r>
            <w:r w:rsidR="0069374B" w:rsidRPr="00FB1851">
              <w:rPr>
                <w:rFonts w:asciiTheme="majorHAnsi" w:eastAsia="Times New Roman" w:hAnsiTheme="majorHAnsi" w:cstheme="majorHAnsi"/>
                <w:b/>
                <w:bCs/>
                <w:color w:val="000000"/>
                <w:sz w:val="16"/>
                <w:szCs w:val="16"/>
                <w:lang w:val="ro-MD"/>
              </w:rPr>
              <w:t>ț</w:t>
            </w:r>
            <w:r w:rsidRPr="00FB1851">
              <w:rPr>
                <w:rFonts w:asciiTheme="majorHAnsi" w:eastAsia="Times New Roman" w:hAnsiTheme="majorHAnsi" w:cstheme="majorHAnsi"/>
                <w:b/>
                <w:bCs/>
                <w:color w:val="000000"/>
                <w:sz w:val="16"/>
                <w:szCs w:val="16"/>
                <w:lang w:val="ro-MD"/>
              </w:rPr>
              <w:t>ii</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7A184593" w14:textId="77777777" w:rsidR="00D55E09" w:rsidRPr="00FB1851" w:rsidRDefault="00D55E09" w:rsidP="00767ED8">
            <w:pPr>
              <w:spacing w:after="0" w:line="240" w:lineRule="auto"/>
              <w:jc w:val="center"/>
              <w:rPr>
                <w:rFonts w:asciiTheme="majorHAnsi" w:eastAsia="Times New Roman" w:hAnsiTheme="majorHAnsi" w:cstheme="majorHAnsi"/>
                <w:b/>
                <w:bCs/>
                <w:color w:val="000000"/>
                <w:sz w:val="16"/>
                <w:szCs w:val="16"/>
                <w:lang w:val="ro-MD"/>
              </w:rPr>
            </w:pPr>
            <w:r w:rsidRPr="00FB1851">
              <w:rPr>
                <w:rFonts w:asciiTheme="majorHAnsi" w:eastAsia="Times New Roman" w:hAnsiTheme="majorHAnsi" w:cstheme="majorHAnsi"/>
                <w:b/>
                <w:bCs/>
                <w:color w:val="000000"/>
                <w:sz w:val="16"/>
                <w:szCs w:val="16"/>
                <w:lang w:val="ro-MD"/>
              </w:rPr>
              <w:t>Alocat</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10320593" w14:textId="77777777" w:rsidR="00D55E09" w:rsidRPr="00FB1851" w:rsidRDefault="00D55E09" w:rsidP="00767ED8">
            <w:pPr>
              <w:spacing w:after="0" w:line="240" w:lineRule="auto"/>
              <w:jc w:val="center"/>
              <w:rPr>
                <w:rFonts w:asciiTheme="majorHAnsi" w:eastAsia="Times New Roman" w:hAnsiTheme="majorHAnsi" w:cstheme="majorHAnsi"/>
                <w:b/>
                <w:bCs/>
                <w:color w:val="000000"/>
                <w:sz w:val="16"/>
                <w:szCs w:val="16"/>
                <w:lang w:val="ro-MD"/>
              </w:rPr>
            </w:pPr>
            <w:r w:rsidRPr="00FB1851">
              <w:rPr>
                <w:rFonts w:asciiTheme="majorHAnsi" w:eastAsia="Times New Roman" w:hAnsiTheme="majorHAnsi" w:cstheme="majorHAnsi"/>
                <w:b/>
                <w:bCs/>
                <w:color w:val="000000"/>
                <w:sz w:val="16"/>
                <w:szCs w:val="16"/>
                <w:lang w:val="ro-MD"/>
              </w:rPr>
              <w:t>Executat</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6A0CA4E7" w14:textId="77777777" w:rsidR="00D55E09" w:rsidRPr="00FB1851" w:rsidRDefault="00D55E09" w:rsidP="00767ED8">
            <w:pPr>
              <w:spacing w:after="0" w:line="240" w:lineRule="auto"/>
              <w:jc w:val="center"/>
              <w:rPr>
                <w:rFonts w:asciiTheme="majorHAnsi" w:eastAsia="Times New Roman" w:hAnsiTheme="majorHAnsi" w:cstheme="majorHAnsi"/>
                <w:b/>
                <w:bCs/>
                <w:color w:val="000000"/>
                <w:sz w:val="16"/>
                <w:szCs w:val="16"/>
                <w:lang w:val="ro-MD"/>
              </w:rPr>
            </w:pPr>
            <w:r w:rsidRPr="00FB1851">
              <w:rPr>
                <w:rFonts w:asciiTheme="majorHAnsi" w:eastAsia="Times New Roman" w:hAnsiTheme="majorHAnsi" w:cstheme="majorHAnsi"/>
                <w:b/>
                <w:bCs/>
                <w:color w:val="000000"/>
                <w:sz w:val="16"/>
                <w:szCs w:val="16"/>
                <w:lang w:val="ro-MD"/>
              </w:rPr>
              <w:t>Diferen</w:t>
            </w:r>
            <w:r w:rsidR="0069374B" w:rsidRPr="00FB1851">
              <w:rPr>
                <w:rFonts w:asciiTheme="majorHAnsi" w:eastAsia="Times New Roman" w:hAnsiTheme="majorHAnsi" w:cstheme="majorHAnsi"/>
                <w:b/>
                <w:bCs/>
                <w:color w:val="000000"/>
                <w:sz w:val="16"/>
                <w:szCs w:val="16"/>
                <w:lang w:val="ro-MD"/>
              </w:rPr>
              <w:t>ț</w:t>
            </w:r>
            <w:r w:rsidRPr="00FB1851">
              <w:rPr>
                <w:rFonts w:asciiTheme="majorHAnsi" w:eastAsia="Times New Roman" w:hAnsiTheme="majorHAnsi" w:cstheme="majorHAnsi"/>
                <w:b/>
                <w:bCs/>
                <w:color w:val="000000"/>
                <w:sz w:val="16"/>
                <w:szCs w:val="16"/>
                <w:lang w:val="ro-MD"/>
              </w:rPr>
              <w:t>a</w:t>
            </w:r>
          </w:p>
        </w:tc>
      </w:tr>
      <w:tr w:rsidR="00D55E09" w:rsidRPr="00FB1851" w14:paraId="72629B21"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EB0A503" w14:textId="11D734D0"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Asigurarea transportării pacien</w:t>
            </w:r>
            <w:r w:rsidR="0069374B" w:rsidRPr="00FB1851">
              <w:rPr>
                <w:rFonts w:asciiTheme="majorHAnsi" w:eastAsia="Times New Roman" w:hAnsiTheme="majorHAnsi" w:cstheme="majorHAnsi"/>
                <w:color w:val="000000"/>
                <w:sz w:val="16"/>
                <w:szCs w:val="16"/>
                <w:lang w:val="ro-MD"/>
              </w:rPr>
              <w:t>ț</w:t>
            </w:r>
            <w:r w:rsidR="007D2D99" w:rsidRPr="00FB1851">
              <w:rPr>
                <w:rFonts w:asciiTheme="majorHAnsi" w:eastAsia="Times New Roman" w:hAnsiTheme="majorHAnsi" w:cstheme="majorHAnsi"/>
                <w:color w:val="000000"/>
                <w:sz w:val="16"/>
                <w:szCs w:val="16"/>
                <w:lang w:val="ro-MD"/>
              </w:rPr>
              <w:t>i</w:t>
            </w:r>
            <w:r w:rsidRPr="00FB1851">
              <w:rPr>
                <w:rFonts w:asciiTheme="majorHAnsi" w:eastAsia="Times New Roman" w:hAnsiTheme="majorHAnsi" w:cstheme="majorHAnsi"/>
                <w:color w:val="000000"/>
                <w:sz w:val="16"/>
                <w:szCs w:val="16"/>
                <w:lang w:val="ro-MD"/>
              </w:rPr>
              <w:t>lor la centre</w:t>
            </w:r>
            <w:r w:rsidR="007D2D99" w:rsidRPr="00FB1851">
              <w:rPr>
                <w:rFonts w:asciiTheme="majorHAnsi" w:eastAsia="Times New Roman" w:hAnsiTheme="majorHAnsi" w:cstheme="majorHAnsi"/>
                <w:color w:val="000000"/>
                <w:sz w:val="16"/>
                <w:szCs w:val="16"/>
                <w:lang w:val="ro-MD"/>
              </w:rPr>
              <w:t>le</w:t>
            </w:r>
            <w:r w:rsidRPr="00FB1851">
              <w:rPr>
                <w:rFonts w:asciiTheme="majorHAnsi" w:eastAsia="Times New Roman" w:hAnsiTheme="majorHAnsi" w:cstheme="majorHAnsi"/>
                <w:color w:val="000000"/>
                <w:sz w:val="16"/>
                <w:szCs w:val="16"/>
                <w:lang w:val="ro-MD"/>
              </w:rPr>
              <w:t xml:space="preserve"> de COVID</w:t>
            </w:r>
          </w:p>
        </w:tc>
        <w:tc>
          <w:tcPr>
            <w:tcW w:w="1211" w:type="dxa"/>
            <w:tcBorders>
              <w:top w:val="nil"/>
              <w:left w:val="nil"/>
              <w:bottom w:val="single" w:sz="4" w:space="0" w:color="auto"/>
              <w:right w:val="single" w:sz="4" w:space="0" w:color="auto"/>
            </w:tcBorders>
            <w:shd w:val="clear" w:color="auto" w:fill="auto"/>
            <w:noWrap/>
            <w:vAlign w:val="bottom"/>
            <w:hideMark/>
          </w:tcPr>
          <w:p w14:paraId="59B762B8"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222,0</w:t>
            </w:r>
          </w:p>
        </w:tc>
        <w:tc>
          <w:tcPr>
            <w:tcW w:w="1211" w:type="dxa"/>
            <w:tcBorders>
              <w:top w:val="nil"/>
              <w:left w:val="nil"/>
              <w:bottom w:val="single" w:sz="4" w:space="0" w:color="auto"/>
              <w:right w:val="single" w:sz="4" w:space="0" w:color="auto"/>
            </w:tcBorders>
            <w:shd w:val="clear" w:color="auto" w:fill="auto"/>
            <w:noWrap/>
            <w:vAlign w:val="bottom"/>
            <w:hideMark/>
          </w:tcPr>
          <w:p w14:paraId="6B531CB6"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213,3</w:t>
            </w:r>
          </w:p>
        </w:tc>
        <w:tc>
          <w:tcPr>
            <w:tcW w:w="1265" w:type="dxa"/>
            <w:tcBorders>
              <w:top w:val="nil"/>
              <w:left w:val="nil"/>
              <w:bottom w:val="single" w:sz="4" w:space="0" w:color="auto"/>
              <w:right w:val="single" w:sz="4" w:space="0" w:color="auto"/>
            </w:tcBorders>
            <w:shd w:val="clear" w:color="auto" w:fill="auto"/>
            <w:noWrap/>
            <w:vAlign w:val="bottom"/>
            <w:hideMark/>
          </w:tcPr>
          <w:p w14:paraId="6E815339"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8,7</w:t>
            </w:r>
          </w:p>
        </w:tc>
      </w:tr>
      <w:tr w:rsidR="00D55E09" w:rsidRPr="00FB1851" w14:paraId="633D79B9"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BE630B5"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Indemniza</w:t>
            </w:r>
            <w:r w:rsidR="0069374B" w:rsidRPr="00FB1851">
              <w:rPr>
                <w:rFonts w:asciiTheme="majorHAnsi" w:eastAsia="Times New Roman" w:hAnsiTheme="majorHAnsi" w:cstheme="majorHAnsi"/>
                <w:color w:val="000000"/>
                <w:sz w:val="16"/>
                <w:szCs w:val="16"/>
                <w:lang w:val="ro-MD"/>
              </w:rPr>
              <w:t>ț</w:t>
            </w:r>
            <w:r w:rsidRPr="00FB1851">
              <w:rPr>
                <w:rFonts w:asciiTheme="majorHAnsi" w:eastAsia="Times New Roman" w:hAnsiTheme="majorHAnsi" w:cstheme="majorHAnsi"/>
                <w:color w:val="000000"/>
                <w:sz w:val="16"/>
                <w:szCs w:val="16"/>
                <w:lang w:val="ro-MD"/>
              </w:rPr>
              <w:t>ii unice familiilor personalului medical deceda</w:t>
            </w:r>
            <w:r w:rsidR="0069374B" w:rsidRPr="00FB1851">
              <w:rPr>
                <w:rFonts w:asciiTheme="majorHAnsi" w:eastAsia="Times New Roman" w:hAnsiTheme="majorHAnsi" w:cstheme="majorHAnsi"/>
                <w:color w:val="000000"/>
                <w:sz w:val="16"/>
                <w:szCs w:val="16"/>
                <w:lang w:val="ro-MD"/>
              </w:rPr>
              <w:t>ț</w:t>
            </w:r>
            <w:r w:rsidRPr="00FB1851">
              <w:rPr>
                <w:rFonts w:asciiTheme="majorHAnsi" w:eastAsia="Times New Roman" w:hAnsiTheme="majorHAnsi" w:cstheme="majorHAnsi"/>
                <w:color w:val="000000"/>
                <w:sz w:val="16"/>
                <w:szCs w:val="16"/>
                <w:lang w:val="ro-MD"/>
              </w:rPr>
              <w:t>i</w:t>
            </w:r>
          </w:p>
        </w:tc>
        <w:tc>
          <w:tcPr>
            <w:tcW w:w="1211" w:type="dxa"/>
            <w:tcBorders>
              <w:top w:val="nil"/>
              <w:left w:val="nil"/>
              <w:bottom w:val="single" w:sz="4" w:space="0" w:color="auto"/>
              <w:right w:val="single" w:sz="4" w:space="0" w:color="auto"/>
            </w:tcBorders>
            <w:shd w:val="clear" w:color="auto" w:fill="auto"/>
            <w:noWrap/>
            <w:vAlign w:val="bottom"/>
            <w:hideMark/>
          </w:tcPr>
          <w:p w14:paraId="58E762FF"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550,0</w:t>
            </w:r>
          </w:p>
        </w:tc>
        <w:tc>
          <w:tcPr>
            <w:tcW w:w="1211" w:type="dxa"/>
            <w:tcBorders>
              <w:top w:val="nil"/>
              <w:left w:val="nil"/>
              <w:bottom w:val="single" w:sz="4" w:space="0" w:color="auto"/>
              <w:right w:val="single" w:sz="4" w:space="0" w:color="auto"/>
            </w:tcBorders>
            <w:shd w:val="clear" w:color="auto" w:fill="auto"/>
            <w:noWrap/>
            <w:vAlign w:val="bottom"/>
            <w:hideMark/>
          </w:tcPr>
          <w:p w14:paraId="3FCDC946"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550,0</w:t>
            </w:r>
          </w:p>
        </w:tc>
        <w:tc>
          <w:tcPr>
            <w:tcW w:w="1265" w:type="dxa"/>
            <w:tcBorders>
              <w:top w:val="nil"/>
              <w:left w:val="nil"/>
              <w:bottom w:val="single" w:sz="4" w:space="0" w:color="auto"/>
              <w:right w:val="single" w:sz="4" w:space="0" w:color="auto"/>
            </w:tcBorders>
            <w:shd w:val="clear" w:color="auto" w:fill="auto"/>
            <w:noWrap/>
            <w:vAlign w:val="bottom"/>
            <w:hideMark/>
          </w:tcPr>
          <w:p w14:paraId="54AF46D7"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0,0</w:t>
            </w:r>
          </w:p>
        </w:tc>
      </w:tr>
      <w:tr w:rsidR="00D55E09" w:rsidRPr="00FB1851" w14:paraId="56956ECF"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873A352"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Procurarea dezinfectan</w:t>
            </w:r>
            <w:r w:rsidR="0069374B" w:rsidRPr="00FB1851">
              <w:rPr>
                <w:rFonts w:asciiTheme="majorHAnsi" w:eastAsia="Times New Roman" w:hAnsiTheme="majorHAnsi" w:cstheme="majorHAnsi"/>
                <w:color w:val="000000"/>
                <w:sz w:val="16"/>
                <w:szCs w:val="16"/>
                <w:lang w:val="ro-MD"/>
              </w:rPr>
              <w:t>ț</w:t>
            </w:r>
            <w:r w:rsidRPr="00FB1851">
              <w:rPr>
                <w:rFonts w:asciiTheme="majorHAnsi" w:eastAsia="Times New Roman" w:hAnsiTheme="majorHAnsi" w:cstheme="majorHAnsi"/>
                <w:color w:val="000000"/>
                <w:sz w:val="16"/>
                <w:szCs w:val="16"/>
                <w:lang w:val="ro-MD"/>
              </w:rPr>
              <w:t>ilor</w:t>
            </w:r>
          </w:p>
        </w:tc>
        <w:tc>
          <w:tcPr>
            <w:tcW w:w="1211" w:type="dxa"/>
            <w:tcBorders>
              <w:top w:val="nil"/>
              <w:left w:val="nil"/>
              <w:bottom w:val="single" w:sz="4" w:space="0" w:color="auto"/>
              <w:right w:val="single" w:sz="4" w:space="0" w:color="auto"/>
            </w:tcBorders>
            <w:shd w:val="clear" w:color="auto" w:fill="auto"/>
            <w:noWrap/>
            <w:vAlign w:val="bottom"/>
            <w:hideMark/>
          </w:tcPr>
          <w:p w14:paraId="174D56F6"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476,0</w:t>
            </w:r>
          </w:p>
        </w:tc>
        <w:tc>
          <w:tcPr>
            <w:tcW w:w="1211" w:type="dxa"/>
            <w:tcBorders>
              <w:top w:val="nil"/>
              <w:left w:val="nil"/>
              <w:bottom w:val="single" w:sz="4" w:space="0" w:color="auto"/>
              <w:right w:val="single" w:sz="4" w:space="0" w:color="auto"/>
            </w:tcBorders>
            <w:shd w:val="clear" w:color="auto" w:fill="auto"/>
            <w:noWrap/>
            <w:vAlign w:val="bottom"/>
            <w:hideMark/>
          </w:tcPr>
          <w:p w14:paraId="0D0DCA80"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475,8</w:t>
            </w:r>
          </w:p>
        </w:tc>
        <w:tc>
          <w:tcPr>
            <w:tcW w:w="1265" w:type="dxa"/>
            <w:tcBorders>
              <w:top w:val="nil"/>
              <w:left w:val="nil"/>
              <w:bottom w:val="single" w:sz="4" w:space="0" w:color="auto"/>
              <w:right w:val="single" w:sz="4" w:space="0" w:color="auto"/>
            </w:tcBorders>
            <w:shd w:val="clear" w:color="auto" w:fill="auto"/>
            <w:noWrap/>
            <w:vAlign w:val="bottom"/>
            <w:hideMark/>
          </w:tcPr>
          <w:p w14:paraId="651E4DA4"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0,2</w:t>
            </w:r>
          </w:p>
        </w:tc>
      </w:tr>
      <w:tr w:rsidR="00D55E09" w:rsidRPr="00FB1851" w14:paraId="31599F96"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DC8DA0F"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 xml:space="preserve">Produse de îngrijire </w:t>
            </w:r>
            <w:r w:rsidR="0069374B" w:rsidRPr="00FB1851">
              <w:rPr>
                <w:rFonts w:asciiTheme="majorHAnsi" w:eastAsia="Times New Roman" w:hAnsiTheme="majorHAnsi" w:cstheme="majorHAnsi"/>
                <w:color w:val="000000"/>
                <w:sz w:val="16"/>
                <w:szCs w:val="16"/>
                <w:lang w:val="ro-MD"/>
              </w:rPr>
              <w:t>ș</w:t>
            </w:r>
            <w:r w:rsidRPr="00FB1851">
              <w:rPr>
                <w:rFonts w:asciiTheme="majorHAnsi" w:eastAsia="Times New Roman" w:hAnsiTheme="majorHAnsi" w:cstheme="majorHAnsi"/>
                <w:color w:val="000000"/>
                <w:sz w:val="16"/>
                <w:szCs w:val="16"/>
                <w:lang w:val="ro-MD"/>
              </w:rPr>
              <w:t>i protec</w:t>
            </w:r>
            <w:r w:rsidR="0069374B" w:rsidRPr="00FB1851">
              <w:rPr>
                <w:rFonts w:asciiTheme="majorHAnsi" w:eastAsia="Times New Roman" w:hAnsiTheme="majorHAnsi" w:cstheme="majorHAnsi"/>
                <w:color w:val="000000"/>
                <w:sz w:val="16"/>
                <w:szCs w:val="16"/>
                <w:lang w:val="ro-MD"/>
              </w:rPr>
              <w:t>ț</w:t>
            </w:r>
            <w:r w:rsidRPr="00FB1851">
              <w:rPr>
                <w:rFonts w:asciiTheme="majorHAnsi" w:eastAsia="Times New Roman" w:hAnsiTheme="majorHAnsi" w:cstheme="majorHAnsi"/>
                <w:color w:val="000000"/>
                <w:sz w:val="16"/>
                <w:szCs w:val="16"/>
                <w:lang w:val="ro-MD"/>
              </w:rPr>
              <w:t>ie personală</w:t>
            </w:r>
          </w:p>
        </w:tc>
        <w:tc>
          <w:tcPr>
            <w:tcW w:w="1211" w:type="dxa"/>
            <w:tcBorders>
              <w:top w:val="nil"/>
              <w:left w:val="nil"/>
              <w:bottom w:val="single" w:sz="4" w:space="0" w:color="auto"/>
              <w:right w:val="single" w:sz="4" w:space="0" w:color="auto"/>
            </w:tcBorders>
            <w:shd w:val="clear" w:color="auto" w:fill="auto"/>
            <w:noWrap/>
            <w:vAlign w:val="bottom"/>
            <w:hideMark/>
          </w:tcPr>
          <w:p w14:paraId="5D6249A3"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1312,0</w:t>
            </w:r>
          </w:p>
        </w:tc>
        <w:tc>
          <w:tcPr>
            <w:tcW w:w="1211" w:type="dxa"/>
            <w:tcBorders>
              <w:top w:val="nil"/>
              <w:left w:val="nil"/>
              <w:bottom w:val="single" w:sz="4" w:space="0" w:color="auto"/>
              <w:right w:val="single" w:sz="4" w:space="0" w:color="auto"/>
            </w:tcBorders>
            <w:shd w:val="clear" w:color="auto" w:fill="auto"/>
            <w:noWrap/>
            <w:vAlign w:val="bottom"/>
            <w:hideMark/>
          </w:tcPr>
          <w:p w14:paraId="1EAFEA67"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1216,3</w:t>
            </w:r>
          </w:p>
        </w:tc>
        <w:tc>
          <w:tcPr>
            <w:tcW w:w="1265" w:type="dxa"/>
            <w:tcBorders>
              <w:top w:val="nil"/>
              <w:left w:val="nil"/>
              <w:bottom w:val="single" w:sz="4" w:space="0" w:color="auto"/>
              <w:right w:val="single" w:sz="4" w:space="0" w:color="auto"/>
            </w:tcBorders>
            <w:shd w:val="clear" w:color="auto" w:fill="auto"/>
            <w:noWrap/>
            <w:vAlign w:val="bottom"/>
            <w:hideMark/>
          </w:tcPr>
          <w:p w14:paraId="5DC03261"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95,7</w:t>
            </w:r>
          </w:p>
        </w:tc>
      </w:tr>
      <w:tr w:rsidR="00D55E09" w:rsidRPr="00FB1851" w14:paraId="2320CE6A"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64C09FE"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Procurarea mărfurilor industriale</w:t>
            </w:r>
          </w:p>
        </w:tc>
        <w:tc>
          <w:tcPr>
            <w:tcW w:w="1211" w:type="dxa"/>
            <w:tcBorders>
              <w:top w:val="nil"/>
              <w:left w:val="nil"/>
              <w:bottom w:val="single" w:sz="4" w:space="0" w:color="auto"/>
              <w:right w:val="single" w:sz="4" w:space="0" w:color="auto"/>
            </w:tcBorders>
            <w:shd w:val="clear" w:color="auto" w:fill="auto"/>
            <w:noWrap/>
            <w:vAlign w:val="bottom"/>
            <w:hideMark/>
          </w:tcPr>
          <w:p w14:paraId="3E284092"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350,0</w:t>
            </w:r>
          </w:p>
        </w:tc>
        <w:tc>
          <w:tcPr>
            <w:tcW w:w="1211" w:type="dxa"/>
            <w:tcBorders>
              <w:top w:val="nil"/>
              <w:left w:val="nil"/>
              <w:bottom w:val="single" w:sz="4" w:space="0" w:color="auto"/>
              <w:right w:val="single" w:sz="4" w:space="0" w:color="auto"/>
            </w:tcBorders>
            <w:shd w:val="clear" w:color="auto" w:fill="auto"/>
            <w:noWrap/>
            <w:vAlign w:val="bottom"/>
            <w:hideMark/>
          </w:tcPr>
          <w:p w14:paraId="2941FF13"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324,4</w:t>
            </w:r>
          </w:p>
        </w:tc>
        <w:tc>
          <w:tcPr>
            <w:tcW w:w="1265" w:type="dxa"/>
            <w:tcBorders>
              <w:top w:val="nil"/>
              <w:left w:val="nil"/>
              <w:bottom w:val="single" w:sz="4" w:space="0" w:color="auto"/>
              <w:right w:val="single" w:sz="4" w:space="0" w:color="auto"/>
            </w:tcBorders>
            <w:shd w:val="clear" w:color="auto" w:fill="auto"/>
            <w:noWrap/>
            <w:vAlign w:val="bottom"/>
            <w:hideMark/>
          </w:tcPr>
          <w:p w14:paraId="63E3542A"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25,6</w:t>
            </w:r>
          </w:p>
        </w:tc>
      </w:tr>
      <w:tr w:rsidR="00D55E09" w:rsidRPr="00FB1851" w14:paraId="7DB304A1"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C9B755A" w14:textId="0811B8C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Procurarea utilajului medical</w:t>
            </w:r>
          </w:p>
        </w:tc>
        <w:tc>
          <w:tcPr>
            <w:tcW w:w="1211" w:type="dxa"/>
            <w:tcBorders>
              <w:top w:val="nil"/>
              <w:left w:val="nil"/>
              <w:bottom w:val="single" w:sz="4" w:space="0" w:color="auto"/>
              <w:right w:val="single" w:sz="4" w:space="0" w:color="auto"/>
            </w:tcBorders>
            <w:shd w:val="clear" w:color="auto" w:fill="auto"/>
            <w:noWrap/>
            <w:vAlign w:val="bottom"/>
            <w:hideMark/>
          </w:tcPr>
          <w:p w14:paraId="32F1C40E"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2000,0</w:t>
            </w:r>
          </w:p>
        </w:tc>
        <w:tc>
          <w:tcPr>
            <w:tcW w:w="1211" w:type="dxa"/>
            <w:tcBorders>
              <w:top w:val="nil"/>
              <w:left w:val="nil"/>
              <w:bottom w:val="single" w:sz="4" w:space="0" w:color="auto"/>
              <w:right w:val="single" w:sz="4" w:space="0" w:color="auto"/>
            </w:tcBorders>
            <w:shd w:val="clear" w:color="auto" w:fill="auto"/>
            <w:noWrap/>
            <w:vAlign w:val="bottom"/>
            <w:hideMark/>
          </w:tcPr>
          <w:p w14:paraId="7FFB1610"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2000,0</w:t>
            </w:r>
          </w:p>
        </w:tc>
        <w:tc>
          <w:tcPr>
            <w:tcW w:w="1265" w:type="dxa"/>
            <w:tcBorders>
              <w:top w:val="nil"/>
              <w:left w:val="nil"/>
              <w:bottom w:val="single" w:sz="4" w:space="0" w:color="auto"/>
              <w:right w:val="single" w:sz="4" w:space="0" w:color="auto"/>
            </w:tcBorders>
            <w:shd w:val="clear" w:color="auto" w:fill="auto"/>
            <w:noWrap/>
            <w:vAlign w:val="bottom"/>
            <w:hideMark/>
          </w:tcPr>
          <w:p w14:paraId="5E8A60DE"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0,0</w:t>
            </w:r>
          </w:p>
        </w:tc>
      </w:tr>
      <w:tr w:rsidR="00D55E09" w:rsidRPr="00FB1851" w14:paraId="15ACC90F"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7C5887A" w14:textId="2AEA5A06"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Procurarea utilajului medical din contul special</w:t>
            </w:r>
          </w:p>
        </w:tc>
        <w:tc>
          <w:tcPr>
            <w:tcW w:w="1211" w:type="dxa"/>
            <w:tcBorders>
              <w:top w:val="nil"/>
              <w:left w:val="nil"/>
              <w:bottom w:val="single" w:sz="4" w:space="0" w:color="auto"/>
              <w:right w:val="single" w:sz="4" w:space="0" w:color="auto"/>
            </w:tcBorders>
            <w:shd w:val="clear" w:color="auto" w:fill="auto"/>
            <w:noWrap/>
            <w:vAlign w:val="bottom"/>
            <w:hideMark/>
          </w:tcPr>
          <w:p w14:paraId="5011910D" w14:textId="77777777" w:rsidR="00D55E09" w:rsidRPr="00FB1851" w:rsidRDefault="00D55E09" w:rsidP="00FB1851">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 </w:t>
            </w:r>
            <w:r w:rsidR="008C3818" w:rsidRPr="00FB1851">
              <w:rPr>
                <w:rFonts w:asciiTheme="majorHAnsi" w:hAnsiTheme="majorHAnsi" w:cstheme="majorHAnsi"/>
                <w:color w:val="000000"/>
                <w:sz w:val="16"/>
                <w:szCs w:val="16"/>
                <w:lang w:val="ro-MD"/>
              </w:rPr>
              <w:t>520,0</w:t>
            </w:r>
          </w:p>
        </w:tc>
        <w:tc>
          <w:tcPr>
            <w:tcW w:w="1211" w:type="dxa"/>
            <w:tcBorders>
              <w:top w:val="nil"/>
              <w:left w:val="nil"/>
              <w:bottom w:val="single" w:sz="4" w:space="0" w:color="auto"/>
              <w:right w:val="single" w:sz="4" w:space="0" w:color="auto"/>
            </w:tcBorders>
            <w:shd w:val="clear" w:color="auto" w:fill="auto"/>
            <w:noWrap/>
            <w:vAlign w:val="bottom"/>
            <w:hideMark/>
          </w:tcPr>
          <w:p w14:paraId="4CF68CAB"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195,2</w:t>
            </w:r>
          </w:p>
        </w:tc>
        <w:tc>
          <w:tcPr>
            <w:tcW w:w="1265" w:type="dxa"/>
            <w:tcBorders>
              <w:top w:val="nil"/>
              <w:left w:val="nil"/>
              <w:bottom w:val="single" w:sz="4" w:space="0" w:color="auto"/>
              <w:right w:val="single" w:sz="4" w:space="0" w:color="auto"/>
            </w:tcBorders>
            <w:shd w:val="clear" w:color="auto" w:fill="auto"/>
            <w:noWrap/>
            <w:vAlign w:val="bottom"/>
            <w:hideMark/>
          </w:tcPr>
          <w:p w14:paraId="297F5A02"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324,8</w:t>
            </w:r>
          </w:p>
        </w:tc>
      </w:tr>
      <w:tr w:rsidR="00D55E09" w:rsidRPr="00FB1851" w14:paraId="5648D59C"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0A9FF1F"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Produse farmaceutice</w:t>
            </w:r>
          </w:p>
        </w:tc>
        <w:tc>
          <w:tcPr>
            <w:tcW w:w="1211" w:type="dxa"/>
            <w:tcBorders>
              <w:top w:val="nil"/>
              <w:left w:val="nil"/>
              <w:bottom w:val="single" w:sz="4" w:space="0" w:color="auto"/>
              <w:right w:val="single" w:sz="4" w:space="0" w:color="auto"/>
            </w:tcBorders>
            <w:shd w:val="clear" w:color="auto" w:fill="auto"/>
            <w:noWrap/>
            <w:vAlign w:val="bottom"/>
            <w:hideMark/>
          </w:tcPr>
          <w:p w14:paraId="34AD045B"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380,0</w:t>
            </w:r>
          </w:p>
        </w:tc>
        <w:tc>
          <w:tcPr>
            <w:tcW w:w="1211" w:type="dxa"/>
            <w:tcBorders>
              <w:top w:val="nil"/>
              <w:left w:val="nil"/>
              <w:bottom w:val="single" w:sz="4" w:space="0" w:color="auto"/>
              <w:right w:val="single" w:sz="4" w:space="0" w:color="auto"/>
            </w:tcBorders>
            <w:shd w:val="clear" w:color="auto" w:fill="auto"/>
            <w:noWrap/>
            <w:vAlign w:val="bottom"/>
            <w:hideMark/>
          </w:tcPr>
          <w:p w14:paraId="6C8CE475"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301,2</w:t>
            </w:r>
          </w:p>
        </w:tc>
        <w:tc>
          <w:tcPr>
            <w:tcW w:w="1265" w:type="dxa"/>
            <w:tcBorders>
              <w:top w:val="nil"/>
              <w:left w:val="nil"/>
              <w:bottom w:val="single" w:sz="4" w:space="0" w:color="auto"/>
              <w:right w:val="single" w:sz="4" w:space="0" w:color="auto"/>
            </w:tcBorders>
            <w:shd w:val="clear" w:color="auto" w:fill="auto"/>
            <w:noWrap/>
            <w:vAlign w:val="bottom"/>
            <w:hideMark/>
          </w:tcPr>
          <w:p w14:paraId="74254EB1"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7</w:t>
            </w:r>
            <w:r w:rsidR="00D55E09" w:rsidRPr="00FB1851">
              <w:rPr>
                <w:rFonts w:asciiTheme="majorHAnsi" w:hAnsiTheme="majorHAnsi" w:cstheme="majorHAnsi"/>
                <w:color w:val="000000"/>
                <w:sz w:val="16"/>
                <w:szCs w:val="16"/>
                <w:lang w:val="ro-MD"/>
              </w:rPr>
              <w:t>8,8</w:t>
            </w:r>
          </w:p>
        </w:tc>
      </w:tr>
      <w:tr w:rsidR="00D55E09" w:rsidRPr="00FB1851" w14:paraId="634DA068"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3379E82"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Echipamente medicale</w:t>
            </w:r>
          </w:p>
        </w:tc>
        <w:tc>
          <w:tcPr>
            <w:tcW w:w="1211" w:type="dxa"/>
            <w:tcBorders>
              <w:top w:val="nil"/>
              <w:left w:val="nil"/>
              <w:bottom w:val="single" w:sz="4" w:space="0" w:color="auto"/>
              <w:right w:val="single" w:sz="4" w:space="0" w:color="auto"/>
            </w:tcBorders>
            <w:shd w:val="clear" w:color="auto" w:fill="auto"/>
            <w:noWrap/>
            <w:vAlign w:val="bottom"/>
            <w:hideMark/>
          </w:tcPr>
          <w:p w14:paraId="47C8BD17"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637,0</w:t>
            </w:r>
          </w:p>
        </w:tc>
        <w:tc>
          <w:tcPr>
            <w:tcW w:w="1211" w:type="dxa"/>
            <w:tcBorders>
              <w:top w:val="nil"/>
              <w:left w:val="nil"/>
              <w:bottom w:val="single" w:sz="4" w:space="0" w:color="auto"/>
              <w:right w:val="single" w:sz="4" w:space="0" w:color="auto"/>
            </w:tcBorders>
            <w:shd w:val="clear" w:color="auto" w:fill="auto"/>
            <w:noWrap/>
            <w:vAlign w:val="bottom"/>
            <w:hideMark/>
          </w:tcPr>
          <w:p w14:paraId="7B0AE95A"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6</w:t>
            </w:r>
            <w:r w:rsidR="008C3818" w:rsidRPr="00FB1851">
              <w:rPr>
                <w:rFonts w:asciiTheme="majorHAnsi" w:hAnsiTheme="majorHAnsi" w:cstheme="majorHAnsi"/>
                <w:color w:val="000000"/>
                <w:sz w:val="16"/>
                <w:szCs w:val="16"/>
                <w:lang w:val="ro-MD"/>
              </w:rPr>
              <w:t>37,0</w:t>
            </w:r>
          </w:p>
        </w:tc>
        <w:tc>
          <w:tcPr>
            <w:tcW w:w="1265" w:type="dxa"/>
            <w:tcBorders>
              <w:top w:val="nil"/>
              <w:left w:val="nil"/>
              <w:bottom w:val="single" w:sz="4" w:space="0" w:color="auto"/>
              <w:right w:val="single" w:sz="4" w:space="0" w:color="auto"/>
            </w:tcBorders>
            <w:shd w:val="clear" w:color="auto" w:fill="auto"/>
            <w:noWrap/>
            <w:vAlign w:val="bottom"/>
            <w:hideMark/>
          </w:tcPr>
          <w:p w14:paraId="6CA72544"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0,0</w:t>
            </w:r>
          </w:p>
        </w:tc>
      </w:tr>
      <w:tr w:rsidR="00D55E09" w:rsidRPr="00FB1851" w14:paraId="2174D607"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40F959E"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Echipament de comunica</w:t>
            </w:r>
            <w:r w:rsidR="0069374B" w:rsidRPr="00FB1851">
              <w:rPr>
                <w:rFonts w:asciiTheme="majorHAnsi" w:eastAsia="Times New Roman" w:hAnsiTheme="majorHAnsi" w:cstheme="majorHAnsi"/>
                <w:color w:val="000000"/>
                <w:sz w:val="16"/>
                <w:szCs w:val="16"/>
                <w:lang w:val="ro-MD"/>
              </w:rPr>
              <w:t>ț</w:t>
            </w:r>
            <w:r w:rsidRPr="00FB1851">
              <w:rPr>
                <w:rFonts w:asciiTheme="majorHAnsi" w:eastAsia="Times New Roman" w:hAnsiTheme="majorHAnsi" w:cstheme="majorHAnsi"/>
                <w:color w:val="000000"/>
                <w:sz w:val="16"/>
                <w:szCs w:val="16"/>
                <w:lang w:val="ro-MD"/>
              </w:rPr>
              <w:t xml:space="preserve">ii </w:t>
            </w:r>
            <w:r w:rsidR="0069374B" w:rsidRPr="00FB1851">
              <w:rPr>
                <w:rFonts w:asciiTheme="majorHAnsi" w:eastAsia="Times New Roman" w:hAnsiTheme="majorHAnsi" w:cstheme="majorHAnsi"/>
                <w:color w:val="000000"/>
                <w:sz w:val="16"/>
                <w:szCs w:val="16"/>
                <w:lang w:val="ro-MD"/>
              </w:rPr>
              <w:t>ș</w:t>
            </w:r>
            <w:r w:rsidRPr="00FB1851">
              <w:rPr>
                <w:rFonts w:asciiTheme="majorHAnsi" w:eastAsia="Times New Roman" w:hAnsiTheme="majorHAnsi" w:cstheme="majorHAnsi"/>
                <w:color w:val="000000"/>
                <w:sz w:val="16"/>
                <w:szCs w:val="16"/>
                <w:lang w:val="ro-MD"/>
              </w:rPr>
              <w:t>i telecomunica</w:t>
            </w:r>
            <w:r w:rsidR="0069374B" w:rsidRPr="00FB1851">
              <w:rPr>
                <w:rFonts w:asciiTheme="majorHAnsi" w:eastAsia="Times New Roman" w:hAnsiTheme="majorHAnsi" w:cstheme="majorHAnsi"/>
                <w:color w:val="000000"/>
                <w:sz w:val="16"/>
                <w:szCs w:val="16"/>
                <w:lang w:val="ro-MD"/>
              </w:rPr>
              <w:t>ț</w:t>
            </w:r>
            <w:r w:rsidRPr="00FB1851">
              <w:rPr>
                <w:rFonts w:asciiTheme="majorHAnsi" w:eastAsia="Times New Roman" w:hAnsiTheme="majorHAnsi" w:cstheme="majorHAnsi"/>
                <w:color w:val="000000"/>
                <w:sz w:val="16"/>
                <w:szCs w:val="16"/>
                <w:lang w:val="ro-MD"/>
              </w:rPr>
              <w:t>ii</w:t>
            </w:r>
          </w:p>
        </w:tc>
        <w:tc>
          <w:tcPr>
            <w:tcW w:w="1211" w:type="dxa"/>
            <w:tcBorders>
              <w:top w:val="nil"/>
              <w:left w:val="nil"/>
              <w:bottom w:val="single" w:sz="4" w:space="0" w:color="auto"/>
              <w:right w:val="single" w:sz="4" w:space="0" w:color="auto"/>
            </w:tcBorders>
            <w:shd w:val="clear" w:color="auto" w:fill="auto"/>
            <w:noWrap/>
            <w:vAlign w:val="bottom"/>
            <w:hideMark/>
          </w:tcPr>
          <w:p w14:paraId="54EB8E16"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5,4</w:t>
            </w:r>
          </w:p>
        </w:tc>
        <w:tc>
          <w:tcPr>
            <w:tcW w:w="1211" w:type="dxa"/>
            <w:tcBorders>
              <w:top w:val="nil"/>
              <w:left w:val="nil"/>
              <w:bottom w:val="single" w:sz="4" w:space="0" w:color="auto"/>
              <w:right w:val="single" w:sz="4" w:space="0" w:color="auto"/>
            </w:tcBorders>
            <w:shd w:val="clear" w:color="auto" w:fill="auto"/>
            <w:noWrap/>
            <w:vAlign w:val="bottom"/>
            <w:hideMark/>
          </w:tcPr>
          <w:p w14:paraId="6BB6CAF7"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3,3</w:t>
            </w:r>
          </w:p>
        </w:tc>
        <w:tc>
          <w:tcPr>
            <w:tcW w:w="1265" w:type="dxa"/>
            <w:tcBorders>
              <w:top w:val="nil"/>
              <w:left w:val="nil"/>
              <w:bottom w:val="single" w:sz="4" w:space="0" w:color="auto"/>
              <w:right w:val="single" w:sz="4" w:space="0" w:color="auto"/>
            </w:tcBorders>
            <w:shd w:val="clear" w:color="auto" w:fill="auto"/>
            <w:noWrap/>
            <w:vAlign w:val="bottom"/>
            <w:hideMark/>
          </w:tcPr>
          <w:p w14:paraId="5E9551ED"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2,1</w:t>
            </w:r>
          </w:p>
        </w:tc>
      </w:tr>
      <w:tr w:rsidR="00D55E09" w:rsidRPr="00FB1851" w14:paraId="55C2C358"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A4397B9"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Alte achizi</w:t>
            </w:r>
            <w:r w:rsidR="0069374B" w:rsidRPr="00FB1851">
              <w:rPr>
                <w:rFonts w:asciiTheme="majorHAnsi" w:eastAsia="Times New Roman" w:hAnsiTheme="majorHAnsi" w:cstheme="majorHAnsi"/>
                <w:color w:val="000000"/>
                <w:sz w:val="16"/>
                <w:szCs w:val="16"/>
                <w:lang w:val="ro-MD"/>
              </w:rPr>
              <w:t>ț</w:t>
            </w:r>
            <w:r w:rsidRPr="00FB1851">
              <w:rPr>
                <w:rFonts w:asciiTheme="majorHAnsi" w:eastAsia="Times New Roman" w:hAnsiTheme="majorHAnsi" w:cstheme="majorHAnsi"/>
                <w:color w:val="000000"/>
                <w:sz w:val="16"/>
                <w:szCs w:val="16"/>
                <w:lang w:val="ro-MD"/>
              </w:rPr>
              <w:t xml:space="preserve">ii </w:t>
            </w:r>
          </w:p>
        </w:tc>
        <w:tc>
          <w:tcPr>
            <w:tcW w:w="1211" w:type="dxa"/>
            <w:tcBorders>
              <w:top w:val="nil"/>
              <w:left w:val="nil"/>
              <w:bottom w:val="single" w:sz="4" w:space="0" w:color="auto"/>
              <w:right w:val="single" w:sz="4" w:space="0" w:color="auto"/>
            </w:tcBorders>
            <w:shd w:val="clear" w:color="auto" w:fill="auto"/>
            <w:noWrap/>
            <w:vAlign w:val="bottom"/>
            <w:hideMark/>
          </w:tcPr>
          <w:p w14:paraId="2E204B22" w14:textId="77777777" w:rsidR="00D55E09" w:rsidRPr="00FB1851" w:rsidRDefault="008C3818"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431,6</w:t>
            </w:r>
          </w:p>
        </w:tc>
        <w:tc>
          <w:tcPr>
            <w:tcW w:w="1211" w:type="dxa"/>
            <w:tcBorders>
              <w:top w:val="nil"/>
              <w:left w:val="nil"/>
              <w:bottom w:val="single" w:sz="4" w:space="0" w:color="auto"/>
              <w:right w:val="single" w:sz="4" w:space="0" w:color="auto"/>
            </w:tcBorders>
            <w:shd w:val="clear" w:color="auto" w:fill="auto"/>
            <w:noWrap/>
            <w:vAlign w:val="bottom"/>
            <w:hideMark/>
          </w:tcPr>
          <w:p w14:paraId="27EF104D"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150,0</w:t>
            </w:r>
          </w:p>
        </w:tc>
        <w:tc>
          <w:tcPr>
            <w:tcW w:w="1265" w:type="dxa"/>
            <w:tcBorders>
              <w:top w:val="nil"/>
              <w:left w:val="nil"/>
              <w:bottom w:val="single" w:sz="4" w:space="0" w:color="auto"/>
              <w:right w:val="single" w:sz="4" w:space="0" w:color="auto"/>
            </w:tcBorders>
            <w:shd w:val="clear" w:color="auto" w:fill="auto"/>
            <w:noWrap/>
            <w:vAlign w:val="bottom"/>
            <w:hideMark/>
          </w:tcPr>
          <w:p w14:paraId="19510F40"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281,6</w:t>
            </w:r>
          </w:p>
        </w:tc>
      </w:tr>
      <w:tr w:rsidR="00D55E09" w:rsidRPr="00FB1851" w14:paraId="2A5EAC0E"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BCCF08B" w14:textId="77777777" w:rsidR="00D55E09" w:rsidRPr="00FB1851" w:rsidRDefault="00D55E09"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Premieri personalului medical</w:t>
            </w:r>
          </w:p>
        </w:tc>
        <w:tc>
          <w:tcPr>
            <w:tcW w:w="1211" w:type="dxa"/>
            <w:tcBorders>
              <w:top w:val="nil"/>
              <w:left w:val="nil"/>
              <w:bottom w:val="single" w:sz="4" w:space="0" w:color="auto"/>
              <w:right w:val="single" w:sz="4" w:space="0" w:color="auto"/>
            </w:tcBorders>
            <w:shd w:val="clear" w:color="auto" w:fill="auto"/>
            <w:noWrap/>
            <w:vAlign w:val="bottom"/>
            <w:hideMark/>
          </w:tcPr>
          <w:p w14:paraId="7034DBB6"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1028,0</w:t>
            </w:r>
          </w:p>
        </w:tc>
        <w:tc>
          <w:tcPr>
            <w:tcW w:w="1211" w:type="dxa"/>
            <w:tcBorders>
              <w:top w:val="nil"/>
              <w:left w:val="nil"/>
              <w:bottom w:val="single" w:sz="4" w:space="0" w:color="auto"/>
              <w:right w:val="single" w:sz="4" w:space="0" w:color="auto"/>
            </w:tcBorders>
            <w:shd w:val="clear" w:color="auto" w:fill="auto"/>
            <w:noWrap/>
            <w:vAlign w:val="bottom"/>
            <w:hideMark/>
          </w:tcPr>
          <w:p w14:paraId="36DDBF71"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1028,0</w:t>
            </w:r>
          </w:p>
        </w:tc>
        <w:tc>
          <w:tcPr>
            <w:tcW w:w="1265" w:type="dxa"/>
            <w:tcBorders>
              <w:top w:val="nil"/>
              <w:left w:val="nil"/>
              <w:bottom w:val="single" w:sz="4" w:space="0" w:color="auto"/>
              <w:right w:val="single" w:sz="4" w:space="0" w:color="auto"/>
            </w:tcBorders>
            <w:shd w:val="clear" w:color="auto" w:fill="auto"/>
            <w:noWrap/>
            <w:vAlign w:val="bottom"/>
            <w:hideMark/>
          </w:tcPr>
          <w:p w14:paraId="7406224C"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0,0</w:t>
            </w:r>
          </w:p>
        </w:tc>
      </w:tr>
      <w:tr w:rsidR="00D55E09" w:rsidRPr="00FB1851" w14:paraId="046C2C7C"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CFB650A" w14:textId="544CEF04" w:rsidR="00D55E09" w:rsidRPr="00FB1851" w:rsidRDefault="00FA5AC0"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R</w:t>
            </w:r>
            <w:r w:rsidR="00D55E09" w:rsidRPr="00FB1851">
              <w:rPr>
                <w:rFonts w:asciiTheme="majorHAnsi" w:eastAsia="Times New Roman" w:hAnsiTheme="majorHAnsi" w:cstheme="majorHAnsi"/>
                <w:color w:val="000000"/>
                <w:sz w:val="16"/>
                <w:szCs w:val="16"/>
                <w:lang w:val="ro-MD"/>
              </w:rPr>
              <w:t>epara</w:t>
            </w:r>
            <w:r w:rsidR="0069374B" w:rsidRPr="00FB1851">
              <w:rPr>
                <w:rFonts w:asciiTheme="majorHAnsi" w:eastAsia="Times New Roman" w:hAnsiTheme="majorHAnsi" w:cstheme="majorHAnsi"/>
                <w:color w:val="000000"/>
                <w:sz w:val="16"/>
                <w:szCs w:val="16"/>
                <w:lang w:val="ro-MD"/>
              </w:rPr>
              <w:t>ț</w:t>
            </w:r>
            <w:r w:rsidR="00D55E09" w:rsidRPr="00FB1851">
              <w:rPr>
                <w:rFonts w:asciiTheme="majorHAnsi" w:eastAsia="Times New Roman" w:hAnsiTheme="majorHAnsi" w:cstheme="majorHAnsi"/>
                <w:color w:val="000000"/>
                <w:sz w:val="16"/>
                <w:szCs w:val="16"/>
                <w:lang w:val="ro-MD"/>
              </w:rPr>
              <w:t>ia sec</w:t>
            </w:r>
            <w:r w:rsidR="0069374B" w:rsidRPr="00FB1851">
              <w:rPr>
                <w:rFonts w:asciiTheme="majorHAnsi" w:eastAsia="Times New Roman" w:hAnsiTheme="majorHAnsi" w:cstheme="majorHAnsi"/>
                <w:color w:val="000000"/>
                <w:sz w:val="16"/>
                <w:szCs w:val="16"/>
                <w:lang w:val="ro-MD"/>
              </w:rPr>
              <w:t>ț</w:t>
            </w:r>
            <w:r w:rsidR="00D55E09" w:rsidRPr="00FB1851">
              <w:rPr>
                <w:rFonts w:asciiTheme="majorHAnsi" w:eastAsia="Times New Roman" w:hAnsiTheme="majorHAnsi" w:cstheme="majorHAnsi"/>
                <w:color w:val="000000"/>
                <w:sz w:val="16"/>
                <w:szCs w:val="16"/>
                <w:lang w:val="ro-MD"/>
              </w:rPr>
              <w:t>iei infec</w:t>
            </w:r>
            <w:r w:rsidR="0069374B" w:rsidRPr="00FB1851">
              <w:rPr>
                <w:rFonts w:asciiTheme="majorHAnsi" w:eastAsia="Times New Roman" w:hAnsiTheme="majorHAnsi" w:cstheme="majorHAnsi"/>
                <w:color w:val="000000"/>
                <w:sz w:val="16"/>
                <w:szCs w:val="16"/>
                <w:lang w:val="ro-MD"/>
              </w:rPr>
              <w:t>ț</w:t>
            </w:r>
            <w:r w:rsidR="00D55E09" w:rsidRPr="00FB1851">
              <w:rPr>
                <w:rFonts w:asciiTheme="majorHAnsi" w:eastAsia="Times New Roman" w:hAnsiTheme="majorHAnsi" w:cstheme="majorHAnsi"/>
                <w:color w:val="000000"/>
                <w:sz w:val="16"/>
                <w:szCs w:val="16"/>
                <w:lang w:val="ro-MD"/>
              </w:rPr>
              <w:t>ioase SR Cead</w:t>
            </w:r>
            <w:r w:rsidRPr="00FB1851">
              <w:rPr>
                <w:rFonts w:asciiTheme="majorHAnsi" w:eastAsia="Times New Roman" w:hAnsiTheme="majorHAnsi" w:cstheme="majorHAnsi"/>
                <w:color w:val="000000"/>
                <w:sz w:val="16"/>
                <w:szCs w:val="16"/>
                <w:lang w:val="ro-MD"/>
              </w:rPr>
              <w:t>â</w:t>
            </w:r>
            <w:r w:rsidR="00D55E09" w:rsidRPr="00FB1851">
              <w:rPr>
                <w:rFonts w:asciiTheme="majorHAnsi" w:eastAsia="Times New Roman" w:hAnsiTheme="majorHAnsi" w:cstheme="majorHAnsi"/>
                <w:color w:val="000000"/>
                <w:sz w:val="16"/>
                <w:szCs w:val="16"/>
                <w:lang w:val="ro-MD"/>
              </w:rPr>
              <w:t>r-Lunga</w:t>
            </w:r>
          </w:p>
        </w:tc>
        <w:tc>
          <w:tcPr>
            <w:tcW w:w="1211" w:type="dxa"/>
            <w:tcBorders>
              <w:top w:val="nil"/>
              <w:left w:val="nil"/>
              <w:bottom w:val="single" w:sz="4" w:space="0" w:color="auto"/>
              <w:right w:val="single" w:sz="4" w:space="0" w:color="auto"/>
            </w:tcBorders>
            <w:shd w:val="clear" w:color="auto" w:fill="auto"/>
            <w:noWrap/>
            <w:vAlign w:val="bottom"/>
            <w:hideMark/>
          </w:tcPr>
          <w:p w14:paraId="235FDCD8"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2980</w:t>
            </w:r>
            <w:r w:rsidR="00D55E09" w:rsidRPr="00FB1851">
              <w:rPr>
                <w:rFonts w:asciiTheme="majorHAnsi" w:hAnsiTheme="majorHAnsi" w:cstheme="majorHAnsi"/>
                <w:color w:val="000000"/>
                <w:sz w:val="16"/>
                <w:szCs w:val="16"/>
                <w:lang w:val="ro-MD"/>
              </w:rPr>
              <w:t>,0</w:t>
            </w:r>
          </w:p>
        </w:tc>
        <w:tc>
          <w:tcPr>
            <w:tcW w:w="1211" w:type="dxa"/>
            <w:tcBorders>
              <w:top w:val="nil"/>
              <w:left w:val="nil"/>
              <w:bottom w:val="single" w:sz="4" w:space="0" w:color="auto"/>
              <w:right w:val="single" w:sz="4" w:space="0" w:color="auto"/>
            </w:tcBorders>
            <w:shd w:val="clear" w:color="auto" w:fill="auto"/>
            <w:noWrap/>
            <w:vAlign w:val="bottom"/>
            <w:hideMark/>
          </w:tcPr>
          <w:p w14:paraId="2FA80464"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2963,4</w:t>
            </w:r>
          </w:p>
        </w:tc>
        <w:tc>
          <w:tcPr>
            <w:tcW w:w="1265" w:type="dxa"/>
            <w:tcBorders>
              <w:top w:val="nil"/>
              <w:left w:val="nil"/>
              <w:bottom w:val="single" w:sz="4" w:space="0" w:color="auto"/>
              <w:right w:val="single" w:sz="4" w:space="0" w:color="auto"/>
            </w:tcBorders>
            <w:shd w:val="clear" w:color="auto" w:fill="auto"/>
            <w:noWrap/>
            <w:vAlign w:val="bottom"/>
            <w:hideMark/>
          </w:tcPr>
          <w:p w14:paraId="5BBD3376" w14:textId="77777777" w:rsidR="00D55E09" w:rsidRPr="00FB1851" w:rsidRDefault="00D55E09"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1</w:t>
            </w:r>
            <w:r w:rsidR="00047822" w:rsidRPr="00FB1851">
              <w:rPr>
                <w:rFonts w:asciiTheme="majorHAnsi" w:hAnsiTheme="majorHAnsi" w:cstheme="majorHAnsi"/>
                <w:color w:val="000000"/>
                <w:sz w:val="16"/>
                <w:szCs w:val="16"/>
                <w:lang w:val="ro-MD"/>
              </w:rPr>
              <w:t>6</w:t>
            </w:r>
            <w:r w:rsidRPr="00FB1851">
              <w:rPr>
                <w:rFonts w:asciiTheme="majorHAnsi" w:hAnsiTheme="majorHAnsi" w:cstheme="majorHAnsi"/>
                <w:color w:val="000000"/>
                <w:sz w:val="16"/>
                <w:szCs w:val="16"/>
                <w:lang w:val="ro-MD"/>
              </w:rPr>
              <w:t>,6</w:t>
            </w:r>
          </w:p>
        </w:tc>
      </w:tr>
      <w:tr w:rsidR="00D55E09" w:rsidRPr="00FB1851" w14:paraId="0C59C7A6"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4F332C4" w14:textId="267A4E63" w:rsidR="00D55E09" w:rsidRPr="00FB1851" w:rsidRDefault="00FA5AC0"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R</w:t>
            </w:r>
            <w:r w:rsidR="00D55E09" w:rsidRPr="00FB1851">
              <w:rPr>
                <w:rFonts w:asciiTheme="majorHAnsi" w:eastAsia="Times New Roman" w:hAnsiTheme="majorHAnsi" w:cstheme="majorHAnsi"/>
                <w:color w:val="000000"/>
                <w:sz w:val="16"/>
                <w:szCs w:val="16"/>
                <w:lang w:val="ro-MD"/>
              </w:rPr>
              <w:t>epara</w:t>
            </w:r>
            <w:r w:rsidR="0069374B" w:rsidRPr="00FB1851">
              <w:rPr>
                <w:rFonts w:asciiTheme="majorHAnsi" w:eastAsia="Times New Roman" w:hAnsiTheme="majorHAnsi" w:cstheme="majorHAnsi"/>
                <w:color w:val="000000"/>
                <w:sz w:val="16"/>
                <w:szCs w:val="16"/>
                <w:lang w:val="ro-MD"/>
              </w:rPr>
              <w:t>ț</w:t>
            </w:r>
            <w:r w:rsidR="00D55E09" w:rsidRPr="00FB1851">
              <w:rPr>
                <w:rFonts w:asciiTheme="majorHAnsi" w:eastAsia="Times New Roman" w:hAnsiTheme="majorHAnsi" w:cstheme="majorHAnsi"/>
                <w:color w:val="000000"/>
                <w:sz w:val="16"/>
                <w:szCs w:val="16"/>
                <w:lang w:val="ro-MD"/>
              </w:rPr>
              <w:t>ia sec</w:t>
            </w:r>
            <w:r w:rsidR="0069374B" w:rsidRPr="00FB1851">
              <w:rPr>
                <w:rFonts w:asciiTheme="majorHAnsi" w:eastAsia="Times New Roman" w:hAnsiTheme="majorHAnsi" w:cstheme="majorHAnsi"/>
                <w:color w:val="000000"/>
                <w:sz w:val="16"/>
                <w:szCs w:val="16"/>
                <w:lang w:val="ro-MD"/>
              </w:rPr>
              <w:t>ț</w:t>
            </w:r>
            <w:r w:rsidR="00D55E09" w:rsidRPr="00FB1851">
              <w:rPr>
                <w:rFonts w:asciiTheme="majorHAnsi" w:eastAsia="Times New Roman" w:hAnsiTheme="majorHAnsi" w:cstheme="majorHAnsi"/>
                <w:color w:val="000000"/>
                <w:sz w:val="16"/>
                <w:szCs w:val="16"/>
                <w:lang w:val="ro-MD"/>
              </w:rPr>
              <w:t>iei SR Comrat</w:t>
            </w:r>
          </w:p>
        </w:tc>
        <w:tc>
          <w:tcPr>
            <w:tcW w:w="1211" w:type="dxa"/>
            <w:tcBorders>
              <w:top w:val="nil"/>
              <w:left w:val="nil"/>
              <w:bottom w:val="single" w:sz="4" w:space="0" w:color="auto"/>
              <w:right w:val="single" w:sz="4" w:space="0" w:color="auto"/>
            </w:tcBorders>
            <w:shd w:val="clear" w:color="auto" w:fill="auto"/>
            <w:noWrap/>
            <w:vAlign w:val="bottom"/>
            <w:hideMark/>
          </w:tcPr>
          <w:p w14:paraId="40EF5901"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4498,4</w:t>
            </w:r>
          </w:p>
        </w:tc>
        <w:tc>
          <w:tcPr>
            <w:tcW w:w="1211" w:type="dxa"/>
            <w:tcBorders>
              <w:top w:val="nil"/>
              <w:left w:val="nil"/>
              <w:bottom w:val="single" w:sz="4" w:space="0" w:color="auto"/>
              <w:right w:val="single" w:sz="4" w:space="0" w:color="auto"/>
            </w:tcBorders>
            <w:shd w:val="clear" w:color="auto" w:fill="auto"/>
            <w:noWrap/>
            <w:vAlign w:val="bottom"/>
            <w:hideMark/>
          </w:tcPr>
          <w:p w14:paraId="39364000"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275,5</w:t>
            </w:r>
          </w:p>
        </w:tc>
        <w:tc>
          <w:tcPr>
            <w:tcW w:w="1265" w:type="dxa"/>
            <w:tcBorders>
              <w:top w:val="nil"/>
              <w:left w:val="nil"/>
              <w:bottom w:val="single" w:sz="4" w:space="0" w:color="auto"/>
              <w:right w:val="single" w:sz="4" w:space="0" w:color="auto"/>
            </w:tcBorders>
            <w:shd w:val="clear" w:color="auto" w:fill="auto"/>
            <w:noWrap/>
            <w:vAlign w:val="bottom"/>
            <w:hideMark/>
          </w:tcPr>
          <w:p w14:paraId="71420229"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4222,9</w:t>
            </w:r>
          </w:p>
        </w:tc>
      </w:tr>
      <w:tr w:rsidR="00D55E09" w:rsidRPr="00FB1851" w14:paraId="2D2D6FD3"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B4CDC61" w14:textId="3D1DEEF4" w:rsidR="00D55E09" w:rsidRPr="00FB1851" w:rsidRDefault="00FA5AC0" w:rsidP="00767ED8">
            <w:pPr>
              <w:spacing w:after="0" w:line="240" w:lineRule="auto"/>
              <w:rPr>
                <w:rFonts w:asciiTheme="majorHAnsi" w:eastAsia="Times New Roman" w:hAnsiTheme="majorHAnsi" w:cstheme="majorHAnsi"/>
                <w:color w:val="000000"/>
                <w:sz w:val="16"/>
                <w:szCs w:val="16"/>
                <w:lang w:val="ro-MD"/>
              </w:rPr>
            </w:pPr>
            <w:r w:rsidRPr="00FB1851">
              <w:rPr>
                <w:rFonts w:asciiTheme="majorHAnsi" w:eastAsia="Times New Roman" w:hAnsiTheme="majorHAnsi" w:cstheme="majorHAnsi"/>
                <w:color w:val="000000"/>
                <w:sz w:val="16"/>
                <w:szCs w:val="16"/>
                <w:lang w:val="ro-MD"/>
              </w:rPr>
              <w:t>R</w:t>
            </w:r>
            <w:r w:rsidR="00D55E09" w:rsidRPr="00FB1851">
              <w:rPr>
                <w:rFonts w:asciiTheme="majorHAnsi" w:eastAsia="Times New Roman" w:hAnsiTheme="majorHAnsi" w:cstheme="majorHAnsi"/>
                <w:color w:val="000000"/>
                <w:sz w:val="16"/>
                <w:szCs w:val="16"/>
                <w:lang w:val="ro-MD"/>
              </w:rPr>
              <w:t>epara</w:t>
            </w:r>
            <w:r w:rsidR="0069374B" w:rsidRPr="00FB1851">
              <w:rPr>
                <w:rFonts w:asciiTheme="majorHAnsi" w:eastAsia="Times New Roman" w:hAnsiTheme="majorHAnsi" w:cstheme="majorHAnsi"/>
                <w:color w:val="000000"/>
                <w:sz w:val="16"/>
                <w:szCs w:val="16"/>
                <w:lang w:val="ro-MD"/>
              </w:rPr>
              <w:t>ț</w:t>
            </w:r>
            <w:r w:rsidR="00D55E09" w:rsidRPr="00FB1851">
              <w:rPr>
                <w:rFonts w:asciiTheme="majorHAnsi" w:eastAsia="Times New Roman" w:hAnsiTheme="majorHAnsi" w:cstheme="majorHAnsi"/>
                <w:color w:val="000000"/>
                <w:sz w:val="16"/>
                <w:szCs w:val="16"/>
                <w:lang w:val="ro-MD"/>
              </w:rPr>
              <w:t>ia sec</w:t>
            </w:r>
            <w:r w:rsidR="0069374B" w:rsidRPr="00FB1851">
              <w:rPr>
                <w:rFonts w:asciiTheme="majorHAnsi" w:eastAsia="Times New Roman" w:hAnsiTheme="majorHAnsi" w:cstheme="majorHAnsi"/>
                <w:color w:val="000000"/>
                <w:sz w:val="16"/>
                <w:szCs w:val="16"/>
                <w:lang w:val="ro-MD"/>
              </w:rPr>
              <w:t>ț</w:t>
            </w:r>
            <w:r w:rsidR="00D55E09" w:rsidRPr="00FB1851">
              <w:rPr>
                <w:rFonts w:asciiTheme="majorHAnsi" w:eastAsia="Times New Roman" w:hAnsiTheme="majorHAnsi" w:cstheme="majorHAnsi"/>
                <w:color w:val="000000"/>
                <w:sz w:val="16"/>
                <w:szCs w:val="16"/>
                <w:lang w:val="ro-MD"/>
              </w:rPr>
              <w:t>iei SR Vulcăne</w:t>
            </w:r>
            <w:r w:rsidR="0069374B" w:rsidRPr="00FB1851">
              <w:rPr>
                <w:rFonts w:asciiTheme="majorHAnsi" w:eastAsia="Times New Roman" w:hAnsiTheme="majorHAnsi" w:cstheme="majorHAnsi"/>
                <w:color w:val="000000"/>
                <w:sz w:val="16"/>
                <w:szCs w:val="16"/>
                <w:lang w:val="ro-MD"/>
              </w:rPr>
              <w:t>ș</w:t>
            </w:r>
            <w:r w:rsidR="00D55E09" w:rsidRPr="00FB1851">
              <w:rPr>
                <w:rFonts w:asciiTheme="majorHAnsi" w:eastAsia="Times New Roman" w:hAnsiTheme="majorHAnsi" w:cstheme="majorHAnsi"/>
                <w:color w:val="000000"/>
                <w:sz w:val="16"/>
                <w:szCs w:val="16"/>
                <w:lang w:val="ro-MD"/>
              </w:rPr>
              <w:t>ti</w:t>
            </w:r>
          </w:p>
        </w:tc>
        <w:tc>
          <w:tcPr>
            <w:tcW w:w="1211" w:type="dxa"/>
            <w:tcBorders>
              <w:top w:val="nil"/>
              <w:left w:val="nil"/>
              <w:bottom w:val="single" w:sz="4" w:space="0" w:color="auto"/>
              <w:right w:val="single" w:sz="4" w:space="0" w:color="auto"/>
            </w:tcBorders>
            <w:shd w:val="clear" w:color="auto" w:fill="auto"/>
            <w:noWrap/>
            <w:vAlign w:val="bottom"/>
            <w:hideMark/>
          </w:tcPr>
          <w:p w14:paraId="7EAF7477"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7600,0</w:t>
            </w:r>
          </w:p>
        </w:tc>
        <w:tc>
          <w:tcPr>
            <w:tcW w:w="1211" w:type="dxa"/>
            <w:tcBorders>
              <w:top w:val="nil"/>
              <w:left w:val="nil"/>
              <w:bottom w:val="single" w:sz="4" w:space="0" w:color="auto"/>
              <w:right w:val="single" w:sz="4" w:space="0" w:color="auto"/>
            </w:tcBorders>
            <w:shd w:val="clear" w:color="auto" w:fill="auto"/>
            <w:noWrap/>
            <w:vAlign w:val="bottom"/>
            <w:hideMark/>
          </w:tcPr>
          <w:p w14:paraId="2C13E38E"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0</w:t>
            </w:r>
          </w:p>
        </w:tc>
        <w:tc>
          <w:tcPr>
            <w:tcW w:w="1265" w:type="dxa"/>
            <w:tcBorders>
              <w:top w:val="nil"/>
              <w:left w:val="nil"/>
              <w:bottom w:val="single" w:sz="4" w:space="0" w:color="auto"/>
              <w:right w:val="single" w:sz="4" w:space="0" w:color="auto"/>
            </w:tcBorders>
            <w:shd w:val="clear" w:color="auto" w:fill="auto"/>
            <w:noWrap/>
            <w:vAlign w:val="bottom"/>
            <w:hideMark/>
          </w:tcPr>
          <w:p w14:paraId="120D8ED6" w14:textId="77777777" w:rsidR="00D55E09" w:rsidRPr="00FB1851" w:rsidRDefault="00047822" w:rsidP="00767ED8">
            <w:pPr>
              <w:spacing w:after="0" w:line="240" w:lineRule="auto"/>
              <w:jc w:val="right"/>
              <w:rPr>
                <w:rFonts w:asciiTheme="majorHAnsi" w:eastAsia="Times New Roman" w:hAnsiTheme="majorHAnsi" w:cstheme="majorHAnsi"/>
                <w:color w:val="000000"/>
                <w:sz w:val="16"/>
                <w:szCs w:val="16"/>
                <w:lang w:val="ro-MD"/>
              </w:rPr>
            </w:pPr>
            <w:r w:rsidRPr="00FB1851">
              <w:rPr>
                <w:rFonts w:asciiTheme="majorHAnsi" w:hAnsiTheme="majorHAnsi" w:cstheme="majorHAnsi"/>
                <w:color w:val="000000"/>
                <w:sz w:val="16"/>
                <w:szCs w:val="16"/>
                <w:lang w:val="ro-MD"/>
              </w:rPr>
              <w:t>7600,0</w:t>
            </w:r>
          </w:p>
        </w:tc>
      </w:tr>
      <w:tr w:rsidR="00D55E09" w:rsidRPr="00FB1851" w14:paraId="7D40671E" w14:textId="77777777" w:rsidTr="00FB1851">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327C173" w14:textId="77777777" w:rsidR="00D55E09" w:rsidRPr="00FB1851" w:rsidRDefault="00D55E09" w:rsidP="00767ED8">
            <w:pPr>
              <w:spacing w:after="0" w:line="240" w:lineRule="auto"/>
              <w:rPr>
                <w:rFonts w:asciiTheme="majorHAnsi" w:eastAsia="Times New Roman" w:hAnsiTheme="majorHAnsi" w:cstheme="majorHAnsi"/>
                <w:b/>
                <w:bCs/>
                <w:color w:val="000000"/>
                <w:sz w:val="16"/>
                <w:szCs w:val="16"/>
                <w:lang w:val="ro-MD"/>
              </w:rPr>
            </w:pPr>
            <w:r w:rsidRPr="00FB1851">
              <w:rPr>
                <w:rFonts w:asciiTheme="majorHAnsi" w:eastAsia="Times New Roman" w:hAnsiTheme="majorHAnsi" w:cstheme="majorHAnsi"/>
                <w:b/>
                <w:bCs/>
                <w:color w:val="000000"/>
                <w:sz w:val="16"/>
                <w:szCs w:val="16"/>
                <w:lang w:val="ro-MD"/>
              </w:rPr>
              <w:t>TOTAL</w:t>
            </w:r>
          </w:p>
        </w:tc>
        <w:tc>
          <w:tcPr>
            <w:tcW w:w="1211" w:type="dxa"/>
            <w:tcBorders>
              <w:top w:val="nil"/>
              <w:left w:val="nil"/>
              <w:bottom w:val="single" w:sz="4" w:space="0" w:color="auto"/>
              <w:right w:val="single" w:sz="4" w:space="0" w:color="auto"/>
            </w:tcBorders>
            <w:shd w:val="clear" w:color="auto" w:fill="auto"/>
            <w:noWrap/>
            <w:vAlign w:val="bottom"/>
            <w:hideMark/>
          </w:tcPr>
          <w:p w14:paraId="673543C6" w14:textId="77777777" w:rsidR="00D55E09" w:rsidRPr="00FB1851" w:rsidRDefault="00D55E09" w:rsidP="00767ED8">
            <w:pPr>
              <w:spacing w:after="0" w:line="240" w:lineRule="auto"/>
              <w:jc w:val="right"/>
              <w:rPr>
                <w:rFonts w:asciiTheme="majorHAnsi" w:eastAsia="Times New Roman" w:hAnsiTheme="majorHAnsi" w:cstheme="majorHAnsi"/>
                <w:b/>
                <w:bCs/>
                <w:color w:val="000000"/>
                <w:sz w:val="16"/>
                <w:szCs w:val="16"/>
                <w:lang w:val="ro-MD"/>
              </w:rPr>
            </w:pPr>
            <w:r w:rsidRPr="00FB1851">
              <w:rPr>
                <w:rFonts w:asciiTheme="majorHAnsi" w:hAnsiTheme="majorHAnsi" w:cstheme="majorHAnsi"/>
                <w:b/>
                <w:bCs/>
                <w:color w:val="000000"/>
                <w:sz w:val="16"/>
                <w:szCs w:val="16"/>
                <w:lang w:val="ro-MD"/>
              </w:rPr>
              <w:t>22990,4</w:t>
            </w:r>
          </w:p>
        </w:tc>
        <w:tc>
          <w:tcPr>
            <w:tcW w:w="1211" w:type="dxa"/>
            <w:tcBorders>
              <w:top w:val="nil"/>
              <w:left w:val="nil"/>
              <w:bottom w:val="single" w:sz="4" w:space="0" w:color="auto"/>
              <w:right w:val="single" w:sz="4" w:space="0" w:color="auto"/>
            </w:tcBorders>
            <w:shd w:val="clear" w:color="auto" w:fill="auto"/>
            <w:noWrap/>
            <w:vAlign w:val="bottom"/>
            <w:hideMark/>
          </w:tcPr>
          <w:p w14:paraId="0175EB75" w14:textId="77777777" w:rsidR="00D55E09" w:rsidRPr="00FB1851" w:rsidRDefault="00D55E09" w:rsidP="00767ED8">
            <w:pPr>
              <w:spacing w:after="0" w:line="240" w:lineRule="auto"/>
              <w:jc w:val="right"/>
              <w:rPr>
                <w:rFonts w:asciiTheme="majorHAnsi" w:eastAsia="Times New Roman" w:hAnsiTheme="majorHAnsi" w:cstheme="majorHAnsi"/>
                <w:b/>
                <w:bCs/>
                <w:color w:val="000000"/>
                <w:sz w:val="16"/>
                <w:szCs w:val="16"/>
                <w:lang w:val="ro-MD"/>
              </w:rPr>
            </w:pPr>
            <w:r w:rsidRPr="00FB1851">
              <w:rPr>
                <w:rFonts w:asciiTheme="majorHAnsi" w:hAnsiTheme="majorHAnsi" w:cstheme="majorHAnsi"/>
                <w:b/>
                <w:bCs/>
                <w:color w:val="000000"/>
                <w:sz w:val="16"/>
                <w:szCs w:val="16"/>
                <w:lang w:val="ro-MD"/>
              </w:rPr>
              <w:t>10333,4</w:t>
            </w:r>
          </w:p>
        </w:tc>
        <w:tc>
          <w:tcPr>
            <w:tcW w:w="1265" w:type="dxa"/>
            <w:tcBorders>
              <w:top w:val="nil"/>
              <w:left w:val="nil"/>
              <w:bottom w:val="single" w:sz="4" w:space="0" w:color="auto"/>
              <w:right w:val="single" w:sz="4" w:space="0" w:color="auto"/>
            </w:tcBorders>
            <w:shd w:val="clear" w:color="auto" w:fill="auto"/>
            <w:noWrap/>
            <w:vAlign w:val="bottom"/>
            <w:hideMark/>
          </w:tcPr>
          <w:p w14:paraId="23D6A9E4" w14:textId="77777777" w:rsidR="00D55E09" w:rsidRPr="00FB1851" w:rsidRDefault="00D55E09" w:rsidP="00767ED8">
            <w:pPr>
              <w:spacing w:after="0" w:line="240" w:lineRule="auto"/>
              <w:jc w:val="right"/>
              <w:rPr>
                <w:rFonts w:asciiTheme="majorHAnsi" w:eastAsia="Times New Roman" w:hAnsiTheme="majorHAnsi" w:cstheme="majorHAnsi"/>
                <w:b/>
                <w:bCs/>
                <w:color w:val="000000"/>
                <w:sz w:val="16"/>
                <w:szCs w:val="16"/>
                <w:lang w:val="ro-MD"/>
              </w:rPr>
            </w:pPr>
            <w:r w:rsidRPr="00FB1851">
              <w:rPr>
                <w:rFonts w:asciiTheme="majorHAnsi" w:hAnsiTheme="majorHAnsi" w:cstheme="majorHAnsi"/>
                <w:b/>
                <w:bCs/>
                <w:color w:val="000000"/>
                <w:sz w:val="16"/>
                <w:szCs w:val="16"/>
                <w:lang w:val="ro-MD"/>
              </w:rPr>
              <w:t>12657,0</w:t>
            </w:r>
          </w:p>
        </w:tc>
      </w:tr>
    </w:tbl>
    <w:p w14:paraId="164FD039" w14:textId="77777777" w:rsidR="0048212B" w:rsidRDefault="0048212B" w:rsidP="00767ED8">
      <w:pPr>
        <w:spacing w:before="240" w:after="0" w:line="276" w:lineRule="auto"/>
        <w:ind w:firstLine="680"/>
        <w:contextualSpacing/>
        <w:jc w:val="both"/>
        <w:rPr>
          <w:rFonts w:asciiTheme="majorHAnsi" w:eastAsia="Times New Roman" w:hAnsiTheme="majorHAnsi" w:cstheme="majorHAnsi"/>
          <w:sz w:val="24"/>
          <w:szCs w:val="24"/>
          <w:lang w:val="ro-MD" w:eastAsia="ru-RU"/>
        </w:rPr>
      </w:pPr>
    </w:p>
    <w:p w14:paraId="455EEF0A" w14:textId="1A38F65B" w:rsidR="00A52B16" w:rsidRPr="00BC3271" w:rsidRDefault="00E41124" w:rsidP="00767ED8">
      <w:pPr>
        <w:spacing w:before="240" w:after="0" w:line="276" w:lineRule="auto"/>
        <w:ind w:firstLine="680"/>
        <w:contextualSpacing/>
        <w:jc w:val="both"/>
        <w:rPr>
          <w:rFonts w:asciiTheme="majorHAnsi" w:eastAsia="Times New Roman" w:hAnsiTheme="majorHAnsi" w:cstheme="majorHAnsi"/>
          <w:sz w:val="24"/>
          <w:szCs w:val="24"/>
          <w:lang w:val="ro-MD" w:eastAsia="ru-RU"/>
        </w:rPr>
      </w:pPr>
      <w:r w:rsidRPr="00BC3271">
        <w:rPr>
          <w:rFonts w:asciiTheme="majorHAnsi" w:eastAsia="Times New Roman" w:hAnsiTheme="majorHAnsi" w:cstheme="majorHAnsi"/>
          <w:sz w:val="24"/>
          <w:szCs w:val="24"/>
          <w:lang w:val="ro-MD" w:eastAsia="ru-RU"/>
        </w:rPr>
        <w:t>De men</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ionat faptul că</w:t>
      </w:r>
      <w:r w:rsidR="00FA5AC0" w:rsidRPr="00BC3271">
        <w:rPr>
          <w:rFonts w:asciiTheme="majorHAnsi" w:eastAsia="Times New Roman" w:hAnsiTheme="majorHAnsi" w:cstheme="majorHAnsi"/>
          <w:sz w:val="24"/>
          <w:szCs w:val="24"/>
          <w:lang w:val="ro-MD" w:eastAsia="ru-RU"/>
        </w:rPr>
        <w:t>,</w:t>
      </w:r>
      <w:r w:rsidRPr="00BC3271">
        <w:rPr>
          <w:rFonts w:asciiTheme="majorHAnsi" w:eastAsia="Times New Roman" w:hAnsiTheme="majorHAnsi" w:cstheme="majorHAnsi"/>
          <w:sz w:val="24"/>
          <w:szCs w:val="24"/>
          <w:lang w:val="ro-MD" w:eastAsia="ru-RU"/>
        </w:rPr>
        <w:t xml:space="preserve"> de</w:t>
      </w:r>
      <w:r w:rsidR="0069374B" w:rsidRPr="00BC3271">
        <w:rPr>
          <w:rFonts w:asciiTheme="majorHAnsi" w:eastAsia="Times New Roman" w:hAnsiTheme="majorHAnsi" w:cstheme="majorHAnsi"/>
          <w:sz w:val="24"/>
          <w:szCs w:val="24"/>
          <w:lang w:val="ro-MD" w:eastAsia="ru-RU"/>
        </w:rPr>
        <w:t>ș</w:t>
      </w:r>
      <w:r w:rsidRPr="00BC3271">
        <w:rPr>
          <w:rFonts w:asciiTheme="majorHAnsi" w:eastAsia="Times New Roman" w:hAnsiTheme="majorHAnsi" w:cstheme="majorHAnsi"/>
          <w:sz w:val="24"/>
          <w:szCs w:val="24"/>
          <w:lang w:val="ro-MD" w:eastAsia="ru-RU"/>
        </w:rPr>
        <w:t xml:space="preserve">i </w:t>
      </w:r>
      <w:r w:rsidR="00FA5AC0" w:rsidRPr="00BC3271">
        <w:rPr>
          <w:rFonts w:asciiTheme="majorHAnsi" w:eastAsia="Times New Roman" w:hAnsiTheme="majorHAnsi" w:cstheme="majorHAnsi"/>
          <w:sz w:val="24"/>
          <w:szCs w:val="24"/>
          <w:lang w:val="ro-MD" w:eastAsia="ru-RU"/>
        </w:rPr>
        <w:t>s-</w:t>
      </w:r>
      <w:r w:rsidRPr="00BC3271">
        <w:rPr>
          <w:rFonts w:asciiTheme="majorHAnsi" w:eastAsia="Times New Roman" w:hAnsiTheme="majorHAnsi" w:cstheme="majorHAnsi"/>
          <w:sz w:val="24"/>
          <w:szCs w:val="24"/>
          <w:lang w:val="ro-MD" w:eastAsia="ru-RU"/>
        </w:rPr>
        <w:t>au alocat mijloace financiare pentru repara</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 xml:space="preserve">ia capitală a </w:t>
      </w:r>
      <w:r w:rsidR="00FA5AC0" w:rsidRPr="00BC3271">
        <w:rPr>
          <w:rFonts w:asciiTheme="majorHAnsi" w:eastAsia="Times New Roman" w:hAnsiTheme="majorHAnsi" w:cstheme="majorHAnsi"/>
          <w:sz w:val="24"/>
          <w:szCs w:val="24"/>
          <w:lang w:val="ro-MD" w:eastAsia="ru-RU"/>
        </w:rPr>
        <w:t>S</w:t>
      </w:r>
      <w:r w:rsidRPr="00BC3271">
        <w:rPr>
          <w:rFonts w:asciiTheme="majorHAnsi" w:eastAsia="Times New Roman" w:hAnsiTheme="majorHAnsi" w:cstheme="majorHAnsi"/>
          <w:sz w:val="24"/>
          <w:szCs w:val="24"/>
          <w:lang w:val="ro-MD" w:eastAsia="ru-RU"/>
        </w:rPr>
        <w:t>ec</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iei de boli infec</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ioase a Spitalului Raional Vulcăne</w:t>
      </w:r>
      <w:r w:rsidR="0069374B" w:rsidRPr="00BC3271">
        <w:rPr>
          <w:rFonts w:asciiTheme="majorHAnsi" w:eastAsia="Times New Roman" w:hAnsiTheme="majorHAnsi" w:cstheme="majorHAnsi"/>
          <w:sz w:val="24"/>
          <w:szCs w:val="24"/>
          <w:lang w:val="ro-MD" w:eastAsia="ru-RU"/>
        </w:rPr>
        <w:t>ș</w:t>
      </w:r>
      <w:r w:rsidRPr="00BC3271">
        <w:rPr>
          <w:rFonts w:asciiTheme="majorHAnsi" w:eastAsia="Times New Roman" w:hAnsiTheme="majorHAnsi" w:cstheme="majorHAnsi"/>
          <w:sz w:val="24"/>
          <w:szCs w:val="24"/>
          <w:lang w:val="ro-MD" w:eastAsia="ru-RU"/>
        </w:rPr>
        <w:t>ti</w:t>
      </w:r>
      <w:r w:rsidR="00FA5AC0" w:rsidRPr="00BC3271">
        <w:rPr>
          <w:rFonts w:asciiTheme="majorHAnsi" w:eastAsia="Times New Roman" w:hAnsiTheme="majorHAnsi" w:cstheme="majorHAnsi"/>
          <w:sz w:val="24"/>
          <w:szCs w:val="24"/>
          <w:lang w:val="ro-MD" w:eastAsia="ru-RU"/>
        </w:rPr>
        <w:t>,</w:t>
      </w:r>
      <w:r w:rsidRPr="00BC3271">
        <w:rPr>
          <w:rFonts w:asciiTheme="majorHAnsi" w:eastAsia="Times New Roman" w:hAnsiTheme="majorHAnsi" w:cstheme="majorHAnsi"/>
          <w:sz w:val="24"/>
          <w:szCs w:val="24"/>
          <w:lang w:val="ro-MD" w:eastAsia="ru-RU"/>
        </w:rPr>
        <w:t xml:space="preserve"> în sumă de </w:t>
      </w:r>
      <w:r w:rsidR="00047822" w:rsidRPr="00BC3271">
        <w:rPr>
          <w:rFonts w:asciiTheme="majorHAnsi" w:eastAsia="Times New Roman" w:hAnsiTheme="majorHAnsi" w:cstheme="majorHAnsi"/>
          <w:color w:val="000000" w:themeColor="text1"/>
          <w:sz w:val="24"/>
          <w:szCs w:val="24"/>
          <w:lang w:val="ro-MD" w:eastAsia="ru-RU"/>
        </w:rPr>
        <w:t>76</w:t>
      </w:r>
      <w:r w:rsidR="00F857BD" w:rsidRPr="00BC3271">
        <w:rPr>
          <w:rFonts w:asciiTheme="majorHAnsi" w:eastAsia="Times New Roman" w:hAnsiTheme="majorHAnsi" w:cstheme="majorHAnsi"/>
          <w:color w:val="000000" w:themeColor="text1"/>
          <w:sz w:val="24"/>
          <w:szCs w:val="24"/>
          <w:lang w:val="ro-MD" w:eastAsia="ru-RU"/>
        </w:rPr>
        <w:t>00 mii lei</w:t>
      </w:r>
      <w:r w:rsidRPr="00BC3271">
        <w:rPr>
          <w:rFonts w:asciiTheme="majorHAnsi" w:eastAsia="Times New Roman" w:hAnsiTheme="majorHAnsi" w:cstheme="majorHAnsi"/>
          <w:color w:val="000000" w:themeColor="text1"/>
          <w:sz w:val="24"/>
          <w:szCs w:val="24"/>
          <w:lang w:val="ro-MD" w:eastAsia="ru-RU"/>
        </w:rPr>
        <w:t xml:space="preserve">, </w:t>
      </w:r>
      <w:r w:rsidRPr="00BC3271">
        <w:rPr>
          <w:rFonts w:asciiTheme="majorHAnsi" w:eastAsia="Times New Roman" w:hAnsiTheme="majorHAnsi" w:cstheme="majorHAnsi"/>
          <w:sz w:val="24"/>
          <w:szCs w:val="24"/>
          <w:lang w:val="ro-MD" w:eastAsia="ru-RU"/>
        </w:rPr>
        <w:t xml:space="preserve">acestea nu au fost </w:t>
      </w:r>
      <w:r w:rsidR="00744189" w:rsidRPr="00BC3271">
        <w:rPr>
          <w:rFonts w:asciiTheme="majorHAnsi" w:eastAsia="Times New Roman" w:hAnsiTheme="majorHAnsi" w:cstheme="majorHAnsi"/>
          <w:sz w:val="24"/>
          <w:szCs w:val="24"/>
          <w:lang w:val="ro-MD" w:eastAsia="ru-RU"/>
        </w:rPr>
        <w:t>valorificate</w:t>
      </w:r>
      <w:r w:rsidRPr="00BC3271">
        <w:rPr>
          <w:rFonts w:asciiTheme="majorHAnsi" w:eastAsia="Times New Roman" w:hAnsiTheme="majorHAnsi" w:cstheme="majorHAnsi"/>
          <w:sz w:val="24"/>
          <w:szCs w:val="24"/>
          <w:lang w:val="ro-MD" w:eastAsia="ru-RU"/>
        </w:rPr>
        <w:t>, nefiind efectuate lucrările de repara</w:t>
      </w:r>
      <w:r w:rsidR="0069374B" w:rsidRPr="00BC3271">
        <w:rPr>
          <w:rFonts w:asciiTheme="majorHAnsi" w:eastAsia="Times New Roman" w:hAnsiTheme="majorHAnsi" w:cstheme="majorHAnsi"/>
          <w:sz w:val="24"/>
          <w:szCs w:val="24"/>
          <w:lang w:val="ro-MD" w:eastAsia="ru-RU"/>
        </w:rPr>
        <w:t>ț</w:t>
      </w:r>
      <w:r w:rsidRPr="00BC3271">
        <w:rPr>
          <w:rFonts w:asciiTheme="majorHAnsi" w:eastAsia="Times New Roman" w:hAnsiTheme="majorHAnsi" w:cstheme="majorHAnsi"/>
          <w:sz w:val="24"/>
          <w:szCs w:val="24"/>
          <w:lang w:val="ro-MD" w:eastAsia="ru-RU"/>
        </w:rPr>
        <w:t xml:space="preserve">ie. </w:t>
      </w:r>
    </w:p>
    <w:p w14:paraId="66052B32" w14:textId="509227AA" w:rsidR="00A52B16" w:rsidRPr="00363CFA" w:rsidRDefault="00A63243" w:rsidP="00767ED8">
      <w:pPr>
        <w:spacing w:after="0" w:line="276" w:lineRule="auto"/>
        <w:ind w:firstLine="567"/>
        <w:jc w:val="both"/>
        <w:rPr>
          <w:rFonts w:asciiTheme="majorHAnsi" w:eastAsia="Calibri" w:hAnsiTheme="majorHAnsi" w:cstheme="majorHAnsi"/>
          <w:sz w:val="24"/>
          <w:szCs w:val="24"/>
          <w:lang w:val="ro-MD"/>
        </w:rPr>
      </w:pPr>
      <w:r w:rsidRPr="00BC3271">
        <w:rPr>
          <w:rFonts w:asciiTheme="majorHAnsi" w:eastAsia="Calibri" w:hAnsiTheme="majorHAnsi" w:cstheme="majorHAnsi"/>
          <w:sz w:val="24"/>
          <w:szCs w:val="24"/>
          <w:lang w:val="ro-MD"/>
        </w:rPr>
        <w:t>Direc</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 xml:space="preserve">ia Sănătate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Protec</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 xml:space="preserve">ia Socială a UTA Găgăuzia, în anul 2020, în baza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 xml:space="preserve">i </w:t>
      </w:r>
      <w:r w:rsidR="00FA5AC0" w:rsidRPr="00BC3271">
        <w:rPr>
          <w:rFonts w:asciiTheme="majorHAnsi" w:eastAsia="Calibri" w:hAnsiTheme="majorHAnsi" w:cstheme="majorHAnsi"/>
          <w:sz w:val="24"/>
          <w:szCs w:val="24"/>
          <w:lang w:val="ro-MD"/>
        </w:rPr>
        <w:t>pe</w:t>
      </w:r>
      <w:r w:rsidRPr="00BC3271">
        <w:rPr>
          <w:rFonts w:asciiTheme="majorHAnsi" w:eastAsia="Calibri" w:hAnsiTheme="majorHAnsi" w:cstheme="majorHAnsi"/>
          <w:sz w:val="24"/>
          <w:szCs w:val="24"/>
          <w:lang w:val="ro-MD"/>
        </w:rPr>
        <w:t>ntru executarea noilor reglementări de achizi</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ii publice în condi</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iile stării de urgen</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ă în sănătate publică, a efectuat procurarea bunurilor cu destina</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 xml:space="preserve">ie medico-sanitară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de asistare a activită</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ii medicale în baza procedurilor de achizi</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 xml:space="preserve">ie </w:t>
      </w:r>
      <w:r w:rsidR="00D90DE6" w:rsidRPr="00BC3271">
        <w:rPr>
          <w:rFonts w:asciiTheme="majorHAnsi" w:eastAsia="Calibri" w:hAnsiTheme="majorHAnsi" w:cstheme="majorHAnsi"/>
          <w:sz w:val="24"/>
          <w:szCs w:val="24"/>
          <w:lang w:val="ro-MD"/>
        </w:rPr>
        <w:t xml:space="preserve">publică </w:t>
      </w:r>
      <w:r w:rsidRPr="00BC3271">
        <w:rPr>
          <w:rFonts w:asciiTheme="majorHAnsi" w:eastAsia="Calibri" w:hAnsiTheme="majorHAnsi" w:cstheme="majorHAnsi"/>
          <w:sz w:val="24"/>
          <w:szCs w:val="24"/>
          <w:lang w:val="ro-MD"/>
        </w:rPr>
        <w:t>de valoare mică, în sumă totală de 1600,8 mii lei</w:t>
      </w:r>
      <w:r w:rsidRPr="00BC3271">
        <w:rPr>
          <w:rFonts w:asciiTheme="majorHAnsi" w:eastAsia="Calibri" w:hAnsiTheme="majorHAnsi" w:cstheme="majorHAnsi"/>
          <w:sz w:val="24"/>
          <w:szCs w:val="24"/>
          <w:vertAlign w:val="superscript"/>
          <w:lang w:val="ro-MD"/>
        </w:rPr>
        <w:footnoteReference w:id="79"/>
      </w:r>
      <w:r w:rsidR="00FA5AC0" w:rsidRPr="00BC3271">
        <w:rPr>
          <w:rFonts w:asciiTheme="majorHAnsi" w:eastAsia="Calibri" w:hAnsiTheme="majorHAnsi" w:cstheme="majorHAnsi"/>
          <w:sz w:val="24"/>
          <w:szCs w:val="24"/>
          <w:lang w:val="ro-MD"/>
        </w:rPr>
        <w:t>,</w:t>
      </w:r>
      <w:r w:rsidRPr="00BC3271">
        <w:rPr>
          <w:rFonts w:asciiTheme="majorHAnsi" w:eastAsia="Calibri" w:hAnsiTheme="majorHAnsi" w:cstheme="majorHAnsi"/>
          <w:sz w:val="24"/>
          <w:szCs w:val="24"/>
          <w:lang w:val="ro-MD"/>
        </w:rPr>
        <w:t xml:space="preserve"> </w:t>
      </w:r>
      <w:r w:rsidR="0069374B" w:rsidRPr="00BC3271">
        <w:rPr>
          <w:rFonts w:asciiTheme="majorHAnsi" w:eastAsia="Calibri" w:hAnsiTheme="majorHAnsi" w:cstheme="majorHAnsi"/>
          <w:sz w:val="24"/>
          <w:szCs w:val="24"/>
          <w:lang w:val="ro-MD"/>
        </w:rPr>
        <w:t>ș</w:t>
      </w:r>
      <w:r w:rsidRPr="00BC3271">
        <w:rPr>
          <w:rFonts w:asciiTheme="majorHAnsi" w:eastAsia="Calibri" w:hAnsiTheme="majorHAnsi" w:cstheme="majorHAnsi"/>
          <w:sz w:val="24"/>
          <w:szCs w:val="24"/>
          <w:lang w:val="ro-MD"/>
        </w:rPr>
        <w:t>i contractarea lucrărilor de repara</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w:t>
      </w:r>
      <w:r w:rsidR="00FA5AC0" w:rsidRPr="00BC3271">
        <w:rPr>
          <w:rFonts w:asciiTheme="majorHAnsi" w:eastAsia="Calibri" w:hAnsiTheme="majorHAnsi" w:cstheme="majorHAnsi"/>
          <w:sz w:val="24"/>
          <w:szCs w:val="24"/>
          <w:lang w:val="ro-MD"/>
        </w:rPr>
        <w:t>e</w:t>
      </w:r>
      <w:r w:rsidRPr="00BC3271">
        <w:rPr>
          <w:rFonts w:asciiTheme="majorHAnsi" w:eastAsia="Calibri" w:hAnsiTheme="majorHAnsi" w:cstheme="majorHAnsi"/>
          <w:sz w:val="24"/>
          <w:szCs w:val="24"/>
          <w:lang w:val="ro-MD"/>
        </w:rPr>
        <w:t xml:space="preserve"> capitală a </w:t>
      </w:r>
      <w:r w:rsidR="00FA5AC0" w:rsidRPr="00BC3271">
        <w:rPr>
          <w:rFonts w:asciiTheme="majorHAnsi" w:eastAsia="Calibri" w:hAnsiTheme="majorHAnsi" w:cstheme="majorHAnsi"/>
          <w:sz w:val="24"/>
          <w:szCs w:val="24"/>
          <w:lang w:val="ro-MD"/>
        </w:rPr>
        <w:t>S</w:t>
      </w:r>
      <w:r w:rsidRPr="00BC3271">
        <w:rPr>
          <w:rFonts w:asciiTheme="majorHAnsi" w:eastAsia="Calibri" w:hAnsiTheme="majorHAnsi" w:cstheme="majorHAnsi"/>
          <w:sz w:val="24"/>
          <w:szCs w:val="24"/>
          <w:lang w:val="ro-MD"/>
        </w:rPr>
        <w:t>ec</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iei infec</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 xml:space="preserve">ioase din </w:t>
      </w:r>
      <w:r w:rsidR="00FB1851">
        <w:rPr>
          <w:rFonts w:asciiTheme="majorHAnsi" w:eastAsia="Calibri" w:hAnsiTheme="majorHAnsi" w:cstheme="majorHAnsi"/>
          <w:sz w:val="24"/>
          <w:szCs w:val="24"/>
          <w:lang w:val="ro-MD"/>
        </w:rPr>
        <w:t>mun.</w:t>
      </w:r>
      <w:r w:rsidRPr="00BC3271">
        <w:rPr>
          <w:rFonts w:asciiTheme="majorHAnsi" w:eastAsia="Calibri" w:hAnsiTheme="majorHAnsi" w:cstheme="majorHAnsi"/>
          <w:sz w:val="24"/>
          <w:szCs w:val="24"/>
          <w:lang w:val="ro-MD"/>
        </w:rPr>
        <w:t>Ceadâr-Lunga, în baza procedurii de negociere fără publicarea prealabilă a anun</w:t>
      </w:r>
      <w:r w:rsidR="0069374B" w:rsidRPr="00BC3271">
        <w:rPr>
          <w:rFonts w:asciiTheme="majorHAnsi" w:eastAsia="Calibri" w:hAnsiTheme="majorHAnsi" w:cstheme="majorHAnsi"/>
          <w:sz w:val="24"/>
          <w:szCs w:val="24"/>
          <w:lang w:val="ro-MD"/>
        </w:rPr>
        <w:t>ț</w:t>
      </w:r>
      <w:r w:rsidRPr="00BC3271">
        <w:rPr>
          <w:rFonts w:asciiTheme="majorHAnsi" w:eastAsia="Calibri" w:hAnsiTheme="majorHAnsi" w:cstheme="majorHAnsi"/>
          <w:sz w:val="24"/>
          <w:szCs w:val="24"/>
          <w:lang w:val="ro-MD"/>
        </w:rPr>
        <w:t>ului de participare, în sumă totală de 2400,0 mii lei</w:t>
      </w:r>
      <w:r w:rsidRPr="00BC3271">
        <w:rPr>
          <w:rFonts w:asciiTheme="majorHAnsi" w:eastAsia="Calibri" w:hAnsiTheme="majorHAnsi" w:cstheme="majorHAnsi"/>
          <w:sz w:val="24"/>
          <w:szCs w:val="24"/>
          <w:vertAlign w:val="superscript"/>
          <w:lang w:val="ro-MD"/>
        </w:rPr>
        <w:footnoteReference w:id="80"/>
      </w:r>
      <w:r w:rsidRPr="00BC3271">
        <w:rPr>
          <w:rFonts w:asciiTheme="majorHAnsi" w:eastAsia="Calibri" w:hAnsiTheme="majorHAnsi" w:cstheme="majorHAnsi"/>
          <w:sz w:val="24"/>
          <w:szCs w:val="24"/>
          <w:lang w:val="ro-MD"/>
        </w:rPr>
        <w:t>.</w:t>
      </w:r>
    </w:p>
    <w:p w14:paraId="6F5711D3" w14:textId="77777777" w:rsidR="00807C88" w:rsidRPr="00363CFA" w:rsidRDefault="00807C88" w:rsidP="00767ED8">
      <w:pPr>
        <w:spacing w:after="0" w:line="276" w:lineRule="auto"/>
        <w:ind w:firstLine="567"/>
        <w:jc w:val="both"/>
        <w:rPr>
          <w:rFonts w:asciiTheme="majorHAnsi" w:eastAsia="Calibri" w:hAnsiTheme="majorHAnsi" w:cstheme="majorHAnsi"/>
          <w:sz w:val="24"/>
          <w:szCs w:val="24"/>
          <w:lang w:val="ro-MD"/>
        </w:rPr>
      </w:pPr>
    </w:p>
    <w:p w14:paraId="7A53C4BC" w14:textId="699A3C19" w:rsidR="00C46A1C" w:rsidRPr="00424F06" w:rsidRDefault="00C46A1C" w:rsidP="00767ED8">
      <w:pPr>
        <w:pStyle w:val="Heading2"/>
        <w:spacing w:line="276" w:lineRule="auto"/>
        <w:jc w:val="both"/>
        <w:rPr>
          <w:rFonts w:cstheme="majorHAnsi"/>
          <w:b/>
          <w:sz w:val="28"/>
          <w:szCs w:val="28"/>
          <w:lang w:val="ro-MD"/>
        </w:rPr>
      </w:pPr>
      <w:bookmarkStart w:id="26" w:name="_Toc58780365"/>
      <w:bookmarkStart w:id="27" w:name="_Toc84512909"/>
      <w:bookmarkStart w:id="28" w:name="_Toc60045177"/>
      <w:r w:rsidRPr="00424F06">
        <w:rPr>
          <w:rFonts w:cstheme="majorHAnsi"/>
          <w:b/>
          <w:sz w:val="28"/>
          <w:szCs w:val="28"/>
          <w:lang w:val="ro-MD"/>
        </w:rPr>
        <w:t xml:space="preserve">Obiectivul III: A înregistrat, a administrat </w:t>
      </w:r>
      <w:r w:rsidR="0069374B" w:rsidRPr="00424F06">
        <w:rPr>
          <w:rFonts w:cstheme="majorHAnsi"/>
          <w:b/>
          <w:sz w:val="28"/>
          <w:szCs w:val="28"/>
          <w:lang w:val="ro-MD"/>
        </w:rPr>
        <w:t>ș</w:t>
      </w:r>
      <w:r w:rsidRPr="00424F06">
        <w:rPr>
          <w:rFonts w:cstheme="majorHAnsi"/>
          <w:b/>
          <w:sz w:val="28"/>
          <w:szCs w:val="28"/>
          <w:lang w:val="ro-MD"/>
        </w:rPr>
        <w:t xml:space="preserve">i a gestionat </w:t>
      </w:r>
      <w:r w:rsidRPr="00257A45">
        <w:rPr>
          <w:rFonts w:cstheme="majorHAnsi"/>
          <w:b/>
          <w:sz w:val="28"/>
          <w:szCs w:val="28"/>
          <w:lang w:val="ro-MD"/>
        </w:rPr>
        <w:t>UT</w:t>
      </w:r>
      <w:r w:rsidR="00257A45" w:rsidRPr="00257A45">
        <w:rPr>
          <w:rFonts w:cstheme="majorHAnsi"/>
          <w:b/>
          <w:sz w:val="28"/>
          <w:szCs w:val="28"/>
          <w:lang w:val="ro-MD"/>
        </w:rPr>
        <w:t>A</w:t>
      </w:r>
      <w:r w:rsidRPr="00424F06">
        <w:rPr>
          <w:rFonts w:cstheme="majorHAnsi"/>
          <w:b/>
          <w:sz w:val="28"/>
          <w:szCs w:val="28"/>
          <w:lang w:val="ro-MD"/>
        </w:rPr>
        <w:t xml:space="preserve"> în mod</w:t>
      </w:r>
      <w:r w:rsidR="00FA5AC0">
        <w:rPr>
          <w:rFonts w:cstheme="majorHAnsi"/>
          <w:b/>
          <w:sz w:val="28"/>
          <w:szCs w:val="28"/>
          <w:lang w:val="ro-MD"/>
        </w:rPr>
        <w:t xml:space="preserve">ul </w:t>
      </w:r>
      <w:r w:rsidRPr="00424F06">
        <w:rPr>
          <w:rFonts w:cstheme="majorHAnsi"/>
          <w:b/>
          <w:sz w:val="28"/>
          <w:szCs w:val="28"/>
          <w:lang w:val="ro-MD"/>
        </w:rPr>
        <w:t xml:space="preserve"> corespunzător patrimoniul public?</w:t>
      </w:r>
      <w:bookmarkEnd w:id="26"/>
      <w:bookmarkEnd w:id="27"/>
    </w:p>
    <w:bookmarkEnd w:id="28"/>
    <w:p w14:paraId="3263FF49" w14:textId="18882782" w:rsidR="008C7C5A" w:rsidRPr="00424F06" w:rsidRDefault="008C7C5A" w:rsidP="00767ED8">
      <w:pPr>
        <w:spacing w:after="0" w:line="276" w:lineRule="auto"/>
        <w:ind w:firstLine="720"/>
        <w:jc w:val="both"/>
        <w:rPr>
          <w:rFonts w:asciiTheme="majorHAnsi" w:eastAsia="Times New Roman" w:hAnsiTheme="majorHAnsi" w:cstheme="majorHAnsi"/>
          <w:sz w:val="24"/>
          <w:szCs w:val="24"/>
          <w:lang w:val="ro-MD"/>
        </w:rPr>
      </w:pPr>
      <w:r w:rsidRPr="00424F06">
        <w:rPr>
          <w:rFonts w:asciiTheme="majorHAnsi" w:eastAsia="Times New Roman" w:hAnsiTheme="majorHAnsi" w:cstheme="majorHAnsi"/>
          <w:b/>
          <w:i/>
          <w:sz w:val="24"/>
          <w:szCs w:val="24"/>
          <w:lang w:val="ro-MD"/>
        </w:rPr>
        <w:t>4.3.</w:t>
      </w:r>
      <w:r w:rsidR="00F857BD" w:rsidRPr="00424F06">
        <w:rPr>
          <w:rFonts w:asciiTheme="majorHAnsi" w:eastAsia="Times New Roman" w:hAnsiTheme="majorHAnsi" w:cstheme="majorHAnsi"/>
          <w:b/>
          <w:i/>
          <w:sz w:val="24"/>
          <w:szCs w:val="24"/>
          <w:lang w:val="ro-MD"/>
        </w:rPr>
        <w:t>1</w:t>
      </w:r>
      <w:r w:rsidRPr="00424F06">
        <w:rPr>
          <w:rFonts w:asciiTheme="majorHAnsi" w:eastAsia="Times New Roman" w:hAnsiTheme="majorHAnsi" w:cstheme="majorHAnsi"/>
          <w:b/>
          <w:i/>
          <w:sz w:val="24"/>
          <w:szCs w:val="24"/>
          <w:lang w:val="ro-MD"/>
        </w:rPr>
        <w:t xml:space="preserve">. Comitetul Executiv al Găgăuziei nu </w:t>
      </w:r>
      <w:r w:rsidR="000E5D43" w:rsidRPr="00424F06">
        <w:rPr>
          <w:rFonts w:asciiTheme="majorHAnsi" w:eastAsia="Times New Roman" w:hAnsiTheme="majorHAnsi" w:cstheme="majorHAnsi"/>
          <w:b/>
          <w:i/>
          <w:sz w:val="24"/>
          <w:szCs w:val="24"/>
          <w:lang w:val="ro-MD"/>
        </w:rPr>
        <w:t xml:space="preserve">a </w:t>
      </w:r>
      <w:r w:rsidRPr="00424F06">
        <w:rPr>
          <w:rFonts w:asciiTheme="majorHAnsi" w:eastAsia="Times New Roman" w:hAnsiTheme="majorHAnsi" w:cstheme="majorHAnsi"/>
          <w:b/>
          <w:i/>
          <w:sz w:val="24"/>
          <w:szCs w:val="24"/>
          <w:lang w:val="ro-MD"/>
        </w:rPr>
        <w:t xml:space="preserve">asigurat contabilizarea integrală a patrimoniului gestionat de către IMSP din UTA Găgăuzia, precum </w:t>
      </w:r>
      <w:r w:rsidR="0069374B" w:rsidRPr="00424F06">
        <w:rPr>
          <w:rFonts w:asciiTheme="majorHAnsi" w:eastAsia="Times New Roman" w:hAnsiTheme="majorHAnsi" w:cstheme="majorHAnsi"/>
          <w:b/>
          <w:i/>
          <w:sz w:val="24"/>
          <w:szCs w:val="24"/>
          <w:lang w:val="ro-MD"/>
        </w:rPr>
        <w:t>ș</w:t>
      </w:r>
      <w:r w:rsidRPr="00424F06">
        <w:rPr>
          <w:rFonts w:asciiTheme="majorHAnsi" w:eastAsia="Times New Roman" w:hAnsiTheme="majorHAnsi" w:cstheme="majorHAnsi"/>
          <w:b/>
          <w:i/>
          <w:sz w:val="24"/>
          <w:szCs w:val="24"/>
          <w:lang w:val="ro-MD"/>
        </w:rPr>
        <w:t xml:space="preserve">i înregistrarea dreptului de proprietate asupra </w:t>
      </w:r>
      <w:r w:rsidR="00FE2292" w:rsidRPr="00424F06">
        <w:rPr>
          <w:rFonts w:asciiTheme="majorHAnsi" w:eastAsia="Times New Roman" w:hAnsiTheme="majorHAnsi" w:cstheme="majorHAnsi"/>
          <w:b/>
          <w:i/>
          <w:sz w:val="24"/>
          <w:szCs w:val="24"/>
          <w:lang w:val="ro-MD"/>
        </w:rPr>
        <w:t xml:space="preserve">acestuia. </w:t>
      </w:r>
      <w:r w:rsidRPr="00424F06">
        <w:rPr>
          <w:rFonts w:asciiTheme="majorHAnsi" w:eastAsia="Times New Roman" w:hAnsiTheme="majorHAnsi" w:cstheme="majorHAnsi"/>
          <w:sz w:val="24"/>
          <w:szCs w:val="24"/>
          <w:lang w:val="ro-MD"/>
        </w:rPr>
        <w:t>Adunarea Populară a Găgăuziei a decis, prin Hotăr</w:t>
      </w:r>
      <w:r w:rsidR="00EC362A"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rea</w:t>
      </w:r>
      <w:r w:rsidRPr="00424F06">
        <w:rPr>
          <w:rStyle w:val="FootnoteReference"/>
          <w:rFonts w:asciiTheme="majorHAnsi" w:eastAsia="Times New Roman" w:hAnsiTheme="majorHAnsi" w:cstheme="majorHAnsi"/>
          <w:sz w:val="24"/>
          <w:szCs w:val="24"/>
          <w:lang w:val="ro-MD"/>
        </w:rPr>
        <w:footnoteReference w:id="81"/>
      </w:r>
      <w:r w:rsidRPr="00424F06">
        <w:rPr>
          <w:rFonts w:asciiTheme="majorHAnsi" w:eastAsia="Times New Roman" w:hAnsiTheme="majorHAnsi" w:cstheme="majorHAnsi"/>
          <w:sz w:val="24"/>
          <w:szCs w:val="24"/>
          <w:lang w:val="ro-MD"/>
        </w:rPr>
        <w:t xml:space="preserve"> sa</w:t>
      </w:r>
      <w:r w:rsidR="00EC362A"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transmiterea </w:t>
      </w:r>
      <w:r w:rsidR="00EC362A" w:rsidRPr="00424F06">
        <w:rPr>
          <w:rFonts w:asciiTheme="majorHAnsi" w:eastAsia="Times New Roman" w:hAnsiTheme="majorHAnsi" w:cstheme="majorHAnsi"/>
          <w:sz w:val="24"/>
          <w:szCs w:val="24"/>
          <w:lang w:val="ro-MD"/>
        </w:rPr>
        <w:t xml:space="preserve">către </w:t>
      </w:r>
      <w:r w:rsidRPr="00424F06">
        <w:rPr>
          <w:rFonts w:asciiTheme="majorHAnsi" w:eastAsia="Times New Roman" w:hAnsiTheme="majorHAnsi" w:cstheme="majorHAnsi"/>
          <w:sz w:val="24"/>
          <w:szCs w:val="24"/>
          <w:lang w:val="ro-MD"/>
        </w:rPr>
        <w:t>Comitetul Executiv, încep</w:t>
      </w:r>
      <w:r w:rsidR="00EC362A"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 xml:space="preserve">nd cu 01.08.2015, </w:t>
      </w:r>
      <w:r w:rsidR="00EC362A" w:rsidRPr="00424F06">
        <w:rPr>
          <w:rFonts w:asciiTheme="majorHAnsi" w:eastAsia="Times New Roman" w:hAnsiTheme="majorHAnsi" w:cstheme="majorHAnsi"/>
          <w:sz w:val="24"/>
          <w:szCs w:val="24"/>
          <w:lang w:val="ro-MD"/>
        </w:rPr>
        <w:t xml:space="preserve">a </w:t>
      </w:r>
      <w:r w:rsidRPr="00424F06">
        <w:rPr>
          <w:rFonts w:asciiTheme="majorHAnsi" w:eastAsia="Times New Roman" w:hAnsiTheme="majorHAnsi" w:cstheme="majorHAnsi"/>
          <w:sz w:val="24"/>
          <w:szCs w:val="24"/>
          <w:lang w:val="ro-MD"/>
        </w:rPr>
        <w:t>dreptul</w:t>
      </w:r>
      <w:r w:rsidR="00EC362A" w:rsidRPr="00424F06">
        <w:rPr>
          <w:rFonts w:asciiTheme="majorHAnsi" w:eastAsia="Times New Roman" w:hAnsiTheme="majorHAnsi" w:cstheme="majorHAnsi"/>
          <w:sz w:val="24"/>
          <w:szCs w:val="24"/>
          <w:lang w:val="ro-MD"/>
        </w:rPr>
        <w:t>ui</w:t>
      </w:r>
      <w:r w:rsidRPr="00424F06">
        <w:rPr>
          <w:rFonts w:asciiTheme="majorHAnsi" w:eastAsia="Times New Roman" w:hAnsiTheme="majorHAnsi" w:cstheme="majorHAnsi"/>
          <w:sz w:val="24"/>
          <w:szCs w:val="24"/>
          <w:lang w:val="ro-MD"/>
        </w:rPr>
        <w:t xml:space="preserve"> de fondator de la Administra</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iile dola</w:t>
      </w:r>
      <w:r w:rsidR="003C2D6D" w:rsidRPr="00424F06">
        <w:rPr>
          <w:rFonts w:asciiTheme="majorHAnsi" w:eastAsia="Times New Roman" w:hAnsiTheme="majorHAnsi" w:cstheme="majorHAnsi"/>
          <w:sz w:val="24"/>
          <w:szCs w:val="24"/>
          <w:lang w:val="ro-MD"/>
        </w:rPr>
        <w:t>y</w:t>
      </w:r>
      <w:r w:rsidRPr="00424F06">
        <w:rPr>
          <w:rFonts w:asciiTheme="majorHAnsi" w:eastAsia="Times New Roman" w:hAnsiTheme="majorHAnsi" w:cstheme="majorHAnsi"/>
          <w:sz w:val="24"/>
          <w:szCs w:val="24"/>
          <w:lang w:val="ro-MD"/>
        </w:rPr>
        <w:t>urilor Comrat, Cead</w:t>
      </w:r>
      <w:r w:rsidR="002626D5"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 xml:space="preserve">r-Lunga </w:t>
      </w:r>
      <w:r w:rsidR="0069374B" w:rsidRPr="00424F06">
        <w:rPr>
          <w:rFonts w:asciiTheme="majorHAnsi" w:eastAsia="Times New Roman" w:hAnsiTheme="majorHAnsi" w:cstheme="majorHAnsi"/>
          <w:sz w:val="24"/>
          <w:szCs w:val="24"/>
          <w:lang w:val="ro-MD"/>
        </w:rPr>
        <w:t>ș</w:t>
      </w:r>
      <w:r w:rsidRPr="00424F06">
        <w:rPr>
          <w:rFonts w:asciiTheme="majorHAnsi" w:eastAsia="Times New Roman" w:hAnsiTheme="majorHAnsi" w:cstheme="majorHAnsi"/>
          <w:sz w:val="24"/>
          <w:szCs w:val="24"/>
          <w:lang w:val="ro-MD"/>
        </w:rPr>
        <w:t>i Vulcăne</w:t>
      </w:r>
      <w:r w:rsidR="0069374B" w:rsidRPr="00424F06">
        <w:rPr>
          <w:rFonts w:asciiTheme="majorHAnsi" w:eastAsia="Times New Roman" w:hAnsiTheme="majorHAnsi" w:cstheme="majorHAnsi"/>
          <w:sz w:val="24"/>
          <w:szCs w:val="24"/>
          <w:lang w:val="ro-MD"/>
        </w:rPr>
        <w:t>ș</w:t>
      </w:r>
      <w:r w:rsidRPr="00424F06">
        <w:rPr>
          <w:rFonts w:asciiTheme="majorHAnsi" w:eastAsia="Times New Roman" w:hAnsiTheme="majorHAnsi" w:cstheme="majorHAnsi"/>
          <w:sz w:val="24"/>
          <w:szCs w:val="24"/>
          <w:lang w:val="ro-MD"/>
        </w:rPr>
        <w:t xml:space="preserve">ti, fiind pusă în sarcina acestuia </w:t>
      </w:r>
      <w:r w:rsidR="0069374B" w:rsidRPr="00424F06">
        <w:rPr>
          <w:rFonts w:asciiTheme="majorHAnsi" w:eastAsia="Times New Roman" w:hAnsiTheme="majorHAnsi" w:cstheme="majorHAnsi"/>
          <w:sz w:val="24"/>
          <w:szCs w:val="24"/>
          <w:lang w:val="ro-MD"/>
        </w:rPr>
        <w:t>ș</w:t>
      </w:r>
      <w:r w:rsidRPr="00424F06">
        <w:rPr>
          <w:rFonts w:asciiTheme="majorHAnsi" w:eastAsia="Times New Roman" w:hAnsiTheme="majorHAnsi" w:cstheme="majorHAnsi"/>
          <w:sz w:val="24"/>
          <w:szCs w:val="24"/>
          <w:lang w:val="ro-MD"/>
        </w:rPr>
        <w:t>i înregistrarea dreptului de proprietate asupra bunurilor imobile gestionate de către IMSP. P</w:t>
      </w:r>
      <w:r w:rsidR="002626D5"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 xml:space="preserve">nă </w:t>
      </w:r>
      <w:r w:rsidR="005B179D" w:rsidRPr="00424F06">
        <w:rPr>
          <w:rFonts w:asciiTheme="majorHAnsi" w:eastAsia="Times New Roman" w:hAnsiTheme="majorHAnsi" w:cstheme="majorHAnsi"/>
          <w:sz w:val="24"/>
          <w:szCs w:val="24"/>
          <w:lang w:val="ro-MD"/>
        </w:rPr>
        <w:t>în iunie 2021</w:t>
      </w:r>
      <w:r w:rsidRPr="00424F06">
        <w:rPr>
          <w:rFonts w:asciiTheme="majorHAnsi" w:eastAsia="Times New Roman" w:hAnsiTheme="majorHAnsi" w:cstheme="majorHAnsi"/>
          <w:sz w:val="24"/>
          <w:szCs w:val="24"/>
          <w:lang w:val="ro-MD"/>
        </w:rPr>
        <w:t xml:space="preserve"> a fost asigurată transmiterea la balan</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a Direc</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iei Generale Sănătate a valorii patrimoniului IMSP din sectorul Comrat</w:t>
      </w:r>
      <w:r w:rsidR="002626D5"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în sumă totală de </w:t>
      </w:r>
      <w:r w:rsidR="005A6446" w:rsidRPr="00424F06">
        <w:rPr>
          <w:rFonts w:asciiTheme="majorHAnsi" w:eastAsia="Times New Roman" w:hAnsiTheme="majorHAnsi" w:cstheme="majorHAnsi"/>
          <w:b/>
          <w:sz w:val="24"/>
          <w:szCs w:val="24"/>
          <w:lang w:val="ro-MD"/>
        </w:rPr>
        <w:t>193</w:t>
      </w:r>
      <w:r w:rsidRPr="00424F06">
        <w:rPr>
          <w:rFonts w:asciiTheme="majorHAnsi" w:eastAsia="Times New Roman" w:hAnsiTheme="majorHAnsi" w:cstheme="majorHAnsi"/>
          <w:b/>
          <w:sz w:val="24"/>
          <w:szCs w:val="24"/>
          <w:lang w:val="ro-MD"/>
        </w:rPr>
        <w:t>9</w:t>
      </w:r>
      <w:r w:rsidR="005A6446" w:rsidRPr="00424F06">
        <w:rPr>
          <w:rFonts w:asciiTheme="majorHAnsi" w:eastAsia="Times New Roman" w:hAnsiTheme="majorHAnsi" w:cstheme="majorHAnsi"/>
          <w:b/>
          <w:sz w:val="24"/>
          <w:szCs w:val="24"/>
          <w:lang w:val="ro-MD"/>
        </w:rPr>
        <w:t>22,7 mii</w:t>
      </w:r>
      <w:r w:rsidRPr="00424F06">
        <w:rPr>
          <w:rFonts w:asciiTheme="majorHAnsi" w:eastAsia="Times New Roman" w:hAnsiTheme="majorHAnsi" w:cstheme="majorHAnsi"/>
          <w:b/>
          <w:sz w:val="24"/>
          <w:szCs w:val="24"/>
          <w:lang w:val="ro-MD"/>
        </w:rPr>
        <w:t xml:space="preserve"> lei</w:t>
      </w:r>
      <w:r w:rsidRPr="00424F06">
        <w:rPr>
          <w:rFonts w:asciiTheme="majorHAnsi" w:eastAsia="Times New Roman" w:hAnsiTheme="majorHAnsi" w:cstheme="majorHAnsi"/>
          <w:sz w:val="24"/>
          <w:szCs w:val="24"/>
          <w:lang w:val="ro-MD"/>
        </w:rPr>
        <w:t>. Valoarea patrimoniului gestionat de către IMSP din sectorul Cead</w:t>
      </w:r>
      <w:r w:rsidR="000E5D43"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r-Lunga, la moment</w:t>
      </w:r>
      <w:r w:rsidR="002626D5"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este înregistrat</w:t>
      </w:r>
      <w:r w:rsidR="002626D5" w:rsidRPr="00424F06">
        <w:rPr>
          <w:rFonts w:asciiTheme="majorHAnsi" w:eastAsia="Times New Roman" w:hAnsiTheme="majorHAnsi" w:cstheme="majorHAnsi"/>
          <w:sz w:val="24"/>
          <w:szCs w:val="24"/>
          <w:lang w:val="ro-MD"/>
        </w:rPr>
        <w:t xml:space="preserve">ă </w:t>
      </w:r>
      <w:r w:rsidRPr="00424F06">
        <w:rPr>
          <w:rFonts w:asciiTheme="majorHAnsi" w:eastAsia="Times New Roman" w:hAnsiTheme="majorHAnsi" w:cstheme="majorHAnsi"/>
          <w:sz w:val="24"/>
          <w:szCs w:val="24"/>
          <w:lang w:val="ro-MD"/>
        </w:rPr>
        <w:t xml:space="preserve"> în eviden</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a contabilă a Administra</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iei dola</w:t>
      </w:r>
      <w:r w:rsidR="003C2D6D" w:rsidRPr="00424F06">
        <w:rPr>
          <w:rFonts w:asciiTheme="majorHAnsi" w:eastAsia="Times New Roman" w:hAnsiTheme="majorHAnsi" w:cstheme="majorHAnsi"/>
          <w:sz w:val="24"/>
          <w:szCs w:val="24"/>
          <w:lang w:val="ro-MD"/>
        </w:rPr>
        <w:t>y</w:t>
      </w:r>
      <w:r w:rsidRPr="00424F06">
        <w:rPr>
          <w:rFonts w:asciiTheme="majorHAnsi" w:eastAsia="Times New Roman" w:hAnsiTheme="majorHAnsi" w:cstheme="majorHAnsi"/>
          <w:sz w:val="24"/>
          <w:szCs w:val="24"/>
          <w:lang w:val="ro-MD"/>
        </w:rPr>
        <w:t>ului Cead</w:t>
      </w:r>
      <w:r w:rsidR="002626D5"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r-Lunga</w:t>
      </w:r>
      <w:r w:rsidR="002626D5"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în sumă totală </w:t>
      </w:r>
      <w:r w:rsidRPr="00424F06">
        <w:rPr>
          <w:rFonts w:asciiTheme="majorHAnsi" w:eastAsia="Times New Roman" w:hAnsiTheme="majorHAnsi" w:cstheme="majorHAnsi"/>
          <w:b/>
          <w:sz w:val="24"/>
          <w:szCs w:val="24"/>
          <w:lang w:val="ro-MD"/>
        </w:rPr>
        <w:t xml:space="preserve">de </w:t>
      </w:r>
      <w:r w:rsidR="00C67D9D" w:rsidRPr="00424F06">
        <w:rPr>
          <w:rFonts w:asciiTheme="majorHAnsi" w:eastAsia="Times New Roman" w:hAnsiTheme="majorHAnsi" w:cstheme="majorHAnsi"/>
          <w:b/>
          <w:sz w:val="24"/>
          <w:szCs w:val="24"/>
          <w:lang w:val="ro-MD"/>
        </w:rPr>
        <w:t>110772,1 mii</w:t>
      </w:r>
      <w:r w:rsidRPr="00424F06">
        <w:rPr>
          <w:rFonts w:asciiTheme="majorHAnsi" w:eastAsia="Times New Roman" w:hAnsiTheme="majorHAnsi" w:cstheme="majorHAnsi"/>
          <w:b/>
          <w:sz w:val="24"/>
          <w:szCs w:val="24"/>
          <w:lang w:val="ro-MD"/>
        </w:rPr>
        <w:t xml:space="preserve"> lei</w:t>
      </w:r>
      <w:r w:rsidRPr="00424F06">
        <w:rPr>
          <w:rFonts w:asciiTheme="majorHAnsi" w:eastAsia="Times New Roman" w:hAnsiTheme="majorHAnsi" w:cstheme="majorHAnsi"/>
          <w:sz w:val="24"/>
          <w:szCs w:val="24"/>
          <w:lang w:val="ro-MD"/>
        </w:rPr>
        <w:t>. Bunurile imobile gestionate de către IMSP din sectorul Vulcăne</w:t>
      </w:r>
      <w:r w:rsidR="0069374B" w:rsidRPr="00424F06">
        <w:rPr>
          <w:rFonts w:asciiTheme="majorHAnsi" w:eastAsia="Times New Roman" w:hAnsiTheme="majorHAnsi" w:cstheme="majorHAnsi"/>
          <w:sz w:val="24"/>
          <w:szCs w:val="24"/>
          <w:lang w:val="ro-MD"/>
        </w:rPr>
        <w:t>ș</w:t>
      </w:r>
      <w:r w:rsidRPr="00424F06">
        <w:rPr>
          <w:rFonts w:asciiTheme="majorHAnsi" w:eastAsia="Times New Roman" w:hAnsiTheme="majorHAnsi" w:cstheme="majorHAnsi"/>
          <w:sz w:val="24"/>
          <w:szCs w:val="24"/>
          <w:lang w:val="ro-MD"/>
        </w:rPr>
        <w:t xml:space="preserve">ti, în valoare totală de </w:t>
      </w:r>
      <w:r w:rsidRPr="00424F06">
        <w:rPr>
          <w:rFonts w:asciiTheme="majorHAnsi" w:eastAsia="Times New Roman" w:hAnsiTheme="majorHAnsi" w:cstheme="majorHAnsi"/>
          <w:b/>
          <w:sz w:val="24"/>
          <w:szCs w:val="24"/>
          <w:lang w:val="ro-MD"/>
        </w:rPr>
        <w:lastRenderedPageBreak/>
        <w:t>27</w:t>
      </w:r>
      <w:r w:rsidR="00C67D9D" w:rsidRPr="00424F06">
        <w:rPr>
          <w:rFonts w:asciiTheme="majorHAnsi" w:eastAsia="Times New Roman" w:hAnsiTheme="majorHAnsi" w:cstheme="majorHAnsi"/>
          <w:b/>
          <w:sz w:val="24"/>
          <w:szCs w:val="24"/>
          <w:lang w:val="ro-MD"/>
        </w:rPr>
        <w:t xml:space="preserve">193,9 mii </w:t>
      </w:r>
      <w:r w:rsidRPr="00424F06">
        <w:rPr>
          <w:rFonts w:asciiTheme="majorHAnsi" w:eastAsia="Times New Roman" w:hAnsiTheme="majorHAnsi" w:cstheme="majorHAnsi"/>
          <w:b/>
          <w:sz w:val="24"/>
          <w:szCs w:val="24"/>
          <w:lang w:val="ro-MD"/>
        </w:rPr>
        <w:t>lei</w:t>
      </w:r>
      <w:r w:rsidRPr="00424F06">
        <w:rPr>
          <w:rStyle w:val="FootnoteReference"/>
          <w:rFonts w:asciiTheme="majorHAnsi" w:eastAsia="Times New Roman" w:hAnsiTheme="majorHAnsi" w:cstheme="majorHAnsi"/>
          <w:sz w:val="24"/>
          <w:szCs w:val="24"/>
          <w:lang w:val="ro-MD"/>
        </w:rPr>
        <w:footnoteReference w:id="82"/>
      </w:r>
      <w:r w:rsidRPr="00424F06">
        <w:rPr>
          <w:rFonts w:asciiTheme="majorHAnsi" w:eastAsia="Times New Roman" w:hAnsiTheme="majorHAnsi" w:cstheme="majorHAnsi"/>
          <w:sz w:val="24"/>
          <w:szCs w:val="24"/>
          <w:lang w:val="ro-MD"/>
        </w:rPr>
        <w:t xml:space="preserve"> (date preluate din eviden</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a contabilă a IMSP</w:t>
      </w:r>
      <w:r w:rsidR="002626D5"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contul 123.1 la situa</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ia din 31.12.2020)</w:t>
      </w:r>
      <w:r w:rsidR="00404042"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nu sunt reflectate în eviden</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a contabilă a fondatorului (nici la institu</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iile din subordinea C</w:t>
      </w:r>
      <w:r w:rsidR="00404042" w:rsidRPr="00424F06">
        <w:rPr>
          <w:rFonts w:asciiTheme="majorHAnsi" w:eastAsia="Times New Roman" w:hAnsiTheme="majorHAnsi" w:cstheme="majorHAnsi"/>
          <w:sz w:val="24"/>
          <w:szCs w:val="24"/>
          <w:lang w:val="ro-MD"/>
        </w:rPr>
        <w:t xml:space="preserve">omitetului </w:t>
      </w:r>
      <w:r w:rsidRPr="00424F06">
        <w:rPr>
          <w:rFonts w:asciiTheme="majorHAnsi" w:eastAsia="Times New Roman" w:hAnsiTheme="majorHAnsi" w:cstheme="majorHAnsi"/>
          <w:sz w:val="24"/>
          <w:szCs w:val="24"/>
          <w:lang w:val="ro-MD"/>
        </w:rPr>
        <w:t>E</w:t>
      </w:r>
      <w:r w:rsidR="00744189" w:rsidRPr="00424F06">
        <w:rPr>
          <w:rFonts w:asciiTheme="majorHAnsi" w:eastAsia="Times New Roman" w:hAnsiTheme="majorHAnsi" w:cstheme="majorHAnsi"/>
          <w:sz w:val="24"/>
          <w:szCs w:val="24"/>
          <w:lang w:val="ro-MD"/>
        </w:rPr>
        <w:t>x</w:t>
      </w:r>
      <w:r w:rsidR="00404042" w:rsidRPr="00424F06">
        <w:rPr>
          <w:rFonts w:asciiTheme="majorHAnsi" w:eastAsia="Times New Roman" w:hAnsiTheme="majorHAnsi" w:cstheme="majorHAnsi"/>
          <w:sz w:val="24"/>
          <w:szCs w:val="24"/>
          <w:lang w:val="ro-MD"/>
        </w:rPr>
        <w:t>ecutiv</w:t>
      </w:r>
      <w:r w:rsidR="002626D5"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nici la Administra</w:t>
      </w:r>
      <w:r w:rsidR="0069374B" w:rsidRPr="00424F06">
        <w:rPr>
          <w:rFonts w:asciiTheme="majorHAnsi" w:eastAsia="Times New Roman" w:hAnsiTheme="majorHAnsi" w:cstheme="majorHAnsi"/>
          <w:sz w:val="24"/>
          <w:szCs w:val="24"/>
          <w:lang w:val="ro-MD"/>
        </w:rPr>
        <w:t>ț</w:t>
      </w:r>
      <w:r w:rsidRPr="00424F06">
        <w:rPr>
          <w:rFonts w:asciiTheme="majorHAnsi" w:eastAsia="Times New Roman" w:hAnsiTheme="majorHAnsi" w:cstheme="majorHAnsi"/>
          <w:sz w:val="24"/>
          <w:szCs w:val="24"/>
          <w:lang w:val="ro-MD"/>
        </w:rPr>
        <w:t xml:space="preserve">ia </w:t>
      </w:r>
      <w:r w:rsidR="00404042" w:rsidRPr="00424F06">
        <w:rPr>
          <w:rFonts w:asciiTheme="majorHAnsi" w:eastAsia="Times New Roman" w:hAnsiTheme="majorHAnsi" w:cstheme="majorHAnsi"/>
          <w:sz w:val="24"/>
          <w:szCs w:val="24"/>
          <w:lang w:val="ro-MD"/>
        </w:rPr>
        <w:t>d</w:t>
      </w:r>
      <w:r w:rsidR="003C2D6D" w:rsidRPr="00424F06">
        <w:rPr>
          <w:rFonts w:asciiTheme="majorHAnsi" w:eastAsia="Times New Roman" w:hAnsiTheme="majorHAnsi" w:cstheme="majorHAnsi"/>
          <w:sz w:val="24"/>
          <w:szCs w:val="24"/>
          <w:lang w:val="ro-MD"/>
        </w:rPr>
        <w:t>olay</w:t>
      </w:r>
      <w:r w:rsidR="00404042" w:rsidRPr="00424F06">
        <w:rPr>
          <w:rFonts w:asciiTheme="majorHAnsi" w:eastAsia="Times New Roman" w:hAnsiTheme="majorHAnsi" w:cstheme="majorHAnsi"/>
          <w:sz w:val="24"/>
          <w:szCs w:val="24"/>
          <w:lang w:val="ro-MD"/>
        </w:rPr>
        <w:t xml:space="preserve">ului </w:t>
      </w:r>
      <w:r w:rsidRPr="00424F06">
        <w:rPr>
          <w:rFonts w:asciiTheme="majorHAnsi" w:eastAsia="Times New Roman" w:hAnsiTheme="majorHAnsi" w:cstheme="majorHAnsi"/>
          <w:sz w:val="24"/>
          <w:szCs w:val="24"/>
          <w:lang w:val="ro-MD"/>
        </w:rPr>
        <w:t>Vulcăne</w:t>
      </w:r>
      <w:r w:rsidR="0069374B" w:rsidRPr="00424F06">
        <w:rPr>
          <w:rFonts w:asciiTheme="majorHAnsi" w:eastAsia="Times New Roman" w:hAnsiTheme="majorHAnsi" w:cstheme="majorHAnsi"/>
          <w:sz w:val="24"/>
          <w:szCs w:val="24"/>
          <w:lang w:val="ro-MD"/>
        </w:rPr>
        <w:t>ș</w:t>
      </w:r>
      <w:r w:rsidRPr="00424F06">
        <w:rPr>
          <w:rFonts w:asciiTheme="majorHAnsi" w:eastAsia="Times New Roman" w:hAnsiTheme="majorHAnsi" w:cstheme="majorHAnsi"/>
          <w:sz w:val="24"/>
          <w:szCs w:val="24"/>
          <w:lang w:val="ro-MD"/>
        </w:rPr>
        <w:t>ti). Comitetul Executiv nu a asigurat înregistrarea dreptului de proprietate asupra acestor bunuri (Vulcăne</w:t>
      </w:r>
      <w:r w:rsidR="0069374B" w:rsidRPr="00424F06">
        <w:rPr>
          <w:rFonts w:asciiTheme="majorHAnsi" w:eastAsia="Times New Roman" w:hAnsiTheme="majorHAnsi" w:cstheme="majorHAnsi"/>
          <w:sz w:val="24"/>
          <w:szCs w:val="24"/>
          <w:lang w:val="ro-MD"/>
        </w:rPr>
        <w:t>ș</w:t>
      </w:r>
      <w:r w:rsidRPr="00424F06">
        <w:rPr>
          <w:rFonts w:asciiTheme="majorHAnsi" w:eastAsia="Times New Roman" w:hAnsiTheme="majorHAnsi" w:cstheme="majorHAnsi"/>
          <w:sz w:val="24"/>
          <w:szCs w:val="24"/>
          <w:lang w:val="ro-MD"/>
        </w:rPr>
        <w:t>ti).</w:t>
      </w:r>
    </w:p>
    <w:p w14:paraId="1F3C3733" w14:textId="05055832" w:rsidR="002E5D6B" w:rsidRPr="00424F06" w:rsidRDefault="008C7C5A" w:rsidP="005D2EDD">
      <w:pPr>
        <w:spacing w:after="0" w:line="276" w:lineRule="auto"/>
        <w:ind w:firstLine="567"/>
        <w:contextualSpacing/>
        <w:jc w:val="both"/>
        <w:rPr>
          <w:rFonts w:asciiTheme="majorHAnsi" w:hAnsiTheme="majorHAnsi" w:cstheme="majorHAnsi"/>
          <w:b/>
          <w:iCs/>
          <w:sz w:val="24"/>
          <w:szCs w:val="24"/>
          <w:u w:val="single"/>
          <w:lang w:val="ro-MD"/>
        </w:rPr>
      </w:pPr>
      <w:r w:rsidRPr="00424F06">
        <w:rPr>
          <w:rFonts w:asciiTheme="majorHAnsi" w:hAnsiTheme="majorHAnsi" w:cstheme="majorHAnsi"/>
          <w:b/>
          <w:iCs/>
          <w:sz w:val="24"/>
          <w:szCs w:val="24"/>
          <w:lang w:val="ro-MD"/>
        </w:rPr>
        <w:t>4.3.</w:t>
      </w:r>
      <w:r w:rsidR="00EA008C" w:rsidRPr="00424F06">
        <w:rPr>
          <w:rFonts w:asciiTheme="majorHAnsi" w:hAnsiTheme="majorHAnsi" w:cstheme="majorHAnsi"/>
          <w:b/>
          <w:iCs/>
          <w:sz w:val="24"/>
          <w:szCs w:val="24"/>
          <w:lang w:val="ro-MD"/>
        </w:rPr>
        <w:t>2</w:t>
      </w:r>
      <w:r w:rsidR="00C46A1C" w:rsidRPr="00424F06">
        <w:rPr>
          <w:rFonts w:asciiTheme="majorHAnsi" w:hAnsiTheme="majorHAnsi" w:cstheme="majorHAnsi"/>
          <w:b/>
          <w:iCs/>
          <w:sz w:val="24"/>
          <w:szCs w:val="24"/>
          <w:lang w:val="ro-MD"/>
        </w:rPr>
        <w:t xml:space="preserve">. </w:t>
      </w:r>
      <w:r w:rsidR="00FE2292" w:rsidRPr="00424F06">
        <w:rPr>
          <w:rFonts w:asciiTheme="majorHAnsi" w:hAnsiTheme="majorHAnsi" w:cstheme="majorHAnsi"/>
          <w:b/>
          <w:i/>
          <w:color w:val="000000" w:themeColor="text1"/>
          <w:sz w:val="24"/>
          <w:szCs w:val="24"/>
          <w:lang w:val="ro-MD"/>
        </w:rPr>
        <w:t>Comitetul Executiv a</w:t>
      </w:r>
      <w:r w:rsidR="00EC362A" w:rsidRPr="00424F06">
        <w:rPr>
          <w:rFonts w:asciiTheme="majorHAnsi" w:hAnsiTheme="majorHAnsi" w:cstheme="majorHAnsi"/>
          <w:b/>
          <w:i/>
          <w:color w:val="000000" w:themeColor="text1"/>
          <w:sz w:val="24"/>
          <w:szCs w:val="24"/>
          <w:lang w:val="ro-MD"/>
        </w:rPr>
        <w:t>l</w:t>
      </w:r>
      <w:r w:rsidR="00FE2292" w:rsidRPr="00424F06">
        <w:rPr>
          <w:rFonts w:asciiTheme="majorHAnsi" w:hAnsiTheme="majorHAnsi" w:cstheme="majorHAnsi"/>
          <w:b/>
          <w:i/>
          <w:color w:val="000000" w:themeColor="text1"/>
          <w:sz w:val="24"/>
          <w:szCs w:val="24"/>
          <w:lang w:val="ro-MD"/>
        </w:rPr>
        <w:t xml:space="preserve"> Găgăuziei a decis repartizarea grâului alimentar din rezerva materială a Găgăuziei în lipsa solicitărilor AAPL </w:t>
      </w:r>
      <w:r w:rsidR="0000213F" w:rsidRPr="00424F06">
        <w:rPr>
          <w:rFonts w:asciiTheme="majorHAnsi" w:hAnsiTheme="majorHAnsi" w:cstheme="majorHAnsi"/>
          <w:b/>
          <w:i/>
          <w:color w:val="000000" w:themeColor="text1"/>
          <w:sz w:val="24"/>
          <w:szCs w:val="24"/>
          <w:lang w:val="ro-MD"/>
        </w:rPr>
        <w:t xml:space="preserve">de </w:t>
      </w:r>
      <w:r w:rsidR="00FE2292" w:rsidRPr="00424F06">
        <w:rPr>
          <w:rFonts w:asciiTheme="majorHAnsi" w:hAnsiTheme="majorHAnsi" w:cstheme="majorHAnsi"/>
          <w:b/>
          <w:i/>
          <w:color w:val="000000" w:themeColor="text1"/>
          <w:sz w:val="24"/>
          <w:szCs w:val="24"/>
          <w:lang w:val="ro-MD"/>
        </w:rPr>
        <w:t>nivelul I</w:t>
      </w:r>
      <w:r w:rsidR="00F62AF2" w:rsidRPr="00424F06">
        <w:rPr>
          <w:rFonts w:asciiTheme="majorHAnsi" w:hAnsiTheme="majorHAnsi" w:cstheme="majorHAnsi"/>
          <w:b/>
          <w:i/>
          <w:color w:val="000000" w:themeColor="text1"/>
          <w:sz w:val="24"/>
          <w:szCs w:val="24"/>
          <w:lang w:val="ro-MD"/>
        </w:rPr>
        <w:t>.</w:t>
      </w:r>
      <w:r w:rsidR="00FE2292" w:rsidRPr="00424F06">
        <w:rPr>
          <w:rFonts w:asciiTheme="majorHAnsi" w:hAnsiTheme="majorHAnsi" w:cstheme="majorHAnsi"/>
          <w:b/>
          <w:iCs/>
          <w:sz w:val="24"/>
          <w:szCs w:val="24"/>
          <w:lang w:val="ro-MD"/>
        </w:rPr>
        <w:t xml:space="preserve"> </w:t>
      </w:r>
      <w:r w:rsidR="002E5D6B" w:rsidRPr="00424F06">
        <w:rPr>
          <w:rFonts w:asciiTheme="majorHAnsi" w:eastAsia="Times New Roman" w:hAnsiTheme="majorHAnsi" w:cstheme="majorHAnsi"/>
          <w:sz w:val="24"/>
          <w:szCs w:val="24"/>
          <w:lang w:val="ro-MD"/>
        </w:rPr>
        <w:t>Potrivit prevederilor cadrului normativ al Republicii Moldova</w:t>
      </w:r>
      <w:r w:rsidR="002E5D6B" w:rsidRPr="00424F06">
        <w:rPr>
          <w:rStyle w:val="FootnoteReference"/>
          <w:rFonts w:ascii="Calibri Light" w:eastAsia="Times New Roman" w:hAnsi="Calibri Light" w:cstheme="majorHAnsi"/>
          <w:sz w:val="24"/>
          <w:szCs w:val="24"/>
          <w:lang w:val="ro-MD"/>
        </w:rPr>
        <w:footnoteReference w:id="83"/>
      </w:r>
      <w:r w:rsidR="002E5D6B" w:rsidRPr="00424F06">
        <w:rPr>
          <w:rFonts w:ascii="Calibri Light" w:eastAsia="Times New Roman" w:hAnsi="Calibri Light" w:cstheme="majorHAnsi"/>
          <w:sz w:val="24"/>
          <w:szCs w:val="24"/>
          <w:lang w:val="ro-MD"/>
        </w:rPr>
        <w:t xml:space="preserve"> </w:t>
      </w:r>
      <w:r w:rsidR="0069374B" w:rsidRPr="00424F06">
        <w:rPr>
          <w:rFonts w:asciiTheme="majorHAnsi" w:eastAsia="Times New Roman" w:hAnsiTheme="majorHAnsi" w:cstheme="majorHAnsi"/>
          <w:sz w:val="24"/>
          <w:szCs w:val="24"/>
          <w:lang w:val="ro-MD"/>
        </w:rPr>
        <w:t>ș</w:t>
      </w:r>
      <w:r w:rsidR="002E5D6B" w:rsidRPr="00424F06">
        <w:rPr>
          <w:rFonts w:asciiTheme="majorHAnsi" w:eastAsia="Times New Roman" w:hAnsiTheme="majorHAnsi" w:cstheme="majorHAnsi"/>
          <w:sz w:val="24"/>
          <w:szCs w:val="24"/>
          <w:lang w:val="ro-MD"/>
        </w:rPr>
        <w:t>i al UTA Găgăuzia</w:t>
      </w:r>
      <w:r w:rsidR="002E5D6B" w:rsidRPr="00424F06">
        <w:rPr>
          <w:rStyle w:val="FootnoteReference"/>
          <w:rFonts w:ascii="Calibri Light" w:eastAsia="Times New Roman" w:hAnsi="Calibri Light" w:cstheme="majorHAnsi"/>
          <w:sz w:val="24"/>
          <w:szCs w:val="24"/>
          <w:lang w:val="ro-MD"/>
        </w:rPr>
        <w:footnoteReference w:id="84"/>
      </w:r>
      <w:r w:rsidR="00404042" w:rsidRPr="00424F06">
        <w:rPr>
          <w:rFonts w:asciiTheme="majorHAnsi" w:eastAsia="Times New Roman" w:hAnsiTheme="majorHAnsi" w:cstheme="majorHAnsi"/>
          <w:sz w:val="24"/>
          <w:szCs w:val="24"/>
          <w:lang w:val="ro-MD"/>
        </w:rPr>
        <w:t>,</w:t>
      </w:r>
      <w:r w:rsidR="002E5D6B" w:rsidRPr="00424F06">
        <w:rPr>
          <w:rFonts w:asciiTheme="majorHAnsi" w:eastAsia="Times New Roman" w:hAnsiTheme="majorHAnsi" w:cstheme="majorHAnsi"/>
          <w:sz w:val="24"/>
          <w:szCs w:val="24"/>
          <w:lang w:val="ro-MD"/>
        </w:rPr>
        <w:t xml:space="preserve"> </w:t>
      </w:r>
      <w:r w:rsidR="002E5D6B" w:rsidRPr="00424F06">
        <w:rPr>
          <w:rFonts w:asciiTheme="majorHAnsi" w:eastAsia="Times New Roman" w:hAnsiTheme="majorHAnsi" w:cstheme="majorHAnsi"/>
          <w:i/>
          <w:sz w:val="24"/>
          <w:szCs w:val="24"/>
          <w:lang w:val="ro-MD"/>
        </w:rPr>
        <w:t>rezervele materiale de stat s</w:t>
      </w:r>
      <w:r w:rsidR="00404042" w:rsidRPr="00424F06">
        <w:rPr>
          <w:rFonts w:asciiTheme="majorHAnsi" w:eastAsia="Times New Roman" w:hAnsiTheme="majorHAnsi" w:cstheme="majorHAnsi"/>
          <w:i/>
          <w:sz w:val="24"/>
          <w:szCs w:val="24"/>
          <w:lang w:val="ro-MD"/>
        </w:rPr>
        <w:t>u</w:t>
      </w:r>
      <w:r w:rsidR="002E5D6B" w:rsidRPr="00424F06">
        <w:rPr>
          <w:rFonts w:asciiTheme="majorHAnsi" w:eastAsia="Times New Roman" w:hAnsiTheme="majorHAnsi" w:cstheme="majorHAnsi"/>
          <w:i/>
          <w:sz w:val="24"/>
          <w:szCs w:val="24"/>
          <w:lang w:val="ro-MD"/>
        </w:rPr>
        <w:t>nt un fond special de bunuri materiale, constituit în scopul de a interveni operativ pentru asigurarea func</w:t>
      </w:r>
      <w:r w:rsidR="0069374B" w:rsidRPr="00424F06">
        <w:rPr>
          <w:rFonts w:asciiTheme="majorHAnsi" w:eastAsia="Times New Roman" w:hAnsiTheme="majorHAnsi" w:cstheme="majorHAnsi"/>
          <w:i/>
          <w:sz w:val="24"/>
          <w:szCs w:val="24"/>
          <w:lang w:val="ro-MD"/>
        </w:rPr>
        <w:t>ț</w:t>
      </w:r>
      <w:r w:rsidR="002E5D6B" w:rsidRPr="00424F06">
        <w:rPr>
          <w:rFonts w:asciiTheme="majorHAnsi" w:eastAsia="Times New Roman" w:hAnsiTheme="majorHAnsi" w:cstheme="majorHAnsi"/>
          <w:i/>
          <w:sz w:val="24"/>
          <w:szCs w:val="24"/>
          <w:lang w:val="ro-MD"/>
        </w:rPr>
        <w:t>ionării stabile a economiei na</w:t>
      </w:r>
      <w:r w:rsidR="0069374B" w:rsidRPr="00424F06">
        <w:rPr>
          <w:rFonts w:asciiTheme="majorHAnsi" w:eastAsia="Times New Roman" w:hAnsiTheme="majorHAnsi" w:cstheme="majorHAnsi"/>
          <w:i/>
          <w:sz w:val="24"/>
          <w:szCs w:val="24"/>
          <w:lang w:val="ro-MD"/>
        </w:rPr>
        <w:t>ț</w:t>
      </w:r>
      <w:r w:rsidR="002E5D6B" w:rsidRPr="00424F06">
        <w:rPr>
          <w:rFonts w:asciiTheme="majorHAnsi" w:eastAsia="Times New Roman" w:hAnsiTheme="majorHAnsi" w:cstheme="majorHAnsi"/>
          <w:i/>
          <w:sz w:val="24"/>
          <w:szCs w:val="24"/>
          <w:lang w:val="ro-MD"/>
        </w:rPr>
        <w:t>ionale/a autonomiei, pentru protec</w:t>
      </w:r>
      <w:r w:rsidR="0069374B" w:rsidRPr="00424F06">
        <w:rPr>
          <w:rFonts w:asciiTheme="majorHAnsi" w:eastAsia="Times New Roman" w:hAnsiTheme="majorHAnsi" w:cstheme="majorHAnsi"/>
          <w:i/>
          <w:sz w:val="24"/>
          <w:szCs w:val="24"/>
          <w:lang w:val="ro-MD"/>
        </w:rPr>
        <w:t>ț</w:t>
      </w:r>
      <w:r w:rsidR="002E5D6B" w:rsidRPr="00424F06">
        <w:rPr>
          <w:rFonts w:asciiTheme="majorHAnsi" w:eastAsia="Times New Roman" w:hAnsiTheme="majorHAnsi" w:cstheme="majorHAnsi"/>
          <w:i/>
          <w:sz w:val="24"/>
          <w:szCs w:val="24"/>
          <w:lang w:val="ro-MD"/>
        </w:rPr>
        <w:t>ia popula</w:t>
      </w:r>
      <w:r w:rsidR="0069374B" w:rsidRPr="00424F06">
        <w:rPr>
          <w:rFonts w:asciiTheme="majorHAnsi" w:eastAsia="Times New Roman" w:hAnsiTheme="majorHAnsi" w:cstheme="majorHAnsi"/>
          <w:i/>
          <w:sz w:val="24"/>
          <w:szCs w:val="24"/>
          <w:lang w:val="ro-MD"/>
        </w:rPr>
        <w:t>ț</w:t>
      </w:r>
      <w:r w:rsidR="002E5D6B" w:rsidRPr="00424F06">
        <w:rPr>
          <w:rFonts w:asciiTheme="majorHAnsi" w:eastAsia="Times New Roman" w:hAnsiTheme="majorHAnsi" w:cstheme="majorHAnsi"/>
          <w:i/>
          <w:sz w:val="24"/>
          <w:szCs w:val="24"/>
          <w:lang w:val="ro-MD"/>
        </w:rPr>
        <w:t>iei în situa</w:t>
      </w:r>
      <w:r w:rsidR="0069374B" w:rsidRPr="00424F06">
        <w:rPr>
          <w:rFonts w:asciiTheme="majorHAnsi" w:eastAsia="Times New Roman" w:hAnsiTheme="majorHAnsi" w:cstheme="majorHAnsi"/>
          <w:i/>
          <w:sz w:val="24"/>
          <w:szCs w:val="24"/>
          <w:lang w:val="ro-MD"/>
        </w:rPr>
        <w:t>ț</w:t>
      </w:r>
      <w:r w:rsidR="002E5D6B" w:rsidRPr="00424F06">
        <w:rPr>
          <w:rFonts w:asciiTheme="majorHAnsi" w:eastAsia="Times New Roman" w:hAnsiTheme="majorHAnsi" w:cstheme="majorHAnsi"/>
          <w:i/>
          <w:sz w:val="24"/>
          <w:szCs w:val="24"/>
          <w:lang w:val="ro-MD"/>
        </w:rPr>
        <w:t>ii excep</w:t>
      </w:r>
      <w:r w:rsidR="0069374B" w:rsidRPr="00424F06">
        <w:rPr>
          <w:rFonts w:asciiTheme="majorHAnsi" w:eastAsia="Times New Roman" w:hAnsiTheme="majorHAnsi" w:cstheme="majorHAnsi"/>
          <w:i/>
          <w:sz w:val="24"/>
          <w:szCs w:val="24"/>
          <w:lang w:val="ro-MD"/>
        </w:rPr>
        <w:t>ț</w:t>
      </w:r>
      <w:r w:rsidR="002E5D6B" w:rsidRPr="00424F06">
        <w:rPr>
          <w:rFonts w:asciiTheme="majorHAnsi" w:eastAsia="Times New Roman" w:hAnsiTheme="majorHAnsi" w:cstheme="majorHAnsi"/>
          <w:i/>
          <w:sz w:val="24"/>
          <w:szCs w:val="24"/>
          <w:lang w:val="ro-MD"/>
        </w:rPr>
        <w:t>ionale</w:t>
      </w:r>
      <w:r w:rsidR="00404042" w:rsidRPr="00424F06">
        <w:rPr>
          <w:rFonts w:asciiTheme="majorHAnsi" w:eastAsia="Times New Roman" w:hAnsiTheme="majorHAnsi" w:cstheme="majorHAnsi"/>
          <w:i/>
          <w:sz w:val="24"/>
          <w:szCs w:val="24"/>
          <w:lang w:val="ro-MD"/>
        </w:rPr>
        <w:t>,</w:t>
      </w:r>
      <w:r w:rsidR="002E5D6B" w:rsidRPr="00424F06">
        <w:rPr>
          <w:rFonts w:asciiTheme="majorHAnsi" w:eastAsia="Times New Roman" w:hAnsiTheme="majorHAnsi" w:cstheme="majorHAnsi"/>
          <w:i/>
          <w:sz w:val="24"/>
          <w:szCs w:val="24"/>
          <w:lang w:val="ro-MD"/>
        </w:rPr>
        <w:t xml:space="preserve"> determinate de calamită</w:t>
      </w:r>
      <w:r w:rsidR="0069374B" w:rsidRPr="00424F06">
        <w:rPr>
          <w:rFonts w:asciiTheme="majorHAnsi" w:eastAsia="Times New Roman" w:hAnsiTheme="majorHAnsi" w:cstheme="majorHAnsi"/>
          <w:i/>
          <w:sz w:val="24"/>
          <w:szCs w:val="24"/>
          <w:lang w:val="ro-MD"/>
        </w:rPr>
        <w:t>ț</w:t>
      </w:r>
      <w:r w:rsidR="002E5D6B" w:rsidRPr="00424F06">
        <w:rPr>
          <w:rFonts w:asciiTheme="majorHAnsi" w:eastAsia="Times New Roman" w:hAnsiTheme="majorHAnsi" w:cstheme="majorHAnsi"/>
          <w:i/>
          <w:sz w:val="24"/>
          <w:szCs w:val="24"/>
          <w:lang w:val="ro-MD"/>
        </w:rPr>
        <w:t xml:space="preserve">i naturale, epidemii, epizootii, accidente industriale, fenomene sociale sau economice, conjuncturi externe, în caz de asediu </w:t>
      </w:r>
      <w:r w:rsidR="0069374B" w:rsidRPr="00424F06">
        <w:rPr>
          <w:rFonts w:asciiTheme="majorHAnsi" w:eastAsia="Times New Roman" w:hAnsiTheme="majorHAnsi" w:cstheme="majorHAnsi"/>
          <w:i/>
          <w:sz w:val="24"/>
          <w:szCs w:val="24"/>
          <w:lang w:val="ro-MD"/>
        </w:rPr>
        <w:t>ș</w:t>
      </w:r>
      <w:r w:rsidR="002E5D6B" w:rsidRPr="00424F06">
        <w:rPr>
          <w:rFonts w:asciiTheme="majorHAnsi" w:eastAsia="Times New Roman" w:hAnsiTheme="majorHAnsi" w:cstheme="majorHAnsi"/>
          <w:i/>
          <w:sz w:val="24"/>
          <w:szCs w:val="24"/>
          <w:lang w:val="ro-MD"/>
        </w:rPr>
        <w:t xml:space="preserve">i de război, precum </w:t>
      </w:r>
      <w:r w:rsidR="0069374B" w:rsidRPr="00424F06">
        <w:rPr>
          <w:rFonts w:asciiTheme="majorHAnsi" w:eastAsia="Times New Roman" w:hAnsiTheme="majorHAnsi" w:cstheme="majorHAnsi"/>
          <w:i/>
          <w:sz w:val="24"/>
          <w:szCs w:val="24"/>
          <w:lang w:val="ro-MD"/>
        </w:rPr>
        <w:t>ș</w:t>
      </w:r>
      <w:r w:rsidR="002E5D6B" w:rsidRPr="00424F06">
        <w:rPr>
          <w:rFonts w:asciiTheme="majorHAnsi" w:eastAsia="Times New Roman" w:hAnsiTheme="majorHAnsi" w:cstheme="majorHAnsi"/>
          <w:i/>
          <w:sz w:val="24"/>
          <w:szCs w:val="24"/>
          <w:lang w:val="ro-MD"/>
        </w:rPr>
        <w:t>i în scopul acordării de ajutor umanitar</w:t>
      </w:r>
      <w:r w:rsidR="002E5D6B" w:rsidRPr="00424F06">
        <w:rPr>
          <w:rStyle w:val="FootnoteReference"/>
          <w:rFonts w:ascii="Calibri Light" w:eastAsia="Times New Roman" w:hAnsi="Calibri Light" w:cstheme="majorHAnsi"/>
          <w:i/>
          <w:sz w:val="24"/>
          <w:szCs w:val="24"/>
          <w:lang w:val="ro-MD"/>
        </w:rPr>
        <w:footnoteReference w:id="85"/>
      </w:r>
      <w:r w:rsidR="002E5D6B" w:rsidRPr="00424F06">
        <w:rPr>
          <w:rFonts w:asciiTheme="majorHAnsi" w:eastAsia="Times New Roman" w:hAnsiTheme="majorHAnsi" w:cstheme="majorHAnsi"/>
          <w:i/>
          <w:sz w:val="24"/>
          <w:szCs w:val="24"/>
          <w:lang w:val="ro-MD"/>
        </w:rPr>
        <w:t xml:space="preserve">. </w:t>
      </w:r>
      <w:r w:rsidR="00EC7396" w:rsidRPr="00424F06">
        <w:rPr>
          <w:rFonts w:asciiTheme="majorHAnsi" w:eastAsia="Times New Roman" w:hAnsiTheme="majorHAnsi" w:cstheme="majorHAnsi"/>
          <w:i/>
          <w:sz w:val="24"/>
          <w:szCs w:val="24"/>
          <w:lang w:val="ro-MD"/>
        </w:rPr>
        <w:t>Deciziile cu privire la eliberarea bunurilor din rezervele materiale se iau, la solicitarea autorită</w:t>
      </w:r>
      <w:r w:rsidR="0069374B" w:rsidRPr="00424F06">
        <w:rPr>
          <w:rFonts w:asciiTheme="majorHAnsi" w:eastAsia="Times New Roman" w:hAnsiTheme="majorHAnsi" w:cstheme="majorHAnsi"/>
          <w:i/>
          <w:sz w:val="24"/>
          <w:szCs w:val="24"/>
          <w:lang w:val="ro-MD"/>
        </w:rPr>
        <w:t>ț</w:t>
      </w:r>
      <w:r w:rsidR="00EC7396" w:rsidRPr="00424F06">
        <w:rPr>
          <w:rFonts w:asciiTheme="majorHAnsi" w:eastAsia="Times New Roman" w:hAnsiTheme="majorHAnsi" w:cstheme="majorHAnsi"/>
          <w:i/>
          <w:sz w:val="24"/>
          <w:szCs w:val="24"/>
          <w:lang w:val="ro-MD"/>
        </w:rPr>
        <w:t>ilor publice locale</w:t>
      </w:r>
      <w:r w:rsidR="00404042" w:rsidRPr="00424F06">
        <w:rPr>
          <w:rFonts w:asciiTheme="majorHAnsi" w:eastAsia="Times New Roman" w:hAnsiTheme="majorHAnsi" w:cstheme="majorHAnsi"/>
          <w:i/>
          <w:sz w:val="24"/>
          <w:szCs w:val="24"/>
          <w:lang w:val="ro-MD"/>
        </w:rPr>
        <w:t>,</w:t>
      </w:r>
      <w:r w:rsidR="00EC7396" w:rsidRPr="00424F06">
        <w:rPr>
          <w:rFonts w:asciiTheme="majorHAnsi" w:eastAsia="Times New Roman" w:hAnsiTheme="majorHAnsi" w:cstheme="majorHAnsi"/>
          <w:i/>
          <w:sz w:val="24"/>
          <w:szCs w:val="24"/>
          <w:lang w:val="ro-MD"/>
        </w:rPr>
        <w:t xml:space="preserve"> în baza avizului autorită</w:t>
      </w:r>
      <w:r w:rsidR="0069374B" w:rsidRPr="00424F06">
        <w:rPr>
          <w:rFonts w:asciiTheme="majorHAnsi" w:eastAsia="Times New Roman" w:hAnsiTheme="majorHAnsi" w:cstheme="majorHAnsi"/>
          <w:i/>
          <w:sz w:val="24"/>
          <w:szCs w:val="24"/>
          <w:lang w:val="ro-MD"/>
        </w:rPr>
        <w:t>ț</w:t>
      </w:r>
      <w:r w:rsidR="00EC7396" w:rsidRPr="00424F06">
        <w:rPr>
          <w:rFonts w:asciiTheme="majorHAnsi" w:eastAsia="Times New Roman" w:hAnsiTheme="majorHAnsi" w:cstheme="majorHAnsi"/>
          <w:i/>
          <w:sz w:val="24"/>
          <w:szCs w:val="24"/>
          <w:lang w:val="ro-MD"/>
        </w:rPr>
        <w:t>ii responsabile. Eliberarea bunurilor materiale din rezervele materiale se realizează: cu titlu de deblocare; în vederea împros</w:t>
      </w:r>
      <w:r w:rsidR="00841AE2" w:rsidRPr="00424F06">
        <w:rPr>
          <w:rFonts w:asciiTheme="majorHAnsi" w:eastAsia="Times New Roman" w:hAnsiTheme="majorHAnsi" w:cstheme="majorHAnsi"/>
          <w:i/>
          <w:sz w:val="24"/>
          <w:szCs w:val="24"/>
          <w:lang w:val="ro-MD"/>
        </w:rPr>
        <w:t xml:space="preserve">pătării </w:t>
      </w:r>
      <w:r w:rsidR="0069374B" w:rsidRPr="00424F06">
        <w:rPr>
          <w:rFonts w:asciiTheme="majorHAnsi" w:eastAsia="Times New Roman" w:hAnsiTheme="majorHAnsi" w:cstheme="majorHAnsi"/>
          <w:i/>
          <w:sz w:val="24"/>
          <w:szCs w:val="24"/>
          <w:lang w:val="ro-MD"/>
        </w:rPr>
        <w:t>ș</w:t>
      </w:r>
      <w:r w:rsidR="00841AE2" w:rsidRPr="00424F06">
        <w:rPr>
          <w:rFonts w:asciiTheme="majorHAnsi" w:eastAsia="Times New Roman" w:hAnsiTheme="majorHAnsi" w:cstheme="majorHAnsi"/>
          <w:i/>
          <w:sz w:val="24"/>
          <w:szCs w:val="24"/>
          <w:lang w:val="ro-MD"/>
        </w:rPr>
        <w:t>i înlocuirii lor perio</w:t>
      </w:r>
      <w:r w:rsidR="00EC7396" w:rsidRPr="00424F06">
        <w:rPr>
          <w:rFonts w:asciiTheme="majorHAnsi" w:eastAsia="Times New Roman" w:hAnsiTheme="majorHAnsi" w:cstheme="majorHAnsi"/>
          <w:i/>
          <w:sz w:val="24"/>
          <w:szCs w:val="24"/>
          <w:lang w:val="ro-MD"/>
        </w:rPr>
        <w:t xml:space="preserve">dice; în vederea împrospătării </w:t>
      </w:r>
      <w:r w:rsidR="0069374B" w:rsidRPr="00424F06">
        <w:rPr>
          <w:rFonts w:asciiTheme="majorHAnsi" w:eastAsia="Times New Roman" w:hAnsiTheme="majorHAnsi" w:cstheme="majorHAnsi"/>
          <w:i/>
          <w:sz w:val="24"/>
          <w:szCs w:val="24"/>
          <w:lang w:val="ro-MD"/>
        </w:rPr>
        <w:t>ș</w:t>
      </w:r>
      <w:r w:rsidR="00EC7396" w:rsidRPr="00424F06">
        <w:rPr>
          <w:rFonts w:asciiTheme="majorHAnsi" w:eastAsia="Times New Roman" w:hAnsiTheme="majorHAnsi" w:cstheme="majorHAnsi"/>
          <w:i/>
          <w:sz w:val="24"/>
          <w:szCs w:val="24"/>
          <w:lang w:val="ro-MD"/>
        </w:rPr>
        <w:t xml:space="preserve">i înlocuirii cu decalaj în timp; cu titlu de împrumut pe termen scurt. </w:t>
      </w:r>
    </w:p>
    <w:p w14:paraId="641E68BB" w14:textId="6EFB3FAD" w:rsidR="001E33BF" w:rsidRPr="00424F06" w:rsidRDefault="001E33BF" w:rsidP="00767ED8">
      <w:pPr>
        <w:spacing w:after="0" w:line="276" w:lineRule="auto"/>
        <w:ind w:firstLine="567"/>
        <w:jc w:val="both"/>
        <w:rPr>
          <w:rFonts w:asciiTheme="majorHAnsi" w:eastAsia="Times New Roman" w:hAnsiTheme="majorHAnsi" w:cstheme="majorHAnsi"/>
          <w:sz w:val="24"/>
          <w:szCs w:val="24"/>
          <w:lang w:val="ro-MD"/>
        </w:rPr>
      </w:pPr>
      <w:r w:rsidRPr="00424F06">
        <w:rPr>
          <w:rFonts w:asciiTheme="majorHAnsi" w:eastAsia="Times New Roman" w:hAnsiTheme="majorHAnsi" w:cstheme="majorHAnsi"/>
          <w:sz w:val="24"/>
          <w:szCs w:val="24"/>
          <w:lang w:val="ro-MD"/>
        </w:rPr>
        <w:t xml:space="preserve"> Adunarea Populară</w:t>
      </w:r>
      <w:r w:rsidR="00AC6CE5" w:rsidRPr="00424F06">
        <w:rPr>
          <w:rFonts w:asciiTheme="majorHAnsi" w:eastAsia="Times New Roman" w:hAnsiTheme="majorHAnsi" w:cstheme="majorHAnsi"/>
          <w:sz w:val="24"/>
          <w:szCs w:val="24"/>
          <w:lang w:val="ro-MD"/>
        </w:rPr>
        <w:t>, prin Hotăr</w:t>
      </w:r>
      <w:r w:rsidR="00922693" w:rsidRPr="00424F06">
        <w:rPr>
          <w:rFonts w:asciiTheme="majorHAnsi" w:eastAsia="Times New Roman" w:hAnsiTheme="majorHAnsi" w:cstheme="majorHAnsi"/>
          <w:sz w:val="24"/>
          <w:szCs w:val="24"/>
          <w:lang w:val="ro-MD"/>
        </w:rPr>
        <w:t>â</w:t>
      </w:r>
      <w:r w:rsidR="00AC6CE5" w:rsidRPr="00424F06">
        <w:rPr>
          <w:rFonts w:asciiTheme="majorHAnsi" w:eastAsia="Times New Roman" w:hAnsiTheme="majorHAnsi" w:cstheme="majorHAnsi"/>
          <w:sz w:val="24"/>
          <w:szCs w:val="24"/>
          <w:lang w:val="ro-MD"/>
        </w:rPr>
        <w:t>rea nr.369-XXXVI/VI din 28.04.2020</w:t>
      </w:r>
      <w:r w:rsidR="00AC6CE5" w:rsidRPr="00424F06">
        <w:rPr>
          <w:rStyle w:val="FootnoteReference"/>
          <w:rFonts w:asciiTheme="majorHAnsi" w:eastAsia="Times New Roman" w:hAnsiTheme="majorHAnsi" w:cstheme="majorHAnsi"/>
          <w:sz w:val="24"/>
          <w:szCs w:val="24"/>
          <w:lang w:val="ro-MD"/>
        </w:rPr>
        <w:footnoteReference w:id="86"/>
      </w:r>
      <w:r w:rsidR="00922693"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a declarat</w:t>
      </w:r>
      <w:r w:rsidR="00744189" w:rsidRPr="00424F06">
        <w:rPr>
          <w:rFonts w:asciiTheme="majorHAnsi" w:eastAsia="Times New Roman" w:hAnsiTheme="majorHAnsi" w:cstheme="majorHAnsi"/>
          <w:sz w:val="24"/>
          <w:szCs w:val="24"/>
          <w:lang w:val="ro-MD"/>
        </w:rPr>
        <w:t xml:space="preserve"> </w:t>
      </w:r>
      <w:r w:rsidR="00AC6CE5" w:rsidRPr="00424F06">
        <w:rPr>
          <w:rFonts w:asciiTheme="majorHAnsi" w:eastAsia="Times New Roman" w:hAnsiTheme="majorHAnsi" w:cstheme="majorHAnsi"/>
          <w:sz w:val="24"/>
          <w:szCs w:val="24"/>
          <w:lang w:val="ro-MD"/>
        </w:rPr>
        <w:t xml:space="preserve"> teritoriul</w:t>
      </w:r>
      <w:r w:rsidRPr="00424F06">
        <w:rPr>
          <w:rFonts w:asciiTheme="majorHAnsi" w:eastAsia="Times New Roman" w:hAnsiTheme="majorHAnsi" w:cstheme="majorHAnsi"/>
          <w:sz w:val="24"/>
          <w:szCs w:val="24"/>
          <w:lang w:val="ro-MD"/>
        </w:rPr>
        <w:t xml:space="preserve"> UTA Găgău</w:t>
      </w:r>
      <w:r w:rsidR="00472D4D" w:rsidRPr="00424F06">
        <w:rPr>
          <w:rFonts w:asciiTheme="majorHAnsi" w:eastAsia="Times New Roman" w:hAnsiTheme="majorHAnsi" w:cstheme="majorHAnsi"/>
          <w:sz w:val="24"/>
          <w:szCs w:val="24"/>
          <w:lang w:val="ro-MD"/>
        </w:rPr>
        <w:t xml:space="preserve">zia zonă de calamitate naturală de secetă în agricultură, </w:t>
      </w:r>
      <w:r w:rsidR="00C91E9C" w:rsidRPr="00424F06">
        <w:rPr>
          <w:rFonts w:asciiTheme="majorHAnsi" w:eastAsia="Times New Roman" w:hAnsiTheme="majorHAnsi" w:cstheme="majorHAnsi"/>
          <w:sz w:val="24"/>
          <w:szCs w:val="24"/>
          <w:lang w:val="ro-MD"/>
        </w:rPr>
        <w:t xml:space="preserve">în timp </w:t>
      </w:r>
      <w:r w:rsidR="00472D4D" w:rsidRPr="00424F06">
        <w:rPr>
          <w:rFonts w:asciiTheme="majorHAnsi" w:eastAsia="Times New Roman" w:hAnsiTheme="majorHAnsi" w:cstheme="majorHAnsi"/>
          <w:sz w:val="24"/>
          <w:szCs w:val="24"/>
          <w:lang w:val="ro-MD"/>
        </w:rPr>
        <w:t>ce cadrul normativ al Republicii Moldova</w:t>
      </w:r>
      <w:r w:rsidR="00C91E9C" w:rsidRPr="00424F06">
        <w:rPr>
          <w:rFonts w:asciiTheme="majorHAnsi" w:eastAsia="Times New Roman" w:hAnsiTheme="majorHAnsi" w:cstheme="majorHAnsi"/>
          <w:sz w:val="24"/>
          <w:szCs w:val="24"/>
          <w:lang w:val="ro-MD"/>
        </w:rPr>
        <w:t xml:space="preserve"> nu prevede așa comp</w:t>
      </w:r>
      <w:r w:rsidR="00983EE5">
        <w:rPr>
          <w:rFonts w:asciiTheme="majorHAnsi" w:eastAsia="Times New Roman" w:hAnsiTheme="majorHAnsi" w:cstheme="majorHAnsi"/>
          <w:sz w:val="24"/>
          <w:szCs w:val="24"/>
          <w:lang w:val="ro-MD"/>
        </w:rPr>
        <w:t>etenț</w:t>
      </w:r>
      <w:r w:rsidR="003C2D6D" w:rsidRPr="00424F06">
        <w:rPr>
          <w:rFonts w:asciiTheme="majorHAnsi" w:eastAsia="Times New Roman" w:hAnsiTheme="majorHAnsi" w:cstheme="majorHAnsi"/>
          <w:sz w:val="24"/>
          <w:szCs w:val="24"/>
          <w:lang w:val="ro-MD"/>
        </w:rPr>
        <w:t>e</w:t>
      </w:r>
      <w:r w:rsidR="00472D4D" w:rsidRPr="00424F06">
        <w:rPr>
          <w:rStyle w:val="FootnoteReference"/>
          <w:rFonts w:asciiTheme="majorHAnsi" w:eastAsia="Times New Roman" w:hAnsiTheme="majorHAnsi" w:cstheme="majorHAnsi"/>
          <w:sz w:val="24"/>
          <w:szCs w:val="24"/>
          <w:lang w:val="ro-MD"/>
        </w:rPr>
        <w:footnoteReference w:id="87"/>
      </w:r>
      <w:r w:rsidR="00472D4D"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w:t>
      </w:r>
    </w:p>
    <w:p w14:paraId="7DA4B987" w14:textId="171C43D8" w:rsidR="00982493" w:rsidRPr="00363CFA" w:rsidRDefault="00982493" w:rsidP="00767ED8">
      <w:pPr>
        <w:spacing w:after="0" w:line="276" w:lineRule="auto"/>
        <w:ind w:firstLine="567"/>
        <w:jc w:val="both"/>
        <w:rPr>
          <w:rFonts w:asciiTheme="majorHAnsi" w:eastAsia="Times New Roman" w:hAnsiTheme="majorHAnsi" w:cstheme="majorHAnsi"/>
          <w:sz w:val="24"/>
          <w:szCs w:val="24"/>
          <w:lang w:val="ro-MD"/>
        </w:rPr>
      </w:pPr>
      <w:r w:rsidRPr="00424F06">
        <w:rPr>
          <w:rFonts w:asciiTheme="majorHAnsi" w:eastAsia="Times New Roman" w:hAnsiTheme="majorHAnsi" w:cstheme="majorHAnsi"/>
          <w:sz w:val="24"/>
          <w:szCs w:val="24"/>
          <w:lang w:val="ro-MD"/>
        </w:rPr>
        <w:t>C</w:t>
      </w:r>
      <w:r w:rsidR="00C91E9C" w:rsidRPr="00424F06">
        <w:rPr>
          <w:rFonts w:asciiTheme="majorHAnsi" w:eastAsia="Times New Roman" w:hAnsiTheme="majorHAnsi" w:cstheme="majorHAnsi"/>
          <w:sz w:val="24"/>
          <w:szCs w:val="24"/>
          <w:lang w:val="ro-MD"/>
        </w:rPr>
        <w:t xml:space="preserve">ontrar </w:t>
      </w:r>
      <w:r w:rsidRPr="00424F06">
        <w:rPr>
          <w:rFonts w:asciiTheme="majorHAnsi" w:eastAsia="Times New Roman" w:hAnsiTheme="majorHAnsi" w:cstheme="majorHAnsi"/>
          <w:sz w:val="24"/>
          <w:szCs w:val="24"/>
          <w:lang w:val="ro-MD"/>
        </w:rPr>
        <w:t>prevederil</w:t>
      </w:r>
      <w:r w:rsidR="004859BA" w:rsidRPr="00424F06">
        <w:rPr>
          <w:rFonts w:asciiTheme="majorHAnsi" w:eastAsia="Times New Roman" w:hAnsiTheme="majorHAnsi" w:cstheme="majorHAnsi"/>
          <w:sz w:val="24"/>
          <w:szCs w:val="24"/>
          <w:lang w:val="ro-MD"/>
        </w:rPr>
        <w:t>o</w:t>
      </w:r>
      <w:r w:rsidR="00C91E9C" w:rsidRPr="00424F06">
        <w:rPr>
          <w:rFonts w:asciiTheme="majorHAnsi" w:eastAsia="Times New Roman" w:hAnsiTheme="majorHAnsi" w:cstheme="majorHAnsi"/>
          <w:sz w:val="24"/>
          <w:szCs w:val="24"/>
          <w:lang w:val="ro-MD"/>
        </w:rPr>
        <w:t>r</w:t>
      </w:r>
      <w:r w:rsidRPr="00424F06">
        <w:rPr>
          <w:rFonts w:asciiTheme="majorHAnsi" w:eastAsia="Times New Roman" w:hAnsiTheme="majorHAnsi" w:cstheme="majorHAnsi"/>
          <w:sz w:val="24"/>
          <w:szCs w:val="24"/>
          <w:lang w:val="ro-MD"/>
        </w:rPr>
        <w:t xml:space="preserve"> pct.25 din Regulamentul privind rezervele materiale ale Găgăuziei</w:t>
      </w:r>
      <w:r w:rsidR="00C91E9C" w:rsidRPr="00424F06">
        <w:rPr>
          <w:rFonts w:asciiTheme="majorHAnsi" w:eastAsia="Times New Roman" w:hAnsiTheme="majorHAnsi" w:cstheme="majorHAnsi"/>
          <w:sz w:val="24"/>
          <w:szCs w:val="24"/>
          <w:lang w:val="ro-MD"/>
        </w:rPr>
        <w:t xml:space="preserve"> și </w:t>
      </w:r>
      <w:r w:rsidR="00744189" w:rsidRPr="00424F06">
        <w:rPr>
          <w:rFonts w:asciiTheme="majorHAnsi" w:eastAsia="Times New Roman" w:hAnsiTheme="majorHAnsi" w:cstheme="majorHAnsi"/>
          <w:sz w:val="24"/>
          <w:szCs w:val="24"/>
          <w:lang w:val="ro-MD"/>
        </w:rPr>
        <w:t>neconform</w:t>
      </w:r>
      <w:r w:rsidR="00C91E9C" w:rsidRPr="00424F06">
        <w:rPr>
          <w:rFonts w:asciiTheme="majorHAnsi" w:eastAsia="Times New Roman" w:hAnsiTheme="majorHAnsi" w:cstheme="majorHAnsi"/>
          <w:sz w:val="24"/>
          <w:szCs w:val="24"/>
          <w:lang w:val="ro-MD"/>
        </w:rPr>
        <w:t xml:space="preserve"> cadrul</w:t>
      </w:r>
      <w:r w:rsidR="00744189" w:rsidRPr="00424F06">
        <w:rPr>
          <w:rFonts w:asciiTheme="majorHAnsi" w:eastAsia="Times New Roman" w:hAnsiTheme="majorHAnsi" w:cstheme="majorHAnsi"/>
          <w:sz w:val="24"/>
          <w:szCs w:val="24"/>
          <w:lang w:val="ro-MD"/>
        </w:rPr>
        <w:t>ui</w:t>
      </w:r>
      <w:r w:rsidR="00C91E9C" w:rsidRPr="00424F06">
        <w:rPr>
          <w:rFonts w:asciiTheme="majorHAnsi" w:eastAsia="Times New Roman" w:hAnsiTheme="majorHAnsi" w:cstheme="majorHAnsi"/>
          <w:sz w:val="24"/>
          <w:szCs w:val="24"/>
          <w:lang w:val="ro-MD"/>
        </w:rPr>
        <w:t xml:space="preserve"> normativ al Republicii Moldova</w:t>
      </w:r>
      <w:r w:rsidR="00C91E9C" w:rsidRPr="00424F06">
        <w:rPr>
          <w:rStyle w:val="FootnoteReference"/>
          <w:rFonts w:ascii="Calibri Light" w:eastAsia="Times New Roman" w:hAnsi="Calibri Light" w:cstheme="majorHAnsi"/>
          <w:sz w:val="24"/>
          <w:szCs w:val="24"/>
          <w:lang w:val="ro-MD"/>
        </w:rPr>
        <w:footnoteReference w:id="88"/>
      </w:r>
      <w:r w:rsidR="00C91E9C" w:rsidRPr="00424F06">
        <w:rPr>
          <w:rFonts w:ascii="Calibri Light" w:eastAsia="Times New Roman" w:hAnsi="Calibri Light" w:cstheme="majorHAnsi"/>
          <w:sz w:val="24"/>
          <w:szCs w:val="24"/>
          <w:lang w:val="ro-MD"/>
        </w:rPr>
        <w:t>,</w:t>
      </w:r>
      <w:r w:rsidR="00C91E9C" w:rsidRPr="00424F06">
        <w:rPr>
          <w:rFonts w:asciiTheme="majorHAnsi" w:eastAsia="Times New Roman" w:hAnsiTheme="majorHAnsi" w:cstheme="majorHAnsi"/>
          <w:sz w:val="24"/>
          <w:szCs w:val="24"/>
          <w:lang w:val="ro-MD"/>
        </w:rPr>
        <w:t xml:space="preserve"> </w:t>
      </w:r>
      <w:r w:rsidRPr="00424F06">
        <w:rPr>
          <w:rFonts w:asciiTheme="majorHAnsi" w:eastAsia="Times New Roman" w:hAnsiTheme="majorHAnsi" w:cstheme="majorHAnsi"/>
          <w:sz w:val="24"/>
          <w:szCs w:val="24"/>
          <w:lang w:val="ro-MD"/>
        </w:rPr>
        <w:t>din rezerva materială a Găgăuziei, în lipsa solicitării de către APL de nivelul I din UTA Găgăuzia, Comitetul Executiv a decis, prin Hotăr</w:t>
      </w:r>
      <w:r w:rsidR="00C549ED"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 xml:space="preserve">rea </w:t>
      </w:r>
      <w:r w:rsidR="00C549ED" w:rsidRPr="00424F06">
        <w:rPr>
          <w:rFonts w:asciiTheme="majorHAnsi" w:eastAsia="Times New Roman" w:hAnsiTheme="majorHAnsi" w:cstheme="majorHAnsi"/>
          <w:sz w:val="24"/>
          <w:szCs w:val="24"/>
          <w:lang w:val="ro-MD"/>
        </w:rPr>
        <w:t xml:space="preserve">sa </w:t>
      </w:r>
      <w:r w:rsidRPr="00424F06">
        <w:rPr>
          <w:rFonts w:asciiTheme="majorHAnsi" w:eastAsia="Times New Roman" w:hAnsiTheme="majorHAnsi" w:cstheme="majorHAnsi"/>
          <w:sz w:val="24"/>
          <w:szCs w:val="24"/>
          <w:lang w:val="ro-MD"/>
        </w:rPr>
        <w:t>nr.18/2 din 03.07.2020</w:t>
      </w:r>
      <w:r w:rsidRPr="00424F06">
        <w:rPr>
          <w:rStyle w:val="FootnoteReference"/>
          <w:rFonts w:asciiTheme="majorHAnsi" w:eastAsia="Times New Roman" w:hAnsiTheme="majorHAnsi" w:cstheme="majorHAnsi"/>
          <w:sz w:val="24"/>
          <w:szCs w:val="24"/>
          <w:lang w:val="ro-MD"/>
        </w:rPr>
        <w:footnoteReference w:id="89"/>
      </w:r>
      <w:r w:rsidRPr="00424F06">
        <w:rPr>
          <w:rFonts w:asciiTheme="majorHAnsi" w:eastAsia="Times New Roman" w:hAnsiTheme="majorHAnsi" w:cstheme="majorHAnsi"/>
          <w:sz w:val="24"/>
          <w:szCs w:val="24"/>
          <w:lang w:val="ro-MD"/>
        </w:rPr>
        <w:t>, repartizarea gr</w:t>
      </w:r>
      <w:r w:rsidR="00C549ED"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 xml:space="preserve">ului alimentar din rezerva materială a UTA Găgăuzia, cu titlu de </w:t>
      </w:r>
      <w:r w:rsidRPr="00424F06">
        <w:rPr>
          <w:rFonts w:asciiTheme="majorHAnsi" w:eastAsia="Times New Roman" w:hAnsiTheme="majorHAnsi" w:cstheme="majorHAnsi"/>
          <w:i/>
          <w:sz w:val="24"/>
          <w:szCs w:val="24"/>
          <w:lang w:val="ro-MD"/>
        </w:rPr>
        <w:t>ajutor umanitar</w:t>
      </w:r>
      <w:r w:rsidRPr="00424F06">
        <w:rPr>
          <w:rFonts w:asciiTheme="majorHAnsi" w:eastAsia="Times New Roman" w:hAnsiTheme="majorHAnsi" w:cstheme="majorHAnsi"/>
          <w:sz w:val="24"/>
          <w:szCs w:val="24"/>
          <w:lang w:val="ro-MD"/>
        </w:rPr>
        <w:t>, în cantitate de 840 868 kg</w:t>
      </w:r>
      <w:r w:rsidR="00C549ED"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în valoare de 1750,8 mii lei, fiecărei UAT</w:t>
      </w:r>
      <w:r w:rsidR="00C549ED"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proporțional numărului populației</w:t>
      </w:r>
      <w:r w:rsidR="00C549ED"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a c</w:t>
      </w:r>
      <w:r w:rsidR="00C549ED" w:rsidRPr="00424F06">
        <w:rPr>
          <w:rFonts w:asciiTheme="majorHAnsi" w:eastAsia="Times New Roman" w:hAnsiTheme="majorHAnsi" w:cstheme="majorHAnsi"/>
          <w:sz w:val="24"/>
          <w:szCs w:val="24"/>
          <w:lang w:val="ro-MD"/>
        </w:rPr>
        <w:t>â</w:t>
      </w:r>
      <w:r w:rsidRPr="00424F06">
        <w:rPr>
          <w:rFonts w:asciiTheme="majorHAnsi" w:eastAsia="Times New Roman" w:hAnsiTheme="majorHAnsi" w:cstheme="majorHAnsi"/>
          <w:sz w:val="24"/>
          <w:szCs w:val="24"/>
          <w:lang w:val="ro-MD"/>
        </w:rPr>
        <w:t>te 5,77 kg</w:t>
      </w:r>
      <w:r w:rsidRPr="00424F06">
        <w:rPr>
          <w:rStyle w:val="FootnoteReference"/>
          <w:rFonts w:ascii="Calibri Light" w:eastAsia="Times New Roman" w:hAnsi="Calibri Light" w:cstheme="majorHAnsi"/>
          <w:sz w:val="24"/>
          <w:szCs w:val="24"/>
          <w:lang w:val="ro-MD"/>
        </w:rPr>
        <w:footnoteReference w:id="90"/>
      </w:r>
      <w:r w:rsidRPr="00424F06">
        <w:rPr>
          <w:rFonts w:asciiTheme="majorHAnsi" w:eastAsia="Times New Roman" w:hAnsiTheme="majorHAnsi" w:cstheme="majorHAnsi"/>
          <w:sz w:val="24"/>
          <w:szCs w:val="24"/>
          <w:lang w:val="ro-MD"/>
        </w:rPr>
        <w:t xml:space="preserve"> per locuitor</w:t>
      </w:r>
      <w:r w:rsidRPr="00424F06">
        <w:rPr>
          <w:rStyle w:val="FootnoteReference"/>
          <w:rFonts w:ascii="Calibri Light" w:eastAsia="Times New Roman" w:hAnsi="Calibri Light" w:cstheme="majorHAnsi"/>
          <w:sz w:val="24"/>
          <w:szCs w:val="24"/>
          <w:lang w:val="ro-MD"/>
        </w:rPr>
        <w:footnoteReference w:id="91"/>
      </w:r>
      <w:r w:rsidRPr="00424F06">
        <w:rPr>
          <w:rFonts w:ascii="Calibri Light" w:eastAsia="Times New Roman" w:hAnsi="Calibri Light" w:cstheme="majorHAnsi"/>
          <w:sz w:val="24"/>
          <w:szCs w:val="24"/>
          <w:lang w:val="ro-MD"/>
        </w:rPr>
        <w:t>.</w:t>
      </w:r>
      <w:r w:rsidRPr="00424F06">
        <w:rPr>
          <w:rFonts w:asciiTheme="majorHAnsi" w:eastAsia="Times New Roman" w:hAnsiTheme="majorHAnsi" w:cstheme="majorHAnsi"/>
          <w:sz w:val="24"/>
          <w:szCs w:val="24"/>
          <w:lang w:val="ro-MD"/>
        </w:rPr>
        <w:t xml:space="preserve"> Utilizarea acestui ajutor umanitar </w:t>
      </w:r>
      <w:r w:rsidR="00C91E9C" w:rsidRPr="00424F06">
        <w:rPr>
          <w:rFonts w:asciiTheme="majorHAnsi" w:eastAsia="Times New Roman" w:hAnsiTheme="majorHAnsi" w:cstheme="majorHAnsi"/>
          <w:sz w:val="24"/>
          <w:szCs w:val="24"/>
          <w:lang w:val="ro-MD"/>
        </w:rPr>
        <w:t xml:space="preserve">a </w:t>
      </w:r>
      <w:r w:rsidRPr="00424F06">
        <w:rPr>
          <w:rFonts w:asciiTheme="majorHAnsi" w:eastAsia="Times New Roman" w:hAnsiTheme="majorHAnsi" w:cstheme="majorHAnsi"/>
          <w:sz w:val="24"/>
          <w:szCs w:val="24"/>
          <w:lang w:val="ro-MD"/>
        </w:rPr>
        <w:t>f</w:t>
      </w:r>
      <w:r w:rsidR="00C91E9C" w:rsidRPr="00424F06">
        <w:rPr>
          <w:rFonts w:asciiTheme="majorHAnsi" w:eastAsia="Times New Roman" w:hAnsiTheme="majorHAnsi" w:cstheme="majorHAnsi"/>
          <w:sz w:val="24"/>
          <w:szCs w:val="24"/>
          <w:lang w:val="ro-MD"/>
        </w:rPr>
        <w:t xml:space="preserve">ost </w:t>
      </w:r>
      <w:r w:rsidRPr="00424F06">
        <w:rPr>
          <w:rFonts w:asciiTheme="majorHAnsi" w:eastAsia="Times New Roman" w:hAnsiTheme="majorHAnsi" w:cstheme="majorHAnsi"/>
          <w:sz w:val="24"/>
          <w:szCs w:val="24"/>
          <w:lang w:val="ro-MD"/>
        </w:rPr>
        <w:t>lăsată la discreția AAPL</w:t>
      </w:r>
      <w:r w:rsidR="00C549ED" w:rsidRPr="00424F06">
        <w:rPr>
          <w:rFonts w:asciiTheme="majorHAnsi" w:eastAsia="Times New Roman" w:hAnsiTheme="majorHAnsi" w:cstheme="majorHAnsi"/>
          <w:sz w:val="24"/>
          <w:szCs w:val="24"/>
          <w:lang w:val="ro-MD"/>
        </w:rPr>
        <w:t>,</w:t>
      </w:r>
      <w:r w:rsidRPr="00424F06">
        <w:rPr>
          <w:rFonts w:asciiTheme="majorHAnsi" w:eastAsia="Times New Roman" w:hAnsiTheme="majorHAnsi" w:cstheme="majorHAnsi"/>
          <w:sz w:val="24"/>
          <w:szCs w:val="24"/>
          <w:lang w:val="ro-MD"/>
        </w:rPr>
        <w:t xml:space="preserve"> cu raportarea ulterioară Comitetului Executiv</w:t>
      </w:r>
      <w:r w:rsidRPr="00424F06">
        <w:rPr>
          <w:rStyle w:val="FootnoteReference"/>
          <w:rFonts w:ascii="Calibri Light" w:eastAsia="Times New Roman" w:hAnsi="Calibri Light" w:cstheme="majorHAnsi"/>
          <w:sz w:val="24"/>
          <w:szCs w:val="24"/>
          <w:lang w:val="ro-MD"/>
        </w:rPr>
        <w:footnoteReference w:id="92"/>
      </w:r>
      <w:r w:rsidRPr="00424F06">
        <w:rPr>
          <w:rFonts w:ascii="Calibri Light" w:eastAsia="Times New Roman" w:hAnsi="Calibri Light" w:cstheme="majorHAnsi"/>
          <w:sz w:val="24"/>
          <w:szCs w:val="24"/>
          <w:lang w:val="ro-MD"/>
        </w:rPr>
        <w:t>.</w:t>
      </w:r>
      <w:r w:rsidRPr="00363CFA">
        <w:rPr>
          <w:rFonts w:asciiTheme="majorHAnsi" w:eastAsia="Times New Roman" w:hAnsiTheme="majorHAnsi" w:cstheme="majorHAnsi"/>
          <w:sz w:val="24"/>
          <w:szCs w:val="24"/>
          <w:lang w:val="ro-MD"/>
        </w:rPr>
        <w:t xml:space="preserve"> </w:t>
      </w:r>
    </w:p>
    <w:p w14:paraId="336E69F4" w14:textId="3AA50685" w:rsidR="005C3CE2" w:rsidRPr="00363CFA" w:rsidRDefault="005C3CE2" w:rsidP="00767ED8">
      <w:pPr>
        <w:pStyle w:val="Heading1"/>
        <w:spacing w:line="276" w:lineRule="auto"/>
        <w:rPr>
          <w:rFonts w:cstheme="majorHAnsi"/>
          <w:b/>
          <w:lang w:val="ro-MD"/>
        </w:rPr>
      </w:pPr>
      <w:bookmarkStart w:id="29" w:name="_Toc58780366"/>
      <w:bookmarkStart w:id="30" w:name="_Toc84512910"/>
      <w:r w:rsidRPr="00363CFA">
        <w:rPr>
          <w:rFonts w:cstheme="majorHAnsi"/>
          <w:b/>
          <w:lang w:val="ro-MD"/>
        </w:rPr>
        <w:lastRenderedPageBreak/>
        <w:t xml:space="preserve">V. </w:t>
      </w:r>
      <w:r w:rsidRPr="00B1128B">
        <w:rPr>
          <w:rFonts w:cstheme="majorHAnsi"/>
          <w:b/>
          <w:lang w:val="ro-MD"/>
        </w:rPr>
        <w:t>CONCLUZII GENERALE DE AUDIT</w:t>
      </w:r>
      <w:bookmarkEnd w:id="29"/>
      <w:bookmarkEnd w:id="30"/>
    </w:p>
    <w:p w14:paraId="2DE37D80" w14:textId="66D0DD6B" w:rsidR="0007098F" w:rsidRPr="00363CFA" w:rsidRDefault="0007098F" w:rsidP="00767ED8">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sz w:val="24"/>
          <w:szCs w:val="24"/>
          <w:lang w:val="ro-MD"/>
        </w:rPr>
        <w:t xml:space="preserve">Misiunea de audit atestă un deficit de reguli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proceduri</w:t>
      </w:r>
      <w:r w:rsidR="002E2D9C" w:rsidRPr="00363CFA">
        <w:rPr>
          <w:rFonts w:asciiTheme="majorHAnsi" w:eastAsia="Times New Roman" w:hAnsiTheme="majorHAnsi" w:cstheme="majorHAnsi"/>
          <w:sz w:val="24"/>
          <w:szCs w:val="24"/>
          <w:lang w:val="ro-MD"/>
        </w:rPr>
        <w:t xml:space="preserve"> </w:t>
      </w:r>
      <w:r w:rsidRPr="00363CFA">
        <w:rPr>
          <w:rFonts w:asciiTheme="majorHAnsi" w:eastAsia="Times New Roman" w:hAnsiTheme="majorHAnsi" w:cstheme="majorHAnsi"/>
          <w:sz w:val="24"/>
          <w:szCs w:val="24"/>
          <w:lang w:val="ro-MD"/>
        </w:rPr>
        <w:t xml:space="preserve">aferente procesului de gestionare a mijloacelor bugetare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patrimoniului public ale UTA la toate nivelurile de administra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ie locală, astfel managementul institu</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ional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 xml:space="preserve">i </w:t>
      </w:r>
      <w:r w:rsidR="00C549ED">
        <w:rPr>
          <w:rFonts w:asciiTheme="majorHAnsi" w:eastAsia="Times New Roman" w:hAnsiTheme="majorHAnsi" w:cstheme="majorHAnsi"/>
          <w:sz w:val="24"/>
          <w:szCs w:val="24"/>
          <w:lang w:val="ro-MD"/>
        </w:rPr>
        <w:t xml:space="preserve">cel </w:t>
      </w:r>
      <w:r w:rsidRPr="00363CFA">
        <w:rPr>
          <w:rFonts w:asciiTheme="majorHAnsi" w:eastAsia="Times New Roman" w:hAnsiTheme="majorHAnsi" w:cstheme="majorHAnsi"/>
          <w:sz w:val="24"/>
          <w:szCs w:val="24"/>
          <w:lang w:val="ro-MD"/>
        </w:rPr>
        <w:t>financiar nefiind racordat</w:t>
      </w:r>
      <w:r w:rsidR="00C549ED">
        <w:rPr>
          <w:rFonts w:asciiTheme="majorHAnsi" w:eastAsia="Times New Roman" w:hAnsiTheme="majorHAnsi" w:cstheme="majorHAnsi"/>
          <w:sz w:val="24"/>
          <w:szCs w:val="24"/>
          <w:lang w:val="ro-MD"/>
        </w:rPr>
        <w:t>e</w:t>
      </w:r>
      <w:r w:rsidRPr="00363CFA">
        <w:rPr>
          <w:rFonts w:asciiTheme="majorHAnsi" w:eastAsia="Times New Roman" w:hAnsiTheme="majorHAnsi" w:cstheme="majorHAnsi"/>
          <w:sz w:val="24"/>
          <w:szCs w:val="24"/>
          <w:lang w:val="ro-MD"/>
        </w:rPr>
        <w:t xml:space="preserve"> la principiile bunei guvernări. </w:t>
      </w:r>
    </w:p>
    <w:p w14:paraId="702FBDB0" w14:textId="330B3543" w:rsidR="0007098F" w:rsidRPr="00363CFA" w:rsidRDefault="0007098F">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sz w:val="24"/>
          <w:szCs w:val="24"/>
          <w:lang w:val="ro-MD"/>
        </w:rPr>
        <w:t>Managementul gestionării patrimoniului UTA Găgăuzia nu întrune</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 xml:space="preserve">te rigorile cadrului legal, acesta fiind afectat de nereguli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deficien</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e, care se exprimă prin: lipsa eviden</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ei conforme a patrimoniului public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raportării veridice a situa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iilor patrimoniale; neasigurarea înregistrării integrale a drepturilor asupra bunurilor imobile în Registrul bunurilor imobil</w:t>
      </w:r>
      <w:r w:rsidR="00C549ED">
        <w:rPr>
          <w:rFonts w:asciiTheme="majorHAnsi" w:eastAsia="Times New Roman" w:hAnsiTheme="majorHAnsi" w:cstheme="majorHAnsi"/>
          <w:sz w:val="24"/>
          <w:szCs w:val="24"/>
          <w:lang w:val="ro-MD"/>
        </w:rPr>
        <w:t>e</w:t>
      </w:r>
      <w:r w:rsidRPr="00363CFA">
        <w:rPr>
          <w:rFonts w:asciiTheme="majorHAnsi" w:eastAsia="Times New Roman" w:hAnsiTheme="majorHAnsi" w:cstheme="majorHAnsi"/>
          <w:sz w:val="24"/>
          <w:szCs w:val="24"/>
          <w:lang w:val="ro-MD"/>
        </w:rPr>
        <w:t xml:space="preserve"> etc. Toate acestea, în viziunea auditorilor, au fost condi</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ionate de lipsa unui sistem de control intern managerial adecvat pe componentele respective de activită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 precum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de responsabilitatea insuficientă a factorilor de decizie la exercitarea atribu</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iilor func</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ionale.</w:t>
      </w:r>
    </w:p>
    <w:p w14:paraId="78F47971" w14:textId="77777777" w:rsidR="00D259DF" w:rsidRPr="00363CFA" w:rsidRDefault="00D259DF" w:rsidP="00D259DF">
      <w:pPr>
        <w:spacing w:after="0" w:line="276" w:lineRule="auto"/>
        <w:ind w:firstLine="567"/>
        <w:jc w:val="both"/>
        <w:rPr>
          <w:rFonts w:asciiTheme="majorHAnsi" w:eastAsia="Times New Roman" w:hAnsiTheme="majorHAnsi" w:cstheme="majorHAnsi"/>
          <w:sz w:val="24"/>
          <w:szCs w:val="24"/>
          <w:lang w:val="ro-MD"/>
        </w:rPr>
      </w:pPr>
      <w:r w:rsidRPr="00983EE5">
        <w:rPr>
          <w:rFonts w:asciiTheme="majorHAnsi" w:eastAsia="Times New Roman" w:hAnsiTheme="majorHAnsi" w:cstheme="majorHAnsi"/>
          <w:sz w:val="24"/>
          <w:szCs w:val="24"/>
          <w:lang w:val="ro-MD"/>
        </w:rPr>
        <w:t>În scopul ameliorării situațiilor atestate, și luînd in vedere neexecutarea integrală a Hotărârii Cutții de Conturi precedente</w:t>
      </w:r>
      <w:r w:rsidRPr="00983EE5">
        <w:rPr>
          <w:rStyle w:val="FootnoteReference"/>
          <w:rFonts w:asciiTheme="majorHAnsi" w:eastAsia="Times New Roman" w:hAnsiTheme="majorHAnsi" w:cstheme="majorHAnsi"/>
          <w:sz w:val="24"/>
          <w:szCs w:val="24"/>
          <w:lang w:val="ro-MD"/>
        </w:rPr>
        <w:footnoteReference w:id="93"/>
      </w:r>
      <w:r w:rsidRPr="00983EE5">
        <w:rPr>
          <w:rFonts w:asciiTheme="majorHAnsi" w:eastAsia="Times New Roman" w:hAnsiTheme="majorHAnsi" w:cstheme="majorHAnsi"/>
          <w:sz w:val="24"/>
          <w:szCs w:val="24"/>
          <w:lang w:val="ro-MD"/>
        </w:rPr>
        <w:t xml:space="preserve"> , auditul public extern oferă recomandările de rigoare, pentru o remediere punctuală a deficiențelor și, respectiv, pentru diminuarea riscurilor evidente.</w:t>
      </w:r>
    </w:p>
    <w:p w14:paraId="57216467" w14:textId="2A61CE8F" w:rsidR="005C3CE2" w:rsidRPr="00363CFA" w:rsidRDefault="005C3CE2" w:rsidP="00767ED8">
      <w:pPr>
        <w:pStyle w:val="Heading1"/>
        <w:spacing w:line="276" w:lineRule="auto"/>
        <w:rPr>
          <w:rFonts w:cstheme="majorHAnsi"/>
          <w:b/>
          <w:lang w:val="ro-MD"/>
        </w:rPr>
      </w:pPr>
      <w:bookmarkStart w:id="31" w:name="_Toc60045179"/>
      <w:bookmarkStart w:id="32" w:name="_Toc58780367"/>
      <w:bookmarkStart w:id="33" w:name="_Toc84512911"/>
      <w:r w:rsidRPr="00363CFA">
        <w:rPr>
          <w:rFonts w:cstheme="majorHAnsi"/>
          <w:b/>
          <w:lang w:val="ro-MD"/>
        </w:rPr>
        <w:t>VI.   RECOMANDĂRI</w:t>
      </w:r>
      <w:bookmarkEnd w:id="31"/>
      <w:bookmarkEnd w:id="32"/>
      <w:bookmarkEnd w:id="33"/>
    </w:p>
    <w:p w14:paraId="56F633D7" w14:textId="4E12215A" w:rsidR="00E72406" w:rsidRPr="00363CFA" w:rsidRDefault="00E72406" w:rsidP="00767ED8">
      <w:pPr>
        <w:spacing w:after="0" w:line="276" w:lineRule="auto"/>
        <w:jc w:val="both"/>
        <w:rPr>
          <w:rFonts w:asciiTheme="majorHAnsi" w:hAnsiTheme="majorHAnsi" w:cstheme="majorHAnsi"/>
          <w:b/>
          <w:sz w:val="24"/>
          <w:szCs w:val="24"/>
          <w:lang w:val="ro-MD"/>
        </w:rPr>
      </w:pPr>
      <w:r w:rsidRPr="00363CFA">
        <w:rPr>
          <w:rFonts w:asciiTheme="majorHAnsi" w:hAnsiTheme="majorHAnsi" w:cstheme="majorHAnsi"/>
          <w:b/>
          <w:sz w:val="24"/>
          <w:szCs w:val="24"/>
          <w:lang w:val="ro-MD"/>
        </w:rPr>
        <w:t>Comitetul</w:t>
      </w:r>
      <w:r w:rsidR="00BE69B3">
        <w:rPr>
          <w:rFonts w:asciiTheme="majorHAnsi" w:hAnsiTheme="majorHAnsi" w:cstheme="majorHAnsi"/>
          <w:b/>
          <w:sz w:val="24"/>
          <w:szCs w:val="24"/>
          <w:lang w:val="ro-MD"/>
        </w:rPr>
        <w:t>ui</w:t>
      </w:r>
      <w:r w:rsidRPr="00363CFA">
        <w:rPr>
          <w:rFonts w:asciiTheme="majorHAnsi" w:hAnsiTheme="majorHAnsi" w:cstheme="majorHAnsi"/>
          <w:b/>
          <w:sz w:val="24"/>
          <w:szCs w:val="24"/>
          <w:lang w:val="ro-MD"/>
        </w:rPr>
        <w:t xml:space="preserve"> Executiv al </w:t>
      </w:r>
      <w:r w:rsidR="009A1D20">
        <w:rPr>
          <w:rFonts w:asciiTheme="majorHAnsi" w:hAnsiTheme="majorHAnsi" w:cstheme="majorHAnsi"/>
          <w:b/>
          <w:sz w:val="24"/>
          <w:szCs w:val="24"/>
          <w:lang w:val="ro-MD"/>
        </w:rPr>
        <w:t xml:space="preserve">UTA </w:t>
      </w:r>
      <w:r w:rsidRPr="00363CFA">
        <w:rPr>
          <w:rFonts w:asciiTheme="majorHAnsi" w:hAnsiTheme="majorHAnsi" w:cstheme="majorHAnsi"/>
          <w:b/>
          <w:sz w:val="24"/>
          <w:szCs w:val="24"/>
          <w:lang w:val="ro-MD"/>
        </w:rPr>
        <w:t>Găgăuzi</w:t>
      </w:r>
      <w:r w:rsidR="009A1D20">
        <w:rPr>
          <w:rFonts w:asciiTheme="majorHAnsi" w:hAnsiTheme="majorHAnsi" w:cstheme="majorHAnsi"/>
          <w:b/>
          <w:sz w:val="24"/>
          <w:szCs w:val="24"/>
          <w:lang w:val="ro-MD"/>
        </w:rPr>
        <w:t>a</w:t>
      </w:r>
      <w:r w:rsidR="00BE69B3">
        <w:rPr>
          <w:rFonts w:asciiTheme="majorHAnsi" w:hAnsiTheme="majorHAnsi" w:cstheme="majorHAnsi"/>
          <w:b/>
          <w:sz w:val="24"/>
          <w:szCs w:val="24"/>
          <w:lang w:val="ro-MD"/>
        </w:rPr>
        <w:t>:</w:t>
      </w:r>
    </w:p>
    <w:p w14:paraId="3E2FA981" w14:textId="2896526A" w:rsidR="00E72406" w:rsidRPr="00363CFA" w:rsidRDefault="00E72406" w:rsidP="00767ED8">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sz w:val="24"/>
          <w:szCs w:val="24"/>
          <w:lang w:val="ro-MD"/>
        </w:rPr>
        <w:t>1.</w:t>
      </w:r>
      <w:r w:rsidR="009A1D20">
        <w:rPr>
          <w:rFonts w:asciiTheme="majorHAnsi" w:hAnsiTheme="majorHAnsi" w:cstheme="majorHAnsi"/>
          <w:sz w:val="24"/>
          <w:szCs w:val="24"/>
          <w:lang w:val="ro-MD"/>
        </w:rPr>
        <w:t xml:space="preserve"> </w:t>
      </w:r>
      <w:r w:rsidRPr="00363CFA">
        <w:rPr>
          <w:rFonts w:asciiTheme="majorHAnsi" w:hAnsiTheme="majorHAnsi" w:cstheme="majorHAnsi"/>
          <w:sz w:val="24"/>
          <w:szCs w:val="24"/>
          <w:lang w:val="ro-MD"/>
        </w:rPr>
        <w:t>eliminarea deficien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elor indicate în prezentul </w:t>
      </w:r>
      <w:r w:rsidR="00E37F5D">
        <w:rPr>
          <w:rFonts w:asciiTheme="majorHAnsi" w:hAnsiTheme="majorHAnsi" w:cstheme="majorHAnsi"/>
          <w:sz w:val="24"/>
          <w:szCs w:val="24"/>
          <w:lang w:val="ro-MD"/>
        </w:rPr>
        <w:t>R</w:t>
      </w:r>
      <w:r w:rsidRPr="00363CFA">
        <w:rPr>
          <w:rFonts w:asciiTheme="majorHAnsi" w:hAnsiTheme="majorHAnsi" w:cstheme="majorHAnsi"/>
          <w:sz w:val="24"/>
          <w:szCs w:val="24"/>
          <w:lang w:val="ro-MD"/>
        </w:rPr>
        <w:t>aport de audit</w:t>
      </w:r>
      <w:r w:rsidR="00864DBB" w:rsidRPr="00363CFA">
        <w:rPr>
          <w:rFonts w:asciiTheme="majorHAnsi" w:hAnsiTheme="majorHAnsi" w:cstheme="majorHAnsi"/>
          <w:sz w:val="24"/>
          <w:szCs w:val="24"/>
          <w:lang w:val="ro-MD"/>
        </w:rPr>
        <w:t xml:space="preserve">, cu stabilirea persoanelor responsabile de </w:t>
      </w:r>
      <w:r w:rsidR="00E37F5D">
        <w:rPr>
          <w:rFonts w:asciiTheme="majorHAnsi" w:hAnsiTheme="majorHAnsi" w:cstheme="majorHAnsi"/>
          <w:sz w:val="24"/>
          <w:szCs w:val="24"/>
          <w:lang w:val="ro-MD"/>
        </w:rPr>
        <w:t>acestea</w:t>
      </w:r>
      <w:r w:rsidR="00864DBB" w:rsidRPr="00363CFA">
        <w:rPr>
          <w:rFonts w:asciiTheme="majorHAnsi" w:hAnsiTheme="majorHAnsi" w:cstheme="majorHAnsi"/>
          <w:sz w:val="24"/>
          <w:szCs w:val="24"/>
          <w:lang w:val="ro-MD"/>
        </w:rPr>
        <w:t xml:space="preserve"> </w:t>
      </w:r>
      <w:r w:rsidR="0069374B" w:rsidRPr="00363CFA">
        <w:rPr>
          <w:rFonts w:asciiTheme="majorHAnsi" w:hAnsiTheme="majorHAnsi" w:cstheme="majorHAnsi"/>
          <w:sz w:val="24"/>
          <w:szCs w:val="24"/>
          <w:lang w:val="ro-MD"/>
        </w:rPr>
        <w:t>ș</w:t>
      </w:r>
      <w:r w:rsidR="00864DBB" w:rsidRPr="00363CFA">
        <w:rPr>
          <w:rFonts w:asciiTheme="majorHAnsi" w:hAnsiTheme="majorHAnsi" w:cstheme="majorHAnsi"/>
          <w:sz w:val="24"/>
          <w:szCs w:val="24"/>
          <w:lang w:val="ro-MD"/>
        </w:rPr>
        <w:t>i tragerea lor la răspundere conform cadrului legal existent</w:t>
      </w:r>
      <w:r w:rsidRPr="00363CFA">
        <w:rPr>
          <w:rFonts w:asciiTheme="majorHAnsi" w:hAnsiTheme="majorHAnsi" w:cstheme="majorHAnsi"/>
          <w:sz w:val="24"/>
          <w:szCs w:val="24"/>
          <w:lang w:val="ro-MD"/>
        </w:rPr>
        <w:t>;</w:t>
      </w:r>
    </w:p>
    <w:p w14:paraId="45869101" w14:textId="561CA05A" w:rsidR="00E72406" w:rsidRDefault="00EA008C" w:rsidP="00767ED8">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sz w:val="24"/>
          <w:szCs w:val="24"/>
          <w:lang w:val="ro-MD"/>
        </w:rPr>
        <w:t>2</w:t>
      </w:r>
      <w:r w:rsidR="00E72406" w:rsidRPr="00363CFA">
        <w:rPr>
          <w:rFonts w:asciiTheme="majorHAnsi" w:hAnsiTheme="majorHAnsi" w:cstheme="majorHAnsi"/>
          <w:b/>
          <w:sz w:val="24"/>
          <w:szCs w:val="24"/>
          <w:lang w:val="ro-MD"/>
        </w:rPr>
        <w:t>.</w:t>
      </w:r>
      <w:r w:rsidR="00E72406" w:rsidRPr="00363CFA">
        <w:rPr>
          <w:rFonts w:asciiTheme="majorHAnsi" w:hAnsiTheme="majorHAnsi" w:cstheme="majorHAnsi"/>
          <w:sz w:val="24"/>
          <w:szCs w:val="24"/>
          <w:lang w:val="ro-MD"/>
        </w:rPr>
        <w:t xml:space="preserve"> </w:t>
      </w:r>
      <w:r w:rsidR="009966E4">
        <w:rPr>
          <w:rFonts w:asciiTheme="majorHAnsi" w:hAnsiTheme="majorHAnsi" w:cstheme="majorHAnsi"/>
          <w:sz w:val="24"/>
          <w:szCs w:val="24"/>
          <w:lang w:val="ro-MD"/>
        </w:rPr>
        <w:t xml:space="preserve">la </w:t>
      </w:r>
      <w:r w:rsidR="00973407">
        <w:rPr>
          <w:rFonts w:asciiTheme="majorHAnsi" w:hAnsiTheme="majorHAnsi" w:cstheme="majorHAnsi"/>
          <w:sz w:val="24"/>
          <w:szCs w:val="24"/>
          <w:lang w:val="ro-MD"/>
        </w:rPr>
        <w:t>aprobarea și finanțarea programelor</w:t>
      </w:r>
      <w:r w:rsidR="009966E4">
        <w:rPr>
          <w:rFonts w:asciiTheme="majorHAnsi" w:hAnsiTheme="majorHAnsi" w:cstheme="majorHAnsi"/>
          <w:sz w:val="24"/>
          <w:szCs w:val="24"/>
          <w:lang w:val="ro-MD"/>
        </w:rPr>
        <w:t xml:space="preserve"> să </w:t>
      </w:r>
      <w:r w:rsidR="000464B4">
        <w:rPr>
          <w:rFonts w:asciiTheme="majorHAnsi" w:hAnsiTheme="majorHAnsi" w:cstheme="majorHAnsi"/>
          <w:sz w:val="24"/>
          <w:szCs w:val="24"/>
          <w:lang w:val="ro-MD"/>
        </w:rPr>
        <w:t>s</w:t>
      </w:r>
      <w:r w:rsidR="009966E4">
        <w:rPr>
          <w:rFonts w:asciiTheme="majorHAnsi" w:hAnsiTheme="majorHAnsi" w:cstheme="majorHAnsi"/>
          <w:sz w:val="24"/>
          <w:szCs w:val="24"/>
          <w:lang w:val="ro-MD"/>
        </w:rPr>
        <w:t>e asigur</w:t>
      </w:r>
      <w:r w:rsidR="000464B4">
        <w:rPr>
          <w:rFonts w:asciiTheme="majorHAnsi" w:hAnsiTheme="majorHAnsi" w:cstheme="majorHAnsi"/>
          <w:sz w:val="24"/>
          <w:szCs w:val="24"/>
          <w:lang w:val="ro-MD"/>
        </w:rPr>
        <w:t>e</w:t>
      </w:r>
      <w:r w:rsidR="009966E4">
        <w:rPr>
          <w:rFonts w:asciiTheme="majorHAnsi" w:hAnsiTheme="majorHAnsi" w:cstheme="majorHAnsi"/>
          <w:sz w:val="24"/>
          <w:szCs w:val="24"/>
          <w:lang w:val="ro-MD"/>
        </w:rPr>
        <w:t xml:space="preserve"> respectarea prevederilor </w:t>
      </w:r>
      <w:r w:rsidR="00566325" w:rsidRPr="00F32458">
        <w:rPr>
          <w:rFonts w:asciiTheme="majorHAnsi" w:eastAsia="Times New Roman" w:hAnsiTheme="majorHAnsi" w:cstheme="majorHAnsi"/>
          <w:sz w:val="24"/>
          <w:szCs w:val="24"/>
          <w:lang w:val="ro-MD"/>
        </w:rPr>
        <w:t xml:space="preserve">art.11 și art.51 </w:t>
      </w:r>
      <w:r w:rsidR="009A1D20">
        <w:rPr>
          <w:rFonts w:asciiTheme="majorHAnsi" w:eastAsia="Times New Roman" w:hAnsiTheme="majorHAnsi" w:cstheme="majorHAnsi"/>
          <w:sz w:val="24"/>
          <w:szCs w:val="24"/>
          <w:lang w:val="ro-MD"/>
        </w:rPr>
        <w:t>din</w:t>
      </w:r>
      <w:r w:rsidR="00566325" w:rsidRPr="00F32458">
        <w:rPr>
          <w:rFonts w:asciiTheme="majorHAnsi" w:eastAsia="Times New Roman" w:hAnsiTheme="majorHAnsi" w:cstheme="majorHAnsi"/>
          <w:sz w:val="24"/>
          <w:szCs w:val="24"/>
          <w:lang w:val="ro-MD"/>
        </w:rPr>
        <w:t xml:space="preserve"> Leg</w:t>
      </w:r>
      <w:r w:rsidR="009A1D20">
        <w:rPr>
          <w:rFonts w:asciiTheme="majorHAnsi" w:eastAsia="Times New Roman" w:hAnsiTheme="majorHAnsi" w:cstheme="majorHAnsi"/>
          <w:sz w:val="24"/>
          <w:szCs w:val="24"/>
          <w:lang w:val="ro-MD"/>
        </w:rPr>
        <w:t>ea</w:t>
      </w:r>
      <w:r w:rsidR="00566325" w:rsidRPr="00F32458">
        <w:rPr>
          <w:rFonts w:asciiTheme="majorHAnsi" w:eastAsia="Times New Roman" w:hAnsiTheme="majorHAnsi" w:cstheme="majorHAnsi"/>
          <w:sz w:val="24"/>
          <w:szCs w:val="24"/>
          <w:lang w:val="ro-MD"/>
        </w:rPr>
        <w:t xml:space="preserve"> finanțelor publice și responsabilității bugetar</w:t>
      </w:r>
      <w:r w:rsidR="009A1D20">
        <w:rPr>
          <w:rFonts w:asciiTheme="majorHAnsi" w:eastAsia="Times New Roman" w:hAnsiTheme="majorHAnsi" w:cstheme="majorHAnsi"/>
          <w:sz w:val="24"/>
          <w:szCs w:val="24"/>
          <w:lang w:val="ro-MD"/>
        </w:rPr>
        <w:t>-</w:t>
      </w:r>
      <w:r w:rsidR="00566325" w:rsidRPr="00F32458">
        <w:rPr>
          <w:rFonts w:asciiTheme="majorHAnsi" w:eastAsia="Times New Roman" w:hAnsiTheme="majorHAnsi" w:cstheme="majorHAnsi"/>
          <w:sz w:val="24"/>
          <w:szCs w:val="24"/>
          <w:lang w:val="ro-MD"/>
        </w:rPr>
        <w:t>fiscale</w:t>
      </w:r>
      <w:r w:rsidR="009A1D20" w:rsidRPr="009A1D20">
        <w:rPr>
          <w:rFonts w:asciiTheme="majorHAnsi" w:eastAsia="Times New Roman" w:hAnsiTheme="majorHAnsi" w:cstheme="majorHAnsi"/>
          <w:sz w:val="24"/>
          <w:szCs w:val="24"/>
          <w:lang w:val="ro-MD"/>
        </w:rPr>
        <w:t xml:space="preserve"> </w:t>
      </w:r>
      <w:r w:rsidR="009A1D20" w:rsidRPr="00F32458">
        <w:rPr>
          <w:rFonts w:asciiTheme="majorHAnsi" w:eastAsia="Times New Roman" w:hAnsiTheme="majorHAnsi" w:cstheme="majorHAnsi"/>
          <w:sz w:val="24"/>
          <w:szCs w:val="24"/>
          <w:lang w:val="ro-MD"/>
        </w:rPr>
        <w:t>nr.</w:t>
      </w:r>
      <w:r w:rsidR="009A1D20" w:rsidRPr="00F32458">
        <w:rPr>
          <w:rFonts w:asciiTheme="majorHAnsi" w:eastAsia="Times New Roman" w:hAnsiTheme="majorHAnsi" w:cstheme="majorHAnsi"/>
          <w:sz w:val="24"/>
          <w:szCs w:val="24"/>
        </w:rPr>
        <w:t>181/25.07.2014</w:t>
      </w:r>
      <w:r w:rsidR="00566325">
        <w:rPr>
          <w:rFonts w:asciiTheme="majorHAnsi" w:eastAsia="Times New Roman" w:hAnsiTheme="majorHAnsi" w:cstheme="majorHAnsi"/>
          <w:sz w:val="24"/>
          <w:szCs w:val="24"/>
          <w:lang w:val="ro-MD"/>
        </w:rPr>
        <w:t xml:space="preserve">, precum și </w:t>
      </w:r>
      <w:r w:rsidR="00566325">
        <w:rPr>
          <w:rFonts w:asciiTheme="majorHAnsi" w:eastAsia="Times New Roman" w:hAnsiTheme="majorHAnsi" w:cstheme="majorHAnsi"/>
          <w:color w:val="000000" w:themeColor="text1"/>
          <w:sz w:val="24"/>
          <w:szCs w:val="24"/>
          <w:lang w:val="ro-MD"/>
        </w:rPr>
        <w:t xml:space="preserve">o prognozare conformă a necesităților financiare pentru realizarea acestor programe </w:t>
      </w:r>
      <w:r w:rsidR="00E72406" w:rsidRPr="00363CFA">
        <w:rPr>
          <w:rFonts w:asciiTheme="majorHAnsi" w:hAnsiTheme="majorHAnsi" w:cstheme="majorHAnsi"/>
          <w:sz w:val="24"/>
          <w:szCs w:val="24"/>
          <w:lang w:val="ro-MD"/>
        </w:rPr>
        <w:t xml:space="preserve"> </w:t>
      </w:r>
      <w:r w:rsidR="00864DBB" w:rsidRPr="00363CFA">
        <w:rPr>
          <w:rFonts w:asciiTheme="majorHAnsi" w:hAnsiTheme="majorHAnsi" w:cstheme="majorHAnsi"/>
          <w:sz w:val="24"/>
          <w:szCs w:val="24"/>
          <w:lang w:val="ro-MD"/>
        </w:rPr>
        <w:t>(4.2.1</w:t>
      </w:r>
      <w:r w:rsidR="00BE69B3">
        <w:rPr>
          <w:rFonts w:asciiTheme="majorHAnsi" w:hAnsiTheme="majorHAnsi" w:cstheme="majorHAnsi"/>
          <w:sz w:val="24"/>
          <w:szCs w:val="24"/>
          <w:lang w:val="ro-MD"/>
        </w:rPr>
        <w:t>.</w:t>
      </w:r>
      <w:r w:rsidR="00864DBB" w:rsidRPr="00363CFA">
        <w:rPr>
          <w:rFonts w:asciiTheme="majorHAnsi" w:hAnsiTheme="majorHAnsi" w:cstheme="majorHAnsi"/>
          <w:sz w:val="24"/>
          <w:szCs w:val="24"/>
          <w:lang w:val="ro-MD"/>
        </w:rPr>
        <w:t>)</w:t>
      </w:r>
      <w:r w:rsidR="00B633CC" w:rsidRPr="00363CFA">
        <w:rPr>
          <w:rFonts w:asciiTheme="majorHAnsi" w:hAnsiTheme="majorHAnsi" w:cstheme="majorHAnsi"/>
          <w:sz w:val="24"/>
          <w:szCs w:val="24"/>
          <w:lang w:val="ro-MD"/>
        </w:rPr>
        <w:t>;</w:t>
      </w:r>
    </w:p>
    <w:p w14:paraId="5675B6B8" w14:textId="072CCD3F" w:rsidR="00E72406" w:rsidRPr="00363CFA" w:rsidRDefault="00EA008C" w:rsidP="00767ED8">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sz w:val="24"/>
          <w:szCs w:val="24"/>
          <w:lang w:val="ro-MD"/>
        </w:rPr>
        <w:t>3</w:t>
      </w:r>
      <w:r w:rsidR="00E72406" w:rsidRPr="00363CFA">
        <w:rPr>
          <w:rFonts w:asciiTheme="majorHAnsi" w:hAnsiTheme="majorHAnsi" w:cstheme="majorHAnsi"/>
          <w:b/>
          <w:sz w:val="24"/>
          <w:szCs w:val="24"/>
          <w:lang w:val="ro-MD"/>
        </w:rPr>
        <w:t>.</w:t>
      </w:r>
      <w:r w:rsidR="00E72406" w:rsidRPr="00363CFA">
        <w:rPr>
          <w:rFonts w:asciiTheme="majorHAnsi" w:hAnsiTheme="majorHAnsi" w:cstheme="majorHAnsi"/>
          <w:sz w:val="24"/>
          <w:szCs w:val="24"/>
          <w:lang w:val="ro-MD"/>
        </w:rPr>
        <w:t xml:space="preserve"> implementarea procedurilor de control intern care vor asigura legalitatea </w:t>
      </w:r>
      <w:r w:rsidR="0069374B" w:rsidRPr="00363CFA">
        <w:rPr>
          <w:rFonts w:asciiTheme="majorHAnsi" w:hAnsiTheme="majorHAnsi" w:cstheme="majorHAnsi"/>
          <w:sz w:val="24"/>
          <w:szCs w:val="24"/>
          <w:lang w:val="ro-MD"/>
        </w:rPr>
        <w:t>ș</w:t>
      </w:r>
      <w:r w:rsidR="00E72406" w:rsidRPr="00363CFA">
        <w:rPr>
          <w:rFonts w:asciiTheme="majorHAnsi" w:hAnsiTheme="majorHAnsi" w:cstheme="majorHAnsi"/>
          <w:sz w:val="24"/>
          <w:szCs w:val="24"/>
          <w:lang w:val="ro-MD"/>
        </w:rPr>
        <w:t>i regularitatea în procesul achizi</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iilor, planificarea conformă a cheltuielilor, monitorizarea îndeplinirii prevederilor contractuale etc.</w:t>
      </w:r>
      <w:r w:rsidR="000831DE" w:rsidRPr="00363CFA">
        <w:rPr>
          <w:rFonts w:asciiTheme="majorHAnsi" w:hAnsiTheme="majorHAnsi" w:cstheme="majorHAnsi"/>
          <w:sz w:val="24"/>
          <w:szCs w:val="24"/>
          <w:lang w:val="ro-MD"/>
        </w:rPr>
        <w:t xml:space="preserve"> (4.2.2</w:t>
      </w:r>
      <w:r w:rsidR="00BE69B3">
        <w:rPr>
          <w:rFonts w:asciiTheme="majorHAnsi" w:hAnsiTheme="majorHAnsi" w:cstheme="majorHAnsi"/>
          <w:sz w:val="24"/>
          <w:szCs w:val="24"/>
          <w:lang w:val="ro-MD"/>
        </w:rPr>
        <w:t>.</w:t>
      </w:r>
      <w:r w:rsidR="000831DE" w:rsidRPr="00363CFA">
        <w:rPr>
          <w:rFonts w:asciiTheme="majorHAnsi" w:hAnsiTheme="majorHAnsi" w:cstheme="majorHAnsi"/>
          <w:sz w:val="24"/>
          <w:szCs w:val="24"/>
          <w:lang w:val="ro-MD"/>
        </w:rPr>
        <w:t>)</w:t>
      </w:r>
      <w:r w:rsidR="00B633CC" w:rsidRPr="00363CFA">
        <w:rPr>
          <w:rFonts w:asciiTheme="majorHAnsi" w:hAnsiTheme="majorHAnsi" w:cstheme="majorHAnsi"/>
          <w:sz w:val="24"/>
          <w:szCs w:val="24"/>
          <w:lang w:val="ro-MD"/>
        </w:rPr>
        <w:t>;</w:t>
      </w:r>
    </w:p>
    <w:p w14:paraId="7CEF8522" w14:textId="77777777" w:rsidR="00E72406" w:rsidRPr="00363CFA" w:rsidRDefault="00EA008C" w:rsidP="00767ED8">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sz w:val="24"/>
          <w:szCs w:val="24"/>
          <w:lang w:val="ro-MD"/>
        </w:rPr>
        <w:t>4</w:t>
      </w:r>
      <w:r w:rsidR="00E72406" w:rsidRPr="00363CFA">
        <w:rPr>
          <w:rFonts w:asciiTheme="majorHAnsi" w:hAnsiTheme="majorHAnsi" w:cstheme="majorHAnsi"/>
          <w:b/>
          <w:sz w:val="24"/>
          <w:szCs w:val="24"/>
          <w:lang w:val="ro-MD"/>
        </w:rPr>
        <w:t>.</w:t>
      </w:r>
      <w:r w:rsidR="00E72406" w:rsidRPr="00363CFA">
        <w:rPr>
          <w:rFonts w:asciiTheme="majorHAnsi" w:hAnsiTheme="majorHAnsi" w:cstheme="majorHAnsi"/>
          <w:sz w:val="24"/>
          <w:szCs w:val="24"/>
          <w:lang w:val="ro-MD"/>
        </w:rPr>
        <w:t xml:space="preserve"> conformarea statutului institu</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iilor din subordine la cadrul normativ</w:t>
      </w:r>
      <w:r w:rsidR="00807C88" w:rsidRPr="00363CFA">
        <w:rPr>
          <w:rFonts w:asciiTheme="majorHAnsi" w:hAnsiTheme="majorHAnsi" w:cstheme="majorHAnsi"/>
          <w:sz w:val="24"/>
          <w:szCs w:val="24"/>
          <w:lang w:val="ro-MD"/>
        </w:rPr>
        <w:t xml:space="preserve"> existent </w:t>
      </w:r>
      <w:r w:rsidR="000831DE" w:rsidRPr="00363CFA">
        <w:rPr>
          <w:rFonts w:asciiTheme="majorHAnsi" w:hAnsiTheme="majorHAnsi" w:cstheme="majorHAnsi"/>
          <w:sz w:val="24"/>
          <w:szCs w:val="24"/>
          <w:lang w:val="ro-MD"/>
        </w:rPr>
        <w:t>( 4.2.4.)</w:t>
      </w:r>
      <w:r w:rsidR="00B633CC" w:rsidRPr="00363CFA">
        <w:rPr>
          <w:rFonts w:asciiTheme="majorHAnsi" w:hAnsiTheme="majorHAnsi" w:cstheme="majorHAnsi"/>
          <w:sz w:val="24"/>
          <w:szCs w:val="24"/>
          <w:lang w:val="ro-MD"/>
        </w:rPr>
        <w:t>;</w:t>
      </w:r>
    </w:p>
    <w:p w14:paraId="0BD376D2" w14:textId="2CA2A9C4" w:rsidR="00F873E4" w:rsidRPr="00363CFA" w:rsidRDefault="00EA008C" w:rsidP="00767ED8">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sz w:val="24"/>
          <w:szCs w:val="24"/>
          <w:lang w:val="ro-MD"/>
        </w:rPr>
        <w:t>5</w:t>
      </w:r>
      <w:r w:rsidR="00E72406" w:rsidRPr="00363CFA">
        <w:rPr>
          <w:rFonts w:asciiTheme="majorHAnsi" w:hAnsiTheme="majorHAnsi" w:cstheme="majorHAnsi"/>
          <w:b/>
          <w:sz w:val="24"/>
          <w:szCs w:val="24"/>
          <w:lang w:val="ro-MD"/>
        </w:rPr>
        <w:t>.</w:t>
      </w:r>
      <w:r w:rsidR="00E72406" w:rsidRPr="00363CFA">
        <w:rPr>
          <w:rFonts w:asciiTheme="majorHAnsi" w:hAnsiTheme="majorHAnsi" w:cstheme="majorHAnsi"/>
          <w:sz w:val="24"/>
          <w:szCs w:val="24"/>
          <w:lang w:val="ro-MD"/>
        </w:rPr>
        <w:t xml:space="preserve"> înregistrarea în Registrul bunurilor imobile a dreptului asupra bunurilor imobiliare gestionate de către IMSP din sectorul Vulcăne</w:t>
      </w:r>
      <w:r w:rsidR="0069374B" w:rsidRPr="00363CFA">
        <w:rPr>
          <w:rFonts w:asciiTheme="majorHAnsi" w:hAnsiTheme="majorHAnsi" w:cstheme="majorHAnsi"/>
          <w:sz w:val="24"/>
          <w:szCs w:val="24"/>
          <w:lang w:val="ro-MD"/>
        </w:rPr>
        <w:t>ș</w:t>
      </w:r>
      <w:r w:rsidR="00E72406" w:rsidRPr="00363CFA">
        <w:rPr>
          <w:rFonts w:asciiTheme="majorHAnsi" w:hAnsiTheme="majorHAnsi" w:cstheme="majorHAnsi"/>
          <w:sz w:val="24"/>
          <w:szCs w:val="24"/>
          <w:lang w:val="ro-MD"/>
        </w:rPr>
        <w:t xml:space="preserve">ti </w:t>
      </w:r>
      <w:r w:rsidR="0069374B" w:rsidRPr="00363CFA">
        <w:rPr>
          <w:rFonts w:asciiTheme="majorHAnsi" w:hAnsiTheme="majorHAnsi" w:cstheme="majorHAnsi"/>
          <w:sz w:val="24"/>
          <w:szCs w:val="24"/>
          <w:lang w:val="ro-MD"/>
        </w:rPr>
        <w:t>ș</w:t>
      </w:r>
      <w:r w:rsidR="00DC4029">
        <w:rPr>
          <w:rFonts w:asciiTheme="majorHAnsi" w:hAnsiTheme="majorHAnsi" w:cstheme="majorHAnsi"/>
          <w:sz w:val="24"/>
          <w:szCs w:val="24"/>
          <w:lang w:val="ro-MD"/>
        </w:rPr>
        <w:t xml:space="preserve">i </w:t>
      </w:r>
      <w:r w:rsidR="00E72406" w:rsidRPr="00363CFA">
        <w:rPr>
          <w:rFonts w:asciiTheme="majorHAnsi" w:hAnsiTheme="majorHAnsi" w:cstheme="majorHAnsi"/>
          <w:sz w:val="24"/>
          <w:szCs w:val="24"/>
          <w:lang w:val="ro-MD"/>
        </w:rPr>
        <w:t>contabiliz</w:t>
      </w:r>
      <w:r w:rsidR="00DC4029">
        <w:rPr>
          <w:rFonts w:asciiTheme="majorHAnsi" w:hAnsiTheme="majorHAnsi" w:cstheme="majorHAnsi"/>
          <w:sz w:val="24"/>
          <w:szCs w:val="24"/>
          <w:lang w:val="ro-MD"/>
        </w:rPr>
        <w:t xml:space="preserve">area </w:t>
      </w:r>
      <w:r w:rsidR="00E72406" w:rsidRPr="00363CFA">
        <w:rPr>
          <w:rFonts w:asciiTheme="majorHAnsi" w:hAnsiTheme="majorHAnsi" w:cstheme="majorHAnsi"/>
          <w:sz w:val="24"/>
          <w:szCs w:val="24"/>
          <w:lang w:val="ro-MD"/>
        </w:rPr>
        <w:t>integral</w:t>
      </w:r>
      <w:r w:rsidR="00DC4029">
        <w:rPr>
          <w:rFonts w:asciiTheme="majorHAnsi" w:hAnsiTheme="majorHAnsi" w:cstheme="majorHAnsi"/>
          <w:sz w:val="24"/>
          <w:szCs w:val="24"/>
          <w:lang w:val="ro-MD"/>
        </w:rPr>
        <w:t>ă</w:t>
      </w:r>
      <w:r w:rsidR="00E72406" w:rsidRPr="00363CFA">
        <w:rPr>
          <w:rFonts w:asciiTheme="majorHAnsi" w:hAnsiTheme="majorHAnsi" w:cstheme="majorHAnsi"/>
          <w:sz w:val="24"/>
          <w:szCs w:val="24"/>
          <w:lang w:val="ro-MD"/>
        </w:rPr>
        <w:t xml:space="preserve"> a patrimoniului gestionat de către IMSP din UTA Găgăuzia</w:t>
      </w:r>
      <w:r w:rsidR="000831DE" w:rsidRPr="00363CFA">
        <w:rPr>
          <w:rFonts w:asciiTheme="majorHAnsi" w:hAnsiTheme="majorHAnsi" w:cstheme="majorHAnsi"/>
          <w:sz w:val="24"/>
          <w:szCs w:val="24"/>
          <w:lang w:val="ro-MD"/>
        </w:rPr>
        <w:t xml:space="preserve"> (4.3.</w:t>
      </w:r>
      <w:r w:rsidR="00F12B2E" w:rsidRPr="00363CFA">
        <w:rPr>
          <w:rFonts w:asciiTheme="majorHAnsi" w:hAnsiTheme="majorHAnsi" w:cstheme="majorHAnsi"/>
          <w:sz w:val="24"/>
          <w:szCs w:val="24"/>
          <w:lang w:val="ro-MD"/>
        </w:rPr>
        <w:t>1</w:t>
      </w:r>
      <w:r w:rsidR="000831DE" w:rsidRPr="00363CFA">
        <w:rPr>
          <w:rFonts w:asciiTheme="majorHAnsi" w:hAnsiTheme="majorHAnsi" w:cstheme="majorHAnsi"/>
          <w:sz w:val="24"/>
          <w:szCs w:val="24"/>
          <w:lang w:val="ro-MD"/>
        </w:rPr>
        <w:t>.)</w:t>
      </w:r>
      <w:r w:rsidR="00E37F5D">
        <w:rPr>
          <w:rFonts w:asciiTheme="majorHAnsi" w:hAnsiTheme="majorHAnsi" w:cstheme="majorHAnsi"/>
          <w:sz w:val="24"/>
          <w:szCs w:val="24"/>
          <w:lang w:val="ro-MD"/>
        </w:rPr>
        <w:t>.</w:t>
      </w:r>
    </w:p>
    <w:p w14:paraId="79617A03" w14:textId="23407C15" w:rsidR="00E72406" w:rsidRPr="00363CFA" w:rsidRDefault="00E72406" w:rsidP="00767ED8">
      <w:pPr>
        <w:spacing w:after="0" w:line="276" w:lineRule="auto"/>
        <w:jc w:val="both"/>
        <w:rPr>
          <w:rFonts w:asciiTheme="majorHAnsi" w:hAnsiTheme="majorHAnsi" w:cstheme="majorHAnsi"/>
          <w:b/>
          <w:sz w:val="24"/>
          <w:szCs w:val="24"/>
          <w:lang w:val="ro-MD"/>
        </w:rPr>
      </w:pPr>
      <w:r w:rsidRPr="00363CFA">
        <w:rPr>
          <w:rFonts w:asciiTheme="majorHAnsi" w:hAnsiTheme="majorHAnsi" w:cstheme="majorHAnsi"/>
          <w:b/>
          <w:sz w:val="24"/>
          <w:szCs w:val="24"/>
          <w:lang w:val="ro-MD"/>
        </w:rPr>
        <w:t xml:space="preserve">Adunării Populare a Găgăuziei </w:t>
      </w:r>
      <w:r w:rsidR="0069374B" w:rsidRPr="00363CFA">
        <w:rPr>
          <w:rFonts w:asciiTheme="majorHAnsi" w:hAnsiTheme="majorHAnsi" w:cstheme="majorHAnsi"/>
          <w:b/>
          <w:sz w:val="24"/>
          <w:szCs w:val="24"/>
          <w:lang w:val="ro-MD"/>
        </w:rPr>
        <w:t>ș</w:t>
      </w:r>
      <w:r w:rsidRPr="00363CFA">
        <w:rPr>
          <w:rFonts w:asciiTheme="majorHAnsi" w:hAnsiTheme="majorHAnsi" w:cstheme="majorHAnsi"/>
          <w:b/>
          <w:sz w:val="24"/>
          <w:szCs w:val="24"/>
          <w:lang w:val="ro-MD"/>
        </w:rPr>
        <w:t xml:space="preserve">i Comitetului Executiv al </w:t>
      </w:r>
      <w:r w:rsidR="009A1D20">
        <w:rPr>
          <w:rFonts w:asciiTheme="majorHAnsi" w:hAnsiTheme="majorHAnsi" w:cstheme="majorHAnsi"/>
          <w:b/>
          <w:sz w:val="24"/>
          <w:szCs w:val="24"/>
          <w:lang w:val="ro-MD"/>
        </w:rPr>
        <w:t xml:space="preserve">UTA </w:t>
      </w:r>
      <w:r w:rsidRPr="00363CFA">
        <w:rPr>
          <w:rFonts w:asciiTheme="majorHAnsi" w:hAnsiTheme="majorHAnsi" w:cstheme="majorHAnsi"/>
          <w:b/>
          <w:sz w:val="24"/>
          <w:szCs w:val="24"/>
          <w:lang w:val="ro-MD"/>
        </w:rPr>
        <w:t>Găgăuzi</w:t>
      </w:r>
      <w:r w:rsidR="009A1D20">
        <w:rPr>
          <w:rFonts w:asciiTheme="majorHAnsi" w:hAnsiTheme="majorHAnsi" w:cstheme="majorHAnsi"/>
          <w:b/>
          <w:sz w:val="24"/>
          <w:szCs w:val="24"/>
          <w:lang w:val="ro-MD"/>
        </w:rPr>
        <w:t>a</w:t>
      </w:r>
      <w:r w:rsidR="00BE69B3">
        <w:rPr>
          <w:rFonts w:asciiTheme="majorHAnsi" w:hAnsiTheme="majorHAnsi" w:cstheme="majorHAnsi"/>
          <w:b/>
          <w:sz w:val="24"/>
          <w:szCs w:val="24"/>
          <w:lang w:val="ro-MD"/>
        </w:rPr>
        <w:t>:</w:t>
      </w:r>
    </w:p>
    <w:p w14:paraId="2B92AF44" w14:textId="054394CA" w:rsidR="00E72406" w:rsidRPr="00363CFA" w:rsidRDefault="00EA008C" w:rsidP="00767ED8">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sz w:val="24"/>
          <w:szCs w:val="24"/>
          <w:lang w:val="ro-MD"/>
        </w:rPr>
        <w:t>6</w:t>
      </w:r>
      <w:r w:rsidR="00E72406" w:rsidRPr="00363CFA">
        <w:rPr>
          <w:rFonts w:asciiTheme="majorHAnsi" w:hAnsiTheme="majorHAnsi" w:cstheme="majorHAnsi"/>
          <w:b/>
          <w:sz w:val="24"/>
          <w:szCs w:val="24"/>
          <w:lang w:val="ro-MD"/>
        </w:rPr>
        <w:t>.</w:t>
      </w:r>
      <w:r w:rsidR="00E72406" w:rsidRPr="00363CFA">
        <w:rPr>
          <w:rFonts w:asciiTheme="majorHAnsi" w:hAnsiTheme="majorHAnsi" w:cstheme="majorHAnsi"/>
          <w:sz w:val="24"/>
          <w:szCs w:val="24"/>
          <w:lang w:val="ro-MD"/>
        </w:rPr>
        <w:t xml:space="preserve"> elaborarea </w:t>
      </w:r>
      <w:r w:rsidR="0069374B" w:rsidRPr="00363CFA">
        <w:rPr>
          <w:rFonts w:asciiTheme="majorHAnsi" w:hAnsiTheme="majorHAnsi" w:cstheme="majorHAnsi"/>
          <w:sz w:val="24"/>
          <w:szCs w:val="24"/>
          <w:lang w:val="ro-MD"/>
        </w:rPr>
        <w:t>ș</w:t>
      </w:r>
      <w:r w:rsidR="00E72406" w:rsidRPr="00363CFA">
        <w:rPr>
          <w:rFonts w:asciiTheme="majorHAnsi" w:hAnsiTheme="majorHAnsi" w:cstheme="majorHAnsi"/>
          <w:sz w:val="24"/>
          <w:szCs w:val="24"/>
          <w:lang w:val="ro-MD"/>
        </w:rPr>
        <w:t>i aprobarea reglementărilor interne privind modul de utilizare a mijloacelor financiare pentru deservirea delega</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 xml:space="preserve">iilor </w:t>
      </w:r>
      <w:r w:rsidR="0069374B" w:rsidRPr="00363CFA">
        <w:rPr>
          <w:rFonts w:asciiTheme="majorHAnsi" w:hAnsiTheme="majorHAnsi" w:cstheme="majorHAnsi"/>
          <w:sz w:val="24"/>
          <w:szCs w:val="24"/>
          <w:lang w:val="ro-MD"/>
        </w:rPr>
        <w:t>ș</w:t>
      </w:r>
      <w:r w:rsidR="00E72406" w:rsidRPr="00363CFA">
        <w:rPr>
          <w:rFonts w:asciiTheme="majorHAnsi" w:hAnsiTheme="majorHAnsi" w:cstheme="majorHAnsi"/>
          <w:sz w:val="24"/>
          <w:szCs w:val="24"/>
          <w:lang w:val="ro-MD"/>
        </w:rPr>
        <w:t xml:space="preserve">i persoanelor oficiale străine, precum </w:t>
      </w:r>
      <w:r w:rsidR="0069374B" w:rsidRPr="00363CFA">
        <w:rPr>
          <w:rFonts w:asciiTheme="majorHAnsi" w:hAnsiTheme="majorHAnsi" w:cstheme="majorHAnsi"/>
          <w:sz w:val="24"/>
          <w:szCs w:val="24"/>
          <w:lang w:val="ro-MD"/>
        </w:rPr>
        <w:t>ș</w:t>
      </w:r>
      <w:r w:rsidR="00E72406" w:rsidRPr="00363CFA">
        <w:rPr>
          <w:rFonts w:asciiTheme="majorHAnsi" w:hAnsiTheme="majorHAnsi" w:cstheme="majorHAnsi"/>
          <w:sz w:val="24"/>
          <w:szCs w:val="24"/>
          <w:lang w:val="ro-MD"/>
        </w:rPr>
        <w:t>i la activită</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ile de organizare a conferin</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elor, simpozioanelor, festivalurilor etc.</w:t>
      </w:r>
      <w:r w:rsidR="000831DE" w:rsidRPr="00363CFA">
        <w:rPr>
          <w:rFonts w:asciiTheme="majorHAnsi" w:hAnsiTheme="majorHAnsi" w:cstheme="majorHAnsi"/>
          <w:sz w:val="24"/>
          <w:szCs w:val="24"/>
          <w:lang w:val="ro-MD"/>
        </w:rPr>
        <w:t>(4.2.6.)</w:t>
      </w:r>
      <w:r w:rsidR="00E37F5D">
        <w:rPr>
          <w:rFonts w:asciiTheme="majorHAnsi" w:hAnsiTheme="majorHAnsi" w:cstheme="majorHAnsi"/>
          <w:sz w:val="24"/>
          <w:szCs w:val="24"/>
          <w:lang w:val="ro-MD"/>
        </w:rPr>
        <w:t>.</w:t>
      </w:r>
    </w:p>
    <w:p w14:paraId="6CD417C6" w14:textId="480EED0B" w:rsidR="00E72406" w:rsidRPr="00363CFA" w:rsidRDefault="00E72406" w:rsidP="00767ED8">
      <w:pPr>
        <w:spacing w:after="0" w:line="276" w:lineRule="auto"/>
        <w:jc w:val="both"/>
        <w:rPr>
          <w:rFonts w:asciiTheme="majorHAnsi" w:hAnsiTheme="majorHAnsi" w:cstheme="majorHAnsi"/>
          <w:b/>
          <w:sz w:val="24"/>
          <w:szCs w:val="24"/>
          <w:lang w:val="ro-MD"/>
        </w:rPr>
      </w:pPr>
      <w:r w:rsidRPr="00363CFA">
        <w:rPr>
          <w:rFonts w:asciiTheme="majorHAnsi" w:hAnsiTheme="majorHAnsi" w:cstheme="majorHAnsi"/>
          <w:b/>
          <w:sz w:val="24"/>
          <w:szCs w:val="24"/>
          <w:lang w:val="ro-MD"/>
        </w:rPr>
        <w:t>Primarilor UAT din UTA Găgăuzia</w:t>
      </w:r>
      <w:r w:rsidRPr="00424F06">
        <w:rPr>
          <w:rStyle w:val="FootnoteReference"/>
          <w:rFonts w:asciiTheme="majorHAnsi" w:hAnsiTheme="majorHAnsi" w:cstheme="majorHAnsi"/>
          <w:sz w:val="24"/>
          <w:szCs w:val="24"/>
          <w:lang w:val="ro-MD"/>
        </w:rPr>
        <w:footnoteReference w:id="94"/>
      </w:r>
      <w:r w:rsidR="00BE69B3">
        <w:rPr>
          <w:rFonts w:asciiTheme="majorHAnsi" w:hAnsiTheme="majorHAnsi" w:cstheme="majorHAnsi"/>
          <w:b/>
          <w:sz w:val="24"/>
          <w:szCs w:val="24"/>
          <w:lang w:val="ro-MD"/>
        </w:rPr>
        <w:t>:</w:t>
      </w:r>
    </w:p>
    <w:p w14:paraId="1FA0FC58" w14:textId="5B925570" w:rsidR="0026118C" w:rsidRPr="00363CFA" w:rsidRDefault="00EA008C" w:rsidP="00767ED8">
      <w:pPr>
        <w:spacing w:after="0" w:line="276" w:lineRule="auto"/>
        <w:jc w:val="both"/>
        <w:rPr>
          <w:rFonts w:asciiTheme="majorHAnsi" w:hAnsiTheme="majorHAnsi" w:cstheme="majorHAnsi"/>
          <w:sz w:val="24"/>
          <w:szCs w:val="24"/>
          <w:lang w:val="ro-MD"/>
        </w:rPr>
      </w:pPr>
      <w:r w:rsidRPr="00363CFA">
        <w:rPr>
          <w:rFonts w:asciiTheme="majorHAnsi" w:hAnsiTheme="majorHAnsi" w:cstheme="majorHAnsi"/>
          <w:b/>
          <w:sz w:val="24"/>
          <w:szCs w:val="24"/>
          <w:lang w:val="ro-MD"/>
        </w:rPr>
        <w:t>7</w:t>
      </w:r>
      <w:r w:rsidR="00E72406" w:rsidRPr="00363CFA">
        <w:rPr>
          <w:rFonts w:asciiTheme="majorHAnsi" w:hAnsiTheme="majorHAnsi" w:cstheme="majorHAnsi"/>
          <w:sz w:val="24"/>
          <w:szCs w:val="24"/>
          <w:lang w:val="ro-MD"/>
        </w:rPr>
        <w:t>. evaluarea statutului nutri</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ional al copiilor, asigurarea respectării cantită</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 xml:space="preserve">ii zilnice necesare de produse alimentare, precum </w:t>
      </w:r>
      <w:r w:rsidR="0069374B" w:rsidRPr="00363CFA">
        <w:rPr>
          <w:rFonts w:asciiTheme="majorHAnsi" w:hAnsiTheme="majorHAnsi" w:cstheme="majorHAnsi"/>
          <w:sz w:val="24"/>
          <w:szCs w:val="24"/>
          <w:lang w:val="ro-MD"/>
        </w:rPr>
        <w:t>ș</w:t>
      </w:r>
      <w:r w:rsidR="00E72406" w:rsidRPr="00363CFA">
        <w:rPr>
          <w:rFonts w:asciiTheme="majorHAnsi" w:hAnsiTheme="majorHAnsi" w:cstheme="majorHAnsi"/>
          <w:sz w:val="24"/>
          <w:szCs w:val="24"/>
          <w:lang w:val="ro-MD"/>
        </w:rPr>
        <w:t>i a normativului financiar pentru un copil din institu</w:t>
      </w:r>
      <w:r w:rsidR="0069374B" w:rsidRPr="00363CFA">
        <w:rPr>
          <w:rFonts w:asciiTheme="majorHAnsi" w:hAnsiTheme="majorHAnsi" w:cstheme="majorHAnsi"/>
          <w:sz w:val="24"/>
          <w:szCs w:val="24"/>
          <w:lang w:val="ro-MD"/>
        </w:rPr>
        <w:t>ț</w:t>
      </w:r>
      <w:r w:rsidR="00E72406" w:rsidRPr="00363CFA">
        <w:rPr>
          <w:rFonts w:asciiTheme="majorHAnsi" w:hAnsiTheme="majorHAnsi" w:cstheme="majorHAnsi"/>
          <w:sz w:val="24"/>
          <w:szCs w:val="24"/>
          <w:lang w:val="ro-MD"/>
        </w:rPr>
        <w:t>iile pre</w:t>
      </w:r>
      <w:r w:rsidR="0069374B" w:rsidRPr="00363CFA">
        <w:rPr>
          <w:rFonts w:asciiTheme="majorHAnsi" w:hAnsiTheme="majorHAnsi" w:cstheme="majorHAnsi"/>
          <w:sz w:val="24"/>
          <w:szCs w:val="24"/>
          <w:lang w:val="ro-MD"/>
        </w:rPr>
        <w:t>ș</w:t>
      </w:r>
      <w:r w:rsidR="00E72406" w:rsidRPr="00363CFA">
        <w:rPr>
          <w:rFonts w:asciiTheme="majorHAnsi" w:hAnsiTheme="majorHAnsi" w:cstheme="majorHAnsi"/>
          <w:sz w:val="24"/>
          <w:szCs w:val="24"/>
          <w:lang w:val="ro-MD"/>
        </w:rPr>
        <w:t xml:space="preserve">colare, prevăzute de cadrul </w:t>
      </w:r>
      <w:r w:rsidR="00B633CC" w:rsidRPr="00363CFA">
        <w:rPr>
          <w:rFonts w:asciiTheme="majorHAnsi" w:hAnsiTheme="majorHAnsi" w:cstheme="majorHAnsi"/>
          <w:sz w:val="24"/>
          <w:szCs w:val="24"/>
          <w:lang w:val="ro-MD"/>
        </w:rPr>
        <w:t xml:space="preserve">normativ </w:t>
      </w:r>
      <w:r w:rsidR="000831DE" w:rsidRPr="00363CFA">
        <w:rPr>
          <w:rFonts w:asciiTheme="majorHAnsi" w:hAnsiTheme="majorHAnsi" w:cstheme="majorHAnsi"/>
          <w:sz w:val="24"/>
          <w:szCs w:val="24"/>
          <w:lang w:val="ro-MD"/>
        </w:rPr>
        <w:t>( 4.2.5</w:t>
      </w:r>
      <w:r w:rsidR="00BE69B3">
        <w:rPr>
          <w:rFonts w:asciiTheme="majorHAnsi" w:hAnsiTheme="majorHAnsi" w:cstheme="majorHAnsi"/>
          <w:sz w:val="24"/>
          <w:szCs w:val="24"/>
          <w:lang w:val="ro-MD"/>
        </w:rPr>
        <w:t>.</w:t>
      </w:r>
      <w:r w:rsidR="000831DE" w:rsidRPr="00363CFA">
        <w:rPr>
          <w:rFonts w:asciiTheme="majorHAnsi" w:hAnsiTheme="majorHAnsi" w:cstheme="majorHAnsi"/>
          <w:sz w:val="24"/>
          <w:szCs w:val="24"/>
          <w:lang w:val="ro-MD"/>
        </w:rPr>
        <w:t xml:space="preserve">).  </w:t>
      </w:r>
    </w:p>
    <w:p w14:paraId="024C9030" w14:textId="6E89B01D" w:rsidR="00F12B2E" w:rsidRPr="00363CFA" w:rsidRDefault="00F12B2E" w:rsidP="00767ED8">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i/>
          <w:iCs/>
          <w:sz w:val="24"/>
          <w:szCs w:val="24"/>
          <w:lang w:val="ro-MD"/>
        </w:rPr>
        <w:lastRenderedPageBreak/>
        <w:t xml:space="preserve">Recomandările reiterate, aprobate prin </w:t>
      </w:r>
      <w:r w:rsidRPr="00363CFA">
        <w:rPr>
          <w:rFonts w:asciiTheme="majorHAnsi" w:eastAsia="Times New Roman" w:hAnsiTheme="majorHAnsi" w:cstheme="majorHAnsi"/>
          <w:b/>
          <w:bCs/>
          <w:i/>
          <w:iCs/>
          <w:color w:val="0000FF"/>
          <w:sz w:val="24"/>
          <w:szCs w:val="24"/>
          <w:u w:val="single"/>
          <w:lang w:val="ro-MD"/>
        </w:rPr>
        <w:t>Hotărârea Cur</w:t>
      </w:r>
      <w:r w:rsidR="0069374B" w:rsidRPr="00363CFA">
        <w:rPr>
          <w:rFonts w:asciiTheme="majorHAnsi" w:eastAsia="Times New Roman" w:hAnsiTheme="majorHAnsi" w:cstheme="majorHAnsi"/>
          <w:b/>
          <w:bCs/>
          <w:i/>
          <w:iCs/>
          <w:color w:val="0000FF"/>
          <w:sz w:val="24"/>
          <w:szCs w:val="24"/>
          <w:u w:val="single"/>
          <w:lang w:val="ro-MD"/>
        </w:rPr>
        <w:t>ț</w:t>
      </w:r>
      <w:r w:rsidRPr="00363CFA">
        <w:rPr>
          <w:rFonts w:asciiTheme="majorHAnsi" w:eastAsia="Times New Roman" w:hAnsiTheme="majorHAnsi" w:cstheme="majorHAnsi"/>
          <w:b/>
          <w:bCs/>
          <w:i/>
          <w:iCs/>
          <w:color w:val="0000FF"/>
          <w:sz w:val="24"/>
          <w:szCs w:val="24"/>
          <w:u w:val="single"/>
          <w:lang w:val="ro-MD"/>
        </w:rPr>
        <w:t>ii de Conturi nr.50 din 23.07.2016</w:t>
      </w:r>
      <w:r w:rsidR="00BE69B3">
        <w:rPr>
          <w:rFonts w:asciiTheme="majorHAnsi" w:eastAsia="Times New Roman" w:hAnsiTheme="majorHAnsi" w:cstheme="majorHAnsi"/>
          <w:b/>
          <w:bCs/>
          <w:i/>
          <w:iCs/>
          <w:color w:val="0000FF"/>
          <w:sz w:val="24"/>
          <w:szCs w:val="24"/>
          <w:u w:val="single"/>
          <w:lang w:val="ro-MD"/>
        </w:rPr>
        <w:t>,</w:t>
      </w:r>
      <w:r w:rsidRPr="00363CFA">
        <w:rPr>
          <w:rFonts w:asciiTheme="majorHAnsi" w:eastAsia="Times New Roman" w:hAnsiTheme="majorHAnsi" w:cstheme="majorHAnsi"/>
          <w:b/>
          <w:bCs/>
          <w:i/>
          <w:iCs/>
          <w:sz w:val="24"/>
          <w:szCs w:val="24"/>
          <w:lang w:val="ro-MD"/>
        </w:rPr>
        <w:t xml:space="preserve"> </w:t>
      </w:r>
      <w:r w:rsidR="0069374B" w:rsidRPr="00363CFA">
        <w:rPr>
          <w:rFonts w:asciiTheme="majorHAnsi" w:eastAsia="Times New Roman" w:hAnsiTheme="majorHAnsi" w:cstheme="majorHAnsi"/>
          <w:b/>
          <w:bCs/>
          <w:i/>
          <w:iCs/>
          <w:sz w:val="24"/>
          <w:szCs w:val="24"/>
          <w:lang w:val="ro-MD"/>
        </w:rPr>
        <w:t>ș</w:t>
      </w:r>
      <w:r w:rsidRPr="00363CFA">
        <w:rPr>
          <w:rFonts w:asciiTheme="majorHAnsi" w:eastAsia="Times New Roman" w:hAnsiTheme="majorHAnsi" w:cstheme="majorHAnsi"/>
          <w:b/>
          <w:bCs/>
          <w:i/>
          <w:iCs/>
          <w:sz w:val="24"/>
          <w:szCs w:val="24"/>
          <w:lang w:val="ro-MD"/>
        </w:rPr>
        <w:t>i neimplementate:</w:t>
      </w:r>
    </w:p>
    <w:p w14:paraId="2AC2BA45" w14:textId="671F2617" w:rsidR="00F12B2E" w:rsidRPr="00363CFA" w:rsidRDefault="00F12B2E" w:rsidP="00767ED8">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i/>
          <w:iCs/>
          <w:sz w:val="24"/>
          <w:szCs w:val="24"/>
          <w:lang w:val="ro-MD"/>
        </w:rPr>
        <w:t xml:space="preserve">Guvernatorului </w:t>
      </w:r>
      <w:r w:rsidR="00BE69B3">
        <w:rPr>
          <w:rFonts w:asciiTheme="majorHAnsi" w:eastAsia="Times New Roman" w:hAnsiTheme="majorHAnsi" w:cstheme="majorHAnsi"/>
          <w:b/>
          <w:bCs/>
          <w:i/>
          <w:iCs/>
          <w:sz w:val="24"/>
          <w:szCs w:val="24"/>
          <w:lang w:val="ro-MD"/>
        </w:rPr>
        <w:t xml:space="preserve">Găgăuziei </w:t>
      </w:r>
      <w:r w:rsidR="0069374B" w:rsidRPr="00363CFA">
        <w:rPr>
          <w:rFonts w:asciiTheme="majorHAnsi" w:eastAsia="Times New Roman" w:hAnsiTheme="majorHAnsi" w:cstheme="majorHAnsi"/>
          <w:b/>
          <w:bCs/>
          <w:i/>
          <w:iCs/>
          <w:sz w:val="24"/>
          <w:szCs w:val="24"/>
          <w:lang w:val="ro-MD"/>
        </w:rPr>
        <w:t>ș</w:t>
      </w:r>
      <w:r w:rsidRPr="00363CFA">
        <w:rPr>
          <w:rFonts w:asciiTheme="majorHAnsi" w:eastAsia="Times New Roman" w:hAnsiTheme="majorHAnsi" w:cstheme="majorHAnsi"/>
          <w:b/>
          <w:bCs/>
          <w:i/>
          <w:iCs/>
          <w:sz w:val="24"/>
          <w:szCs w:val="24"/>
          <w:lang w:val="ro-MD"/>
        </w:rPr>
        <w:t>i Comit</w:t>
      </w:r>
      <w:r w:rsidR="0014733C">
        <w:rPr>
          <w:rFonts w:asciiTheme="majorHAnsi" w:eastAsia="Times New Roman" w:hAnsiTheme="majorHAnsi" w:cstheme="majorHAnsi"/>
          <w:b/>
          <w:bCs/>
          <w:i/>
          <w:iCs/>
          <w:sz w:val="24"/>
          <w:szCs w:val="24"/>
          <w:lang w:val="ro-MD"/>
        </w:rPr>
        <w:t>etului Executiv al UTA Găgăuzia</w:t>
      </w:r>
      <w:r w:rsidRPr="00363CFA">
        <w:rPr>
          <w:rFonts w:asciiTheme="majorHAnsi" w:eastAsia="Times New Roman" w:hAnsiTheme="majorHAnsi" w:cstheme="majorHAnsi"/>
          <w:b/>
          <w:bCs/>
          <w:i/>
          <w:iCs/>
          <w:sz w:val="24"/>
          <w:szCs w:val="24"/>
          <w:lang w:val="ro-MD"/>
        </w:rPr>
        <w:t>:</w:t>
      </w:r>
    </w:p>
    <w:p w14:paraId="0B70A71C" w14:textId="77777777" w:rsidR="00F12B2E" w:rsidRPr="00363CFA" w:rsidRDefault="00EA008C" w:rsidP="00767ED8">
      <w:pPr>
        <w:spacing w:after="0" w:line="276" w:lineRule="auto"/>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sz w:val="24"/>
          <w:szCs w:val="24"/>
          <w:lang w:val="ro-MD"/>
        </w:rPr>
        <w:t>8</w:t>
      </w:r>
      <w:r w:rsidR="00F12B2E" w:rsidRPr="00363CFA">
        <w:rPr>
          <w:rFonts w:asciiTheme="majorHAnsi" w:eastAsia="Times New Roman" w:hAnsiTheme="majorHAnsi" w:cstheme="majorHAnsi"/>
          <w:b/>
          <w:bCs/>
          <w:sz w:val="24"/>
          <w:szCs w:val="24"/>
          <w:lang w:val="ro-MD"/>
        </w:rPr>
        <w:t>.</w:t>
      </w:r>
      <w:r w:rsidR="00F12B2E" w:rsidRPr="00363CFA">
        <w:rPr>
          <w:rFonts w:asciiTheme="majorHAnsi" w:eastAsia="Times New Roman" w:hAnsiTheme="majorHAnsi" w:cstheme="majorHAnsi"/>
          <w:sz w:val="24"/>
          <w:szCs w:val="24"/>
          <w:lang w:val="ro-MD"/>
        </w:rPr>
        <w:t xml:space="preserve"> să înregistreze în eviden</w:t>
      </w:r>
      <w:r w:rsidR="0069374B" w:rsidRPr="00363CFA">
        <w:rPr>
          <w:rFonts w:asciiTheme="majorHAnsi" w:eastAsia="Times New Roman" w:hAnsiTheme="majorHAnsi" w:cstheme="majorHAnsi"/>
          <w:sz w:val="24"/>
          <w:szCs w:val="24"/>
          <w:lang w:val="ro-MD"/>
        </w:rPr>
        <w:t>ț</w:t>
      </w:r>
      <w:r w:rsidR="00F12B2E" w:rsidRPr="00363CFA">
        <w:rPr>
          <w:rFonts w:asciiTheme="majorHAnsi" w:eastAsia="Times New Roman" w:hAnsiTheme="majorHAnsi" w:cstheme="majorHAnsi"/>
          <w:sz w:val="24"/>
          <w:szCs w:val="24"/>
          <w:lang w:val="ro-MD"/>
        </w:rPr>
        <w:t>a contabilă valoarea lucrărilor nefinalizate finan</w:t>
      </w:r>
      <w:r w:rsidR="0069374B" w:rsidRPr="00363CFA">
        <w:rPr>
          <w:rFonts w:asciiTheme="majorHAnsi" w:eastAsia="Times New Roman" w:hAnsiTheme="majorHAnsi" w:cstheme="majorHAnsi"/>
          <w:sz w:val="24"/>
          <w:szCs w:val="24"/>
          <w:lang w:val="ro-MD"/>
        </w:rPr>
        <w:t>ț</w:t>
      </w:r>
      <w:r w:rsidR="00F12B2E" w:rsidRPr="00363CFA">
        <w:rPr>
          <w:rFonts w:asciiTheme="majorHAnsi" w:eastAsia="Times New Roman" w:hAnsiTheme="majorHAnsi" w:cstheme="majorHAnsi"/>
          <w:sz w:val="24"/>
          <w:szCs w:val="24"/>
          <w:lang w:val="ro-MD"/>
        </w:rPr>
        <w:t>ate din buget;</w:t>
      </w:r>
    </w:p>
    <w:p w14:paraId="7BC79FEE" w14:textId="2852B7FE" w:rsidR="00F12B2E" w:rsidRPr="00363CFA" w:rsidRDefault="00EA008C" w:rsidP="00767ED8">
      <w:pPr>
        <w:spacing w:after="0" w:line="276" w:lineRule="auto"/>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sz w:val="24"/>
          <w:szCs w:val="24"/>
          <w:lang w:val="ro-MD"/>
        </w:rPr>
        <w:t>9</w:t>
      </w:r>
      <w:r w:rsidR="00F12B2E" w:rsidRPr="00363CFA">
        <w:rPr>
          <w:rFonts w:asciiTheme="majorHAnsi" w:eastAsia="Times New Roman" w:hAnsiTheme="majorHAnsi" w:cstheme="majorHAnsi"/>
          <w:b/>
          <w:bCs/>
          <w:sz w:val="24"/>
          <w:szCs w:val="24"/>
          <w:lang w:val="ro-MD"/>
        </w:rPr>
        <w:t xml:space="preserve">. </w:t>
      </w:r>
      <w:r w:rsidR="00F12B2E" w:rsidRPr="00363CFA">
        <w:rPr>
          <w:rFonts w:asciiTheme="majorHAnsi" w:eastAsia="Times New Roman" w:hAnsiTheme="majorHAnsi" w:cstheme="majorHAnsi"/>
          <w:sz w:val="24"/>
          <w:szCs w:val="24"/>
          <w:lang w:val="ro-MD"/>
        </w:rPr>
        <w:t xml:space="preserve">să asigure monitorizarea metodologică </w:t>
      </w:r>
      <w:r w:rsidR="0069374B" w:rsidRPr="00363CFA">
        <w:rPr>
          <w:rFonts w:asciiTheme="majorHAnsi" w:eastAsia="Times New Roman" w:hAnsiTheme="majorHAnsi" w:cstheme="majorHAnsi"/>
          <w:sz w:val="24"/>
          <w:szCs w:val="24"/>
          <w:lang w:val="ro-MD"/>
        </w:rPr>
        <w:t>ș</w:t>
      </w:r>
      <w:r w:rsidR="00F12B2E" w:rsidRPr="00363CFA">
        <w:rPr>
          <w:rFonts w:asciiTheme="majorHAnsi" w:eastAsia="Times New Roman" w:hAnsiTheme="majorHAnsi" w:cstheme="majorHAnsi"/>
          <w:sz w:val="24"/>
          <w:szCs w:val="24"/>
          <w:lang w:val="ro-MD"/>
        </w:rPr>
        <w:t>i activitatea de control asupra conformită</w:t>
      </w:r>
      <w:r w:rsidR="0069374B" w:rsidRPr="00363CFA">
        <w:rPr>
          <w:rFonts w:asciiTheme="majorHAnsi" w:eastAsia="Times New Roman" w:hAnsiTheme="majorHAnsi" w:cstheme="majorHAnsi"/>
          <w:sz w:val="24"/>
          <w:szCs w:val="24"/>
          <w:lang w:val="ro-MD"/>
        </w:rPr>
        <w:t>ț</w:t>
      </w:r>
      <w:r w:rsidR="00F12B2E" w:rsidRPr="00363CFA">
        <w:rPr>
          <w:rFonts w:asciiTheme="majorHAnsi" w:eastAsia="Times New Roman" w:hAnsiTheme="majorHAnsi" w:cstheme="majorHAnsi"/>
          <w:sz w:val="24"/>
          <w:szCs w:val="24"/>
          <w:lang w:val="ro-MD"/>
        </w:rPr>
        <w:t xml:space="preserve">ii </w:t>
      </w:r>
      <w:r w:rsidR="0069374B" w:rsidRPr="00363CFA">
        <w:rPr>
          <w:rFonts w:asciiTheme="majorHAnsi" w:eastAsia="Times New Roman" w:hAnsiTheme="majorHAnsi" w:cstheme="majorHAnsi"/>
          <w:sz w:val="24"/>
          <w:szCs w:val="24"/>
          <w:lang w:val="ro-MD"/>
        </w:rPr>
        <w:t>ț</w:t>
      </w:r>
      <w:r w:rsidR="00F12B2E" w:rsidRPr="00363CFA">
        <w:rPr>
          <w:rFonts w:asciiTheme="majorHAnsi" w:eastAsia="Times New Roman" w:hAnsiTheme="majorHAnsi" w:cstheme="majorHAnsi"/>
          <w:sz w:val="24"/>
          <w:szCs w:val="24"/>
          <w:lang w:val="ro-MD"/>
        </w:rPr>
        <w:t>inerii eviden</w:t>
      </w:r>
      <w:r w:rsidR="0069374B" w:rsidRPr="00363CFA">
        <w:rPr>
          <w:rFonts w:asciiTheme="majorHAnsi" w:eastAsia="Times New Roman" w:hAnsiTheme="majorHAnsi" w:cstheme="majorHAnsi"/>
          <w:sz w:val="24"/>
          <w:szCs w:val="24"/>
          <w:lang w:val="ro-MD"/>
        </w:rPr>
        <w:t>ț</w:t>
      </w:r>
      <w:r w:rsidR="00F12B2E" w:rsidRPr="00363CFA">
        <w:rPr>
          <w:rFonts w:asciiTheme="majorHAnsi" w:eastAsia="Times New Roman" w:hAnsiTheme="majorHAnsi" w:cstheme="majorHAnsi"/>
          <w:sz w:val="24"/>
          <w:szCs w:val="24"/>
          <w:lang w:val="ro-MD"/>
        </w:rPr>
        <w:t xml:space="preserve">ei contabile </w:t>
      </w:r>
      <w:r w:rsidR="0069374B" w:rsidRPr="00363CFA">
        <w:rPr>
          <w:rFonts w:asciiTheme="majorHAnsi" w:eastAsia="Times New Roman" w:hAnsiTheme="majorHAnsi" w:cstheme="majorHAnsi"/>
          <w:sz w:val="24"/>
          <w:szCs w:val="24"/>
          <w:lang w:val="ro-MD"/>
        </w:rPr>
        <w:t>ș</w:t>
      </w:r>
      <w:r w:rsidR="00F12B2E" w:rsidRPr="00363CFA">
        <w:rPr>
          <w:rFonts w:asciiTheme="majorHAnsi" w:eastAsia="Times New Roman" w:hAnsiTheme="majorHAnsi" w:cstheme="majorHAnsi"/>
          <w:sz w:val="24"/>
          <w:szCs w:val="24"/>
          <w:lang w:val="ro-MD"/>
        </w:rPr>
        <w:t>i veridicită</w:t>
      </w:r>
      <w:r w:rsidR="0069374B" w:rsidRPr="00363CFA">
        <w:rPr>
          <w:rFonts w:asciiTheme="majorHAnsi" w:eastAsia="Times New Roman" w:hAnsiTheme="majorHAnsi" w:cstheme="majorHAnsi"/>
          <w:sz w:val="24"/>
          <w:szCs w:val="24"/>
          <w:lang w:val="ro-MD"/>
        </w:rPr>
        <w:t>ț</w:t>
      </w:r>
      <w:r w:rsidR="00F12B2E" w:rsidRPr="00363CFA">
        <w:rPr>
          <w:rFonts w:asciiTheme="majorHAnsi" w:eastAsia="Times New Roman" w:hAnsiTheme="majorHAnsi" w:cstheme="majorHAnsi"/>
          <w:sz w:val="24"/>
          <w:szCs w:val="24"/>
          <w:lang w:val="ro-MD"/>
        </w:rPr>
        <w:t xml:space="preserve">ii rapoartelor financiare </w:t>
      </w:r>
      <w:r w:rsidR="0069374B" w:rsidRPr="00363CFA">
        <w:rPr>
          <w:rFonts w:asciiTheme="majorHAnsi" w:eastAsia="Times New Roman" w:hAnsiTheme="majorHAnsi" w:cstheme="majorHAnsi"/>
          <w:sz w:val="24"/>
          <w:szCs w:val="24"/>
          <w:lang w:val="ro-MD"/>
        </w:rPr>
        <w:t>ș</w:t>
      </w:r>
      <w:r w:rsidR="00F12B2E" w:rsidRPr="00363CFA">
        <w:rPr>
          <w:rFonts w:asciiTheme="majorHAnsi" w:eastAsia="Times New Roman" w:hAnsiTheme="majorHAnsi" w:cstheme="majorHAnsi"/>
          <w:sz w:val="24"/>
          <w:szCs w:val="24"/>
          <w:lang w:val="ro-MD"/>
        </w:rPr>
        <w:t>i patrimoniale ale entită</w:t>
      </w:r>
      <w:r w:rsidR="0069374B" w:rsidRPr="00363CFA">
        <w:rPr>
          <w:rFonts w:asciiTheme="majorHAnsi" w:eastAsia="Times New Roman" w:hAnsiTheme="majorHAnsi" w:cstheme="majorHAnsi"/>
          <w:sz w:val="24"/>
          <w:szCs w:val="24"/>
          <w:lang w:val="ro-MD"/>
        </w:rPr>
        <w:t>ț</w:t>
      </w:r>
      <w:r w:rsidR="00F12B2E" w:rsidRPr="00363CFA">
        <w:rPr>
          <w:rFonts w:asciiTheme="majorHAnsi" w:eastAsia="Times New Roman" w:hAnsiTheme="majorHAnsi" w:cstheme="majorHAnsi"/>
          <w:sz w:val="24"/>
          <w:szCs w:val="24"/>
          <w:lang w:val="ro-MD"/>
        </w:rPr>
        <w:t xml:space="preserve">ilor din subordine </w:t>
      </w:r>
      <w:r w:rsidR="0069374B" w:rsidRPr="00363CFA">
        <w:rPr>
          <w:rFonts w:asciiTheme="majorHAnsi" w:eastAsia="Times New Roman" w:hAnsiTheme="majorHAnsi" w:cstheme="majorHAnsi"/>
          <w:sz w:val="24"/>
          <w:szCs w:val="24"/>
          <w:lang w:val="ro-MD"/>
        </w:rPr>
        <w:t>ș</w:t>
      </w:r>
      <w:r w:rsidR="00F12B2E" w:rsidRPr="00363CFA">
        <w:rPr>
          <w:rFonts w:asciiTheme="majorHAnsi" w:eastAsia="Times New Roman" w:hAnsiTheme="majorHAnsi" w:cstheme="majorHAnsi"/>
          <w:sz w:val="24"/>
          <w:szCs w:val="24"/>
          <w:lang w:val="ro-MD"/>
        </w:rPr>
        <w:t>i ale APL de nivelul I</w:t>
      </w:r>
      <w:r w:rsidR="00E37F5D">
        <w:rPr>
          <w:rFonts w:asciiTheme="majorHAnsi" w:eastAsia="Times New Roman" w:hAnsiTheme="majorHAnsi" w:cstheme="majorHAnsi"/>
          <w:sz w:val="24"/>
          <w:szCs w:val="24"/>
          <w:lang w:val="ro-MD"/>
        </w:rPr>
        <w:t>.</w:t>
      </w:r>
    </w:p>
    <w:p w14:paraId="65460F0E" w14:textId="77777777" w:rsidR="00F12B2E" w:rsidRPr="00363CFA" w:rsidRDefault="00F12B2E" w:rsidP="00767ED8">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i/>
          <w:iCs/>
          <w:sz w:val="24"/>
          <w:szCs w:val="24"/>
          <w:lang w:val="ro-MD"/>
        </w:rPr>
        <w:t>Primarilor UAT de nivelul I din UTA Găgăuzia:</w:t>
      </w:r>
    </w:p>
    <w:p w14:paraId="4BBC67F3" w14:textId="53BDB92A" w:rsidR="00F12B2E" w:rsidRPr="00363CFA" w:rsidRDefault="00F12B2E" w:rsidP="00767ED8">
      <w:pPr>
        <w:spacing w:after="0" w:line="276" w:lineRule="auto"/>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sz w:val="24"/>
          <w:szCs w:val="24"/>
          <w:lang w:val="ro-MD"/>
        </w:rPr>
        <w:t>1</w:t>
      </w:r>
      <w:r w:rsidR="00EA008C" w:rsidRPr="00363CFA">
        <w:rPr>
          <w:rFonts w:asciiTheme="majorHAnsi" w:eastAsia="Times New Roman" w:hAnsiTheme="majorHAnsi" w:cstheme="majorHAnsi"/>
          <w:b/>
          <w:bCs/>
          <w:sz w:val="24"/>
          <w:szCs w:val="24"/>
          <w:lang w:val="ro-MD"/>
        </w:rPr>
        <w:t>0</w:t>
      </w:r>
      <w:r w:rsidRPr="00363CFA">
        <w:rPr>
          <w:rFonts w:asciiTheme="majorHAnsi" w:eastAsia="Times New Roman" w:hAnsiTheme="majorHAnsi" w:cstheme="majorHAnsi"/>
          <w:b/>
          <w:bCs/>
          <w:sz w:val="24"/>
          <w:szCs w:val="24"/>
          <w:lang w:val="ro-MD"/>
        </w:rPr>
        <w:t xml:space="preserve">. </w:t>
      </w:r>
      <w:r w:rsidRPr="00363CFA">
        <w:rPr>
          <w:rFonts w:asciiTheme="majorHAnsi" w:eastAsia="Times New Roman" w:hAnsiTheme="majorHAnsi" w:cstheme="majorHAnsi"/>
          <w:sz w:val="24"/>
          <w:szCs w:val="24"/>
          <w:lang w:val="ro-MD"/>
        </w:rPr>
        <w:t>să asigure finalizarea inventarierii terenurilor proprietate publică a UAT de nivelul I</w:t>
      </w:r>
      <w:r w:rsidR="00497ECF">
        <w:rPr>
          <w:rFonts w:asciiTheme="majorHAnsi" w:eastAsia="Times New Roman" w:hAnsiTheme="majorHAnsi" w:cstheme="majorHAnsi"/>
          <w:sz w:val="24"/>
          <w:szCs w:val="24"/>
          <w:lang w:val="ro-MD"/>
        </w:rPr>
        <w:t>,</w:t>
      </w:r>
      <w:r w:rsidRPr="00363CFA">
        <w:rPr>
          <w:rFonts w:asciiTheme="majorHAnsi" w:eastAsia="Times New Roman" w:hAnsiTheme="majorHAnsi" w:cstheme="majorHAnsi"/>
          <w:sz w:val="24"/>
          <w:szCs w:val="24"/>
          <w:lang w:val="ro-MD"/>
        </w:rPr>
        <w:t xml:space="preserve"> cu contabilizarea analitică a fiecărui teren</w:t>
      </w:r>
      <w:r w:rsidRPr="00363CFA">
        <w:rPr>
          <w:rStyle w:val="FootnoteReference"/>
          <w:rFonts w:asciiTheme="majorHAnsi" w:eastAsia="Times New Roman" w:hAnsiTheme="majorHAnsi" w:cstheme="majorHAnsi"/>
          <w:sz w:val="24"/>
          <w:szCs w:val="24"/>
          <w:lang w:val="ro-MD"/>
        </w:rPr>
        <w:footnoteReference w:id="95"/>
      </w:r>
      <w:r w:rsidR="00E37F5D">
        <w:rPr>
          <w:rFonts w:asciiTheme="majorHAnsi" w:eastAsia="Times New Roman" w:hAnsiTheme="majorHAnsi" w:cstheme="majorHAnsi"/>
          <w:sz w:val="24"/>
          <w:szCs w:val="24"/>
          <w:lang w:val="ro-MD"/>
        </w:rPr>
        <w:t>.</w:t>
      </w:r>
    </w:p>
    <w:p w14:paraId="3240B801" w14:textId="08695382" w:rsidR="00F12B2E" w:rsidRPr="00363CFA" w:rsidRDefault="00F12B2E" w:rsidP="00767ED8">
      <w:pPr>
        <w:spacing w:after="0" w:line="276" w:lineRule="auto"/>
        <w:ind w:firstLine="567"/>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i/>
          <w:iCs/>
          <w:sz w:val="24"/>
          <w:szCs w:val="24"/>
          <w:lang w:val="ro-MD"/>
        </w:rPr>
        <w:t>Guve</w:t>
      </w:r>
      <w:r w:rsidR="00BE69B3">
        <w:rPr>
          <w:rFonts w:asciiTheme="majorHAnsi" w:eastAsia="Times New Roman" w:hAnsiTheme="majorHAnsi" w:cstheme="majorHAnsi"/>
          <w:b/>
          <w:bCs/>
          <w:i/>
          <w:iCs/>
          <w:sz w:val="24"/>
          <w:szCs w:val="24"/>
          <w:lang w:val="ro-MD"/>
        </w:rPr>
        <w:t>rn</w:t>
      </w:r>
      <w:r w:rsidRPr="00363CFA">
        <w:rPr>
          <w:rFonts w:asciiTheme="majorHAnsi" w:eastAsia="Times New Roman" w:hAnsiTheme="majorHAnsi" w:cstheme="majorHAnsi"/>
          <w:b/>
          <w:bCs/>
          <w:i/>
          <w:iCs/>
          <w:sz w:val="24"/>
          <w:szCs w:val="24"/>
          <w:lang w:val="ro-MD"/>
        </w:rPr>
        <w:t xml:space="preserve">atorului </w:t>
      </w:r>
      <w:r w:rsidR="00BE69B3">
        <w:rPr>
          <w:rFonts w:asciiTheme="majorHAnsi" w:eastAsia="Times New Roman" w:hAnsiTheme="majorHAnsi" w:cstheme="majorHAnsi"/>
          <w:b/>
          <w:bCs/>
          <w:i/>
          <w:iCs/>
          <w:sz w:val="24"/>
          <w:szCs w:val="24"/>
          <w:lang w:val="ro-MD"/>
        </w:rPr>
        <w:t xml:space="preserve">Găgăuziei </w:t>
      </w:r>
      <w:r w:rsidR="0069374B" w:rsidRPr="00363CFA">
        <w:rPr>
          <w:rFonts w:asciiTheme="majorHAnsi" w:eastAsia="Times New Roman" w:hAnsiTheme="majorHAnsi" w:cstheme="majorHAnsi"/>
          <w:b/>
          <w:bCs/>
          <w:i/>
          <w:iCs/>
          <w:sz w:val="24"/>
          <w:szCs w:val="24"/>
          <w:lang w:val="ro-MD"/>
        </w:rPr>
        <w:t>ș</w:t>
      </w:r>
      <w:r w:rsidRPr="00363CFA">
        <w:rPr>
          <w:rFonts w:asciiTheme="majorHAnsi" w:eastAsia="Times New Roman" w:hAnsiTheme="majorHAnsi" w:cstheme="majorHAnsi"/>
          <w:b/>
          <w:bCs/>
          <w:i/>
          <w:iCs/>
          <w:sz w:val="24"/>
          <w:szCs w:val="24"/>
          <w:lang w:val="ro-MD"/>
        </w:rPr>
        <w:t xml:space="preserve">i Comitetului Executiv al UTA Găgăuzia, primarilor municipiilor Comrat </w:t>
      </w:r>
      <w:r w:rsidR="0069374B" w:rsidRPr="00363CFA">
        <w:rPr>
          <w:rFonts w:asciiTheme="majorHAnsi" w:eastAsia="Times New Roman" w:hAnsiTheme="majorHAnsi" w:cstheme="majorHAnsi"/>
          <w:b/>
          <w:bCs/>
          <w:i/>
          <w:iCs/>
          <w:sz w:val="24"/>
          <w:szCs w:val="24"/>
          <w:lang w:val="ro-MD"/>
        </w:rPr>
        <w:t>ș</w:t>
      </w:r>
      <w:r w:rsidRPr="00363CFA">
        <w:rPr>
          <w:rFonts w:asciiTheme="majorHAnsi" w:eastAsia="Times New Roman" w:hAnsiTheme="majorHAnsi" w:cstheme="majorHAnsi"/>
          <w:b/>
          <w:bCs/>
          <w:i/>
          <w:iCs/>
          <w:sz w:val="24"/>
          <w:szCs w:val="24"/>
          <w:lang w:val="ro-MD"/>
        </w:rPr>
        <w:t>i Ceadâr-Lunga, or. Vulcăne</w:t>
      </w:r>
      <w:r w:rsidR="0069374B" w:rsidRPr="00363CFA">
        <w:rPr>
          <w:rFonts w:asciiTheme="majorHAnsi" w:eastAsia="Times New Roman" w:hAnsiTheme="majorHAnsi" w:cstheme="majorHAnsi"/>
          <w:b/>
          <w:bCs/>
          <w:i/>
          <w:iCs/>
          <w:sz w:val="24"/>
          <w:szCs w:val="24"/>
          <w:lang w:val="ro-MD"/>
        </w:rPr>
        <w:t>ș</w:t>
      </w:r>
      <w:r w:rsidRPr="00363CFA">
        <w:rPr>
          <w:rFonts w:asciiTheme="majorHAnsi" w:eastAsia="Times New Roman" w:hAnsiTheme="majorHAnsi" w:cstheme="majorHAnsi"/>
          <w:b/>
          <w:bCs/>
          <w:i/>
          <w:iCs/>
          <w:sz w:val="24"/>
          <w:szCs w:val="24"/>
          <w:lang w:val="ro-MD"/>
        </w:rPr>
        <w:t xml:space="preserve">ti: </w:t>
      </w:r>
    </w:p>
    <w:p w14:paraId="77DFD6B3" w14:textId="77777777" w:rsidR="00F12B2E" w:rsidRPr="00363CFA" w:rsidRDefault="00F12B2E" w:rsidP="00767ED8">
      <w:pPr>
        <w:spacing w:after="0" w:line="276" w:lineRule="auto"/>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sz w:val="24"/>
          <w:szCs w:val="24"/>
          <w:lang w:val="ro-MD"/>
        </w:rPr>
        <w:t>1</w:t>
      </w:r>
      <w:r w:rsidR="00EA008C" w:rsidRPr="00363CFA">
        <w:rPr>
          <w:rFonts w:asciiTheme="majorHAnsi" w:eastAsia="Times New Roman" w:hAnsiTheme="majorHAnsi" w:cstheme="majorHAnsi"/>
          <w:b/>
          <w:bCs/>
          <w:sz w:val="24"/>
          <w:szCs w:val="24"/>
          <w:lang w:val="ro-MD"/>
        </w:rPr>
        <w:t>1</w:t>
      </w:r>
      <w:r w:rsidRPr="00363CFA">
        <w:rPr>
          <w:rFonts w:asciiTheme="majorHAnsi" w:eastAsia="Times New Roman" w:hAnsiTheme="majorHAnsi" w:cstheme="majorHAnsi"/>
          <w:b/>
          <w:bCs/>
          <w:sz w:val="24"/>
          <w:szCs w:val="24"/>
          <w:lang w:val="ro-MD"/>
        </w:rPr>
        <w:t xml:space="preserve">. </w:t>
      </w:r>
      <w:r w:rsidRPr="00363CFA">
        <w:rPr>
          <w:rFonts w:asciiTheme="majorHAnsi" w:eastAsia="Times New Roman" w:hAnsiTheme="majorHAnsi" w:cstheme="majorHAnsi"/>
          <w:sz w:val="24"/>
          <w:szCs w:val="24"/>
          <w:lang w:val="ro-MD"/>
        </w:rPr>
        <w:t>să întreprindă măsuri pentru aducerea în concordan</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ă cu norma legală a statutelor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activită</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ilor întreprinderilor municipale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institu</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iilor fondate; </w:t>
      </w:r>
    </w:p>
    <w:p w14:paraId="613C9726" w14:textId="073B2557" w:rsidR="00F12B2E" w:rsidRPr="00363CFA" w:rsidRDefault="00F12B2E" w:rsidP="00767ED8">
      <w:pPr>
        <w:spacing w:after="0" w:line="276" w:lineRule="auto"/>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sz w:val="24"/>
          <w:szCs w:val="24"/>
          <w:lang w:val="ro-MD"/>
        </w:rPr>
        <w:t>1</w:t>
      </w:r>
      <w:r w:rsidR="00EA008C" w:rsidRPr="00363CFA">
        <w:rPr>
          <w:rFonts w:asciiTheme="majorHAnsi" w:eastAsia="Times New Roman" w:hAnsiTheme="majorHAnsi" w:cstheme="majorHAnsi"/>
          <w:b/>
          <w:bCs/>
          <w:sz w:val="24"/>
          <w:szCs w:val="24"/>
          <w:lang w:val="ro-MD"/>
        </w:rPr>
        <w:t>2</w:t>
      </w:r>
      <w:r w:rsidRPr="00363CFA">
        <w:rPr>
          <w:rFonts w:asciiTheme="majorHAnsi" w:eastAsia="Times New Roman" w:hAnsiTheme="majorHAnsi" w:cstheme="majorHAnsi"/>
          <w:b/>
          <w:bCs/>
          <w:sz w:val="24"/>
          <w:szCs w:val="24"/>
          <w:lang w:val="ro-MD"/>
        </w:rPr>
        <w:t>.</w:t>
      </w:r>
      <w:r w:rsidR="00497ECF">
        <w:rPr>
          <w:rFonts w:asciiTheme="majorHAnsi" w:eastAsia="Times New Roman" w:hAnsiTheme="majorHAnsi" w:cstheme="majorHAnsi"/>
          <w:sz w:val="24"/>
          <w:szCs w:val="24"/>
          <w:lang w:val="ro-MD"/>
        </w:rPr>
        <w:t xml:space="preserve"> </w:t>
      </w:r>
      <w:r w:rsidRPr="00363CFA">
        <w:rPr>
          <w:rFonts w:asciiTheme="majorHAnsi" w:eastAsia="Times New Roman" w:hAnsiTheme="majorHAnsi" w:cstheme="majorHAnsi"/>
          <w:sz w:val="24"/>
          <w:szCs w:val="24"/>
          <w:lang w:val="ro-MD"/>
        </w:rPr>
        <w:t xml:space="preserve">să asigure efectuarea inventarierii exhaustive a patrimoniului public transmis în administrarea întreprinderilor fondate, precum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înregistrarea conformă a acestuia în eviden</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a contabilă, inclusiv a drepturilor asupra lui, cu implementarea unor proceduri eficiente de control intern în acest aspect; </w:t>
      </w:r>
    </w:p>
    <w:p w14:paraId="6C7F6C09" w14:textId="03143D85" w:rsidR="00F12B2E" w:rsidRPr="00363CFA" w:rsidRDefault="00F12B2E" w:rsidP="00767ED8">
      <w:pPr>
        <w:spacing w:after="0" w:line="276" w:lineRule="auto"/>
        <w:jc w:val="both"/>
        <w:rPr>
          <w:rFonts w:asciiTheme="majorHAnsi" w:eastAsia="Times New Roman" w:hAnsiTheme="majorHAnsi" w:cstheme="majorHAnsi"/>
          <w:sz w:val="24"/>
          <w:szCs w:val="24"/>
          <w:lang w:val="ro-MD"/>
        </w:rPr>
      </w:pPr>
      <w:r w:rsidRPr="00363CFA">
        <w:rPr>
          <w:rFonts w:asciiTheme="majorHAnsi" w:eastAsia="Times New Roman" w:hAnsiTheme="majorHAnsi" w:cstheme="majorHAnsi"/>
          <w:b/>
          <w:bCs/>
          <w:sz w:val="24"/>
          <w:szCs w:val="24"/>
          <w:lang w:val="ro-MD"/>
        </w:rPr>
        <w:t>1</w:t>
      </w:r>
      <w:r w:rsidR="00EA008C" w:rsidRPr="00363CFA">
        <w:rPr>
          <w:rFonts w:asciiTheme="majorHAnsi" w:eastAsia="Times New Roman" w:hAnsiTheme="majorHAnsi" w:cstheme="majorHAnsi"/>
          <w:b/>
          <w:bCs/>
          <w:sz w:val="24"/>
          <w:szCs w:val="24"/>
          <w:lang w:val="ro-MD"/>
        </w:rPr>
        <w:t>3.</w:t>
      </w:r>
      <w:r w:rsidRPr="00363CFA">
        <w:rPr>
          <w:rFonts w:asciiTheme="majorHAnsi" w:eastAsia="Times New Roman" w:hAnsiTheme="majorHAnsi" w:cstheme="majorHAnsi"/>
          <w:b/>
          <w:bCs/>
          <w:sz w:val="24"/>
          <w:szCs w:val="24"/>
          <w:lang w:val="ro-MD"/>
        </w:rPr>
        <w:t xml:space="preserve"> </w:t>
      </w:r>
      <w:r w:rsidRPr="00363CFA">
        <w:rPr>
          <w:rFonts w:asciiTheme="majorHAnsi" w:eastAsia="Times New Roman" w:hAnsiTheme="majorHAnsi" w:cstheme="majorHAnsi"/>
          <w:sz w:val="24"/>
          <w:szCs w:val="24"/>
          <w:lang w:val="ro-MD"/>
        </w:rPr>
        <w:t>să implementeze procese opera</w:t>
      </w:r>
      <w:r w:rsidR="0069374B" w:rsidRPr="00363CFA">
        <w:rPr>
          <w:rFonts w:asciiTheme="majorHAnsi" w:eastAsia="Times New Roman" w:hAnsiTheme="majorHAnsi" w:cstheme="majorHAnsi"/>
          <w:sz w:val="24"/>
          <w:szCs w:val="24"/>
          <w:lang w:val="ro-MD"/>
        </w:rPr>
        <w:t>ț</w:t>
      </w:r>
      <w:r w:rsidRPr="00363CFA">
        <w:rPr>
          <w:rFonts w:asciiTheme="majorHAnsi" w:eastAsia="Times New Roman" w:hAnsiTheme="majorHAnsi" w:cstheme="majorHAnsi"/>
          <w:sz w:val="24"/>
          <w:szCs w:val="24"/>
          <w:lang w:val="ro-MD"/>
        </w:rPr>
        <w:t xml:space="preserve">ionale </w:t>
      </w:r>
      <w:r w:rsidR="0069374B" w:rsidRPr="00363CFA">
        <w:rPr>
          <w:rFonts w:asciiTheme="majorHAnsi" w:eastAsia="Times New Roman" w:hAnsiTheme="majorHAnsi" w:cstheme="majorHAnsi"/>
          <w:sz w:val="24"/>
          <w:szCs w:val="24"/>
          <w:lang w:val="ro-MD"/>
        </w:rPr>
        <w:t>ș</w:t>
      </w:r>
      <w:r w:rsidRPr="00363CFA">
        <w:rPr>
          <w:rFonts w:asciiTheme="majorHAnsi" w:eastAsia="Times New Roman" w:hAnsiTheme="majorHAnsi" w:cstheme="majorHAnsi"/>
          <w:sz w:val="24"/>
          <w:szCs w:val="24"/>
          <w:lang w:val="ro-MD"/>
        </w:rPr>
        <w:t>i proceduri eficiente de control intern</w:t>
      </w:r>
      <w:r w:rsidR="00497ECF">
        <w:rPr>
          <w:rFonts w:asciiTheme="majorHAnsi" w:eastAsia="Times New Roman" w:hAnsiTheme="majorHAnsi" w:cstheme="majorHAnsi"/>
          <w:sz w:val="24"/>
          <w:szCs w:val="24"/>
          <w:lang w:val="ro-MD"/>
        </w:rPr>
        <w:t>,</w:t>
      </w:r>
      <w:r w:rsidRPr="00363CFA">
        <w:rPr>
          <w:rFonts w:asciiTheme="majorHAnsi" w:eastAsia="Times New Roman" w:hAnsiTheme="majorHAnsi" w:cstheme="majorHAnsi"/>
          <w:sz w:val="24"/>
          <w:szCs w:val="24"/>
          <w:lang w:val="ro-MD"/>
        </w:rPr>
        <w:t xml:space="preserve"> care să asigure respectarea cadrului legal-normativ în materie de administrare/gestionare a patrimoniului public local, cu întreprinderea măsurilor de rigoare în vederea înregistrării conforme a patrimoniului proprietate publică la organele cadastrale</w:t>
      </w:r>
      <w:r w:rsidR="00BE69B3">
        <w:rPr>
          <w:rFonts w:asciiTheme="majorHAnsi" w:eastAsia="Times New Roman" w:hAnsiTheme="majorHAnsi" w:cstheme="majorHAnsi"/>
          <w:sz w:val="24"/>
          <w:szCs w:val="24"/>
          <w:lang w:val="ro-MD"/>
        </w:rPr>
        <w:t>.</w:t>
      </w:r>
    </w:p>
    <w:p w14:paraId="6F60904D" w14:textId="77777777" w:rsidR="00F873E4" w:rsidRPr="00363CFA" w:rsidRDefault="00F873E4" w:rsidP="00767ED8">
      <w:pPr>
        <w:spacing w:after="0" w:line="276" w:lineRule="auto"/>
        <w:jc w:val="both"/>
        <w:rPr>
          <w:lang w:val="ro-MD"/>
        </w:rPr>
      </w:pPr>
    </w:p>
    <w:p w14:paraId="668CBDB3" w14:textId="146FE13F" w:rsidR="0026118C" w:rsidRPr="00363CFA" w:rsidRDefault="00505C50" w:rsidP="00767ED8">
      <w:pPr>
        <w:spacing w:after="0" w:line="276" w:lineRule="auto"/>
        <w:jc w:val="both"/>
        <w:rPr>
          <w:rFonts w:asciiTheme="majorHAnsi" w:eastAsia="Arial" w:hAnsiTheme="majorHAnsi" w:cstheme="majorHAnsi"/>
          <w:i/>
          <w:spacing w:val="1"/>
          <w:sz w:val="20"/>
          <w:szCs w:val="20"/>
          <w:lang w:val="ro-MD"/>
        </w:rPr>
      </w:pPr>
      <w:r w:rsidRPr="00424F06">
        <w:rPr>
          <w:rFonts w:asciiTheme="majorHAnsi" w:eastAsia="Times New Roman" w:hAnsiTheme="majorHAnsi" w:cstheme="majorHAnsi"/>
          <w:b/>
          <w:i/>
          <w:noProof/>
          <w:sz w:val="20"/>
          <w:szCs w:val="20"/>
          <w:lang w:val="ro-MD" w:eastAsia="ru-RU"/>
        </w:rPr>
        <w:t>Notă:</w:t>
      </w:r>
      <w:r w:rsidRPr="00363CFA">
        <w:rPr>
          <w:rFonts w:asciiTheme="majorHAnsi" w:eastAsia="Times New Roman" w:hAnsiTheme="majorHAnsi" w:cstheme="majorHAnsi"/>
          <w:i/>
          <w:noProof/>
          <w:sz w:val="20"/>
          <w:szCs w:val="20"/>
          <w:lang w:val="ro-MD" w:eastAsia="ru-RU"/>
        </w:rPr>
        <w:t xml:space="preserve"> Prezentul Raport de audit a fost întocmit în baza probelor acumulate de către echipa de audit, în următoarea componen</w:t>
      </w:r>
      <w:r w:rsidR="0069374B" w:rsidRPr="00363CFA">
        <w:rPr>
          <w:rFonts w:asciiTheme="majorHAnsi" w:eastAsia="Times New Roman" w:hAnsiTheme="majorHAnsi" w:cstheme="majorHAnsi"/>
          <w:i/>
          <w:noProof/>
          <w:sz w:val="20"/>
          <w:szCs w:val="20"/>
          <w:lang w:val="ro-MD" w:eastAsia="ru-RU"/>
        </w:rPr>
        <w:t>ț</w:t>
      </w:r>
      <w:r w:rsidRPr="00363CFA">
        <w:rPr>
          <w:rFonts w:asciiTheme="majorHAnsi" w:eastAsia="Times New Roman" w:hAnsiTheme="majorHAnsi" w:cstheme="majorHAnsi"/>
          <w:i/>
          <w:noProof/>
          <w:sz w:val="20"/>
          <w:szCs w:val="20"/>
          <w:lang w:val="ro-MD" w:eastAsia="ru-RU"/>
        </w:rPr>
        <w:t xml:space="preserve">ă: </w:t>
      </w:r>
      <w:r w:rsidRPr="00363CFA">
        <w:rPr>
          <w:rFonts w:asciiTheme="majorHAnsi" w:eastAsia="Calibri" w:hAnsiTheme="majorHAnsi" w:cstheme="majorHAnsi"/>
          <w:i/>
          <w:color w:val="000000"/>
          <w:sz w:val="20"/>
          <w:szCs w:val="20"/>
          <w:lang w:val="ro-MD"/>
        </w:rPr>
        <w:t xml:space="preserve">Aurelia Usatîi </w:t>
      </w:r>
      <w:r w:rsidRPr="00363CFA">
        <w:rPr>
          <w:rFonts w:asciiTheme="majorHAnsi" w:eastAsia="Calibri" w:hAnsiTheme="majorHAnsi" w:cstheme="majorHAnsi"/>
          <w:color w:val="000000"/>
          <w:sz w:val="20"/>
          <w:szCs w:val="20"/>
          <w:lang w:val="ro-MD"/>
        </w:rPr>
        <w:t>(</w:t>
      </w:r>
      <w:r w:rsidR="0069374B" w:rsidRPr="00363CFA">
        <w:rPr>
          <w:rFonts w:asciiTheme="majorHAnsi" w:eastAsia="Calibri" w:hAnsiTheme="majorHAnsi" w:cstheme="majorHAnsi"/>
          <w:color w:val="000000"/>
          <w:sz w:val="20"/>
          <w:szCs w:val="20"/>
          <w:lang w:val="ro-MD"/>
        </w:rPr>
        <w:t>ș</w:t>
      </w:r>
      <w:r w:rsidRPr="00363CFA">
        <w:rPr>
          <w:rFonts w:asciiTheme="majorHAnsi" w:eastAsia="Calibri" w:hAnsiTheme="majorHAnsi" w:cstheme="majorHAnsi"/>
          <w:color w:val="000000"/>
          <w:sz w:val="20"/>
          <w:szCs w:val="20"/>
          <w:lang w:val="ro-MD"/>
        </w:rPr>
        <w:t>ef de echipă);</w:t>
      </w:r>
      <w:r w:rsidR="0026118C" w:rsidRPr="00363CFA">
        <w:rPr>
          <w:rFonts w:asciiTheme="majorHAnsi" w:eastAsia="Arial" w:hAnsiTheme="majorHAnsi" w:cstheme="majorHAnsi"/>
          <w:i/>
          <w:spacing w:val="1"/>
          <w:sz w:val="20"/>
          <w:szCs w:val="20"/>
          <w:lang w:val="ro-MD"/>
        </w:rPr>
        <w:t xml:space="preserve"> Igor Lungu – auditor public principal</w:t>
      </w:r>
      <w:r w:rsidR="00497ECF">
        <w:rPr>
          <w:rFonts w:asciiTheme="majorHAnsi" w:eastAsia="Arial" w:hAnsiTheme="majorHAnsi" w:cstheme="majorHAnsi"/>
          <w:i/>
          <w:spacing w:val="1"/>
          <w:sz w:val="20"/>
          <w:szCs w:val="20"/>
          <w:lang w:val="ro-MD"/>
        </w:rPr>
        <w:t>,</w:t>
      </w:r>
      <w:r w:rsidR="0026118C" w:rsidRPr="00363CFA">
        <w:rPr>
          <w:rFonts w:asciiTheme="majorHAnsi" w:eastAsia="Arial" w:hAnsiTheme="majorHAnsi" w:cstheme="majorHAnsi"/>
          <w:i/>
          <w:spacing w:val="1"/>
          <w:sz w:val="20"/>
          <w:szCs w:val="20"/>
          <w:lang w:val="ro-MD"/>
        </w:rPr>
        <w:t xml:space="preserve"> </w:t>
      </w:r>
      <w:r w:rsidR="0069374B" w:rsidRPr="00363CFA">
        <w:rPr>
          <w:rFonts w:asciiTheme="majorHAnsi" w:eastAsia="Arial" w:hAnsiTheme="majorHAnsi" w:cstheme="majorHAnsi"/>
          <w:i/>
          <w:spacing w:val="1"/>
          <w:sz w:val="20"/>
          <w:szCs w:val="20"/>
          <w:lang w:val="ro-MD"/>
        </w:rPr>
        <w:t>ș</w:t>
      </w:r>
      <w:r w:rsidR="0026118C" w:rsidRPr="00363CFA">
        <w:rPr>
          <w:rFonts w:asciiTheme="majorHAnsi" w:eastAsia="Arial" w:hAnsiTheme="majorHAnsi" w:cstheme="majorHAnsi"/>
          <w:i/>
          <w:spacing w:val="1"/>
          <w:sz w:val="20"/>
          <w:szCs w:val="20"/>
          <w:lang w:val="ro-MD"/>
        </w:rPr>
        <w:t>i Maria Tabacari – auditor public superior</w:t>
      </w:r>
      <w:r w:rsidRPr="00363CFA">
        <w:rPr>
          <w:rFonts w:asciiTheme="majorHAnsi" w:eastAsia="Arial" w:hAnsiTheme="majorHAnsi" w:cstheme="majorHAnsi"/>
          <w:i/>
          <w:spacing w:val="1"/>
          <w:sz w:val="20"/>
          <w:szCs w:val="20"/>
          <w:lang w:val="ro-MD"/>
        </w:rPr>
        <w:t>.</w:t>
      </w:r>
    </w:p>
    <w:p w14:paraId="4056733D" w14:textId="3C2780F7" w:rsidR="00505C50" w:rsidRDefault="00505C50" w:rsidP="00767ED8">
      <w:pPr>
        <w:spacing w:after="0" w:line="276" w:lineRule="auto"/>
        <w:jc w:val="both"/>
        <w:rPr>
          <w:rFonts w:asciiTheme="majorHAnsi" w:eastAsia="Times New Roman" w:hAnsiTheme="majorHAnsi" w:cstheme="majorHAnsi"/>
          <w:i/>
          <w:noProof/>
          <w:sz w:val="20"/>
          <w:szCs w:val="20"/>
          <w:lang w:val="ro-MD" w:eastAsia="ru-RU"/>
        </w:rPr>
      </w:pPr>
    </w:p>
    <w:p w14:paraId="45C7286C" w14:textId="77777777" w:rsidR="0026118C" w:rsidRPr="00363CFA" w:rsidRDefault="0026118C" w:rsidP="00767ED8">
      <w:pPr>
        <w:shd w:val="clear" w:color="auto" w:fill="FFFFFF" w:themeFill="background1"/>
        <w:spacing w:line="276" w:lineRule="auto"/>
        <w:jc w:val="both"/>
        <w:rPr>
          <w:rFonts w:asciiTheme="majorHAnsi" w:eastAsia="TimesNewRoman" w:hAnsiTheme="majorHAnsi" w:cstheme="majorHAnsi"/>
          <w:b/>
          <w:lang w:val="ro-MD"/>
        </w:rPr>
      </w:pPr>
      <w:r w:rsidRPr="00363CFA">
        <w:rPr>
          <w:rFonts w:asciiTheme="majorHAnsi" w:eastAsia="TimesNewRoman" w:hAnsiTheme="majorHAnsi" w:cstheme="majorHAnsi"/>
          <w:b/>
          <w:lang w:val="ro-MD"/>
        </w:rPr>
        <w:t>SEMNĂTURILE ECHIPEI DE AUDIT</w:t>
      </w:r>
    </w:p>
    <w:p w14:paraId="04668397" w14:textId="77777777" w:rsidR="0026118C" w:rsidRPr="00363CFA" w:rsidRDefault="0026118C" w:rsidP="00767ED8">
      <w:pPr>
        <w:spacing w:after="0" w:line="276" w:lineRule="auto"/>
        <w:ind w:firstLine="567"/>
        <w:jc w:val="both"/>
        <w:rPr>
          <w:rFonts w:asciiTheme="majorHAnsi" w:hAnsiTheme="majorHAnsi" w:cstheme="majorHAnsi"/>
          <w:i/>
          <w:sz w:val="20"/>
          <w:szCs w:val="20"/>
          <w:lang w:val="ro-MD"/>
        </w:rPr>
      </w:pPr>
    </w:p>
    <w:p w14:paraId="6BD2EEDA" w14:textId="77777777" w:rsidR="0026118C" w:rsidRPr="00363CFA" w:rsidRDefault="0026118C" w:rsidP="00767ED8">
      <w:pPr>
        <w:spacing w:line="276" w:lineRule="auto"/>
        <w:jc w:val="both"/>
        <w:rPr>
          <w:rFonts w:asciiTheme="majorHAnsi" w:hAnsiTheme="majorHAnsi" w:cstheme="majorHAnsi"/>
          <w:b/>
          <w:i/>
          <w:lang w:val="ro-MD"/>
        </w:rPr>
      </w:pPr>
      <w:r w:rsidRPr="00363CFA">
        <w:rPr>
          <w:rFonts w:asciiTheme="majorHAnsi" w:hAnsiTheme="majorHAnsi" w:cstheme="majorHAnsi"/>
          <w:b/>
          <w:i/>
          <w:lang w:val="ro-MD"/>
        </w:rPr>
        <w:t xml:space="preserve">Responsabil de întocmirea Raportului de audit:  </w:t>
      </w:r>
    </w:p>
    <w:p w14:paraId="1622077A" w14:textId="77777777" w:rsidR="0026118C" w:rsidRPr="00363CFA" w:rsidRDefault="0026118C" w:rsidP="00767ED8">
      <w:pPr>
        <w:tabs>
          <w:tab w:val="left" w:pos="1080"/>
          <w:tab w:val="left" w:pos="7513"/>
        </w:tabs>
        <w:spacing w:line="276" w:lineRule="auto"/>
        <w:rPr>
          <w:rFonts w:asciiTheme="majorHAnsi" w:hAnsiTheme="majorHAnsi" w:cstheme="majorHAnsi"/>
          <w:bCs/>
          <w:iCs/>
          <w:lang w:val="ro-MD"/>
        </w:rPr>
      </w:pPr>
      <w:r w:rsidRPr="00363CFA">
        <w:rPr>
          <w:rFonts w:asciiTheme="majorHAnsi" w:eastAsiaTheme="minorEastAsia" w:hAnsiTheme="majorHAnsi" w:cstheme="majorHAnsi"/>
          <w:i/>
          <w:lang w:val="ro-MD"/>
        </w:rPr>
        <w:t>Auditor public</w:t>
      </w:r>
      <w:r w:rsidRPr="00363CFA">
        <w:rPr>
          <w:rFonts w:asciiTheme="majorHAnsi" w:hAnsiTheme="majorHAnsi" w:cstheme="majorHAnsi"/>
          <w:bCs/>
          <w:i/>
          <w:iCs/>
          <w:lang w:val="ro-MD"/>
        </w:rPr>
        <w:t xml:space="preserve"> principal</w:t>
      </w:r>
      <w:r w:rsidRPr="00363CFA">
        <w:rPr>
          <w:rFonts w:asciiTheme="majorHAnsi" w:hAnsiTheme="majorHAnsi" w:cstheme="majorHAnsi"/>
          <w:bCs/>
          <w:iCs/>
          <w:lang w:val="ro-MD"/>
        </w:rPr>
        <w:t xml:space="preserve">,                                                                                        </w:t>
      </w:r>
    </w:p>
    <w:p w14:paraId="1286E0B9" w14:textId="1587A680" w:rsidR="00497ECF" w:rsidRDefault="0026118C" w:rsidP="00767ED8">
      <w:pPr>
        <w:tabs>
          <w:tab w:val="left" w:pos="1080"/>
          <w:tab w:val="left" w:pos="7513"/>
        </w:tabs>
        <w:spacing w:line="276" w:lineRule="auto"/>
        <w:rPr>
          <w:rFonts w:asciiTheme="majorHAnsi" w:hAnsiTheme="majorHAnsi" w:cstheme="majorHAnsi"/>
          <w:b/>
          <w:bCs/>
          <w:i/>
          <w:iCs/>
          <w:lang w:val="ro-MD"/>
        </w:rPr>
      </w:pPr>
      <w:r w:rsidRPr="00363CFA">
        <w:rPr>
          <w:rFonts w:asciiTheme="majorHAnsi" w:hAnsiTheme="majorHAnsi" w:cstheme="majorHAnsi"/>
          <w:b/>
          <w:bCs/>
          <w:i/>
          <w:iCs/>
          <w:lang w:val="ro-MD"/>
        </w:rPr>
        <w:t>Aurelia Usatîi</w:t>
      </w:r>
    </w:p>
    <w:p w14:paraId="37239654" w14:textId="77777777" w:rsidR="0026118C" w:rsidRPr="00363CFA" w:rsidRDefault="0026118C" w:rsidP="00767ED8">
      <w:pPr>
        <w:tabs>
          <w:tab w:val="left" w:pos="7513"/>
        </w:tabs>
        <w:spacing w:line="276" w:lineRule="auto"/>
        <w:rPr>
          <w:rFonts w:asciiTheme="majorHAnsi" w:hAnsiTheme="majorHAnsi" w:cstheme="majorHAnsi"/>
          <w:b/>
          <w:i/>
          <w:iCs/>
          <w:lang w:val="ro-MD"/>
        </w:rPr>
      </w:pPr>
      <w:r w:rsidRPr="00363CFA">
        <w:rPr>
          <w:rFonts w:asciiTheme="majorHAnsi" w:hAnsiTheme="majorHAnsi" w:cstheme="majorHAnsi"/>
          <w:b/>
          <w:i/>
          <w:iCs/>
          <w:lang w:val="ro-MD"/>
        </w:rPr>
        <w:t xml:space="preserve">Responsabil de monitorizarea </w:t>
      </w:r>
      <w:r w:rsidR="0069374B" w:rsidRPr="00363CFA">
        <w:rPr>
          <w:rFonts w:asciiTheme="majorHAnsi" w:hAnsiTheme="majorHAnsi" w:cstheme="majorHAnsi"/>
          <w:b/>
          <w:i/>
          <w:iCs/>
          <w:lang w:val="ro-MD"/>
        </w:rPr>
        <w:t>ș</w:t>
      </w:r>
      <w:r w:rsidRPr="00363CFA">
        <w:rPr>
          <w:rFonts w:asciiTheme="majorHAnsi" w:hAnsiTheme="majorHAnsi" w:cstheme="majorHAnsi"/>
          <w:b/>
          <w:i/>
          <w:iCs/>
          <w:lang w:val="ro-MD"/>
        </w:rPr>
        <w:t>i asigurarea calită</w:t>
      </w:r>
      <w:r w:rsidR="0069374B" w:rsidRPr="00363CFA">
        <w:rPr>
          <w:rFonts w:asciiTheme="majorHAnsi" w:hAnsiTheme="majorHAnsi" w:cstheme="majorHAnsi"/>
          <w:b/>
          <w:i/>
          <w:iCs/>
          <w:lang w:val="ro-MD"/>
        </w:rPr>
        <w:t>ț</w:t>
      </w:r>
      <w:r w:rsidRPr="00363CFA">
        <w:rPr>
          <w:rFonts w:asciiTheme="majorHAnsi" w:hAnsiTheme="majorHAnsi" w:cstheme="majorHAnsi"/>
          <w:b/>
          <w:i/>
          <w:iCs/>
          <w:lang w:val="ro-MD"/>
        </w:rPr>
        <w:t>ii auditului:</w:t>
      </w:r>
    </w:p>
    <w:p w14:paraId="6B4AD780" w14:textId="77777777" w:rsidR="0026118C" w:rsidRPr="00363CFA" w:rsidRDefault="0069374B" w:rsidP="00767ED8">
      <w:pPr>
        <w:tabs>
          <w:tab w:val="left" w:pos="7513"/>
        </w:tabs>
        <w:spacing w:line="276" w:lineRule="auto"/>
        <w:rPr>
          <w:rFonts w:asciiTheme="majorHAnsi" w:hAnsiTheme="majorHAnsi" w:cstheme="majorHAnsi"/>
          <w:bCs/>
          <w:i/>
          <w:lang w:val="ro-MD"/>
        </w:rPr>
      </w:pPr>
      <w:r w:rsidRPr="00363CFA">
        <w:rPr>
          <w:rFonts w:asciiTheme="majorHAnsi" w:hAnsiTheme="majorHAnsi" w:cstheme="majorHAnsi"/>
          <w:bCs/>
          <w:i/>
          <w:lang w:val="ro-MD"/>
        </w:rPr>
        <w:t>Ș</w:t>
      </w:r>
      <w:r w:rsidR="0026118C" w:rsidRPr="00363CFA">
        <w:rPr>
          <w:rFonts w:asciiTheme="majorHAnsi" w:hAnsiTheme="majorHAnsi" w:cstheme="majorHAnsi"/>
          <w:bCs/>
          <w:i/>
          <w:lang w:val="ro-MD"/>
        </w:rPr>
        <w:t>eful Direc</w:t>
      </w:r>
      <w:r w:rsidRPr="00363CFA">
        <w:rPr>
          <w:rFonts w:asciiTheme="majorHAnsi" w:hAnsiTheme="majorHAnsi" w:cstheme="majorHAnsi"/>
          <w:bCs/>
          <w:i/>
          <w:lang w:val="ro-MD"/>
        </w:rPr>
        <w:t>ț</w:t>
      </w:r>
      <w:r w:rsidR="0026118C" w:rsidRPr="00363CFA">
        <w:rPr>
          <w:rFonts w:asciiTheme="majorHAnsi" w:hAnsiTheme="majorHAnsi" w:cstheme="majorHAnsi"/>
          <w:bCs/>
          <w:i/>
          <w:lang w:val="ro-MD"/>
        </w:rPr>
        <w:t xml:space="preserve">iei generale de audit V,                                                                       </w:t>
      </w:r>
    </w:p>
    <w:p w14:paraId="43F34D68" w14:textId="7BE4EDDE" w:rsidR="00505C50" w:rsidRPr="00363CFA" w:rsidRDefault="0026118C" w:rsidP="00216968">
      <w:pPr>
        <w:tabs>
          <w:tab w:val="left" w:pos="7513"/>
        </w:tabs>
        <w:spacing w:line="276" w:lineRule="auto"/>
        <w:rPr>
          <w:lang w:val="ro-MD"/>
        </w:rPr>
      </w:pPr>
      <w:r w:rsidRPr="00363CFA">
        <w:rPr>
          <w:rFonts w:asciiTheme="majorHAnsi" w:hAnsiTheme="majorHAnsi" w:cstheme="majorHAnsi"/>
          <w:b/>
          <w:bCs/>
          <w:iCs/>
          <w:lang w:val="ro-MD"/>
        </w:rPr>
        <w:t xml:space="preserve">Sergiu </w:t>
      </w:r>
      <w:r w:rsidR="0069374B" w:rsidRPr="00363CFA">
        <w:rPr>
          <w:rFonts w:asciiTheme="majorHAnsi" w:hAnsiTheme="majorHAnsi" w:cstheme="majorHAnsi"/>
          <w:b/>
          <w:bCs/>
          <w:iCs/>
          <w:lang w:val="ro-MD"/>
        </w:rPr>
        <w:t>Ș</w:t>
      </w:r>
      <w:r w:rsidRPr="00363CFA">
        <w:rPr>
          <w:rFonts w:asciiTheme="majorHAnsi" w:hAnsiTheme="majorHAnsi" w:cstheme="majorHAnsi"/>
          <w:b/>
          <w:bCs/>
          <w:iCs/>
          <w:lang w:val="ro-MD"/>
        </w:rPr>
        <w:t>TIRBU</w:t>
      </w:r>
    </w:p>
    <w:p w14:paraId="67ED5656" w14:textId="77777777" w:rsidR="00394D01" w:rsidRPr="00363CFA" w:rsidRDefault="00394D01" w:rsidP="00C23DCE">
      <w:pPr>
        <w:rPr>
          <w:lang w:val="ro-MD"/>
        </w:rPr>
        <w:sectPr w:rsidR="00394D01" w:rsidRPr="00363CFA" w:rsidSect="005D2EDD">
          <w:pgSz w:w="11907" w:h="16840" w:code="9"/>
          <w:pgMar w:top="1134" w:right="1134" w:bottom="1134" w:left="1701" w:header="709" w:footer="285" w:gutter="0"/>
          <w:cols w:space="708"/>
          <w:docGrid w:linePitch="360"/>
        </w:sectPr>
      </w:pPr>
    </w:p>
    <w:p w14:paraId="43FD2764" w14:textId="18865F5A" w:rsidR="00505C50" w:rsidRPr="00216968" w:rsidRDefault="00505C50" w:rsidP="00505C50">
      <w:pPr>
        <w:pStyle w:val="Heading1"/>
        <w:spacing w:before="0" w:line="276" w:lineRule="auto"/>
        <w:jc w:val="right"/>
        <w:rPr>
          <w:rFonts w:eastAsia="Times New Roman" w:cstheme="majorHAnsi"/>
          <w:color w:val="auto"/>
          <w:sz w:val="24"/>
          <w:szCs w:val="24"/>
          <w:lang w:val="ro-MD"/>
        </w:rPr>
      </w:pPr>
      <w:bookmarkStart w:id="34" w:name="_Toc84512912"/>
      <w:r w:rsidRPr="00216968">
        <w:rPr>
          <w:rFonts w:eastAsia="Times New Roman" w:cstheme="majorHAnsi"/>
          <w:color w:val="auto"/>
          <w:sz w:val="24"/>
          <w:szCs w:val="24"/>
          <w:lang w:val="ro-MD"/>
        </w:rPr>
        <w:lastRenderedPageBreak/>
        <w:t>Anexa nr.1</w:t>
      </w:r>
      <w:bookmarkEnd w:id="34"/>
    </w:p>
    <w:tbl>
      <w:tblPr>
        <w:tblW w:w="14700" w:type="dxa"/>
        <w:tblLook w:val="04A0" w:firstRow="1" w:lastRow="0" w:firstColumn="1" w:lastColumn="0" w:noHBand="0" w:noVBand="1"/>
      </w:tblPr>
      <w:tblGrid>
        <w:gridCol w:w="703"/>
        <w:gridCol w:w="3020"/>
        <w:gridCol w:w="1100"/>
        <w:gridCol w:w="1100"/>
        <w:gridCol w:w="1100"/>
        <w:gridCol w:w="1100"/>
        <w:gridCol w:w="880"/>
        <w:gridCol w:w="960"/>
        <w:gridCol w:w="960"/>
        <w:gridCol w:w="960"/>
        <w:gridCol w:w="960"/>
        <w:gridCol w:w="960"/>
        <w:gridCol w:w="960"/>
      </w:tblGrid>
      <w:tr w:rsidR="00394D01" w:rsidRPr="00363CFA" w14:paraId="75D74A3B" w14:textId="77777777" w:rsidTr="007F4964">
        <w:trPr>
          <w:trHeight w:val="20"/>
        </w:trPr>
        <w:tc>
          <w:tcPr>
            <w:tcW w:w="640" w:type="dxa"/>
            <w:tcBorders>
              <w:top w:val="nil"/>
              <w:left w:val="nil"/>
              <w:bottom w:val="nil"/>
              <w:right w:val="nil"/>
            </w:tcBorders>
            <w:shd w:val="clear" w:color="auto" w:fill="auto"/>
            <w:noWrap/>
            <w:vAlign w:val="bottom"/>
            <w:hideMark/>
          </w:tcPr>
          <w:p w14:paraId="61DD0D3B"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13100" w:type="dxa"/>
            <w:gridSpan w:val="11"/>
            <w:tcBorders>
              <w:top w:val="nil"/>
              <w:left w:val="nil"/>
              <w:bottom w:val="nil"/>
              <w:right w:val="nil"/>
            </w:tcBorders>
            <w:shd w:val="clear" w:color="auto" w:fill="auto"/>
            <w:noWrap/>
            <w:hideMark/>
          </w:tcPr>
          <w:p w14:paraId="78516B78" w14:textId="5B3E859D" w:rsidR="00394D01" w:rsidRPr="00363CFA" w:rsidRDefault="00394D01" w:rsidP="00394D01">
            <w:pPr>
              <w:spacing w:after="0" w:line="240" w:lineRule="auto"/>
              <w:jc w:val="center"/>
              <w:rPr>
                <w:rFonts w:ascii="Calibri Light" w:eastAsia="Times New Roman" w:hAnsi="Calibri Light" w:cs="Calibri Light"/>
                <w:b/>
                <w:bCs/>
                <w:i/>
                <w:iCs/>
                <w:color w:val="000000"/>
                <w:lang w:val="ro-MD"/>
              </w:rPr>
            </w:pPr>
            <w:r w:rsidRPr="00363CFA">
              <w:rPr>
                <w:rFonts w:ascii="Calibri Light" w:eastAsia="Times New Roman" w:hAnsi="Calibri Light" w:cs="Calibri Light"/>
                <w:b/>
                <w:bCs/>
                <w:i/>
                <w:iCs/>
                <w:color w:val="000000"/>
                <w:lang w:val="ro-MD"/>
              </w:rPr>
              <w:t>ANALIZA BILAN</w:t>
            </w:r>
            <w:r w:rsidR="0069374B" w:rsidRPr="00363CFA">
              <w:rPr>
                <w:rFonts w:ascii="Calibri Light" w:eastAsia="Times New Roman" w:hAnsi="Calibri Light" w:cs="Calibri Light"/>
                <w:b/>
                <w:bCs/>
                <w:i/>
                <w:iCs/>
                <w:color w:val="000000"/>
                <w:lang w:val="ro-MD"/>
              </w:rPr>
              <w:t>Ț</w:t>
            </w:r>
            <w:r w:rsidRPr="00363CFA">
              <w:rPr>
                <w:rFonts w:ascii="Calibri Light" w:eastAsia="Times New Roman" w:hAnsi="Calibri Light" w:cs="Calibri Light"/>
                <w:b/>
                <w:bCs/>
                <w:i/>
                <w:iCs/>
                <w:color w:val="000000"/>
                <w:lang w:val="ro-MD"/>
              </w:rPr>
              <w:t xml:space="preserve">ULUI CONTABIL AL UTA Găgăuzia (bugetul central) </w:t>
            </w:r>
            <w:r w:rsidRPr="00363CFA">
              <w:rPr>
                <w:rFonts w:ascii="Calibri Light" w:eastAsia="Times New Roman" w:hAnsi="Calibri Light" w:cs="Calibri Light"/>
                <w:b/>
                <w:bCs/>
                <w:i/>
                <w:iCs/>
                <w:color w:val="000000"/>
                <w:lang w:val="ro-MD"/>
              </w:rPr>
              <w:br/>
              <w:t>PENTRU ANII 2017 -2020</w:t>
            </w:r>
          </w:p>
        </w:tc>
        <w:tc>
          <w:tcPr>
            <w:tcW w:w="960" w:type="dxa"/>
            <w:tcBorders>
              <w:top w:val="nil"/>
              <w:left w:val="nil"/>
              <w:bottom w:val="nil"/>
              <w:right w:val="nil"/>
            </w:tcBorders>
            <w:shd w:val="clear" w:color="auto" w:fill="auto"/>
            <w:noWrap/>
            <w:vAlign w:val="bottom"/>
            <w:hideMark/>
          </w:tcPr>
          <w:p w14:paraId="6694CF08" w14:textId="77777777" w:rsidR="00394D01" w:rsidRPr="00363CFA" w:rsidRDefault="00394D01" w:rsidP="00394D01">
            <w:pPr>
              <w:spacing w:after="0" w:line="240" w:lineRule="auto"/>
              <w:jc w:val="center"/>
              <w:rPr>
                <w:rFonts w:ascii="Calibri Light" w:eastAsia="Times New Roman" w:hAnsi="Calibri Light" w:cs="Calibri Light"/>
                <w:b/>
                <w:bCs/>
                <w:i/>
                <w:iCs/>
                <w:color w:val="000000"/>
                <w:lang w:val="ro-MD"/>
              </w:rPr>
            </w:pPr>
          </w:p>
        </w:tc>
      </w:tr>
      <w:tr w:rsidR="00394D01" w:rsidRPr="00363CFA" w14:paraId="5153EFB5" w14:textId="77777777" w:rsidTr="007F4964">
        <w:trPr>
          <w:trHeight w:val="20"/>
        </w:trPr>
        <w:tc>
          <w:tcPr>
            <w:tcW w:w="640" w:type="dxa"/>
            <w:tcBorders>
              <w:top w:val="nil"/>
              <w:left w:val="nil"/>
              <w:bottom w:val="nil"/>
              <w:right w:val="nil"/>
            </w:tcBorders>
            <w:shd w:val="clear" w:color="auto" w:fill="auto"/>
            <w:noWrap/>
            <w:vAlign w:val="bottom"/>
            <w:hideMark/>
          </w:tcPr>
          <w:p w14:paraId="5F47C1F4"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3020" w:type="dxa"/>
            <w:tcBorders>
              <w:top w:val="nil"/>
              <w:left w:val="nil"/>
              <w:bottom w:val="nil"/>
              <w:right w:val="nil"/>
            </w:tcBorders>
            <w:shd w:val="clear" w:color="auto" w:fill="auto"/>
            <w:noWrap/>
            <w:vAlign w:val="bottom"/>
            <w:hideMark/>
          </w:tcPr>
          <w:p w14:paraId="5EE885AE"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1100" w:type="dxa"/>
            <w:tcBorders>
              <w:top w:val="nil"/>
              <w:left w:val="nil"/>
              <w:bottom w:val="nil"/>
              <w:right w:val="nil"/>
            </w:tcBorders>
            <w:shd w:val="clear" w:color="auto" w:fill="auto"/>
            <w:noWrap/>
            <w:vAlign w:val="bottom"/>
            <w:hideMark/>
          </w:tcPr>
          <w:p w14:paraId="195D4E76"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1100" w:type="dxa"/>
            <w:tcBorders>
              <w:top w:val="nil"/>
              <w:left w:val="nil"/>
              <w:bottom w:val="nil"/>
              <w:right w:val="nil"/>
            </w:tcBorders>
            <w:shd w:val="clear" w:color="auto" w:fill="auto"/>
            <w:noWrap/>
            <w:vAlign w:val="bottom"/>
            <w:hideMark/>
          </w:tcPr>
          <w:p w14:paraId="2B97CE13"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1100" w:type="dxa"/>
            <w:tcBorders>
              <w:top w:val="nil"/>
              <w:left w:val="nil"/>
              <w:bottom w:val="nil"/>
              <w:right w:val="nil"/>
            </w:tcBorders>
            <w:shd w:val="clear" w:color="auto" w:fill="auto"/>
            <w:noWrap/>
            <w:vAlign w:val="bottom"/>
            <w:hideMark/>
          </w:tcPr>
          <w:p w14:paraId="79C97422"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1100" w:type="dxa"/>
            <w:tcBorders>
              <w:top w:val="nil"/>
              <w:left w:val="nil"/>
              <w:bottom w:val="nil"/>
              <w:right w:val="nil"/>
            </w:tcBorders>
            <w:shd w:val="clear" w:color="auto" w:fill="auto"/>
            <w:noWrap/>
            <w:vAlign w:val="bottom"/>
            <w:hideMark/>
          </w:tcPr>
          <w:p w14:paraId="40793643"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880" w:type="dxa"/>
            <w:tcBorders>
              <w:top w:val="nil"/>
              <w:left w:val="nil"/>
              <w:bottom w:val="nil"/>
              <w:right w:val="nil"/>
            </w:tcBorders>
            <w:shd w:val="clear" w:color="auto" w:fill="auto"/>
            <w:noWrap/>
            <w:vAlign w:val="bottom"/>
            <w:hideMark/>
          </w:tcPr>
          <w:p w14:paraId="05237033"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960" w:type="dxa"/>
            <w:tcBorders>
              <w:top w:val="nil"/>
              <w:left w:val="nil"/>
              <w:bottom w:val="nil"/>
              <w:right w:val="nil"/>
            </w:tcBorders>
            <w:shd w:val="clear" w:color="auto" w:fill="auto"/>
            <w:noWrap/>
            <w:vAlign w:val="bottom"/>
            <w:hideMark/>
          </w:tcPr>
          <w:p w14:paraId="3B940F6C"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960" w:type="dxa"/>
            <w:tcBorders>
              <w:top w:val="nil"/>
              <w:left w:val="nil"/>
              <w:bottom w:val="nil"/>
              <w:right w:val="nil"/>
            </w:tcBorders>
            <w:shd w:val="clear" w:color="auto" w:fill="auto"/>
            <w:noWrap/>
            <w:vAlign w:val="bottom"/>
            <w:hideMark/>
          </w:tcPr>
          <w:p w14:paraId="3A20733C"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960" w:type="dxa"/>
            <w:tcBorders>
              <w:top w:val="nil"/>
              <w:left w:val="nil"/>
              <w:bottom w:val="nil"/>
              <w:right w:val="nil"/>
            </w:tcBorders>
            <w:shd w:val="clear" w:color="auto" w:fill="auto"/>
            <w:noWrap/>
            <w:vAlign w:val="bottom"/>
            <w:hideMark/>
          </w:tcPr>
          <w:p w14:paraId="09F185D7"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960" w:type="dxa"/>
            <w:tcBorders>
              <w:top w:val="nil"/>
              <w:left w:val="nil"/>
              <w:bottom w:val="nil"/>
              <w:right w:val="nil"/>
            </w:tcBorders>
            <w:shd w:val="clear" w:color="auto" w:fill="auto"/>
            <w:noWrap/>
            <w:vAlign w:val="bottom"/>
            <w:hideMark/>
          </w:tcPr>
          <w:p w14:paraId="11A82FB2"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960" w:type="dxa"/>
            <w:tcBorders>
              <w:top w:val="nil"/>
              <w:left w:val="nil"/>
              <w:bottom w:val="nil"/>
              <w:right w:val="nil"/>
            </w:tcBorders>
            <w:shd w:val="clear" w:color="auto" w:fill="auto"/>
            <w:noWrap/>
            <w:vAlign w:val="bottom"/>
            <w:hideMark/>
          </w:tcPr>
          <w:p w14:paraId="7C3A880B"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c>
          <w:tcPr>
            <w:tcW w:w="960" w:type="dxa"/>
            <w:tcBorders>
              <w:top w:val="nil"/>
              <w:left w:val="nil"/>
              <w:bottom w:val="nil"/>
              <w:right w:val="nil"/>
            </w:tcBorders>
            <w:shd w:val="clear" w:color="auto" w:fill="auto"/>
            <w:noWrap/>
            <w:vAlign w:val="bottom"/>
            <w:hideMark/>
          </w:tcPr>
          <w:p w14:paraId="6C81F9AA" w14:textId="77777777" w:rsidR="00394D01" w:rsidRPr="00363CFA" w:rsidRDefault="00394D01" w:rsidP="00394D01">
            <w:pPr>
              <w:spacing w:after="0" w:line="240" w:lineRule="auto"/>
              <w:rPr>
                <w:rFonts w:ascii="Times New Roman" w:eastAsia="Times New Roman" w:hAnsi="Times New Roman" w:cs="Times New Roman"/>
                <w:sz w:val="20"/>
                <w:szCs w:val="20"/>
                <w:lang w:val="ro-MD"/>
              </w:rPr>
            </w:pPr>
          </w:p>
        </w:tc>
      </w:tr>
      <w:tr w:rsidR="00394D01" w:rsidRPr="00363CFA" w14:paraId="374512D8" w14:textId="77777777" w:rsidTr="007F4964">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1FE3D3"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Grup de conturi</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73CCCE"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Denumirea indicatorului</w:t>
            </w:r>
          </w:p>
        </w:tc>
        <w:tc>
          <w:tcPr>
            <w:tcW w:w="44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84A254"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Sold la</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54196C" w14:textId="70B074E4"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Ponderea</w:t>
            </w:r>
            <w:r w:rsidR="00DC431E">
              <w:rPr>
                <w:rFonts w:ascii="Calibri Light" w:eastAsia="Times New Roman" w:hAnsi="Calibri Light" w:cs="Calibri Light"/>
                <w:b/>
                <w:bCs/>
                <w:i/>
                <w:iCs/>
                <w:color w:val="000000"/>
                <w:sz w:val="16"/>
                <w:szCs w:val="16"/>
                <w:lang w:val="ro-MD"/>
              </w:rPr>
              <w:t>,</w:t>
            </w:r>
            <w:r w:rsidRPr="00363CFA">
              <w:rPr>
                <w:rFonts w:ascii="Calibri Light" w:eastAsia="Times New Roman" w:hAnsi="Calibri Light" w:cs="Calibri Light"/>
                <w:b/>
                <w:bCs/>
                <w:i/>
                <w:iCs/>
                <w:color w:val="000000"/>
                <w:sz w:val="16"/>
                <w:szCs w:val="16"/>
                <w:lang w:val="ro-MD"/>
              </w:rPr>
              <w:t xml:space="preserve"> în total (%)</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604B2F"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Cre</w:t>
            </w:r>
            <w:r w:rsidR="0069374B" w:rsidRPr="00363CFA">
              <w:rPr>
                <w:rFonts w:ascii="Calibri Light" w:eastAsia="Times New Roman" w:hAnsi="Calibri Light" w:cs="Calibri Light"/>
                <w:b/>
                <w:bCs/>
                <w:i/>
                <w:iCs/>
                <w:color w:val="000000"/>
                <w:sz w:val="16"/>
                <w:szCs w:val="16"/>
                <w:lang w:val="ro-MD"/>
              </w:rPr>
              <w:t>ș</w:t>
            </w:r>
            <w:r w:rsidRPr="00363CFA">
              <w:rPr>
                <w:rFonts w:ascii="Calibri Light" w:eastAsia="Times New Roman" w:hAnsi="Calibri Light" w:cs="Calibri Light"/>
                <w:b/>
                <w:bCs/>
                <w:i/>
                <w:iCs/>
                <w:color w:val="000000"/>
                <w:sz w:val="16"/>
                <w:szCs w:val="16"/>
                <w:lang w:val="ro-MD"/>
              </w:rPr>
              <w:t>tere/ descre</w:t>
            </w:r>
            <w:r w:rsidR="0069374B" w:rsidRPr="00363CFA">
              <w:rPr>
                <w:rFonts w:ascii="Calibri Light" w:eastAsia="Times New Roman" w:hAnsi="Calibri Light" w:cs="Calibri Light"/>
                <w:b/>
                <w:bCs/>
                <w:i/>
                <w:iCs/>
                <w:color w:val="000000"/>
                <w:sz w:val="16"/>
                <w:szCs w:val="16"/>
                <w:lang w:val="ro-MD"/>
              </w:rPr>
              <w:t>ș</w:t>
            </w:r>
            <w:r w:rsidRPr="00363CFA">
              <w:rPr>
                <w:rFonts w:ascii="Calibri Light" w:eastAsia="Times New Roman" w:hAnsi="Calibri Light" w:cs="Calibri Light"/>
                <w:b/>
                <w:bCs/>
                <w:i/>
                <w:iCs/>
                <w:color w:val="000000"/>
                <w:sz w:val="16"/>
                <w:szCs w:val="16"/>
                <w:lang w:val="ro-MD"/>
              </w:rPr>
              <w:t xml:space="preserve">tere </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3102CC"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Rata cre</w:t>
            </w:r>
            <w:r w:rsidR="0069374B" w:rsidRPr="00363CFA">
              <w:rPr>
                <w:rFonts w:ascii="Calibri Light" w:eastAsia="Times New Roman" w:hAnsi="Calibri Light" w:cs="Calibri Light"/>
                <w:b/>
                <w:bCs/>
                <w:i/>
                <w:iCs/>
                <w:color w:val="000000"/>
                <w:sz w:val="16"/>
                <w:szCs w:val="16"/>
                <w:lang w:val="ro-MD"/>
              </w:rPr>
              <w:t>ș</w:t>
            </w:r>
            <w:r w:rsidRPr="00363CFA">
              <w:rPr>
                <w:rFonts w:ascii="Calibri Light" w:eastAsia="Times New Roman" w:hAnsi="Calibri Light" w:cs="Calibri Light"/>
                <w:b/>
                <w:bCs/>
                <w:i/>
                <w:iCs/>
                <w:color w:val="000000"/>
                <w:sz w:val="16"/>
                <w:szCs w:val="16"/>
                <w:lang w:val="ro-MD"/>
              </w:rPr>
              <w:t xml:space="preserve">terii </w:t>
            </w:r>
          </w:p>
        </w:tc>
      </w:tr>
      <w:tr w:rsidR="00394D01" w:rsidRPr="00363CFA" w14:paraId="46F4629A" w14:textId="77777777" w:rsidTr="007F4964">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6FF0ADED" w14:textId="77777777" w:rsidR="00394D01" w:rsidRPr="00363CFA" w:rsidRDefault="00394D01" w:rsidP="00394D01">
            <w:pPr>
              <w:spacing w:after="0" w:line="240" w:lineRule="auto"/>
              <w:rPr>
                <w:rFonts w:ascii="Calibri Light" w:eastAsia="Times New Roman" w:hAnsi="Calibri Light" w:cs="Calibri Light"/>
                <w:b/>
                <w:bCs/>
                <w:i/>
                <w:iCs/>
                <w:color w:val="000000"/>
                <w:sz w:val="16"/>
                <w:szCs w:val="16"/>
                <w:lang w:val="ro-MD"/>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7F4D458B" w14:textId="77777777" w:rsidR="00394D01" w:rsidRPr="00363CFA" w:rsidRDefault="00394D01" w:rsidP="00394D01">
            <w:pPr>
              <w:spacing w:after="0" w:line="240" w:lineRule="auto"/>
              <w:rPr>
                <w:rFonts w:ascii="Calibri Light" w:eastAsia="Times New Roman" w:hAnsi="Calibri Light" w:cs="Calibri Light"/>
                <w:b/>
                <w:bCs/>
                <w:i/>
                <w:iCs/>
                <w:color w:val="000000"/>
                <w:sz w:val="16"/>
                <w:szCs w:val="16"/>
                <w:lang w:val="ro-MD"/>
              </w:rPr>
            </w:pPr>
          </w:p>
        </w:tc>
        <w:tc>
          <w:tcPr>
            <w:tcW w:w="1100" w:type="dxa"/>
            <w:tcBorders>
              <w:top w:val="nil"/>
              <w:left w:val="nil"/>
              <w:bottom w:val="single" w:sz="4" w:space="0" w:color="auto"/>
              <w:right w:val="single" w:sz="4" w:space="0" w:color="auto"/>
            </w:tcBorders>
            <w:shd w:val="clear" w:color="auto" w:fill="auto"/>
            <w:vAlign w:val="bottom"/>
            <w:hideMark/>
          </w:tcPr>
          <w:p w14:paraId="5271EDCA"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01.01.2018  (mii lei)</w:t>
            </w:r>
          </w:p>
        </w:tc>
        <w:tc>
          <w:tcPr>
            <w:tcW w:w="1100" w:type="dxa"/>
            <w:tcBorders>
              <w:top w:val="nil"/>
              <w:left w:val="nil"/>
              <w:bottom w:val="single" w:sz="4" w:space="0" w:color="auto"/>
              <w:right w:val="single" w:sz="4" w:space="0" w:color="auto"/>
            </w:tcBorders>
            <w:shd w:val="clear" w:color="auto" w:fill="auto"/>
            <w:vAlign w:val="bottom"/>
            <w:hideMark/>
          </w:tcPr>
          <w:p w14:paraId="77BC47CE"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01.01.2019  (mii lei)</w:t>
            </w:r>
          </w:p>
        </w:tc>
        <w:tc>
          <w:tcPr>
            <w:tcW w:w="1100" w:type="dxa"/>
            <w:tcBorders>
              <w:top w:val="nil"/>
              <w:left w:val="nil"/>
              <w:bottom w:val="single" w:sz="4" w:space="0" w:color="auto"/>
              <w:right w:val="single" w:sz="4" w:space="0" w:color="auto"/>
            </w:tcBorders>
            <w:shd w:val="clear" w:color="auto" w:fill="auto"/>
            <w:vAlign w:val="bottom"/>
            <w:hideMark/>
          </w:tcPr>
          <w:p w14:paraId="0D1B997C"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01.01.2020  (mii lei)</w:t>
            </w:r>
          </w:p>
        </w:tc>
        <w:tc>
          <w:tcPr>
            <w:tcW w:w="1100" w:type="dxa"/>
            <w:tcBorders>
              <w:top w:val="nil"/>
              <w:left w:val="nil"/>
              <w:bottom w:val="single" w:sz="4" w:space="0" w:color="auto"/>
              <w:right w:val="single" w:sz="4" w:space="0" w:color="auto"/>
            </w:tcBorders>
            <w:shd w:val="clear" w:color="auto" w:fill="auto"/>
            <w:vAlign w:val="bottom"/>
            <w:hideMark/>
          </w:tcPr>
          <w:p w14:paraId="76DBD008"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01.01.2021  (mii lei)</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69C8C6A1" w14:textId="77777777" w:rsidR="00394D01" w:rsidRPr="00363CFA" w:rsidRDefault="00394D01" w:rsidP="00394D01">
            <w:pPr>
              <w:spacing w:after="0" w:line="240" w:lineRule="auto"/>
              <w:rPr>
                <w:rFonts w:ascii="Calibri Light" w:eastAsia="Times New Roman" w:hAnsi="Calibri Light" w:cs="Calibri Light"/>
                <w:b/>
                <w:bCs/>
                <w:i/>
                <w:iCs/>
                <w:color w:val="000000"/>
                <w:sz w:val="16"/>
                <w:szCs w:val="16"/>
                <w:lang w:val="ro-MD"/>
              </w:rPr>
            </w:pPr>
          </w:p>
        </w:tc>
        <w:tc>
          <w:tcPr>
            <w:tcW w:w="960" w:type="dxa"/>
            <w:tcBorders>
              <w:top w:val="nil"/>
              <w:left w:val="nil"/>
              <w:bottom w:val="single" w:sz="4" w:space="0" w:color="auto"/>
              <w:right w:val="single" w:sz="4" w:space="0" w:color="auto"/>
            </w:tcBorders>
            <w:shd w:val="clear" w:color="auto" w:fill="auto"/>
            <w:hideMark/>
          </w:tcPr>
          <w:p w14:paraId="5678F4EA"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2018 fa</w:t>
            </w:r>
            <w:r w:rsidR="0069374B" w:rsidRPr="00363CFA">
              <w:rPr>
                <w:rFonts w:ascii="Calibri Light" w:eastAsia="Times New Roman" w:hAnsi="Calibri Light" w:cs="Calibri Light"/>
                <w:b/>
                <w:bCs/>
                <w:i/>
                <w:iCs/>
                <w:color w:val="000000"/>
                <w:sz w:val="16"/>
                <w:szCs w:val="16"/>
                <w:lang w:val="ro-MD"/>
              </w:rPr>
              <w:t>ț</w:t>
            </w:r>
            <w:r w:rsidRPr="00363CFA">
              <w:rPr>
                <w:rFonts w:ascii="Calibri Light" w:eastAsia="Times New Roman" w:hAnsi="Calibri Light" w:cs="Calibri Light"/>
                <w:b/>
                <w:bCs/>
                <w:i/>
                <w:iCs/>
                <w:color w:val="000000"/>
                <w:sz w:val="16"/>
                <w:szCs w:val="16"/>
                <w:lang w:val="ro-MD"/>
              </w:rPr>
              <w:t>ă de 2017 (mii lei)</w:t>
            </w:r>
          </w:p>
        </w:tc>
        <w:tc>
          <w:tcPr>
            <w:tcW w:w="960" w:type="dxa"/>
            <w:tcBorders>
              <w:top w:val="nil"/>
              <w:left w:val="nil"/>
              <w:bottom w:val="single" w:sz="4" w:space="0" w:color="auto"/>
              <w:right w:val="single" w:sz="4" w:space="0" w:color="auto"/>
            </w:tcBorders>
            <w:shd w:val="clear" w:color="auto" w:fill="auto"/>
            <w:hideMark/>
          </w:tcPr>
          <w:p w14:paraId="79589A75"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2019 fa</w:t>
            </w:r>
            <w:r w:rsidR="0069374B" w:rsidRPr="00363CFA">
              <w:rPr>
                <w:rFonts w:ascii="Calibri Light" w:eastAsia="Times New Roman" w:hAnsi="Calibri Light" w:cs="Calibri Light"/>
                <w:b/>
                <w:bCs/>
                <w:i/>
                <w:iCs/>
                <w:color w:val="000000"/>
                <w:sz w:val="16"/>
                <w:szCs w:val="16"/>
                <w:lang w:val="ro-MD"/>
              </w:rPr>
              <w:t>ț</w:t>
            </w:r>
            <w:r w:rsidRPr="00363CFA">
              <w:rPr>
                <w:rFonts w:ascii="Calibri Light" w:eastAsia="Times New Roman" w:hAnsi="Calibri Light" w:cs="Calibri Light"/>
                <w:b/>
                <w:bCs/>
                <w:i/>
                <w:iCs/>
                <w:color w:val="000000"/>
                <w:sz w:val="16"/>
                <w:szCs w:val="16"/>
                <w:lang w:val="ro-MD"/>
              </w:rPr>
              <w:t>ă de 2018  (mii lei)</w:t>
            </w:r>
          </w:p>
        </w:tc>
        <w:tc>
          <w:tcPr>
            <w:tcW w:w="960" w:type="dxa"/>
            <w:tcBorders>
              <w:top w:val="nil"/>
              <w:left w:val="nil"/>
              <w:bottom w:val="single" w:sz="4" w:space="0" w:color="auto"/>
              <w:right w:val="single" w:sz="4" w:space="0" w:color="auto"/>
            </w:tcBorders>
            <w:shd w:val="clear" w:color="auto" w:fill="auto"/>
            <w:hideMark/>
          </w:tcPr>
          <w:p w14:paraId="572A7875"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2020 fa</w:t>
            </w:r>
            <w:r w:rsidR="0069374B" w:rsidRPr="00363CFA">
              <w:rPr>
                <w:rFonts w:ascii="Calibri Light" w:eastAsia="Times New Roman" w:hAnsi="Calibri Light" w:cs="Calibri Light"/>
                <w:b/>
                <w:bCs/>
                <w:i/>
                <w:iCs/>
                <w:color w:val="000000"/>
                <w:sz w:val="16"/>
                <w:szCs w:val="16"/>
                <w:lang w:val="ro-MD"/>
              </w:rPr>
              <w:t>ț</w:t>
            </w:r>
            <w:r w:rsidRPr="00363CFA">
              <w:rPr>
                <w:rFonts w:ascii="Calibri Light" w:eastAsia="Times New Roman" w:hAnsi="Calibri Light" w:cs="Calibri Light"/>
                <w:b/>
                <w:bCs/>
                <w:i/>
                <w:iCs/>
                <w:color w:val="000000"/>
                <w:sz w:val="16"/>
                <w:szCs w:val="16"/>
                <w:lang w:val="ro-MD"/>
              </w:rPr>
              <w:t>ă de 2019  (mii lei)</w:t>
            </w:r>
          </w:p>
        </w:tc>
        <w:tc>
          <w:tcPr>
            <w:tcW w:w="960" w:type="dxa"/>
            <w:tcBorders>
              <w:top w:val="nil"/>
              <w:left w:val="nil"/>
              <w:bottom w:val="single" w:sz="4" w:space="0" w:color="auto"/>
              <w:right w:val="single" w:sz="4" w:space="0" w:color="auto"/>
            </w:tcBorders>
            <w:shd w:val="clear" w:color="auto" w:fill="auto"/>
            <w:hideMark/>
          </w:tcPr>
          <w:p w14:paraId="135C0762"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2018 fa</w:t>
            </w:r>
            <w:r w:rsidR="0069374B" w:rsidRPr="00363CFA">
              <w:rPr>
                <w:rFonts w:ascii="Calibri Light" w:eastAsia="Times New Roman" w:hAnsi="Calibri Light" w:cs="Calibri Light"/>
                <w:b/>
                <w:bCs/>
                <w:i/>
                <w:iCs/>
                <w:color w:val="000000"/>
                <w:sz w:val="16"/>
                <w:szCs w:val="16"/>
                <w:lang w:val="ro-MD"/>
              </w:rPr>
              <w:t>ț</w:t>
            </w:r>
            <w:r w:rsidRPr="00363CFA">
              <w:rPr>
                <w:rFonts w:ascii="Calibri Light" w:eastAsia="Times New Roman" w:hAnsi="Calibri Light" w:cs="Calibri Light"/>
                <w:b/>
                <w:bCs/>
                <w:i/>
                <w:iCs/>
                <w:color w:val="000000"/>
                <w:sz w:val="16"/>
                <w:szCs w:val="16"/>
                <w:lang w:val="ro-MD"/>
              </w:rPr>
              <w:t>ă de 2017 (%)</w:t>
            </w:r>
          </w:p>
        </w:tc>
        <w:tc>
          <w:tcPr>
            <w:tcW w:w="960" w:type="dxa"/>
            <w:tcBorders>
              <w:top w:val="nil"/>
              <w:left w:val="nil"/>
              <w:bottom w:val="single" w:sz="4" w:space="0" w:color="auto"/>
              <w:right w:val="single" w:sz="4" w:space="0" w:color="auto"/>
            </w:tcBorders>
            <w:shd w:val="clear" w:color="auto" w:fill="auto"/>
            <w:hideMark/>
          </w:tcPr>
          <w:p w14:paraId="4C93FD23"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2019 fa</w:t>
            </w:r>
            <w:r w:rsidR="0069374B" w:rsidRPr="00363CFA">
              <w:rPr>
                <w:rFonts w:ascii="Calibri Light" w:eastAsia="Times New Roman" w:hAnsi="Calibri Light" w:cs="Calibri Light"/>
                <w:b/>
                <w:bCs/>
                <w:i/>
                <w:iCs/>
                <w:color w:val="000000"/>
                <w:sz w:val="16"/>
                <w:szCs w:val="16"/>
                <w:lang w:val="ro-MD"/>
              </w:rPr>
              <w:t>ț</w:t>
            </w:r>
            <w:r w:rsidRPr="00363CFA">
              <w:rPr>
                <w:rFonts w:ascii="Calibri Light" w:eastAsia="Times New Roman" w:hAnsi="Calibri Light" w:cs="Calibri Light"/>
                <w:b/>
                <w:bCs/>
                <w:i/>
                <w:iCs/>
                <w:color w:val="000000"/>
                <w:sz w:val="16"/>
                <w:szCs w:val="16"/>
                <w:lang w:val="ro-MD"/>
              </w:rPr>
              <w:t>ă de 2018 (%)</w:t>
            </w:r>
          </w:p>
        </w:tc>
        <w:tc>
          <w:tcPr>
            <w:tcW w:w="960" w:type="dxa"/>
            <w:tcBorders>
              <w:top w:val="nil"/>
              <w:left w:val="nil"/>
              <w:bottom w:val="single" w:sz="4" w:space="0" w:color="auto"/>
              <w:right w:val="single" w:sz="4" w:space="0" w:color="auto"/>
            </w:tcBorders>
            <w:shd w:val="clear" w:color="auto" w:fill="auto"/>
            <w:hideMark/>
          </w:tcPr>
          <w:p w14:paraId="64630CF1"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6"/>
                <w:szCs w:val="16"/>
                <w:lang w:val="ro-MD"/>
              </w:rPr>
            </w:pPr>
            <w:r w:rsidRPr="00363CFA">
              <w:rPr>
                <w:rFonts w:ascii="Calibri Light" w:eastAsia="Times New Roman" w:hAnsi="Calibri Light" w:cs="Calibri Light"/>
                <w:b/>
                <w:bCs/>
                <w:i/>
                <w:iCs/>
                <w:color w:val="000000"/>
                <w:sz w:val="16"/>
                <w:szCs w:val="16"/>
                <w:lang w:val="ro-MD"/>
              </w:rPr>
              <w:t>2020 fa</w:t>
            </w:r>
            <w:r w:rsidR="0069374B" w:rsidRPr="00363CFA">
              <w:rPr>
                <w:rFonts w:ascii="Calibri Light" w:eastAsia="Times New Roman" w:hAnsi="Calibri Light" w:cs="Calibri Light"/>
                <w:b/>
                <w:bCs/>
                <w:i/>
                <w:iCs/>
                <w:color w:val="000000"/>
                <w:sz w:val="16"/>
                <w:szCs w:val="16"/>
                <w:lang w:val="ro-MD"/>
              </w:rPr>
              <w:t>ț</w:t>
            </w:r>
            <w:r w:rsidRPr="00363CFA">
              <w:rPr>
                <w:rFonts w:ascii="Calibri Light" w:eastAsia="Times New Roman" w:hAnsi="Calibri Light" w:cs="Calibri Light"/>
                <w:b/>
                <w:bCs/>
                <w:i/>
                <w:iCs/>
                <w:color w:val="000000"/>
                <w:sz w:val="16"/>
                <w:szCs w:val="16"/>
                <w:lang w:val="ro-MD"/>
              </w:rPr>
              <w:t>ă de 2019 (%)</w:t>
            </w:r>
          </w:p>
        </w:tc>
      </w:tr>
      <w:tr w:rsidR="00394D01" w:rsidRPr="00363CFA" w14:paraId="24A7925B"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777AC0"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1</w:t>
            </w:r>
          </w:p>
        </w:tc>
        <w:tc>
          <w:tcPr>
            <w:tcW w:w="3020" w:type="dxa"/>
            <w:tcBorders>
              <w:top w:val="nil"/>
              <w:left w:val="nil"/>
              <w:bottom w:val="single" w:sz="4" w:space="0" w:color="auto"/>
              <w:right w:val="single" w:sz="4" w:space="0" w:color="auto"/>
            </w:tcBorders>
            <w:shd w:val="clear" w:color="auto" w:fill="auto"/>
            <w:noWrap/>
            <w:vAlign w:val="center"/>
            <w:hideMark/>
          </w:tcPr>
          <w:p w14:paraId="0AACD233"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2</w:t>
            </w:r>
          </w:p>
        </w:tc>
        <w:tc>
          <w:tcPr>
            <w:tcW w:w="1100" w:type="dxa"/>
            <w:tcBorders>
              <w:top w:val="nil"/>
              <w:left w:val="nil"/>
              <w:bottom w:val="single" w:sz="4" w:space="0" w:color="auto"/>
              <w:right w:val="single" w:sz="4" w:space="0" w:color="auto"/>
            </w:tcBorders>
            <w:shd w:val="clear" w:color="auto" w:fill="auto"/>
            <w:vAlign w:val="center"/>
            <w:hideMark/>
          </w:tcPr>
          <w:p w14:paraId="230895B8"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3</w:t>
            </w:r>
          </w:p>
        </w:tc>
        <w:tc>
          <w:tcPr>
            <w:tcW w:w="1100" w:type="dxa"/>
            <w:tcBorders>
              <w:top w:val="nil"/>
              <w:left w:val="nil"/>
              <w:bottom w:val="single" w:sz="4" w:space="0" w:color="auto"/>
              <w:right w:val="single" w:sz="4" w:space="0" w:color="auto"/>
            </w:tcBorders>
            <w:shd w:val="clear" w:color="auto" w:fill="auto"/>
            <w:vAlign w:val="center"/>
            <w:hideMark/>
          </w:tcPr>
          <w:p w14:paraId="1B64673F"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4</w:t>
            </w:r>
          </w:p>
        </w:tc>
        <w:tc>
          <w:tcPr>
            <w:tcW w:w="1100" w:type="dxa"/>
            <w:tcBorders>
              <w:top w:val="nil"/>
              <w:left w:val="nil"/>
              <w:bottom w:val="single" w:sz="4" w:space="0" w:color="auto"/>
              <w:right w:val="single" w:sz="4" w:space="0" w:color="auto"/>
            </w:tcBorders>
            <w:shd w:val="clear" w:color="auto" w:fill="auto"/>
            <w:vAlign w:val="center"/>
            <w:hideMark/>
          </w:tcPr>
          <w:p w14:paraId="75D9A696"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5</w:t>
            </w:r>
          </w:p>
        </w:tc>
        <w:tc>
          <w:tcPr>
            <w:tcW w:w="1100" w:type="dxa"/>
            <w:tcBorders>
              <w:top w:val="nil"/>
              <w:left w:val="nil"/>
              <w:bottom w:val="single" w:sz="4" w:space="0" w:color="auto"/>
              <w:right w:val="single" w:sz="4" w:space="0" w:color="auto"/>
            </w:tcBorders>
            <w:shd w:val="clear" w:color="auto" w:fill="auto"/>
            <w:vAlign w:val="center"/>
            <w:hideMark/>
          </w:tcPr>
          <w:p w14:paraId="39D8CC5E"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6</w:t>
            </w:r>
          </w:p>
        </w:tc>
        <w:tc>
          <w:tcPr>
            <w:tcW w:w="880" w:type="dxa"/>
            <w:tcBorders>
              <w:top w:val="nil"/>
              <w:left w:val="nil"/>
              <w:bottom w:val="single" w:sz="4" w:space="0" w:color="auto"/>
              <w:right w:val="single" w:sz="4" w:space="0" w:color="auto"/>
            </w:tcBorders>
            <w:shd w:val="clear" w:color="auto" w:fill="auto"/>
            <w:vAlign w:val="center"/>
            <w:hideMark/>
          </w:tcPr>
          <w:p w14:paraId="4D250000"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7</w:t>
            </w:r>
          </w:p>
        </w:tc>
        <w:tc>
          <w:tcPr>
            <w:tcW w:w="960" w:type="dxa"/>
            <w:tcBorders>
              <w:top w:val="nil"/>
              <w:left w:val="nil"/>
              <w:bottom w:val="single" w:sz="4" w:space="0" w:color="auto"/>
              <w:right w:val="single" w:sz="4" w:space="0" w:color="auto"/>
            </w:tcBorders>
            <w:shd w:val="clear" w:color="auto" w:fill="auto"/>
            <w:vAlign w:val="center"/>
            <w:hideMark/>
          </w:tcPr>
          <w:p w14:paraId="1F7DCF47"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8=4-3</w:t>
            </w:r>
          </w:p>
        </w:tc>
        <w:tc>
          <w:tcPr>
            <w:tcW w:w="960" w:type="dxa"/>
            <w:tcBorders>
              <w:top w:val="nil"/>
              <w:left w:val="nil"/>
              <w:bottom w:val="single" w:sz="4" w:space="0" w:color="auto"/>
              <w:right w:val="single" w:sz="4" w:space="0" w:color="auto"/>
            </w:tcBorders>
            <w:shd w:val="clear" w:color="auto" w:fill="auto"/>
            <w:vAlign w:val="center"/>
            <w:hideMark/>
          </w:tcPr>
          <w:p w14:paraId="38859103"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9=5-4</w:t>
            </w:r>
          </w:p>
        </w:tc>
        <w:tc>
          <w:tcPr>
            <w:tcW w:w="960" w:type="dxa"/>
            <w:tcBorders>
              <w:top w:val="nil"/>
              <w:left w:val="nil"/>
              <w:bottom w:val="single" w:sz="4" w:space="0" w:color="auto"/>
              <w:right w:val="single" w:sz="4" w:space="0" w:color="auto"/>
            </w:tcBorders>
            <w:shd w:val="clear" w:color="auto" w:fill="auto"/>
            <w:vAlign w:val="center"/>
            <w:hideMark/>
          </w:tcPr>
          <w:p w14:paraId="7718FF19"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10=6-5</w:t>
            </w:r>
          </w:p>
        </w:tc>
        <w:tc>
          <w:tcPr>
            <w:tcW w:w="960" w:type="dxa"/>
            <w:tcBorders>
              <w:top w:val="nil"/>
              <w:left w:val="nil"/>
              <w:bottom w:val="single" w:sz="4" w:space="0" w:color="auto"/>
              <w:right w:val="single" w:sz="4" w:space="0" w:color="auto"/>
            </w:tcBorders>
            <w:shd w:val="clear" w:color="auto" w:fill="auto"/>
            <w:vAlign w:val="center"/>
            <w:hideMark/>
          </w:tcPr>
          <w:p w14:paraId="14FF4836"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11=8/4*100</w:t>
            </w:r>
          </w:p>
        </w:tc>
        <w:tc>
          <w:tcPr>
            <w:tcW w:w="960" w:type="dxa"/>
            <w:tcBorders>
              <w:top w:val="nil"/>
              <w:left w:val="nil"/>
              <w:bottom w:val="single" w:sz="4" w:space="0" w:color="auto"/>
              <w:right w:val="single" w:sz="4" w:space="0" w:color="auto"/>
            </w:tcBorders>
            <w:shd w:val="clear" w:color="auto" w:fill="auto"/>
            <w:vAlign w:val="center"/>
            <w:hideMark/>
          </w:tcPr>
          <w:p w14:paraId="20820946"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12=9/5*100</w:t>
            </w:r>
          </w:p>
        </w:tc>
        <w:tc>
          <w:tcPr>
            <w:tcW w:w="960" w:type="dxa"/>
            <w:tcBorders>
              <w:top w:val="nil"/>
              <w:left w:val="nil"/>
              <w:bottom w:val="single" w:sz="4" w:space="0" w:color="auto"/>
              <w:right w:val="single" w:sz="4" w:space="0" w:color="auto"/>
            </w:tcBorders>
            <w:shd w:val="clear" w:color="auto" w:fill="auto"/>
            <w:vAlign w:val="center"/>
            <w:hideMark/>
          </w:tcPr>
          <w:p w14:paraId="37AA8B1C" w14:textId="77777777" w:rsidR="00394D01" w:rsidRPr="00363CFA" w:rsidRDefault="00394D01" w:rsidP="00394D01">
            <w:pPr>
              <w:spacing w:after="0" w:line="240" w:lineRule="auto"/>
              <w:jc w:val="center"/>
              <w:rPr>
                <w:rFonts w:ascii="Calibri Light" w:eastAsia="Times New Roman" w:hAnsi="Calibri Light" w:cs="Calibri Light"/>
                <w:b/>
                <w:bCs/>
                <w:i/>
                <w:iCs/>
                <w:color w:val="000000"/>
                <w:sz w:val="12"/>
                <w:szCs w:val="12"/>
                <w:lang w:val="ro-MD"/>
              </w:rPr>
            </w:pPr>
            <w:r w:rsidRPr="00363CFA">
              <w:rPr>
                <w:rFonts w:ascii="Calibri Light" w:eastAsia="Times New Roman" w:hAnsi="Calibri Light" w:cs="Calibri Light"/>
                <w:b/>
                <w:bCs/>
                <w:i/>
                <w:iCs/>
                <w:color w:val="000000"/>
                <w:sz w:val="12"/>
                <w:szCs w:val="12"/>
                <w:lang w:val="ro-MD"/>
              </w:rPr>
              <w:t>13=10/6*100</w:t>
            </w:r>
          </w:p>
        </w:tc>
      </w:tr>
      <w:tr w:rsidR="00394D01" w:rsidRPr="00363CFA" w14:paraId="71C13C02"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A6771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w:t>
            </w:r>
          </w:p>
        </w:tc>
        <w:tc>
          <w:tcPr>
            <w:tcW w:w="3020" w:type="dxa"/>
            <w:tcBorders>
              <w:top w:val="nil"/>
              <w:left w:val="nil"/>
              <w:bottom w:val="single" w:sz="8" w:space="0" w:color="auto"/>
              <w:right w:val="single" w:sz="8" w:space="0" w:color="auto"/>
            </w:tcBorders>
            <w:shd w:val="clear" w:color="auto" w:fill="auto"/>
            <w:vAlign w:val="center"/>
            <w:hideMark/>
          </w:tcPr>
          <w:p w14:paraId="4C337284"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ACTIVE NEFINANCIARE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CBCFE8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213.559,0</w:t>
            </w:r>
          </w:p>
        </w:tc>
        <w:tc>
          <w:tcPr>
            <w:tcW w:w="1100" w:type="dxa"/>
            <w:tcBorders>
              <w:top w:val="nil"/>
              <w:left w:val="nil"/>
              <w:bottom w:val="single" w:sz="4" w:space="0" w:color="auto"/>
              <w:right w:val="single" w:sz="4" w:space="0" w:color="auto"/>
            </w:tcBorders>
            <w:shd w:val="clear" w:color="auto" w:fill="auto"/>
            <w:noWrap/>
            <w:vAlign w:val="bottom"/>
            <w:hideMark/>
          </w:tcPr>
          <w:p w14:paraId="297D734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262.123,0</w:t>
            </w:r>
          </w:p>
        </w:tc>
        <w:tc>
          <w:tcPr>
            <w:tcW w:w="1100" w:type="dxa"/>
            <w:tcBorders>
              <w:top w:val="nil"/>
              <w:left w:val="nil"/>
              <w:bottom w:val="single" w:sz="4" w:space="0" w:color="auto"/>
              <w:right w:val="single" w:sz="4" w:space="0" w:color="auto"/>
            </w:tcBorders>
            <w:shd w:val="clear" w:color="auto" w:fill="auto"/>
            <w:noWrap/>
            <w:vAlign w:val="bottom"/>
            <w:hideMark/>
          </w:tcPr>
          <w:p w14:paraId="4CBD77B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329.545,7</w:t>
            </w:r>
          </w:p>
        </w:tc>
        <w:tc>
          <w:tcPr>
            <w:tcW w:w="1100" w:type="dxa"/>
            <w:tcBorders>
              <w:top w:val="nil"/>
              <w:left w:val="nil"/>
              <w:bottom w:val="single" w:sz="4" w:space="0" w:color="auto"/>
              <w:right w:val="single" w:sz="4" w:space="0" w:color="auto"/>
            </w:tcBorders>
            <w:shd w:val="clear" w:color="auto" w:fill="auto"/>
            <w:noWrap/>
            <w:vAlign w:val="bottom"/>
            <w:hideMark/>
          </w:tcPr>
          <w:p w14:paraId="1BA57A8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362.040,1</w:t>
            </w:r>
          </w:p>
        </w:tc>
        <w:tc>
          <w:tcPr>
            <w:tcW w:w="880" w:type="dxa"/>
            <w:tcBorders>
              <w:top w:val="nil"/>
              <w:left w:val="nil"/>
              <w:bottom w:val="single" w:sz="4" w:space="0" w:color="auto"/>
              <w:right w:val="single" w:sz="4" w:space="0" w:color="auto"/>
            </w:tcBorders>
            <w:shd w:val="clear" w:color="auto" w:fill="auto"/>
            <w:noWrap/>
            <w:vAlign w:val="bottom"/>
            <w:hideMark/>
          </w:tcPr>
          <w:p w14:paraId="365B1E0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61,4</w:t>
            </w:r>
          </w:p>
        </w:tc>
        <w:tc>
          <w:tcPr>
            <w:tcW w:w="960" w:type="dxa"/>
            <w:tcBorders>
              <w:top w:val="nil"/>
              <w:left w:val="nil"/>
              <w:bottom w:val="single" w:sz="4" w:space="0" w:color="auto"/>
              <w:right w:val="single" w:sz="4" w:space="0" w:color="auto"/>
            </w:tcBorders>
            <w:shd w:val="clear" w:color="auto" w:fill="auto"/>
            <w:noWrap/>
            <w:vAlign w:val="bottom"/>
            <w:hideMark/>
          </w:tcPr>
          <w:p w14:paraId="609B01B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48.564,0</w:t>
            </w:r>
          </w:p>
        </w:tc>
        <w:tc>
          <w:tcPr>
            <w:tcW w:w="960" w:type="dxa"/>
            <w:tcBorders>
              <w:top w:val="nil"/>
              <w:left w:val="nil"/>
              <w:bottom w:val="single" w:sz="4" w:space="0" w:color="auto"/>
              <w:right w:val="single" w:sz="4" w:space="0" w:color="auto"/>
            </w:tcBorders>
            <w:shd w:val="clear" w:color="auto" w:fill="auto"/>
            <w:noWrap/>
            <w:vAlign w:val="bottom"/>
            <w:hideMark/>
          </w:tcPr>
          <w:p w14:paraId="359D1B1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67.422,7</w:t>
            </w:r>
          </w:p>
        </w:tc>
        <w:tc>
          <w:tcPr>
            <w:tcW w:w="960" w:type="dxa"/>
            <w:tcBorders>
              <w:top w:val="nil"/>
              <w:left w:val="nil"/>
              <w:bottom w:val="single" w:sz="4" w:space="0" w:color="auto"/>
              <w:right w:val="single" w:sz="4" w:space="0" w:color="auto"/>
            </w:tcBorders>
            <w:shd w:val="clear" w:color="auto" w:fill="auto"/>
            <w:noWrap/>
            <w:vAlign w:val="bottom"/>
            <w:hideMark/>
          </w:tcPr>
          <w:p w14:paraId="67257D9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32.494,4</w:t>
            </w:r>
          </w:p>
        </w:tc>
        <w:tc>
          <w:tcPr>
            <w:tcW w:w="960" w:type="dxa"/>
            <w:tcBorders>
              <w:top w:val="nil"/>
              <w:left w:val="nil"/>
              <w:bottom w:val="single" w:sz="4" w:space="0" w:color="auto"/>
              <w:right w:val="single" w:sz="4" w:space="0" w:color="auto"/>
            </w:tcBorders>
            <w:shd w:val="clear" w:color="auto" w:fill="auto"/>
            <w:noWrap/>
            <w:vAlign w:val="bottom"/>
            <w:hideMark/>
          </w:tcPr>
          <w:p w14:paraId="244F550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18,5</w:t>
            </w:r>
          </w:p>
        </w:tc>
        <w:tc>
          <w:tcPr>
            <w:tcW w:w="960" w:type="dxa"/>
            <w:tcBorders>
              <w:top w:val="nil"/>
              <w:left w:val="nil"/>
              <w:bottom w:val="single" w:sz="4" w:space="0" w:color="auto"/>
              <w:right w:val="single" w:sz="4" w:space="0" w:color="auto"/>
            </w:tcBorders>
            <w:shd w:val="clear" w:color="auto" w:fill="auto"/>
            <w:noWrap/>
            <w:vAlign w:val="bottom"/>
            <w:hideMark/>
          </w:tcPr>
          <w:p w14:paraId="127DEB9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20,5</w:t>
            </w:r>
          </w:p>
        </w:tc>
        <w:tc>
          <w:tcPr>
            <w:tcW w:w="960" w:type="dxa"/>
            <w:tcBorders>
              <w:top w:val="nil"/>
              <w:left w:val="nil"/>
              <w:bottom w:val="single" w:sz="4" w:space="0" w:color="auto"/>
              <w:right w:val="single" w:sz="4" w:space="0" w:color="auto"/>
            </w:tcBorders>
            <w:shd w:val="clear" w:color="auto" w:fill="auto"/>
            <w:noWrap/>
            <w:vAlign w:val="bottom"/>
            <w:hideMark/>
          </w:tcPr>
          <w:p w14:paraId="03C32DD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9,0</w:t>
            </w:r>
          </w:p>
        </w:tc>
      </w:tr>
      <w:tr w:rsidR="00394D01" w:rsidRPr="00363CFA" w14:paraId="4BF3CD4C"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28027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w:t>
            </w:r>
          </w:p>
        </w:tc>
        <w:tc>
          <w:tcPr>
            <w:tcW w:w="3020" w:type="dxa"/>
            <w:tcBorders>
              <w:top w:val="nil"/>
              <w:left w:val="nil"/>
              <w:bottom w:val="single" w:sz="8" w:space="0" w:color="auto"/>
              <w:right w:val="single" w:sz="8" w:space="0" w:color="auto"/>
            </w:tcBorders>
            <w:shd w:val="clear" w:color="auto" w:fill="auto"/>
            <w:vAlign w:val="center"/>
            <w:hideMark/>
          </w:tcPr>
          <w:p w14:paraId="22F2DB02"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MIJLOACE FIXE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9C89E6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284.290,0</w:t>
            </w:r>
          </w:p>
        </w:tc>
        <w:tc>
          <w:tcPr>
            <w:tcW w:w="1100" w:type="dxa"/>
            <w:tcBorders>
              <w:top w:val="nil"/>
              <w:left w:val="nil"/>
              <w:bottom w:val="single" w:sz="4" w:space="0" w:color="auto"/>
              <w:right w:val="single" w:sz="4" w:space="0" w:color="auto"/>
            </w:tcBorders>
            <w:shd w:val="clear" w:color="auto" w:fill="auto"/>
            <w:noWrap/>
            <w:vAlign w:val="bottom"/>
            <w:hideMark/>
          </w:tcPr>
          <w:p w14:paraId="0072155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287.612,8</w:t>
            </w:r>
          </w:p>
        </w:tc>
        <w:tc>
          <w:tcPr>
            <w:tcW w:w="1100" w:type="dxa"/>
            <w:tcBorders>
              <w:top w:val="nil"/>
              <w:left w:val="nil"/>
              <w:bottom w:val="single" w:sz="4" w:space="0" w:color="auto"/>
              <w:right w:val="single" w:sz="4" w:space="0" w:color="auto"/>
            </w:tcBorders>
            <w:shd w:val="clear" w:color="auto" w:fill="auto"/>
            <w:noWrap/>
            <w:vAlign w:val="bottom"/>
            <w:hideMark/>
          </w:tcPr>
          <w:p w14:paraId="33A8588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371.176,3</w:t>
            </w:r>
          </w:p>
        </w:tc>
        <w:tc>
          <w:tcPr>
            <w:tcW w:w="1100" w:type="dxa"/>
            <w:tcBorders>
              <w:top w:val="nil"/>
              <w:left w:val="nil"/>
              <w:bottom w:val="single" w:sz="4" w:space="0" w:color="auto"/>
              <w:right w:val="single" w:sz="4" w:space="0" w:color="auto"/>
            </w:tcBorders>
            <w:shd w:val="clear" w:color="auto" w:fill="auto"/>
            <w:noWrap/>
            <w:vAlign w:val="bottom"/>
            <w:hideMark/>
          </w:tcPr>
          <w:p w14:paraId="5C5840C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420.127,5</w:t>
            </w:r>
          </w:p>
        </w:tc>
        <w:tc>
          <w:tcPr>
            <w:tcW w:w="880" w:type="dxa"/>
            <w:tcBorders>
              <w:top w:val="nil"/>
              <w:left w:val="nil"/>
              <w:bottom w:val="single" w:sz="4" w:space="0" w:color="auto"/>
              <w:right w:val="single" w:sz="4" w:space="0" w:color="auto"/>
            </w:tcBorders>
            <w:shd w:val="clear" w:color="auto" w:fill="auto"/>
            <w:noWrap/>
            <w:vAlign w:val="bottom"/>
            <w:hideMark/>
          </w:tcPr>
          <w:p w14:paraId="40B9F78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71,3</w:t>
            </w:r>
          </w:p>
        </w:tc>
        <w:tc>
          <w:tcPr>
            <w:tcW w:w="960" w:type="dxa"/>
            <w:tcBorders>
              <w:top w:val="nil"/>
              <w:left w:val="nil"/>
              <w:bottom w:val="single" w:sz="4" w:space="0" w:color="auto"/>
              <w:right w:val="single" w:sz="4" w:space="0" w:color="auto"/>
            </w:tcBorders>
            <w:shd w:val="clear" w:color="auto" w:fill="auto"/>
            <w:noWrap/>
            <w:vAlign w:val="bottom"/>
            <w:hideMark/>
          </w:tcPr>
          <w:p w14:paraId="395B024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3.322,8</w:t>
            </w:r>
          </w:p>
        </w:tc>
        <w:tc>
          <w:tcPr>
            <w:tcW w:w="960" w:type="dxa"/>
            <w:tcBorders>
              <w:top w:val="nil"/>
              <w:left w:val="nil"/>
              <w:bottom w:val="single" w:sz="4" w:space="0" w:color="auto"/>
              <w:right w:val="single" w:sz="4" w:space="0" w:color="auto"/>
            </w:tcBorders>
            <w:shd w:val="clear" w:color="auto" w:fill="auto"/>
            <w:noWrap/>
            <w:vAlign w:val="bottom"/>
            <w:hideMark/>
          </w:tcPr>
          <w:p w14:paraId="7372B1F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83.563,5</w:t>
            </w:r>
          </w:p>
        </w:tc>
        <w:tc>
          <w:tcPr>
            <w:tcW w:w="960" w:type="dxa"/>
            <w:tcBorders>
              <w:top w:val="nil"/>
              <w:left w:val="nil"/>
              <w:bottom w:val="single" w:sz="4" w:space="0" w:color="auto"/>
              <w:right w:val="single" w:sz="4" w:space="0" w:color="auto"/>
            </w:tcBorders>
            <w:shd w:val="clear" w:color="auto" w:fill="auto"/>
            <w:noWrap/>
            <w:vAlign w:val="bottom"/>
            <w:hideMark/>
          </w:tcPr>
          <w:p w14:paraId="1221FA3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48.951,2</w:t>
            </w:r>
          </w:p>
        </w:tc>
        <w:tc>
          <w:tcPr>
            <w:tcW w:w="960" w:type="dxa"/>
            <w:tcBorders>
              <w:top w:val="nil"/>
              <w:left w:val="nil"/>
              <w:bottom w:val="single" w:sz="4" w:space="0" w:color="auto"/>
              <w:right w:val="single" w:sz="4" w:space="0" w:color="auto"/>
            </w:tcBorders>
            <w:shd w:val="clear" w:color="auto" w:fill="auto"/>
            <w:noWrap/>
            <w:vAlign w:val="bottom"/>
            <w:hideMark/>
          </w:tcPr>
          <w:p w14:paraId="3C89E84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w:t>
            </w:r>
          </w:p>
        </w:tc>
        <w:tc>
          <w:tcPr>
            <w:tcW w:w="960" w:type="dxa"/>
            <w:tcBorders>
              <w:top w:val="nil"/>
              <w:left w:val="nil"/>
              <w:bottom w:val="single" w:sz="4" w:space="0" w:color="auto"/>
              <w:right w:val="single" w:sz="4" w:space="0" w:color="auto"/>
            </w:tcBorders>
            <w:shd w:val="clear" w:color="auto" w:fill="auto"/>
            <w:noWrap/>
            <w:vAlign w:val="bottom"/>
            <w:hideMark/>
          </w:tcPr>
          <w:p w14:paraId="11A0B7C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22,5</w:t>
            </w:r>
          </w:p>
        </w:tc>
        <w:tc>
          <w:tcPr>
            <w:tcW w:w="960" w:type="dxa"/>
            <w:tcBorders>
              <w:top w:val="nil"/>
              <w:left w:val="nil"/>
              <w:bottom w:val="single" w:sz="4" w:space="0" w:color="auto"/>
              <w:right w:val="single" w:sz="4" w:space="0" w:color="auto"/>
            </w:tcBorders>
            <w:shd w:val="clear" w:color="auto" w:fill="auto"/>
            <w:noWrap/>
            <w:vAlign w:val="bottom"/>
            <w:hideMark/>
          </w:tcPr>
          <w:p w14:paraId="5DB6E17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11,7</w:t>
            </w:r>
          </w:p>
        </w:tc>
      </w:tr>
      <w:tr w:rsidR="00394D01" w:rsidRPr="00363CFA" w14:paraId="5F26B308"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17B240"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311</w:t>
            </w:r>
          </w:p>
        </w:tc>
        <w:tc>
          <w:tcPr>
            <w:tcW w:w="3020" w:type="dxa"/>
            <w:tcBorders>
              <w:top w:val="nil"/>
              <w:left w:val="nil"/>
              <w:bottom w:val="single" w:sz="8" w:space="0" w:color="auto"/>
              <w:right w:val="single" w:sz="8" w:space="0" w:color="auto"/>
            </w:tcBorders>
            <w:shd w:val="clear" w:color="auto" w:fill="auto"/>
            <w:vAlign w:val="center"/>
            <w:hideMark/>
          </w:tcPr>
          <w:p w14:paraId="1F1E32B2"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Clădiri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48B8A4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109.390,6</w:t>
            </w:r>
          </w:p>
        </w:tc>
        <w:tc>
          <w:tcPr>
            <w:tcW w:w="1100" w:type="dxa"/>
            <w:tcBorders>
              <w:top w:val="nil"/>
              <w:left w:val="nil"/>
              <w:bottom w:val="single" w:sz="4" w:space="0" w:color="auto"/>
              <w:right w:val="single" w:sz="4" w:space="0" w:color="auto"/>
            </w:tcBorders>
            <w:shd w:val="clear" w:color="auto" w:fill="auto"/>
            <w:noWrap/>
            <w:vAlign w:val="bottom"/>
            <w:hideMark/>
          </w:tcPr>
          <w:p w14:paraId="5845187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32.383,8</w:t>
            </w:r>
          </w:p>
        </w:tc>
        <w:tc>
          <w:tcPr>
            <w:tcW w:w="1100" w:type="dxa"/>
            <w:tcBorders>
              <w:top w:val="nil"/>
              <w:left w:val="nil"/>
              <w:bottom w:val="single" w:sz="4" w:space="0" w:color="auto"/>
              <w:right w:val="single" w:sz="4" w:space="0" w:color="auto"/>
            </w:tcBorders>
            <w:shd w:val="clear" w:color="auto" w:fill="auto"/>
            <w:noWrap/>
            <w:vAlign w:val="bottom"/>
            <w:hideMark/>
          </w:tcPr>
          <w:p w14:paraId="6DC96AE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40.140,7</w:t>
            </w:r>
          </w:p>
        </w:tc>
        <w:tc>
          <w:tcPr>
            <w:tcW w:w="1100" w:type="dxa"/>
            <w:tcBorders>
              <w:top w:val="nil"/>
              <w:left w:val="nil"/>
              <w:bottom w:val="single" w:sz="4" w:space="0" w:color="auto"/>
              <w:right w:val="single" w:sz="4" w:space="0" w:color="auto"/>
            </w:tcBorders>
            <w:shd w:val="clear" w:color="auto" w:fill="auto"/>
            <w:noWrap/>
            <w:vAlign w:val="bottom"/>
            <w:hideMark/>
          </w:tcPr>
          <w:p w14:paraId="6317AEB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42.382,2</w:t>
            </w:r>
          </w:p>
        </w:tc>
        <w:tc>
          <w:tcPr>
            <w:tcW w:w="880" w:type="dxa"/>
            <w:tcBorders>
              <w:top w:val="nil"/>
              <w:left w:val="nil"/>
              <w:bottom w:val="single" w:sz="4" w:space="0" w:color="auto"/>
              <w:right w:val="single" w:sz="4" w:space="0" w:color="auto"/>
            </w:tcBorders>
            <w:shd w:val="clear" w:color="auto" w:fill="auto"/>
            <w:noWrap/>
            <w:vAlign w:val="bottom"/>
            <w:hideMark/>
          </w:tcPr>
          <w:p w14:paraId="1E9640F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7,2</w:t>
            </w:r>
          </w:p>
        </w:tc>
        <w:tc>
          <w:tcPr>
            <w:tcW w:w="960" w:type="dxa"/>
            <w:tcBorders>
              <w:top w:val="nil"/>
              <w:left w:val="nil"/>
              <w:bottom w:val="single" w:sz="4" w:space="0" w:color="auto"/>
              <w:right w:val="single" w:sz="4" w:space="0" w:color="auto"/>
            </w:tcBorders>
            <w:shd w:val="clear" w:color="auto" w:fill="auto"/>
            <w:noWrap/>
            <w:vAlign w:val="bottom"/>
            <w:hideMark/>
          </w:tcPr>
          <w:p w14:paraId="05478DE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-77.006,8</w:t>
            </w:r>
          </w:p>
        </w:tc>
        <w:tc>
          <w:tcPr>
            <w:tcW w:w="960" w:type="dxa"/>
            <w:tcBorders>
              <w:top w:val="nil"/>
              <w:left w:val="nil"/>
              <w:bottom w:val="single" w:sz="4" w:space="0" w:color="auto"/>
              <w:right w:val="single" w:sz="4" w:space="0" w:color="auto"/>
            </w:tcBorders>
            <w:shd w:val="clear" w:color="auto" w:fill="auto"/>
            <w:noWrap/>
            <w:vAlign w:val="bottom"/>
            <w:hideMark/>
          </w:tcPr>
          <w:p w14:paraId="251B19D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7.756,9</w:t>
            </w:r>
          </w:p>
        </w:tc>
        <w:tc>
          <w:tcPr>
            <w:tcW w:w="960" w:type="dxa"/>
            <w:tcBorders>
              <w:top w:val="nil"/>
              <w:left w:val="nil"/>
              <w:bottom w:val="single" w:sz="4" w:space="0" w:color="auto"/>
              <w:right w:val="single" w:sz="4" w:space="0" w:color="auto"/>
            </w:tcBorders>
            <w:shd w:val="clear" w:color="auto" w:fill="auto"/>
            <w:noWrap/>
            <w:vAlign w:val="bottom"/>
            <w:hideMark/>
          </w:tcPr>
          <w:p w14:paraId="1BBB989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2.241,5</w:t>
            </w:r>
          </w:p>
        </w:tc>
        <w:tc>
          <w:tcPr>
            <w:tcW w:w="960" w:type="dxa"/>
            <w:tcBorders>
              <w:top w:val="nil"/>
              <w:left w:val="nil"/>
              <w:bottom w:val="single" w:sz="4" w:space="0" w:color="auto"/>
              <w:right w:val="single" w:sz="4" w:space="0" w:color="auto"/>
            </w:tcBorders>
            <w:shd w:val="clear" w:color="auto" w:fill="auto"/>
            <w:noWrap/>
            <w:vAlign w:val="bottom"/>
            <w:hideMark/>
          </w:tcPr>
          <w:p w14:paraId="06DA7F6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-237,8</w:t>
            </w:r>
          </w:p>
        </w:tc>
        <w:tc>
          <w:tcPr>
            <w:tcW w:w="960" w:type="dxa"/>
            <w:tcBorders>
              <w:top w:val="nil"/>
              <w:left w:val="nil"/>
              <w:bottom w:val="single" w:sz="4" w:space="0" w:color="auto"/>
              <w:right w:val="single" w:sz="4" w:space="0" w:color="auto"/>
            </w:tcBorders>
            <w:shd w:val="clear" w:color="auto" w:fill="auto"/>
            <w:noWrap/>
            <w:vAlign w:val="bottom"/>
            <w:hideMark/>
          </w:tcPr>
          <w:p w14:paraId="0756470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19,3</w:t>
            </w:r>
          </w:p>
        </w:tc>
        <w:tc>
          <w:tcPr>
            <w:tcW w:w="960" w:type="dxa"/>
            <w:tcBorders>
              <w:top w:val="nil"/>
              <w:left w:val="nil"/>
              <w:bottom w:val="single" w:sz="4" w:space="0" w:color="auto"/>
              <w:right w:val="single" w:sz="4" w:space="0" w:color="auto"/>
            </w:tcBorders>
            <w:shd w:val="clear" w:color="auto" w:fill="auto"/>
            <w:noWrap/>
            <w:vAlign w:val="bottom"/>
            <w:hideMark/>
          </w:tcPr>
          <w:p w14:paraId="13EF51E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5,3</w:t>
            </w:r>
          </w:p>
        </w:tc>
      </w:tr>
      <w:tr w:rsidR="00394D01" w:rsidRPr="00363CFA" w14:paraId="0FA3E997"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AF341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312</w:t>
            </w:r>
          </w:p>
        </w:tc>
        <w:tc>
          <w:tcPr>
            <w:tcW w:w="3020" w:type="dxa"/>
            <w:tcBorders>
              <w:top w:val="nil"/>
              <w:left w:val="nil"/>
              <w:bottom w:val="single" w:sz="8" w:space="0" w:color="auto"/>
              <w:right w:val="single" w:sz="8" w:space="0" w:color="auto"/>
            </w:tcBorders>
            <w:shd w:val="clear" w:color="auto" w:fill="auto"/>
            <w:vAlign w:val="center"/>
            <w:hideMark/>
          </w:tcPr>
          <w:p w14:paraId="5E6F2030"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Construc</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ii speciale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832C19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61.088,8</w:t>
            </w:r>
          </w:p>
        </w:tc>
        <w:tc>
          <w:tcPr>
            <w:tcW w:w="1100" w:type="dxa"/>
            <w:tcBorders>
              <w:top w:val="nil"/>
              <w:left w:val="nil"/>
              <w:bottom w:val="single" w:sz="4" w:space="0" w:color="auto"/>
              <w:right w:val="single" w:sz="4" w:space="0" w:color="auto"/>
            </w:tcBorders>
            <w:shd w:val="clear" w:color="auto" w:fill="auto"/>
            <w:noWrap/>
            <w:vAlign w:val="bottom"/>
            <w:hideMark/>
          </w:tcPr>
          <w:p w14:paraId="7E3A2DE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62.630,4</w:t>
            </w:r>
          </w:p>
        </w:tc>
        <w:tc>
          <w:tcPr>
            <w:tcW w:w="1100" w:type="dxa"/>
            <w:tcBorders>
              <w:top w:val="nil"/>
              <w:left w:val="nil"/>
              <w:bottom w:val="single" w:sz="4" w:space="0" w:color="auto"/>
              <w:right w:val="single" w:sz="4" w:space="0" w:color="auto"/>
            </w:tcBorders>
            <w:shd w:val="clear" w:color="auto" w:fill="auto"/>
            <w:noWrap/>
            <w:vAlign w:val="bottom"/>
            <w:hideMark/>
          </w:tcPr>
          <w:p w14:paraId="1900B60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83.489,1</w:t>
            </w:r>
          </w:p>
        </w:tc>
        <w:tc>
          <w:tcPr>
            <w:tcW w:w="1100" w:type="dxa"/>
            <w:tcBorders>
              <w:top w:val="nil"/>
              <w:left w:val="nil"/>
              <w:bottom w:val="single" w:sz="4" w:space="0" w:color="auto"/>
              <w:right w:val="single" w:sz="4" w:space="0" w:color="auto"/>
            </w:tcBorders>
            <w:shd w:val="clear" w:color="auto" w:fill="auto"/>
            <w:noWrap/>
            <w:vAlign w:val="bottom"/>
            <w:hideMark/>
          </w:tcPr>
          <w:p w14:paraId="4B54687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103.168,3</w:t>
            </w:r>
          </w:p>
        </w:tc>
        <w:tc>
          <w:tcPr>
            <w:tcW w:w="880" w:type="dxa"/>
            <w:tcBorders>
              <w:top w:val="nil"/>
              <w:left w:val="nil"/>
              <w:bottom w:val="single" w:sz="4" w:space="0" w:color="auto"/>
              <w:right w:val="single" w:sz="4" w:space="0" w:color="auto"/>
            </w:tcBorders>
            <w:shd w:val="clear" w:color="auto" w:fill="auto"/>
            <w:noWrap/>
            <w:vAlign w:val="bottom"/>
            <w:hideMark/>
          </w:tcPr>
          <w:p w14:paraId="0039488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17,5</w:t>
            </w:r>
          </w:p>
        </w:tc>
        <w:tc>
          <w:tcPr>
            <w:tcW w:w="960" w:type="dxa"/>
            <w:tcBorders>
              <w:top w:val="nil"/>
              <w:left w:val="nil"/>
              <w:bottom w:val="single" w:sz="4" w:space="0" w:color="auto"/>
              <w:right w:val="single" w:sz="4" w:space="0" w:color="auto"/>
            </w:tcBorders>
            <w:shd w:val="clear" w:color="auto" w:fill="auto"/>
            <w:noWrap/>
            <w:vAlign w:val="bottom"/>
            <w:hideMark/>
          </w:tcPr>
          <w:p w14:paraId="309EF5B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1.541,6</w:t>
            </w:r>
          </w:p>
        </w:tc>
        <w:tc>
          <w:tcPr>
            <w:tcW w:w="960" w:type="dxa"/>
            <w:tcBorders>
              <w:top w:val="nil"/>
              <w:left w:val="nil"/>
              <w:bottom w:val="single" w:sz="4" w:space="0" w:color="auto"/>
              <w:right w:val="single" w:sz="4" w:space="0" w:color="auto"/>
            </w:tcBorders>
            <w:shd w:val="clear" w:color="auto" w:fill="auto"/>
            <w:noWrap/>
            <w:vAlign w:val="bottom"/>
            <w:hideMark/>
          </w:tcPr>
          <w:p w14:paraId="5D46706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20.858,7</w:t>
            </w:r>
          </w:p>
        </w:tc>
        <w:tc>
          <w:tcPr>
            <w:tcW w:w="960" w:type="dxa"/>
            <w:tcBorders>
              <w:top w:val="nil"/>
              <w:left w:val="nil"/>
              <w:bottom w:val="single" w:sz="4" w:space="0" w:color="auto"/>
              <w:right w:val="single" w:sz="4" w:space="0" w:color="auto"/>
            </w:tcBorders>
            <w:shd w:val="clear" w:color="auto" w:fill="auto"/>
            <w:noWrap/>
            <w:vAlign w:val="bottom"/>
            <w:hideMark/>
          </w:tcPr>
          <w:p w14:paraId="7253541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19.679,2</w:t>
            </w:r>
          </w:p>
        </w:tc>
        <w:tc>
          <w:tcPr>
            <w:tcW w:w="960" w:type="dxa"/>
            <w:tcBorders>
              <w:top w:val="nil"/>
              <w:left w:val="nil"/>
              <w:bottom w:val="single" w:sz="4" w:space="0" w:color="auto"/>
              <w:right w:val="single" w:sz="4" w:space="0" w:color="auto"/>
            </w:tcBorders>
            <w:shd w:val="clear" w:color="auto" w:fill="auto"/>
            <w:noWrap/>
            <w:vAlign w:val="bottom"/>
            <w:hideMark/>
          </w:tcPr>
          <w:p w14:paraId="01CD0DE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2,5</w:t>
            </w:r>
          </w:p>
        </w:tc>
        <w:tc>
          <w:tcPr>
            <w:tcW w:w="960" w:type="dxa"/>
            <w:tcBorders>
              <w:top w:val="nil"/>
              <w:left w:val="nil"/>
              <w:bottom w:val="single" w:sz="4" w:space="0" w:color="auto"/>
              <w:right w:val="single" w:sz="4" w:space="0" w:color="auto"/>
            </w:tcBorders>
            <w:shd w:val="clear" w:color="auto" w:fill="auto"/>
            <w:noWrap/>
            <w:vAlign w:val="bottom"/>
            <w:hideMark/>
          </w:tcPr>
          <w:p w14:paraId="329B4F5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25,0</w:t>
            </w:r>
          </w:p>
        </w:tc>
        <w:tc>
          <w:tcPr>
            <w:tcW w:w="960" w:type="dxa"/>
            <w:tcBorders>
              <w:top w:val="nil"/>
              <w:left w:val="nil"/>
              <w:bottom w:val="single" w:sz="4" w:space="0" w:color="auto"/>
              <w:right w:val="single" w:sz="4" w:space="0" w:color="auto"/>
            </w:tcBorders>
            <w:shd w:val="clear" w:color="auto" w:fill="auto"/>
            <w:noWrap/>
            <w:vAlign w:val="bottom"/>
            <w:hideMark/>
          </w:tcPr>
          <w:p w14:paraId="0B3F1F6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19,1</w:t>
            </w:r>
          </w:p>
        </w:tc>
      </w:tr>
      <w:tr w:rsidR="00394D01" w:rsidRPr="00363CFA" w14:paraId="50C179D6"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450A6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313</w:t>
            </w:r>
          </w:p>
        </w:tc>
        <w:tc>
          <w:tcPr>
            <w:tcW w:w="3020" w:type="dxa"/>
            <w:tcBorders>
              <w:top w:val="nil"/>
              <w:left w:val="nil"/>
              <w:bottom w:val="single" w:sz="8" w:space="0" w:color="auto"/>
              <w:right w:val="single" w:sz="8" w:space="0" w:color="auto"/>
            </w:tcBorders>
            <w:shd w:val="clear" w:color="auto" w:fill="auto"/>
            <w:vAlign w:val="center"/>
            <w:hideMark/>
          </w:tcPr>
          <w:p w14:paraId="59AD6610"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Instala</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ii de transmisie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C3160A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3.134,4</w:t>
            </w:r>
          </w:p>
        </w:tc>
        <w:tc>
          <w:tcPr>
            <w:tcW w:w="1100" w:type="dxa"/>
            <w:tcBorders>
              <w:top w:val="nil"/>
              <w:left w:val="nil"/>
              <w:bottom w:val="single" w:sz="4" w:space="0" w:color="auto"/>
              <w:right w:val="single" w:sz="4" w:space="0" w:color="auto"/>
            </w:tcBorders>
            <w:shd w:val="clear" w:color="auto" w:fill="auto"/>
            <w:noWrap/>
            <w:vAlign w:val="bottom"/>
            <w:hideMark/>
          </w:tcPr>
          <w:p w14:paraId="3D56F07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3.092,6</w:t>
            </w:r>
          </w:p>
        </w:tc>
        <w:tc>
          <w:tcPr>
            <w:tcW w:w="1100" w:type="dxa"/>
            <w:tcBorders>
              <w:top w:val="nil"/>
              <w:left w:val="nil"/>
              <w:bottom w:val="single" w:sz="4" w:space="0" w:color="auto"/>
              <w:right w:val="single" w:sz="4" w:space="0" w:color="auto"/>
            </w:tcBorders>
            <w:shd w:val="clear" w:color="auto" w:fill="auto"/>
            <w:noWrap/>
            <w:vAlign w:val="bottom"/>
            <w:hideMark/>
          </w:tcPr>
          <w:p w14:paraId="4B54E03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6.651,8</w:t>
            </w:r>
          </w:p>
        </w:tc>
        <w:tc>
          <w:tcPr>
            <w:tcW w:w="1100" w:type="dxa"/>
            <w:tcBorders>
              <w:top w:val="nil"/>
              <w:left w:val="nil"/>
              <w:bottom w:val="single" w:sz="4" w:space="0" w:color="auto"/>
              <w:right w:val="single" w:sz="4" w:space="0" w:color="auto"/>
            </w:tcBorders>
            <w:shd w:val="clear" w:color="auto" w:fill="auto"/>
            <w:noWrap/>
            <w:vAlign w:val="bottom"/>
            <w:hideMark/>
          </w:tcPr>
          <w:p w14:paraId="122ACB5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7.364,0</w:t>
            </w:r>
          </w:p>
        </w:tc>
        <w:tc>
          <w:tcPr>
            <w:tcW w:w="880" w:type="dxa"/>
            <w:tcBorders>
              <w:top w:val="nil"/>
              <w:left w:val="nil"/>
              <w:bottom w:val="single" w:sz="4" w:space="0" w:color="auto"/>
              <w:right w:val="single" w:sz="4" w:space="0" w:color="auto"/>
            </w:tcBorders>
            <w:shd w:val="clear" w:color="auto" w:fill="auto"/>
            <w:noWrap/>
            <w:vAlign w:val="bottom"/>
            <w:hideMark/>
          </w:tcPr>
          <w:p w14:paraId="0EC894C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w:t>
            </w:r>
          </w:p>
        </w:tc>
        <w:tc>
          <w:tcPr>
            <w:tcW w:w="960" w:type="dxa"/>
            <w:tcBorders>
              <w:top w:val="nil"/>
              <w:left w:val="nil"/>
              <w:bottom w:val="single" w:sz="4" w:space="0" w:color="auto"/>
              <w:right w:val="single" w:sz="4" w:space="0" w:color="auto"/>
            </w:tcBorders>
            <w:shd w:val="clear" w:color="auto" w:fill="auto"/>
            <w:noWrap/>
            <w:vAlign w:val="bottom"/>
            <w:hideMark/>
          </w:tcPr>
          <w:p w14:paraId="3FFFDED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-41,8</w:t>
            </w:r>
          </w:p>
        </w:tc>
        <w:tc>
          <w:tcPr>
            <w:tcW w:w="960" w:type="dxa"/>
            <w:tcBorders>
              <w:top w:val="nil"/>
              <w:left w:val="nil"/>
              <w:bottom w:val="single" w:sz="4" w:space="0" w:color="auto"/>
              <w:right w:val="single" w:sz="4" w:space="0" w:color="auto"/>
            </w:tcBorders>
            <w:shd w:val="clear" w:color="auto" w:fill="auto"/>
            <w:noWrap/>
            <w:vAlign w:val="bottom"/>
            <w:hideMark/>
          </w:tcPr>
          <w:p w14:paraId="5614F4C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3.559,2</w:t>
            </w:r>
          </w:p>
        </w:tc>
        <w:tc>
          <w:tcPr>
            <w:tcW w:w="960" w:type="dxa"/>
            <w:tcBorders>
              <w:top w:val="nil"/>
              <w:left w:val="nil"/>
              <w:bottom w:val="single" w:sz="4" w:space="0" w:color="auto"/>
              <w:right w:val="single" w:sz="4" w:space="0" w:color="auto"/>
            </w:tcBorders>
            <w:shd w:val="clear" w:color="auto" w:fill="auto"/>
            <w:noWrap/>
            <w:vAlign w:val="bottom"/>
            <w:hideMark/>
          </w:tcPr>
          <w:p w14:paraId="7CFFA79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712,2</w:t>
            </w:r>
          </w:p>
        </w:tc>
        <w:tc>
          <w:tcPr>
            <w:tcW w:w="960" w:type="dxa"/>
            <w:tcBorders>
              <w:top w:val="nil"/>
              <w:left w:val="nil"/>
              <w:bottom w:val="single" w:sz="4" w:space="0" w:color="auto"/>
              <w:right w:val="single" w:sz="4" w:space="0" w:color="auto"/>
            </w:tcBorders>
            <w:shd w:val="clear" w:color="auto" w:fill="auto"/>
            <w:noWrap/>
            <w:vAlign w:val="bottom"/>
            <w:hideMark/>
          </w:tcPr>
          <w:p w14:paraId="76CC831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w:t>
            </w:r>
          </w:p>
        </w:tc>
        <w:tc>
          <w:tcPr>
            <w:tcW w:w="960" w:type="dxa"/>
            <w:tcBorders>
              <w:top w:val="nil"/>
              <w:left w:val="nil"/>
              <w:bottom w:val="single" w:sz="4" w:space="0" w:color="auto"/>
              <w:right w:val="single" w:sz="4" w:space="0" w:color="auto"/>
            </w:tcBorders>
            <w:shd w:val="clear" w:color="auto" w:fill="auto"/>
            <w:noWrap/>
            <w:vAlign w:val="bottom"/>
            <w:hideMark/>
          </w:tcPr>
          <w:p w14:paraId="1ECE480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53,5</w:t>
            </w:r>
          </w:p>
        </w:tc>
        <w:tc>
          <w:tcPr>
            <w:tcW w:w="960" w:type="dxa"/>
            <w:tcBorders>
              <w:top w:val="nil"/>
              <w:left w:val="nil"/>
              <w:bottom w:val="single" w:sz="4" w:space="0" w:color="auto"/>
              <w:right w:val="single" w:sz="4" w:space="0" w:color="auto"/>
            </w:tcBorders>
            <w:shd w:val="clear" w:color="auto" w:fill="auto"/>
            <w:noWrap/>
            <w:vAlign w:val="bottom"/>
            <w:hideMark/>
          </w:tcPr>
          <w:p w14:paraId="6AAED8D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9,7</w:t>
            </w:r>
          </w:p>
        </w:tc>
      </w:tr>
      <w:tr w:rsidR="00394D01" w:rsidRPr="00363CFA" w14:paraId="2ECFC05D"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6BD66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314</w:t>
            </w:r>
          </w:p>
        </w:tc>
        <w:tc>
          <w:tcPr>
            <w:tcW w:w="3020" w:type="dxa"/>
            <w:tcBorders>
              <w:top w:val="nil"/>
              <w:left w:val="nil"/>
              <w:bottom w:val="single" w:sz="8" w:space="0" w:color="auto"/>
              <w:right w:val="single" w:sz="8" w:space="0" w:color="auto"/>
            </w:tcBorders>
            <w:shd w:val="clear" w:color="auto" w:fill="auto"/>
            <w:vAlign w:val="center"/>
            <w:hideMark/>
          </w:tcPr>
          <w:p w14:paraId="290C9764"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Ma</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 xml:space="preserve">ini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utilaje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318A1B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45.395,6</w:t>
            </w:r>
          </w:p>
        </w:tc>
        <w:tc>
          <w:tcPr>
            <w:tcW w:w="1100" w:type="dxa"/>
            <w:tcBorders>
              <w:top w:val="nil"/>
              <w:left w:val="nil"/>
              <w:bottom w:val="single" w:sz="4" w:space="0" w:color="auto"/>
              <w:right w:val="single" w:sz="4" w:space="0" w:color="auto"/>
            </w:tcBorders>
            <w:shd w:val="clear" w:color="auto" w:fill="auto"/>
            <w:noWrap/>
            <w:vAlign w:val="bottom"/>
            <w:hideMark/>
          </w:tcPr>
          <w:p w14:paraId="43016AE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60.526,3</w:t>
            </w:r>
          </w:p>
        </w:tc>
        <w:tc>
          <w:tcPr>
            <w:tcW w:w="1100" w:type="dxa"/>
            <w:tcBorders>
              <w:top w:val="nil"/>
              <w:left w:val="nil"/>
              <w:bottom w:val="single" w:sz="4" w:space="0" w:color="auto"/>
              <w:right w:val="single" w:sz="4" w:space="0" w:color="auto"/>
            </w:tcBorders>
            <w:shd w:val="clear" w:color="auto" w:fill="auto"/>
            <w:noWrap/>
            <w:vAlign w:val="bottom"/>
            <w:hideMark/>
          </w:tcPr>
          <w:p w14:paraId="2870312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67.078,8</w:t>
            </w:r>
          </w:p>
        </w:tc>
        <w:tc>
          <w:tcPr>
            <w:tcW w:w="1100" w:type="dxa"/>
            <w:tcBorders>
              <w:top w:val="nil"/>
              <w:left w:val="nil"/>
              <w:bottom w:val="single" w:sz="4" w:space="0" w:color="auto"/>
              <w:right w:val="single" w:sz="4" w:space="0" w:color="auto"/>
            </w:tcBorders>
            <w:shd w:val="clear" w:color="auto" w:fill="auto"/>
            <w:noWrap/>
            <w:vAlign w:val="bottom"/>
            <w:hideMark/>
          </w:tcPr>
          <w:p w14:paraId="731ABFA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79.884,3</w:t>
            </w:r>
          </w:p>
        </w:tc>
        <w:tc>
          <w:tcPr>
            <w:tcW w:w="880" w:type="dxa"/>
            <w:tcBorders>
              <w:top w:val="nil"/>
              <w:left w:val="nil"/>
              <w:bottom w:val="single" w:sz="4" w:space="0" w:color="auto"/>
              <w:right w:val="single" w:sz="4" w:space="0" w:color="auto"/>
            </w:tcBorders>
            <w:shd w:val="clear" w:color="auto" w:fill="auto"/>
            <w:noWrap/>
            <w:vAlign w:val="bottom"/>
            <w:hideMark/>
          </w:tcPr>
          <w:p w14:paraId="6437F1C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13,6</w:t>
            </w:r>
          </w:p>
        </w:tc>
        <w:tc>
          <w:tcPr>
            <w:tcW w:w="960" w:type="dxa"/>
            <w:tcBorders>
              <w:top w:val="nil"/>
              <w:left w:val="nil"/>
              <w:bottom w:val="single" w:sz="4" w:space="0" w:color="auto"/>
              <w:right w:val="single" w:sz="4" w:space="0" w:color="auto"/>
            </w:tcBorders>
            <w:shd w:val="clear" w:color="auto" w:fill="auto"/>
            <w:noWrap/>
            <w:vAlign w:val="bottom"/>
            <w:hideMark/>
          </w:tcPr>
          <w:p w14:paraId="5143B72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15.130,7</w:t>
            </w:r>
          </w:p>
        </w:tc>
        <w:tc>
          <w:tcPr>
            <w:tcW w:w="960" w:type="dxa"/>
            <w:tcBorders>
              <w:top w:val="nil"/>
              <w:left w:val="nil"/>
              <w:bottom w:val="single" w:sz="4" w:space="0" w:color="auto"/>
              <w:right w:val="single" w:sz="4" w:space="0" w:color="auto"/>
            </w:tcBorders>
            <w:shd w:val="clear" w:color="auto" w:fill="auto"/>
            <w:noWrap/>
            <w:vAlign w:val="bottom"/>
            <w:hideMark/>
          </w:tcPr>
          <w:p w14:paraId="2DD6858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6.552,5</w:t>
            </w:r>
          </w:p>
        </w:tc>
        <w:tc>
          <w:tcPr>
            <w:tcW w:w="960" w:type="dxa"/>
            <w:tcBorders>
              <w:top w:val="nil"/>
              <w:left w:val="nil"/>
              <w:bottom w:val="single" w:sz="4" w:space="0" w:color="auto"/>
              <w:right w:val="single" w:sz="4" w:space="0" w:color="auto"/>
            </w:tcBorders>
            <w:shd w:val="clear" w:color="auto" w:fill="auto"/>
            <w:noWrap/>
            <w:vAlign w:val="bottom"/>
            <w:hideMark/>
          </w:tcPr>
          <w:p w14:paraId="19CC3EA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12.805,5</w:t>
            </w:r>
          </w:p>
        </w:tc>
        <w:tc>
          <w:tcPr>
            <w:tcW w:w="960" w:type="dxa"/>
            <w:tcBorders>
              <w:top w:val="nil"/>
              <w:left w:val="nil"/>
              <w:bottom w:val="single" w:sz="4" w:space="0" w:color="auto"/>
              <w:right w:val="single" w:sz="4" w:space="0" w:color="auto"/>
            </w:tcBorders>
            <w:shd w:val="clear" w:color="auto" w:fill="auto"/>
            <w:noWrap/>
            <w:vAlign w:val="bottom"/>
            <w:hideMark/>
          </w:tcPr>
          <w:p w14:paraId="4B8CDE5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25,0</w:t>
            </w:r>
          </w:p>
        </w:tc>
        <w:tc>
          <w:tcPr>
            <w:tcW w:w="960" w:type="dxa"/>
            <w:tcBorders>
              <w:top w:val="nil"/>
              <w:left w:val="nil"/>
              <w:bottom w:val="single" w:sz="4" w:space="0" w:color="auto"/>
              <w:right w:val="single" w:sz="4" w:space="0" w:color="auto"/>
            </w:tcBorders>
            <w:shd w:val="clear" w:color="auto" w:fill="auto"/>
            <w:noWrap/>
            <w:vAlign w:val="bottom"/>
            <w:hideMark/>
          </w:tcPr>
          <w:p w14:paraId="7639AC1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9,8</w:t>
            </w:r>
          </w:p>
        </w:tc>
        <w:tc>
          <w:tcPr>
            <w:tcW w:w="960" w:type="dxa"/>
            <w:tcBorders>
              <w:top w:val="nil"/>
              <w:left w:val="nil"/>
              <w:bottom w:val="single" w:sz="4" w:space="0" w:color="auto"/>
              <w:right w:val="single" w:sz="4" w:space="0" w:color="auto"/>
            </w:tcBorders>
            <w:shd w:val="clear" w:color="auto" w:fill="auto"/>
            <w:noWrap/>
            <w:vAlign w:val="bottom"/>
            <w:hideMark/>
          </w:tcPr>
          <w:p w14:paraId="1D8C6A1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16,0</w:t>
            </w:r>
          </w:p>
        </w:tc>
      </w:tr>
      <w:tr w:rsidR="00394D01" w:rsidRPr="00363CFA" w14:paraId="2B3CDBE3"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1383D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315</w:t>
            </w:r>
          </w:p>
        </w:tc>
        <w:tc>
          <w:tcPr>
            <w:tcW w:w="3020" w:type="dxa"/>
            <w:tcBorders>
              <w:top w:val="nil"/>
              <w:left w:val="nil"/>
              <w:bottom w:val="single" w:sz="8" w:space="0" w:color="auto"/>
              <w:right w:val="single" w:sz="8" w:space="0" w:color="auto"/>
            </w:tcBorders>
            <w:shd w:val="clear" w:color="auto" w:fill="auto"/>
            <w:vAlign w:val="center"/>
            <w:hideMark/>
          </w:tcPr>
          <w:p w14:paraId="4EB63AC1"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Mijloace de transport</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FF8E1F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28.035,0</w:t>
            </w:r>
          </w:p>
        </w:tc>
        <w:tc>
          <w:tcPr>
            <w:tcW w:w="1100" w:type="dxa"/>
            <w:tcBorders>
              <w:top w:val="nil"/>
              <w:left w:val="nil"/>
              <w:bottom w:val="single" w:sz="4" w:space="0" w:color="auto"/>
              <w:right w:val="single" w:sz="4" w:space="0" w:color="auto"/>
            </w:tcBorders>
            <w:shd w:val="clear" w:color="auto" w:fill="auto"/>
            <w:noWrap/>
            <w:vAlign w:val="bottom"/>
            <w:hideMark/>
          </w:tcPr>
          <w:p w14:paraId="4A02ABF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29.384,2</w:t>
            </w:r>
          </w:p>
        </w:tc>
        <w:tc>
          <w:tcPr>
            <w:tcW w:w="1100" w:type="dxa"/>
            <w:tcBorders>
              <w:top w:val="nil"/>
              <w:left w:val="nil"/>
              <w:bottom w:val="single" w:sz="4" w:space="0" w:color="auto"/>
              <w:right w:val="single" w:sz="4" w:space="0" w:color="auto"/>
            </w:tcBorders>
            <w:shd w:val="clear" w:color="auto" w:fill="auto"/>
            <w:noWrap/>
            <w:vAlign w:val="bottom"/>
            <w:hideMark/>
          </w:tcPr>
          <w:p w14:paraId="638CACC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34.120,7</w:t>
            </w:r>
          </w:p>
        </w:tc>
        <w:tc>
          <w:tcPr>
            <w:tcW w:w="1100" w:type="dxa"/>
            <w:tcBorders>
              <w:top w:val="nil"/>
              <w:left w:val="nil"/>
              <w:bottom w:val="single" w:sz="4" w:space="0" w:color="auto"/>
              <w:right w:val="single" w:sz="4" w:space="0" w:color="auto"/>
            </w:tcBorders>
            <w:shd w:val="clear" w:color="auto" w:fill="auto"/>
            <w:noWrap/>
            <w:vAlign w:val="bottom"/>
            <w:hideMark/>
          </w:tcPr>
          <w:p w14:paraId="26CE0E8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36.427,0</w:t>
            </w:r>
          </w:p>
        </w:tc>
        <w:tc>
          <w:tcPr>
            <w:tcW w:w="880" w:type="dxa"/>
            <w:tcBorders>
              <w:top w:val="nil"/>
              <w:left w:val="nil"/>
              <w:bottom w:val="single" w:sz="4" w:space="0" w:color="auto"/>
              <w:right w:val="single" w:sz="4" w:space="0" w:color="auto"/>
            </w:tcBorders>
            <w:shd w:val="clear" w:color="auto" w:fill="auto"/>
            <w:noWrap/>
            <w:vAlign w:val="bottom"/>
            <w:hideMark/>
          </w:tcPr>
          <w:p w14:paraId="4A10845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6,2</w:t>
            </w:r>
          </w:p>
        </w:tc>
        <w:tc>
          <w:tcPr>
            <w:tcW w:w="960" w:type="dxa"/>
            <w:tcBorders>
              <w:top w:val="nil"/>
              <w:left w:val="nil"/>
              <w:bottom w:val="single" w:sz="4" w:space="0" w:color="auto"/>
              <w:right w:val="single" w:sz="4" w:space="0" w:color="auto"/>
            </w:tcBorders>
            <w:shd w:val="clear" w:color="auto" w:fill="auto"/>
            <w:noWrap/>
            <w:vAlign w:val="bottom"/>
            <w:hideMark/>
          </w:tcPr>
          <w:p w14:paraId="76B2175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1.349,2</w:t>
            </w:r>
          </w:p>
        </w:tc>
        <w:tc>
          <w:tcPr>
            <w:tcW w:w="960" w:type="dxa"/>
            <w:tcBorders>
              <w:top w:val="nil"/>
              <w:left w:val="nil"/>
              <w:bottom w:val="single" w:sz="4" w:space="0" w:color="auto"/>
              <w:right w:val="single" w:sz="4" w:space="0" w:color="auto"/>
            </w:tcBorders>
            <w:shd w:val="clear" w:color="auto" w:fill="auto"/>
            <w:noWrap/>
            <w:vAlign w:val="bottom"/>
            <w:hideMark/>
          </w:tcPr>
          <w:p w14:paraId="2936F3C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4.736,5</w:t>
            </w:r>
          </w:p>
        </w:tc>
        <w:tc>
          <w:tcPr>
            <w:tcW w:w="960" w:type="dxa"/>
            <w:tcBorders>
              <w:top w:val="nil"/>
              <w:left w:val="nil"/>
              <w:bottom w:val="single" w:sz="4" w:space="0" w:color="auto"/>
              <w:right w:val="single" w:sz="4" w:space="0" w:color="auto"/>
            </w:tcBorders>
            <w:shd w:val="clear" w:color="auto" w:fill="auto"/>
            <w:noWrap/>
            <w:vAlign w:val="bottom"/>
            <w:hideMark/>
          </w:tcPr>
          <w:p w14:paraId="3C32B43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2.306,3</w:t>
            </w:r>
          </w:p>
        </w:tc>
        <w:tc>
          <w:tcPr>
            <w:tcW w:w="960" w:type="dxa"/>
            <w:tcBorders>
              <w:top w:val="nil"/>
              <w:left w:val="nil"/>
              <w:bottom w:val="single" w:sz="4" w:space="0" w:color="auto"/>
              <w:right w:val="single" w:sz="4" w:space="0" w:color="auto"/>
            </w:tcBorders>
            <w:shd w:val="clear" w:color="auto" w:fill="auto"/>
            <w:noWrap/>
            <w:vAlign w:val="bottom"/>
            <w:hideMark/>
          </w:tcPr>
          <w:p w14:paraId="00379DA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4,6</w:t>
            </w:r>
          </w:p>
        </w:tc>
        <w:tc>
          <w:tcPr>
            <w:tcW w:w="960" w:type="dxa"/>
            <w:tcBorders>
              <w:top w:val="nil"/>
              <w:left w:val="nil"/>
              <w:bottom w:val="single" w:sz="4" w:space="0" w:color="auto"/>
              <w:right w:val="single" w:sz="4" w:space="0" w:color="auto"/>
            </w:tcBorders>
            <w:shd w:val="clear" w:color="auto" w:fill="auto"/>
            <w:noWrap/>
            <w:vAlign w:val="bottom"/>
            <w:hideMark/>
          </w:tcPr>
          <w:p w14:paraId="70A8186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13,9</w:t>
            </w:r>
          </w:p>
        </w:tc>
        <w:tc>
          <w:tcPr>
            <w:tcW w:w="960" w:type="dxa"/>
            <w:tcBorders>
              <w:top w:val="nil"/>
              <w:left w:val="nil"/>
              <w:bottom w:val="single" w:sz="4" w:space="0" w:color="auto"/>
              <w:right w:val="single" w:sz="4" w:space="0" w:color="auto"/>
            </w:tcBorders>
            <w:shd w:val="clear" w:color="auto" w:fill="auto"/>
            <w:noWrap/>
            <w:vAlign w:val="bottom"/>
            <w:hideMark/>
          </w:tcPr>
          <w:p w14:paraId="7BBD60F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6,3</w:t>
            </w:r>
          </w:p>
        </w:tc>
      </w:tr>
      <w:tr w:rsidR="00394D01" w:rsidRPr="00363CFA" w14:paraId="7EF267B1"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CC6150"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316</w:t>
            </w:r>
          </w:p>
        </w:tc>
        <w:tc>
          <w:tcPr>
            <w:tcW w:w="3020" w:type="dxa"/>
            <w:tcBorders>
              <w:top w:val="nil"/>
              <w:left w:val="nil"/>
              <w:bottom w:val="single" w:sz="8" w:space="0" w:color="auto"/>
              <w:right w:val="single" w:sz="8" w:space="0" w:color="auto"/>
            </w:tcBorders>
            <w:shd w:val="clear" w:color="auto" w:fill="auto"/>
            <w:vAlign w:val="center"/>
            <w:hideMark/>
          </w:tcPr>
          <w:p w14:paraId="33BE2FB3"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 xml:space="preserve">Unelte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 xml:space="preserve">i scule, inventar de producere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gospodăresc</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238C69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22.487,1</w:t>
            </w:r>
          </w:p>
        </w:tc>
        <w:tc>
          <w:tcPr>
            <w:tcW w:w="1100" w:type="dxa"/>
            <w:tcBorders>
              <w:top w:val="nil"/>
              <w:left w:val="nil"/>
              <w:bottom w:val="single" w:sz="4" w:space="0" w:color="auto"/>
              <w:right w:val="single" w:sz="4" w:space="0" w:color="auto"/>
            </w:tcBorders>
            <w:shd w:val="clear" w:color="auto" w:fill="auto"/>
            <w:noWrap/>
            <w:vAlign w:val="bottom"/>
            <w:hideMark/>
          </w:tcPr>
          <w:p w14:paraId="77282DA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24.799,6</w:t>
            </w:r>
          </w:p>
        </w:tc>
        <w:tc>
          <w:tcPr>
            <w:tcW w:w="1100" w:type="dxa"/>
            <w:tcBorders>
              <w:top w:val="nil"/>
              <w:left w:val="nil"/>
              <w:bottom w:val="single" w:sz="4" w:space="0" w:color="auto"/>
              <w:right w:val="single" w:sz="4" w:space="0" w:color="auto"/>
            </w:tcBorders>
            <w:shd w:val="clear" w:color="auto" w:fill="auto"/>
            <w:noWrap/>
            <w:vAlign w:val="bottom"/>
            <w:hideMark/>
          </w:tcPr>
          <w:p w14:paraId="5B6D525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27.909,9</w:t>
            </w:r>
          </w:p>
        </w:tc>
        <w:tc>
          <w:tcPr>
            <w:tcW w:w="1100" w:type="dxa"/>
            <w:tcBorders>
              <w:top w:val="nil"/>
              <w:left w:val="nil"/>
              <w:bottom w:val="single" w:sz="4" w:space="0" w:color="auto"/>
              <w:right w:val="single" w:sz="4" w:space="0" w:color="auto"/>
            </w:tcBorders>
            <w:shd w:val="clear" w:color="auto" w:fill="auto"/>
            <w:noWrap/>
            <w:vAlign w:val="bottom"/>
            <w:hideMark/>
          </w:tcPr>
          <w:p w14:paraId="0BFC9D4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33.191,0</w:t>
            </w:r>
          </w:p>
        </w:tc>
        <w:tc>
          <w:tcPr>
            <w:tcW w:w="880" w:type="dxa"/>
            <w:tcBorders>
              <w:top w:val="nil"/>
              <w:left w:val="nil"/>
              <w:bottom w:val="single" w:sz="4" w:space="0" w:color="auto"/>
              <w:right w:val="single" w:sz="4" w:space="0" w:color="auto"/>
            </w:tcBorders>
            <w:shd w:val="clear" w:color="auto" w:fill="auto"/>
            <w:noWrap/>
            <w:vAlign w:val="bottom"/>
            <w:hideMark/>
          </w:tcPr>
          <w:p w14:paraId="7529DC0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5,6</w:t>
            </w:r>
          </w:p>
        </w:tc>
        <w:tc>
          <w:tcPr>
            <w:tcW w:w="960" w:type="dxa"/>
            <w:tcBorders>
              <w:top w:val="nil"/>
              <w:left w:val="nil"/>
              <w:bottom w:val="single" w:sz="4" w:space="0" w:color="auto"/>
              <w:right w:val="single" w:sz="4" w:space="0" w:color="auto"/>
            </w:tcBorders>
            <w:shd w:val="clear" w:color="auto" w:fill="auto"/>
            <w:noWrap/>
            <w:vAlign w:val="bottom"/>
            <w:hideMark/>
          </w:tcPr>
          <w:p w14:paraId="61EA8CF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2.312,5</w:t>
            </w:r>
          </w:p>
        </w:tc>
        <w:tc>
          <w:tcPr>
            <w:tcW w:w="960" w:type="dxa"/>
            <w:tcBorders>
              <w:top w:val="nil"/>
              <w:left w:val="nil"/>
              <w:bottom w:val="single" w:sz="4" w:space="0" w:color="auto"/>
              <w:right w:val="single" w:sz="4" w:space="0" w:color="auto"/>
            </w:tcBorders>
            <w:shd w:val="clear" w:color="auto" w:fill="auto"/>
            <w:noWrap/>
            <w:vAlign w:val="bottom"/>
            <w:hideMark/>
          </w:tcPr>
          <w:p w14:paraId="7E30031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3.110,3</w:t>
            </w:r>
          </w:p>
        </w:tc>
        <w:tc>
          <w:tcPr>
            <w:tcW w:w="960" w:type="dxa"/>
            <w:tcBorders>
              <w:top w:val="nil"/>
              <w:left w:val="nil"/>
              <w:bottom w:val="single" w:sz="4" w:space="0" w:color="auto"/>
              <w:right w:val="single" w:sz="4" w:space="0" w:color="auto"/>
            </w:tcBorders>
            <w:shd w:val="clear" w:color="auto" w:fill="auto"/>
            <w:noWrap/>
            <w:vAlign w:val="bottom"/>
            <w:hideMark/>
          </w:tcPr>
          <w:p w14:paraId="12F3EEF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5.281,1</w:t>
            </w:r>
          </w:p>
        </w:tc>
        <w:tc>
          <w:tcPr>
            <w:tcW w:w="960" w:type="dxa"/>
            <w:tcBorders>
              <w:top w:val="nil"/>
              <w:left w:val="nil"/>
              <w:bottom w:val="single" w:sz="4" w:space="0" w:color="auto"/>
              <w:right w:val="single" w:sz="4" w:space="0" w:color="auto"/>
            </w:tcBorders>
            <w:shd w:val="clear" w:color="auto" w:fill="auto"/>
            <w:noWrap/>
            <w:vAlign w:val="bottom"/>
            <w:hideMark/>
          </w:tcPr>
          <w:p w14:paraId="332235A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9,3</w:t>
            </w:r>
          </w:p>
        </w:tc>
        <w:tc>
          <w:tcPr>
            <w:tcW w:w="960" w:type="dxa"/>
            <w:tcBorders>
              <w:top w:val="nil"/>
              <w:left w:val="nil"/>
              <w:bottom w:val="single" w:sz="4" w:space="0" w:color="auto"/>
              <w:right w:val="single" w:sz="4" w:space="0" w:color="auto"/>
            </w:tcBorders>
            <w:shd w:val="clear" w:color="auto" w:fill="auto"/>
            <w:noWrap/>
            <w:vAlign w:val="bottom"/>
            <w:hideMark/>
          </w:tcPr>
          <w:p w14:paraId="4270C73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11,1</w:t>
            </w:r>
          </w:p>
        </w:tc>
        <w:tc>
          <w:tcPr>
            <w:tcW w:w="960" w:type="dxa"/>
            <w:tcBorders>
              <w:top w:val="nil"/>
              <w:left w:val="nil"/>
              <w:bottom w:val="single" w:sz="4" w:space="0" w:color="auto"/>
              <w:right w:val="single" w:sz="4" w:space="0" w:color="auto"/>
            </w:tcBorders>
            <w:shd w:val="clear" w:color="auto" w:fill="auto"/>
            <w:noWrap/>
            <w:vAlign w:val="bottom"/>
            <w:hideMark/>
          </w:tcPr>
          <w:p w14:paraId="7B9785B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15,9</w:t>
            </w:r>
          </w:p>
        </w:tc>
      </w:tr>
      <w:tr w:rsidR="00394D01" w:rsidRPr="00363CFA" w14:paraId="42A7C8D6"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80EEC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317</w:t>
            </w:r>
          </w:p>
        </w:tc>
        <w:tc>
          <w:tcPr>
            <w:tcW w:w="3020" w:type="dxa"/>
            <w:tcBorders>
              <w:top w:val="nil"/>
              <w:left w:val="nil"/>
              <w:bottom w:val="single" w:sz="8" w:space="0" w:color="auto"/>
              <w:right w:val="single" w:sz="8" w:space="0" w:color="auto"/>
            </w:tcBorders>
            <w:shd w:val="clear" w:color="auto" w:fill="auto"/>
            <w:vAlign w:val="center"/>
            <w:hideMark/>
          </w:tcPr>
          <w:p w14:paraId="51563844"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Active nemateriale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3B963F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857,3</w:t>
            </w:r>
          </w:p>
        </w:tc>
        <w:tc>
          <w:tcPr>
            <w:tcW w:w="1100" w:type="dxa"/>
            <w:tcBorders>
              <w:top w:val="nil"/>
              <w:left w:val="nil"/>
              <w:bottom w:val="single" w:sz="4" w:space="0" w:color="auto"/>
              <w:right w:val="single" w:sz="4" w:space="0" w:color="auto"/>
            </w:tcBorders>
            <w:shd w:val="clear" w:color="auto" w:fill="auto"/>
            <w:noWrap/>
            <w:vAlign w:val="bottom"/>
            <w:hideMark/>
          </w:tcPr>
          <w:p w14:paraId="2A3CDDB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375,9</w:t>
            </w:r>
          </w:p>
        </w:tc>
        <w:tc>
          <w:tcPr>
            <w:tcW w:w="1100" w:type="dxa"/>
            <w:tcBorders>
              <w:top w:val="nil"/>
              <w:left w:val="nil"/>
              <w:bottom w:val="single" w:sz="4" w:space="0" w:color="auto"/>
              <w:right w:val="single" w:sz="4" w:space="0" w:color="auto"/>
            </w:tcBorders>
            <w:shd w:val="clear" w:color="auto" w:fill="auto"/>
            <w:noWrap/>
            <w:vAlign w:val="bottom"/>
            <w:hideMark/>
          </w:tcPr>
          <w:p w14:paraId="7C12670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8.169,7</w:t>
            </w:r>
          </w:p>
        </w:tc>
        <w:tc>
          <w:tcPr>
            <w:tcW w:w="1100" w:type="dxa"/>
            <w:tcBorders>
              <w:top w:val="nil"/>
              <w:left w:val="nil"/>
              <w:bottom w:val="single" w:sz="4" w:space="0" w:color="auto"/>
              <w:right w:val="single" w:sz="4" w:space="0" w:color="auto"/>
            </w:tcBorders>
            <w:shd w:val="clear" w:color="auto" w:fill="auto"/>
            <w:noWrap/>
            <w:vAlign w:val="bottom"/>
            <w:hideMark/>
          </w:tcPr>
          <w:p w14:paraId="6906940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9.058,1</w:t>
            </w:r>
          </w:p>
        </w:tc>
        <w:tc>
          <w:tcPr>
            <w:tcW w:w="880" w:type="dxa"/>
            <w:tcBorders>
              <w:top w:val="nil"/>
              <w:left w:val="nil"/>
              <w:bottom w:val="single" w:sz="4" w:space="0" w:color="auto"/>
              <w:right w:val="single" w:sz="4" w:space="0" w:color="auto"/>
            </w:tcBorders>
            <w:shd w:val="clear" w:color="auto" w:fill="auto"/>
            <w:noWrap/>
            <w:vAlign w:val="bottom"/>
            <w:hideMark/>
          </w:tcPr>
          <w:p w14:paraId="3C6A151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w:t>
            </w:r>
          </w:p>
        </w:tc>
        <w:tc>
          <w:tcPr>
            <w:tcW w:w="960" w:type="dxa"/>
            <w:tcBorders>
              <w:top w:val="nil"/>
              <w:left w:val="nil"/>
              <w:bottom w:val="single" w:sz="4" w:space="0" w:color="auto"/>
              <w:right w:val="single" w:sz="4" w:space="0" w:color="auto"/>
            </w:tcBorders>
            <w:shd w:val="clear" w:color="auto" w:fill="auto"/>
            <w:noWrap/>
            <w:vAlign w:val="bottom"/>
            <w:hideMark/>
          </w:tcPr>
          <w:p w14:paraId="4CB78B1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-481,4</w:t>
            </w:r>
          </w:p>
        </w:tc>
        <w:tc>
          <w:tcPr>
            <w:tcW w:w="960" w:type="dxa"/>
            <w:tcBorders>
              <w:top w:val="nil"/>
              <w:left w:val="nil"/>
              <w:bottom w:val="single" w:sz="4" w:space="0" w:color="auto"/>
              <w:right w:val="single" w:sz="4" w:space="0" w:color="auto"/>
            </w:tcBorders>
            <w:shd w:val="clear" w:color="auto" w:fill="auto"/>
            <w:noWrap/>
            <w:vAlign w:val="bottom"/>
            <w:hideMark/>
          </w:tcPr>
          <w:p w14:paraId="3860B22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7.793,8</w:t>
            </w:r>
          </w:p>
        </w:tc>
        <w:tc>
          <w:tcPr>
            <w:tcW w:w="960" w:type="dxa"/>
            <w:tcBorders>
              <w:top w:val="nil"/>
              <w:left w:val="nil"/>
              <w:bottom w:val="single" w:sz="4" w:space="0" w:color="auto"/>
              <w:right w:val="single" w:sz="4" w:space="0" w:color="auto"/>
            </w:tcBorders>
            <w:shd w:val="clear" w:color="auto" w:fill="auto"/>
            <w:noWrap/>
            <w:vAlign w:val="bottom"/>
            <w:hideMark/>
          </w:tcPr>
          <w:p w14:paraId="709E404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888,4</w:t>
            </w:r>
          </w:p>
        </w:tc>
        <w:tc>
          <w:tcPr>
            <w:tcW w:w="960" w:type="dxa"/>
            <w:tcBorders>
              <w:top w:val="nil"/>
              <w:left w:val="nil"/>
              <w:bottom w:val="single" w:sz="4" w:space="0" w:color="auto"/>
              <w:right w:val="single" w:sz="4" w:space="0" w:color="auto"/>
            </w:tcBorders>
            <w:shd w:val="clear" w:color="auto" w:fill="auto"/>
            <w:noWrap/>
            <w:vAlign w:val="bottom"/>
            <w:hideMark/>
          </w:tcPr>
          <w:p w14:paraId="0213D42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-128,1</w:t>
            </w:r>
          </w:p>
        </w:tc>
        <w:tc>
          <w:tcPr>
            <w:tcW w:w="960" w:type="dxa"/>
            <w:tcBorders>
              <w:top w:val="nil"/>
              <w:left w:val="nil"/>
              <w:bottom w:val="single" w:sz="4" w:space="0" w:color="auto"/>
              <w:right w:val="single" w:sz="4" w:space="0" w:color="auto"/>
            </w:tcBorders>
            <w:shd w:val="clear" w:color="auto" w:fill="auto"/>
            <w:noWrap/>
            <w:vAlign w:val="bottom"/>
            <w:hideMark/>
          </w:tcPr>
          <w:p w14:paraId="4DBED49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95,4</w:t>
            </w:r>
          </w:p>
        </w:tc>
        <w:tc>
          <w:tcPr>
            <w:tcW w:w="960" w:type="dxa"/>
            <w:tcBorders>
              <w:top w:val="nil"/>
              <w:left w:val="nil"/>
              <w:bottom w:val="single" w:sz="4" w:space="0" w:color="auto"/>
              <w:right w:val="single" w:sz="4" w:space="0" w:color="auto"/>
            </w:tcBorders>
            <w:shd w:val="clear" w:color="auto" w:fill="auto"/>
            <w:noWrap/>
            <w:vAlign w:val="bottom"/>
            <w:hideMark/>
          </w:tcPr>
          <w:p w14:paraId="2CEE07A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9,8</w:t>
            </w:r>
          </w:p>
        </w:tc>
      </w:tr>
      <w:tr w:rsidR="00394D01" w:rsidRPr="00363CFA" w14:paraId="3FD4FF0E"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D0A4A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318</w:t>
            </w:r>
          </w:p>
        </w:tc>
        <w:tc>
          <w:tcPr>
            <w:tcW w:w="3020" w:type="dxa"/>
            <w:tcBorders>
              <w:top w:val="nil"/>
              <w:left w:val="nil"/>
              <w:bottom w:val="single" w:sz="8" w:space="0" w:color="auto"/>
              <w:right w:val="single" w:sz="8" w:space="0" w:color="auto"/>
            </w:tcBorders>
            <w:shd w:val="clear" w:color="auto" w:fill="auto"/>
            <w:vAlign w:val="center"/>
            <w:hideMark/>
          </w:tcPr>
          <w:p w14:paraId="1449EF51"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Alte mijloace fixe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36EBCE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13.265,3</w:t>
            </w:r>
          </w:p>
        </w:tc>
        <w:tc>
          <w:tcPr>
            <w:tcW w:w="1100" w:type="dxa"/>
            <w:tcBorders>
              <w:top w:val="nil"/>
              <w:left w:val="nil"/>
              <w:bottom w:val="single" w:sz="4" w:space="0" w:color="auto"/>
              <w:right w:val="single" w:sz="4" w:space="0" w:color="auto"/>
            </w:tcBorders>
            <w:shd w:val="clear" w:color="auto" w:fill="auto"/>
            <w:noWrap/>
            <w:vAlign w:val="bottom"/>
            <w:hideMark/>
          </w:tcPr>
          <w:p w14:paraId="7A52F3B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14.275,4</w:t>
            </w:r>
          </w:p>
        </w:tc>
        <w:tc>
          <w:tcPr>
            <w:tcW w:w="1100" w:type="dxa"/>
            <w:tcBorders>
              <w:top w:val="nil"/>
              <w:left w:val="nil"/>
              <w:bottom w:val="single" w:sz="4" w:space="0" w:color="auto"/>
              <w:right w:val="single" w:sz="4" w:space="0" w:color="auto"/>
            </w:tcBorders>
            <w:shd w:val="clear" w:color="auto" w:fill="auto"/>
            <w:noWrap/>
            <w:vAlign w:val="bottom"/>
            <w:hideMark/>
          </w:tcPr>
          <w:p w14:paraId="5B5D8E7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14.986,3</w:t>
            </w:r>
          </w:p>
        </w:tc>
        <w:tc>
          <w:tcPr>
            <w:tcW w:w="1100" w:type="dxa"/>
            <w:tcBorders>
              <w:top w:val="nil"/>
              <w:left w:val="nil"/>
              <w:bottom w:val="single" w:sz="4" w:space="0" w:color="auto"/>
              <w:right w:val="single" w:sz="4" w:space="0" w:color="auto"/>
            </w:tcBorders>
            <w:shd w:val="clear" w:color="auto" w:fill="auto"/>
            <w:noWrap/>
            <w:vAlign w:val="bottom"/>
            <w:hideMark/>
          </w:tcPr>
          <w:p w14:paraId="2F2F98B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16.475,1</w:t>
            </w:r>
          </w:p>
        </w:tc>
        <w:tc>
          <w:tcPr>
            <w:tcW w:w="880" w:type="dxa"/>
            <w:tcBorders>
              <w:top w:val="nil"/>
              <w:left w:val="nil"/>
              <w:bottom w:val="single" w:sz="4" w:space="0" w:color="auto"/>
              <w:right w:val="single" w:sz="4" w:space="0" w:color="auto"/>
            </w:tcBorders>
            <w:shd w:val="clear" w:color="auto" w:fill="auto"/>
            <w:noWrap/>
            <w:vAlign w:val="bottom"/>
            <w:hideMark/>
          </w:tcPr>
          <w:p w14:paraId="500184E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w:t>
            </w:r>
          </w:p>
        </w:tc>
        <w:tc>
          <w:tcPr>
            <w:tcW w:w="960" w:type="dxa"/>
            <w:tcBorders>
              <w:top w:val="nil"/>
              <w:left w:val="nil"/>
              <w:bottom w:val="single" w:sz="4" w:space="0" w:color="auto"/>
              <w:right w:val="single" w:sz="4" w:space="0" w:color="auto"/>
            </w:tcBorders>
            <w:shd w:val="clear" w:color="auto" w:fill="auto"/>
            <w:noWrap/>
            <w:vAlign w:val="bottom"/>
            <w:hideMark/>
          </w:tcPr>
          <w:p w14:paraId="6553AFF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1.010,1</w:t>
            </w:r>
          </w:p>
        </w:tc>
        <w:tc>
          <w:tcPr>
            <w:tcW w:w="960" w:type="dxa"/>
            <w:tcBorders>
              <w:top w:val="nil"/>
              <w:left w:val="nil"/>
              <w:bottom w:val="single" w:sz="4" w:space="0" w:color="auto"/>
              <w:right w:val="single" w:sz="4" w:space="0" w:color="auto"/>
            </w:tcBorders>
            <w:shd w:val="clear" w:color="auto" w:fill="auto"/>
            <w:noWrap/>
            <w:vAlign w:val="bottom"/>
            <w:hideMark/>
          </w:tcPr>
          <w:p w14:paraId="5693473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710,9</w:t>
            </w:r>
          </w:p>
        </w:tc>
        <w:tc>
          <w:tcPr>
            <w:tcW w:w="960" w:type="dxa"/>
            <w:tcBorders>
              <w:top w:val="nil"/>
              <w:left w:val="nil"/>
              <w:bottom w:val="single" w:sz="4" w:space="0" w:color="auto"/>
              <w:right w:val="single" w:sz="4" w:space="0" w:color="auto"/>
            </w:tcBorders>
            <w:shd w:val="clear" w:color="auto" w:fill="auto"/>
            <w:noWrap/>
            <w:vAlign w:val="bottom"/>
            <w:hideMark/>
          </w:tcPr>
          <w:p w14:paraId="6B20D03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1.488,8</w:t>
            </w:r>
          </w:p>
        </w:tc>
        <w:tc>
          <w:tcPr>
            <w:tcW w:w="960" w:type="dxa"/>
            <w:tcBorders>
              <w:top w:val="nil"/>
              <w:left w:val="nil"/>
              <w:bottom w:val="single" w:sz="4" w:space="0" w:color="auto"/>
              <w:right w:val="single" w:sz="4" w:space="0" w:color="auto"/>
            </w:tcBorders>
            <w:shd w:val="clear" w:color="auto" w:fill="auto"/>
            <w:noWrap/>
            <w:vAlign w:val="bottom"/>
            <w:hideMark/>
          </w:tcPr>
          <w:p w14:paraId="64DFCA4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7,1</w:t>
            </w:r>
          </w:p>
        </w:tc>
        <w:tc>
          <w:tcPr>
            <w:tcW w:w="960" w:type="dxa"/>
            <w:tcBorders>
              <w:top w:val="nil"/>
              <w:left w:val="nil"/>
              <w:bottom w:val="single" w:sz="4" w:space="0" w:color="auto"/>
              <w:right w:val="single" w:sz="4" w:space="0" w:color="auto"/>
            </w:tcBorders>
            <w:shd w:val="clear" w:color="auto" w:fill="auto"/>
            <w:noWrap/>
            <w:vAlign w:val="bottom"/>
            <w:hideMark/>
          </w:tcPr>
          <w:p w14:paraId="785F138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4,7</w:t>
            </w:r>
          </w:p>
        </w:tc>
        <w:tc>
          <w:tcPr>
            <w:tcW w:w="960" w:type="dxa"/>
            <w:tcBorders>
              <w:top w:val="nil"/>
              <w:left w:val="nil"/>
              <w:bottom w:val="single" w:sz="4" w:space="0" w:color="auto"/>
              <w:right w:val="single" w:sz="4" w:space="0" w:color="auto"/>
            </w:tcBorders>
            <w:shd w:val="clear" w:color="auto" w:fill="auto"/>
            <w:noWrap/>
            <w:vAlign w:val="bottom"/>
            <w:hideMark/>
          </w:tcPr>
          <w:p w14:paraId="727CFBC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9,0</w:t>
            </w:r>
          </w:p>
        </w:tc>
      </w:tr>
      <w:tr w:rsidR="00394D01" w:rsidRPr="00363CFA" w14:paraId="6B63E8A9"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49813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319</w:t>
            </w:r>
          </w:p>
        </w:tc>
        <w:tc>
          <w:tcPr>
            <w:tcW w:w="3020" w:type="dxa"/>
            <w:tcBorders>
              <w:top w:val="nil"/>
              <w:left w:val="nil"/>
              <w:bottom w:val="single" w:sz="8" w:space="0" w:color="auto"/>
              <w:right w:val="single" w:sz="8" w:space="0" w:color="auto"/>
            </w:tcBorders>
            <w:shd w:val="clear" w:color="auto" w:fill="auto"/>
            <w:vAlign w:val="center"/>
            <w:hideMark/>
          </w:tcPr>
          <w:p w14:paraId="43F01A77" w14:textId="47466661"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 xml:space="preserve">Investitii capitale </w:t>
            </w:r>
            <w:r w:rsidR="00C53A99">
              <w:rPr>
                <w:rFonts w:ascii="Calibri Light" w:eastAsia="Times New Roman" w:hAnsi="Calibri Light" w:cs="Calibri Light"/>
                <w:color w:val="000000"/>
                <w:sz w:val="14"/>
                <w:szCs w:val="14"/>
                <w:lang w:val="ro-MD"/>
              </w:rPr>
              <w:t>î</w:t>
            </w:r>
            <w:r w:rsidRPr="00363CFA">
              <w:rPr>
                <w:rFonts w:ascii="Calibri Light" w:eastAsia="Times New Roman" w:hAnsi="Calibri Light" w:cs="Calibri Light"/>
                <w:color w:val="000000"/>
                <w:sz w:val="14"/>
                <w:szCs w:val="14"/>
                <w:lang w:val="ro-MD"/>
              </w:rPr>
              <w:t>n active în curs de execu</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D34132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635,9</w:t>
            </w:r>
          </w:p>
        </w:tc>
        <w:tc>
          <w:tcPr>
            <w:tcW w:w="1100" w:type="dxa"/>
            <w:tcBorders>
              <w:top w:val="nil"/>
              <w:left w:val="nil"/>
              <w:bottom w:val="single" w:sz="4" w:space="0" w:color="auto"/>
              <w:right w:val="single" w:sz="4" w:space="0" w:color="auto"/>
            </w:tcBorders>
            <w:shd w:val="clear" w:color="auto" w:fill="auto"/>
            <w:noWrap/>
            <w:vAlign w:val="bottom"/>
            <w:hideMark/>
          </w:tcPr>
          <w:p w14:paraId="01CED94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60.144,6</w:t>
            </w:r>
          </w:p>
        </w:tc>
        <w:tc>
          <w:tcPr>
            <w:tcW w:w="1100" w:type="dxa"/>
            <w:tcBorders>
              <w:top w:val="nil"/>
              <w:left w:val="nil"/>
              <w:bottom w:val="single" w:sz="4" w:space="0" w:color="auto"/>
              <w:right w:val="single" w:sz="4" w:space="0" w:color="auto"/>
            </w:tcBorders>
            <w:shd w:val="clear" w:color="auto" w:fill="auto"/>
            <w:noWrap/>
            <w:vAlign w:val="bottom"/>
            <w:hideMark/>
          </w:tcPr>
          <w:p w14:paraId="7771DE5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88.629,3</w:t>
            </w:r>
          </w:p>
        </w:tc>
        <w:tc>
          <w:tcPr>
            <w:tcW w:w="1100" w:type="dxa"/>
            <w:tcBorders>
              <w:top w:val="nil"/>
              <w:left w:val="nil"/>
              <w:bottom w:val="single" w:sz="4" w:space="0" w:color="auto"/>
              <w:right w:val="single" w:sz="4" w:space="0" w:color="auto"/>
            </w:tcBorders>
            <w:shd w:val="clear" w:color="auto" w:fill="auto"/>
            <w:noWrap/>
            <w:vAlign w:val="bottom"/>
            <w:hideMark/>
          </w:tcPr>
          <w:p w14:paraId="666BAB3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92.177,5</w:t>
            </w:r>
          </w:p>
        </w:tc>
        <w:tc>
          <w:tcPr>
            <w:tcW w:w="880" w:type="dxa"/>
            <w:tcBorders>
              <w:top w:val="nil"/>
              <w:left w:val="nil"/>
              <w:bottom w:val="single" w:sz="4" w:space="0" w:color="auto"/>
              <w:right w:val="single" w:sz="4" w:space="0" w:color="auto"/>
            </w:tcBorders>
            <w:shd w:val="clear" w:color="auto" w:fill="auto"/>
            <w:noWrap/>
            <w:vAlign w:val="bottom"/>
            <w:hideMark/>
          </w:tcPr>
          <w:p w14:paraId="4B9528D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15,6</w:t>
            </w:r>
          </w:p>
        </w:tc>
        <w:tc>
          <w:tcPr>
            <w:tcW w:w="960" w:type="dxa"/>
            <w:tcBorders>
              <w:top w:val="nil"/>
              <w:left w:val="nil"/>
              <w:bottom w:val="single" w:sz="4" w:space="0" w:color="auto"/>
              <w:right w:val="single" w:sz="4" w:space="0" w:color="auto"/>
            </w:tcBorders>
            <w:shd w:val="clear" w:color="auto" w:fill="auto"/>
            <w:noWrap/>
            <w:vAlign w:val="bottom"/>
            <w:hideMark/>
          </w:tcPr>
          <w:p w14:paraId="344C863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59.508,7</w:t>
            </w:r>
          </w:p>
        </w:tc>
        <w:tc>
          <w:tcPr>
            <w:tcW w:w="960" w:type="dxa"/>
            <w:tcBorders>
              <w:top w:val="nil"/>
              <w:left w:val="nil"/>
              <w:bottom w:val="single" w:sz="4" w:space="0" w:color="auto"/>
              <w:right w:val="single" w:sz="4" w:space="0" w:color="auto"/>
            </w:tcBorders>
            <w:shd w:val="clear" w:color="auto" w:fill="auto"/>
            <w:noWrap/>
            <w:vAlign w:val="bottom"/>
            <w:hideMark/>
          </w:tcPr>
          <w:p w14:paraId="76C6AC9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28.484,7</w:t>
            </w:r>
          </w:p>
        </w:tc>
        <w:tc>
          <w:tcPr>
            <w:tcW w:w="960" w:type="dxa"/>
            <w:tcBorders>
              <w:top w:val="nil"/>
              <w:left w:val="nil"/>
              <w:bottom w:val="single" w:sz="4" w:space="0" w:color="auto"/>
              <w:right w:val="single" w:sz="4" w:space="0" w:color="auto"/>
            </w:tcBorders>
            <w:shd w:val="clear" w:color="auto" w:fill="auto"/>
            <w:noWrap/>
            <w:vAlign w:val="bottom"/>
            <w:hideMark/>
          </w:tcPr>
          <w:p w14:paraId="3ED84CA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3.548,2</w:t>
            </w:r>
          </w:p>
        </w:tc>
        <w:tc>
          <w:tcPr>
            <w:tcW w:w="960" w:type="dxa"/>
            <w:tcBorders>
              <w:top w:val="nil"/>
              <w:left w:val="nil"/>
              <w:bottom w:val="single" w:sz="4" w:space="0" w:color="auto"/>
              <w:right w:val="single" w:sz="4" w:space="0" w:color="auto"/>
            </w:tcBorders>
            <w:shd w:val="clear" w:color="auto" w:fill="auto"/>
            <w:noWrap/>
            <w:vAlign w:val="bottom"/>
            <w:hideMark/>
          </w:tcPr>
          <w:p w14:paraId="0B00E82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98,9</w:t>
            </w:r>
          </w:p>
        </w:tc>
        <w:tc>
          <w:tcPr>
            <w:tcW w:w="960" w:type="dxa"/>
            <w:tcBorders>
              <w:top w:val="nil"/>
              <w:left w:val="nil"/>
              <w:bottom w:val="single" w:sz="4" w:space="0" w:color="auto"/>
              <w:right w:val="single" w:sz="4" w:space="0" w:color="auto"/>
            </w:tcBorders>
            <w:shd w:val="clear" w:color="auto" w:fill="auto"/>
            <w:noWrap/>
            <w:vAlign w:val="bottom"/>
            <w:hideMark/>
          </w:tcPr>
          <w:p w14:paraId="3CD6D8F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32,1</w:t>
            </w:r>
          </w:p>
        </w:tc>
        <w:tc>
          <w:tcPr>
            <w:tcW w:w="960" w:type="dxa"/>
            <w:tcBorders>
              <w:top w:val="nil"/>
              <w:left w:val="nil"/>
              <w:bottom w:val="single" w:sz="4" w:space="0" w:color="auto"/>
              <w:right w:val="single" w:sz="4" w:space="0" w:color="auto"/>
            </w:tcBorders>
            <w:shd w:val="clear" w:color="auto" w:fill="auto"/>
            <w:noWrap/>
            <w:vAlign w:val="bottom"/>
            <w:hideMark/>
          </w:tcPr>
          <w:p w14:paraId="194E496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3,8</w:t>
            </w:r>
          </w:p>
        </w:tc>
      </w:tr>
      <w:tr w:rsidR="00394D01" w:rsidRPr="00363CFA" w14:paraId="345017FD"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E1843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39</w:t>
            </w:r>
          </w:p>
        </w:tc>
        <w:tc>
          <w:tcPr>
            <w:tcW w:w="3020" w:type="dxa"/>
            <w:tcBorders>
              <w:top w:val="nil"/>
              <w:left w:val="nil"/>
              <w:bottom w:val="single" w:sz="8" w:space="0" w:color="auto"/>
              <w:right w:val="single" w:sz="8" w:space="0" w:color="auto"/>
            </w:tcBorders>
            <w:shd w:val="clear" w:color="auto" w:fill="auto"/>
            <w:vAlign w:val="center"/>
            <w:hideMark/>
          </w:tcPr>
          <w:p w14:paraId="509A36AE"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 xml:space="preserve">UZURA MIJLOACELOR FIXE </w:t>
            </w:r>
            <w:r w:rsidR="0069374B" w:rsidRPr="00363CFA">
              <w:rPr>
                <w:rFonts w:ascii="Calibri Light" w:eastAsia="Times New Roman" w:hAnsi="Calibri Light" w:cs="Calibri Light"/>
                <w:b/>
                <w:bCs/>
                <w:color w:val="000000"/>
                <w:sz w:val="14"/>
                <w:szCs w:val="14"/>
                <w:lang w:val="ro-MD"/>
              </w:rPr>
              <w:t>Ș</w:t>
            </w:r>
            <w:r w:rsidRPr="00363CFA">
              <w:rPr>
                <w:rFonts w:ascii="Calibri Light" w:eastAsia="Times New Roman" w:hAnsi="Calibri Light" w:cs="Calibri Light"/>
                <w:b/>
                <w:bCs/>
                <w:color w:val="000000"/>
                <w:sz w:val="14"/>
                <w:szCs w:val="14"/>
                <w:lang w:val="ro-MD"/>
              </w:rPr>
              <w:t>I AMORTIZAREA ACTIVELOR NEMATERIALE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7307F1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82.918,2</w:t>
            </w:r>
          </w:p>
        </w:tc>
        <w:tc>
          <w:tcPr>
            <w:tcW w:w="1100" w:type="dxa"/>
            <w:tcBorders>
              <w:top w:val="nil"/>
              <w:left w:val="nil"/>
              <w:bottom w:val="single" w:sz="4" w:space="0" w:color="auto"/>
              <w:right w:val="single" w:sz="4" w:space="0" w:color="auto"/>
            </w:tcBorders>
            <w:shd w:val="clear" w:color="auto" w:fill="auto"/>
            <w:noWrap/>
            <w:vAlign w:val="bottom"/>
            <w:hideMark/>
          </w:tcPr>
          <w:p w14:paraId="2A87581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69.689,2</w:t>
            </w:r>
          </w:p>
        </w:tc>
        <w:tc>
          <w:tcPr>
            <w:tcW w:w="1100" w:type="dxa"/>
            <w:tcBorders>
              <w:top w:val="nil"/>
              <w:left w:val="nil"/>
              <w:bottom w:val="single" w:sz="4" w:space="0" w:color="auto"/>
              <w:right w:val="single" w:sz="4" w:space="0" w:color="auto"/>
            </w:tcBorders>
            <w:shd w:val="clear" w:color="auto" w:fill="auto"/>
            <w:noWrap/>
            <w:vAlign w:val="bottom"/>
            <w:hideMark/>
          </w:tcPr>
          <w:p w14:paraId="254B249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88.097,4</w:t>
            </w:r>
          </w:p>
        </w:tc>
        <w:tc>
          <w:tcPr>
            <w:tcW w:w="1100" w:type="dxa"/>
            <w:tcBorders>
              <w:top w:val="nil"/>
              <w:left w:val="nil"/>
              <w:bottom w:val="single" w:sz="4" w:space="0" w:color="auto"/>
              <w:right w:val="single" w:sz="4" w:space="0" w:color="auto"/>
            </w:tcBorders>
            <w:shd w:val="clear" w:color="auto" w:fill="auto"/>
            <w:noWrap/>
            <w:vAlign w:val="bottom"/>
            <w:hideMark/>
          </w:tcPr>
          <w:p w14:paraId="4EC6FA6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106.080,3</w:t>
            </w:r>
          </w:p>
        </w:tc>
        <w:tc>
          <w:tcPr>
            <w:tcW w:w="880" w:type="dxa"/>
            <w:tcBorders>
              <w:top w:val="nil"/>
              <w:left w:val="nil"/>
              <w:bottom w:val="single" w:sz="4" w:space="0" w:color="auto"/>
              <w:right w:val="single" w:sz="4" w:space="0" w:color="auto"/>
            </w:tcBorders>
            <w:shd w:val="clear" w:color="auto" w:fill="auto"/>
            <w:noWrap/>
            <w:vAlign w:val="bottom"/>
            <w:hideMark/>
          </w:tcPr>
          <w:p w14:paraId="4281744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18,0</w:t>
            </w:r>
          </w:p>
        </w:tc>
        <w:tc>
          <w:tcPr>
            <w:tcW w:w="960" w:type="dxa"/>
            <w:tcBorders>
              <w:top w:val="nil"/>
              <w:left w:val="nil"/>
              <w:bottom w:val="single" w:sz="4" w:space="0" w:color="auto"/>
              <w:right w:val="single" w:sz="4" w:space="0" w:color="auto"/>
            </w:tcBorders>
            <w:shd w:val="clear" w:color="auto" w:fill="auto"/>
            <w:noWrap/>
            <w:vAlign w:val="bottom"/>
            <w:hideMark/>
          </w:tcPr>
          <w:p w14:paraId="7B566B0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-13.229,0</w:t>
            </w:r>
          </w:p>
        </w:tc>
        <w:tc>
          <w:tcPr>
            <w:tcW w:w="960" w:type="dxa"/>
            <w:tcBorders>
              <w:top w:val="nil"/>
              <w:left w:val="nil"/>
              <w:bottom w:val="single" w:sz="4" w:space="0" w:color="auto"/>
              <w:right w:val="single" w:sz="4" w:space="0" w:color="auto"/>
            </w:tcBorders>
            <w:shd w:val="clear" w:color="auto" w:fill="auto"/>
            <w:noWrap/>
            <w:vAlign w:val="bottom"/>
            <w:hideMark/>
          </w:tcPr>
          <w:p w14:paraId="3D5413C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18.408,2</w:t>
            </w:r>
          </w:p>
        </w:tc>
        <w:tc>
          <w:tcPr>
            <w:tcW w:w="960" w:type="dxa"/>
            <w:tcBorders>
              <w:top w:val="nil"/>
              <w:left w:val="nil"/>
              <w:bottom w:val="single" w:sz="4" w:space="0" w:color="auto"/>
              <w:right w:val="single" w:sz="4" w:space="0" w:color="auto"/>
            </w:tcBorders>
            <w:shd w:val="clear" w:color="auto" w:fill="auto"/>
            <w:noWrap/>
            <w:vAlign w:val="bottom"/>
            <w:hideMark/>
          </w:tcPr>
          <w:p w14:paraId="5D8884D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17.982,9</w:t>
            </w:r>
          </w:p>
        </w:tc>
        <w:tc>
          <w:tcPr>
            <w:tcW w:w="960" w:type="dxa"/>
            <w:tcBorders>
              <w:top w:val="nil"/>
              <w:left w:val="nil"/>
              <w:bottom w:val="single" w:sz="4" w:space="0" w:color="auto"/>
              <w:right w:val="single" w:sz="4" w:space="0" w:color="auto"/>
            </w:tcBorders>
            <w:shd w:val="clear" w:color="auto" w:fill="auto"/>
            <w:noWrap/>
            <w:vAlign w:val="bottom"/>
            <w:hideMark/>
          </w:tcPr>
          <w:p w14:paraId="595D6FD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-19,0</w:t>
            </w:r>
          </w:p>
        </w:tc>
        <w:tc>
          <w:tcPr>
            <w:tcW w:w="960" w:type="dxa"/>
            <w:tcBorders>
              <w:top w:val="nil"/>
              <w:left w:val="nil"/>
              <w:bottom w:val="single" w:sz="4" w:space="0" w:color="auto"/>
              <w:right w:val="single" w:sz="4" w:space="0" w:color="auto"/>
            </w:tcBorders>
            <w:shd w:val="clear" w:color="auto" w:fill="auto"/>
            <w:noWrap/>
            <w:vAlign w:val="bottom"/>
            <w:hideMark/>
          </w:tcPr>
          <w:p w14:paraId="70978FD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20,9</w:t>
            </w:r>
          </w:p>
        </w:tc>
        <w:tc>
          <w:tcPr>
            <w:tcW w:w="960" w:type="dxa"/>
            <w:tcBorders>
              <w:top w:val="nil"/>
              <w:left w:val="nil"/>
              <w:bottom w:val="single" w:sz="4" w:space="0" w:color="auto"/>
              <w:right w:val="single" w:sz="4" w:space="0" w:color="auto"/>
            </w:tcBorders>
            <w:shd w:val="clear" w:color="auto" w:fill="auto"/>
            <w:noWrap/>
            <w:vAlign w:val="bottom"/>
            <w:hideMark/>
          </w:tcPr>
          <w:p w14:paraId="0176596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17,0</w:t>
            </w:r>
          </w:p>
        </w:tc>
      </w:tr>
      <w:tr w:rsidR="00394D01" w:rsidRPr="00363CFA" w14:paraId="57C82318"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B5036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391</w:t>
            </w:r>
          </w:p>
        </w:tc>
        <w:tc>
          <w:tcPr>
            <w:tcW w:w="3020" w:type="dxa"/>
            <w:tcBorders>
              <w:top w:val="nil"/>
              <w:left w:val="nil"/>
              <w:bottom w:val="single" w:sz="8" w:space="0" w:color="auto"/>
              <w:right w:val="single" w:sz="8" w:space="0" w:color="auto"/>
            </w:tcBorders>
            <w:shd w:val="clear" w:color="auto" w:fill="auto"/>
            <w:vAlign w:val="center"/>
            <w:hideMark/>
          </w:tcPr>
          <w:p w14:paraId="5E505820"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Uzura mijloacelor fixe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B51B3C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82.861,6</w:t>
            </w:r>
          </w:p>
        </w:tc>
        <w:tc>
          <w:tcPr>
            <w:tcW w:w="1100" w:type="dxa"/>
            <w:tcBorders>
              <w:top w:val="nil"/>
              <w:left w:val="nil"/>
              <w:bottom w:val="single" w:sz="4" w:space="0" w:color="auto"/>
              <w:right w:val="single" w:sz="4" w:space="0" w:color="auto"/>
            </w:tcBorders>
            <w:shd w:val="clear" w:color="auto" w:fill="auto"/>
            <w:noWrap/>
            <w:vAlign w:val="bottom"/>
            <w:hideMark/>
          </w:tcPr>
          <w:p w14:paraId="186B495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69.568,1</w:t>
            </w:r>
          </w:p>
        </w:tc>
        <w:tc>
          <w:tcPr>
            <w:tcW w:w="1100" w:type="dxa"/>
            <w:tcBorders>
              <w:top w:val="nil"/>
              <w:left w:val="nil"/>
              <w:bottom w:val="single" w:sz="4" w:space="0" w:color="auto"/>
              <w:right w:val="single" w:sz="4" w:space="0" w:color="auto"/>
            </w:tcBorders>
            <w:shd w:val="clear" w:color="auto" w:fill="auto"/>
            <w:noWrap/>
            <w:vAlign w:val="bottom"/>
            <w:hideMark/>
          </w:tcPr>
          <w:p w14:paraId="66EA4DB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87.880,7</w:t>
            </w:r>
          </w:p>
        </w:tc>
        <w:tc>
          <w:tcPr>
            <w:tcW w:w="1100" w:type="dxa"/>
            <w:tcBorders>
              <w:top w:val="nil"/>
              <w:left w:val="nil"/>
              <w:bottom w:val="single" w:sz="4" w:space="0" w:color="auto"/>
              <w:right w:val="single" w:sz="4" w:space="0" w:color="auto"/>
            </w:tcBorders>
            <w:shd w:val="clear" w:color="auto" w:fill="auto"/>
            <w:noWrap/>
            <w:vAlign w:val="bottom"/>
            <w:hideMark/>
          </w:tcPr>
          <w:p w14:paraId="45B4A35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105.826,3</w:t>
            </w:r>
          </w:p>
        </w:tc>
        <w:tc>
          <w:tcPr>
            <w:tcW w:w="880" w:type="dxa"/>
            <w:tcBorders>
              <w:top w:val="nil"/>
              <w:left w:val="nil"/>
              <w:bottom w:val="single" w:sz="4" w:space="0" w:color="auto"/>
              <w:right w:val="single" w:sz="4" w:space="0" w:color="auto"/>
            </w:tcBorders>
            <w:shd w:val="clear" w:color="auto" w:fill="auto"/>
            <w:noWrap/>
            <w:vAlign w:val="bottom"/>
            <w:hideMark/>
          </w:tcPr>
          <w:p w14:paraId="3DEB71D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18,0</w:t>
            </w:r>
          </w:p>
        </w:tc>
        <w:tc>
          <w:tcPr>
            <w:tcW w:w="960" w:type="dxa"/>
            <w:tcBorders>
              <w:top w:val="nil"/>
              <w:left w:val="nil"/>
              <w:bottom w:val="single" w:sz="4" w:space="0" w:color="auto"/>
              <w:right w:val="single" w:sz="4" w:space="0" w:color="auto"/>
            </w:tcBorders>
            <w:shd w:val="clear" w:color="auto" w:fill="auto"/>
            <w:noWrap/>
            <w:vAlign w:val="bottom"/>
            <w:hideMark/>
          </w:tcPr>
          <w:p w14:paraId="0C7A024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-13.293,5</w:t>
            </w:r>
          </w:p>
        </w:tc>
        <w:tc>
          <w:tcPr>
            <w:tcW w:w="960" w:type="dxa"/>
            <w:tcBorders>
              <w:top w:val="nil"/>
              <w:left w:val="nil"/>
              <w:bottom w:val="single" w:sz="4" w:space="0" w:color="auto"/>
              <w:right w:val="single" w:sz="4" w:space="0" w:color="auto"/>
            </w:tcBorders>
            <w:shd w:val="clear" w:color="auto" w:fill="auto"/>
            <w:noWrap/>
            <w:vAlign w:val="bottom"/>
            <w:hideMark/>
          </w:tcPr>
          <w:p w14:paraId="3FB6C6E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18.312,6</w:t>
            </w:r>
          </w:p>
        </w:tc>
        <w:tc>
          <w:tcPr>
            <w:tcW w:w="960" w:type="dxa"/>
            <w:tcBorders>
              <w:top w:val="nil"/>
              <w:left w:val="nil"/>
              <w:bottom w:val="single" w:sz="4" w:space="0" w:color="auto"/>
              <w:right w:val="single" w:sz="4" w:space="0" w:color="auto"/>
            </w:tcBorders>
            <w:shd w:val="clear" w:color="auto" w:fill="auto"/>
            <w:noWrap/>
            <w:vAlign w:val="bottom"/>
            <w:hideMark/>
          </w:tcPr>
          <w:p w14:paraId="61F91C4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17.945,6</w:t>
            </w:r>
          </w:p>
        </w:tc>
        <w:tc>
          <w:tcPr>
            <w:tcW w:w="960" w:type="dxa"/>
            <w:tcBorders>
              <w:top w:val="nil"/>
              <w:left w:val="nil"/>
              <w:bottom w:val="single" w:sz="4" w:space="0" w:color="auto"/>
              <w:right w:val="single" w:sz="4" w:space="0" w:color="auto"/>
            </w:tcBorders>
            <w:shd w:val="clear" w:color="auto" w:fill="auto"/>
            <w:noWrap/>
            <w:vAlign w:val="bottom"/>
            <w:hideMark/>
          </w:tcPr>
          <w:p w14:paraId="2CBDB40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-19,1</w:t>
            </w:r>
          </w:p>
        </w:tc>
        <w:tc>
          <w:tcPr>
            <w:tcW w:w="960" w:type="dxa"/>
            <w:tcBorders>
              <w:top w:val="nil"/>
              <w:left w:val="nil"/>
              <w:bottom w:val="single" w:sz="4" w:space="0" w:color="auto"/>
              <w:right w:val="single" w:sz="4" w:space="0" w:color="auto"/>
            </w:tcBorders>
            <w:shd w:val="clear" w:color="auto" w:fill="auto"/>
            <w:noWrap/>
            <w:vAlign w:val="bottom"/>
            <w:hideMark/>
          </w:tcPr>
          <w:p w14:paraId="04AFE57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20,8</w:t>
            </w:r>
          </w:p>
        </w:tc>
        <w:tc>
          <w:tcPr>
            <w:tcW w:w="960" w:type="dxa"/>
            <w:tcBorders>
              <w:top w:val="nil"/>
              <w:left w:val="nil"/>
              <w:bottom w:val="single" w:sz="4" w:space="0" w:color="auto"/>
              <w:right w:val="single" w:sz="4" w:space="0" w:color="auto"/>
            </w:tcBorders>
            <w:shd w:val="clear" w:color="auto" w:fill="auto"/>
            <w:noWrap/>
            <w:vAlign w:val="bottom"/>
            <w:hideMark/>
          </w:tcPr>
          <w:p w14:paraId="6B02717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17,0</w:t>
            </w:r>
          </w:p>
        </w:tc>
      </w:tr>
      <w:tr w:rsidR="00394D01" w:rsidRPr="00363CFA" w14:paraId="43C9CE93"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F73E8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392</w:t>
            </w:r>
          </w:p>
        </w:tc>
        <w:tc>
          <w:tcPr>
            <w:tcW w:w="3020" w:type="dxa"/>
            <w:tcBorders>
              <w:top w:val="nil"/>
              <w:left w:val="nil"/>
              <w:bottom w:val="single" w:sz="8" w:space="0" w:color="auto"/>
              <w:right w:val="single" w:sz="8" w:space="0" w:color="auto"/>
            </w:tcBorders>
            <w:shd w:val="clear" w:color="auto" w:fill="auto"/>
            <w:vAlign w:val="center"/>
            <w:hideMark/>
          </w:tcPr>
          <w:p w14:paraId="2F270069"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Amortizarea activelor nemateriale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647928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56,6</w:t>
            </w:r>
          </w:p>
        </w:tc>
        <w:tc>
          <w:tcPr>
            <w:tcW w:w="1100" w:type="dxa"/>
            <w:tcBorders>
              <w:top w:val="nil"/>
              <w:left w:val="nil"/>
              <w:bottom w:val="single" w:sz="4" w:space="0" w:color="auto"/>
              <w:right w:val="single" w:sz="4" w:space="0" w:color="auto"/>
            </w:tcBorders>
            <w:shd w:val="clear" w:color="auto" w:fill="auto"/>
            <w:noWrap/>
            <w:vAlign w:val="bottom"/>
            <w:hideMark/>
          </w:tcPr>
          <w:p w14:paraId="02CD7C2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121,1</w:t>
            </w:r>
          </w:p>
        </w:tc>
        <w:tc>
          <w:tcPr>
            <w:tcW w:w="1100" w:type="dxa"/>
            <w:tcBorders>
              <w:top w:val="nil"/>
              <w:left w:val="nil"/>
              <w:bottom w:val="single" w:sz="4" w:space="0" w:color="auto"/>
              <w:right w:val="single" w:sz="4" w:space="0" w:color="auto"/>
            </w:tcBorders>
            <w:shd w:val="clear" w:color="auto" w:fill="auto"/>
            <w:noWrap/>
            <w:vAlign w:val="bottom"/>
            <w:hideMark/>
          </w:tcPr>
          <w:p w14:paraId="202154C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216,7</w:t>
            </w:r>
          </w:p>
        </w:tc>
        <w:tc>
          <w:tcPr>
            <w:tcW w:w="1100" w:type="dxa"/>
            <w:tcBorders>
              <w:top w:val="nil"/>
              <w:left w:val="nil"/>
              <w:bottom w:val="single" w:sz="4" w:space="0" w:color="auto"/>
              <w:right w:val="single" w:sz="4" w:space="0" w:color="auto"/>
            </w:tcBorders>
            <w:shd w:val="clear" w:color="auto" w:fill="auto"/>
            <w:noWrap/>
            <w:vAlign w:val="bottom"/>
            <w:hideMark/>
          </w:tcPr>
          <w:p w14:paraId="39BDA03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254,0</w:t>
            </w:r>
          </w:p>
        </w:tc>
        <w:tc>
          <w:tcPr>
            <w:tcW w:w="880" w:type="dxa"/>
            <w:tcBorders>
              <w:top w:val="nil"/>
              <w:left w:val="nil"/>
              <w:bottom w:val="single" w:sz="4" w:space="0" w:color="auto"/>
              <w:right w:val="single" w:sz="4" w:space="0" w:color="auto"/>
            </w:tcBorders>
            <w:shd w:val="clear" w:color="auto" w:fill="auto"/>
            <w:noWrap/>
            <w:vAlign w:val="bottom"/>
            <w:hideMark/>
          </w:tcPr>
          <w:p w14:paraId="3AB7897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2E2151E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64,5</w:t>
            </w:r>
          </w:p>
        </w:tc>
        <w:tc>
          <w:tcPr>
            <w:tcW w:w="960" w:type="dxa"/>
            <w:tcBorders>
              <w:top w:val="nil"/>
              <w:left w:val="nil"/>
              <w:bottom w:val="single" w:sz="4" w:space="0" w:color="auto"/>
              <w:right w:val="single" w:sz="4" w:space="0" w:color="auto"/>
            </w:tcBorders>
            <w:shd w:val="clear" w:color="auto" w:fill="auto"/>
            <w:noWrap/>
            <w:vAlign w:val="bottom"/>
            <w:hideMark/>
          </w:tcPr>
          <w:p w14:paraId="4F4FE32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95,6</w:t>
            </w:r>
          </w:p>
        </w:tc>
        <w:tc>
          <w:tcPr>
            <w:tcW w:w="960" w:type="dxa"/>
            <w:tcBorders>
              <w:top w:val="nil"/>
              <w:left w:val="nil"/>
              <w:bottom w:val="single" w:sz="4" w:space="0" w:color="auto"/>
              <w:right w:val="single" w:sz="4" w:space="0" w:color="auto"/>
            </w:tcBorders>
            <w:shd w:val="clear" w:color="auto" w:fill="auto"/>
            <w:noWrap/>
            <w:vAlign w:val="bottom"/>
            <w:hideMark/>
          </w:tcPr>
          <w:p w14:paraId="46CB5AD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37,3</w:t>
            </w:r>
          </w:p>
        </w:tc>
        <w:tc>
          <w:tcPr>
            <w:tcW w:w="960" w:type="dxa"/>
            <w:tcBorders>
              <w:top w:val="nil"/>
              <w:left w:val="nil"/>
              <w:bottom w:val="single" w:sz="4" w:space="0" w:color="auto"/>
              <w:right w:val="single" w:sz="4" w:space="0" w:color="auto"/>
            </w:tcBorders>
            <w:shd w:val="clear" w:color="auto" w:fill="auto"/>
            <w:noWrap/>
            <w:vAlign w:val="bottom"/>
            <w:hideMark/>
          </w:tcPr>
          <w:p w14:paraId="0269B37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53,3</w:t>
            </w:r>
          </w:p>
        </w:tc>
        <w:tc>
          <w:tcPr>
            <w:tcW w:w="960" w:type="dxa"/>
            <w:tcBorders>
              <w:top w:val="nil"/>
              <w:left w:val="nil"/>
              <w:bottom w:val="single" w:sz="4" w:space="0" w:color="auto"/>
              <w:right w:val="single" w:sz="4" w:space="0" w:color="auto"/>
            </w:tcBorders>
            <w:shd w:val="clear" w:color="auto" w:fill="auto"/>
            <w:noWrap/>
            <w:vAlign w:val="bottom"/>
            <w:hideMark/>
          </w:tcPr>
          <w:p w14:paraId="2C17AF2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44,1</w:t>
            </w:r>
          </w:p>
        </w:tc>
        <w:tc>
          <w:tcPr>
            <w:tcW w:w="960" w:type="dxa"/>
            <w:tcBorders>
              <w:top w:val="nil"/>
              <w:left w:val="nil"/>
              <w:bottom w:val="single" w:sz="4" w:space="0" w:color="auto"/>
              <w:right w:val="single" w:sz="4" w:space="0" w:color="auto"/>
            </w:tcBorders>
            <w:shd w:val="clear" w:color="auto" w:fill="auto"/>
            <w:noWrap/>
            <w:vAlign w:val="bottom"/>
            <w:hideMark/>
          </w:tcPr>
          <w:p w14:paraId="23A6745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14,7</w:t>
            </w:r>
          </w:p>
        </w:tc>
      </w:tr>
      <w:tr w:rsidR="00394D01" w:rsidRPr="00363CFA" w14:paraId="11BD1C0A"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06B43F"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3020" w:type="dxa"/>
            <w:tcBorders>
              <w:top w:val="nil"/>
              <w:left w:val="nil"/>
              <w:bottom w:val="single" w:sz="8" w:space="0" w:color="auto"/>
              <w:right w:val="single" w:sz="8" w:space="0" w:color="auto"/>
            </w:tcBorders>
            <w:shd w:val="clear" w:color="auto" w:fill="auto"/>
            <w:vAlign w:val="center"/>
            <w:hideMark/>
          </w:tcPr>
          <w:p w14:paraId="0C3D9C5F"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Valoarea de bilan</w:t>
            </w:r>
            <w:r w:rsidR="0069374B" w:rsidRPr="00363CFA">
              <w:rPr>
                <w:rFonts w:ascii="Calibri Light" w:eastAsia="Times New Roman" w:hAnsi="Calibri Light" w:cs="Calibri Light"/>
                <w:b/>
                <w:bCs/>
                <w:color w:val="000000"/>
                <w:sz w:val="14"/>
                <w:szCs w:val="14"/>
                <w:lang w:val="ro-MD"/>
              </w:rPr>
              <w:t>ț</w:t>
            </w:r>
            <w:r w:rsidRPr="00363CFA">
              <w:rPr>
                <w:rFonts w:ascii="Calibri Light" w:eastAsia="Times New Roman" w:hAnsi="Calibri Light" w:cs="Calibri Light"/>
                <w:b/>
                <w:bCs/>
                <w:color w:val="000000"/>
                <w:sz w:val="14"/>
                <w:szCs w:val="14"/>
                <w:lang w:val="ro-MD"/>
              </w:rPr>
              <w:t xml:space="preserve"> a mijloacelor fixe (1.3=1.1.999-1.2.999)</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2A4A6E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201.371,8</w:t>
            </w:r>
          </w:p>
        </w:tc>
        <w:tc>
          <w:tcPr>
            <w:tcW w:w="1100" w:type="dxa"/>
            <w:tcBorders>
              <w:top w:val="nil"/>
              <w:left w:val="nil"/>
              <w:bottom w:val="single" w:sz="4" w:space="0" w:color="auto"/>
              <w:right w:val="single" w:sz="4" w:space="0" w:color="auto"/>
            </w:tcBorders>
            <w:shd w:val="clear" w:color="auto" w:fill="auto"/>
            <w:noWrap/>
            <w:vAlign w:val="bottom"/>
            <w:hideMark/>
          </w:tcPr>
          <w:p w14:paraId="71A4B7B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217.923,5</w:t>
            </w:r>
          </w:p>
        </w:tc>
        <w:tc>
          <w:tcPr>
            <w:tcW w:w="1100" w:type="dxa"/>
            <w:tcBorders>
              <w:top w:val="nil"/>
              <w:left w:val="nil"/>
              <w:bottom w:val="single" w:sz="4" w:space="0" w:color="auto"/>
              <w:right w:val="single" w:sz="4" w:space="0" w:color="auto"/>
            </w:tcBorders>
            <w:shd w:val="clear" w:color="auto" w:fill="auto"/>
            <w:noWrap/>
            <w:vAlign w:val="bottom"/>
            <w:hideMark/>
          </w:tcPr>
          <w:p w14:paraId="5728338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283.078,9</w:t>
            </w:r>
          </w:p>
        </w:tc>
        <w:tc>
          <w:tcPr>
            <w:tcW w:w="1100" w:type="dxa"/>
            <w:tcBorders>
              <w:top w:val="nil"/>
              <w:left w:val="nil"/>
              <w:bottom w:val="single" w:sz="4" w:space="0" w:color="auto"/>
              <w:right w:val="single" w:sz="4" w:space="0" w:color="auto"/>
            </w:tcBorders>
            <w:shd w:val="clear" w:color="auto" w:fill="auto"/>
            <w:noWrap/>
            <w:vAlign w:val="bottom"/>
            <w:hideMark/>
          </w:tcPr>
          <w:p w14:paraId="3C4EAD3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314.047,2</w:t>
            </w:r>
          </w:p>
        </w:tc>
        <w:tc>
          <w:tcPr>
            <w:tcW w:w="880" w:type="dxa"/>
            <w:tcBorders>
              <w:top w:val="nil"/>
              <w:left w:val="nil"/>
              <w:bottom w:val="single" w:sz="4" w:space="0" w:color="auto"/>
              <w:right w:val="single" w:sz="4" w:space="0" w:color="auto"/>
            </w:tcBorders>
            <w:shd w:val="clear" w:color="auto" w:fill="auto"/>
            <w:noWrap/>
            <w:vAlign w:val="bottom"/>
            <w:hideMark/>
          </w:tcPr>
          <w:p w14:paraId="315826F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53,3</w:t>
            </w:r>
          </w:p>
        </w:tc>
        <w:tc>
          <w:tcPr>
            <w:tcW w:w="960" w:type="dxa"/>
            <w:tcBorders>
              <w:top w:val="nil"/>
              <w:left w:val="nil"/>
              <w:bottom w:val="single" w:sz="4" w:space="0" w:color="auto"/>
              <w:right w:val="single" w:sz="4" w:space="0" w:color="auto"/>
            </w:tcBorders>
            <w:shd w:val="clear" w:color="auto" w:fill="auto"/>
            <w:noWrap/>
            <w:vAlign w:val="bottom"/>
            <w:hideMark/>
          </w:tcPr>
          <w:p w14:paraId="1DDCBC7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16.551,7</w:t>
            </w:r>
          </w:p>
        </w:tc>
        <w:tc>
          <w:tcPr>
            <w:tcW w:w="960" w:type="dxa"/>
            <w:tcBorders>
              <w:top w:val="nil"/>
              <w:left w:val="nil"/>
              <w:bottom w:val="single" w:sz="4" w:space="0" w:color="auto"/>
              <w:right w:val="single" w:sz="4" w:space="0" w:color="auto"/>
            </w:tcBorders>
            <w:shd w:val="clear" w:color="auto" w:fill="auto"/>
            <w:noWrap/>
            <w:vAlign w:val="bottom"/>
            <w:hideMark/>
          </w:tcPr>
          <w:p w14:paraId="3836BAB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65.155,4</w:t>
            </w:r>
          </w:p>
        </w:tc>
        <w:tc>
          <w:tcPr>
            <w:tcW w:w="960" w:type="dxa"/>
            <w:tcBorders>
              <w:top w:val="nil"/>
              <w:left w:val="nil"/>
              <w:bottom w:val="single" w:sz="4" w:space="0" w:color="auto"/>
              <w:right w:val="single" w:sz="4" w:space="0" w:color="auto"/>
            </w:tcBorders>
            <w:shd w:val="clear" w:color="auto" w:fill="auto"/>
            <w:noWrap/>
            <w:vAlign w:val="bottom"/>
            <w:hideMark/>
          </w:tcPr>
          <w:p w14:paraId="26A5824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30.968,3</w:t>
            </w:r>
          </w:p>
        </w:tc>
        <w:tc>
          <w:tcPr>
            <w:tcW w:w="960" w:type="dxa"/>
            <w:tcBorders>
              <w:top w:val="nil"/>
              <w:left w:val="nil"/>
              <w:bottom w:val="single" w:sz="4" w:space="0" w:color="auto"/>
              <w:right w:val="single" w:sz="4" w:space="0" w:color="auto"/>
            </w:tcBorders>
            <w:shd w:val="clear" w:color="auto" w:fill="auto"/>
            <w:noWrap/>
            <w:vAlign w:val="bottom"/>
            <w:hideMark/>
          </w:tcPr>
          <w:p w14:paraId="3684A7E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7,6</w:t>
            </w:r>
          </w:p>
        </w:tc>
        <w:tc>
          <w:tcPr>
            <w:tcW w:w="960" w:type="dxa"/>
            <w:tcBorders>
              <w:top w:val="nil"/>
              <w:left w:val="nil"/>
              <w:bottom w:val="single" w:sz="4" w:space="0" w:color="auto"/>
              <w:right w:val="single" w:sz="4" w:space="0" w:color="auto"/>
            </w:tcBorders>
            <w:shd w:val="clear" w:color="auto" w:fill="auto"/>
            <w:noWrap/>
            <w:vAlign w:val="bottom"/>
            <w:hideMark/>
          </w:tcPr>
          <w:p w14:paraId="1A2B14C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23,0</w:t>
            </w:r>
          </w:p>
        </w:tc>
        <w:tc>
          <w:tcPr>
            <w:tcW w:w="960" w:type="dxa"/>
            <w:tcBorders>
              <w:top w:val="nil"/>
              <w:left w:val="nil"/>
              <w:bottom w:val="single" w:sz="4" w:space="0" w:color="auto"/>
              <w:right w:val="single" w:sz="4" w:space="0" w:color="auto"/>
            </w:tcBorders>
            <w:shd w:val="clear" w:color="auto" w:fill="auto"/>
            <w:noWrap/>
            <w:vAlign w:val="bottom"/>
            <w:hideMark/>
          </w:tcPr>
          <w:p w14:paraId="01C8DC6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9,9</w:t>
            </w:r>
          </w:p>
        </w:tc>
      </w:tr>
      <w:tr w:rsidR="00394D01" w:rsidRPr="00363CFA" w14:paraId="47879D98"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E9685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w:t>
            </w:r>
          </w:p>
        </w:tc>
        <w:tc>
          <w:tcPr>
            <w:tcW w:w="3020" w:type="dxa"/>
            <w:tcBorders>
              <w:top w:val="nil"/>
              <w:left w:val="nil"/>
              <w:bottom w:val="single" w:sz="8" w:space="0" w:color="auto"/>
              <w:right w:val="single" w:sz="8" w:space="0" w:color="auto"/>
            </w:tcBorders>
            <w:shd w:val="clear" w:color="auto" w:fill="auto"/>
            <w:vAlign w:val="center"/>
            <w:hideMark/>
          </w:tcPr>
          <w:p w14:paraId="7B542DF0"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REZERVE MATERIALE DE STAT</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7733EB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2.397,9</w:t>
            </w:r>
          </w:p>
        </w:tc>
        <w:tc>
          <w:tcPr>
            <w:tcW w:w="1100" w:type="dxa"/>
            <w:tcBorders>
              <w:top w:val="nil"/>
              <w:left w:val="nil"/>
              <w:bottom w:val="single" w:sz="4" w:space="0" w:color="auto"/>
              <w:right w:val="single" w:sz="4" w:space="0" w:color="auto"/>
            </w:tcBorders>
            <w:shd w:val="clear" w:color="auto" w:fill="auto"/>
            <w:noWrap/>
            <w:vAlign w:val="bottom"/>
            <w:hideMark/>
          </w:tcPr>
          <w:p w14:paraId="4B397C9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2.393,3</w:t>
            </w:r>
          </w:p>
        </w:tc>
        <w:tc>
          <w:tcPr>
            <w:tcW w:w="1100" w:type="dxa"/>
            <w:tcBorders>
              <w:top w:val="nil"/>
              <w:left w:val="nil"/>
              <w:bottom w:val="single" w:sz="4" w:space="0" w:color="auto"/>
              <w:right w:val="single" w:sz="4" w:space="0" w:color="auto"/>
            </w:tcBorders>
            <w:shd w:val="clear" w:color="auto" w:fill="auto"/>
            <w:noWrap/>
            <w:vAlign w:val="bottom"/>
            <w:hideMark/>
          </w:tcPr>
          <w:p w14:paraId="776DC11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2.393,3</w:t>
            </w:r>
          </w:p>
        </w:tc>
        <w:tc>
          <w:tcPr>
            <w:tcW w:w="1100" w:type="dxa"/>
            <w:tcBorders>
              <w:top w:val="nil"/>
              <w:left w:val="nil"/>
              <w:bottom w:val="single" w:sz="4" w:space="0" w:color="auto"/>
              <w:right w:val="single" w:sz="4" w:space="0" w:color="auto"/>
            </w:tcBorders>
            <w:shd w:val="clear" w:color="auto" w:fill="auto"/>
            <w:noWrap/>
            <w:vAlign w:val="bottom"/>
            <w:hideMark/>
          </w:tcPr>
          <w:p w14:paraId="4894679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642,5</w:t>
            </w:r>
          </w:p>
        </w:tc>
        <w:tc>
          <w:tcPr>
            <w:tcW w:w="880" w:type="dxa"/>
            <w:tcBorders>
              <w:top w:val="nil"/>
              <w:left w:val="nil"/>
              <w:bottom w:val="single" w:sz="4" w:space="0" w:color="auto"/>
              <w:right w:val="single" w:sz="4" w:space="0" w:color="auto"/>
            </w:tcBorders>
            <w:shd w:val="clear" w:color="auto" w:fill="auto"/>
            <w:noWrap/>
            <w:vAlign w:val="bottom"/>
            <w:hideMark/>
          </w:tcPr>
          <w:p w14:paraId="0056F18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0,1</w:t>
            </w:r>
          </w:p>
        </w:tc>
        <w:tc>
          <w:tcPr>
            <w:tcW w:w="960" w:type="dxa"/>
            <w:tcBorders>
              <w:top w:val="nil"/>
              <w:left w:val="nil"/>
              <w:bottom w:val="single" w:sz="4" w:space="0" w:color="auto"/>
              <w:right w:val="single" w:sz="4" w:space="0" w:color="auto"/>
            </w:tcBorders>
            <w:shd w:val="clear" w:color="auto" w:fill="auto"/>
            <w:noWrap/>
            <w:vAlign w:val="bottom"/>
            <w:hideMark/>
          </w:tcPr>
          <w:p w14:paraId="227CDAE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-4,6</w:t>
            </w:r>
          </w:p>
        </w:tc>
        <w:tc>
          <w:tcPr>
            <w:tcW w:w="960" w:type="dxa"/>
            <w:tcBorders>
              <w:top w:val="nil"/>
              <w:left w:val="nil"/>
              <w:bottom w:val="single" w:sz="4" w:space="0" w:color="auto"/>
              <w:right w:val="single" w:sz="4" w:space="0" w:color="auto"/>
            </w:tcBorders>
            <w:shd w:val="clear" w:color="auto" w:fill="auto"/>
            <w:noWrap/>
            <w:vAlign w:val="bottom"/>
            <w:hideMark/>
          </w:tcPr>
          <w:p w14:paraId="2AE6AA5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6E22567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-1.750,8</w:t>
            </w:r>
          </w:p>
        </w:tc>
        <w:tc>
          <w:tcPr>
            <w:tcW w:w="960" w:type="dxa"/>
            <w:tcBorders>
              <w:top w:val="nil"/>
              <w:left w:val="nil"/>
              <w:bottom w:val="single" w:sz="4" w:space="0" w:color="auto"/>
              <w:right w:val="single" w:sz="4" w:space="0" w:color="auto"/>
            </w:tcBorders>
            <w:shd w:val="clear" w:color="auto" w:fill="auto"/>
            <w:noWrap/>
            <w:vAlign w:val="bottom"/>
            <w:hideMark/>
          </w:tcPr>
          <w:p w14:paraId="365D467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-0,2</w:t>
            </w:r>
          </w:p>
        </w:tc>
        <w:tc>
          <w:tcPr>
            <w:tcW w:w="960" w:type="dxa"/>
            <w:tcBorders>
              <w:top w:val="nil"/>
              <w:left w:val="nil"/>
              <w:bottom w:val="single" w:sz="4" w:space="0" w:color="auto"/>
              <w:right w:val="single" w:sz="4" w:space="0" w:color="auto"/>
            </w:tcBorders>
            <w:shd w:val="clear" w:color="auto" w:fill="auto"/>
            <w:noWrap/>
            <w:vAlign w:val="bottom"/>
            <w:hideMark/>
          </w:tcPr>
          <w:p w14:paraId="3366091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6C77B5D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-272,5</w:t>
            </w:r>
          </w:p>
        </w:tc>
      </w:tr>
      <w:tr w:rsidR="00394D01" w:rsidRPr="00363CFA" w14:paraId="59715547"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B5BBB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323</w:t>
            </w:r>
          </w:p>
        </w:tc>
        <w:tc>
          <w:tcPr>
            <w:tcW w:w="3020" w:type="dxa"/>
            <w:tcBorders>
              <w:top w:val="nil"/>
              <w:left w:val="nil"/>
              <w:bottom w:val="single" w:sz="8" w:space="0" w:color="auto"/>
              <w:right w:val="single" w:sz="8" w:space="0" w:color="auto"/>
            </w:tcBorders>
            <w:shd w:val="clear" w:color="auto" w:fill="auto"/>
            <w:vAlign w:val="center"/>
            <w:hideMark/>
          </w:tcPr>
          <w:p w14:paraId="2EF0349A"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Alte rezerve materiale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01EC3D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2.397,9</w:t>
            </w:r>
          </w:p>
        </w:tc>
        <w:tc>
          <w:tcPr>
            <w:tcW w:w="1100" w:type="dxa"/>
            <w:tcBorders>
              <w:top w:val="nil"/>
              <w:left w:val="nil"/>
              <w:bottom w:val="single" w:sz="4" w:space="0" w:color="auto"/>
              <w:right w:val="single" w:sz="4" w:space="0" w:color="auto"/>
            </w:tcBorders>
            <w:shd w:val="clear" w:color="auto" w:fill="auto"/>
            <w:noWrap/>
            <w:vAlign w:val="bottom"/>
            <w:hideMark/>
          </w:tcPr>
          <w:p w14:paraId="474C35B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2.393,3</w:t>
            </w:r>
          </w:p>
        </w:tc>
        <w:tc>
          <w:tcPr>
            <w:tcW w:w="1100" w:type="dxa"/>
            <w:tcBorders>
              <w:top w:val="nil"/>
              <w:left w:val="nil"/>
              <w:bottom w:val="single" w:sz="4" w:space="0" w:color="auto"/>
              <w:right w:val="single" w:sz="4" w:space="0" w:color="auto"/>
            </w:tcBorders>
            <w:shd w:val="clear" w:color="auto" w:fill="auto"/>
            <w:noWrap/>
            <w:vAlign w:val="bottom"/>
            <w:hideMark/>
          </w:tcPr>
          <w:p w14:paraId="51B6B90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2.393,3</w:t>
            </w:r>
          </w:p>
        </w:tc>
        <w:tc>
          <w:tcPr>
            <w:tcW w:w="1100" w:type="dxa"/>
            <w:tcBorders>
              <w:top w:val="nil"/>
              <w:left w:val="nil"/>
              <w:bottom w:val="single" w:sz="4" w:space="0" w:color="auto"/>
              <w:right w:val="single" w:sz="4" w:space="0" w:color="auto"/>
            </w:tcBorders>
            <w:shd w:val="clear" w:color="auto" w:fill="auto"/>
            <w:noWrap/>
            <w:vAlign w:val="bottom"/>
            <w:hideMark/>
          </w:tcPr>
          <w:p w14:paraId="69E516C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642,5</w:t>
            </w:r>
          </w:p>
        </w:tc>
        <w:tc>
          <w:tcPr>
            <w:tcW w:w="880" w:type="dxa"/>
            <w:tcBorders>
              <w:top w:val="nil"/>
              <w:left w:val="nil"/>
              <w:bottom w:val="single" w:sz="4" w:space="0" w:color="auto"/>
              <w:right w:val="single" w:sz="4" w:space="0" w:color="auto"/>
            </w:tcBorders>
            <w:shd w:val="clear" w:color="auto" w:fill="auto"/>
            <w:noWrap/>
            <w:vAlign w:val="bottom"/>
            <w:hideMark/>
          </w:tcPr>
          <w:p w14:paraId="14A8F82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0,1</w:t>
            </w:r>
          </w:p>
        </w:tc>
        <w:tc>
          <w:tcPr>
            <w:tcW w:w="960" w:type="dxa"/>
            <w:tcBorders>
              <w:top w:val="nil"/>
              <w:left w:val="nil"/>
              <w:bottom w:val="single" w:sz="4" w:space="0" w:color="auto"/>
              <w:right w:val="single" w:sz="4" w:space="0" w:color="auto"/>
            </w:tcBorders>
            <w:shd w:val="clear" w:color="auto" w:fill="auto"/>
            <w:noWrap/>
            <w:vAlign w:val="bottom"/>
            <w:hideMark/>
          </w:tcPr>
          <w:p w14:paraId="31452B7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-4,6</w:t>
            </w:r>
          </w:p>
        </w:tc>
        <w:tc>
          <w:tcPr>
            <w:tcW w:w="960" w:type="dxa"/>
            <w:tcBorders>
              <w:top w:val="nil"/>
              <w:left w:val="nil"/>
              <w:bottom w:val="single" w:sz="4" w:space="0" w:color="auto"/>
              <w:right w:val="single" w:sz="4" w:space="0" w:color="auto"/>
            </w:tcBorders>
            <w:shd w:val="clear" w:color="auto" w:fill="auto"/>
            <w:noWrap/>
            <w:vAlign w:val="bottom"/>
            <w:hideMark/>
          </w:tcPr>
          <w:p w14:paraId="45A2382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7B50C63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-1.750,8</w:t>
            </w:r>
          </w:p>
        </w:tc>
        <w:tc>
          <w:tcPr>
            <w:tcW w:w="960" w:type="dxa"/>
            <w:tcBorders>
              <w:top w:val="nil"/>
              <w:left w:val="nil"/>
              <w:bottom w:val="single" w:sz="4" w:space="0" w:color="auto"/>
              <w:right w:val="single" w:sz="4" w:space="0" w:color="auto"/>
            </w:tcBorders>
            <w:shd w:val="clear" w:color="auto" w:fill="auto"/>
            <w:noWrap/>
            <w:vAlign w:val="bottom"/>
            <w:hideMark/>
          </w:tcPr>
          <w:p w14:paraId="64D0557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-0,2</w:t>
            </w:r>
          </w:p>
        </w:tc>
        <w:tc>
          <w:tcPr>
            <w:tcW w:w="960" w:type="dxa"/>
            <w:tcBorders>
              <w:top w:val="nil"/>
              <w:left w:val="nil"/>
              <w:bottom w:val="single" w:sz="4" w:space="0" w:color="auto"/>
              <w:right w:val="single" w:sz="4" w:space="0" w:color="auto"/>
            </w:tcBorders>
            <w:shd w:val="clear" w:color="auto" w:fill="auto"/>
            <w:noWrap/>
            <w:vAlign w:val="bottom"/>
            <w:hideMark/>
          </w:tcPr>
          <w:p w14:paraId="276A8B7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3D75560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-272,5</w:t>
            </w:r>
          </w:p>
        </w:tc>
      </w:tr>
      <w:tr w:rsidR="00394D01" w:rsidRPr="00363CFA" w14:paraId="6A5C53B8"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E17AB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33</w:t>
            </w:r>
          </w:p>
        </w:tc>
        <w:tc>
          <w:tcPr>
            <w:tcW w:w="3020" w:type="dxa"/>
            <w:tcBorders>
              <w:top w:val="nil"/>
              <w:left w:val="nil"/>
              <w:bottom w:val="single" w:sz="8" w:space="0" w:color="auto"/>
              <w:right w:val="single" w:sz="8" w:space="0" w:color="auto"/>
            </w:tcBorders>
            <w:shd w:val="clear" w:color="auto" w:fill="auto"/>
            <w:vAlign w:val="center"/>
            <w:hideMark/>
          </w:tcPr>
          <w:p w14:paraId="442E2E07"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STOCURI DE MATERIALE CIRCULANTE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AA8912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9.789,3</w:t>
            </w:r>
          </w:p>
        </w:tc>
        <w:tc>
          <w:tcPr>
            <w:tcW w:w="1100" w:type="dxa"/>
            <w:tcBorders>
              <w:top w:val="nil"/>
              <w:left w:val="nil"/>
              <w:bottom w:val="single" w:sz="4" w:space="0" w:color="auto"/>
              <w:right w:val="single" w:sz="4" w:space="0" w:color="auto"/>
            </w:tcBorders>
            <w:shd w:val="clear" w:color="auto" w:fill="auto"/>
            <w:noWrap/>
            <w:vAlign w:val="bottom"/>
            <w:hideMark/>
          </w:tcPr>
          <w:p w14:paraId="6FD500A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13.889,4</w:t>
            </w:r>
          </w:p>
        </w:tc>
        <w:tc>
          <w:tcPr>
            <w:tcW w:w="1100" w:type="dxa"/>
            <w:tcBorders>
              <w:top w:val="nil"/>
              <w:left w:val="nil"/>
              <w:bottom w:val="single" w:sz="4" w:space="0" w:color="auto"/>
              <w:right w:val="single" w:sz="4" w:space="0" w:color="auto"/>
            </w:tcBorders>
            <w:shd w:val="clear" w:color="auto" w:fill="auto"/>
            <w:noWrap/>
            <w:vAlign w:val="bottom"/>
            <w:hideMark/>
          </w:tcPr>
          <w:p w14:paraId="5987A43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15.971,4</w:t>
            </w:r>
          </w:p>
        </w:tc>
        <w:tc>
          <w:tcPr>
            <w:tcW w:w="1100" w:type="dxa"/>
            <w:tcBorders>
              <w:top w:val="nil"/>
              <w:left w:val="nil"/>
              <w:bottom w:val="single" w:sz="4" w:space="0" w:color="auto"/>
              <w:right w:val="single" w:sz="4" w:space="0" w:color="auto"/>
            </w:tcBorders>
            <w:shd w:val="clear" w:color="auto" w:fill="auto"/>
            <w:noWrap/>
            <w:vAlign w:val="bottom"/>
            <w:hideMark/>
          </w:tcPr>
          <w:p w14:paraId="43B3DB2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19.248,3</w:t>
            </w:r>
          </w:p>
        </w:tc>
        <w:tc>
          <w:tcPr>
            <w:tcW w:w="880" w:type="dxa"/>
            <w:tcBorders>
              <w:top w:val="nil"/>
              <w:left w:val="nil"/>
              <w:bottom w:val="single" w:sz="4" w:space="0" w:color="auto"/>
              <w:right w:val="single" w:sz="4" w:space="0" w:color="auto"/>
            </w:tcBorders>
            <w:shd w:val="clear" w:color="auto" w:fill="auto"/>
            <w:noWrap/>
            <w:vAlign w:val="bottom"/>
            <w:hideMark/>
          </w:tcPr>
          <w:p w14:paraId="65EC173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3,3</w:t>
            </w:r>
          </w:p>
        </w:tc>
        <w:tc>
          <w:tcPr>
            <w:tcW w:w="960" w:type="dxa"/>
            <w:tcBorders>
              <w:top w:val="nil"/>
              <w:left w:val="nil"/>
              <w:bottom w:val="single" w:sz="4" w:space="0" w:color="auto"/>
              <w:right w:val="single" w:sz="4" w:space="0" w:color="auto"/>
            </w:tcBorders>
            <w:shd w:val="clear" w:color="auto" w:fill="auto"/>
            <w:noWrap/>
            <w:vAlign w:val="bottom"/>
            <w:hideMark/>
          </w:tcPr>
          <w:p w14:paraId="2D43E9A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4.100,1</w:t>
            </w:r>
          </w:p>
        </w:tc>
        <w:tc>
          <w:tcPr>
            <w:tcW w:w="960" w:type="dxa"/>
            <w:tcBorders>
              <w:top w:val="nil"/>
              <w:left w:val="nil"/>
              <w:bottom w:val="single" w:sz="4" w:space="0" w:color="auto"/>
              <w:right w:val="single" w:sz="4" w:space="0" w:color="auto"/>
            </w:tcBorders>
            <w:shd w:val="clear" w:color="auto" w:fill="auto"/>
            <w:noWrap/>
            <w:vAlign w:val="bottom"/>
            <w:hideMark/>
          </w:tcPr>
          <w:p w14:paraId="2167A6D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2.082,0</w:t>
            </w:r>
          </w:p>
        </w:tc>
        <w:tc>
          <w:tcPr>
            <w:tcW w:w="960" w:type="dxa"/>
            <w:tcBorders>
              <w:top w:val="nil"/>
              <w:left w:val="nil"/>
              <w:bottom w:val="single" w:sz="4" w:space="0" w:color="auto"/>
              <w:right w:val="single" w:sz="4" w:space="0" w:color="auto"/>
            </w:tcBorders>
            <w:shd w:val="clear" w:color="auto" w:fill="auto"/>
            <w:noWrap/>
            <w:vAlign w:val="bottom"/>
            <w:hideMark/>
          </w:tcPr>
          <w:p w14:paraId="2078C45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3.276,9</w:t>
            </w:r>
          </w:p>
        </w:tc>
        <w:tc>
          <w:tcPr>
            <w:tcW w:w="960" w:type="dxa"/>
            <w:tcBorders>
              <w:top w:val="nil"/>
              <w:left w:val="nil"/>
              <w:bottom w:val="single" w:sz="4" w:space="0" w:color="auto"/>
              <w:right w:val="single" w:sz="4" w:space="0" w:color="auto"/>
            </w:tcBorders>
            <w:shd w:val="clear" w:color="auto" w:fill="auto"/>
            <w:noWrap/>
            <w:vAlign w:val="bottom"/>
            <w:hideMark/>
          </w:tcPr>
          <w:p w14:paraId="54116B4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29,5</w:t>
            </w:r>
          </w:p>
        </w:tc>
        <w:tc>
          <w:tcPr>
            <w:tcW w:w="960" w:type="dxa"/>
            <w:tcBorders>
              <w:top w:val="nil"/>
              <w:left w:val="nil"/>
              <w:bottom w:val="single" w:sz="4" w:space="0" w:color="auto"/>
              <w:right w:val="single" w:sz="4" w:space="0" w:color="auto"/>
            </w:tcBorders>
            <w:shd w:val="clear" w:color="auto" w:fill="auto"/>
            <w:noWrap/>
            <w:vAlign w:val="bottom"/>
            <w:hideMark/>
          </w:tcPr>
          <w:p w14:paraId="3B4DD15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13,0</w:t>
            </w:r>
          </w:p>
        </w:tc>
        <w:tc>
          <w:tcPr>
            <w:tcW w:w="960" w:type="dxa"/>
            <w:tcBorders>
              <w:top w:val="nil"/>
              <w:left w:val="nil"/>
              <w:bottom w:val="single" w:sz="4" w:space="0" w:color="auto"/>
              <w:right w:val="single" w:sz="4" w:space="0" w:color="auto"/>
            </w:tcBorders>
            <w:shd w:val="clear" w:color="auto" w:fill="auto"/>
            <w:noWrap/>
            <w:vAlign w:val="bottom"/>
            <w:hideMark/>
          </w:tcPr>
          <w:p w14:paraId="3365FB0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17,0</w:t>
            </w:r>
          </w:p>
        </w:tc>
      </w:tr>
      <w:tr w:rsidR="00394D01" w:rsidRPr="00363CFA" w14:paraId="1003171A"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04B6A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331</w:t>
            </w:r>
          </w:p>
        </w:tc>
        <w:tc>
          <w:tcPr>
            <w:tcW w:w="3020" w:type="dxa"/>
            <w:tcBorders>
              <w:top w:val="nil"/>
              <w:left w:val="nil"/>
              <w:bottom w:val="single" w:sz="8" w:space="0" w:color="auto"/>
              <w:right w:val="single" w:sz="8" w:space="0" w:color="auto"/>
            </w:tcBorders>
            <w:shd w:val="clear" w:color="auto" w:fill="auto"/>
            <w:vAlign w:val="center"/>
            <w:hideMark/>
          </w:tcPr>
          <w:p w14:paraId="16E0D5DB"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Combustibil, carburan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 xml:space="preserve">i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lubrifian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A78DF4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93,8</w:t>
            </w:r>
          </w:p>
        </w:tc>
        <w:tc>
          <w:tcPr>
            <w:tcW w:w="1100" w:type="dxa"/>
            <w:tcBorders>
              <w:top w:val="nil"/>
              <w:left w:val="nil"/>
              <w:bottom w:val="single" w:sz="4" w:space="0" w:color="auto"/>
              <w:right w:val="single" w:sz="4" w:space="0" w:color="auto"/>
            </w:tcBorders>
            <w:shd w:val="clear" w:color="auto" w:fill="auto"/>
            <w:noWrap/>
            <w:vAlign w:val="bottom"/>
            <w:hideMark/>
          </w:tcPr>
          <w:p w14:paraId="1A1B049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81,3</w:t>
            </w:r>
          </w:p>
        </w:tc>
        <w:tc>
          <w:tcPr>
            <w:tcW w:w="1100" w:type="dxa"/>
            <w:tcBorders>
              <w:top w:val="nil"/>
              <w:left w:val="nil"/>
              <w:bottom w:val="single" w:sz="4" w:space="0" w:color="auto"/>
              <w:right w:val="single" w:sz="4" w:space="0" w:color="auto"/>
            </w:tcBorders>
            <w:shd w:val="clear" w:color="auto" w:fill="auto"/>
            <w:noWrap/>
            <w:vAlign w:val="bottom"/>
            <w:hideMark/>
          </w:tcPr>
          <w:p w14:paraId="198B94C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169,7</w:t>
            </w:r>
          </w:p>
        </w:tc>
        <w:tc>
          <w:tcPr>
            <w:tcW w:w="1100" w:type="dxa"/>
            <w:tcBorders>
              <w:top w:val="nil"/>
              <w:left w:val="nil"/>
              <w:bottom w:val="single" w:sz="4" w:space="0" w:color="auto"/>
              <w:right w:val="single" w:sz="4" w:space="0" w:color="auto"/>
            </w:tcBorders>
            <w:shd w:val="clear" w:color="auto" w:fill="auto"/>
            <w:noWrap/>
            <w:vAlign w:val="bottom"/>
            <w:hideMark/>
          </w:tcPr>
          <w:p w14:paraId="1AD78F88"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189,1</w:t>
            </w:r>
          </w:p>
        </w:tc>
        <w:tc>
          <w:tcPr>
            <w:tcW w:w="880" w:type="dxa"/>
            <w:tcBorders>
              <w:top w:val="nil"/>
              <w:left w:val="nil"/>
              <w:bottom w:val="single" w:sz="4" w:space="0" w:color="auto"/>
              <w:right w:val="single" w:sz="4" w:space="0" w:color="auto"/>
            </w:tcBorders>
            <w:shd w:val="clear" w:color="auto" w:fill="auto"/>
            <w:noWrap/>
            <w:vAlign w:val="bottom"/>
            <w:hideMark/>
          </w:tcPr>
          <w:p w14:paraId="5AAA03D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476201C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-12,5</w:t>
            </w:r>
          </w:p>
        </w:tc>
        <w:tc>
          <w:tcPr>
            <w:tcW w:w="960" w:type="dxa"/>
            <w:tcBorders>
              <w:top w:val="nil"/>
              <w:left w:val="nil"/>
              <w:bottom w:val="single" w:sz="4" w:space="0" w:color="auto"/>
              <w:right w:val="single" w:sz="4" w:space="0" w:color="auto"/>
            </w:tcBorders>
            <w:shd w:val="clear" w:color="auto" w:fill="auto"/>
            <w:noWrap/>
            <w:vAlign w:val="bottom"/>
            <w:hideMark/>
          </w:tcPr>
          <w:p w14:paraId="15EA413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88,4</w:t>
            </w:r>
          </w:p>
        </w:tc>
        <w:tc>
          <w:tcPr>
            <w:tcW w:w="960" w:type="dxa"/>
            <w:tcBorders>
              <w:top w:val="nil"/>
              <w:left w:val="nil"/>
              <w:bottom w:val="single" w:sz="4" w:space="0" w:color="auto"/>
              <w:right w:val="single" w:sz="4" w:space="0" w:color="auto"/>
            </w:tcBorders>
            <w:shd w:val="clear" w:color="auto" w:fill="auto"/>
            <w:noWrap/>
            <w:vAlign w:val="bottom"/>
            <w:hideMark/>
          </w:tcPr>
          <w:p w14:paraId="56D5081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19,4</w:t>
            </w:r>
          </w:p>
        </w:tc>
        <w:tc>
          <w:tcPr>
            <w:tcW w:w="960" w:type="dxa"/>
            <w:tcBorders>
              <w:top w:val="nil"/>
              <w:left w:val="nil"/>
              <w:bottom w:val="single" w:sz="4" w:space="0" w:color="auto"/>
              <w:right w:val="single" w:sz="4" w:space="0" w:color="auto"/>
            </w:tcBorders>
            <w:shd w:val="clear" w:color="auto" w:fill="auto"/>
            <w:noWrap/>
            <w:vAlign w:val="bottom"/>
            <w:hideMark/>
          </w:tcPr>
          <w:p w14:paraId="45A33E4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-15,4</w:t>
            </w:r>
          </w:p>
        </w:tc>
        <w:tc>
          <w:tcPr>
            <w:tcW w:w="960" w:type="dxa"/>
            <w:tcBorders>
              <w:top w:val="nil"/>
              <w:left w:val="nil"/>
              <w:bottom w:val="single" w:sz="4" w:space="0" w:color="auto"/>
              <w:right w:val="single" w:sz="4" w:space="0" w:color="auto"/>
            </w:tcBorders>
            <w:shd w:val="clear" w:color="auto" w:fill="auto"/>
            <w:noWrap/>
            <w:vAlign w:val="bottom"/>
            <w:hideMark/>
          </w:tcPr>
          <w:p w14:paraId="22991C4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52,1</w:t>
            </w:r>
          </w:p>
        </w:tc>
        <w:tc>
          <w:tcPr>
            <w:tcW w:w="960" w:type="dxa"/>
            <w:tcBorders>
              <w:top w:val="nil"/>
              <w:left w:val="nil"/>
              <w:bottom w:val="single" w:sz="4" w:space="0" w:color="auto"/>
              <w:right w:val="single" w:sz="4" w:space="0" w:color="auto"/>
            </w:tcBorders>
            <w:shd w:val="clear" w:color="auto" w:fill="auto"/>
            <w:noWrap/>
            <w:vAlign w:val="bottom"/>
            <w:hideMark/>
          </w:tcPr>
          <w:p w14:paraId="66DEE4F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10,3</w:t>
            </w:r>
          </w:p>
        </w:tc>
      </w:tr>
      <w:tr w:rsidR="00394D01" w:rsidRPr="00363CFA" w14:paraId="6291A23B"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99F07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332</w:t>
            </w:r>
          </w:p>
        </w:tc>
        <w:tc>
          <w:tcPr>
            <w:tcW w:w="3020" w:type="dxa"/>
            <w:tcBorders>
              <w:top w:val="nil"/>
              <w:left w:val="nil"/>
              <w:bottom w:val="single" w:sz="8" w:space="0" w:color="auto"/>
              <w:right w:val="single" w:sz="8" w:space="0" w:color="auto"/>
            </w:tcBorders>
            <w:shd w:val="clear" w:color="auto" w:fill="auto"/>
            <w:vAlign w:val="center"/>
            <w:hideMark/>
          </w:tcPr>
          <w:p w14:paraId="69AB3C5A"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Piese de schimb</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937463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437,0</w:t>
            </w:r>
          </w:p>
        </w:tc>
        <w:tc>
          <w:tcPr>
            <w:tcW w:w="1100" w:type="dxa"/>
            <w:tcBorders>
              <w:top w:val="nil"/>
              <w:left w:val="nil"/>
              <w:bottom w:val="single" w:sz="4" w:space="0" w:color="auto"/>
              <w:right w:val="single" w:sz="4" w:space="0" w:color="auto"/>
            </w:tcBorders>
            <w:shd w:val="clear" w:color="auto" w:fill="auto"/>
            <w:noWrap/>
            <w:vAlign w:val="bottom"/>
            <w:hideMark/>
          </w:tcPr>
          <w:p w14:paraId="088CF5E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512,8</w:t>
            </w:r>
          </w:p>
        </w:tc>
        <w:tc>
          <w:tcPr>
            <w:tcW w:w="1100" w:type="dxa"/>
            <w:tcBorders>
              <w:top w:val="nil"/>
              <w:left w:val="nil"/>
              <w:bottom w:val="single" w:sz="4" w:space="0" w:color="auto"/>
              <w:right w:val="single" w:sz="4" w:space="0" w:color="auto"/>
            </w:tcBorders>
            <w:shd w:val="clear" w:color="auto" w:fill="auto"/>
            <w:noWrap/>
            <w:vAlign w:val="bottom"/>
            <w:hideMark/>
          </w:tcPr>
          <w:p w14:paraId="22C1B36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584,1</w:t>
            </w:r>
          </w:p>
        </w:tc>
        <w:tc>
          <w:tcPr>
            <w:tcW w:w="1100" w:type="dxa"/>
            <w:tcBorders>
              <w:top w:val="nil"/>
              <w:left w:val="nil"/>
              <w:bottom w:val="single" w:sz="4" w:space="0" w:color="auto"/>
              <w:right w:val="single" w:sz="4" w:space="0" w:color="auto"/>
            </w:tcBorders>
            <w:shd w:val="clear" w:color="auto" w:fill="auto"/>
            <w:noWrap/>
            <w:vAlign w:val="bottom"/>
            <w:hideMark/>
          </w:tcPr>
          <w:p w14:paraId="7C0C10C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709,5</w:t>
            </w:r>
          </w:p>
        </w:tc>
        <w:tc>
          <w:tcPr>
            <w:tcW w:w="880" w:type="dxa"/>
            <w:tcBorders>
              <w:top w:val="nil"/>
              <w:left w:val="nil"/>
              <w:bottom w:val="single" w:sz="4" w:space="0" w:color="auto"/>
              <w:right w:val="single" w:sz="4" w:space="0" w:color="auto"/>
            </w:tcBorders>
            <w:shd w:val="clear" w:color="auto" w:fill="auto"/>
            <w:noWrap/>
            <w:vAlign w:val="bottom"/>
            <w:hideMark/>
          </w:tcPr>
          <w:p w14:paraId="75ED132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0,1</w:t>
            </w:r>
          </w:p>
        </w:tc>
        <w:tc>
          <w:tcPr>
            <w:tcW w:w="960" w:type="dxa"/>
            <w:tcBorders>
              <w:top w:val="nil"/>
              <w:left w:val="nil"/>
              <w:bottom w:val="single" w:sz="4" w:space="0" w:color="auto"/>
              <w:right w:val="single" w:sz="4" w:space="0" w:color="auto"/>
            </w:tcBorders>
            <w:shd w:val="clear" w:color="auto" w:fill="auto"/>
            <w:noWrap/>
            <w:vAlign w:val="bottom"/>
            <w:hideMark/>
          </w:tcPr>
          <w:p w14:paraId="2305F16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75,8</w:t>
            </w:r>
          </w:p>
        </w:tc>
        <w:tc>
          <w:tcPr>
            <w:tcW w:w="960" w:type="dxa"/>
            <w:tcBorders>
              <w:top w:val="nil"/>
              <w:left w:val="nil"/>
              <w:bottom w:val="single" w:sz="4" w:space="0" w:color="auto"/>
              <w:right w:val="single" w:sz="4" w:space="0" w:color="auto"/>
            </w:tcBorders>
            <w:shd w:val="clear" w:color="auto" w:fill="auto"/>
            <w:noWrap/>
            <w:vAlign w:val="bottom"/>
            <w:hideMark/>
          </w:tcPr>
          <w:p w14:paraId="3609E11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71,3</w:t>
            </w:r>
          </w:p>
        </w:tc>
        <w:tc>
          <w:tcPr>
            <w:tcW w:w="960" w:type="dxa"/>
            <w:tcBorders>
              <w:top w:val="nil"/>
              <w:left w:val="nil"/>
              <w:bottom w:val="single" w:sz="4" w:space="0" w:color="auto"/>
              <w:right w:val="single" w:sz="4" w:space="0" w:color="auto"/>
            </w:tcBorders>
            <w:shd w:val="clear" w:color="auto" w:fill="auto"/>
            <w:noWrap/>
            <w:vAlign w:val="bottom"/>
            <w:hideMark/>
          </w:tcPr>
          <w:p w14:paraId="340D1AC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125,4</w:t>
            </w:r>
          </w:p>
        </w:tc>
        <w:tc>
          <w:tcPr>
            <w:tcW w:w="960" w:type="dxa"/>
            <w:tcBorders>
              <w:top w:val="nil"/>
              <w:left w:val="nil"/>
              <w:bottom w:val="single" w:sz="4" w:space="0" w:color="auto"/>
              <w:right w:val="single" w:sz="4" w:space="0" w:color="auto"/>
            </w:tcBorders>
            <w:shd w:val="clear" w:color="auto" w:fill="auto"/>
            <w:noWrap/>
            <w:vAlign w:val="bottom"/>
            <w:hideMark/>
          </w:tcPr>
          <w:p w14:paraId="75CA167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14,8</w:t>
            </w:r>
          </w:p>
        </w:tc>
        <w:tc>
          <w:tcPr>
            <w:tcW w:w="960" w:type="dxa"/>
            <w:tcBorders>
              <w:top w:val="nil"/>
              <w:left w:val="nil"/>
              <w:bottom w:val="single" w:sz="4" w:space="0" w:color="auto"/>
              <w:right w:val="single" w:sz="4" w:space="0" w:color="auto"/>
            </w:tcBorders>
            <w:shd w:val="clear" w:color="auto" w:fill="auto"/>
            <w:noWrap/>
            <w:vAlign w:val="bottom"/>
            <w:hideMark/>
          </w:tcPr>
          <w:p w14:paraId="64CBE37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12,2</w:t>
            </w:r>
          </w:p>
        </w:tc>
        <w:tc>
          <w:tcPr>
            <w:tcW w:w="960" w:type="dxa"/>
            <w:tcBorders>
              <w:top w:val="nil"/>
              <w:left w:val="nil"/>
              <w:bottom w:val="single" w:sz="4" w:space="0" w:color="auto"/>
              <w:right w:val="single" w:sz="4" w:space="0" w:color="auto"/>
            </w:tcBorders>
            <w:shd w:val="clear" w:color="auto" w:fill="auto"/>
            <w:noWrap/>
            <w:vAlign w:val="bottom"/>
            <w:hideMark/>
          </w:tcPr>
          <w:p w14:paraId="7CE1193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17,7</w:t>
            </w:r>
          </w:p>
        </w:tc>
      </w:tr>
      <w:tr w:rsidR="00394D01" w:rsidRPr="00363CFA" w14:paraId="56719783"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099B7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333</w:t>
            </w:r>
          </w:p>
        </w:tc>
        <w:tc>
          <w:tcPr>
            <w:tcW w:w="3020" w:type="dxa"/>
            <w:tcBorders>
              <w:top w:val="nil"/>
              <w:left w:val="nil"/>
              <w:bottom w:val="single" w:sz="8" w:space="0" w:color="auto"/>
              <w:right w:val="single" w:sz="8" w:space="0" w:color="auto"/>
            </w:tcBorders>
            <w:shd w:val="clear" w:color="auto" w:fill="auto"/>
            <w:vAlign w:val="center"/>
            <w:hideMark/>
          </w:tcPr>
          <w:p w14:paraId="739DB22A"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Produse alimentare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3C8ED3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531,7</w:t>
            </w:r>
          </w:p>
        </w:tc>
        <w:tc>
          <w:tcPr>
            <w:tcW w:w="1100" w:type="dxa"/>
            <w:tcBorders>
              <w:top w:val="nil"/>
              <w:left w:val="nil"/>
              <w:bottom w:val="single" w:sz="4" w:space="0" w:color="auto"/>
              <w:right w:val="single" w:sz="4" w:space="0" w:color="auto"/>
            </w:tcBorders>
            <w:shd w:val="clear" w:color="auto" w:fill="auto"/>
            <w:noWrap/>
            <w:vAlign w:val="bottom"/>
            <w:hideMark/>
          </w:tcPr>
          <w:p w14:paraId="4E414FD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854,0</w:t>
            </w:r>
          </w:p>
        </w:tc>
        <w:tc>
          <w:tcPr>
            <w:tcW w:w="1100" w:type="dxa"/>
            <w:tcBorders>
              <w:top w:val="nil"/>
              <w:left w:val="nil"/>
              <w:bottom w:val="single" w:sz="4" w:space="0" w:color="auto"/>
              <w:right w:val="single" w:sz="4" w:space="0" w:color="auto"/>
            </w:tcBorders>
            <w:shd w:val="clear" w:color="auto" w:fill="auto"/>
            <w:noWrap/>
            <w:vAlign w:val="bottom"/>
            <w:hideMark/>
          </w:tcPr>
          <w:p w14:paraId="3AA0C46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1.002,7</w:t>
            </w:r>
          </w:p>
        </w:tc>
        <w:tc>
          <w:tcPr>
            <w:tcW w:w="1100" w:type="dxa"/>
            <w:tcBorders>
              <w:top w:val="nil"/>
              <w:left w:val="nil"/>
              <w:bottom w:val="single" w:sz="4" w:space="0" w:color="auto"/>
              <w:right w:val="single" w:sz="4" w:space="0" w:color="auto"/>
            </w:tcBorders>
            <w:shd w:val="clear" w:color="auto" w:fill="auto"/>
            <w:noWrap/>
            <w:vAlign w:val="bottom"/>
            <w:hideMark/>
          </w:tcPr>
          <w:p w14:paraId="449C2A7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689,9</w:t>
            </w:r>
          </w:p>
        </w:tc>
        <w:tc>
          <w:tcPr>
            <w:tcW w:w="880" w:type="dxa"/>
            <w:tcBorders>
              <w:top w:val="nil"/>
              <w:left w:val="nil"/>
              <w:bottom w:val="single" w:sz="4" w:space="0" w:color="auto"/>
              <w:right w:val="single" w:sz="4" w:space="0" w:color="auto"/>
            </w:tcBorders>
            <w:shd w:val="clear" w:color="auto" w:fill="auto"/>
            <w:noWrap/>
            <w:vAlign w:val="bottom"/>
            <w:hideMark/>
          </w:tcPr>
          <w:p w14:paraId="3616F3A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0,1</w:t>
            </w:r>
          </w:p>
        </w:tc>
        <w:tc>
          <w:tcPr>
            <w:tcW w:w="960" w:type="dxa"/>
            <w:tcBorders>
              <w:top w:val="nil"/>
              <w:left w:val="nil"/>
              <w:bottom w:val="single" w:sz="4" w:space="0" w:color="auto"/>
              <w:right w:val="single" w:sz="4" w:space="0" w:color="auto"/>
            </w:tcBorders>
            <w:shd w:val="clear" w:color="auto" w:fill="auto"/>
            <w:noWrap/>
            <w:vAlign w:val="bottom"/>
            <w:hideMark/>
          </w:tcPr>
          <w:p w14:paraId="298DF2E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322,3</w:t>
            </w:r>
          </w:p>
        </w:tc>
        <w:tc>
          <w:tcPr>
            <w:tcW w:w="960" w:type="dxa"/>
            <w:tcBorders>
              <w:top w:val="nil"/>
              <w:left w:val="nil"/>
              <w:bottom w:val="single" w:sz="4" w:space="0" w:color="auto"/>
              <w:right w:val="single" w:sz="4" w:space="0" w:color="auto"/>
            </w:tcBorders>
            <w:shd w:val="clear" w:color="auto" w:fill="auto"/>
            <w:noWrap/>
            <w:vAlign w:val="bottom"/>
            <w:hideMark/>
          </w:tcPr>
          <w:p w14:paraId="45AC92A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148,7</w:t>
            </w:r>
          </w:p>
        </w:tc>
        <w:tc>
          <w:tcPr>
            <w:tcW w:w="960" w:type="dxa"/>
            <w:tcBorders>
              <w:top w:val="nil"/>
              <w:left w:val="nil"/>
              <w:bottom w:val="single" w:sz="4" w:space="0" w:color="auto"/>
              <w:right w:val="single" w:sz="4" w:space="0" w:color="auto"/>
            </w:tcBorders>
            <w:shd w:val="clear" w:color="auto" w:fill="auto"/>
            <w:noWrap/>
            <w:vAlign w:val="bottom"/>
            <w:hideMark/>
          </w:tcPr>
          <w:p w14:paraId="08842CB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-312,8</w:t>
            </w:r>
          </w:p>
        </w:tc>
        <w:tc>
          <w:tcPr>
            <w:tcW w:w="960" w:type="dxa"/>
            <w:tcBorders>
              <w:top w:val="nil"/>
              <w:left w:val="nil"/>
              <w:bottom w:val="single" w:sz="4" w:space="0" w:color="auto"/>
              <w:right w:val="single" w:sz="4" w:space="0" w:color="auto"/>
            </w:tcBorders>
            <w:shd w:val="clear" w:color="auto" w:fill="auto"/>
            <w:noWrap/>
            <w:vAlign w:val="bottom"/>
            <w:hideMark/>
          </w:tcPr>
          <w:p w14:paraId="51B3A2C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37,7</w:t>
            </w:r>
          </w:p>
        </w:tc>
        <w:tc>
          <w:tcPr>
            <w:tcW w:w="960" w:type="dxa"/>
            <w:tcBorders>
              <w:top w:val="nil"/>
              <w:left w:val="nil"/>
              <w:bottom w:val="single" w:sz="4" w:space="0" w:color="auto"/>
              <w:right w:val="single" w:sz="4" w:space="0" w:color="auto"/>
            </w:tcBorders>
            <w:shd w:val="clear" w:color="auto" w:fill="auto"/>
            <w:noWrap/>
            <w:vAlign w:val="bottom"/>
            <w:hideMark/>
          </w:tcPr>
          <w:p w14:paraId="737948C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14,8</w:t>
            </w:r>
          </w:p>
        </w:tc>
        <w:tc>
          <w:tcPr>
            <w:tcW w:w="960" w:type="dxa"/>
            <w:tcBorders>
              <w:top w:val="nil"/>
              <w:left w:val="nil"/>
              <w:bottom w:val="single" w:sz="4" w:space="0" w:color="auto"/>
              <w:right w:val="single" w:sz="4" w:space="0" w:color="auto"/>
            </w:tcBorders>
            <w:shd w:val="clear" w:color="auto" w:fill="auto"/>
            <w:noWrap/>
            <w:vAlign w:val="bottom"/>
            <w:hideMark/>
          </w:tcPr>
          <w:p w14:paraId="0EEA880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-45,3</w:t>
            </w:r>
          </w:p>
        </w:tc>
      </w:tr>
      <w:tr w:rsidR="00394D01" w:rsidRPr="00363CFA" w14:paraId="3A7CDA5F"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CE590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334</w:t>
            </w:r>
          </w:p>
        </w:tc>
        <w:tc>
          <w:tcPr>
            <w:tcW w:w="3020" w:type="dxa"/>
            <w:tcBorders>
              <w:top w:val="nil"/>
              <w:left w:val="nil"/>
              <w:bottom w:val="single" w:sz="8" w:space="0" w:color="auto"/>
              <w:right w:val="single" w:sz="8" w:space="0" w:color="auto"/>
            </w:tcBorders>
            <w:shd w:val="clear" w:color="auto" w:fill="auto"/>
            <w:vAlign w:val="center"/>
            <w:hideMark/>
          </w:tcPr>
          <w:p w14:paraId="2D3B271C"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 xml:space="preserve">Medicamente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materiale sanitare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158196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85,5</w:t>
            </w:r>
          </w:p>
        </w:tc>
        <w:tc>
          <w:tcPr>
            <w:tcW w:w="1100" w:type="dxa"/>
            <w:tcBorders>
              <w:top w:val="nil"/>
              <w:left w:val="nil"/>
              <w:bottom w:val="single" w:sz="4" w:space="0" w:color="auto"/>
              <w:right w:val="single" w:sz="4" w:space="0" w:color="auto"/>
            </w:tcBorders>
            <w:shd w:val="clear" w:color="auto" w:fill="auto"/>
            <w:noWrap/>
            <w:vAlign w:val="bottom"/>
            <w:hideMark/>
          </w:tcPr>
          <w:p w14:paraId="3BD3D2D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96,8</w:t>
            </w:r>
          </w:p>
        </w:tc>
        <w:tc>
          <w:tcPr>
            <w:tcW w:w="1100" w:type="dxa"/>
            <w:tcBorders>
              <w:top w:val="nil"/>
              <w:left w:val="nil"/>
              <w:bottom w:val="single" w:sz="4" w:space="0" w:color="auto"/>
              <w:right w:val="single" w:sz="4" w:space="0" w:color="auto"/>
            </w:tcBorders>
            <w:shd w:val="clear" w:color="auto" w:fill="auto"/>
            <w:noWrap/>
            <w:vAlign w:val="bottom"/>
            <w:hideMark/>
          </w:tcPr>
          <w:p w14:paraId="484C926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110,7</w:t>
            </w:r>
          </w:p>
        </w:tc>
        <w:tc>
          <w:tcPr>
            <w:tcW w:w="1100" w:type="dxa"/>
            <w:tcBorders>
              <w:top w:val="nil"/>
              <w:left w:val="nil"/>
              <w:bottom w:val="single" w:sz="4" w:space="0" w:color="auto"/>
              <w:right w:val="single" w:sz="4" w:space="0" w:color="auto"/>
            </w:tcBorders>
            <w:shd w:val="clear" w:color="auto" w:fill="auto"/>
            <w:noWrap/>
            <w:vAlign w:val="bottom"/>
            <w:hideMark/>
          </w:tcPr>
          <w:p w14:paraId="3C99E69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2.046,1</w:t>
            </w:r>
          </w:p>
        </w:tc>
        <w:tc>
          <w:tcPr>
            <w:tcW w:w="880" w:type="dxa"/>
            <w:tcBorders>
              <w:top w:val="nil"/>
              <w:left w:val="nil"/>
              <w:bottom w:val="single" w:sz="4" w:space="0" w:color="auto"/>
              <w:right w:val="single" w:sz="4" w:space="0" w:color="auto"/>
            </w:tcBorders>
            <w:shd w:val="clear" w:color="auto" w:fill="auto"/>
            <w:noWrap/>
            <w:vAlign w:val="bottom"/>
            <w:hideMark/>
          </w:tcPr>
          <w:p w14:paraId="772F1E6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0,3</w:t>
            </w:r>
          </w:p>
        </w:tc>
        <w:tc>
          <w:tcPr>
            <w:tcW w:w="960" w:type="dxa"/>
            <w:tcBorders>
              <w:top w:val="nil"/>
              <w:left w:val="nil"/>
              <w:bottom w:val="single" w:sz="4" w:space="0" w:color="auto"/>
              <w:right w:val="single" w:sz="4" w:space="0" w:color="auto"/>
            </w:tcBorders>
            <w:shd w:val="clear" w:color="auto" w:fill="auto"/>
            <w:noWrap/>
            <w:vAlign w:val="bottom"/>
            <w:hideMark/>
          </w:tcPr>
          <w:p w14:paraId="65ADDAB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11,3</w:t>
            </w:r>
          </w:p>
        </w:tc>
        <w:tc>
          <w:tcPr>
            <w:tcW w:w="960" w:type="dxa"/>
            <w:tcBorders>
              <w:top w:val="nil"/>
              <w:left w:val="nil"/>
              <w:bottom w:val="single" w:sz="4" w:space="0" w:color="auto"/>
              <w:right w:val="single" w:sz="4" w:space="0" w:color="auto"/>
            </w:tcBorders>
            <w:shd w:val="clear" w:color="auto" w:fill="auto"/>
            <w:noWrap/>
            <w:vAlign w:val="bottom"/>
            <w:hideMark/>
          </w:tcPr>
          <w:p w14:paraId="59AD5A9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13,9</w:t>
            </w:r>
          </w:p>
        </w:tc>
        <w:tc>
          <w:tcPr>
            <w:tcW w:w="960" w:type="dxa"/>
            <w:tcBorders>
              <w:top w:val="nil"/>
              <w:left w:val="nil"/>
              <w:bottom w:val="single" w:sz="4" w:space="0" w:color="auto"/>
              <w:right w:val="single" w:sz="4" w:space="0" w:color="auto"/>
            </w:tcBorders>
            <w:shd w:val="clear" w:color="auto" w:fill="auto"/>
            <w:noWrap/>
            <w:vAlign w:val="bottom"/>
            <w:hideMark/>
          </w:tcPr>
          <w:p w14:paraId="6A79ACE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1.935,4</w:t>
            </w:r>
          </w:p>
        </w:tc>
        <w:tc>
          <w:tcPr>
            <w:tcW w:w="960" w:type="dxa"/>
            <w:tcBorders>
              <w:top w:val="nil"/>
              <w:left w:val="nil"/>
              <w:bottom w:val="single" w:sz="4" w:space="0" w:color="auto"/>
              <w:right w:val="single" w:sz="4" w:space="0" w:color="auto"/>
            </w:tcBorders>
            <w:shd w:val="clear" w:color="auto" w:fill="auto"/>
            <w:noWrap/>
            <w:vAlign w:val="bottom"/>
            <w:hideMark/>
          </w:tcPr>
          <w:p w14:paraId="58EABD0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11,7</w:t>
            </w:r>
          </w:p>
        </w:tc>
        <w:tc>
          <w:tcPr>
            <w:tcW w:w="960" w:type="dxa"/>
            <w:tcBorders>
              <w:top w:val="nil"/>
              <w:left w:val="nil"/>
              <w:bottom w:val="single" w:sz="4" w:space="0" w:color="auto"/>
              <w:right w:val="single" w:sz="4" w:space="0" w:color="auto"/>
            </w:tcBorders>
            <w:shd w:val="clear" w:color="auto" w:fill="auto"/>
            <w:noWrap/>
            <w:vAlign w:val="bottom"/>
            <w:hideMark/>
          </w:tcPr>
          <w:p w14:paraId="4063C98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12,6</w:t>
            </w:r>
          </w:p>
        </w:tc>
        <w:tc>
          <w:tcPr>
            <w:tcW w:w="960" w:type="dxa"/>
            <w:tcBorders>
              <w:top w:val="nil"/>
              <w:left w:val="nil"/>
              <w:bottom w:val="single" w:sz="4" w:space="0" w:color="auto"/>
              <w:right w:val="single" w:sz="4" w:space="0" w:color="auto"/>
            </w:tcBorders>
            <w:shd w:val="clear" w:color="auto" w:fill="auto"/>
            <w:noWrap/>
            <w:vAlign w:val="bottom"/>
            <w:hideMark/>
          </w:tcPr>
          <w:p w14:paraId="4F38360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94,6</w:t>
            </w:r>
          </w:p>
        </w:tc>
      </w:tr>
      <w:tr w:rsidR="00394D01" w:rsidRPr="00363CFA" w14:paraId="329E96C5"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D23AB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335</w:t>
            </w:r>
          </w:p>
        </w:tc>
        <w:tc>
          <w:tcPr>
            <w:tcW w:w="3020" w:type="dxa"/>
            <w:tcBorders>
              <w:top w:val="nil"/>
              <w:left w:val="nil"/>
              <w:bottom w:val="single" w:sz="8" w:space="0" w:color="auto"/>
              <w:right w:val="single" w:sz="8" w:space="0" w:color="auto"/>
            </w:tcBorders>
            <w:shd w:val="clear" w:color="auto" w:fill="auto"/>
            <w:vAlign w:val="center"/>
            <w:hideMark/>
          </w:tcPr>
          <w:p w14:paraId="36234DE8"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 xml:space="preserve">Materiale pentru scopuri didactice,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tiin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 xml:space="preserve">ifice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alte scopuri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370857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806,9</w:t>
            </w:r>
          </w:p>
        </w:tc>
        <w:tc>
          <w:tcPr>
            <w:tcW w:w="1100" w:type="dxa"/>
            <w:tcBorders>
              <w:top w:val="nil"/>
              <w:left w:val="nil"/>
              <w:bottom w:val="single" w:sz="4" w:space="0" w:color="auto"/>
              <w:right w:val="single" w:sz="4" w:space="0" w:color="auto"/>
            </w:tcBorders>
            <w:shd w:val="clear" w:color="auto" w:fill="auto"/>
            <w:noWrap/>
            <w:vAlign w:val="bottom"/>
            <w:hideMark/>
          </w:tcPr>
          <w:p w14:paraId="0EBBF07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995,8</w:t>
            </w:r>
          </w:p>
        </w:tc>
        <w:tc>
          <w:tcPr>
            <w:tcW w:w="1100" w:type="dxa"/>
            <w:tcBorders>
              <w:top w:val="nil"/>
              <w:left w:val="nil"/>
              <w:bottom w:val="single" w:sz="4" w:space="0" w:color="auto"/>
              <w:right w:val="single" w:sz="4" w:space="0" w:color="auto"/>
            </w:tcBorders>
            <w:shd w:val="clear" w:color="auto" w:fill="auto"/>
            <w:noWrap/>
            <w:vAlign w:val="bottom"/>
            <w:hideMark/>
          </w:tcPr>
          <w:p w14:paraId="5B04790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1.525,1</w:t>
            </w:r>
          </w:p>
        </w:tc>
        <w:tc>
          <w:tcPr>
            <w:tcW w:w="1100" w:type="dxa"/>
            <w:tcBorders>
              <w:top w:val="nil"/>
              <w:left w:val="nil"/>
              <w:bottom w:val="single" w:sz="4" w:space="0" w:color="auto"/>
              <w:right w:val="single" w:sz="4" w:space="0" w:color="auto"/>
            </w:tcBorders>
            <w:shd w:val="clear" w:color="auto" w:fill="auto"/>
            <w:noWrap/>
            <w:vAlign w:val="bottom"/>
            <w:hideMark/>
          </w:tcPr>
          <w:p w14:paraId="55A3775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2.039,7</w:t>
            </w:r>
          </w:p>
        </w:tc>
        <w:tc>
          <w:tcPr>
            <w:tcW w:w="880" w:type="dxa"/>
            <w:tcBorders>
              <w:top w:val="nil"/>
              <w:left w:val="nil"/>
              <w:bottom w:val="single" w:sz="4" w:space="0" w:color="auto"/>
              <w:right w:val="single" w:sz="4" w:space="0" w:color="auto"/>
            </w:tcBorders>
            <w:shd w:val="clear" w:color="auto" w:fill="auto"/>
            <w:noWrap/>
            <w:vAlign w:val="bottom"/>
            <w:hideMark/>
          </w:tcPr>
          <w:p w14:paraId="7B269CE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0,3</w:t>
            </w:r>
          </w:p>
        </w:tc>
        <w:tc>
          <w:tcPr>
            <w:tcW w:w="960" w:type="dxa"/>
            <w:tcBorders>
              <w:top w:val="nil"/>
              <w:left w:val="nil"/>
              <w:bottom w:val="single" w:sz="4" w:space="0" w:color="auto"/>
              <w:right w:val="single" w:sz="4" w:space="0" w:color="auto"/>
            </w:tcBorders>
            <w:shd w:val="clear" w:color="auto" w:fill="auto"/>
            <w:noWrap/>
            <w:vAlign w:val="bottom"/>
            <w:hideMark/>
          </w:tcPr>
          <w:p w14:paraId="135EF2C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188,9</w:t>
            </w:r>
          </w:p>
        </w:tc>
        <w:tc>
          <w:tcPr>
            <w:tcW w:w="960" w:type="dxa"/>
            <w:tcBorders>
              <w:top w:val="nil"/>
              <w:left w:val="nil"/>
              <w:bottom w:val="single" w:sz="4" w:space="0" w:color="auto"/>
              <w:right w:val="single" w:sz="4" w:space="0" w:color="auto"/>
            </w:tcBorders>
            <w:shd w:val="clear" w:color="auto" w:fill="auto"/>
            <w:noWrap/>
            <w:vAlign w:val="bottom"/>
            <w:hideMark/>
          </w:tcPr>
          <w:p w14:paraId="3C94D5F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529,3</w:t>
            </w:r>
          </w:p>
        </w:tc>
        <w:tc>
          <w:tcPr>
            <w:tcW w:w="960" w:type="dxa"/>
            <w:tcBorders>
              <w:top w:val="nil"/>
              <w:left w:val="nil"/>
              <w:bottom w:val="single" w:sz="4" w:space="0" w:color="auto"/>
              <w:right w:val="single" w:sz="4" w:space="0" w:color="auto"/>
            </w:tcBorders>
            <w:shd w:val="clear" w:color="auto" w:fill="auto"/>
            <w:noWrap/>
            <w:vAlign w:val="bottom"/>
            <w:hideMark/>
          </w:tcPr>
          <w:p w14:paraId="34E179D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514,6</w:t>
            </w:r>
          </w:p>
        </w:tc>
        <w:tc>
          <w:tcPr>
            <w:tcW w:w="960" w:type="dxa"/>
            <w:tcBorders>
              <w:top w:val="nil"/>
              <w:left w:val="nil"/>
              <w:bottom w:val="single" w:sz="4" w:space="0" w:color="auto"/>
              <w:right w:val="single" w:sz="4" w:space="0" w:color="auto"/>
            </w:tcBorders>
            <w:shd w:val="clear" w:color="auto" w:fill="auto"/>
            <w:noWrap/>
            <w:vAlign w:val="bottom"/>
            <w:hideMark/>
          </w:tcPr>
          <w:p w14:paraId="490BF26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19,0</w:t>
            </w:r>
          </w:p>
        </w:tc>
        <w:tc>
          <w:tcPr>
            <w:tcW w:w="960" w:type="dxa"/>
            <w:tcBorders>
              <w:top w:val="nil"/>
              <w:left w:val="nil"/>
              <w:bottom w:val="single" w:sz="4" w:space="0" w:color="auto"/>
              <w:right w:val="single" w:sz="4" w:space="0" w:color="auto"/>
            </w:tcBorders>
            <w:shd w:val="clear" w:color="auto" w:fill="auto"/>
            <w:noWrap/>
            <w:vAlign w:val="bottom"/>
            <w:hideMark/>
          </w:tcPr>
          <w:p w14:paraId="6A5FA70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34,7</w:t>
            </w:r>
          </w:p>
        </w:tc>
        <w:tc>
          <w:tcPr>
            <w:tcW w:w="960" w:type="dxa"/>
            <w:tcBorders>
              <w:top w:val="nil"/>
              <w:left w:val="nil"/>
              <w:bottom w:val="single" w:sz="4" w:space="0" w:color="auto"/>
              <w:right w:val="single" w:sz="4" w:space="0" w:color="auto"/>
            </w:tcBorders>
            <w:shd w:val="clear" w:color="auto" w:fill="auto"/>
            <w:noWrap/>
            <w:vAlign w:val="bottom"/>
            <w:hideMark/>
          </w:tcPr>
          <w:p w14:paraId="729754D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25,2</w:t>
            </w:r>
          </w:p>
        </w:tc>
      </w:tr>
      <w:tr w:rsidR="00394D01" w:rsidRPr="00363CFA" w14:paraId="5A3A3EA8"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0AD55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336</w:t>
            </w:r>
          </w:p>
        </w:tc>
        <w:tc>
          <w:tcPr>
            <w:tcW w:w="3020" w:type="dxa"/>
            <w:tcBorders>
              <w:top w:val="nil"/>
              <w:left w:val="nil"/>
              <w:bottom w:val="single" w:sz="8" w:space="0" w:color="auto"/>
              <w:right w:val="single" w:sz="8" w:space="0" w:color="auto"/>
            </w:tcBorders>
            <w:shd w:val="clear" w:color="auto" w:fill="auto"/>
            <w:vAlign w:val="center"/>
            <w:hideMark/>
          </w:tcPr>
          <w:p w14:paraId="7FA63E6B"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 xml:space="preserve">Materiale de uz gospodăresc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rechizite de birou</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7B57F5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3.655,0</w:t>
            </w:r>
          </w:p>
        </w:tc>
        <w:tc>
          <w:tcPr>
            <w:tcW w:w="1100" w:type="dxa"/>
            <w:tcBorders>
              <w:top w:val="nil"/>
              <w:left w:val="nil"/>
              <w:bottom w:val="single" w:sz="4" w:space="0" w:color="auto"/>
              <w:right w:val="single" w:sz="4" w:space="0" w:color="auto"/>
            </w:tcBorders>
            <w:shd w:val="clear" w:color="auto" w:fill="auto"/>
            <w:noWrap/>
            <w:vAlign w:val="bottom"/>
            <w:hideMark/>
          </w:tcPr>
          <w:p w14:paraId="78E2F8C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3.326,1</w:t>
            </w:r>
          </w:p>
        </w:tc>
        <w:tc>
          <w:tcPr>
            <w:tcW w:w="1100" w:type="dxa"/>
            <w:tcBorders>
              <w:top w:val="nil"/>
              <w:left w:val="nil"/>
              <w:bottom w:val="single" w:sz="4" w:space="0" w:color="auto"/>
              <w:right w:val="single" w:sz="4" w:space="0" w:color="auto"/>
            </w:tcBorders>
            <w:shd w:val="clear" w:color="auto" w:fill="auto"/>
            <w:noWrap/>
            <w:vAlign w:val="bottom"/>
            <w:hideMark/>
          </w:tcPr>
          <w:p w14:paraId="366FECA0"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3.361,4</w:t>
            </w:r>
          </w:p>
        </w:tc>
        <w:tc>
          <w:tcPr>
            <w:tcW w:w="1100" w:type="dxa"/>
            <w:tcBorders>
              <w:top w:val="nil"/>
              <w:left w:val="nil"/>
              <w:bottom w:val="single" w:sz="4" w:space="0" w:color="auto"/>
              <w:right w:val="single" w:sz="4" w:space="0" w:color="auto"/>
            </w:tcBorders>
            <w:shd w:val="clear" w:color="auto" w:fill="auto"/>
            <w:noWrap/>
            <w:vAlign w:val="bottom"/>
            <w:hideMark/>
          </w:tcPr>
          <w:p w14:paraId="7ED57E4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3.973,9</w:t>
            </w:r>
          </w:p>
        </w:tc>
        <w:tc>
          <w:tcPr>
            <w:tcW w:w="880" w:type="dxa"/>
            <w:tcBorders>
              <w:top w:val="nil"/>
              <w:left w:val="nil"/>
              <w:bottom w:val="single" w:sz="4" w:space="0" w:color="auto"/>
              <w:right w:val="single" w:sz="4" w:space="0" w:color="auto"/>
            </w:tcBorders>
            <w:shd w:val="clear" w:color="auto" w:fill="auto"/>
            <w:noWrap/>
            <w:vAlign w:val="bottom"/>
            <w:hideMark/>
          </w:tcPr>
          <w:p w14:paraId="5F5A66E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0,7</w:t>
            </w:r>
          </w:p>
        </w:tc>
        <w:tc>
          <w:tcPr>
            <w:tcW w:w="960" w:type="dxa"/>
            <w:tcBorders>
              <w:top w:val="nil"/>
              <w:left w:val="nil"/>
              <w:bottom w:val="single" w:sz="4" w:space="0" w:color="auto"/>
              <w:right w:val="single" w:sz="4" w:space="0" w:color="auto"/>
            </w:tcBorders>
            <w:shd w:val="clear" w:color="auto" w:fill="auto"/>
            <w:noWrap/>
            <w:vAlign w:val="bottom"/>
            <w:hideMark/>
          </w:tcPr>
          <w:p w14:paraId="2A2B52C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-328,9</w:t>
            </w:r>
          </w:p>
        </w:tc>
        <w:tc>
          <w:tcPr>
            <w:tcW w:w="960" w:type="dxa"/>
            <w:tcBorders>
              <w:top w:val="nil"/>
              <w:left w:val="nil"/>
              <w:bottom w:val="single" w:sz="4" w:space="0" w:color="auto"/>
              <w:right w:val="single" w:sz="4" w:space="0" w:color="auto"/>
            </w:tcBorders>
            <w:shd w:val="clear" w:color="auto" w:fill="auto"/>
            <w:noWrap/>
            <w:vAlign w:val="bottom"/>
            <w:hideMark/>
          </w:tcPr>
          <w:p w14:paraId="5B12D35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35,3</w:t>
            </w:r>
          </w:p>
        </w:tc>
        <w:tc>
          <w:tcPr>
            <w:tcW w:w="960" w:type="dxa"/>
            <w:tcBorders>
              <w:top w:val="nil"/>
              <w:left w:val="nil"/>
              <w:bottom w:val="single" w:sz="4" w:space="0" w:color="auto"/>
              <w:right w:val="single" w:sz="4" w:space="0" w:color="auto"/>
            </w:tcBorders>
            <w:shd w:val="clear" w:color="auto" w:fill="auto"/>
            <w:noWrap/>
            <w:vAlign w:val="bottom"/>
            <w:hideMark/>
          </w:tcPr>
          <w:p w14:paraId="7C41810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612,5</w:t>
            </w:r>
          </w:p>
        </w:tc>
        <w:tc>
          <w:tcPr>
            <w:tcW w:w="960" w:type="dxa"/>
            <w:tcBorders>
              <w:top w:val="nil"/>
              <w:left w:val="nil"/>
              <w:bottom w:val="single" w:sz="4" w:space="0" w:color="auto"/>
              <w:right w:val="single" w:sz="4" w:space="0" w:color="auto"/>
            </w:tcBorders>
            <w:shd w:val="clear" w:color="auto" w:fill="auto"/>
            <w:noWrap/>
            <w:vAlign w:val="bottom"/>
            <w:hideMark/>
          </w:tcPr>
          <w:p w14:paraId="7800932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-9,9</w:t>
            </w:r>
          </w:p>
        </w:tc>
        <w:tc>
          <w:tcPr>
            <w:tcW w:w="960" w:type="dxa"/>
            <w:tcBorders>
              <w:top w:val="nil"/>
              <w:left w:val="nil"/>
              <w:bottom w:val="single" w:sz="4" w:space="0" w:color="auto"/>
              <w:right w:val="single" w:sz="4" w:space="0" w:color="auto"/>
            </w:tcBorders>
            <w:shd w:val="clear" w:color="auto" w:fill="auto"/>
            <w:noWrap/>
            <w:vAlign w:val="bottom"/>
            <w:hideMark/>
          </w:tcPr>
          <w:p w14:paraId="491A51A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w:t>
            </w:r>
          </w:p>
        </w:tc>
        <w:tc>
          <w:tcPr>
            <w:tcW w:w="960" w:type="dxa"/>
            <w:tcBorders>
              <w:top w:val="nil"/>
              <w:left w:val="nil"/>
              <w:bottom w:val="single" w:sz="4" w:space="0" w:color="auto"/>
              <w:right w:val="single" w:sz="4" w:space="0" w:color="auto"/>
            </w:tcBorders>
            <w:shd w:val="clear" w:color="auto" w:fill="auto"/>
            <w:noWrap/>
            <w:vAlign w:val="bottom"/>
            <w:hideMark/>
          </w:tcPr>
          <w:p w14:paraId="11BB51B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15,4</w:t>
            </w:r>
          </w:p>
        </w:tc>
      </w:tr>
      <w:tr w:rsidR="00394D01" w:rsidRPr="00363CFA" w14:paraId="57770DFE"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828BD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337</w:t>
            </w:r>
          </w:p>
        </w:tc>
        <w:tc>
          <w:tcPr>
            <w:tcW w:w="3020" w:type="dxa"/>
            <w:tcBorders>
              <w:top w:val="nil"/>
              <w:left w:val="nil"/>
              <w:bottom w:val="single" w:sz="8" w:space="0" w:color="auto"/>
              <w:right w:val="single" w:sz="8" w:space="0" w:color="auto"/>
            </w:tcBorders>
            <w:shd w:val="clear" w:color="auto" w:fill="auto"/>
            <w:vAlign w:val="center"/>
            <w:hideMark/>
          </w:tcPr>
          <w:p w14:paraId="363ADA7F"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Materiale de construc</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ADD007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1.999,4</w:t>
            </w:r>
          </w:p>
        </w:tc>
        <w:tc>
          <w:tcPr>
            <w:tcW w:w="1100" w:type="dxa"/>
            <w:tcBorders>
              <w:top w:val="nil"/>
              <w:left w:val="nil"/>
              <w:bottom w:val="single" w:sz="4" w:space="0" w:color="auto"/>
              <w:right w:val="single" w:sz="4" w:space="0" w:color="auto"/>
            </w:tcBorders>
            <w:shd w:val="clear" w:color="auto" w:fill="auto"/>
            <w:noWrap/>
            <w:vAlign w:val="bottom"/>
            <w:hideMark/>
          </w:tcPr>
          <w:p w14:paraId="5B68D11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2.286,0</w:t>
            </w:r>
          </w:p>
        </w:tc>
        <w:tc>
          <w:tcPr>
            <w:tcW w:w="1100" w:type="dxa"/>
            <w:tcBorders>
              <w:top w:val="nil"/>
              <w:left w:val="nil"/>
              <w:bottom w:val="single" w:sz="4" w:space="0" w:color="auto"/>
              <w:right w:val="single" w:sz="4" w:space="0" w:color="auto"/>
            </w:tcBorders>
            <w:shd w:val="clear" w:color="auto" w:fill="auto"/>
            <w:noWrap/>
            <w:vAlign w:val="bottom"/>
            <w:hideMark/>
          </w:tcPr>
          <w:p w14:paraId="5F2B429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2.323,3</w:t>
            </w:r>
          </w:p>
        </w:tc>
        <w:tc>
          <w:tcPr>
            <w:tcW w:w="1100" w:type="dxa"/>
            <w:tcBorders>
              <w:top w:val="nil"/>
              <w:left w:val="nil"/>
              <w:bottom w:val="single" w:sz="4" w:space="0" w:color="auto"/>
              <w:right w:val="single" w:sz="4" w:space="0" w:color="auto"/>
            </w:tcBorders>
            <w:shd w:val="clear" w:color="auto" w:fill="auto"/>
            <w:noWrap/>
            <w:vAlign w:val="bottom"/>
            <w:hideMark/>
          </w:tcPr>
          <w:p w14:paraId="19A67AC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2.425,8</w:t>
            </w:r>
          </w:p>
        </w:tc>
        <w:tc>
          <w:tcPr>
            <w:tcW w:w="880" w:type="dxa"/>
            <w:tcBorders>
              <w:top w:val="nil"/>
              <w:left w:val="nil"/>
              <w:bottom w:val="single" w:sz="4" w:space="0" w:color="auto"/>
              <w:right w:val="single" w:sz="4" w:space="0" w:color="auto"/>
            </w:tcBorders>
            <w:shd w:val="clear" w:color="auto" w:fill="auto"/>
            <w:noWrap/>
            <w:vAlign w:val="bottom"/>
            <w:hideMark/>
          </w:tcPr>
          <w:p w14:paraId="22C077D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0,4</w:t>
            </w:r>
          </w:p>
        </w:tc>
        <w:tc>
          <w:tcPr>
            <w:tcW w:w="960" w:type="dxa"/>
            <w:tcBorders>
              <w:top w:val="nil"/>
              <w:left w:val="nil"/>
              <w:bottom w:val="single" w:sz="4" w:space="0" w:color="auto"/>
              <w:right w:val="single" w:sz="4" w:space="0" w:color="auto"/>
            </w:tcBorders>
            <w:shd w:val="clear" w:color="auto" w:fill="auto"/>
            <w:noWrap/>
            <w:vAlign w:val="bottom"/>
            <w:hideMark/>
          </w:tcPr>
          <w:p w14:paraId="4CC317C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286,6</w:t>
            </w:r>
          </w:p>
        </w:tc>
        <w:tc>
          <w:tcPr>
            <w:tcW w:w="960" w:type="dxa"/>
            <w:tcBorders>
              <w:top w:val="nil"/>
              <w:left w:val="nil"/>
              <w:bottom w:val="single" w:sz="4" w:space="0" w:color="auto"/>
              <w:right w:val="single" w:sz="4" w:space="0" w:color="auto"/>
            </w:tcBorders>
            <w:shd w:val="clear" w:color="auto" w:fill="auto"/>
            <w:noWrap/>
            <w:vAlign w:val="bottom"/>
            <w:hideMark/>
          </w:tcPr>
          <w:p w14:paraId="7373F37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37,3</w:t>
            </w:r>
          </w:p>
        </w:tc>
        <w:tc>
          <w:tcPr>
            <w:tcW w:w="960" w:type="dxa"/>
            <w:tcBorders>
              <w:top w:val="nil"/>
              <w:left w:val="nil"/>
              <w:bottom w:val="single" w:sz="4" w:space="0" w:color="auto"/>
              <w:right w:val="single" w:sz="4" w:space="0" w:color="auto"/>
            </w:tcBorders>
            <w:shd w:val="clear" w:color="auto" w:fill="auto"/>
            <w:noWrap/>
            <w:vAlign w:val="bottom"/>
            <w:hideMark/>
          </w:tcPr>
          <w:p w14:paraId="425156E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102,5</w:t>
            </w:r>
          </w:p>
        </w:tc>
        <w:tc>
          <w:tcPr>
            <w:tcW w:w="960" w:type="dxa"/>
            <w:tcBorders>
              <w:top w:val="nil"/>
              <w:left w:val="nil"/>
              <w:bottom w:val="single" w:sz="4" w:space="0" w:color="auto"/>
              <w:right w:val="single" w:sz="4" w:space="0" w:color="auto"/>
            </w:tcBorders>
            <w:shd w:val="clear" w:color="auto" w:fill="auto"/>
            <w:noWrap/>
            <w:vAlign w:val="bottom"/>
            <w:hideMark/>
          </w:tcPr>
          <w:p w14:paraId="457FE13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12,5</w:t>
            </w:r>
          </w:p>
        </w:tc>
        <w:tc>
          <w:tcPr>
            <w:tcW w:w="960" w:type="dxa"/>
            <w:tcBorders>
              <w:top w:val="nil"/>
              <w:left w:val="nil"/>
              <w:bottom w:val="single" w:sz="4" w:space="0" w:color="auto"/>
              <w:right w:val="single" w:sz="4" w:space="0" w:color="auto"/>
            </w:tcBorders>
            <w:shd w:val="clear" w:color="auto" w:fill="auto"/>
            <w:noWrap/>
            <w:vAlign w:val="bottom"/>
            <w:hideMark/>
          </w:tcPr>
          <w:p w14:paraId="55EFDA2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1,6</w:t>
            </w:r>
          </w:p>
        </w:tc>
        <w:tc>
          <w:tcPr>
            <w:tcW w:w="960" w:type="dxa"/>
            <w:tcBorders>
              <w:top w:val="nil"/>
              <w:left w:val="nil"/>
              <w:bottom w:val="single" w:sz="4" w:space="0" w:color="auto"/>
              <w:right w:val="single" w:sz="4" w:space="0" w:color="auto"/>
            </w:tcBorders>
            <w:shd w:val="clear" w:color="auto" w:fill="auto"/>
            <w:noWrap/>
            <w:vAlign w:val="bottom"/>
            <w:hideMark/>
          </w:tcPr>
          <w:p w14:paraId="6D9064C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4,2</w:t>
            </w:r>
          </w:p>
        </w:tc>
      </w:tr>
      <w:tr w:rsidR="00394D01" w:rsidRPr="00363CFA" w14:paraId="3858F9D6"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60B21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338</w:t>
            </w:r>
          </w:p>
        </w:tc>
        <w:tc>
          <w:tcPr>
            <w:tcW w:w="3020" w:type="dxa"/>
            <w:tcBorders>
              <w:top w:val="nil"/>
              <w:left w:val="nil"/>
              <w:bottom w:val="single" w:sz="8" w:space="0" w:color="auto"/>
              <w:right w:val="single" w:sz="8" w:space="0" w:color="auto"/>
            </w:tcBorders>
            <w:shd w:val="clear" w:color="auto" w:fill="auto"/>
            <w:vAlign w:val="center"/>
            <w:hideMark/>
          </w:tcPr>
          <w:p w14:paraId="519D4757"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Accesorii de pat, îmbrăcăminte, încăl</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ăminte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9C6C1C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529,6</w:t>
            </w:r>
          </w:p>
        </w:tc>
        <w:tc>
          <w:tcPr>
            <w:tcW w:w="1100" w:type="dxa"/>
            <w:tcBorders>
              <w:top w:val="nil"/>
              <w:left w:val="nil"/>
              <w:bottom w:val="single" w:sz="4" w:space="0" w:color="auto"/>
              <w:right w:val="single" w:sz="4" w:space="0" w:color="auto"/>
            </w:tcBorders>
            <w:shd w:val="clear" w:color="auto" w:fill="auto"/>
            <w:noWrap/>
            <w:vAlign w:val="bottom"/>
            <w:hideMark/>
          </w:tcPr>
          <w:p w14:paraId="7904BBB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856,0</w:t>
            </w:r>
          </w:p>
        </w:tc>
        <w:tc>
          <w:tcPr>
            <w:tcW w:w="1100" w:type="dxa"/>
            <w:tcBorders>
              <w:top w:val="nil"/>
              <w:left w:val="nil"/>
              <w:bottom w:val="single" w:sz="4" w:space="0" w:color="auto"/>
              <w:right w:val="single" w:sz="4" w:space="0" w:color="auto"/>
            </w:tcBorders>
            <w:shd w:val="clear" w:color="auto" w:fill="auto"/>
            <w:noWrap/>
            <w:vAlign w:val="bottom"/>
            <w:hideMark/>
          </w:tcPr>
          <w:p w14:paraId="45A2662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1.074,4</w:t>
            </w:r>
          </w:p>
        </w:tc>
        <w:tc>
          <w:tcPr>
            <w:tcW w:w="1100" w:type="dxa"/>
            <w:tcBorders>
              <w:top w:val="nil"/>
              <w:left w:val="nil"/>
              <w:bottom w:val="single" w:sz="4" w:space="0" w:color="auto"/>
              <w:right w:val="single" w:sz="4" w:space="0" w:color="auto"/>
            </w:tcBorders>
            <w:shd w:val="clear" w:color="auto" w:fill="auto"/>
            <w:noWrap/>
            <w:vAlign w:val="bottom"/>
            <w:hideMark/>
          </w:tcPr>
          <w:p w14:paraId="02368838"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1.367,8</w:t>
            </w:r>
          </w:p>
        </w:tc>
        <w:tc>
          <w:tcPr>
            <w:tcW w:w="880" w:type="dxa"/>
            <w:tcBorders>
              <w:top w:val="nil"/>
              <w:left w:val="nil"/>
              <w:bottom w:val="single" w:sz="4" w:space="0" w:color="auto"/>
              <w:right w:val="single" w:sz="4" w:space="0" w:color="auto"/>
            </w:tcBorders>
            <w:shd w:val="clear" w:color="auto" w:fill="auto"/>
            <w:noWrap/>
            <w:vAlign w:val="bottom"/>
            <w:hideMark/>
          </w:tcPr>
          <w:p w14:paraId="011484D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0,2</w:t>
            </w:r>
          </w:p>
        </w:tc>
        <w:tc>
          <w:tcPr>
            <w:tcW w:w="960" w:type="dxa"/>
            <w:tcBorders>
              <w:top w:val="nil"/>
              <w:left w:val="nil"/>
              <w:bottom w:val="single" w:sz="4" w:space="0" w:color="auto"/>
              <w:right w:val="single" w:sz="4" w:space="0" w:color="auto"/>
            </w:tcBorders>
            <w:shd w:val="clear" w:color="auto" w:fill="auto"/>
            <w:noWrap/>
            <w:vAlign w:val="bottom"/>
            <w:hideMark/>
          </w:tcPr>
          <w:p w14:paraId="0B39044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326,4</w:t>
            </w:r>
          </w:p>
        </w:tc>
        <w:tc>
          <w:tcPr>
            <w:tcW w:w="960" w:type="dxa"/>
            <w:tcBorders>
              <w:top w:val="nil"/>
              <w:left w:val="nil"/>
              <w:bottom w:val="single" w:sz="4" w:space="0" w:color="auto"/>
              <w:right w:val="single" w:sz="4" w:space="0" w:color="auto"/>
            </w:tcBorders>
            <w:shd w:val="clear" w:color="auto" w:fill="auto"/>
            <w:noWrap/>
            <w:vAlign w:val="bottom"/>
            <w:hideMark/>
          </w:tcPr>
          <w:p w14:paraId="2566C06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218,4</w:t>
            </w:r>
          </w:p>
        </w:tc>
        <w:tc>
          <w:tcPr>
            <w:tcW w:w="960" w:type="dxa"/>
            <w:tcBorders>
              <w:top w:val="nil"/>
              <w:left w:val="nil"/>
              <w:bottom w:val="single" w:sz="4" w:space="0" w:color="auto"/>
              <w:right w:val="single" w:sz="4" w:space="0" w:color="auto"/>
            </w:tcBorders>
            <w:shd w:val="clear" w:color="auto" w:fill="auto"/>
            <w:noWrap/>
            <w:vAlign w:val="bottom"/>
            <w:hideMark/>
          </w:tcPr>
          <w:p w14:paraId="71F1071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293,4</w:t>
            </w:r>
          </w:p>
        </w:tc>
        <w:tc>
          <w:tcPr>
            <w:tcW w:w="960" w:type="dxa"/>
            <w:tcBorders>
              <w:top w:val="nil"/>
              <w:left w:val="nil"/>
              <w:bottom w:val="single" w:sz="4" w:space="0" w:color="auto"/>
              <w:right w:val="single" w:sz="4" w:space="0" w:color="auto"/>
            </w:tcBorders>
            <w:shd w:val="clear" w:color="auto" w:fill="auto"/>
            <w:noWrap/>
            <w:vAlign w:val="bottom"/>
            <w:hideMark/>
          </w:tcPr>
          <w:p w14:paraId="46AA0C8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38,1</w:t>
            </w:r>
          </w:p>
        </w:tc>
        <w:tc>
          <w:tcPr>
            <w:tcW w:w="960" w:type="dxa"/>
            <w:tcBorders>
              <w:top w:val="nil"/>
              <w:left w:val="nil"/>
              <w:bottom w:val="single" w:sz="4" w:space="0" w:color="auto"/>
              <w:right w:val="single" w:sz="4" w:space="0" w:color="auto"/>
            </w:tcBorders>
            <w:shd w:val="clear" w:color="auto" w:fill="auto"/>
            <w:noWrap/>
            <w:vAlign w:val="bottom"/>
            <w:hideMark/>
          </w:tcPr>
          <w:p w14:paraId="04B00ED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20,3</w:t>
            </w:r>
          </w:p>
        </w:tc>
        <w:tc>
          <w:tcPr>
            <w:tcW w:w="960" w:type="dxa"/>
            <w:tcBorders>
              <w:top w:val="nil"/>
              <w:left w:val="nil"/>
              <w:bottom w:val="single" w:sz="4" w:space="0" w:color="auto"/>
              <w:right w:val="single" w:sz="4" w:space="0" w:color="auto"/>
            </w:tcBorders>
            <w:shd w:val="clear" w:color="auto" w:fill="auto"/>
            <w:noWrap/>
            <w:vAlign w:val="bottom"/>
            <w:hideMark/>
          </w:tcPr>
          <w:p w14:paraId="7135CF2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21,5</w:t>
            </w:r>
          </w:p>
        </w:tc>
      </w:tr>
      <w:tr w:rsidR="00394D01" w:rsidRPr="00363CFA" w14:paraId="478DD751"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756B8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339</w:t>
            </w:r>
          </w:p>
        </w:tc>
        <w:tc>
          <w:tcPr>
            <w:tcW w:w="3020" w:type="dxa"/>
            <w:tcBorders>
              <w:top w:val="nil"/>
              <w:left w:val="nil"/>
              <w:bottom w:val="single" w:sz="8" w:space="0" w:color="auto"/>
              <w:right w:val="single" w:sz="8" w:space="0" w:color="auto"/>
            </w:tcBorders>
            <w:shd w:val="clear" w:color="auto" w:fill="auto"/>
            <w:vAlign w:val="center"/>
            <w:hideMark/>
          </w:tcPr>
          <w:p w14:paraId="5BAAB2EB"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Alte materiale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E9EC6E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1.650,4</w:t>
            </w:r>
          </w:p>
        </w:tc>
        <w:tc>
          <w:tcPr>
            <w:tcW w:w="1100" w:type="dxa"/>
            <w:tcBorders>
              <w:top w:val="nil"/>
              <w:left w:val="nil"/>
              <w:bottom w:val="single" w:sz="4" w:space="0" w:color="auto"/>
              <w:right w:val="single" w:sz="4" w:space="0" w:color="auto"/>
            </w:tcBorders>
            <w:shd w:val="clear" w:color="auto" w:fill="auto"/>
            <w:noWrap/>
            <w:vAlign w:val="bottom"/>
            <w:hideMark/>
          </w:tcPr>
          <w:p w14:paraId="6C41441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4.880,6</w:t>
            </w:r>
          </w:p>
        </w:tc>
        <w:tc>
          <w:tcPr>
            <w:tcW w:w="1100" w:type="dxa"/>
            <w:tcBorders>
              <w:top w:val="nil"/>
              <w:left w:val="nil"/>
              <w:bottom w:val="single" w:sz="4" w:space="0" w:color="auto"/>
              <w:right w:val="single" w:sz="4" w:space="0" w:color="auto"/>
            </w:tcBorders>
            <w:shd w:val="clear" w:color="auto" w:fill="auto"/>
            <w:noWrap/>
            <w:vAlign w:val="bottom"/>
            <w:hideMark/>
          </w:tcPr>
          <w:p w14:paraId="1EDEEF38"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5.820,0</w:t>
            </w:r>
          </w:p>
        </w:tc>
        <w:tc>
          <w:tcPr>
            <w:tcW w:w="1100" w:type="dxa"/>
            <w:tcBorders>
              <w:top w:val="nil"/>
              <w:left w:val="nil"/>
              <w:bottom w:val="single" w:sz="4" w:space="0" w:color="auto"/>
              <w:right w:val="single" w:sz="4" w:space="0" w:color="auto"/>
            </w:tcBorders>
            <w:shd w:val="clear" w:color="auto" w:fill="auto"/>
            <w:noWrap/>
            <w:vAlign w:val="bottom"/>
            <w:hideMark/>
          </w:tcPr>
          <w:p w14:paraId="698BF35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5.806,5</w:t>
            </w:r>
          </w:p>
        </w:tc>
        <w:tc>
          <w:tcPr>
            <w:tcW w:w="880" w:type="dxa"/>
            <w:tcBorders>
              <w:top w:val="nil"/>
              <w:left w:val="nil"/>
              <w:bottom w:val="single" w:sz="4" w:space="0" w:color="auto"/>
              <w:right w:val="single" w:sz="4" w:space="0" w:color="auto"/>
            </w:tcBorders>
            <w:shd w:val="clear" w:color="auto" w:fill="auto"/>
            <w:noWrap/>
            <w:vAlign w:val="bottom"/>
            <w:hideMark/>
          </w:tcPr>
          <w:p w14:paraId="3903FD3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161D4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3.230,2</w:t>
            </w:r>
          </w:p>
        </w:tc>
        <w:tc>
          <w:tcPr>
            <w:tcW w:w="960" w:type="dxa"/>
            <w:tcBorders>
              <w:top w:val="nil"/>
              <w:left w:val="nil"/>
              <w:bottom w:val="single" w:sz="4" w:space="0" w:color="auto"/>
              <w:right w:val="single" w:sz="4" w:space="0" w:color="auto"/>
            </w:tcBorders>
            <w:shd w:val="clear" w:color="auto" w:fill="auto"/>
            <w:noWrap/>
            <w:vAlign w:val="bottom"/>
            <w:hideMark/>
          </w:tcPr>
          <w:p w14:paraId="106E98D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939,4</w:t>
            </w:r>
          </w:p>
        </w:tc>
        <w:tc>
          <w:tcPr>
            <w:tcW w:w="960" w:type="dxa"/>
            <w:tcBorders>
              <w:top w:val="nil"/>
              <w:left w:val="nil"/>
              <w:bottom w:val="single" w:sz="4" w:space="0" w:color="auto"/>
              <w:right w:val="single" w:sz="4" w:space="0" w:color="auto"/>
            </w:tcBorders>
            <w:shd w:val="clear" w:color="auto" w:fill="auto"/>
            <w:noWrap/>
            <w:vAlign w:val="bottom"/>
            <w:hideMark/>
          </w:tcPr>
          <w:p w14:paraId="7DE96A3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-13,5</w:t>
            </w:r>
          </w:p>
        </w:tc>
        <w:tc>
          <w:tcPr>
            <w:tcW w:w="960" w:type="dxa"/>
            <w:tcBorders>
              <w:top w:val="nil"/>
              <w:left w:val="nil"/>
              <w:bottom w:val="single" w:sz="4" w:space="0" w:color="auto"/>
              <w:right w:val="single" w:sz="4" w:space="0" w:color="auto"/>
            </w:tcBorders>
            <w:shd w:val="clear" w:color="auto" w:fill="auto"/>
            <w:noWrap/>
            <w:vAlign w:val="bottom"/>
            <w:hideMark/>
          </w:tcPr>
          <w:p w14:paraId="7E9C5CC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66,2</w:t>
            </w:r>
          </w:p>
        </w:tc>
        <w:tc>
          <w:tcPr>
            <w:tcW w:w="960" w:type="dxa"/>
            <w:tcBorders>
              <w:top w:val="nil"/>
              <w:left w:val="nil"/>
              <w:bottom w:val="single" w:sz="4" w:space="0" w:color="auto"/>
              <w:right w:val="single" w:sz="4" w:space="0" w:color="auto"/>
            </w:tcBorders>
            <w:shd w:val="clear" w:color="auto" w:fill="auto"/>
            <w:noWrap/>
            <w:vAlign w:val="bottom"/>
            <w:hideMark/>
          </w:tcPr>
          <w:p w14:paraId="4F9F285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16,1</w:t>
            </w:r>
          </w:p>
        </w:tc>
        <w:tc>
          <w:tcPr>
            <w:tcW w:w="960" w:type="dxa"/>
            <w:tcBorders>
              <w:top w:val="nil"/>
              <w:left w:val="nil"/>
              <w:bottom w:val="single" w:sz="4" w:space="0" w:color="auto"/>
              <w:right w:val="single" w:sz="4" w:space="0" w:color="auto"/>
            </w:tcBorders>
            <w:shd w:val="clear" w:color="auto" w:fill="auto"/>
            <w:noWrap/>
            <w:vAlign w:val="bottom"/>
            <w:hideMark/>
          </w:tcPr>
          <w:p w14:paraId="27DC3FF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-0,2</w:t>
            </w:r>
          </w:p>
        </w:tc>
      </w:tr>
      <w:tr w:rsidR="00394D01" w:rsidRPr="00363CFA" w14:paraId="4F07F4AF"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8A254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37</w:t>
            </w:r>
          </w:p>
        </w:tc>
        <w:tc>
          <w:tcPr>
            <w:tcW w:w="3020" w:type="dxa"/>
            <w:tcBorders>
              <w:top w:val="nil"/>
              <w:left w:val="nil"/>
              <w:bottom w:val="single" w:sz="8" w:space="0" w:color="auto"/>
              <w:right w:val="single" w:sz="8" w:space="0" w:color="auto"/>
            </w:tcBorders>
            <w:shd w:val="clear" w:color="auto" w:fill="auto"/>
            <w:vAlign w:val="center"/>
            <w:hideMark/>
          </w:tcPr>
          <w:p w14:paraId="79C5E3DE"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ACTIVE NEPRODUCTIVE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7C3C73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1100" w:type="dxa"/>
            <w:tcBorders>
              <w:top w:val="nil"/>
              <w:left w:val="nil"/>
              <w:bottom w:val="single" w:sz="4" w:space="0" w:color="auto"/>
              <w:right w:val="single" w:sz="4" w:space="0" w:color="auto"/>
            </w:tcBorders>
            <w:shd w:val="clear" w:color="auto" w:fill="auto"/>
            <w:noWrap/>
            <w:vAlign w:val="bottom"/>
            <w:hideMark/>
          </w:tcPr>
          <w:p w14:paraId="6CBF584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27.916,8</w:t>
            </w:r>
          </w:p>
        </w:tc>
        <w:tc>
          <w:tcPr>
            <w:tcW w:w="1100" w:type="dxa"/>
            <w:tcBorders>
              <w:top w:val="nil"/>
              <w:left w:val="nil"/>
              <w:bottom w:val="single" w:sz="4" w:space="0" w:color="auto"/>
              <w:right w:val="single" w:sz="4" w:space="0" w:color="auto"/>
            </w:tcBorders>
            <w:shd w:val="clear" w:color="auto" w:fill="auto"/>
            <w:noWrap/>
            <w:vAlign w:val="bottom"/>
            <w:hideMark/>
          </w:tcPr>
          <w:p w14:paraId="03AABC4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28.102,1</w:t>
            </w:r>
          </w:p>
        </w:tc>
        <w:tc>
          <w:tcPr>
            <w:tcW w:w="1100" w:type="dxa"/>
            <w:tcBorders>
              <w:top w:val="nil"/>
              <w:left w:val="nil"/>
              <w:bottom w:val="single" w:sz="4" w:space="0" w:color="auto"/>
              <w:right w:val="single" w:sz="4" w:space="0" w:color="auto"/>
            </w:tcBorders>
            <w:shd w:val="clear" w:color="auto" w:fill="auto"/>
            <w:noWrap/>
            <w:vAlign w:val="bottom"/>
            <w:hideMark/>
          </w:tcPr>
          <w:p w14:paraId="48063FB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28.102,1</w:t>
            </w:r>
          </w:p>
        </w:tc>
        <w:tc>
          <w:tcPr>
            <w:tcW w:w="880" w:type="dxa"/>
            <w:tcBorders>
              <w:top w:val="nil"/>
              <w:left w:val="nil"/>
              <w:bottom w:val="single" w:sz="4" w:space="0" w:color="auto"/>
              <w:right w:val="single" w:sz="4" w:space="0" w:color="auto"/>
            </w:tcBorders>
            <w:shd w:val="clear" w:color="auto" w:fill="auto"/>
            <w:noWrap/>
            <w:vAlign w:val="bottom"/>
            <w:hideMark/>
          </w:tcPr>
          <w:p w14:paraId="32C751B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4,8</w:t>
            </w:r>
          </w:p>
        </w:tc>
        <w:tc>
          <w:tcPr>
            <w:tcW w:w="960" w:type="dxa"/>
            <w:tcBorders>
              <w:top w:val="nil"/>
              <w:left w:val="nil"/>
              <w:bottom w:val="single" w:sz="4" w:space="0" w:color="auto"/>
              <w:right w:val="single" w:sz="4" w:space="0" w:color="auto"/>
            </w:tcBorders>
            <w:shd w:val="clear" w:color="auto" w:fill="auto"/>
            <w:noWrap/>
            <w:vAlign w:val="bottom"/>
            <w:hideMark/>
          </w:tcPr>
          <w:p w14:paraId="23965AC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27.916,8</w:t>
            </w:r>
          </w:p>
        </w:tc>
        <w:tc>
          <w:tcPr>
            <w:tcW w:w="960" w:type="dxa"/>
            <w:tcBorders>
              <w:top w:val="nil"/>
              <w:left w:val="nil"/>
              <w:bottom w:val="single" w:sz="4" w:space="0" w:color="auto"/>
              <w:right w:val="single" w:sz="4" w:space="0" w:color="auto"/>
            </w:tcBorders>
            <w:shd w:val="clear" w:color="auto" w:fill="auto"/>
            <w:noWrap/>
            <w:vAlign w:val="bottom"/>
            <w:hideMark/>
          </w:tcPr>
          <w:p w14:paraId="5A247B5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185,3</w:t>
            </w:r>
          </w:p>
        </w:tc>
        <w:tc>
          <w:tcPr>
            <w:tcW w:w="960" w:type="dxa"/>
            <w:tcBorders>
              <w:top w:val="nil"/>
              <w:left w:val="nil"/>
              <w:bottom w:val="single" w:sz="4" w:space="0" w:color="auto"/>
              <w:right w:val="single" w:sz="4" w:space="0" w:color="auto"/>
            </w:tcBorders>
            <w:shd w:val="clear" w:color="auto" w:fill="auto"/>
            <w:noWrap/>
            <w:vAlign w:val="bottom"/>
            <w:hideMark/>
          </w:tcPr>
          <w:p w14:paraId="449BF77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2E727C8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79204C7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0,7</w:t>
            </w:r>
          </w:p>
        </w:tc>
        <w:tc>
          <w:tcPr>
            <w:tcW w:w="960" w:type="dxa"/>
            <w:tcBorders>
              <w:top w:val="nil"/>
              <w:left w:val="nil"/>
              <w:bottom w:val="single" w:sz="4" w:space="0" w:color="auto"/>
              <w:right w:val="single" w:sz="4" w:space="0" w:color="auto"/>
            </w:tcBorders>
            <w:shd w:val="clear" w:color="auto" w:fill="auto"/>
            <w:noWrap/>
            <w:vAlign w:val="bottom"/>
            <w:hideMark/>
          </w:tcPr>
          <w:p w14:paraId="6723448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r>
      <w:tr w:rsidR="00394D01" w:rsidRPr="00363CFA" w14:paraId="5F914EFD"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42C60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371</w:t>
            </w:r>
          </w:p>
        </w:tc>
        <w:tc>
          <w:tcPr>
            <w:tcW w:w="3020" w:type="dxa"/>
            <w:tcBorders>
              <w:top w:val="nil"/>
              <w:left w:val="nil"/>
              <w:bottom w:val="single" w:sz="8" w:space="0" w:color="auto"/>
              <w:right w:val="single" w:sz="8" w:space="0" w:color="auto"/>
            </w:tcBorders>
            <w:shd w:val="clear" w:color="auto" w:fill="auto"/>
            <w:vAlign w:val="center"/>
            <w:hideMark/>
          </w:tcPr>
          <w:p w14:paraId="3FB3B5F6"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Terenuri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C5879DA"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47981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27.916,8</w:t>
            </w:r>
          </w:p>
        </w:tc>
        <w:tc>
          <w:tcPr>
            <w:tcW w:w="1100" w:type="dxa"/>
            <w:tcBorders>
              <w:top w:val="nil"/>
              <w:left w:val="nil"/>
              <w:bottom w:val="single" w:sz="4" w:space="0" w:color="auto"/>
              <w:right w:val="single" w:sz="4" w:space="0" w:color="auto"/>
            </w:tcBorders>
            <w:shd w:val="clear" w:color="auto" w:fill="auto"/>
            <w:noWrap/>
            <w:vAlign w:val="bottom"/>
            <w:hideMark/>
          </w:tcPr>
          <w:p w14:paraId="6AA2291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28.102,1</w:t>
            </w:r>
          </w:p>
        </w:tc>
        <w:tc>
          <w:tcPr>
            <w:tcW w:w="1100" w:type="dxa"/>
            <w:tcBorders>
              <w:top w:val="nil"/>
              <w:left w:val="nil"/>
              <w:bottom w:val="single" w:sz="4" w:space="0" w:color="auto"/>
              <w:right w:val="single" w:sz="4" w:space="0" w:color="auto"/>
            </w:tcBorders>
            <w:shd w:val="clear" w:color="auto" w:fill="auto"/>
            <w:noWrap/>
            <w:vAlign w:val="bottom"/>
            <w:hideMark/>
          </w:tcPr>
          <w:p w14:paraId="6A0EE118"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28.102,1</w:t>
            </w:r>
          </w:p>
        </w:tc>
        <w:tc>
          <w:tcPr>
            <w:tcW w:w="880" w:type="dxa"/>
            <w:tcBorders>
              <w:top w:val="nil"/>
              <w:left w:val="nil"/>
              <w:bottom w:val="single" w:sz="4" w:space="0" w:color="auto"/>
              <w:right w:val="single" w:sz="4" w:space="0" w:color="auto"/>
            </w:tcBorders>
            <w:shd w:val="clear" w:color="auto" w:fill="auto"/>
            <w:noWrap/>
            <w:vAlign w:val="bottom"/>
            <w:hideMark/>
          </w:tcPr>
          <w:p w14:paraId="57DE471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4,8</w:t>
            </w:r>
          </w:p>
        </w:tc>
        <w:tc>
          <w:tcPr>
            <w:tcW w:w="960" w:type="dxa"/>
            <w:tcBorders>
              <w:top w:val="nil"/>
              <w:left w:val="nil"/>
              <w:bottom w:val="single" w:sz="4" w:space="0" w:color="auto"/>
              <w:right w:val="single" w:sz="4" w:space="0" w:color="auto"/>
            </w:tcBorders>
            <w:shd w:val="clear" w:color="auto" w:fill="auto"/>
            <w:noWrap/>
            <w:vAlign w:val="bottom"/>
            <w:hideMark/>
          </w:tcPr>
          <w:p w14:paraId="0559EA0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27.916,8</w:t>
            </w:r>
          </w:p>
        </w:tc>
        <w:tc>
          <w:tcPr>
            <w:tcW w:w="960" w:type="dxa"/>
            <w:tcBorders>
              <w:top w:val="nil"/>
              <w:left w:val="nil"/>
              <w:bottom w:val="single" w:sz="4" w:space="0" w:color="auto"/>
              <w:right w:val="single" w:sz="4" w:space="0" w:color="auto"/>
            </w:tcBorders>
            <w:shd w:val="clear" w:color="auto" w:fill="auto"/>
            <w:noWrap/>
            <w:vAlign w:val="bottom"/>
            <w:hideMark/>
          </w:tcPr>
          <w:p w14:paraId="657358D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185,3</w:t>
            </w:r>
          </w:p>
        </w:tc>
        <w:tc>
          <w:tcPr>
            <w:tcW w:w="960" w:type="dxa"/>
            <w:tcBorders>
              <w:top w:val="nil"/>
              <w:left w:val="nil"/>
              <w:bottom w:val="single" w:sz="4" w:space="0" w:color="auto"/>
              <w:right w:val="single" w:sz="4" w:space="0" w:color="auto"/>
            </w:tcBorders>
            <w:shd w:val="clear" w:color="auto" w:fill="auto"/>
            <w:noWrap/>
            <w:vAlign w:val="bottom"/>
            <w:hideMark/>
          </w:tcPr>
          <w:p w14:paraId="1523411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0483D55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509B110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0,7</w:t>
            </w:r>
          </w:p>
        </w:tc>
        <w:tc>
          <w:tcPr>
            <w:tcW w:w="960" w:type="dxa"/>
            <w:tcBorders>
              <w:top w:val="nil"/>
              <w:left w:val="nil"/>
              <w:bottom w:val="single" w:sz="4" w:space="0" w:color="auto"/>
              <w:right w:val="single" w:sz="4" w:space="0" w:color="auto"/>
            </w:tcBorders>
            <w:shd w:val="clear" w:color="auto" w:fill="auto"/>
            <w:noWrap/>
            <w:vAlign w:val="bottom"/>
            <w:hideMark/>
          </w:tcPr>
          <w:p w14:paraId="67E88DB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r>
      <w:tr w:rsidR="00394D01" w:rsidRPr="00363CFA" w14:paraId="4B350910"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9031E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w:t>
            </w:r>
          </w:p>
        </w:tc>
        <w:tc>
          <w:tcPr>
            <w:tcW w:w="3020" w:type="dxa"/>
            <w:tcBorders>
              <w:top w:val="nil"/>
              <w:left w:val="nil"/>
              <w:bottom w:val="single" w:sz="8" w:space="0" w:color="auto"/>
              <w:right w:val="single" w:sz="8" w:space="0" w:color="auto"/>
            </w:tcBorders>
            <w:shd w:val="clear" w:color="auto" w:fill="auto"/>
            <w:vAlign w:val="center"/>
            <w:hideMark/>
          </w:tcPr>
          <w:p w14:paraId="0AD642C8"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ACTIVE FINANCIARE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8CCB56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117.104,5</w:t>
            </w:r>
          </w:p>
        </w:tc>
        <w:tc>
          <w:tcPr>
            <w:tcW w:w="1100" w:type="dxa"/>
            <w:tcBorders>
              <w:top w:val="nil"/>
              <w:left w:val="nil"/>
              <w:bottom w:val="single" w:sz="4" w:space="0" w:color="auto"/>
              <w:right w:val="single" w:sz="4" w:space="0" w:color="auto"/>
            </w:tcBorders>
            <w:shd w:val="clear" w:color="auto" w:fill="auto"/>
            <w:noWrap/>
            <w:vAlign w:val="bottom"/>
            <w:hideMark/>
          </w:tcPr>
          <w:p w14:paraId="40589DA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53.328,0</w:t>
            </w:r>
          </w:p>
        </w:tc>
        <w:tc>
          <w:tcPr>
            <w:tcW w:w="1100" w:type="dxa"/>
            <w:tcBorders>
              <w:top w:val="nil"/>
              <w:left w:val="nil"/>
              <w:bottom w:val="single" w:sz="4" w:space="0" w:color="auto"/>
              <w:right w:val="single" w:sz="4" w:space="0" w:color="auto"/>
            </w:tcBorders>
            <w:shd w:val="clear" w:color="auto" w:fill="auto"/>
            <w:noWrap/>
            <w:vAlign w:val="bottom"/>
            <w:hideMark/>
          </w:tcPr>
          <w:p w14:paraId="22A4794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235.601,0</w:t>
            </w:r>
          </w:p>
        </w:tc>
        <w:tc>
          <w:tcPr>
            <w:tcW w:w="1100" w:type="dxa"/>
            <w:tcBorders>
              <w:top w:val="nil"/>
              <w:left w:val="nil"/>
              <w:bottom w:val="single" w:sz="4" w:space="0" w:color="auto"/>
              <w:right w:val="single" w:sz="4" w:space="0" w:color="auto"/>
            </w:tcBorders>
            <w:shd w:val="clear" w:color="auto" w:fill="auto"/>
            <w:noWrap/>
            <w:vAlign w:val="bottom"/>
            <w:hideMark/>
          </w:tcPr>
          <w:p w14:paraId="1ACCF3A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227.461,1</w:t>
            </w:r>
          </w:p>
        </w:tc>
        <w:tc>
          <w:tcPr>
            <w:tcW w:w="880" w:type="dxa"/>
            <w:tcBorders>
              <w:top w:val="nil"/>
              <w:left w:val="nil"/>
              <w:bottom w:val="single" w:sz="4" w:space="0" w:color="auto"/>
              <w:right w:val="single" w:sz="4" w:space="0" w:color="auto"/>
            </w:tcBorders>
            <w:shd w:val="clear" w:color="auto" w:fill="auto"/>
            <w:noWrap/>
            <w:vAlign w:val="bottom"/>
            <w:hideMark/>
          </w:tcPr>
          <w:p w14:paraId="43AB3DB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38,6</w:t>
            </w:r>
          </w:p>
        </w:tc>
        <w:tc>
          <w:tcPr>
            <w:tcW w:w="960" w:type="dxa"/>
            <w:tcBorders>
              <w:top w:val="nil"/>
              <w:left w:val="nil"/>
              <w:bottom w:val="single" w:sz="4" w:space="0" w:color="auto"/>
              <w:right w:val="single" w:sz="4" w:space="0" w:color="auto"/>
            </w:tcBorders>
            <w:shd w:val="clear" w:color="auto" w:fill="auto"/>
            <w:noWrap/>
            <w:vAlign w:val="bottom"/>
            <w:hideMark/>
          </w:tcPr>
          <w:p w14:paraId="1B6C0B6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-63.776,5</w:t>
            </w:r>
          </w:p>
        </w:tc>
        <w:tc>
          <w:tcPr>
            <w:tcW w:w="960" w:type="dxa"/>
            <w:tcBorders>
              <w:top w:val="nil"/>
              <w:left w:val="nil"/>
              <w:bottom w:val="single" w:sz="4" w:space="0" w:color="auto"/>
              <w:right w:val="single" w:sz="4" w:space="0" w:color="auto"/>
            </w:tcBorders>
            <w:shd w:val="clear" w:color="auto" w:fill="auto"/>
            <w:noWrap/>
            <w:vAlign w:val="bottom"/>
            <w:hideMark/>
          </w:tcPr>
          <w:p w14:paraId="1AFE011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182.273,0</w:t>
            </w:r>
          </w:p>
        </w:tc>
        <w:tc>
          <w:tcPr>
            <w:tcW w:w="960" w:type="dxa"/>
            <w:tcBorders>
              <w:top w:val="nil"/>
              <w:left w:val="nil"/>
              <w:bottom w:val="single" w:sz="4" w:space="0" w:color="auto"/>
              <w:right w:val="single" w:sz="4" w:space="0" w:color="auto"/>
            </w:tcBorders>
            <w:shd w:val="clear" w:color="auto" w:fill="auto"/>
            <w:noWrap/>
            <w:vAlign w:val="bottom"/>
            <w:hideMark/>
          </w:tcPr>
          <w:p w14:paraId="1D7C188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-8.139,9</w:t>
            </w:r>
          </w:p>
        </w:tc>
        <w:tc>
          <w:tcPr>
            <w:tcW w:w="960" w:type="dxa"/>
            <w:tcBorders>
              <w:top w:val="nil"/>
              <w:left w:val="nil"/>
              <w:bottom w:val="single" w:sz="4" w:space="0" w:color="auto"/>
              <w:right w:val="single" w:sz="4" w:space="0" w:color="auto"/>
            </w:tcBorders>
            <w:shd w:val="clear" w:color="auto" w:fill="auto"/>
            <w:noWrap/>
            <w:vAlign w:val="bottom"/>
            <w:hideMark/>
          </w:tcPr>
          <w:p w14:paraId="3CC50E9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-119,6</w:t>
            </w:r>
          </w:p>
        </w:tc>
        <w:tc>
          <w:tcPr>
            <w:tcW w:w="960" w:type="dxa"/>
            <w:tcBorders>
              <w:top w:val="nil"/>
              <w:left w:val="nil"/>
              <w:bottom w:val="single" w:sz="4" w:space="0" w:color="auto"/>
              <w:right w:val="single" w:sz="4" w:space="0" w:color="auto"/>
            </w:tcBorders>
            <w:shd w:val="clear" w:color="auto" w:fill="auto"/>
            <w:noWrap/>
            <w:vAlign w:val="bottom"/>
            <w:hideMark/>
          </w:tcPr>
          <w:p w14:paraId="6ECC944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77,4</w:t>
            </w:r>
          </w:p>
        </w:tc>
        <w:tc>
          <w:tcPr>
            <w:tcW w:w="960" w:type="dxa"/>
            <w:tcBorders>
              <w:top w:val="nil"/>
              <w:left w:val="nil"/>
              <w:bottom w:val="single" w:sz="4" w:space="0" w:color="auto"/>
              <w:right w:val="single" w:sz="4" w:space="0" w:color="auto"/>
            </w:tcBorders>
            <w:shd w:val="clear" w:color="auto" w:fill="auto"/>
            <w:noWrap/>
            <w:vAlign w:val="bottom"/>
            <w:hideMark/>
          </w:tcPr>
          <w:p w14:paraId="3960A20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-3,6</w:t>
            </w:r>
          </w:p>
        </w:tc>
      </w:tr>
      <w:tr w:rsidR="00394D01" w:rsidRPr="00363CFA" w14:paraId="7F6D204D"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A983D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lastRenderedPageBreak/>
              <w:t>41</w:t>
            </w:r>
          </w:p>
        </w:tc>
        <w:tc>
          <w:tcPr>
            <w:tcW w:w="3020" w:type="dxa"/>
            <w:tcBorders>
              <w:top w:val="nil"/>
              <w:left w:val="nil"/>
              <w:bottom w:val="single" w:sz="8" w:space="0" w:color="auto"/>
              <w:right w:val="single" w:sz="8" w:space="0" w:color="auto"/>
            </w:tcBorders>
            <w:shd w:val="clear" w:color="auto" w:fill="auto"/>
            <w:vAlign w:val="center"/>
            <w:hideMark/>
          </w:tcPr>
          <w:p w14:paraId="1E332DC4" w14:textId="1A6164FA"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CRE</w:t>
            </w:r>
            <w:r w:rsidR="00C53A99">
              <w:rPr>
                <w:rFonts w:ascii="Calibri Light" w:eastAsia="Times New Roman" w:hAnsi="Calibri Light" w:cs="Calibri Light"/>
                <w:b/>
                <w:bCs/>
                <w:color w:val="000000"/>
                <w:sz w:val="14"/>
                <w:szCs w:val="14"/>
                <w:lang w:val="ro-MD"/>
              </w:rPr>
              <w:t>A</w:t>
            </w:r>
            <w:r w:rsidRPr="00363CFA">
              <w:rPr>
                <w:rFonts w:ascii="Calibri Light" w:eastAsia="Times New Roman" w:hAnsi="Calibri Light" w:cs="Calibri Light"/>
                <w:b/>
                <w:bCs/>
                <w:color w:val="000000"/>
                <w:sz w:val="14"/>
                <w:szCs w:val="14"/>
                <w:lang w:val="ro-MD"/>
              </w:rPr>
              <w:t>N</w:t>
            </w:r>
            <w:r w:rsidR="0069374B" w:rsidRPr="00363CFA">
              <w:rPr>
                <w:rFonts w:ascii="Calibri Light" w:eastAsia="Times New Roman" w:hAnsi="Calibri Light" w:cs="Calibri Light"/>
                <w:b/>
                <w:bCs/>
                <w:color w:val="000000"/>
                <w:sz w:val="14"/>
                <w:szCs w:val="14"/>
                <w:lang w:val="ro-MD"/>
              </w:rPr>
              <w:t>Ț</w:t>
            </w:r>
            <w:r w:rsidRPr="00363CFA">
              <w:rPr>
                <w:rFonts w:ascii="Calibri Light" w:eastAsia="Times New Roman" w:hAnsi="Calibri Light" w:cs="Calibri Light"/>
                <w:b/>
                <w:bCs/>
                <w:color w:val="000000"/>
                <w:sz w:val="14"/>
                <w:szCs w:val="14"/>
                <w:lang w:val="ro-MD"/>
              </w:rPr>
              <w:t>E INTERNE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C6F723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15.003,0</w:t>
            </w:r>
          </w:p>
        </w:tc>
        <w:tc>
          <w:tcPr>
            <w:tcW w:w="1100" w:type="dxa"/>
            <w:tcBorders>
              <w:top w:val="nil"/>
              <w:left w:val="nil"/>
              <w:bottom w:val="single" w:sz="4" w:space="0" w:color="auto"/>
              <w:right w:val="single" w:sz="4" w:space="0" w:color="auto"/>
            </w:tcBorders>
            <w:shd w:val="clear" w:color="auto" w:fill="auto"/>
            <w:noWrap/>
            <w:vAlign w:val="bottom"/>
            <w:hideMark/>
          </w:tcPr>
          <w:p w14:paraId="4A7CD8A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22.257,4</w:t>
            </w:r>
          </w:p>
        </w:tc>
        <w:tc>
          <w:tcPr>
            <w:tcW w:w="1100" w:type="dxa"/>
            <w:tcBorders>
              <w:top w:val="nil"/>
              <w:left w:val="nil"/>
              <w:bottom w:val="single" w:sz="4" w:space="0" w:color="auto"/>
              <w:right w:val="single" w:sz="4" w:space="0" w:color="auto"/>
            </w:tcBorders>
            <w:shd w:val="clear" w:color="auto" w:fill="auto"/>
            <w:noWrap/>
            <w:vAlign w:val="bottom"/>
            <w:hideMark/>
          </w:tcPr>
          <w:p w14:paraId="328F8AF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218.887,8</w:t>
            </w:r>
          </w:p>
        </w:tc>
        <w:tc>
          <w:tcPr>
            <w:tcW w:w="1100" w:type="dxa"/>
            <w:tcBorders>
              <w:top w:val="nil"/>
              <w:left w:val="nil"/>
              <w:bottom w:val="single" w:sz="4" w:space="0" w:color="auto"/>
              <w:right w:val="single" w:sz="4" w:space="0" w:color="auto"/>
            </w:tcBorders>
            <w:shd w:val="clear" w:color="auto" w:fill="auto"/>
            <w:noWrap/>
            <w:vAlign w:val="bottom"/>
            <w:hideMark/>
          </w:tcPr>
          <w:p w14:paraId="47D387A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219.304,2</w:t>
            </w:r>
          </w:p>
        </w:tc>
        <w:tc>
          <w:tcPr>
            <w:tcW w:w="880" w:type="dxa"/>
            <w:tcBorders>
              <w:top w:val="nil"/>
              <w:left w:val="nil"/>
              <w:bottom w:val="single" w:sz="4" w:space="0" w:color="auto"/>
              <w:right w:val="single" w:sz="4" w:space="0" w:color="auto"/>
            </w:tcBorders>
            <w:shd w:val="clear" w:color="auto" w:fill="auto"/>
            <w:noWrap/>
            <w:vAlign w:val="bottom"/>
            <w:hideMark/>
          </w:tcPr>
          <w:p w14:paraId="19076AD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37,2</w:t>
            </w:r>
          </w:p>
        </w:tc>
        <w:tc>
          <w:tcPr>
            <w:tcW w:w="960" w:type="dxa"/>
            <w:tcBorders>
              <w:top w:val="nil"/>
              <w:left w:val="nil"/>
              <w:bottom w:val="single" w:sz="4" w:space="0" w:color="auto"/>
              <w:right w:val="single" w:sz="4" w:space="0" w:color="auto"/>
            </w:tcBorders>
            <w:shd w:val="clear" w:color="auto" w:fill="auto"/>
            <w:noWrap/>
            <w:vAlign w:val="bottom"/>
            <w:hideMark/>
          </w:tcPr>
          <w:p w14:paraId="4C9B29F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7.254,4</w:t>
            </w:r>
          </w:p>
        </w:tc>
        <w:tc>
          <w:tcPr>
            <w:tcW w:w="960" w:type="dxa"/>
            <w:tcBorders>
              <w:top w:val="nil"/>
              <w:left w:val="nil"/>
              <w:bottom w:val="single" w:sz="4" w:space="0" w:color="auto"/>
              <w:right w:val="single" w:sz="4" w:space="0" w:color="auto"/>
            </w:tcBorders>
            <w:shd w:val="clear" w:color="auto" w:fill="auto"/>
            <w:noWrap/>
            <w:vAlign w:val="bottom"/>
            <w:hideMark/>
          </w:tcPr>
          <w:p w14:paraId="77A539A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196.630,4</w:t>
            </w:r>
          </w:p>
        </w:tc>
        <w:tc>
          <w:tcPr>
            <w:tcW w:w="960" w:type="dxa"/>
            <w:tcBorders>
              <w:top w:val="nil"/>
              <w:left w:val="nil"/>
              <w:bottom w:val="single" w:sz="4" w:space="0" w:color="auto"/>
              <w:right w:val="single" w:sz="4" w:space="0" w:color="auto"/>
            </w:tcBorders>
            <w:shd w:val="clear" w:color="auto" w:fill="auto"/>
            <w:noWrap/>
            <w:vAlign w:val="bottom"/>
            <w:hideMark/>
          </w:tcPr>
          <w:p w14:paraId="18A278F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416,4</w:t>
            </w:r>
          </w:p>
        </w:tc>
        <w:tc>
          <w:tcPr>
            <w:tcW w:w="960" w:type="dxa"/>
            <w:tcBorders>
              <w:top w:val="nil"/>
              <w:left w:val="nil"/>
              <w:bottom w:val="single" w:sz="4" w:space="0" w:color="auto"/>
              <w:right w:val="single" w:sz="4" w:space="0" w:color="auto"/>
            </w:tcBorders>
            <w:shd w:val="clear" w:color="auto" w:fill="auto"/>
            <w:noWrap/>
            <w:vAlign w:val="bottom"/>
            <w:hideMark/>
          </w:tcPr>
          <w:p w14:paraId="2C08655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32,6</w:t>
            </w:r>
          </w:p>
        </w:tc>
        <w:tc>
          <w:tcPr>
            <w:tcW w:w="960" w:type="dxa"/>
            <w:tcBorders>
              <w:top w:val="nil"/>
              <w:left w:val="nil"/>
              <w:bottom w:val="single" w:sz="4" w:space="0" w:color="auto"/>
              <w:right w:val="single" w:sz="4" w:space="0" w:color="auto"/>
            </w:tcBorders>
            <w:shd w:val="clear" w:color="auto" w:fill="auto"/>
            <w:noWrap/>
            <w:vAlign w:val="bottom"/>
            <w:hideMark/>
          </w:tcPr>
          <w:p w14:paraId="592495D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89,8</w:t>
            </w:r>
          </w:p>
        </w:tc>
        <w:tc>
          <w:tcPr>
            <w:tcW w:w="960" w:type="dxa"/>
            <w:tcBorders>
              <w:top w:val="nil"/>
              <w:left w:val="nil"/>
              <w:bottom w:val="single" w:sz="4" w:space="0" w:color="auto"/>
              <w:right w:val="single" w:sz="4" w:space="0" w:color="auto"/>
            </w:tcBorders>
            <w:shd w:val="clear" w:color="auto" w:fill="auto"/>
            <w:noWrap/>
            <w:vAlign w:val="bottom"/>
            <w:hideMark/>
          </w:tcPr>
          <w:p w14:paraId="6B9648A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0,2</w:t>
            </w:r>
          </w:p>
        </w:tc>
      </w:tr>
      <w:tr w:rsidR="00394D01" w:rsidRPr="00363CFA" w14:paraId="74C20D23"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7D25A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415</w:t>
            </w:r>
          </w:p>
        </w:tc>
        <w:tc>
          <w:tcPr>
            <w:tcW w:w="3020" w:type="dxa"/>
            <w:tcBorders>
              <w:top w:val="nil"/>
              <w:left w:val="nil"/>
              <w:bottom w:val="single" w:sz="8" w:space="0" w:color="auto"/>
              <w:right w:val="single" w:sz="8" w:space="0" w:color="auto"/>
            </w:tcBorders>
            <w:shd w:val="clear" w:color="auto" w:fill="auto"/>
            <w:vAlign w:val="center"/>
            <w:hideMark/>
          </w:tcPr>
          <w:p w14:paraId="141B59DB"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Ac</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 xml:space="preserve">iuni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 xml:space="preserve">i alte forme de participare în capital în interiorul </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ării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852F1A2"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0CD43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19.828,2</w:t>
            </w:r>
          </w:p>
        </w:tc>
        <w:tc>
          <w:tcPr>
            <w:tcW w:w="1100" w:type="dxa"/>
            <w:tcBorders>
              <w:top w:val="nil"/>
              <w:left w:val="nil"/>
              <w:bottom w:val="single" w:sz="4" w:space="0" w:color="auto"/>
              <w:right w:val="single" w:sz="4" w:space="0" w:color="auto"/>
            </w:tcBorders>
            <w:shd w:val="clear" w:color="auto" w:fill="auto"/>
            <w:noWrap/>
            <w:vAlign w:val="bottom"/>
            <w:hideMark/>
          </w:tcPr>
          <w:p w14:paraId="0435AE9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215.311,9</w:t>
            </w:r>
          </w:p>
        </w:tc>
        <w:tc>
          <w:tcPr>
            <w:tcW w:w="1100" w:type="dxa"/>
            <w:tcBorders>
              <w:top w:val="nil"/>
              <w:left w:val="nil"/>
              <w:bottom w:val="single" w:sz="4" w:space="0" w:color="auto"/>
              <w:right w:val="single" w:sz="4" w:space="0" w:color="auto"/>
            </w:tcBorders>
            <w:shd w:val="clear" w:color="auto" w:fill="auto"/>
            <w:noWrap/>
            <w:vAlign w:val="bottom"/>
            <w:hideMark/>
          </w:tcPr>
          <w:p w14:paraId="1A77158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215.407,9</w:t>
            </w:r>
          </w:p>
        </w:tc>
        <w:tc>
          <w:tcPr>
            <w:tcW w:w="880" w:type="dxa"/>
            <w:tcBorders>
              <w:top w:val="nil"/>
              <w:left w:val="nil"/>
              <w:bottom w:val="single" w:sz="4" w:space="0" w:color="auto"/>
              <w:right w:val="single" w:sz="4" w:space="0" w:color="auto"/>
            </w:tcBorders>
            <w:shd w:val="clear" w:color="auto" w:fill="auto"/>
            <w:noWrap/>
            <w:vAlign w:val="bottom"/>
            <w:hideMark/>
          </w:tcPr>
          <w:p w14:paraId="65815A2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36,5</w:t>
            </w:r>
          </w:p>
        </w:tc>
        <w:tc>
          <w:tcPr>
            <w:tcW w:w="960" w:type="dxa"/>
            <w:tcBorders>
              <w:top w:val="nil"/>
              <w:left w:val="nil"/>
              <w:bottom w:val="single" w:sz="4" w:space="0" w:color="auto"/>
              <w:right w:val="single" w:sz="4" w:space="0" w:color="auto"/>
            </w:tcBorders>
            <w:shd w:val="clear" w:color="auto" w:fill="auto"/>
            <w:noWrap/>
            <w:vAlign w:val="bottom"/>
            <w:hideMark/>
          </w:tcPr>
          <w:p w14:paraId="2E6D0F1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19.828,2</w:t>
            </w:r>
          </w:p>
        </w:tc>
        <w:tc>
          <w:tcPr>
            <w:tcW w:w="960" w:type="dxa"/>
            <w:tcBorders>
              <w:top w:val="nil"/>
              <w:left w:val="nil"/>
              <w:bottom w:val="single" w:sz="4" w:space="0" w:color="auto"/>
              <w:right w:val="single" w:sz="4" w:space="0" w:color="auto"/>
            </w:tcBorders>
            <w:shd w:val="clear" w:color="auto" w:fill="auto"/>
            <w:noWrap/>
            <w:vAlign w:val="bottom"/>
            <w:hideMark/>
          </w:tcPr>
          <w:p w14:paraId="28E7EB2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195.483,7</w:t>
            </w:r>
          </w:p>
        </w:tc>
        <w:tc>
          <w:tcPr>
            <w:tcW w:w="960" w:type="dxa"/>
            <w:tcBorders>
              <w:top w:val="nil"/>
              <w:left w:val="nil"/>
              <w:bottom w:val="single" w:sz="4" w:space="0" w:color="auto"/>
              <w:right w:val="single" w:sz="4" w:space="0" w:color="auto"/>
            </w:tcBorders>
            <w:shd w:val="clear" w:color="auto" w:fill="auto"/>
            <w:noWrap/>
            <w:vAlign w:val="bottom"/>
            <w:hideMark/>
          </w:tcPr>
          <w:p w14:paraId="6434E0D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96,0</w:t>
            </w:r>
          </w:p>
        </w:tc>
        <w:tc>
          <w:tcPr>
            <w:tcW w:w="960" w:type="dxa"/>
            <w:tcBorders>
              <w:top w:val="nil"/>
              <w:left w:val="nil"/>
              <w:bottom w:val="single" w:sz="4" w:space="0" w:color="auto"/>
              <w:right w:val="single" w:sz="4" w:space="0" w:color="auto"/>
            </w:tcBorders>
            <w:shd w:val="clear" w:color="auto" w:fill="auto"/>
            <w:noWrap/>
            <w:vAlign w:val="bottom"/>
            <w:hideMark/>
          </w:tcPr>
          <w:p w14:paraId="5BA1FE8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70AF69B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90,8</w:t>
            </w:r>
          </w:p>
        </w:tc>
        <w:tc>
          <w:tcPr>
            <w:tcW w:w="960" w:type="dxa"/>
            <w:tcBorders>
              <w:top w:val="nil"/>
              <w:left w:val="nil"/>
              <w:bottom w:val="single" w:sz="4" w:space="0" w:color="auto"/>
              <w:right w:val="single" w:sz="4" w:space="0" w:color="auto"/>
            </w:tcBorders>
            <w:shd w:val="clear" w:color="auto" w:fill="auto"/>
            <w:noWrap/>
            <w:vAlign w:val="bottom"/>
            <w:hideMark/>
          </w:tcPr>
          <w:p w14:paraId="1478AE4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r>
      <w:tr w:rsidR="00394D01" w:rsidRPr="00363CFA" w14:paraId="557E64DF"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7EFEE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419</w:t>
            </w:r>
          </w:p>
        </w:tc>
        <w:tc>
          <w:tcPr>
            <w:tcW w:w="3020" w:type="dxa"/>
            <w:tcBorders>
              <w:top w:val="nil"/>
              <w:left w:val="nil"/>
              <w:bottom w:val="single" w:sz="8" w:space="0" w:color="auto"/>
              <w:right w:val="single" w:sz="8" w:space="0" w:color="auto"/>
            </w:tcBorders>
            <w:shd w:val="clear" w:color="auto" w:fill="auto"/>
            <w:vAlign w:val="center"/>
            <w:hideMark/>
          </w:tcPr>
          <w:p w14:paraId="4A051804"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Alte crean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e ale institu</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iilor bugetare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0772B38"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15.003,0</w:t>
            </w:r>
          </w:p>
        </w:tc>
        <w:tc>
          <w:tcPr>
            <w:tcW w:w="1100" w:type="dxa"/>
            <w:tcBorders>
              <w:top w:val="nil"/>
              <w:left w:val="nil"/>
              <w:bottom w:val="single" w:sz="4" w:space="0" w:color="auto"/>
              <w:right w:val="single" w:sz="4" w:space="0" w:color="auto"/>
            </w:tcBorders>
            <w:shd w:val="clear" w:color="auto" w:fill="auto"/>
            <w:noWrap/>
            <w:vAlign w:val="bottom"/>
            <w:hideMark/>
          </w:tcPr>
          <w:p w14:paraId="36C1CE0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2.429,2</w:t>
            </w:r>
          </w:p>
        </w:tc>
        <w:tc>
          <w:tcPr>
            <w:tcW w:w="1100" w:type="dxa"/>
            <w:tcBorders>
              <w:top w:val="nil"/>
              <w:left w:val="nil"/>
              <w:bottom w:val="single" w:sz="4" w:space="0" w:color="auto"/>
              <w:right w:val="single" w:sz="4" w:space="0" w:color="auto"/>
            </w:tcBorders>
            <w:shd w:val="clear" w:color="auto" w:fill="auto"/>
            <w:noWrap/>
            <w:vAlign w:val="bottom"/>
            <w:hideMark/>
          </w:tcPr>
          <w:p w14:paraId="440A7FD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3.575,9</w:t>
            </w:r>
          </w:p>
        </w:tc>
        <w:tc>
          <w:tcPr>
            <w:tcW w:w="1100" w:type="dxa"/>
            <w:tcBorders>
              <w:top w:val="nil"/>
              <w:left w:val="nil"/>
              <w:bottom w:val="single" w:sz="4" w:space="0" w:color="auto"/>
              <w:right w:val="single" w:sz="4" w:space="0" w:color="auto"/>
            </w:tcBorders>
            <w:shd w:val="clear" w:color="auto" w:fill="auto"/>
            <w:noWrap/>
            <w:vAlign w:val="bottom"/>
            <w:hideMark/>
          </w:tcPr>
          <w:p w14:paraId="61D85BD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3.896,3</w:t>
            </w:r>
          </w:p>
        </w:tc>
        <w:tc>
          <w:tcPr>
            <w:tcW w:w="880" w:type="dxa"/>
            <w:tcBorders>
              <w:top w:val="nil"/>
              <w:left w:val="nil"/>
              <w:bottom w:val="single" w:sz="4" w:space="0" w:color="auto"/>
              <w:right w:val="single" w:sz="4" w:space="0" w:color="auto"/>
            </w:tcBorders>
            <w:shd w:val="clear" w:color="auto" w:fill="auto"/>
            <w:noWrap/>
            <w:vAlign w:val="bottom"/>
            <w:hideMark/>
          </w:tcPr>
          <w:p w14:paraId="4448FC8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0,7</w:t>
            </w:r>
          </w:p>
        </w:tc>
        <w:tc>
          <w:tcPr>
            <w:tcW w:w="960" w:type="dxa"/>
            <w:tcBorders>
              <w:top w:val="nil"/>
              <w:left w:val="nil"/>
              <w:bottom w:val="single" w:sz="4" w:space="0" w:color="auto"/>
              <w:right w:val="single" w:sz="4" w:space="0" w:color="auto"/>
            </w:tcBorders>
            <w:shd w:val="clear" w:color="auto" w:fill="auto"/>
            <w:noWrap/>
            <w:vAlign w:val="bottom"/>
            <w:hideMark/>
          </w:tcPr>
          <w:p w14:paraId="3F0DDA8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-12.573,8</w:t>
            </w:r>
          </w:p>
        </w:tc>
        <w:tc>
          <w:tcPr>
            <w:tcW w:w="960" w:type="dxa"/>
            <w:tcBorders>
              <w:top w:val="nil"/>
              <w:left w:val="nil"/>
              <w:bottom w:val="single" w:sz="4" w:space="0" w:color="auto"/>
              <w:right w:val="single" w:sz="4" w:space="0" w:color="auto"/>
            </w:tcBorders>
            <w:shd w:val="clear" w:color="auto" w:fill="auto"/>
            <w:noWrap/>
            <w:vAlign w:val="bottom"/>
            <w:hideMark/>
          </w:tcPr>
          <w:p w14:paraId="1185726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1.146,7</w:t>
            </w:r>
          </w:p>
        </w:tc>
        <w:tc>
          <w:tcPr>
            <w:tcW w:w="960" w:type="dxa"/>
            <w:tcBorders>
              <w:top w:val="nil"/>
              <w:left w:val="nil"/>
              <w:bottom w:val="single" w:sz="4" w:space="0" w:color="auto"/>
              <w:right w:val="single" w:sz="4" w:space="0" w:color="auto"/>
            </w:tcBorders>
            <w:shd w:val="clear" w:color="auto" w:fill="auto"/>
            <w:noWrap/>
            <w:vAlign w:val="bottom"/>
            <w:hideMark/>
          </w:tcPr>
          <w:p w14:paraId="478332A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320,4</w:t>
            </w:r>
          </w:p>
        </w:tc>
        <w:tc>
          <w:tcPr>
            <w:tcW w:w="960" w:type="dxa"/>
            <w:tcBorders>
              <w:top w:val="nil"/>
              <w:left w:val="nil"/>
              <w:bottom w:val="single" w:sz="4" w:space="0" w:color="auto"/>
              <w:right w:val="single" w:sz="4" w:space="0" w:color="auto"/>
            </w:tcBorders>
            <w:shd w:val="clear" w:color="auto" w:fill="auto"/>
            <w:noWrap/>
            <w:vAlign w:val="bottom"/>
            <w:hideMark/>
          </w:tcPr>
          <w:p w14:paraId="0F3A60C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-517,6</w:t>
            </w:r>
          </w:p>
        </w:tc>
        <w:tc>
          <w:tcPr>
            <w:tcW w:w="960" w:type="dxa"/>
            <w:tcBorders>
              <w:top w:val="nil"/>
              <w:left w:val="nil"/>
              <w:bottom w:val="single" w:sz="4" w:space="0" w:color="auto"/>
              <w:right w:val="single" w:sz="4" w:space="0" w:color="auto"/>
            </w:tcBorders>
            <w:shd w:val="clear" w:color="auto" w:fill="auto"/>
            <w:noWrap/>
            <w:vAlign w:val="bottom"/>
            <w:hideMark/>
          </w:tcPr>
          <w:p w14:paraId="4DA033D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32,1</w:t>
            </w:r>
          </w:p>
        </w:tc>
        <w:tc>
          <w:tcPr>
            <w:tcW w:w="960" w:type="dxa"/>
            <w:tcBorders>
              <w:top w:val="nil"/>
              <w:left w:val="nil"/>
              <w:bottom w:val="single" w:sz="4" w:space="0" w:color="auto"/>
              <w:right w:val="single" w:sz="4" w:space="0" w:color="auto"/>
            </w:tcBorders>
            <w:shd w:val="clear" w:color="auto" w:fill="auto"/>
            <w:noWrap/>
            <w:vAlign w:val="bottom"/>
            <w:hideMark/>
          </w:tcPr>
          <w:p w14:paraId="15F0E49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8,2</w:t>
            </w:r>
          </w:p>
        </w:tc>
      </w:tr>
      <w:tr w:rsidR="00394D01" w:rsidRPr="00363CFA" w14:paraId="619D9841"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F0AE0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43</w:t>
            </w:r>
          </w:p>
        </w:tc>
        <w:tc>
          <w:tcPr>
            <w:tcW w:w="3020" w:type="dxa"/>
            <w:tcBorders>
              <w:top w:val="nil"/>
              <w:left w:val="nil"/>
              <w:bottom w:val="single" w:sz="8" w:space="0" w:color="auto"/>
              <w:right w:val="single" w:sz="8" w:space="0" w:color="auto"/>
            </w:tcBorders>
            <w:shd w:val="clear" w:color="auto" w:fill="auto"/>
            <w:vAlign w:val="center"/>
            <w:hideMark/>
          </w:tcPr>
          <w:p w14:paraId="68523044"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MIJLOACE BĂNE</w:t>
            </w:r>
            <w:r w:rsidR="0069374B" w:rsidRPr="00363CFA">
              <w:rPr>
                <w:rFonts w:ascii="Calibri Light" w:eastAsia="Times New Roman" w:hAnsi="Calibri Light" w:cs="Calibri Light"/>
                <w:b/>
                <w:bCs/>
                <w:color w:val="000000"/>
                <w:sz w:val="14"/>
                <w:szCs w:val="14"/>
                <w:lang w:val="ro-MD"/>
              </w:rPr>
              <w:t>Ș</w:t>
            </w:r>
            <w:r w:rsidRPr="00363CFA">
              <w:rPr>
                <w:rFonts w:ascii="Calibri Light" w:eastAsia="Times New Roman" w:hAnsi="Calibri Light" w:cs="Calibri Light"/>
                <w:b/>
                <w:bCs/>
                <w:color w:val="000000"/>
                <w:sz w:val="14"/>
                <w:szCs w:val="14"/>
                <w:lang w:val="ro-MD"/>
              </w:rPr>
              <w:t>TI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412912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102.101,5</w:t>
            </w:r>
          </w:p>
        </w:tc>
        <w:tc>
          <w:tcPr>
            <w:tcW w:w="1100" w:type="dxa"/>
            <w:tcBorders>
              <w:top w:val="nil"/>
              <w:left w:val="nil"/>
              <w:bottom w:val="single" w:sz="4" w:space="0" w:color="auto"/>
              <w:right w:val="single" w:sz="4" w:space="0" w:color="auto"/>
            </w:tcBorders>
            <w:shd w:val="clear" w:color="auto" w:fill="auto"/>
            <w:noWrap/>
            <w:vAlign w:val="bottom"/>
            <w:hideMark/>
          </w:tcPr>
          <w:p w14:paraId="4758111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31.070,6</w:t>
            </w:r>
          </w:p>
        </w:tc>
        <w:tc>
          <w:tcPr>
            <w:tcW w:w="1100" w:type="dxa"/>
            <w:tcBorders>
              <w:top w:val="nil"/>
              <w:left w:val="nil"/>
              <w:bottom w:val="single" w:sz="4" w:space="0" w:color="auto"/>
              <w:right w:val="single" w:sz="4" w:space="0" w:color="auto"/>
            </w:tcBorders>
            <w:shd w:val="clear" w:color="auto" w:fill="auto"/>
            <w:noWrap/>
            <w:vAlign w:val="bottom"/>
            <w:hideMark/>
          </w:tcPr>
          <w:p w14:paraId="18954DF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16.713,2</w:t>
            </w:r>
          </w:p>
        </w:tc>
        <w:tc>
          <w:tcPr>
            <w:tcW w:w="1100" w:type="dxa"/>
            <w:tcBorders>
              <w:top w:val="nil"/>
              <w:left w:val="nil"/>
              <w:bottom w:val="single" w:sz="4" w:space="0" w:color="auto"/>
              <w:right w:val="single" w:sz="4" w:space="0" w:color="auto"/>
            </w:tcBorders>
            <w:shd w:val="clear" w:color="auto" w:fill="auto"/>
            <w:noWrap/>
            <w:vAlign w:val="bottom"/>
            <w:hideMark/>
          </w:tcPr>
          <w:p w14:paraId="32DDD58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8.156,9</w:t>
            </w:r>
          </w:p>
        </w:tc>
        <w:tc>
          <w:tcPr>
            <w:tcW w:w="880" w:type="dxa"/>
            <w:tcBorders>
              <w:top w:val="nil"/>
              <w:left w:val="nil"/>
              <w:bottom w:val="single" w:sz="4" w:space="0" w:color="auto"/>
              <w:right w:val="single" w:sz="4" w:space="0" w:color="auto"/>
            </w:tcBorders>
            <w:shd w:val="clear" w:color="auto" w:fill="auto"/>
            <w:noWrap/>
            <w:vAlign w:val="bottom"/>
            <w:hideMark/>
          </w:tcPr>
          <w:p w14:paraId="0356589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w:t>
            </w:r>
          </w:p>
        </w:tc>
        <w:tc>
          <w:tcPr>
            <w:tcW w:w="960" w:type="dxa"/>
            <w:tcBorders>
              <w:top w:val="nil"/>
              <w:left w:val="nil"/>
              <w:bottom w:val="single" w:sz="4" w:space="0" w:color="auto"/>
              <w:right w:val="single" w:sz="4" w:space="0" w:color="auto"/>
            </w:tcBorders>
            <w:shd w:val="clear" w:color="auto" w:fill="auto"/>
            <w:noWrap/>
            <w:vAlign w:val="bottom"/>
            <w:hideMark/>
          </w:tcPr>
          <w:p w14:paraId="2292696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-71.030,9</w:t>
            </w:r>
          </w:p>
        </w:tc>
        <w:tc>
          <w:tcPr>
            <w:tcW w:w="960" w:type="dxa"/>
            <w:tcBorders>
              <w:top w:val="nil"/>
              <w:left w:val="nil"/>
              <w:bottom w:val="single" w:sz="4" w:space="0" w:color="auto"/>
              <w:right w:val="single" w:sz="4" w:space="0" w:color="auto"/>
            </w:tcBorders>
            <w:shd w:val="clear" w:color="auto" w:fill="auto"/>
            <w:noWrap/>
            <w:vAlign w:val="bottom"/>
            <w:hideMark/>
          </w:tcPr>
          <w:p w14:paraId="65E39E7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-14.357,4</w:t>
            </w:r>
          </w:p>
        </w:tc>
        <w:tc>
          <w:tcPr>
            <w:tcW w:w="960" w:type="dxa"/>
            <w:tcBorders>
              <w:top w:val="nil"/>
              <w:left w:val="nil"/>
              <w:bottom w:val="single" w:sz="4" w:space="0" w:color="auto"/>
              <w:right w:val="single" w:sz="4" w:space="0" w:color="auto"/>
            </w:tcBorders>
            <w:shd w:val="clear" w:color="auto" w:fill="auto"/>
            <w:noWrap/>
            <w:vAlign w:val="bottom"/>
            <w:hideMark/>
          </w:tcPr>
          <w:p w14:paraId="68431E9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-8.556,3</w:t>
            </w:r>
          </w:p>
        </w:tc>
        <w:tc>
          <w:tcPr>
            <w:tcW w:w="960" w:type="dxa"/>
            <w:tcBorders>
              <w:top w:val="nil"/>
              <w:left w:val="nil"/>
              <w:bottom w:val="single" w:sz="4" w:space="0" w:color="auto"/>
              <w:right w:val="single" w:sz="4" w:space="0" w:color="auto"/>
            </w:tcBorders>
            <w:shd w:val="clear" w:color="auto" w:fill="auto"/>
            <w:noWrap/>
            <w:vAlign w:val="bottom"/>
            <w:hideMark/>
          </w:tcPr>
          <w:p w14:paraId="71F934C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-228,6</w:t>
            </w:r>
          </w:p>
        </w:tc>
        <w:tc>
          <w:tcPr>
            <w:tcW w:w="960" w:type="dxa"/>
            <w:tcBorders>
              <w:top w:val="nil"/>
              <w:left w:val="nil"/>
              <w:bottom w:val="single" w:sz="4" w:space="0" w:color="auto"/>
              <w:right w:val="single" w:sz="4" w:space="0" w:color="auto"/>
            </w:tcBorders>
            <w:shd w:val="clear" w:color="auto" w:fill="auto"/>
            <w:noWrap/>
            <w:vAlign w:val="bottom"/>
            <w:hideMark/>
          </w:tcPr>
          <w:p w14:paraId="006AEA2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-85,9</w:t>
            </w:r>
          </w:p>
        </w:tc>
        <w:tc>
          <w:tcPr>
            <w:tcW w:w="960" w:type="dxa"/>
            <w:tcBorders>
              <w:top w:val="nil"/>
              <w:left w:val="nil"/>
              <w:bottom w:val="single" w:sz="4" w:space="0" w:color="auto"/>
              <w:right w:val="single" w:sz="4" w:space="0" w:color="auto"/>
            </w:tcBorders>
            <w:shd w:val="clear" w:color="auto" w:fill="auto"/>
            <w:noWrap/>
            <w:vAlign w:val="bottom"/>
            <w:hideMark/>
          </w:tcPr>
          <w:p w14:paraId="20A47EB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-104,9</w:t>
            </w:r>
          </w:p>
        </w:tc>
      </w:tr>
      <w:tr w:rsidR="00394D01" w:rsidRPr="00363CFA" w14:paraId="43033CA5"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E6EB49"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431</w:t>
            </w:r>
          </w:p>
        </w:tc>
        <w:tc>
          <w:tcPr>
            <w:tcW w:w="3020" w:type="dxa"/>
            <w:tcBorders>
              <w:top w:val="nil"/>
              <w:left w:val="nil"/>
              <w:bottom w:val="single" w:sz="8" w:space="0" w:color="auto"/>
              <w:right w:val="single" w:sz="8" w:space="0" w:color="auto"/>
            </w:tcBorders>
            <w:shd w:val="clear" w:color="auto" w:fill="auto"/>
            <w:vAlign w:val="center"/>
            <w:hideMark/>
          </w:tcPr>
          <w:p w14:paraId="36DD46CE"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Conturi curente în sistemul trezorerial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1F22D4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102.101,2</w:t>
            </w:r>
          </w:p>
        </w:tc>
        <w:tc>
          <w:tcPr>
            <w:tcW w:w="1100" w:type="dxa"/>
            <w:tcBorders>
              <w:top w:val="nil"/>
              <w:left w:val="nil"/>
              <w:bottom w:val="single" w:sz="4" w:space="0" w:color="auto"/>
              <w:right w:val="single" w:sz="4" w:space="0" w:color="auto"/>
            </w:tcBorders>
            <w:shd w:val="clear" w:color="auto" w:fill="auto"/>
            <w:noWrap/>
            <w:vAlign w:val="bottom"/>
            <w:hideMark/>
          </w:tcPr>
          <w:p w14:paraId="22BF812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31.070,3</w:t>
            </w:r>
          </w:p>
        </w:tc>
        <w:tc>
          <w:tcPr>
            <w:tcW w:w="1100" w:type="dxa"/>
            <w:tcBorders>
              <w:top w:val="nil"/>
              <w:left w:val="nil"/>
              <w:bottom w:val="single" w:sz="4" w:space="0" w:color="auto"/>
              <w:right w:val="single" w:sz="4" w:space="0" w:color="auto"/>
            </w:tcBorders>
            <w:shd w:val="clear" w:color="auto" w:fill="auto"/>
            <w:noWrap/>
            <w:vAlign w:val="bottom"/>
            <w:hideMark/>
          </w:tcPr>
          <w:p w14:paraId="27CA0A16"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16.713,0</w:t>
            </w:r>
          </w:p>
        </w:tc>
        <w:tc>
          <w:tcPr>
            <w:tcW w:w="1100" w:type="dxa"/>
            <w:tcBorders>
              <w:top w:val="nil"/>
              <w:left w:val="nil"/>
              <w:bottom w:val="single" w:sz="4" w:space="0" w:color="auto"/>
              <w:right w:val="single" w:sz="4" w:space="0" w:color="auto"/>
            </w:tcBorders>
            <w:shd w:val="clear" w:color="auto" w:fill="auto"/>
            <w:noWrap/>
            <w:vAlign w:val="bottom"/>
            <w:hideMark/>
          </w:tcPr>
          <w:p w14:paraId="0CF1B6D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8.156,7</w:t>
            </w:r>
          </w:p>
        </w:tc>
        <w:tc>
          <w:tcPr>
            <w:tcW w:w="880" w:type="dxa"/>
            <w:tcBorders>
              <w:top w:val="nil"/>
              <w:left w:val="nil"/>
              <w:bottom w:val="single" w:sz="4" w:space="0" w:color="auto"/>
              <w:right w:val="single" w:sz="4" w:space="0" w:color="auto"/>
            </w:tcBorders>
            <w:shd w:val="clear" w:color="auto" w:fill="auto"/>
            <w:noWrap/>
            <w:vAlign w:val="bottom"/>
            <w:hideMark/>
          </w:tcPr>
          <w:p w14:paraId="2FFF856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w:t>
            </w:r>
          </w:p>
        </w:tc>
        <w:tc>
          <w:tcPr>
            <w:tcW w:w="960" w:type="dxa"/>
            <w:tcBorders>
              <w:top w:val="nil"/>
              <w:left w:val="nil"/>
              <w:bottom w:val="single" w:sz="4" w:space="0" w:color="auto"/>
              <w:right w:val="single" w:sz="4" w:space="0" w:color="auto"/>
            </w:tcBorders>
            <w:shd w:val="clear" w:color="auto" w:fill="auto"/>
            <w:noWrap/>
            <w:vAlign w:val="bottom"/>
            <w:hideMark/>
          </w:tcPr>
          <w:p w14:paraId="78ADCEE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-71.030,9</w:t>
            </w:r>
          </w:p>
        </w:tc>
        <w:tc>
          <w:tcPr>
            <w:tcW w:w="960" w:type="dxa"/>
            <w:tcBorders>
              <w:top w:val="nil"/>
              <w:left w:val="nil"/>
              <w:bottom w:val="single" w:sz="4" w:space="0" w:color="auto"/>
              <w:right w:val="single" w:sz="4" w:space="0" w:color="auto"/>
            </w:tcBorders>
            <w:shd w:val="clear" w:color="auto" w:fill="auto"/>
            <w:noWrap/>
            <w:vAlign w:val="bottom"/>
            <w:hideMark/>
          </w:tcPr>
          <w:p w14:paraId="3EE86CB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-14.357,3</w:t>
            </w:r>
          </w:p>
        </w:tc>
        <w:tc>
          <w:tcPr>
            <w:tcW w:w="960" w:type="dxa"/>
            <w:tcBorders>
              <w:top w:val="nil"/>
              <w:left w:val="nil"/>
              <w:bottom w:val="single" w:sz="4" w:space="0" w:color="auto"/>
              <w:right w:val="single" w:sz="4" w:space="0" w:color="auto"/>
            </w:tcBorders>
            <w:shd w:val="clear" w:color="auto" w:fill="auto"/>
            <w:noWrap/>
            <w:vAlign w:val="bottom"/>
            <w:hideMark/>
          </w:tcPr>
          <w:p w14:paraId="75A02DE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-8.556,3</w:t>
            </w:r>
          </w:p>
        </w:tc>
        <w:tc>
          <w:tcPr>
            <w:tcW w:w="960" w:type="dxa"/>
            <w:tcBorders>
              <w:top w:val="nil"/>
              <w:left w:val="nil"/>
              <w:bottom w:val="single" w:sz="4" w:space="0" w:color="auto"/>
              <w:right w:val="single" w:sz="4" w:space="0" w:color="auto"/>
            </w:tcBorders>
            <w:shd w:val="clear" w:color="auto" w:fill="auto"/>
            <w:noWrap/>
            <w:vAlign w:val="bottom"/>
            <w:hideMark/>
          </w:tcPr>
          <w:p w14:paraId="1D0DED4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-228,6</w:t>
            </w:r>
          </w:p>
        </w:tc>
        <w:tc>
          <w:tcPr>
            <w:tcW w:w="960" w:type="dxa"/>
            <w:tcBorders>
              <w:top w:val="nil"/>
              <w:left w:val="nil"/>
              <w:bottom w:val="single" w:sz="4" w:space="0" w:color="auto"/>
              <w:right w:val="single" w:sz="4" w:space="0" w:color="auto"/>
            </w:tcBorders>
            <w:shd w:val="clear" w:color="auto" w:fill="auto"/>
            <w:noWrap/>
            <w:vAlign w:val="bottom"/>
            <w:hideMark/>
          </w:tcPr>
          <w:p w14:paraId="3A55A2E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-85,9</w:t>
            </w:r>
          </w:p>
        </w:tc>
        <w:tc>
          <w:tcPr>
            <w:tcW w:w="960" w:type="dxa"/>
            <w:tcBorders>
              <w:top w:val="nil"/>
              <w:left w:val="nil"/>
              <w:bottom w:val="single" w:sz="4" w:space="0" w:color="auto"/>
              <w:right w:val="single" w:sz="4" w:space="0" w:color="auto"/>
            </w:tcBorders>
            <w:shd w:val="clear" w:color="auto" w:fill="auto"/>
            <w:noWrap/>
            <w:vAlign w:val="bottom"/>
            <w:hideMark/>
          </w:tcPr>
          <w:p w14:paraId="0256478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-104,9</w:t>
            </w:r>
          </w:p>
        </w:tc>
      </w:tr>
      <w:tr w:rsidR="00394D01" w:rsidRPr="00363CFA" w14:paraId="39EE1989"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3A52A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439</w:t>
            </w:r>
          </w:p>
        </w:tc>
        <w:tc>
          <w:tcPr>
            <w:tcW w:w="3020" w:type="dxa"/>
            <w:tcBorders>
              <w:top w:val="nil"/>
              <w:left w:val="nil"/>
              <w:bottom w:val="single" w:sz="8" w:space="0" w:color="auto"/>
              <w:right w:val="single" w:sz="8" w:space="0" w:color="auto"/>
            </w:tcBorders>
            <w:shd w:val="clear" w:color="auto" w:fill="auto"/>
            <w:vAlign w:val="center"/>
            <w:hideMark/>
          </w:tcPr>
          <w:p w14:paraId="4E825AF6"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 xml:space="preserve">Alte valori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mijloace băne</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ti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9E87E7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0,3</w:t>
            </w:r>
          </w:p>
        </w:tc>
        <w:tc>
          <w:tcPr>
            <w:tcW w:w="1100" w:type="dxa"/>
            <w:tcBorders>
              <w:top w:val="nil"/>
              <w:left w:val="nil"/>
              <w:bottom w:val="single" w:sz="4" w:space="0" w:color="auto"/>
              <w:right w:val="single" w:sz="4" w:space="0" w:color="auto"/>
            </w:tcBorders>
            <w:shd w:val="clear" w:color="auto" w:fill="auto"/>
            <w:noWrap/>
            <w:vAlign w:val="bottom"/>
            <w:hideMark/>
          </w:tcPr>
          <w:p w14:paraId="6749433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0,3</w:t>
            </w:r>
          </w:p>
        </w:tc>
        <w:tc>
          <w:tcPr>
            <w:tcW w:w="1100" w:type="dxa"/>
            <w:tcBorders>
              <w:top w:val="nil"/>
              <w:left w:val="nil"/>
              <w:bottom w:val="single" w:sz="4" w:space="0" w:color="auto"/>
              <w:right w:val="single" w:sz="4" w:space="0" w:color="auto"/>
            </w:tcBorders>
            <w:shd w:val="clear" w:color="auto" w:fill="auto"/>
            <w:noWrap/>
            <w:vAlign w:val="bottom"/>
            <w:hideMark/>
          </w:tcPr>
          <w:p w14:paraId="00A3C19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0,2</w:t>
            </w:r>
          </w:p>
        </w:tc>
        <w:tc>
          <w:tcPr>
            <w:tcW w:w="1100" w:type="dxa"/>
            <w:tcBorders>
              <w:top w:val="nil"/>
              <w:left w:val="nil"/>
              <w:bottom w:val="single" w:sz="4" w:space="0" w:color="auto"/>
              <w:right w:val="single" w:sz="4" w:space="0" w:color="auto"/>
            </w:tcBorders>
            <w:shd w:val="clear" w:color="auto" w:fill="auto"/>
            <w:noWrap/>
            <w:vAlign w:val="bottom"/>
            <w:hideMark/>
          </w:tcPr>
          <w:p w14:paraId="25466AF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0,2</w:t>
            </w:r>
          </w:p>
        </w:tc>
        <w:tc>
          <w:tcPr>
            <w:tcW w:w="880" w:type="dxa"/>
            <w:tcBorders>
              <w:top w:val="nil"/>
              <w:left w:val="nil"/>
              <w:bottom w:val="single" w:sz="4" w:space="0" w:color="auto"/>
              <w:right w:val="single" w:sz="4" w:space="0" w:color="auto"/>
            </w:tcBorders>
            <w:shd w:val="clear" w:color="auto" w:fill="auto"/>
            <w:noWrap/>
            <w:vAlign w:val="bottom"/>
            <w:hideMark/>
          </w:tcPr>
          <w:p w14:paraId="1982468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35D92C6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6789752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-0,1</w:t>
            </w:r>
          </w:p>
        </w:tc>
        <w:tc>
          <w:tcPr>
            <w:tcW w:w="960" w:type="dxa"/>
            <w:tcBorders>
              <w:top w:val="nil"/>
              <w:left w:val="nil"/>
              <w:bottom w:val="single" w:sz="4" w:space="0" w:color="auto"/>
              <w:right w:val="single" w:sz="4" w:space="0" w:color="auto"/>
            </w:tcBorders>
            <w:shd w:val="clear" w:color="auto" w:fill="auto"/>
            <w:noWrap/>
            <w:vAlign w:val="bottom"/>
            <w:hideMark/>
          </w:tcPr>
          <w:p w14:paraId="1F6103F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67E29CB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7BA2B48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-50,0</w:t>
            </w:r>
          </w:p>
        </w:tc>
        <w:tc>
          <w:tcPr>
            <w:tcW w:w="960" w:type="dxa"/>
            <w:tcBorders>
              <w:top w:val="nil"/>
              <w:left w:val="nil"/>
              <w:bottom w:val="single" w:sz="4" w:space="0" w:color="auto"/>
              <w:right w:val="single" w:sz="4" w:space="0" w:color="auto"/>
            </w:tcBorders>
            <w:shd w:val="clear" w:color="auto" w:fill="auto"/>
            <w:noWrap/>
            <w:vAlign w:val="bottom"/>
            <w:hideMark/>
          </w:tcPr>
          <w:p w14:paraId="2BF3902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r>
      <w:tr w:rsidR="00394D01" w:rsidRPr="00363CFA" w14:paraId="32C85EF8"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566FC9"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3020" w:type="dxa"/>
            <w:tcBorders>
              <w:top w:val="nil"/>
              <w:left w:val="nil"/>
              <w:bottom w:val="single" w:sz="8" w:space="0" w:color="auto"/>
              <w:right w:val="single" w:sz="8" w:space="0" w:color="auto"/>
            </w:tcBorders>
            <w:shd w:val="clear" w:color="auto" w:fill="auto"/>
            <w:vAlign w:val="center"/>
            <w:hideMark/>
          </w:tcPr>
          <w:p w14:paraId="550B7C1D"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TOTAL ACTIV (5=2+4)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4A5356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330.663,5</w:t>
            </w:r>
          </w:p>
        </w:tc>
        <w:tc>
          <w:tcPr>
            <w:tcW w:w="1100" w:type="dxa"/>
            <w:tcBorders>
              <w:top w:val="nil"/>
              <w:left w:val="nil"/>
              <w:bottom w:val="single" w:sz="4" w:space="0" w:color="auto"/>
              <w:right w:val="single" w:sz="4" w:space="0" w:color="auto"/>
            </w:tcBorders>
            <w:shd w:val="clear" w:color="auto" w:fill="auto"/>
            <w:noWrap/>
            <w:vAlign w:val="bottom"/>
            <w:hideMark/>
          </w:tcPr>
          <w:p w14:paraId="40FDCA1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315.451,0</w:t>
            </w:r>
          </w:p>
        </w:tc>
        <w:tc>
          <w:tcPr>
            <w:tcW w:w="1100" w:type="dxa"/>
            <w:tcBorders>
              <w:top w:val="nil"/>
              <w:left w:val="nil"/>
              <w:bottom w:val="single" w:sz="4" w:space="0" w:color="auto"/>
              <w:right w:val="single" w:sz="4" w:space="0" w:color="auto"/>
            </w:tcBorders>
            <w:shd w:val="clear" w:color="auto" w:fill="auto"/>
            <w:noWrap/>
            <w:vAlign w:val="bottom"/>
            <w:hideMark/>
          </w:tcPr>
          <w:p w14:paraId="633DC35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565.146,7</w:t>
            </w:r>
          </w:p>
        </w:tc>
        <w:tc>
          <w:tcPr>
            <w:tcW w:w="1100" w:type="dxa"/>
            <w:tcBorders>
              <w:top w:val="nil"/>
              <w:left w:val="nil"/>
              <w:bottom w:val="single" w:sz="4" w:space="0" w:color="auto"/>
              <w:right w:val="single" w:sz="4" w:space="0" w:color="auto"/>
            </w:tcBorders>
            <w:shd w:val="clear" w:color="auto" w:fill="auto"/>
            <w:noWrap/>
            <w:vAlign w:val="bottom"/>
            <w:hideMark/>
          </w:tcPr>
          <w:p w14:paraId="537CDB2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589.501,2</w:t>
            </w:r>
          </w:p>
        </w:tc>
        <w:tc>
          <w:tcPr>
            <w:tcW w:w="880" w:type="dxa"/>
            <w:tcBorders>
              <w:top w:val="nil"/>
              <w:left w:val="nil"/>
              <w:bottom w:val="single" w:sz="4" w:space="0" w:color="auto"/>
              <w:right w:val="single" w:sz="4" w:space="0" w:color="auto"/>
            </w:tcBorders>
            <w:shd w:val="clear" w:color="auto" w:fill="auto"/>
            <w:noWrap/>
            <w:vAlign w:val="bottom"/>
            <w:hideMark/>
          </w:tcPr>
          <w:p w14:paraId="77EFE6C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4975D71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-15.212,5</w:t>
            </w:r>
          </w:p>
        </w:tc>
        <w:tc>
          <w:tcPr>
            <w:tcW w:w="960" w:type="dxa"/>
            <w:tcBorders>
              <w:top w:val="nil"/>
              <w:left w:val="nil"/>
              <w:bottom w:val="single" w:sz="4" w:space="0" w:color="auto"/>
              <w:right w:val="single" w:sz="4" w:space="0" w:color="auto"/>
            </w:tcBorders>
            <w:shd w:val="clear" w:color="auto" w:fill="auto"/>
            <w:noWrap/>
            <w:vAlign w:val="bottom"/>
            <w:hideMark/>
          </w:tcPr>
          <w:p w14:paraId="48CA0D3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249.695,7</w:t>
            </w:r>
          </w:p>
        </w:tc>
        <w:tc>
          <w:tcPr>
            <w:tcW w:w="960" w:type="dxa"/>
            <w:tcBorders>
              <w:top w:val="nil"/>
              <w:left w:val="nil"/>
              <w:bottom w:val="single" w:sz="4" w:space="0" w:color="auto"/>
              <w:right w:val="single" w:sz="4" w:space="0" w:color="auto"/>
            </w:tcBorders>
            <w:shd w:val="clear" w:color="auto" w:fill="auto"/>
            <w:noWrap/>
            <w:vAlign w:val="bottom"/>
            <w:hideMark/>
          </w:tcPr>
          <w:p w14:paraId="0A6A9C4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24.354,5</w:t>
            </w:r>
          </w:p>
        </w:tc>
        <w:tc>
          <w:tcPr>
            <w:tcW w:w="960" w:type="dxa"/>
            <w:tcBorders>
              <w:top w:val="nil"/>
              <w:left w:val="nil"/>
              <w:bottom w:val="single" w:sz="4" w:space="0" w:color="auto"/>
              <w:right w:val="single" w:sz="4" w:space="0" w:color="auto"/>
            </w:tcBorders>
            <w:shd w:val="clear" w:color="auto" w:fill="auto"/>
            <w:noWrap/>
            <w:vAlign w:val="bottom"/>
            <w:hideMark/>
          </w:tcPr>
          <w:p w14:paraId="36F91AD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-4,8</w:t>
            </w:r>
          </w:p>
        </w:tc>
        <w:tc>
          <w:tcPr>
            <w:tcW w:w="960" w:type="dxa"/>
            <w:tcBorders>
              <w:top w:val="nil"/>
              <w:left w:val="nil"/>
              <w:bottom w:val="single" w:sz="4" w:space="0" w:color="auto"/>
              <w:right w:val="single" w:sz="4" w:space="0" w:color="auto"/>
            </w:tcBorders>
            <w:shd w:val="clear" w:color="auto" w:fill="auto"/>
            <w:noWrap/>
            <w:vAlign w:val="bottom"/>
            <w:hideMark/>
          </w:tcPr>
          <w:p w14:paraId="0D8790E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44,2</w:t>
            </w:r>
          </w:p>
        </w:tc>
        <w:tc>
          <w:tcPr>
            <w:tcW w:w="960" w:type="dxa"/>
            <w:tcBorders>
              <w:top w:val="nil"/>
              <w:left w:val="nil"/>
              <w:bottom w:val="single" w:sz="4" w:space="0" w:color="auto"/>
              <w:right w:val="single" w:sz="4" w:space="0" w:color="auto"/>
            </w:tcBorders>
            <w:shd w:val="clear" w:color="auto" w:fill="auto"/>
            <w:noWrap/>
            <w:vAlign w:val="bottom"/>
            <w:hideMark/>
          </w:tcPr>
          <w:p w14:paraId="24CEF63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4,1</w:t>
            </w:r>
          </w:p>
        </w:tc>
      </w:tr>
      <w:tr w:rsidR="00394D01" w:rsidRPr="00363CFA" w14:paraId="3A9B81C3"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F0126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w:t>
            </w:r>
          </w:p>
        </w:tc>
        <w:tc>
          <w:tcPr>
            <w:tcW w:w="3020" w:type="dxa"/>
            <w:tcBorders>
              <w:top w:val="nil"/>
              <w:left w:val="nil"/>
              <w:bottom w:val="single" w:sz="8" w:space="0" w:color="auto"/>
              <w:right w:val="single" w:sz="8" w:space="0" w:color="auto"/>
            </w:tcBorders>
            <w:shd w:val="clear" w:color="auto" w:fill="auto"/>
            <w:vAlign w:val="center"/>
            <w:hideMark/>
          </w:tcPr>
          <w:p w14:paraId="53FEF01A"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DATORII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64E0AD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20.051,3</w:t>
            </w:r>
          </w:p>
        </w:tc>
        <w:tc>
          <w:tcPr>
            <w:tcW w:w="1100" w:type="dxa"/>
            <w:tcBorders>
              <w:top w:val="nil"/>
              <w:left w:val="nil"/>
              <w:bottom w:val="single" w:sz="4" w:space="0" w:color="auto"/>
              <w:right w:val="single" w:sz="4" w:space="0" w:color="auto"/>
            </w:tcBorders>
            <w:shd w:val="clear" w:color="auto" w:fill="auto"/>
            <w:noWrap/>
            <w:vAlign w:val="bottom"/>
            <w:hideMark/>
          </w:tcPr>
          <w:p w14:paraId="2B03659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24.988,4</w:t>
            </w:r>
          </w:p>
        </w:tc>
        <w:tc>
          <w:tcPr>
            <w:tcW w:w="1100" w:type="dxa"/>
            <w:tcBorders>
              <w:top w:val="nil"/>
              <w:left w:val="nil"/>
              <w:bottom w:val="single" w:sz="4" w:space="0" w:color="auto"/>
              <w:right w:val="single" w:sz="4" w:space="0" w:color="auto"/>
            </w:tcBorders>
            <w:shd w:val="clear" w:color="auto" w:fill="auto"/>
            <w:noWrap/>
            <w:vAlign w:val="bottom"/>
            <w:hideMark/>
          </w:tcPr>
          <w:p w14:paraId="3C5D8A1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30.202,6</w:t>
            </w:r>
          </w:p>
        </w:tc>
        <w:tc>
          <w:tcPr>
            <w:tcW w:w="1100" w:type="dxa"/>
            <w:tcBorders>
              <w:top w:val="nil"/>
              <w:left w:val="nil"/>
              <w:bottom w:val="single" w:sz="4" w:space="0" w:color="auto"/>
              <w:right w:val="single" w:sz="4" w:space="0" w:color="auto"/>
            </w:tcBorders>
            <w:shd w:val="clear" w:color="auto" w:fill="auto"/>
            <w:noWrap/>
            <w:vAlign w:val="bottom"/>
            <w:hideMark/>
          </w:tcPr>
          <w:p w14:paraId="6B87FA6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30.643,4</w:t>
            </w:r>
          </w:p>
        </w:tc>
        <w:tc>
          <w:tcPr>
            <w:tcW w:w="880" w:type="dxa"/>
            <w:tcBorders>
              <w:top w:val="nil"/>
              <w:left w:val="nil"/>
              <w:bottom w:val="single" w:sz="4" w:space="0" w:color="auto"/>
              <w:right w:val="single" w:sz="4" w:space="0" w:color="auto"/>
            </w:tcBorders>
            <w:shd w:val="clear" w:color="auto" w:fill="auto"/>
            <w:noWrap/>
            <w:vAlign w:val="bottom"/>
            <w:hideMark/>
          </w:tcPr>
          <w:p w14:paraId="5A9D73D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w:t>
            </w:r>
          </w:p>
        </w:tc>
        <w:tc>
          <w:tcPr>
            <w:tcW w:w="960" w:type="dxa"/>
            <w:tcBorders>
              <w:top w:val="nil"/>
              <w:left w:val="nil"/>
              <w:bottom w:val="single" w:sz="4" w:space="0" w:color="auto"/>
              <w:right w:val="single" w:sz="4" w:space="0" w:color="auto"/>
            </w:tcBorders>
            <w:shd w:val="clear" w:color="auto" w:fill="auto"/>
            <w:noWrap/>
            <w:vAlign w:val="bottom"/>
            <w:hideMark/>
          </w:tcPr>
          <w:p w14:paraId="6572E5A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4.937,1</w:t>
            </w:r>
          </w:p>
        </w:tc>
        <w:tc>
          <w:tcPr>
            <w:tcW w:w="960" w:type="dxa"/>
            <w:tcBorders>
              <w:top w:val="nil"/>
              <w:left w:val="nil"/>
              <w:bottom w:val="single" w:sz="4" w:space="0" w:color="auto"/>
              <w:right w:val="single" w:sz="4" w:space="0" w:color="auto"/>
            </w:tcBorders>
            <w:shd w:val="clear" w:color="auto" w:fill="auto"/>
            <w:noWrap/>
            <w:vAlign w:val="bottom"/>
            <w:hideMark/>
          </w:tcPr>
          <w:p w14:paraId="03E07DD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5.214,2</w:t>
            </w:r>
          </w:p>
        </w:tc>
        <w:tc>
          <w:tcPr>
            <w:tcW w:w="960" w:type="dxa"/>
            <w:tcBorders>
              <w:top w:val="nil"/>
              <w:left w:val="nil"/>
              <w:bottom w:val="single" w:sz="4" w:space="0" w:color="auto"/>
              <w:right w:val="single" w:sz="4" w:space="0" w:color="auto"/>
            </w:tcBorders>
            <w:shd w:val="clear" w:color="auto" w:fill="auto"/>
            <w:noWrap/>
            <w:vAlign w:val="bottom"/>
            <w:hideMark/>
          </w:tcPr>
          <w:p w14:paraId="5647D8C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440,8</w:t>
            </w:r>
          </w:p>
        </w:tc>
        <w:tc>
          <w:tcPr>
            <w:tcW w:w="960" w:type="dxa"/>
            <w:tcBorders>
              <w:top w:val="nil"/>
              <w:left w:val="nil"/>
              <w:bottom w:val="single" w:sz="4" w:space="0" w:color="auto"/>
              <w:right w:val="single" w:sz="4" w:space="0" w:color="auto"/>
            </w:tcBorders>
            <w:shd w:val="clear" w:color="auto" w:fill="auto"/>
            <w:noWrap/>
            <w:vAlign w:val="bottom"/>
            <w:hideMark/>
          </w:tcPr>
          <w:p w14:paraId="1D54FF7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19,8</w:t>
            </w:r>
          </w:p>
        </w:tc>
        <w:tc>
          <w:tcPr>
            <w:tcW w:w="960" w:type="dxa"/>
            <w:tcBorders>
              <w:top w:val="nil"/>
              <w:left w:val="nil"/>
              <w:bottom w:val="single" w:sz="4" w:space="0" w:color="auto"/>
              <w:right w:val="single" w:sz="4" w:space="0" w:color="auto"/>
            </w:tcBorders>
            <w:shd w:val="clear" w:color="auto" w:fill="auto"/>
            <w:noWrap/>
            <w:vAlign w:val="bottom"/>
            <w:hideMark/>
          </w:tcPr>
          <w:p w14:paraId="60D8A37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17,3</w:t>
            </w:r>
          </w:p>
        </w:tc>
        <w:tc>
          <w:tcPr>
            <w:tcW w:w="960" w:type="dxa"/>
            <w:tcBorders>
              <w:top w:val="nil"/>
              <w:left w:val="nil"/>
              <w:bottom w:val="single" w:sz="4" w:space="0" w:color="auto"/>
              <w:right w:val="single" w:sz="4" w:space="0" w:color="auto"/>
            </w:tcBorders>
            <w:shd w:val="clear" w:color="auto" w:fill="auto"/>
            <w:noWrap/>
            <w:vAlign w:val="bottom"/>
            <w:hideMark/>
          </w:tcPr>
          <w:p w14:paraId="7204BB8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w:t>
            </w:r>
          </w:p>
        </w:tc>
      </w:tr>
      <w:tr w:rsidR="00394D01" w:rsidRPr="00363CFA" w14:paraId="0F6D28B7"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CDED9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51</w:t>
            </w:r>
          </w:p>
        </w:tc>
        <w:tc>
          <w:tcPr>
            <w:tcW w:w="3020" w:type="dxa"/>
            <w:tcBorders>
              <w:top w:val="nil"/>
              <w:left w:val="nil"/>
              <w:bottom w:val="single" w:sz="8" w:space="0" w:color="auto"/>
              <w:right w:val="single" w:sz="8" w:space="0" w:color="auto"/>
            </w:tcBorders>
            <w:shd w:val="clear" w:color="auto" w:fill="auto"/>
            <w:vAlign w:val="center"/>
            <w:hideMark/>
          </w:tcPr>
          <w:p w14:paraId="49203B81"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DATORII INTERNE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4979DB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20.051,3</w:t>
            </w:r>
          </w:p>
        </w:tc>
        <w:tc>
          <w:tcPr>
            <w:tcW w:w="1100" w:type="dxa"/>
            <w:tcBorders>
              <w:top w:val="nil"/>
              <w:left w:val="nil"/>
              <w:bottom w:val="single" w:sz="4" w:space="0" w:color="auto"/>
              <w:right w:val="single" w:sz="4" w:space="0" w:color="auto"/>
            </w:tcBorders>
            <w:shd w:val="clear" w:color="auto" w:fill="auto"/>
            <w:noWrap/>
            <w:vAlign w:val="bottom"/>
            <w:hideMark/>
          </w:tcPr>
          <w:p w14:paraId="7789D40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24.988,4</w:t>
            </w:r>
          </w:p>
        </w:tc>
        <w:tc>
          <w:tcPr>
            <w:tcW w:w="1100" w:type="dxa"/>
            <w:tcBorders>
              <w:top w:val="nil"/>
              <w:left w:val="nil"/>
              <w:bottom w:val="single" w:sz="4" w:space="0" w:color="auto"/>
              <w:right w:val="single" w:sz="4" w:space="0" w:color="auto"/>
            </w:tcBorders>
            <w:shd w:val="clear" w:color="auto" w:fill="auto"/>
            <w:noWrap/>
            <w:vAlign w:val="bottom"/>
            <w:hideMark/>
          </w:tcPr>
          <w:p w14:paraId="7D99435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30.202,6</w:t>
            </w:r>
          </w:p>
        </w:tc>
        <w:tc>
          <w:tcPr>
            <w:tcW w:w="1100" w:type="dxa"/>
            <w:tcBorders>
              <w:top w:val="nil"/>
              <w:left w:val="nil"/>
              <w:bottom w:val="single" w:sz="4" w:space="0" w:color="auto"/>
              <w:right w:val="single" w:sz="4" w:space="0" w:color="auto"/>
            </w:tcBorders>
            <w:shd w:val="clear" w:color="auto" w:fill="auto"/>
            <w:noWrap/>
            <w:vAlign w:val="bottom"/>
            <w:hideMark/>
          </w:tcPr>
          <w:p w14:paraId="7BB9AFE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30.643,4</w:t>
            </w:r>
          </w:p>
        </w:tc>
        <w:tc>
          <w:tcPr>
            <w:tcW w:w="880" w:type="dxa"/>
            <w:tcBorders>
              <w:top w:val="nil"/>
              <w:left w:val="nil"/>
              <w:bottom w:val="single" w:sz="4" w:space="0" w:color="auto"/>
              <w:right w:val="single" w:sz="4" w:space="0" w:color="auto"/>
            </w:tcBorders>
            <w:shd w:val="clear" w:color="auto" w:fill="auto"/>
            <w:noWrap/>
            <w:vAlign w:val="bottom"/>
            <w:hideMark/>
          </w:tcPr>
          <w:p w14:paraId="1D9F2E6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w:t>
            </w:r>
          </w:p>
        </w:tc>
        <w:tc>
          <w:tcPr>
            <w:tcW w:w="960" w:type="dxa"/>
            <w:tcBorders>
              <w:top w:val="nil"/>
              <w:left w:val="nil"/>
              <w:bottom w:val="single" w:sz="4" w:space="0" w:color="auto"/>
              <w:right w:val="single" w:sz="4" w:space="0" w:color="auto"/>
            </w:tcBorders>
            <w:shd w:val="clear" w:color="auto" w:fill="auto"/>
            <w:noWrap/>
            <w:vAlign w:val="bottom"/>
            <w:hideMark/>
          </w:tcPr>
          <w:p w14:paraId="7EC30EE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4.937,1</w:t>
            </w:r>
          </w:p>
        </w:tc>
        <w:tc>
          <w:tcPr>
            <w:tcW w:w="960" w:type="dxa"/>
            <w:tcBorders>
              <w:top w:val="nil"/>
              <w:left w:val="nil"/>
              <w:bottom w:val="single" w:sz="4" w:space="0" w:color="auto"/>
              <w:right w:val="single" w:sz="4" w:space="0" w:color="auto"/>
            </w:tcBorders>
            <w:shd w:val="clear" w:color="auto" w:fill="auto"/>
            <w:noWrap/>
            <w:vAlign w:val="bottom"/>
            <w:hideMark/>
          </w:tcPr>
          <w:p w14:paraId="1C1EF78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5.214,2</w:t>
            </w:r>
          </w:p>
        </w:tc>
        <w:tc>
          <w:tcPr>
            <w:tcW w:w="960" w:type="dxa"/>
            <w:tcBorders>
              <w:top w:val="nil"/>
              <w:left w:val="nil"/>
              <w:bottom w:val="single" w:sz="4" w:space="0" w:color="auto"/>
              <w:right w:val="single" w:sz="4" w:space="0" w:color="auto"/>
            </w:tcBorders>
            <w:shd w:val="clear" w:color="auto" w:fill="auto"/>
            <w:noWrap/>
            <w:vAlign w:val="bottom"/>
            <w:hideMark/>
          </w:tcPr>
          <w:p w14:paraId="6B0AC09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440,8</w:t>
            </w:r>
          </w:p>
        </w:tc>
        <w:tc>
          <w:tcPr>
            <w:tcW w:w="960" w:type="dxa"/>
            <w:tcBorders>
              <w:top w:val="nil"/>
              <w:left w:val="nil"/>
              <w:bottom w:val="single" w:sz="4" w:space="0" w:color="auto"/>
              <w:right w:val="single" w:sz="4" w:space="0" w:color="auto"/>
            </w:tcBorders>
            <w:shd w:val="clear" w:color="auto" w:fill="auto"/>
            <w:noWrap/>
            <w:vAlign w:val="bottom"/>
            <w:hideMark/>
          </w:tcPr>
          <w:p w14:paraId="168B7D2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19,8</w:t>
            </w:r>
          </w:p>
        </w:tc>
        <w:tc>
          <w:tcPr>
            <w:tcW w:w="960" w:type="dxa"/>
            <w:tcBorders>
              <w:top w:val="nil"/>
              <w:left w:val="nil"/>
              <w:bottom w:val="single" w:sz="4" w:space="0" w:color="auto"/>
              <w:right w:val="single" w:sz="4" w:space="0" w:color="auto"/>
            </w:tcBorders>
            <w:shd w:val="clear" w:color="auto" w:fill="auto"/>
            <w:noWrap/>
            <w:vAlign w:val="bottom"/>
            <w:hideMark/>
          </w:tcPr>
          <w:p w14:paraId="004D3DC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17,3</w:t>
            </w:r>
          </w:p>
        </w:tc>
        <w:tc>
          <w:tcPr>
            <w:tcW w:w="960" w:type="dxa"/>
            <w:tcBorders>
              <w:top w:val="nil"/>
              <w:left w:val="nil"/>
              <w:bottom w:val="single" w:sz="4" w:space="0" w:color="auto"/>
              <w:right w:val="single" w:sz="4" w:space="0" w:color="auto"/>
            </w:tcBorders>
            <w:shd w:val="clear" w:color="auto" w:fill="auto"/>
            <w:noWrap/>
            <w:vAlign w:val="bottom"/>
            <w:hideMark/>
          </w:tcPr>
          <w:p w14:paraId="2E47B16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w:t>
            </w:r>
          </w:p>
        </w:tc>
      </w:tr>
      <w:tr w:rsidR="00394D01" w:rsidRPr="00363CFA" w14:paraId="71F525C5"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BFBF1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519</w:t>
            </w:r>
          </w:p>
        </w:tc>
        <w:tc>
          <w:tcPr>
            <w:tcW w:w="3020" w:type="dxa"/>
            <w:tcBorders>
              <w:top w:val="nil"/>
              <w:left w:val="nil"/>
              <w:bottom w:val="single" w:sz="8" w:space="0" w:color="auto"/>
              <w:right w:val="single" w:sz="8" w:space="0" w:color="auto"/>
            </w:tcBorders>
            <w:shd w:val="clear" w:color="auto" w:fill="auto"/>
            <w:vAlign w:val="center"/>
            <w:hideMark/>
          </w:tcPr>
          <w:p w14:paraId="7C136BB6" w14:textId="72D267C9"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Alte datorii ale institu</w:t>
            </w:r>
            <w:r w:rsidR="00C53A99">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iilor bugetare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0181D7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20.051,3</w:t>
            </w:r>
          </w:p>
        </w:tc>
        <w:tc>
          <w:tcPr>
            <w:tcW w:w="1100" w:type="dxa"/>
            <w:tcBorders>
              <w:top w:val="nil"/>
              <w:left w:val="nil"/>
              <w:bottom w:val="single" w:sz="4" w:space="0" w:color="auto"/>
              <w:right w:val="single" w:sz="4" w:space="0" w:color="auto"/>
            </w:tcBorders>
            <w:shd w:val="clear" w:color="auto" w:fill="auto"/>
            <w:noWrap/>
            <w:vAlign w:val="bottom"/>
            <w:hideMark/>
          </w:tcPr>
          <w:p w14:paraId="082EBA3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24.988,4</w:t>
            </w:r>
          </w:p>
        </w:tc>
        <w:tc>
          <w:tcPr>
            <w:tcW w:w="1100" w:type="dxa"/>
            <w:tcBorders>
              <w:top w:val="nil"/>
              <w:left w:val="nil"/>
              <w:bottom w:val="single" w:sz="4" w:space="0" w:color="auto"/>
              <w:right w:val="single" w:sz="4" w:space="0" w:color="auto"/>
            </w:tcBorders>
            <w:shd w:val="clear" w:color="auto" w:fill="auto"/>
            <w:noWrap/>
            <w:vAlign w:val="bottom"/>
            <w:hideMark/>
          </w:tcPr>
          <w:p w14:paraId="03A9B57B"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30.202,6</w:t>
            </w:r>
          </w:p>
        </w:tc>
        <w:tc>
          <w:tcPr>
            <w:tcW w:w="1100" w:type="dxa"/>
            <w:tcBorders>
              <w:top w:val="nil"/>
              <w:left w:val="nil"/>
              <w:bottom w:val="single" w:sz="4" w:space="0" w:color="auto"/>
              <w:right w:val="single" w:sz="4" w:space="0" w:color="auto"/>
            </w:tcBorders>
            <w:shd w:val="clear" w:color="auto" w:fill="auto"/>
            <w:noWrap/>
            <w:vAlign w:val="bottom"/>
            <w:hideMark/>
          </w:tcPr>
          <w:p w14:paraId="20A3F4B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30.643,4</w:t>
            </w:r>
          </w:p>
        </w:tc>
        <w:tc>
          <w:tcPr>
            <w:tcW w:w="880" w:type="dxa"/>
            <w:tcBorders>
              <w:top w:val="nil"/>
              <w:left w:val="nil"/>
              <w:bottom w:val="single" w:sz="4" w:space="0" w:color="auto"/>
              <w:right w:val="single" w:sz="4" w:space="0" w:color="auto"/>
            </w:tcBorders>
            <w:shd w:val="clear" w:color="auto" w:fill="auto"/>
            <w:noWrap/>
            <w:vAlign w:val="bottom"/>
            <w:hideMark/>
          </w:tcPr>
          <w:p w14:paraId="4CEF0F4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w:t>
            </w:r>
          </w:p>
        </w:tc>
        <w:tc>
          <w:tcPr>
            <w:tcW w:w="960" w:type="dxa"/>
            <w:tcBorders>
              <w:top w:val="nil"/>
              <w:left w:val="nil"/>
              <w:bottom w:val="single" w:sz="4" w:space="0" w:color="auto"/>
              <w:right w:val="single" w:sz="4" w:space="0" w:color="auto"/>
            </w:tcBorders>
            <w:shd w:val="clear" w:color="auto" w:fill="auto"/>
            <w:noWrap/>
            <w:vAlign w:val="bottom"/>
            <w:hideMark/>
          </w:tcPr>
          <w:p w14:paraId="0A2AF77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4.937,1</w:t>
            </w:r>
          </w:p>
        </w:tc>
        <w:tc>
          <w:tcPr>
            <w:tcW w:w="960" w:type="dxa"/>
            <w:tcBorders>
              <w:top w:val="nil"/>
              <w:left w:val="nil"/>
              <w:bottom w:val="single" w:sz="4" w:space="0" w:color="auto"/>
              <w:right w:val="single" w:sz="4" w:space="0" w:color="auto"/>
            </w:tcBorders>
            <w:shd w:val="clear" w:color="auto" w:fill="auto"/>
            <w:noWrap/>
            <w:vAlign w:val="bottom"/>
            <w:hideMark/>
          </w:tcPr>
          <w:p w14:paraId="2D6502D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5.214,2</w:t>
            </w:r>
          </w:p>
        </w:tc>
        <w:tc>
          <w:tcPr>
            <w:tcW w:w="960" w:type="dxa"/>
            <w:tcBorders>
              <w:top w:val="nil"/>
              <w:left w:val="nil"/>
              <w:bottom w:val="single" w:sz="4" w:space="0" w:color="auto"/>
              <w:right w:val="single" w:sz="4" w:space="0" w:color="auto"/>
            </w:tcBorders>
            <w:shd w:val="clear" w:color="auto" w:fill="auto"/>
            <w:noWrap/>
            <w:vAlign w:val="bottom"/>
            <w:hideMark/>
          </w:tcPr>
          <w:p w14:paraId="172B1E8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440,8</w:t>
            </w:r>
          </w:p>
        </w:tc>
        <w:tc>
          <w:tcPr>
            <w:tcW w:w="960" w:type="dxa"/>
            <w:tcBorders>
              <w:top w:val="nil"/>
              <w:left w:val="nil"/>
              <w:bottom w:val="single" w:sz="4" w:space="0" w:color="auto"/>
              <w:right w:val="single" w:sz="4" w:space="0" w:color="auto"/>
            </w:tcBorders>
            <w:shd w:val="clear" w:color="auto" w:fill="auto"/>
            <w:noWrap/>
            <w:vAlign w:val="bottom"/>
            <w:hideMark/>
          </w:tcPr>
          <w:p w14:paraId="6C3E861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19,8</w:t>
            </w:r>
          </w:p>
        </w:tc>
        <w:tc>
          <w:tcPr>
            <w:tcW w:w="960" w:type="dxa"/>
            <w:tcBorders>
              <w:top w:val="nil"/>
              <w:left w:val="nil"/>
              <w:bottom w:val="single" w:sz="4" w:space="0" w:color="auto"/>
              <w:right w:val="single" w:sz="4" w:space="0" w:color="auto"/>
            </w:tcBorders>
            <w:shd w:val="clear" w:color="auto" w:fill="auto"/>
            <w:noWrap/>
            <w:vAlign w:val="bottom"/>
            <w:hideMark/>
          </w:tcPr>
          <w:p w14:paraId="35AA2B6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17,3</w:t>
            </w:r>
          </w:p>
        </w:tc>
        <w:tc>
          <w:tcPr>
            <w:tcW w:w="960" w:type="dxa"/>
            <w:tcBorders>
              <w:top w:val="nil"/>
              <w:left w:val="nil"/>
              <w:bottom w:val="single" w:sz="4" w:space="0" w:color="auto"/>
              <w:right w:val="single" w:sz="4" w:space="0" w:color="auto"/>
            </w:tcBorders>
            <w:shd w:val="clear" w:color="auto" w:fill="auto"/>
            <w:noWrap/>
            <w:vAlign w:val="bottom"/>
            <w:hideMark/>
          </w:tcPr>
          <w:p w14:paraId="5C4F86D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1,4</w:t>
            </w:r>
          </w:p>
        </w:tc>
      </w:tr>
      <w:tr w:rsidR="00394D01" w:rsidRPr="00363CFA" w14:paraId="01DE9B17"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B6E8D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w:t>
            </w:r>
          </w:p>
        </w:tc>
        <w:tc>
          <w:tcPr>
            <w:tcW w:w="3020" w:type="dxa"/>
            <w:tcBorders>
              <w:top w:val="nil"/>
              <w:left w:val="nil"/>
              <w:bottom w:val="single" w:sz="8" w:space="0" w:color="auto"/>
              <w:right w:val="single" w:sz="8" w:space="0" w:color="auto"/>
            </w:tcBorders>
            <w:shd w:val="clear" w:color="auto" w:fill="auto"/>
            <w:vAlign w:val="center"/>
            <w:hideMark/>
          </w:tcPr>
          <w:p w14:paraId="580F0D5E"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REZULTATE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480AEC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310.612,2</w:t>
            </w:r>
          </w:p>
        </w:tc>
        <w:tc>
          <w:tcPr>
            <w:tcW w:w="1100" w:type="dxa"/>
            <w:tcBorders>
              <w:top w:val="nil"/>
              <w:left w:val="nil"/>
              <w:bottom w:val="single" w:sz="4" w:space="0" w:color="auto"/>
              <w:right w:val="single" w:sz="4" w:space="0" w:color="auto"/>
            </w:tcBorders>
            <w:shd w:val="clear" w:color="auto" w:fill="auto"/>
            <w:noWrap/>
            <w:vAlign w:val="bottom"/>
            <w:hideMark/>
          </w:tcPr>
          <w:p w14:paraId="67BD199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290.462,6</w:t>
            </w:r>
          </w:p>
        </w:tc>
        <w:tc>
          <w:tcPr>
            <w:tcW w:w="1100" w:type="dxa"/>
            <w:tcBorders>
              <w:top w:val="nil"/>
              <w:left w:val="nil"/>
              <w:bottom w:val="single" w:sz="4" w:space="0" w:color="auto"/>
              <w:right w:val="single" w:sz="4" w:space="0" w:color="auto"/>
            </w:tcBorders>
            <w:shd w:val="clear" w:color="auto" w:fill="auto"/>
            <w:noWrap/>
            <w:vAlign w:val="bottom"/>
            <w:hideMark/>
          </w:tcPr>
          <w:p w14:paraId="5C8CDE1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534.944,1</w:t>
            </w:r>
          </w:p>
        </w:tc>
        <w:tc>
          <w:tcPr>
            <w:tcW w:w="1100" w:type="dxa"/>
            <w:tcBorders>
              <w:top w:val="nil"/>
              <w:left w:val="nil"/>
              <w:bottom w:val="single" w:sz="4" w:space="0" w:color="auto"/>
              <w:right w:val="single" w:sz="4" w:space="0" w:color="auto"/>
            </w:tcBorders>
            <w:shd w:val="clear" w:color="auto" w:fill="auto"/>
            <w:noWrap/>
            <w:vAlign w:val="bottom"/>
            <w:hideMark/>
          </w:tcPr>
          <w:p w14:paraId="2331502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558.857,8</w:t>
            </w:r>
          </w:p>
        </w:tc>
        <w:tc>
          <w:tcPr>
            <w:tcW w:w="880" w:type="dxa"/>
            <w:tcBorders>
              <w:top w:val="nil"/>
              <w:left w:val="nil"/>
              <w:bottom w:val="single" w:sz="4" w:space="0" w:color="auto"/>
              <w:right w:val="single" w:sz="4" w:space="0" w:color="auto"/>
            </w:tcBorders>
            <w:shd w:val="clear" w:color="auto" w:fill="auto"/>
            <w:noWrap/>
            <w:vAlign w:val="bottom"/>
            <w:hideMark/>
          </w:tcPr>
          <w:p w14:paraId="35DCD7A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94,8</w:t>
            </w:r>
          </w:p>
        </w:tc>
        <w:tc>
          <w:tcPr>
            <w:tcW w:w="960" w:type="dxa"/>
            <w:tcBorders>
              <w:top w:val="nil"/>
              <w:left w:val="nil"/>
              <w:bottom w:val="single" w:sz="4" w:space="0" w:color="auto"/>
              <w:right w:val="single" w:sz="4" w:space="0" w:color="auto"/>
            </w:tcBorders>
            <w:shd w:val="clear" w:color="auto" w:fill="auto"/>
            <w:noWrap/>
            <w:vAlign w:val="bottom"/>
            <w:hideMark/>
          </w:tcPr>
          <w:p w14:paraId="744A530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-20.149,6</w:t>
            </w:r>
          </w:p>
        </w:tc>
        <w:tc>
          <w:tcPr>
            <w:tcW w:w="960" w:type="dxa"/>
            <w:tcBorders>
              <w:top w:val="nil"/>
              <w:left w:val="nil"/>
              <w:bottom w:val="single" w:sz="4" w:space="0" w:color="auto"/>
              <w:right w:val="single" w:sz="4" w:space="0" w:color="auto"/>
            </w:tcBorders>
            <w:shd w:val="clear" w:color="auto" w:fill="auto"/>
            <w:noWrap/>
            <w:vAlign w:val="bottom"/>
            <w:hideMark/>
          </w:tcPr>
          <w:p w14:paraId="625FE4D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244.481,5</w:t>
            </w:r>
          </w:p>
        </w:tc>
        <w:tc>
          <w:tcPr>
            <w:tcW w:w="960" w:type="dxa"/>
            <w:tcBorders>
              <w:top w:val="nil"/>
              <w:left w:val="nil"/>
              <w:bottom w:val="single" w:sz="4" w:space="0" w:color="auto"/>
              <w:right w:val="single" w:sz="4" w:space="0" w:color="auto"/>
            </w:tcBorders>
            <w:shd w:val="clear" w:color="auto" w:fill="auto"/>
            <w:noWrap/>
            <w:vAlign w:val="bottom"/>
            <w:hideMark/>
          </w:tcPr>
          <w:p w14:paraId="13DB206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23.913,7</w:t>
            </w:r>
          </w:p>
        </w:tc>
        <w:tc>
          <w:tcPr>
            <w:tcW w:w="960" w:type="dxa"/>
            <w:tcBorders>
              <w:top w:val="nil"/>
              <w:left w:val="nil"/>
              <w:bottom w:val="single" w:sz="4" w:space="0" w:color="auto"/>
              <w:right w:val="single" w:sz="4" w:space="0" w:color="auto"/>
            </w:tcBorders>
            <w:shd w:val="clear" w:color="auto" w:fill="auto"/>
            <w:noWrap/>
            <w:vAlign w:val="bottom"/>
            <w:hideMark/>
          </w:tcPr>
          <w:p w14:paraId="587661B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-6,9</w:t>
            </w:r>
          </w:p>
        </w:tc>
        <w:tc>
          <w:tcPr>
            <w:tcW w:w="960" w:type="dxa"/>
            <w:tcBorders>
              <w:top w:val="nil"/>
              <w:left w:val="nil"/>
              <w:bottom w:val="single" w:sz="4" w:space="0" w:color="auto"/>
              <w:right w:val="single" w:sz="4" w:space="0" w:color="auto"/>
            </w:tcBorders>
            <w:shd w:val="clear" w:color="auto" w:fill="auto"/>
            <w:noWrap/>
            <w:vAlign w:val="bottom"/>
            <w:hideMark/>
          </w:tcPr>
          <w:p w14:paraId="508F649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45,7</w:t>
            </w:r>
          </w:p>
        </w:tc>
        <w:tc>
          <w:tcPr>
            <w:tcW w:w="960" w:type="dxa"/>
            <w:tcBorders>
              <w:top w:val="nil"/>
              <w:left w:val="nil"/>
              <w:bottom w:val="single" w:sz="4" w:space="0" w:color="auto"/>
              <w:right w:val="single" w:sz="4" w:space="0" w:color="auto"/>
            </w:tcBorders>
            <w:shd w:val="clear" w:color="auto" w:fill="auto"/>
            <w:noWrap/>
            <w:vAlign w:val="bottom"/>
            <w:hideMark/>
          </w:tcPr>
          <w:p w14:paraId="2813277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4,3</w:t>
            </w:r>
          </w:p>
        </w:tc>
      </w:tr>
      <w:tr w:rsidR="00394D01" w:rsidRPr="00363CFA" w14:paraId="5B8BA226"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F0691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72</w:t>
            </w:r>
          </w:p>
        </w:tc>
        <w:tc>
          <w:tcPr>
            <w:tcW w:w="3020" w:type="dxa"/>
            <w:tcBorders>
              <w:top w:val="nil"/>
              <w:left w:val="nil"/>
              <w:bottom w:val="single" w:sz="8" w:space="0" w:color="auto"/>
              <w:right w:val="single" w:sz="8" w:space="0" w:color="auto"/>
            </w:tcBorders>
            <w:shd w:val="clear" w:color="auto" w:fill="auto"/>
            <w:vAlign w:val="center"/>
            <w:hideMark/>
          </w:tcPr>
          <w:p w14:paraId="48FB955B"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REZULTATUL FINANCIAR AL INSTITU</w:t>
            </w:r>
            <w:r w:rsidR="0069374B" w:rsidRPr="00363CFA">
              <w:rPr>
                <w:rFonts w:ascii="Calibri Light" w:eastAsia="Times New Roman" w:hAnsi="Calibri Light" w:cs="Calibri Light"/>
                <w:b/>
                <w:bCs/>
                <w:color w:val="000000"/>
                <w:sz w:val="14"/>
                <w:szCs w:val="14"/>
                <w:lang w:val="ro-MD"/>
              </w:rPr>
              <w:t>Ț</w:t>
            </w:r>
            <w:r w:rsidRPr="00363CFA">
              <w:rPr>
                <w:rFonts w:ascii="Calibri Light" w:eastAsia="Times New Roman" w:hAnsi="Calibri Light" w:cs="Calibri Light"/>
                <w:b/>
                <w:bCs/>
                <w:color w:val="000000"/>
                <w:sz w:val="14"/>
                <w:szCs w:val="14"/>
                <w:lang w:val="ro-MD"/>
              </w:rPr>
              <w:t>IEI BUGETARE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69DAF4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310.612,2</w:t>
            </w:r>
          </w:p>
        </w:tc>
        <w:tc>
          <w:tcPr>
            <w:tcW w:w="1100" w:type="dxa"/>
            <w:tcBorders>
              <w:top w:val="nil"/>
              <w:left w:val="nil"/>
              <w:bottom w:val="single" w:sz="4" w:space="0" w:color="auto"/>
              <w:right w:val="single" w:sz="4" w:space="0" w:color="auto"/>
            </w:tcBorders>
            <w:shd w:val="clear" w:color="auto" w:fill="auto"/>
            <w:noWrap/>
            <w:vAlign w:val="bottom"/>
            <w:hideMark/>
          </w:tcPr>
          <w:p w14:paraId="1A5A343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290.462,6</w:t>
            </w:r>
          </w:p>
        </w:tc>
        <w:tc>
          <w:tcPr>
            <w:tcW w:w="1100" w:type="dxa"/>
            <w:tcBorders>
              <w:top w:val="nil"/>
              <w:left w:val="nil"/>
              <w:bottom w:val="single" w:sz="4" w:space="0" w:color="auto"/>
              <w:right w:val="single" w:sz="4" w:space="0" w:color="auto"/>
            </w:tcBorders>
            <w:shd w:val="clear" w:color="auto" w:fill="auto"/>
            <w:noWrap/>
            <w:vAlign w:val="bottom"/>
            <w:hideMark/>
          </w:tcPr>
          <w:p w14:paraId="11924B3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534.944,1</w:t>
            </w:r>
          </w:p>
        </w:tc>
        <w:tc>
          <w:tcPr>
            <w:tcW w:w="1100" w:type="dxa"/>
            <w:tcBorders>
              <w:top w:val="nil"/>
              <w:left w:val="nil"/>
              <w:bottom w:val="single" w:sz="4" w:space="0" w:color="auto"/>
              <w:right w:val="single" w:sz="4" w:space="0" w:color="auto"/>
            </w:tcBorders>
            <w:shd w:val="clear" w:color="auto" w:fill="auto"/>
            <w:noWrap/>
            <w:vAlign w:val="bottom"/>
            <w:hideMark/>
          </w:tcPr>
          <w:p w14:paraId="345D6FE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558.857,8</w:t>
            </w:r>
          </w:p>
        </w:tc>
        <w:tc>
          <w:tcPr>
            <w:tcW w:w="880" w:type="dxa"/>
            <w:tcBorders>
              <w:top w:val="nil"/>
              <w:left w:val="nil"/>
              <w:bottom w:val="single" w:sz="4" w:space="0" w:color="auto"/>
              <w:right w:val="single" w:sz="4" w:space="0" w:color="auto"/>
            </w:tcBorders>
            <w:shd w:val="clear" w:color="auto" w:fill="auto"/>
            <w:noWrap/>
            <w:vAlign w:val="bottom"/>
            <w:hideMark/>
          </w:tcPr>
          <w:p w14:paraId="7F99C2D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94,8</w:t>
            </w:r>
          </w:p>
        </w:tc>
        <w:tc>
          <w:tcPr>
            <w:tcW w:w="960" w:type="dxa"/>
            <w:tcBorders>
              <w:top w:val="nil"/>
              <w:left w:val="nil"/>
              <w:bottom w:val="single" w:sz="4" w:space="0" w:color="auto"/>
              <w:right w:val="single" w:sz="4" w:space="0" w:color="auto"/>
            </w:tcBorders>
            <w:shd w:val="clear" w:color="auto" w:fill="auto"/>
            <w:noWrap/>
            <w:vAlign w:val="bottom"/>
            <w:hideMark/>
          </w:tcPr>
          <w:p w14:paraId="48D54DA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-20.149,6</w:t>
            </w:r>
          </w:p>
        </w:tc>
        <w:tc>
          <w:tcPr>
            <w:tcW w:w="960" w:type="dxa"/>
            <w:tcBorders>
              <w:top w:val="nil"/>
              <w:left w:val="nil"/>
              <w:bottom w:val="single" w:sz="4" w:space="0" w:color="auto"/>
              <w:right w:val="single" w:sz="4" w:space="0" w:color="auto"/>
            </w:tcBorders>
            <w:shd w:val="clear" w:color="auto" w:fill="auto"/>
            <w:noWrap/>
            <w:vAlign w:val="bottom"/>
            <w:hideMark/>
          </w:tcPr>
          <w:p w14:paraId="3A10264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244.481,5</w:t>
            </w:r>
          </w:p>
        </w:tc>
        <w:tc>
          <w:tcPr>
            <w:tcW w:w="960" w:type="dxa"/>
            <w:tcBorders>
              <w:top w:val="nil"/>
              <w:left w:val="nil"/>
              <w:bottom w:val="single" w:sz="4" w:space="0" w:color="auto"/>
              <w:right w:val="single" w:sz="4" w:space="0" w:color="auto"/>
            </w:tcBorders>
            <w:shd w:val="clear" w:color="auto" w:fill="auto"/>
            <w:noWrap/>
            <w:vAlign w:val="bottom"/>
            <w:hideMark/>
          </w:tcPr>
          <w:p w14:paraId="1899574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23.913,7</w:t>
            </w:r>
          </w:p>
        </w:tc>
        <w:tc>
          <w:tcPr>
            <w:tcW w:w="960" w:type="dxa"/>
            <w:tcBorders>
              <w:top w:val="nil"/>
              <w:left w:val="nil"/>
              <w:bottom w:val="single" w:sz="4" w:space="0" w:color="auto"/>
              <w:right w:val="single" w:sz="4" w:space="0" w:color="auto"/>
            </w:tcBorders>
            <w:shd w:val="clear" w:color="auto" w:fill="auto"/>
            <w:noWrap/>
            <w:vAlign w:val="bottom"/>
            <w:hideMark/>
          </w:tcPr>
          <w:p w14:paraId="4DB4E37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-6,9</w:t>
            </w:r>
          </w:p>
        </w:tc>
        <w:tc>
          <w:tcPr>
            <w:tcW w:w="960" w:type="dxa"/>
            <w:tcBorders>
              <w:top w:val="nil"/>
              <w:left w:val="nil"/>
              <w:bottom w:val="single" w:sz="4" w:space="0" w:color="auto"/>
              <w:right w:val="single" w:sz="4" w:space="0" w:color="auto"/>
            </w:tcBorders>
            <w:shd w:val="clear" w:color="auto" w:fill="auto"/>
            <w:noWrap/>
            <w:vAlign w:val="bottom"/>
            <w:hideMark/>
          </w:tcPr>
          <w:p w14:paraId="2F87A62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45,7</w:t>
            </w:r>
          </w:p>
        </w:tc>
        <w:tc>
          <w:tcPr>
            <w:tcW w:w="960" w:type="dxa"/>
            <w:tcBorders>
              <w:top w:val="nil"/>
              <w:left w:val="nil"/>
              <w:bottom w:val="single" w:sz="4" w:space="0" w:color="auto"/>
              <w:right w:val="single" w:sz="4" w:space="0" w:color="auto"/>
            </w:tcBorders>
            <w:shd w:val="clear" w:color="auto" w:fill="auto"/>
            <w:noWrap/>
            <w:vAlign w:val="bottom"/>
            <w:hideMark/>
          </w:tcPr>
          <w:p w14:paraId="01FCD53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4,3</w:t>
            </w:r>
          </w:p>
        </w:tc>
      </w:tr>
      <w:tr w:rsidR="00394D01" w:rsidRPr="00363CFA" w14:paraId="14D0D599"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D8747C"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722</w:t>
            </w:r>
          </w:p>
        </w:tc>
        <w:tc>
          <w:tcPr>
            <w:tcW w:w="3020" w:type="dxa"/>
            <w:tcBorders>
              <w:top w:val="nil"/>
              <w:left w:val="nil"/>
              <w:bottom w:val="single" w:sz="8" w:space="0" w:color="auto"/>
              <w:right w:val="single" w:sz="8" w:space="0" w:color="auto"/>
            </w:tcBorders>
            <w:shd w:val="clear" w:color="auto" w:fill="auto"/>
            <w:vAlign w:val="center"/>
            <w:hideMark/>
          </w:tcPr>
          <w:p w14:paraId="08F97A03" w14:textId="0CE46DFA"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Rezultatul financiar al institu</w:t>
            </w:r>
            <w:r w:rsidR="00C53A99">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iei publice din anii preceden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5CA8B1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310.612,2</w:t>
            </w:r>
          </w:p>
        </w:tc>
        <w:tc>
          <w:tcPr>
            <w:tcW w:w="1100" w:type="dxa"/>
            <w:tcBorders>
              <w:top w:val="nil"/>
              <w:left w:val="nil"/>
              <w:bottom w:val="single" w:sz="4" w:space="0" w:color="auto"/>
              <w:right w:val="single" w:sz="4" w:space="0" w:color="auto"/>
            </w:tcBorders>
            <w:shd w:val="clear" w:color="auto" w:fill="auto"/>
            <w:noWrap/>
            <w:vAlign w:val="bottom"/>
            <w:hideMark/>
          </w:tcPr>
          <w:p w14:paraId="26462468"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290.462,6</w:t>
            </w:r>
          </w:p>
        </w:tc>
        <w:tc>
          <w:tcPr>
            <w:tcW w:w="1100" w:type="dxa"/>
            <w:tcBorders>
              <w:top w:val="nil"/>
              <w:left w:val="nil"/>
              <w:bottom w:val="single" w:sz="4" w:space="0" w:color="auto"/>
              <w:right w:val="single" w:sz="4" w:space="0" w:color="auto"/>
            </w:tcBorders>
            <w:shd w:val="clear" w:color="auto" w:fill="auto"/>
            <w:noWrap/>
            <w:vAlign w:val="bottom"/>
            <w:hideMark/>
          </w:tcPr>
          <w:p w14:paraId="6BEF6EB7"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534.944,1</w:t>
            </w:r>
          </w:p>
        </w:tc>
        <w:tc>
          <w:tcPr>
            <w:tcW w:w="1100" w:type="dxa"/>
            <w:tcBorders>
              <w:top w:val="nil"/>
              <w:left w:val="nil"/>
              <w:bottom w:val="single" w:sz="4" w:space="0" w:color="auto"/>
              <w:right w:val="single" w:sz="4" w:space="0" w:color="auto"/>
            </w:tcBorders>
            <w:shd w:val="clear" w:color="auto" w:fill="auto"/>
            <w:noWrap/>
            <w:vAlign w:val="bottom"/>
            <w:hideMark/>
          </w:tcPr>
          <w:p w14:paraId="5B774084"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558.857,8</w:t>
            </w:r>
          </w:p>
        </w:tc>
        <w:tc>
          <w:tcPr>
            <w:tcW w:w="880" w:type="dxa"/>
            <w:tcBorders>
              <w:top w:val="nil"/>
              <w:left w:val="nil"/>
              <w:bottom w:val="single" w:sz="4" w:space="0" w:color="auto"/>
              <w:right w:val="single" w:sz="4" w:space="0" w:color="auto"/>
            </w:tcBorders>
            <w:shd w:val="clear" w:color="auto" w:fill="auto"/>
            <w:noWrap/>
            <w:vAlign w:val="bottom"/>
            <w:hideMark/>
          </w:tcPr>
          <w:p w14:paraId="08F2E04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94,8</w:t>
            </w:r>
          </w:p>
        </w:tc>
        <w:tc>
          <w:tcPr>
            <w:tcW w:w="960" w:type="dxa"/>
            <w:tcBorders>
              <w:top w:val="nil"/>
              <w:left w:val="nil"/>
              <w:bottom w:val="single" w:sz="4" w:space="0" w:color="auto"/>
              <w:right w:val="single" w:sz="4" w:space="0" w:color="auto"/>
            </w:tcBorders>
            <w:shd w:val="clear" w:color="auto" w:fill="auto"/>
            <w:noWrap/>
            <w:vAlign w:val="bottom"/>
            <w:hideMark/>
          </w:tcPr>
          <w:p w14:paraId="68937D0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-20.149,6</w:t>
            </w:r>
          </w:p>
        </w:tc>
        <w:tc>
          <w:tcPr>
            <w:tcW w:w="960" w:type="dxa"/>
            <w:tcBorders>
              <w:top w:val="nil"/>
              <w:left w:val="nil"/>
              <w:bottom w:val="single" w:sz="4" w:space="0" w:color="auto"/>
              <w:right w:val="single" w:sz="4" w:space="0" w:color="auto"/>
            </w:tcBorders>
            <w:shd w:val="clear" w:color="auto" w:fill="auto"/>
            <w:noWrap/>
            <w:vAlign w:val="bottom"/>
            <w:hideMark/>
          </w:tcPr>
          <w:p w14:paraId="7D2F6E7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244.481,5</w:t>
            </w:r>
          </w:p>
        </w:tc>
        <w:tc>
          <w:tcPr>
            <w:tcW w:w="960" w:type="dxa"/>
            <w:tcBorders>
              <w:top w:val="nil"/>
              <w:left w:val="nil"/>
              <w:bottom w:val="single" w:sz="4" w:space="0" w:color="auto"/>
              <w:right w:val="single" w:sz="4" w:space="0" w:color="auto"/>
            </w:tcBorders>
            <w:shd w:val="clear" w:color="auto" w:fill="auto"/>
            <w:noWrap/>
            <w:vAlign w:val="bottom"/>
            <w:hideMark/>
          </w:tcPr>
          <w:p w14:paraId="1FACF88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23.913,7</w:t>
            </w:r>
          </w:p>
        </w:tc>
        <w:tc>
          <w:tcPr>
            <w:tcW w:w="960" w:type="dxa"/>
            <w:tcBorders>
              <w:top w:val="nil"/>
              <w:left w:val="nil"/>
              <w:bottom w:val="single" w:sz="4" w:space="0" w:color="auto"/>
              <w:right w:val="single" w:sz="4" w:space="0" w:color="auto"/>
            </w:tcBorders>
            <w:shd w:val="clear" w:color="auto" w:fill="auto"/>
            <w:noWrap/>
            <w:vAlign w:val="bottom"/>
            <w:hideMark/>
          </w:tcPr>
          <w:p w14:paraId="49C67F0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-6,9</w:t>
            </w:r>
          </w:p>
        </w:tc>
        <w:tc>
          <w:tcPr>
            <w:tcW w:w="960" w:type="dxa"/>
            <w:tcBorders>
              <w:top w:val="nil"/>
              <w:left w:val="nil"/>
              <w:bottom w:val="single" w:sz="4" w:space="0" w:color="auto"/>
              <w:right w:val="single" w:sz="4" w:space="0" w:color="auto"/>
            </w:tcBorders>
            <w:shd w:val="clear" w:color="auto" w:fill="auto"/>
            <w:noWrap/>
            <w:vAlign w:val="bottom"/>
            <w:hideMark/>
          </w:tcPr>
          <w:p w14:paraId="5F04D7CF"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45,7</w:t>
            </w:r>
          </w:p>
        </w:tc>
        <w:tc>
          <w:tcPr>
            <w:tcW w:w="960" w:type="dxa"/>
            <w:tcBorders>
              <w:top w:val="nil"/>
              <w:left w:val="nil"/>
              <w:bottom w:val="single" w:sz="4" w:space="0" w:color="auto"/>
              <w:right w:val="single" w:sz="4" w:space="0" w:color="auto"/>
            </w:tcBorders>
            <w:shd w:val="clear" w:color="auto" w:fill="auto"/>
            <w:noWrap/>
            <w:vAlign w:val="bottom"/>
            <w:hideMark/>
          </w:tcPr>
          <w:p w14:paraId="57D801F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4,3</w:t>
            </w:r>
          </w:p>
        </w:tc>
      </w:tr>
      <w:tr w:rsidR="00394D01" w:rsidRPr="00363CFA" w14:paraId="3EA7DA3A"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9F1923"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3020" w:type="dxa"/>
            <w:tcBorders>
              <w:top w:val="nil"/>
              <w:left w:val="nil"/>
              <w:bottom w:val="single" w:sz="8" w:space="0" w:color="auto"/>
              <w:right w:val="single" w:sz="8" w:space="0" w:color="auto"/>
            </w:tcBorders>
            <w:shd w:val="clear" w:color="auto" w:fill="auto"/>
            <w:vAlign w:val="center"/>
            <w:hideMark/>
          </w:tcPr>
          <w:p w14:paraId="3494234A"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TOTAL PASIV (12=7+9+11) (12=5)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21AA3F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330.663,5</w:t>
            </w:r>
          </w:p>
        </w:tc>
        <w:tc>
          <w:tcPr>
            <w:tcW w:w="1100" w:type="dxa"/>
            <w:tcBorders>
              <w:top w:val="nil"/>
              <w:left w:val="nil"/>
              <w:bottom w:val="single" w:sz="4" w:space="0" w:color="auto"/>
              <w:right w:val="single" w:sz="4" w:space="0" w:color="auto"/>
            </w:tcBorders>
            <w:shd w:val="clear" w:color="auto" w:fill="auto"/>
            <w:noWrap/>
            <w:vAlign w:val="bottom"/>
            <w:hideMark/>
          </w:tcPr>
          <w:p w14:paraId="43117C5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315.451,0</w:t>
            </w:r>
          </w:p>
        </w:tc>
        <w:tc>
          <w:tcPr>
            <w:tcW w:w="1100" w:type="dxa"/>
            <w:tcBorders>
              <w:top w:val="nil"/>
              <w:left w:val="nil"/>
              <w:bottom w:val="single" w:sz="4" w:space="0" w:color="auto"/>
              <w:right w:val="single" w:sz="4" w:space="0" w:color="auto"/>
            </w:tcBorders>
            <w:shd w:val="clear" w:color="auto" w:fill="auto"/>
            <w:noWrap/>
            <w:vAlign w:val="bottom"/>
            <w:hideMark/>
          </w:tcPr>
          <w:p w14:paraId="10DC239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565.146,7</w:t>
            </w:r>
          </w:p>
        </w:tc>
        <w:tc>
          <w:tcPr>
            <w:tcW w:w="1100" w:type="dxa"/>
            <w:tcBorders>
              <w:top w:val="nil"/>
              <w:left w:val="nil"/>
              <w:bottom w:val="single" w:sz="4" w:space="0" w:color="auto"/>
              <w:right w:val="single" w:sz="4" w:space="0" w:color="auto"/>
            </w:tcBorders>
            <w:shd w:val="clear" w:color="auto" w:fill="auto"/>
            <w:noWrap/>
            <w:vAlign w:val="bottom"/>
            <w:hideMark/>
          </w:tcPr>
          <w:p w14:paraId="684E601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589.501,2</w:t>
            </w:r>
          </w:p>
        </w:tc>
        <w:tc>
          <w:tcPr>
            <w:tcW w:w="880" w:type="dxa"/>
            <w:tcBorders>
              <w:top w:val="nil"/>
              <w:left w:val="nil"/>
              <w:bottom w:val="single" w:sz="4" w:space="0" w:color="auto"/>
              <w:right w:val="single" w:sz="4" w:space="0" w:color="auto"/>
            </w:tcBorders>
            <w:shd w:val="clear" w:color="auto" w:fill="auto"/>
            <w:noWrap/>
            <w:vAlign w:val="bottom"/>
            <w:hideMark/>
          </w:tcPr>
          <w:p w14:paraId="21C89B4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27FA05F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-15.212,5</w:t>
            </w:r>
          </w:p>
        </w:tc>
        <w:tc>
          <w:tcPr>
            <w:tcW w:w="960" w:type="dxa"/>
            <w:tcBorders>
              <w:top w:val="nil"/>
              <w:left w:val="nil"/>
              <w:bottom w:val="single" w:sz="4" w:space="0" w:color="auto"/>
              <w:right w:val="single" w:sz="4" w:space="0" w:color="auto"/>
            </w:tcBorders>
            <w:shd w:val="clear" w:color="auto" w:fill="auto"/>
            <w:noWrap/>
            <w:vAlign w:val="bottom"/>
            <w:hideMark/>
          </w:tcPr>
          <w:p w14:paraId="3DC3319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249.695,7</w:t>
            </w:r>
          </w:p>
        </w:tc>
        <w:tc>
          <w:tcPr>
            <w:tcW w:w="960" w:type="dxa"/>
            <w:tcBorders>
              <w:top w:val="nil"/>
              <w:left w:val="nil"/>
              <w:bottom w:val="single" w:sz="4" w:space="0" w:color="auto"/>
              <w:right w:val="single" w:sz="4" w:space="0" w:color="auto"/>
            </w:tcBorders>
            <w:shd w:val="clear" w:color="auto" w:fill="auto"/>
            <w:noWrap/>
            <w:vAlign w:val="bottom"/>
            <w:hideMark/>
          </w:tcPr>
          <w:p w14:paraId="0452406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24.354,5</w:t>
            </w:r>
          </w:p>
        </w:tc>
        <w:tc>
          <w:tcPr>
            <w:tcW w:w="960" w:type="dxa"/>
            <w:tcBorders>
              <w:top w:val="nil"/>
              <w:left w:val="nil"/>
              <w:bottom w:val="single" w:sz="4" w:space="0" w:color="auto"/>
              <w:right w:val="single" w:sz="4" w:space="0" w:color="auto"/>
            </w:tcBorders>
            <w:shd w:val="clear" w:color="auto" w:fill="auto"/>
            <w:noWrap/>
            <w:vAlign w:val="bottom"/>
            <w:hideMark/>
          </w:tcPr>
          <w:p w14:paraId="627E75E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-4,8</w:t>
            </w:r>
          </w:p>
        </w:tc>
        <w:tc>
          <w:tcPr>
            <w:tcW w:w="960" w:type="dxa"/>
            <w:tcBorders>
              <w:top w:val="nil"/>
              <w:left w:val="nil"/>
              <w:bottom w:val="single" w:sz="4" w:space="0" w:color="auto"/>
              <w:right w:val="single" w:sz="4" w:space="0" w:color="auto"/>
            </w:tcBorders>
            <w:shd w:val="clear" w:color="auto" w:fill="auto"/>
            <w:noWrap/>
            <w:vAlign w:val="bottom"/>
            <w:hideMark/>
          </w:tcPr>
          <w:p w14:paraId="287D223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44,2</w:t>
            </w:r>
          </w:p>
        </w:tc>
        <w:tc>
          <w:tcPr>
            <w:tcW w:w="960" w:type="dxa"/>
            <w:tcBorders>
              <w:top w:val="nil"/>
              <w:left w:val="nil"/>
              <w:bottom w:val="single" w:sz="4" w:space="0" w:color="auto"/>
              <w:right w:val="single" w:sz="4" w:space="0" w:color="auto"/>
            </w:tcBorders>
            <w:shd w:val="clear" w:color="auto" w:fill="auto"/>
            <w:noWrap/>
            <w:vAlign w:val="bottom"/>
            <w:hideMark/>
          </w:tcPr>
          <w:p w14:paraId="63974E6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4,1</w:t>
            </w:r>
          </w:p>
        </w:tc>
      </w:tr>
      <w:tr w:rsidR="00394D01" w:rsidRPr="00363CFA" w14:paraId="67667693"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6BB2D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w:t>
            </w:r>
          </w:p>
        </w:tc>
        <w:tc>
          <w:tcPr>
            <w:tcW w:w="3020" w:type="dxa"/>
            <w:tcBorders>
              <w:top w:val="nil"/>
              <w:left w:val="nil"/>
              <w:bottom w:val="single" w:sz="8" w:space="0" w:color="auto"/>
              <w:right w:val="single" w:sz="8" w:space="0" w:color="auto"/>
            </w:tcBorders>
            <w:shd w:val="clear" w:color="auto" w:fill="auto"/>
            <w:vAlign w:val="center"/>
            <w:hideMark/>
          </w:tcPr>
          <w:p w14:paraId="66B9D9A5" w14:textId="77777777" w:rsidR="00394D01" w:rsidRPr="00363CFA" w:rsidRDefault="00394D01" w:rsidP="00394D01">
            <w:pPr>
              <w:spacing w:after="0" w:line="240" w:lineRule="auto"/>
              <w:rPr>
                <w:rFonts w:ascii="Calibri Light" w:eastAsia="Times New Roman" w:hAnsi="Calibri Light" w:cs="Calibri Light"/>
                <w:b/>
                <w:bCs/>
                <w:color w:val="000000"/>
                <w:sz w:val="14"/>
                <w:szCs w:val="14"/>
                <w:lang w:val="ro-MD"/>
              </w:rPr>
            </w:pPr>
            <w:r w:rsidRPr="00363CFA">
              <w:rPr>
                <w:rFonts w:ascii="Calibri Light" w:eastAsia="Times New Roman" w:hAnsi="Calibri Light" w:cs="Calibri Light"/>
                <w:b/>
                <w:bCs/>
                <w:color w:val="000000"/>
                <w:sz w:val="14"/>
                <w:szCs w:val="14"/>
                <w:lang w:val="ro-MD"/>
              </w:rPr>
              <w:t>CONTURI EXTRABILAN</w:t>
            </w:r>
            <w:r w:rsidR="0069374B" w:rsidRPr="00363CFA">
              <w:rPr>
                <w:rFonts w:ascii="Calibri Light" w:eastAsia="Times New Roman" w:hAnsi="Calibri Light" w:cs="Calibri Light"/>
                <w:b/>
                <w:bCs/>
                <w:color w:val="000000"/>
                <w:sz w:val="14"/>
                <w:szCs w:val="14"/>
                <w:lang w:val="ro-MD"/>
              </w:rPr>
              <w:t>Ț</w:t>
            </w:r>
            <w:r w:rsidRPr="00363CFA">
              <w:rPr>
                <w:rFonts w:ascii="Calibri Light" w:eastAsia="Times New Roman" w:hAnsi="Calibri Light" w:cs="Calibri Light"/>
                <w:b/>
                <w:bCs/>
                <w:color w:val="000000"/>
                <w:sz w:val="14"/>
                <w:szCs w:val="14"/>
                <w:lang w:val="ro-MD"/>
              </w:rPr>
              <w:t>IERE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2DF777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36.820,8</w:t>
            </w:r>
          </w:p>
        </w:tc>
        <w:tc>
          <w:tcPr>
            <w:tcW w:w="1100" w:type="dxa"/>
            <w:tcBorders>
              <w:top w:val="nil"/>
              <w:left w:val="nil"/>
              <w:bottom w:val="single" w:sz="4" w:space="0" w:color="auto"/>
              <w:right w:val="single" w:sz="4" w:space="0" w:color="auto"/>
            </w:tcBorders>
            <w:shd w:val="clear" w:color="auto" w:fill="auto"/>
            <w:noWrap/>
            <w:vAlign w:val="bottom"/>
            <w:hideMark/>
          </w:tcPr>
          <w:p w14:paraId="51F6F8F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298.596,8</w:t>
            </w:r>
          </w:p>
        </w:tc>
        <w:tc>
          <w:tcPr>
            <w:tcW w:w="1100" w:type="dxa"/>
            <w:tcBorders>
              <w:top w:val="nil"/>
              <w:left w:val="nil"/>
              <w:bottom w:val="single" w:sz="4" w:space="0" w:color="auto"/>
              <w:right w:val="single" w:sz="4" w:space="0" w:color="auto"/>
            </w:tcBorders>
            <w:shd w:val="clear" w:color="auto" w:fill="auto"/>
            <w:noWrap/>
            <w:vAlign w:val="bottom"/>
            <w:hideMark/>
          </w:tcPr>
          <w:p w14:paraId="0ABA8C7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285.986,9</w:t>
            </w:r>
          </w:p>
        </w:tc>
        <w:tc>
          <w:tcPr>
            <w:tcW w:w="1100" w:type="dxa"/>
            <w:tcBorders>
              <w:top w:val="nil"/>
              <w:left w:val="nil"/>
              <w:bottom w:val="single" w:sz="4" w:space="0" w:color="auto"/>
              <w:right w:val="single" w:sz="4" w:space="0" w:color="auto"/>
            </w:tcBorders>
            <w:shd w:val="clear" w:color="auto" w:fill="auto"/>
            <w:noWrap/>
            <w:vAlign w:val="bottom"/>
            <w:hideMark/>
          </w:tcPr>
          <w:p w14:paraId="31AC064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302.687,9</w:t>
            </w:r>
          </w:p>
        </w:tc>
        <w:tc>
          <w:tcPr>
            <w:tcW w:w="880" w:type="dxa"/>
            <w:tcBorders>
              <w:top w:val="nil"/>
              <w:left w:val="nil"/>
              <w:bottom w:val="single" w:sz="4" w:space="0" w:color="auto"/>
              <w:right w:val="single" w:sz="4" w:space="0" w:color="auto"/>
            </w:tcBorders>
            <w:shd w:val="clear" w:color="auto" w:fill="auto"/>
            <w:noWrap/>
            <w:vAlign w:val="bottom"/>
            <w:hideMark/>
          </w:tcPr>
          <w:p w14:paraId="2F78AE9A" w14:textId="77777777" w:rsidR="00394D01" w:rsidRPr="00363CFA" w:rsidRDefault="00394D01" w:rsidP="00394D01">
            <w:pPr>
              <w:spacing w:after="0" w:line="240" w:lineRule="auto"/>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43CF0C4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261.776,0</w:t>
            </w:r>
          </w:p>
        </w:tc>
        <w:tc>
          <w:tcPr>
            <w:tcW w:w="960" w:type="dxa"/>
            <w:tcBorders>
              <w:top w:val="nil"/>
              <w:left w:val="nil"/>
              <w:bottom w:val="single" w:sz="4" w:space="0" w:color="auto"/>
              <w:right w:val="single" w:sz="4" w:space="0" w:color="auto"/>
            </w:tcBorders>
            <w:shd w:val="clear" w:color="auto" w:fill="auto"/>
            <w:noWrap/>
            <w:vAlign w:val="bottom"/>
            <w:hideMark/>
          </w:tcPr>
          <w:p w14:paraId="7916104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-12.609,9</w:t>
            </w:r>
          </w:p>
        </w:tc>
        <w:tc>
          <w:tcPr>
            <w:tcW w:w="960" w:type="dxa"/>
            <w:tcBorders>
              <w:top w:val="nil"/>
              <w:left w:val="nil"/>
              <w:bottom w:val="single" w:sz="4" w:space="0" w:color="auto"/>
              <w:right w:val="single" w:sz="4" w:space="0" w:color="auto"/>
            </w:tcBorders>
            <w:shd w:val="clear" w:color="auto" w:fill="auto"/>
            <w:noWrap/>
            <w:vAlign w:val="bottom"/>
            <w:hideMark/>
          </w:tcPr>
          <w:p w14:paraId="5E7C2905"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16.701,0</w:t>
            </w:r>
          </w:p>
        </w:tc>
        <w:tc>
          <w:tcPr>
            <w:tcW w:w="960" w:type="dxa"/>
            <w:tcBorders>
              <w:top w:val="nil"/>
              <w:left w:val="nil"/>
              <w:bottom w:val="single" w:sz="4" w:space="0" w:color="auto"/>
              <w:right w:val="single" w:sz="4" w:space="0" w:color="auto"/>
            </w:tcBorders>
            <w:shd w:val="clear" w:color="auto" w:fill="auto"/>
            <w:noWrap/>
            <w:vAlign w:val="bottom"/>
            <w:hideMark/>
          </w:tcPr>
          <w:p w14:paraId="5C3E96EE"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87,7</w:t>
            </w:r>
          </w:p>
        </w:tc>
        <w:tc>
          <w:tcPr>
            <w:tcW w:w="960" w:type="dxa"/>
            <w:tcBorders>
              <w:top w:val="nil"/>
              <w:left w:val="nil"/>
              <w:bottom w:val="single" w:sz="4" w:space="0" w:color="auto"/>
              <w:right w:val="single" w:sz="4" w:space="0" w:color="auto"/>
            </w:tcBorders>
            <w:shd w:val="clear" w:color="auto" w:fill="auto"/>
            <w:noWrap/>
            <w:vAlign w:val="bottom"/>
            <w:hideMark/>
          </w:tcPr>
          <w:p w14:paraId="68311AC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-4,4</w:t>
            </w:r>
          </w:p>
        </w:tc>
        <w:tc>
          <w:tcPr>
            <w:tcW w:w="960" w:type="dxa"/>
            <w:tcBorders>
              <w:top w:val="nil"/>
              <w:left w:val="nil"/>
              <w:bottom w:val="single" w:sz="4" w:space="0" w:color="auto"/>
              <w:right w:val="single" w:sz="4" w:space="0" w:color="auto"/>
            </w:tcBorders>
            <w:shd w:val="clear" w:color="auto" w:fill="auto"/>
            <w:noWrap/>
            <w:vAlign w:val="bottom"/>
            <w:hideMark/>
          </w:tcPr>
          <w:p w14:paraId="3EDE0B5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5,5</w:t>
            </w:r>
          </w:p>
        </w:tc>
      </w:tr>
      <w:tr w:rsidR="00394D01" w:rsidRPr="00363CFA" w14:paraId="2CA34EED"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DFE168"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811110</w:t>
            </w:r>
          </w:p>
        </w:tc>
        <w:tc>
          <w:tcPr>
            <w:tcW w:w="3020" w:type="dxa"/>
            <w:tcBorders>
              <w:top w:val="nil"/>
              <w:left w:val="nil"/>
              <w:bottom w:val="single" w:sz="8" w:space="0" w:color="auto"/>
              <w:right w:val="single" w:sz="8" w:space="0" w:color="auto"/>
            </w:tcBorders>
            <w:shd w:val="clear" w:color="auto" w:fill="auto"/>
            <w:vAlign w:val="center"/>
            <w:hideMark/>
          </w:tcPr>
          <w:p w14:paraId="07D7443A"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Crean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e fa</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ă de bugetul de stat privind creditarea bugetelor de alt nivel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86118B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w:t>
            </w:r>
          </w:p>
        </w:tc>
        <w:tc>
          <w:tcPr>
            <w:tcW w:w="1100" w:type="dxa"/>
            <w:tcBorders>
              <w:top w:val="nil"/>
              <w:left w:val="nil"/>
              <w:bottom w:val="single" w:sz="4" w:space="0" w:color="auto"/>
              <w:right w:val="single" w:sz="4" w:space="0" w:color="auto"/>
            </w:tcBorders>
            <w:shd w:val="clear" w:color="auto" w:fill="auto"/>
            <w:noWrap/>
            <w:vAlign w:val="bottom"/>
            <w:hideMark/>
          </w:tcPr>
          <w:p w14:paraId="6FFD444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w:t>
            </w:r>
          </w:p>
        </w:tc>
        <w:tc>
          <w:tcPr>
            <w:tcW w:w="1100" w:type="dxa"/>
            <w:tcBorders>
              <w:top w:val="nil"/>
              <w:left w:val="nil"/>
              <w:bottom w:val="single" w:sz="4" w:space="0" w:color="auto"/>
              <w:right w:val="single" w:sz="4" w:space="0" w:color="auto"/>
            </w:tcBorders>
            <w:shd w:val="clear" w:color="auto" w:fill="auto"/>
            <w:noWrap/>
            <w:vAlign w:val="bottom"/>
            <w:hideMark/>
          </w:tcPr>
          <w:p w14:paraId="6231029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w:t>
            </w:r>
          </w:p>
        </w:tc>
        <w:tc>
          <w:tcPr>
            <w:tcW w:w="1100" w:type="dxa"/>
            <w:tcBorders>
              <w:top w:val="nil"/>
              <w:left w:val="nil"/>
              <w:bottom w:val="single" w:sz="4" w:space="0" w:color="auto"/>
              <w:right w:val="single" w:sz="4" w:space="0" w:color="auto"/>
            </w:tcBorders>
            <w:shd w:val="clear" w:color="auto" w:fill="auto"/>
            <w:noWrap/>
            <w:vAlign w:val="bottom"/>
            <w:hideMark/>
          </w:tcPr>
          <w:p w14:paraId="0D3CB6D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8,5</w:t>
            </w:r>
          </w:p>
        </w:tc>
        <w:tc>
          <w:tcPr>
            <w:tcW w:w="880" w:type="dxa"/>
            <w:tcBorders>
              <w:top w:val="nil"/>
              <w:left w:val="nil"/>
              <w:bottom w:val="single" w:sz="4" w:space="0" w:color="auto"/>
              <w:right w:val="single" w:sz="4" w:space="0" w:color="auto"/>
            </w:tcBorders>
            <w:shd w:val="clear" w:color="auto" w:fill="auto"/>
            <w:noWrap/>
            <w:vAlign w:val="bottom"/>
            <w:hideMark/>
          </w:tcPr>
          <w:p w14:paraId="6D3E3B9A"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07816E5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0B71FE8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2F3D75F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63E3CCDD"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35371A5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1DFA7691"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r>
      <w:tr w:rsidR="00394D01" w:rsidRPr="00363CFA" w14:paraId="2A62EDEA"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17A10F"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811130</w:t>
            </w:r>
          </w:p>
        </w:tc>
        <w:tc>
          <w:tcPr>
            <w:tcW w:w="3020" w:type="dxa"/>
            <w:tcBorders>
              <w:top w:val="nil"/>
              <w:left w:val="nil"/>
              <w:bottom w:val="single" w:sz="8" w:space="0" w:color="auto"/>
              <w:right w:val="single" w:sz="8" w:space="0" w:color="auto"/>
            </w:tcBorders>
            <w:shd w:val="clear" w:color="auto" w:fill="auto"/>
            <w:vAlign w:val="center"/>
            <w:hideMark/>
          </w:tcPr>
          <w:p w14:paraId="758A7072"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Crean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e fa</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ă de bugetul de stat privind creditarea altor institu</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 xml:space="preserve">ii </w:t>
            </w:r>
            <w:r w:rsidR="0069374B" w:rsidRPr="00363CFA">
              <w:rPr>
                <w:rFonts w:ascii="Calibri Light" w:eastAsia="Times New Roman" w:hAnsi="Calibri Light" w:cs="Calibri Light"/>
                <w:color w:val="000000"/>
                <w:sz w:val="14"/>
                <w:szCs w:val="14"/>
                <w:lang w:val="ro-MD"/>
              </w:rPr>
              <w:t>ș</w:t>
            </w:r>
            <w:r w:rsidRPr="00363CFA">
              <w:rPr>
                <w:rFonts w:ascii="Calibri Light" w:eastAsia="Times New Roman" w:hAnsi="Calibri Light" w:cs="Calibri Light"/>
                <w:color w:val="000000"/>
                <w:sz w:val="14"/>
                <w:szCs w:val="14"/>
                <w:lang w:val="ro-MD"/>
              </w:rPr>
              <w:t>i organiza</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ii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B08C7DD"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E84C43"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13.164,7</w:t>
            </w:r>
          </w:p>
        </w:tc>
        <w:tc>
          <w:tcPr>
            <w:tcW w:w="1100" w:type="dxa"/>
            <w:tcBorders>
              <w:top w:val="nil"/>
              <w:left w:val="nil"/>
              <w:bottom w:val="single" w:sz="4" w:space="0" w:color="auto"/>
              <w:right w:val="single" w:sz="4" w:space="0" w:color="auto"/>
            </w:tcBorders>
            <w:shd w:val="clear" w:color="auto" w:fill="auto"/>
            <w:noWrap/>
            <w:vAlign w:val="bottom"/>
            <w:hideMark/>
          </w:tcPr>
          <w:p w14:paraId="3CC2A485"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13.164,7</w:t>
            </w:r>
          </w:p>
        </w:tc>
        <w:tc>
          <w:tcPr>
            <w:tcW w:w="1100" w:type="dxa"/>
            <w:tcBorders>
              <w:top w:val="nil"/>
              <w:left w:val="nil"/>
              <w:bottom w:val="single" w:sz="4" w:space="0" w:color="auto"/>
              <w:right w:val="single" w:sz="4" w:space="0" w:color="auto"/>
            </w:tcBorders>
            <w:shd w:val="clear" w:color="auto" w:fill="auto"/>
            <w:noWrap/>
            <w:vAlign w:val="bottom"/>
            <w:hideMark/>
          </w:tcPr>
          <w:p w14:paraId="122E57A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10.050,7</w:t>
            </w:r>
          </w:p>
        </w:tc>
        <w:tc>
          <w:tcPr>
            <w:tcW w:w="880" w:type="dxa"/>
            <w:tcBorders>
              <w:top w:val="nil"/>
              <w:left w:val="nil"/>
              <w:bottom w:val="single" w:sz="4" w:space="0" w:color="auto"/>
              <w:right w:val="single" w:sz="4" w:space="0" w:color="auto"/>
            </w:tcBorders>
            <w:shd w:val="clear" w:color="auto" w:fill="auto"/>
            <w:noWrap/>
            <w:vAlign w:val="bottom"/>
            <w:hideMark/>
          </w:tcPr>
          <w:p w14:paraId="16E5C3F7"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079B9ED8"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13.164,7</w:t>
            </w:r>
          </w:p>
        </w:tc>
        <w:tc>
          <w:tcPr>
            <w:tcW w:w="960" w:type="dxa"/>
            <w:tcBorders>
              <w:top w:val="nil"/>
              <w:left w:val="nil"/>
              <w:bottom w:val="single" w:sz="4" w:space="0" w:color="auto"/>
              <w:right w:val="single" w:sz="4" w:space="0" w:color="auto"/>
            </w:tcBorders>
            <w:shd w:val="clear" w:color="auto" w:fill="auto"/>
            <w:noWrap/>
            <w:vAlign w:val="bottom"/>
            <w:hideMark/>
          </w:tcPr>
          <w:p w14:paraId="78297C3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6A8F293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-3.114,0</w:t>
            </w:r>
          </w:p>
        </w:tc>
        <w:tc>
          <w:tcPr>
            <w:tcW w:w="960" w:type="dxa"/>
            <w:tcBorders>
              <w:top w:val="nil"/>
              <w:left w:val="nil"/>
              <w:bottom w:val="single" w:sz="4" w:space="0" w:color="auto"/>
              <w:right w:val="single" w:sz="4" w:space="0" w:color="auto"/>
            </w:tcBorders>
            <w:shd w:val="clear" w:color="auto" w:fill="auto"/>
            <w:noWrap/>
            <w:vAlign w:val="bottom"/>
            <w:hideMark/>
          </w:tcPr>
          <w:p w14:paraId="112CF7B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05285EC2"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78C7F730"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-31,0</w:t>
            </w:r>
          </w:p>
        </w:tc>
      </w:tr>
      <w:tr w:rsidR="00394D01" w:rsidRPr="00363CFA" w14:paraId="67381272"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4DFF0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811310</w:t>
            </w:r>
          </w:p>
        </w:tc>
        <w:tc>
          <w:tcPr>
            <w:tcW w:w="3020" w:type="dxa"/>
            <w:tcBorders>
              <w:top w:val="nil"/>
              <w:left w:val="nil"/>
              <w:bottom w:val="nil"/>
              <w:right w:val="single" w:sz="8" w:space="0" w:color="auto"/>
            </w:tcBorders>
            <w:shd w:val="clear" w:color="auto" w:fill="auto"/>
            <w:vAlign w:val="center"/>
            <w:hideMark/>
          </w:tcPr>
          <w:p w14:paraId="3B3E75C8" w14:textId="1E878F9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Crean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e fa</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ă de bugetul de stat a</w:t>
            </w:r>
            <w:r w:rsidR="00C53A99">
              <w:rPr>
                <w:rFonts w:ascii="Calibri Light" w:eastAsia="Times New Roman" w:hAnsi="Calibri Light" w:cs="Calibri Light"/>
                <w:color w:val="000000"/>
                <w:sz w:val="14"/>
                <w:szCs w:val="14"/>
                <w:lang w:val="ro-MD"/>
              </w:rPr>
              <w:t>le</w:t>
            </w:r>
            <w:r w:rsidRPr="00363CFA">
              <w:rPr>
                <w:rFonts w:ascii="Calibri Light" w:eastAsia="Times New Roman" w:hAnsi="Calibri Light" w:cs="Calibri Light"/>
                <w:color w:val="000000"/>
                <w:sz w:val="14"/>
                <w:szCs w:val="14"/>
                <w:lang w:val="ro-MD"/>
              </w:rPr>
              <w:t xml:space="preserve"> bugetelor locale de nivelul II pentru împrumuturile recreditate din surse externe</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6394E40"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36.812,3</w:t>
            </w:r>
          </w:p>
        </w:tc>
        <w:tc>
          <w:tcPr>
            <w:tcW w:w="1100" w:type="dxa"/>
            <w:tcBorders>
              <w:top w:val="nil"/>
              <w:left w:val="nil"/>
              <w:bottom w:val="single" w:sz="4" w:space="0" w:color="auto"/>
              <w:right w:val="single" w:sz="4" w:space="0" w:color="auto"/>
            </w:tcBorders>
            <w:shd w:val="clear" w:color="auto" w:fill="auto"/>
            <w:noWrap/>
            <w:vAlign w:val="bottom"/>
            <w:hideMark/>
          </w:tcPr>
          <w:p w14:paraId="3F7BC9DD"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30.513,3</w:t>
            </w:r>
          </w:p>
        </w:tc>
        <w:tc>
          <w:tcPr>
            <w:tcW w:w="1100" w:type="dxa"/>
            <w:tcBorders>
              <w:top w:val="nil"/>
              <w:left w:val="nil"/>
              <w:bottom w:val="single" w:sz="4" w:space="0" w:color="auto"/>
              <w:right w:val="single" w:sz="4" w:space="0" w:color="auto"/>
            </w:tcBorders>
            <w:shd w:val="clear" w:color="auto" w:fill="auto"/>
            <w:noWrap/>
            <w:vAlign w:val="bottom"/>
            <w:hideMark/>
          </w:tcPr>
          <w:p w14:paraId="0AFBEA3F"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5626E2"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6D1EAE8D"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4D1B3A34"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-6.299,0</w:t>
            </w:r>
          </w:p>
        </w:tc>
        <w:tc>
          <w:tcPr>
            <w:tcW w:w="960" w:type="dxa"/>
            <w:tcBorders>
              <w:top w:val="nil"/>
              <w:left w:val="nil"/>
              <w:bottom w:val="single" w:sz="4" w:space="0" w:color="auto"/>
              <w:right w:val="single" w:sz="4" w:space="0" w:color="auto"/>
            </w:tcBorders>
            <w:shd w:val="clear" w:color="auto" w:fill="auto"/>
            <w:noWrap/>
            <w:vAlign w:val="bottom"/>
            <w:hideMark/>
          </w:tcPr>
          <w:p w14:paraId="2894B4C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-30.513,3</w:t>
            </w:r>
          </w:p>
        </w:tc>
        <w:tc>
          <w:tcPr>
            <w:tcW w:w="960" w:type="dxa"/>
            <w:tcBorders>
              <w:top w:val="nil"/>
              <w:left w:val="nil"/>
              <w:bottom w:val="single" w:sz="4" w:space="0" w:color="auto"/>
              <w:right w:val="single" w:sz="4" w:space="0" w:color="auto"/>
            </w:tcBorders>
            <w:shd w:val="clear" w:color="auto" w:fill="auto"/>
            <w:noWrap/>
            <w:vAlign w:val="bottom"/>
            <w:hideMark/>
          </w:tcPr>
          <w:p w14:paraId="6BE838F7"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46DE538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-20,6</w:t>
            </w:r>
          </w:p>
        </w:tc>
        <w:tc>
          <w:tcPr>
            <w:tcW w:w="960" w:type="dxa"/>
            <w:tcBorders>
              <w:top w:val="nil"/>
              <w:left w:val="nil"/>
              <w:bottom w:val="single" w:sz="4" w:space="0" w:color="auto"/>
              <w:right w:val="single" w:sz="4" w:space="0" w:color="auto"/>
            </w:tcBorders>
            <w:shd w:val="clear" w:color="auto" w:fill="auto"/>
            <w:noWrap/>
            <w:vAlign w:val="bottom"/>
            <w:hideMark/>
          </w:tcPr>
          <w:p w14:paraId="5A37C00E" w14:textId="77777777" w:rsidR="00394D01" w:rsidRPr="00363CFA" w:rsidRDefault="00394D01" w:rsidP="00394D01">
            <w:pPr>
              <w:spacing w:after="0" w:line="240" w:lineRule="auto"/>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27CFBAA5" w14:textId="77777777" w:rsidR="00394D01" w:rsidRPr="00363CFA" w:rsidRDefault="00394D01" w:rsidP="00394D01">
            <w:pPr>
              <w:spacing w:after="0" w:line="240" w:lineRule="auto"/>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 </w:t>
            </w:r>
          </w:p>
        </w:tc>
      </w:tr>
      <w:tr w:rsidR="00394D01" w:rsidRPr="00363CFA" w14:paraId="6B8A313A" w14:textId="77777777" w:rsidTr="007F4964">
        <w:trPr>
          <w:trHeight w:val="20"/>
        </w:trPr>
        <w:tc>
          <w:tcPr>
            <w:tcW w:w="640" w:type="dxa"/>
            <w:tcBorders>
              <w:top w:val="nil"/>
              <w:left w:val="single" w:sz="4" w:space="0" w:color="auto"/>
              <w:bottom w:val="nil"/>
              <w:right w:val="single" w:sz="4" w:space="0" w:color="auto"/>
            </w:tcBorders>
            <w:shd w:val="clear" w:color="auto" w:fill="auto"/>
            <w:hideMark/>
          </w:tcPr>
          <w:p w14:paraId="6D289CB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811420</w:t>
            </w:r>
          </w:p>
        </w:tc>
        <w:tc>
          <w:tcPr>
            <w:tcW w:w="3020" w:type="dxa"/>
            <w:tcBorders>
              <w:top w:val="single" w:sz="4" w:space="0" w:color="auto"/>
              <w:left w:val="nil"/>
              <w:bottom w:val="single" w:sz="4" w:space="0" w:color="auto"/>
              <w:right w:val="single" w:sz="4" w:space="0" w:color="auto"/>
            </w:tcBorders>
            <w:shd w:val="clear" w:color="auto" w:fill="auto"/>
            <w:hideMark/>
          </w:tcPr>
          <w:p w14:paraId="4A10271D"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Crean</w:t>
            </w:r>
            <w:r w:rsidR="0069374B" w:rsidRPr="00363CFA">
              <w:rPr>
                <w:rFonts w:ascii="Calibri Light" w:eastAsia="Times New Roman" w:hAnsi="Calibri Light" w:cs="Calibri Light"/>
                <w:color w:val="000000"/>
                <w:sz w:val="14"/>
                <w:szCs w:val="14"/>
                <w:lang w:val="ro-MD"/>
              </w:rPr>
              <w:t>ț</w:t>
            </w:r>
            <w:r w:rsidRPr="00363CFA">
              <w:rPr>
                <w:rFonts w:ascii="Calibri Light" w:eastAsia="Times New Roman" w:hAnsi="Calibri Light" w:cs="Calibri Light"/>
                <w:color w:val="000000"/>
                <w:sz w:val="14"/>
                <w:szCs w:val="14"/>
                <w:lang w:val="ro-MD"/>
              </w:rPr>
              <w:t>e ale contribuabililor</w:t>
            </w:r>
          </w:p>
        </w:tc>
        <w:tc>
          <w:tcPr>
            <w:tcW w:w="1100" w:type="dxa"/>
            <w:tcBorders>
              <w:top w:val="nil"/>
              <w:left w:val="nil"/>
              <w:bottom w:val="nil"/>
              <w:right w:val="single" w:sz="4" w:space="0" w:color="auto"/>
            </w:tcBorders>
            <w:shd w:val="clear" w:color="auto" w:fill="auto"/>
            <w:hideMark/>
          </w:tcPr>
          <w:p w14:paraId="68B96444"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nil"/>
              <w:left w:val="nil"/>
              <w:bottom w:val="nil"/>
              <w:right w:val="single" w:sz="4" w:space="0" w:color="auto"/>
            </w:tcBorders>
            <w:shd w:val="clear" w:color="auto" w:fill="auto"/>
            <w:hideMark/>
          </w:tcPr>
          <w:p w14:paraId="2B4871A7"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nil"/>
              <w:left w:val="nil"/>
              <w:bottom w:val="nil"/>
              <w:right w:val="single" w:sz="4" w:space="0" w:color="auto"/>
            </w:tcBorders>
            <w:shd w:val="clear" w:color="auto" w:fill="auto"/>
            <w:hideMark/>
          </w:tcPr>
          <w:p w14:paraId="153CCB31"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nil"/>
              <w:left w:val="nil"/>
              <w:bottom w:val="nil"/>
              <w:right w:val="single" w:sz="4" w:space="0" w:color="auto"/>
            </w:tcBorders>
            <w:shd w:val="clear" w:color="auto" w:fill="auto"/>
            <w:hideMark/>
          </w:tcPr>
          <w:p w14:paraId="584BE121"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508,2</w:t>
            </w:r>
          </w:p>
        </w:tc>
        <w:tc>
          <w:tcPr>
            <w:tcW w:w="880" w:type="dxa"/>
            <w:tcBorders>
              <w:top w:val="nil"/>
              <w:left w:val="nil"/>
              <w:bottom w:val="nil"/>
              <w:right w:val="single" w:sz="4" w:space="0" w:color="auto"/>
            </w:tcBorders>
            <w:shd w:val="clear" w:color="auto" w:fill="auto"/>
            <w:noWrap/>
            <w:vAlign w:val="bottom"/>
            <w:hideMark/>
          </w:tcPr>
          <w:p w14:paraId="72089005"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4D89F246"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402034FB"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2E9D5AF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508,2</w:t>
            </w:r>
          </w:p>
        </w:tc>
        <w:tc>
          <w:tcPr>
            <w:tcW w:w="960" w:type="dxa"/>
            <w:tcBorders>
              <w:top w:val="nil"/>
              <w:left w:val="nil"/>
              <w:bottom w:val="single" w:sz="4" w:space="0" w:color="auto"/>
              <w:right w:val="single" w:sz="4" w:space="0" w:color="auto"/>
            </w:tcBorders>
            <w:shd w:val="clear" w:color="auto" w:fill="auto"/>
            <w:noWrap/>
            <w:vAlign w:val="bottom"/>
            <w:hideMark/>
          </w:tcPr>
          <w:p w14:paraId="65B6E6FB" w14:textId="77777777" w:rsidR="00394D01" w:rsidRPr="00363CFA" w:rsidRDefault="00394D01" w:rsidP="00394D01">
            <w:pPr>
              <w:spacing w:after="0" w:line="240" w:lineRule="auto"/>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34C808B2" w14:textId="77777777" w:rsidR="00394D01" w:rsidRPr="00363CFA" w:rsidRDefault="00394D01" w:rsidP="00394D01">
            <w:pPr>
              <w:spacing w:after="0" w:line="240" w:lineRule="auto"/>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7902628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r>
      <w:tr w:rsidR="00394D01" w:rsidRPr="00363CFA" w14:paraId="1E6BD4AF" w14:textId="77777777" w:rsidTr="007F4964">
        <w:trPr>
          <w:trHeight w:val="20"/>
        </w:trPr>
        <w:tc>
          <w:tcPr>
            <w:tcW w:w="640" w:type="dxa"/>
            <w:tcBorders>
              <w:top w:val="single" w:sz="4" w:space="0" w:color="auto"/>
              <w:left w:val="single" w:sz="4" w:space="0" w:color="auto"/>
              <w:bottom w:val="nil"/>
              <w:right w:val="single" w:sz="4" w:space="0" w:color="auto"/>
            </w:tcBorders>
            <w:shd w:val="clear" w:color="auto" w:fill="auto"/>
            <w:hideMark/>
          </w:tcPr>
          <w:p w14:paraId="2F8F5ECE"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812223</w:t>
            </w:r>
          </w:p>
        </w:tc>
        <w:tc>
          <w:tcPr>
            <w:tcW w:w="3020" w:type="dxa"/>
            <w:tcBorders>
              <w:top w:val="nil"/>
              <w:left w:val="nil"/>
              <w:bottom w:val="single" w:sz="4" w:space="0" w:color="auto"/>
              <w:right w:val="single" w:sz="4" w:space="0" w:color="auto"/>
            </w:tcBorders>
            <w:shd w:val="clear" w:color="auto" w:fill="auto"/>
            <w:hideMark/>
          </w:tcPr>
          <w:p w14:paraId="2A34CB7F" w14:textId="77777777" w:rsidR="00394D01" w:rsidRPr="00363CFA" w:rsidRDefault="00394D01" w:rsidP="00394D01">
            <w:pPr>
              <w:spacing w:after="0" w:line="240" w:lineRule="auto"/>
              <w:rPr>
                <w:rFonts w:ascii="Calibri Light" w:eastAsia="Times New Roman" w:hAnsi="Calibri Light" w:cs="Calibri Light"/>
                <w:color w:val="000000"/>
                <w:sz w:val="14"/>
                <w:szCs w:val="14"/>
                <w:lang w:val="ro-MD"/>
              </w:rPr>
            </w:pPr>
            <w:r w:rsidRPr="00363CFA">
              <w:rPr>
                <w:rFonts w:ascii="Calibri Light" w:eastAsia="Times New Roman" w:hAnsi="Calibri Light" w:cs="Calibri Light"/>
                <w:color w:val="000000"/>
                <w:sz w:val="14"/>
                <w:szCs w:val="14"/>
                <w:lang w:val="ro-MD"/>
              </w:rPr>
              <w:t>Datoria privind împrumuturile recreditate din surse externe</w:t>
            </w:r>
          </w:p>
        </w:tc>
        <w:tc>
          <w:tcPr>
            <w:tcW w:w="1100" w:type="dxa"/>
            <w:tcBorders>
              <w:top w:val="single" w:sz="4" w:space="0" w:color="auto"/>
              <w:left w:val="nil"/>
              <w:bottom w:val="nil"/>
              <w:right w:val="single" w:sz="4" w:space="0" w:color="auto"/>
            </w:tcBorders>
            <w:shd w:val="clear" w:color="auto" w:fill="auto"/>
            <w:hideMark/>
          </w:tcPr>
          <w:p w14:paraId="466F85A0"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single" w:sz="4" w:space="0" w:color="auto"/>
              <w:left w:val="nil"/>
              <w:bottom w:val="nil"/>
              <w:right w:val="single" w:sz="4" w:space="0" w:color="auto"/>
            </w:tcBorders>
            <w:shd w:val="clear" w:color="auto" w:fill="auto"/>
            <w:hideMark/>
          </w:tcPr>
          <w:p w14:paraId="3F6637B2"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1100" w:type="dxa"/>
            <w:tcBorders>
              <w:top w:val="single" w:sz="4" w:space="0" w:color="auto"/>
              <w:left w:val="nil"/>
              <w:bottom w:val="nil"/>
              <w:right w:val="single" w:sz="4" w:space="0" w:color="auto"/>
            </w:tcBorders>
            <w:shd w:val="clear" w:color="auto" w:fill="auto"/>
            <w:hideMark/>
          </w:tcPr>
          <w:p w14:paraId="4F738912"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27.894,1</w:t>
            </w:r>
          </w:p>
        </w:tc>
        <w:tc>
          <w:tcPr>
            <w:tcW w:w="1100" w:type="dxa"/>
            <w:tcBorders>
              <w:top w:val="single" w:sz="4" w:space="0" w:color="auto"/>
              <w:left w:val="nil"/>
              <w:bottom w:val="nil"/>
              <w:right w:val="single" w:sz="4" w:space="0" w:color="auto"/>
            </w:tcBorders>
            <w:shd w:val="clear" w:color="auto" w:fill="auto"/>
            <w:hideMark/>
          </w:tcPr>
          <w:p w14:paraId="1E5E567A" w14:textId="77777777" w:rsidR="00394D01" w:rsidRPr="00363CFA" w:rsidRDefault="00394D01" w:rsidP="00394D01">
            <w:pPr>
              <w:spacing w:after="0" w:line="240" w:lineRule="auto"/>
              <w:jc w:val="right"/>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30.482,4</w:t>
            </w:r>
          </w:p>
        </w:tc>
        <w:tc>
          <w:tcPr>
            <w:tcW w:w="880" w:type="dxa"/>
            <w:tcBorders>
              <w:top w:val="single" w:sz="4" w:space="0" w:color="auto"/>
              <w:left w:val="nil"/>
              <w:bottom w:val="nil"/>
              <w:right w:val="single" w:sz="4" w:space="0" w:color="auto"/>
            </w:tcBorders>
            <w:shd w:val="clear" w:color="auto" w:fill="auto"/>
            <w:noWrap/>
            <w:vAlign w:val="bottom"/>
            <w:hideMark/>
          </w:tcPr>
          <w:p w14:paraId="24283F1E" w14:textId="77777777" w:rsidR="00394D01" w:rsidRPr="00363CFA" w:rsidRDefault="00394D01" w:rsidP="00394D01">
            <w:pPr>
              <w:spacing w:after="0" w:line="240" w:lineRule="auto"/>
              <w:rPr>
                <w:rFonts w:ascii="Calibri Light" w:eastAsia="Times New Roman" w:hAnsi="Calibri Light" w:cs="Calibri Light"/>
                <w:color w:val="000000"/>
                <w:sz w:val="16"/>
                <w:szCs w:val="16"/>
                <w:lang w:val="ro-MD"/>
              </w:rPr>
            </w:pPr>
            <w:r w:rsidRPr="00363CFA">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A2F9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1CD0E849"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27.894,1</w:t>
            </w:r>
          </w:p>
        </w:tc>
        <w:tc>
          <w:tcPr>
            <w:tcW w:w="960" w:type="dxa"/>
            <w:tcBorders>
              <w:top w:val="nil"/>
              <w:left w:val="nil"/>
              <w:bottom w:val="single" w:sz="4" w:space="0" w:color="auto"/>
              <w:right w:val="single" w:sz="4" w:space="0" w:color="auto"/>
            </w:tcBorders>
            <w:shd w:val="clear" w:color="auto" w:fill="auto"/>
            <w:noWrap/>
            <w:vAlign w:val="bottom"/>
            <w:hideMark/>
          </w:tcPr>
          <w:p w14:paraId="156BFAFC"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2.588,3</w:t>
            </w:r>
          </w:p>
        </w:tc>
        <w:tc>
          <w:tcPr>
            <w:tcW w:w="960" w:type="dxa"/>
            <w:tcBorders>
              <w:top w:val="nil"/>
              <w:left w:val="nil"/>
              <w:bottom w:val="single" w:sz="4" w:space="0" w:color="auto"/>
              <w:right w:val="single" w:sz="4" w:space="0" w:color="auto"/>
            </w:tcBorders>
            <w:shd w:val="clear" w:color="auto" w:fill="auto"/>
            <w:noWrap/>
            <w:vAlign w:val="bottom"/>
            <w:hideMark/>
          </w:tcPr>
          <w:p w14:paraId="6A884D71" w14:textId="77777777" w:rsidR="00394D01" w:rsidRPr="00363CFA" w:rsidRDefault="00394D01" w:rsidP="00394D01">
            <w:pPr>
              <w:spacing w:after="0" w:line="240" w:lineRule="auto"/>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0A0FD53A"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C73B823" w14:textId="77777777" w:rsidR="00394D01" w:rsidRPr="00363CFA"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363CFA">
              <w:rPr>
                <w:rFonts w:ascii="Calibri Light" w:eastAsia="Times New Roman" w:hAnsi="Calibri Light" w:cs="Calibri Light"/>
                <w:b/>
                <w:bCs/>
                <w:color w:val="000000"/>
                <w:sz w:val="16"/>
                <w:szCs w:val="16"/>
                <w:lang w:val="ro-MD"/>
              </w:rPr>
              <w:t>8,5</w:t>
            </w:r>
          </w:p>
        </w:tc>
      </w:tr>
      <w:tr w:rsidR="00394D01" w:rsidRPr="00C53A99" w14:paraId="6C5466E7" w14:textId="77777777" w:rsidTr="007F4964">
        <w:trPr>
          <w:trHeight w:val="2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14:paraId="29CAF95E"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821400</w:t>
            </w:r>
          </w:p>
        </w:tc>
        <w:tc>
          <w:tcPr>
            <w:tcW w:w="3020" w:type="dxa"/>
            <w:tcBorders>
              <w:top w:val="nil"/>
              <w:left w:val="nil"/>
              <w:bottom w:val="nil"/>
              <w:right w:val="single" w:sz="8" w:space="0" w:color="auto"/>
            </w:tcBorders>
            <w:shd w:val="clear" w:color="auto" w:fill="auto"/>
            <w:vAlign w:val="center"/>
            <w:hideMark/>
          </w:tcPr>
          <w:p w14:paraId="6ACD6309" w14:textId="77777777" w:rsidR="00394D01" w:rsidRPr="00424F06" w:rsidRDefault="00394D01" w:rsidP="00394D01">
            <w:pPr>
              <w:spacing w:after="0" w:line="240" w:lineRule="auto"/>
              <w:rPr>
                <w:rFonts w:ascii="Calibri Light" w:eastAsia="Times New Roman" w:hAnsi="Calibri Light" w:cs="Calibri Light"/>
                <w:color w:val="000000"/>
                <w:sz w:val="16"/>
                <w:szCs w:val="16"/>
                <w:lang w:val="ro-MD"/>
              </w:rPr>
            </w:pPr>
            <w:r w:rsidRPr="00424F06">
              <w:rPr>
                <w:rFonts w:ascii="Calibri Light" w:eastAsia="Times New Roman" w:hAnsi="Calibri Light" w:cs="Calibri Light"/>
                <w:color w:val="000000"/>
                <w:sz w:val="16"/>
                <w:szCs w:val="16"/>
                <w:lang w:val="ro-MD"/>
              </w:rPr>
              <w:t>Angajamente ale bugetului local de nivelul II</w:t>
            </w: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14:paraId="645D52F1"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single" w:sz="4" w:space="0" w:color="auto"/>
              <w:left w:val="nil"/>
              <w:bottom w:val="nil"/>
              <w:right w:val="single" w:sz="4" w:space="0" w:color="auto"/>
            </w:tcBorders>
            <w:shd w:val="clear" w:color="auto" w:fill="auto"/>
            <w:noWrap/>
            <w:vAlign w:val="bottom"/>
            <w:hideMark/>
          </w:tcPr>
          <w:p w14:paraId="6B43DF5C"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17.857,9</w:t>
            </w:r>
          </w:p>
        </w:tc>
        <w:tc>
          <w:tcPr>
            <w:tcW w:w="1100" w:type="dxa"/>
            <w:tcBorders>
              <w:top w:val="single" w:sz="4" w:space="0" w:color="auto"/>
              <w:left w:val="nil"/>
              <w:bottom w:val="nil"/>
              <w:right w:val="single" w:sz="4" w:space="0" w:color="auto"/>
            </w:tcBorders>
            <w:shd w:val="clear" w:color="auto" w:fill="auto"/>
            <w:noWrap/>
            <w:vAlign w:val="bottom"/>
            <w:hideMark/>
          </w:tcPr>
          <w:p w14:paraId="25DCB746"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single" w:sz="4" w:space="0" w:color="auto"/>
              <w:left w:val="nil"/>
              <w:bottom w:val="nil"/>
              <w:right w:val="single" w:sz="4" w:space="0" w:color="auto"/>
            </w:tcBorders>
            <w:shd w:val="clear" w:color="auto" w:fill="auto"/>
            <w:noWrap/>
            <w:vAlign w:val="bottom"/>
            <w:hideMark/>
          </w:tcPr>
          <w:p w14:paraId="1F6FACCF"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880" w:type="dxa"/>
            <w:tcBorders>
              <w:top w:val="single" w:sz="4" w:space="0" w:color="auto"/>
              <w:left w:val="nil"/>
              <w:bottom w:val="nil"/>
              <w:right w:val="single" w:sz="4" w:space="0" w:color="auto"/>
            </w:tcBorders>
            <w:shd w:val="clear" w:color="auto" w:fill="auto"/>
            <w:noWrap/>
            <w:vAlign w:val="bottom"/>
            <w:hideMark/>
          </w:tcPr>
          <w:p w14:paraId="1A453367"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6BD1C4B7"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17.857,9</w:t>
            </w:r>
          </w:p>
        </w:tc>
        <w:tc>
          <w:tcPr>
            <w:tcW w:w="960" w:type="dxa"/>
            <w:tcBorders>
              <w:top w:val="nil"/>
              <w:left w:val="nil"/>
              <w:bottom w:val="single" w:sz="4" w:space="0" w:color="auto"/>
              <w:right w:val="single" w:sz="4" w:space="0" w:color="auto"/>
            </w:tcBorders>
            <w:shd w:val="clear" w:color="auto" w:fill="auto"/>
            <w:noWrap/>
            <w:vAlign w:val="bottom"/>
            <w:hideMark/>
          </w:tcPr>
          <w:p w14:paraId="69749990"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-17.857,9</w:t>
            </w:r>
          </w:p>
        </w:tc>
        <w:tc>
          <w:tcPr>
            <w:tcW w:w="960" w:type="dxa"/>
            <w:tcBorders>
              <w:top w:val="nil"/>
              <w:left w:val="nil"/>
              <w:bottom w:val="single" w:sz="4" w:space="0" w:color="auto"/>
              <w:right w:val="single" w:sz="4" w:space="0" w:color="auto"/>
            </w:tcBorders>
            <w:shd w:val="clear" w:color="auto" w:fill="auto"/>
            <w:noWrap/>
            <w:vAlign w:val="bottom"/>
            <w:hideMark/>
          </w:tcPr>
          <w:p w14:paraId="39341788"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1E779DAA"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DE853C1"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04E1FA85"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r>
      <w:tr w:rsidR="00394D01" w:rsidRPr="00C53A99" w14:paraId="3489D3D7" w14:textId="77777777" w:rsidTr="007F4964">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C9AA9"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821500</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01C63138"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Angajamente ale bugetelor de nivelul I</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B5AF382"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B3C849D"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16867,3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BB86955"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1708,4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CADA3BE"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1867,5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C6F7CE7"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7C176B54"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16.867,3</w:t>
            </w:r>
          </w:p>
        </w:tc>
        <w:tc>
          <w:tcPr>
            <w:tcW w:w="960" w:type="dxa"/>
            <w:tcBorders>
              <w:top w:val="nil"/>
              <w:left w:val="nil"/>
              <w:bottom w:val="single" w:sz="4" w:space="0" w:color="auto"/>
              <w:right w:val="single" w:sz="4" w:space="0" w:color="auto"/>
            </w:tcBorders>
            <w:shd w:val="clear" w:color="auto" w:fill="auto"/>
            <w:noWrap/>
            <w:vAlign w:val="bottom"/>
            <w:hideMark/>
          </w:tcPr>
          <w:p w14:paraId="297D654F"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-15.158,9</w:t>
            </w:r>
          </w:p>
        </w:tc>
        <w:tc>
          <w:tcPr>
            <w:tcW w:w="960" w:type="dxa"/>
            <w:tcBorders>
              <w:top w:val="nil"/>
              <w:left w:val="nil"/>
              <w:bottom w:val="single" w:sz="4" w:space="0" w:color="auto"/>
              <w:right w:val="single" w:sz="4" w:space="0" w:color="auto"/>
            </w:tcBorders>
            <w:shd w:val="clear" w:color="auto" w:fill="auto"/>
            <w:noWrap/>
            <w:vAlign w:val="bottom"/>
            <w:hideMark/>
          </w:tcPr>
          <w:p w14:paraId="4AA461D6"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159,1</w:t>
            </w:r>
          </w:p>
        </w:tc>
        <w:tc>
          <w:tcPr>
            <w:tcW w:w="960" w:type="dxa"/>
            <w:tcBorders>
              <w:top w:val="nil"/>
              <w:left w:val="nil"/>
              <w:bottom w:val="single" w:sz="4" w:space="0" w:color="auto"/>
              <w:right w:val="single" w:sz="4" w:space="0" w:color="auto"/>
            </w:tcBorders>
            <w:shd w:val="clear" w:color="auto" w:fill="auto"/>
            <w:noWrap/>
            <w:vAlign w:val="bottom"/>
            <w:hideMark/>
          </w:tcPr>
          <w:p w14:paraId="1F4A3C4A"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7DF7ABC9"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-887,3</w:t>
            </w:r>
          </w:p>
        </w:tc>
        <w:tc>
          <w:tcPr>
            <w:tcW w:w="960" w:type="dxa"/>
            <w:tcBorders>
              <w:top w:val="nil"/>
              <w:left w:val="nil"/>
              <w:bottom w:val="single" w:sz="4" w:space="0" w:color="auto"/>
              <w:right w:val="single" w:sz="4" w:space="0" w:color="auto"/>
            </w:tcBorders>
            <w:shd w:val="clear" w:color="auto" w:fill="auto"/>
            <w:noWrap/>
            <w:vAlign w:val="bottom"/>
            <w:hideMark/>
          </w:tcPr>
          <w:p w14:paraId="2186341C"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8,5</w:t>
            </w:r>
          </w:p>
        </w:tc>
      </w:tr>
      <w:tr w:rsidR="00394D01" w:rsidRPr="00C53A99" w14:paraId="147455C0"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90A564"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822100</w:t>
            </w:r>
          </w:p>
        </w:tc>
        <w:tc>
          <w:tcPr>
            <w:tcW w:w="3020" w:type="dxa"/>
            <w:tcBorders>
              <w:top w:val="nil"/>
              <w:left w:val="nil"/>
              <w:bottom w:val="single" w:sz="4" w:space="0" w:color="auto"/>
              <w:right w:val="single" w:sz="4" w:space="0" w:color="auto"/>
            </w:tcBorders>
            <w:shd w:val="clear" w:color="auto" w:fill="auto"/>
            <w:noWrap/>
            <w:vAlign w:val="bottom"/>
            <w:hideMark/>
          </w:tcPr>
          <w:p w14:paraId="1625AF58"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Active luate în loca</w:t>
            </w:r>
            <w:r w:rsidR="0069374B" w:rsidRPr="00C53A99">
              <w:rPr>
                <w:rFonts w:ascii="Calibri Light" w:eastAsia="Times New Roman" w:hAnsi="Calibri Light" w:cs="Calibri Light"/>
                <w:color w:val="000000"/>
                <w:sz w:val="16"/>
                <w:szCs w:val="16"/>
                <w:lang w:val="ro-MD"/>
              </w:rPr>
              <w:t>ț</w:t>
            </w:r>
            <w:r w:rsidRPr="00C53A99">
              <w:rPr>
                <w:rFonts w:ascii="Calibri Light" w:eastAsia="Times New Roman" w:hAnsi="Calibri Light" w:cs="Calibri Light"/>
                <w:color w:val="000000"/>
                <w:sz w:val="16"/>
                <w:szCs w:val="16"/>
                <w:lang w:val="ro-MD"/>
              </w:rPr>
              <w:t>iune/arendă</w:t>
            </w:r>
          </w:p>
        </w:tc>
        <w:tc>
          <w:tcPr>
            <w:tcW w:w="1100" w:type="dxa"/>
            <w:tcBorders>
              <w:top w:val="nil"/>
              <w:left w:val="nil"/>
              <w:bottom w:val="single" w:sz="4" w:space="0" w:color="auto"/>
              <w:right w:val="single" w:sz="4" w:space="0" w:color="auto"/>
            </w:tcBorders>
            <w:shd w:val="clear" w:color="auto" w:fill="auto"/>
            <w:noWrap/>
            <w:vAlign w:val="bottom"/>
            <w:hideMark/>
          </w:tcPr>
          <w:p w14:paraId="3EC4776B"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262368"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220.070,2</w:t>
            </w:r>
          </w:p>
        </w:tc>
        <w:tc>
          <w:tcPr>
            <w:tcW w:w="1100" w:type="dxa"/>
            <w:tcBorders>
              <w:top w:val="nil"/>
              <w:left w:val="nil"/>
              <w:bottom w:val="single" w:sz="4" w:space="0" w:color="auto"/>
              <w:right w:val="single" w:sz="4" w:space="0" w:color="auto"/>
            </w:tcBorders>
            <w:shd w:val="clear" w:color="auto" w:fill="auto"/>
            <w:noWrap/>
            <w:vAlign w:val="bottom"/>
            <w:hideMark/>
          </w:tcPr>
          <w:p w14:paraId="5C2916F5"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243.093,7</w:t>
            </w:r>
          </w:p>
        </w:tc>
        <w:tc>
          <w:tcPr>
            <w:tcW w:w="1100" w:type="dxa"/>
            <w:tcBorders>
              <w:top w:val="nil"/>
              <w:left w:val="nil"/>
              <w:bottom w:val="single" w:sz="4" w:space="0" w:color="auto"/>
              <w:right w:val="single" w:sz="4" w:space="0" w:color="auto"/>
            </w:tcBorders>
            <w:shd w:val="clear" w:color="auto" w:fill="auto"/>
            <w:noWrap/>
            <w:vAlign w:val="bottom"/>
            <w:hideMark/>
          </w:tcPr>
          <w:p w14:paraId="2F62AE77"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259.648,0</w:t>
            </w:r>
          </w:p>
        </w:tc>
        <w:tc>
          <w:tcPr>
            <w:tcW w:w="880" w:type="dxa"/>
            <w:tcBorders>
              <w:top w:val="nil"/>
              <w:left w:val="nil"/>
              <w:bottom w:val="single" w:sz="4" w:space="0" w:color="auto"/>
              <w:right w:val="single" w:sz="4" w:space="0" w:color="auto"/>
            </w:tcBorders>
            <w:shd w:val="clear" w:color="auto" w:fill="auto"/>
            <w:noWrap/>
            <w:vAlign w:val="bottom"/>
            <w:hideMark/>
          </w:tcPr>
          <w:p w14:paraId="77CBCF90"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60E6BA53"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220.070,2</w:t>
            </w:r>
          </w:p>
        </w:tc>
        <w:tc>
          <w:tcPr>
            <w:tcW w:w="960" w:type="dxa"/>
            <w:tcBorders>
              <w:top w:val="nil"/>
              <w:left w:val="nil"/>
              <w:bottom w:val="single" w:sz="4" w:space="0" w:color="auto"/>
              <w:right w:val="single" w:sz="4" w:space="0" w:color="auto"/>
            </w:tcBorders>
            <w:shd w:val="clear" w:color="auto" w:fill="auto"/>
            <w:noWrap/>
            <w:vAlign w:val="bottom"/>
            <w:hideMark/>
          </w:tcPr>
          <w:p w14:paraId="0E86FB77"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23.023,5</w:t>
            </w:r>
          </w:p>
        </w:tc>
        <w:tc>
          <w:tcPr>
            <w:tcW w:w="960" w:type="dxa"/>
            <w:tcBorders>
              <w:top w:val="nil"/>
              <w:left w:val="nil"/>
              <w:bottom w:val="single" w:sz="4" w:space="0" w:color="auto"/>
              <w:right w:val="single" w:sz="4" w:space="0" w:color="auto"/>
            </w:tcBorders>
            <w:shd w:val="clear" w:color="auto" w:fill="auto"/>
            <w:noWrap/>
            <w:vAlign w:val="bottom"/>
            <w:hideMark/>
          </w:tcPr>
          <w:p w14:paraId="6B69BAA0"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16.554,3</w:t>
            </w:r>
          </w:p>
        </w:tc>
        <w:tc>
          <w:tcPr>
            <w:tcW w:w="960" w:type="dxa"/>
            <w:tcBorders>
              <w:top w:val="nil"/>
              <w:left w:val="nil"/>
              <w:bottom w:val="single" w:sz="4" w:space="0" w:color="auto"/>
              <w:right w:val="single" w:sz="4" w:space="0" w:color="auto"/>
            </w:tcBorders>
            <w:shd w:val="clear" w:color="auto" w:fill="auto"/>
            <w:noWrap/>
            <w:vAlign w:val="bottom"/>
            <w:hideMark/>
          </w:tcPr>
          <w:p w14:paraId="52298762"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E3B8CCD"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9,5</w:t>
            </w:r>
          </w:p>
        </w:tc>
        <w:tc>
          <w:tcPr>
            <w:tcW w:w="960" w:type="dxa"/>
            <w:tcBorders>
              <w:top w:val="nil"/>
              <w:left w:val="nil"/>
              <w:bottom w:val="single" w:sz="4" w:space="0" w:color="auto"/>
              <w:right w:val="single" w:sz="4" w:space="0" w:color="auto"/>
            </w:tcBorders>
            <w:shd w:val="clear" w:color="auto" w:fill="auto"/>
            <w:noWrap/>
            <w:vAlign w:val="bottom"/>
            <w:hideMark/>
          </w:tcPr>
          <w:p w14:paraId="6D9551E9"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6,4</w:t>
            </w:r>
          </w:p>
        </w:tc>
      </w:tr>
      <w:tr w:rsidR="00394D01" w:rsidRPr="00C53A99" w14:paraId="7C2A5863"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0A7533"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822300</w:t>
            </w:r>
          </w:p>
        </w:tc>
        <w:tc>
          <w:tcPr>
            <w:tcW w:w="3020" w:type="dxa"/>
            <w:tcBorders>
              <w:top w:val="nil"/>
              <w:left w:val="nil"/>
              <w:bottom w:val="single" w:sz="4" w:space="0" w:color="auto"/>
              <w:right w:val="single" w:sz="4" w:space="0" w:color="auto"/>
            </w:tcBorders>
            <w:shd w:val="clear" w:color="auto" w:fill="auto"/>
            <w:noWrap/>
            <w:vAlign w:val="bottom"/>
            <w:hideMark/>
          </w:tcPr>
          <w:p w14:paraId="023F0630"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Formulare de valori</w:t>
            </w:r>
          </w:p>
        </w:tc>
        <w:tc>
          <w:tcPr>
            <w:tcW w:w="1100" w:type="dxa"/>
            <w:tcBorders>
              <w:top w:val="nil"/>
              <w:left w:val="nil"/>
              <w:bottom w:val="single" w:sz="4" w:space="0" w:color="auto"/>
              <w:right w:val="single" w:sz="4" w:space="0" w:color="auto"/>
            </w:tcBorders>
            <w:shd w:val="clear" w:color="auto" w:fill="auto"/>
            <w:noWrap/>
            <w:vAlign w:val="bottom"/>
            <w:hideMark/>
          </w:tcPr>
          <w:p w14:paraId="46DD1F0D"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FD17BC"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8441E5"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E0A351"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0,1</w:t>
            </w:r>
          </w:p>
        </w:tc>
        <w:tc>
          <w:tcPr>
            <w:tcW w:w="880" w:type="dxa"/>
            <w:tcBorders>
              <w:top w:val="nil"/>
              <w:left w:val="nil"/>
              <w:bottom w:val="single" w:sz="4" w:space="0" w:color="auto"/>
              <w:right w:val="single" w:sz="4" w:space="0" w:color="auto"/>
            </w:tcBorders>
            <w:shd w:val="clear" w:color="auto" w:fill="auto"/>
            <w:noWrap/>
            <w:vAlign w:val="bottom"/>
            <w:hideMark/>
          </w:tcPr>
          <w:p w14:paraId="1FE62BF3"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5C30D4BB"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585DE066"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24769A6C"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0,1</w:t>
            </w:r>
          </w:p>
        </w:tc>
        <w:tc>
          <w:tcPr>
            <w:tcW w:w="960" w:type="dxa"/>
            <w:tcBorders>
              <w:top w:val="nil"/>
              <w:left w:val="nil"/>
              <w:bottom w:val="single" w:sz="4" w:space="0" w:color="auto"/>
              <w:right w:val="single" w:sz="4" w:space="0" w:color="auto"/>
            </w:tcBorders>
            <w:shd w:val="clear" w:color="auto" w:fill="auto"/>
            <w:noWrap/>
            <w:vAlign w:val="bottom"/>
            <w:hideMark/>
          </w:tcPr>
          <w:p w14:paraId="750EF441"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59BD4557"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4D1A11D1"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r>
      <w:tr w:rsidR="00394D01" w:rsidRPr="00C53A99" w14:paraId="464B5ECA"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8DC985"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822710</w:t>
            </w:r>
          </w:p>
        </w:tc>
        <w:tc>
          <w:tcPr>
            <w:tcW w:w="3020" w:type="dxa"/>
            <w:tcBorders>
              <w:top w:val="nil"/>
              <w:left w:val="nil"/>
              <w:bottom w:val="single" w:sz="4" w:space="0" w:color="auto"/>
              <w:right w:val="single" w:sz="4" w:space="0" w:color="auto"/>
            </w:tcBorders>
            <w:shd w:val="clear" w:color="auto" w:fill="auto"/>
            <w:hideMark/>
          </w:tcPr>
          <w:p w14:paraId="7D78E162"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Crean</w:t>
            </w:r>
            <w:r w:rsidR="0069374B" w:rsidRPr="00C53A99">
              <w:rPr>
                <w:rFonts w:ascii="Calibri Light" w:eastAsia="Times New Roman" w:hAnsi="Calibri Light" w:cs="Calibri Light"/>
                <w:color w:val="000000"/>
                <w:sz w:val="16"/>
                <w:szCs w:val="16"/>
                <w:lang w:val="ro-MD"/>
              </w:rPr>
              <w:t>ț</w:t>
            </w:r>
            <w:r w:rsidRPr="00C53A99">
              <w:rPr>
                <w:rFonts w:ascii="Calibri Light" w:eastAsia="Times New Roman" w:hAnsi="Calibri Light" w:cs="Calibri Light"/>
                <w:color w:val="000000"/>
                <w:sz w:val="16"/>
                <w:szCs w:val="16"/>
                <w:lang w:val="ro-MD"/>
              </w:rPr>
              <w:t xml:space="preserve">e privind lipsurile </w:t>
            </w:r>
            <w:r w:rsidR="0069374B" w:rsidRPr="00C53A99">
              <w:rPr>
                <w:rFonts w:ascii="Calibri Light" w:eastAsia="Times New Roman" w:hAnsi="Calibri Light" w:cs="Calibri Light"/>
                <w:color w:val="000000"/>
                <w:sz w:val="16"/>
                <w:szCs w:val="16"/>
                <w:lang w:val="ro-MD"/>
              </w:rPr>
              <w:t>ș</w:t>
            </w:r>
            <w:r w:rsidRPr="00C53A99">
              <w:rPr>
                <w:rFonts w:ascii="Calibri Light" w:eastAsia="Times New Roman" w:hAnsi="Calibri Light" w:cs="Calibri Light"/>
                <w:color w:val="000000"/>
                <w:sz w:val="16"/>
                <w:szCs w:val="16"/>
                <w:lang w:val="ro-MD"/>
              </w:rPr>
              <w:t>i delapidările de mijloace băne</w:t>
            </w:r>
            <w:r w:rsidR="0069374B" w:rsidRPr="00C53A99">
              <w:rPr>
                <w:rFonts w:ascii="Calibri Light" w:eastAsia="Times New Roman" w:hAnsi="Calibri Light" w:cs="Calibri Light"/>
                <w:color w:val="000000"/>
                <w:sz w:val="16"/>
                <w:szCs w:val="16"/>
                <w:lang w:val="ro-MD"/>
              </w:rPr>
              <w:t>ș</w:t>
            </w:r>
            <w:r w:rsidRPr="00C53A99">
              <w:rPr>
                <w:rFonts w:ascii="Calibri Light" w:eastAsia="Times New Roman" w:hAnsi="Calibri Light" w:cs="Calibri Light"/>
                <w:color w:val="000000"/>
                <w:sz w:val="16"/>
                <w:szCs w:val="16"/>
                <w:lang w:val="ro-MD"/>
              </w:rPr>
              <w:t xml:space="preserve">ti </w:t>
            </w:r>
            <w:r w:rsidR="0069374B" w:rsidRPr="00C53A99">
              <w:rPr>
                <w:rFonts w:ascii="Calibri Light" w:eastAsia="Times New Roman" w:hAnsi="Calibri Light" w:cs="Calibri Light"/>
                <w:color w:val="000000"/>
                <w:sz w:val="16"/>
                <w:szCs w:val="16"/>
                <w:lang w:val="ro-MD"/>
              </w:rPr>
              <w:t>ș</w:t>
            </w:r>
            <w:r w:rsidRPr="00C53A99">
              <w:rPr>
                <w:rFonts w:ascii="Calibri Light" w:eastAsia="Times New Roman" w:hAnsi="Calibri Light" w:cs="Calibri Light"/>
                <w:color w:val="000000"/>
                <w:sz w:val="16"/>
                <w:szCs w:val="16"/>
                <w:lang w:val="ro-MD"/>
              </w:rPr>
              <w:t>i valori materiale aflate în organele de anchetă</w:t>
            </w:r>
          </w:p>
        </w:tc>
        <w:tc>
          <w:tcPr>
            <w:tcW w:w="1100" w:type="dxa"/>
            <w:tcBorders>
              <w:top w:val="nil"/>
              <w:left w:val="nil"/>
              <w:bottom w:val="single" w:sz="4" w:space="0" w:color="auto"/>
              <w:right w:val="single" w:sz="4" w:space="0" w:color="auto"/>
            </w:tcBorders>
            <w:shd w:val="clear" w:color="auto" w:fill="auto"/>
            <w:noWrap/>
            <w:vAlign w:val="bottom"/>
            <w:hideMark/>
          </w:tcPr>
          <w:p w14:paraId="216B665D"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3042B7B5"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8E5DE5"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117,5</w:t>
            </w:r>
          </w:p>
        </w:tc>
        <w:tc>
          <w:tcPr>
            <w:tcW w:w="1100" w:type="dxa"/>
            <w:tcBorders>
              <w:top w:val="nil"/>
              <w:left w:val="nil"/>
              <w:bottom w:val="single" w:sz="4" w:space="0" w:color="auto"/>
              <w:right w:val="single" w:sz="4" w:space="0" w:color="auto"/>
            </w:tcBorders>
            <w:shd w:val="clear" w:color="auto" w:fill="auto"/>
            <w:noWrap/>
            <w:vAlign w:val="center"/>
            <w:hideMark/>
          </w:tcPr>
          <w:p w14:paraId="12B4C414"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122,5</w:t>
            </w:r>
          </w:p>
        </w:tc>
        <w:tc>
          <w:tcPr>
            <w:tcW w:w="880" w:type="dxa"/>
            <w:tcBorders>
              <w:top w:val="nil"/>
              <w:left w:val="nil"/>
              <w:bottom w:val="single" w:sz="4" w:space="0" w:color="auto"/>
              <w:right w:val="single" w:sz="4" w:space="0" w:color="auto"/>
            </w:tcBorders>
            <w:shd w:val="clear" w:color="auto" w:fill="auto"/>
            <w:noWrap/>
            <w:vAlign w:val="bottom"/>
            <w:hideMark/>
          </w:tcPr>
          <w:p w14:paraId="3BD2FB59"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28015522"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562BBDFC"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117,5</w:t>
            </w:r>
          </w:p>
        </w:tc>
        <w:tc>
          <w:tcPr>
            <w:tcW w:w="960" w:type="dxa"/>
            <w:tcBorders>
              <w:top w:val="nil"/>
              <w:left w:val="nil"/>
              <w:bottom w:val="single" w:sz="4" w:space="0" w:color="auto"/>
              <w:right w:val="single" w:sz="4" w:space="0" w:color="auto"/>
            </w:tcBorders>
            <w:shd w:val="clear" w:color="auto" w:fill="auto"/>
            <w:noWrap/>
            <w:vAlign w:val="bottom"/>
            <w:hideMark/>
          </w:tcPr>
          <w:p w14:paraId="67245512"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5,0</w:t>
            </w:r>
          </w:p>
        </w:tc>
        <w:tc>
          <w:tcPr>
            <w:tcW w:w="960" w:type="dxa"/>
            <w:tcBorders>
              <w:top w:val="nil"/>
              <w:left w:val="nil"/>
              <w:bottom w:val="single" w:sz="4" w:space="0" w:color="auto"/>
              <w:right w:val="single" w:sz="4" w:space="0" w:color="auto"/>
            </w:tcBorders>
            <w:shd w:val="clear" w:color="auto" w:fill="auto"/>
            <w:noWrap/>
            <w:vAlign w:val="bottom"/>
            <w:hideMark/>
          </w:tcPr>
          <w:p w14:paraId="77E07C49"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7A0CFA2C"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5EE65B59"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4,1</w:t>
            </w:r>
          </w:p>
        </w:tc>
      </w:tr>
      <w:tr w:rsidR="00394D01" w:rsidRPr="00C53A99" w14:paraId="3D036A02" w14:textId="77777777" w:rsidTr="007F4964">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805614"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822900</w:t>
            </w:r>
          </w:p>
        </w:tc>
        <w:tc>
          <w:tcPr>
            <w:tcW w:w="3020" w:type="dxa"/>
            <w:tcBorders>
              <w:top w:val="nil"/>
              <w:left w:val="nil"/>
              <w:bottom w:val="single" w:sz="4" w:space="0" w:color="auto"/>
              <w:right w:val="single" w:sz="4" w:space="0" w:color="auto"/>
            </w:tcBorders>
            <w:shd w:val="clear" w:color="auto" w:fill="auto"/>
            <w:noWrap/>
            <w:vAlign w:val="bottom"/>
            <w:hideMark/>
          </w:tcPr>
          <w:p w14:paraId="5A733047"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Alte conturi extrabilan</w:t>
            </w:r>
            <w:r w:rsidR="0069374B" w:rsidRPr="00C53A99">
              <w:rPr>
                <w:rFonts w:ascii="Calibri Light" w:eastAsia="Times New Roman" w:hAnsi="Calibri Light" w:cs="Calibri Light"/>
                <w:color w:val="000000"/>
                <w:sz w:val="16"/>
                <w:szCs w:val="16"/>
                <w:lang w:val="ro-MD"/>
              </w:rPr>
              <w:t>ț</w:t>
            </w:r>
            <w:r w:rsidRPr="00C53A99">
              <w:rPr>
                <w:rFonts w:ascii="Calibri Light" w:eastAsia="Times New Roman" w:hAnsi="Calibri Light" w:cs="Calibri Light"/>
                <w:color w:val="000000"/>
                <w:sz w:val="16"/>
                <w:szCs w:val="16"/>
                <w:lang w:val="ro-MD"/>
              </w:rPr>
              <w:t>iere</w:t>
            </w:r>
          </w:p>
        </w:tc>
        <w:tc>
          <w:tcPr>
            <w:tcW w:w="1100" w:type="dxa"/>
            <w:tcBorders>
              <w:top w:val="nil"/>
              <w:left w:val="nil"/>
              <w:bottom w:val="single" w:sz="4" w:space="0" w:color="auto"/>
              <w:right w:val="single" w:sz="4" w:space="0" w:color="auto"/>
            </w:tcBorders>
            <w:shd w:val="clear" w:color="auto" w:fill="auto"/>
            <w:noWrap/>
            <w:vAlign w:val="bottom"/>
            <w:hideMark/>
          </w:tcPr>
          <w:p w14:paraId="10100D08"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52D09B56" w14:textId="77777777" w:rsidR="00394D01" w:rsidRPr="00C53A99" w:rsidRDefault="00394D01" w:rsidP="00394D01">
            <w:pPr>
              <w:spacing w:after="0" w:line="240" w:lineRule="auto"/>
              <w:jc w:val="right"/>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114,9</w:t>
            </w:r>
          </w:p>
        </w:tc>
        <w:tc>
          <w:tcPr>
            <w:tcW w:w="1100" w:type="dxa"/>
            <w:tcBorders>
              <w:top w:val="nil"/>
              <w:left w:val="nil"/>
              <w:bottom w:val="single" w:sz="4" w:space="0" w:color="auto"/>
              <w:right w:val="single" w:sz="4" w:space="0" w:color="auto"/>
            </w:tcBorders>
            <w:shd w:val="clear" w:color="auto" w:fill="auto"/>
            <w:noWrap/>
            <w:vAlign w:val="bottom"/>
            <w:hideMark/>
          </w:tcPr>
          <w:p w14:paraId="27E40B42"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1100" w:type="dxa"/>
            <w:tcBorders>
              <w:top w:val="nil"/>
              <w:left w:val="nil"/>
              <w:bottom w:val="single" w:sz="4" w:space="0" w:color="auto"/>
              <w:right w:val="single" w:sz="4" w:space="0" w:color="auto"/>
            </w:tcBorders>
            <w:shd w:val="clear" w:color="auto" w:fill="auto"/>
            <w:noWrap/>
            <w:vAlign w:val="bottom"/>
            <w:hideMark/>
          </w:tcPr>
          <w:p w14:paraId="7290B4B8"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880" w:type="dxa"/>
            <w:tcBorders>
              <w:top w:val="nil"/>
              <w:left w:val="nil"/>
              <w:bottom w:val="single" w:sz="4" w:space="0" w:color="auto"/>
              <w:right w:val="single" w:sz="4" w:space="0" w:color="auto"/>
            </w:tcBorders>
            <w:shd w:val="clear" w:color="auto" w:fill="auto"/>
            <w:noWrap/>
            <w:vAlign w:val="bottom"/>
            <w:hideMark/>
          </w:tcPr>
          <w:p w14:paraId="3471FD91" w14:textId="77777777" w:rsidR="00394D01" w:rsidRPr="00C53A99" w:rsidRDefault="00394D01" w:rsidP="00394D01">
            <w:pPr>
              <w:spacing w:after="0" w:line="240" w:lineRule="auto"/>
              <w:rPr>
                <w:rFonts w:ascii="Calibri Light" w:eastAsia="Times New Roman" w:hAnsi="Calibri Light" w:cs="Calibri Light"/>
                <w:color w:val="000000"/>
                <w:sz w:val="16"/>
                <w:szCs w:val="16"/>
                <w:lang w:val="ro-MD"/>
              </w:rPr>
            </w:pPr>
            <w:r w:rsidRPr="00C53A99">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14196DEF"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114,9</w:t>
            </w:r>
          </w:p>
        </w:tc>
        <w:tc>
          <w:tcPr>
            <w:tcW w:w="960" w:type="dxa"/>
            <w:tcBorders>
              <w:top w:val="nil"/>
              <w:left w:val="nil"/>
              <w:bottom w:val="single" w:sz="4" w:space="0" w:color="auto"/>
              <w:right w:val="single" w:sz="4" w:space="0" w:color="auto"/>
            </w:tcBorders>
            <w:shd w:val="clear" w:color="auto" w:fill="auto"/>
            <w:noWrap/>
            <w:vAlign w:val="bottom"/>
            <w:hideMark/>
          </w:tcPr>
          <w:p w14:paraId="2E9B1D87"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-114,9</w:t>
            </w:r>
          </w:p>
        </w:tc>
        <w:tc>
          <w:tcPr>
            <w:tcW w:w="960" w:type="dxa"/>
            <w:tcBorders>
              <w:top w:val="nil"/>
              <w:left w:val="nil"/>
              <w:bottom w:val="single" w:sz="4" w:space="0" w:color="auto"/>
              <w:right w:val="single" w:sz="4" w:space="0" w:color="auto"/>
            </w:tcBorders>
            <w:shd w:val="clear" w:color="auto" w:fill="auto"/>
            <w:noWrap/>
            <w:vAlign w:val="bottom"/>
            <w:hideMark/>
          </w:tcPr>
          <w:p w14:paraId="0FC88443"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0,0</w:t>
            </w:r>
          </w:p>
        </w:tc>
        <w:tc>
          <w:tcPr>
            <w:tcW w:w="960" w:type="dxa"/>
            <w:tcBorders>
              <w:top w:val="nil"/>
              <w:left w:val="nil"/>
              <w:bottom w:val="single" w:sz="4" w:space="0" w:color="auto"/>
              <w:right w:val="single" w:sz="4" w:space="0" w:color="auto"/>
            </w:tcBorders>
            <w:shd w:val="clear" w:color="auto" w:fill="auto"/>
            <w:noWrap/>
            <w:vAlign w:val="bottom"/>
            <w:hideMark/>
          </w:tcPr>
          <w:p w14:paraId="1A86A501" w14:textId="77777777" w:rsidR="00394D01" w:rsidRPr="00C53A99" w:rsidRDefault="00394D01" w:rsidP="00394D01">
            <w:pPr>
              <w:spacing w:after="0" w:line="240" w:lineRule="auto"/>
              <w:jc w:val="right"/>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A74E6B7"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14:paraId="31C3BBAB" w14:textId="77777777" w:rsidR="00394D01" w:rsidRPr="00C53A99" w:rsidRDefault="00394D01" w:rsidP="00394D01">
            <w:pPr>
              <w:spacing w:after="0" w:line="240" w:lineRule="auto"/>
              <w:rPr>
                <w:rFonts w:ascii="Calibri Light" w:eastAsia="Times New Roman" w:hAnsi="Calibri Light" w:cs="Calibri Light"/>
                <w:b/>
                <w:bCs/>
                <w:color w:val="000000"/>
                <w:sz w:val="16"/>
                <w:szCs w:val="16"/>
                <w:lang w:val="ro-MD"/>
              </w:rPr>
            </w:pPr>
            <w:r w:rsidRPr="00C53A99">
              <w:rPr>
                <w:rFonts w:ascii="Calibri Light" w:eastAsia="Times New Roman" w:hAnsi="Calibri Light" w:cs="Calibri Light"/>
                <w:b/>
                <w:bCs/>
                <w:color w:val="000000"/>
                <w:sz w:val="16"/>
                <w:szCs w:val="16"/>
                <w:lang w:val="ro-MD"/>
              </w:rPr>
              <w:t> </w:t>
            </w:r>
          </w:p>
        </w:tc>
      </w:tr>
    </w:tbl>
    <w:p w14:paraId="4706B53A" w14:textId="77777777" w:rsidR="00394D01" w:rsidRPr="00424F06" w:rsidRDefault="00394D01" w:rsidP="004F645B">
      <w:pPr>
        <w:spacing w:line="276" w:lineRule="auto"/>
        <w:jc w:val="both"/>
        <w:rPr>
          <w:rFonts w:ascii="Calibri Light" w:hAnsi="Calibri Light" w:cstheme="majorHAnsi"/>
          <w:b/>
          <w:bCs/>
          <w:sz w:val="24"/>
          <w:szCs w:val="24"/>
          <w:lang w:val="ro-MD"/>
        </w:rPr>
      </w:pPr>
    </w:p>
    <w:p w14:paraId="67635E7D" w14:textId="77777777" w:rsidR="00394D01" w:rsidRPr="00363CFA" w:rsidRDefault="00394D01" w:rsidP="004F645B">
      <w:pPr>
        <w:spacing w:line="276" w:lineRule="auto"/>
        <w:jc w:val="both"/>
        <w:rPr>
          <w:rFonts w:asciiTheme="majorHAnsi" w:hAnsiTheme="majorHAnsi" w:cstheme="majorHAnsi"/>
          <w:b/>
          <w:bCs/>
          <w:sz w:val="24"/>
          <w:szCs w:val="24"/>
          <w:lang w:val="ro-MD"/>
        </w:rPr>
      </w:pPr>
    </w:p>
    <w:p w14:paraId="6A2CDB3E" w14:textId="77777777" w:rsidR="00394D01" w:rsidRPr="00363CFA" w:rsidRDefault="00394D01" w:rsidP="004F645B">
      <w:pPr>
        <w:spacing w:line="276" w:lineRule="auto"/>
        <w:jc w:val="both"/>
        <w:rPr>
          <w:rFonts w:asciiTheme="majorHAnsi" w:hAnsiTheme="majorHAnsi" w:cstheme="majorHAnsi"/>
          <w:b/>
          <w:bCs/>
          <w:sz w:val="24"/>
          <w:szCs w:val="24"/>
          <w:lang w:val="ro-MD"/>
        </w:rPr>
      </w:pPr>
    </w:p>
    <w:p w14:paraId="55E3C0B3" w14:textId="77777777" w:rsidR="00394D01" w:rsidRPr="00363CFA" w:rsidRDefault="00394D01" w:rsidP="004F645B">
      <w:pPr>
        <w:spacing w:line="276" w:lineRule="auto"/>
        <w:jc w:val="both"/>
        <w:rPr>
          <w:rFonts w:asciiTheme="majorHAnsi" w:hAnsiTheme="majorHAnsi" w:cstheme="majorHAnsi"/>
          <w:b/>
          <w:bCs/>
          <w:sz w:val="24"/>
          <w:szCs w:val="24"/>
          <w:lang w:val="ro-MD"/>
        </w:rPr>
        <w:sectPr w:rsidR="00394D01" w:rsidRPr="00363CFA" w:rsidSect="00394D01">
          <w:pgSz w:w="16840" w:h="11907" w:orient="landscape" w:code="9"/>
          <w:pgMar w:top="1440" w:right="1440" w:bottom="1440" w:left="1440" w:header="709" w:footer="709" w:gutter="0"/>
          <w:cols w:space="708"/>
          <w:docGrid w:linePitch="360"/>
        </w:sectPr>
      </w:pPr>
    </w:p>
    <w:p w14:paraId="3160AA6F" w14:textId="6DC54EAA" w:rsidR="00394D01" w:rsidRPr="00424F06" w:rsidRDefault="00394D01" w:rsidP="00394D01">
      <w:pPr>
        <w:keepNext/>
        <w:keepLines/>
        <w:spacing w:before="240" w:after="0" w:line="276" w:lineRule="auto"/>
        <w:jc w:val="right"/>
        <w:outlineLvl w:val="0"/>
        <w:rPr>
          <w:rFonts w:asciiTheme="majorHAnsi" w:eastAsiaTheme="majorEastAsia" w:hAnsiTheme="majorHAnsi" w:cstheme="majorHAnsi"/>
          <w:b/>
          <w:bCs/>
          <w:sz w:val="24"/>
          <w:szCs w:val="24"/>
          <w:lang w:val="ro-MD"/>
        </w:rPr>
      </w:pPr>
      <w:bookmarkStart w:id="35" w:name="_Toc84512913"/>
      <w:r w:rsidRPr="00424F06">
        <w:rPr>
          <w:rFonts w:asciiTheme="majorHAnsi" w:eastAsiaTheme="majorEastAsia" w:hAnsiTheme="majorHAnsi" w:cstheme="majorHAnsi"/>
          <w:b/>
          <w:bCs/>
          <w:sz w:val="24"/>
          <w:szCs w:val="24"/>
          <w:lang w:val="ro-MD"/>
        </w:rPr>
        <w:lastRenderedPageBreak/>
        <w:t>Anexa nr.2</w:t>
      </w:r>
      <w:bookmarkEnd w:id="35"/>
    </w:p>
    <w:p w14:paraId="64772882" w14:textId="77777777" w:rsidR="00394D01" w:rsidRPr="00424F06" w:rsidRDefault="00394D01" w:rsidP="00394D01">
      <w:pPr>
        <w:spacing w:line="276" w:lineRule="auto"/>
        <w:jc w:val="center"/>
        <w:rPr>
          <w:rFonts w:asciiTheme="majorHAnsi" w:eastAsia="Times New Roman" w:hAnsiTheme="majorHAnsi" w:cstheme="majorHAnsi"/>
          <w:b/>
          <w:bCs/>
          <w:color w:val="000000"/>
          <w:sz w:val="28"/>
          <w:szCs w:val="28"/>
          <w:lang w:val="ro-MD" w:bidi="bo-CN"/>
        </w:rPr>
      </w:pPr>
      <w:r w:rsidRPr="00424F06">
        <w:rPr>
          <w:rFonts w:asciiTheme="majorHAnsi" w:eastAsia="Times New Roman" w:hAnsiTheme="majorHAnsi" w:cstheme="majorHAnsi"/>
          <w:b/>
          <w:bCs/>
          <w:color w:val="000000"/>
          <w:sz w:val="28"/>
          <w:szCs w:val="28"/>
          <w:lang w:val="ro-MD" w:bidi="bo-CN"/>
        </w:rPr>
        <w:t xml:space="preserve">Sfera </w:t>
      </w:r>
      <w:r w:rsidR="0069374B" w:rsidRPr="00424F06">
        <w:rPr>
          <w:rFonts w:asciiTheme="majorHAnsi" w:eastAsia="Times New Roman" w:hAnsiTheme="majorHAnsi" w:cstheme="majorHAnsi"/>
          <w:b/>
          <w:bCs/>
          <w:color w:val="000000"/>
          <w:sz w:val="28"/>
          <w:szCs w:val="28"/>
          <w:lang w:val="ro-MD" w:bidi="bo-CN"/>
        </w:rPr>
        <w:t>ș</w:t>
      </w:r>
      <w:r w:rsidRPr="00424F06">
        <w:rPr>
          <w:rFonts w:asciiTheme="majorHAnsi" w:eastAsia="Times New Roman" w:hAnsiTheme="majorHAnsi" w:cstheme="majorHAnsi"/>
          <w:b/>
          <w:bCs/>
          <w:color w:val="000000"/>
          <w:sz w:val="28"/>
          <w:szCs w:val="28"/>
          <w:lang w:val="ro-MD" w:bidi="bo-CN"/>
        </w:rPr>
        <w:t>i abordarea auditului</w:t>
      </w:r>
    </w:p>
    <w:p w14:paraId="4A59E84E" w14:textId="77777777" w:rsidR="00394D01" w:rsidRPr="00424F06" w:rsidRDefault="00394D01" w:rsidP="00394D01">
      <w:pPr>
        <w:spacing w:after="0" w:line="276" w:lineRule="auto"/>
        <w:rPr>
          <w:rFonts w:asciiTheme="majorHAnsi" w:hAnsiTheme="majorHAnsi" w:cstheme="majorHAnsi"/>
          <w:b/>
          <w:bCs/>
          <w:sz w:val="24"/>
          <w:szCs w:val="24"/>
          <w:lang w:val="ro-MD"/>
        </w:rPr>
      </w:pPr>
      <w:r w:rsidRPr="00424F06">
        <w:rPr>
          <w:rFonts w:asciiTheme="majorHAnsi" w:hAnsiTheme="majorHAnsi" w:cstheme="majorHAnsi"/>
          <w:b/>
          <w:bCs/>
          <w:sz w:val="24"/>
          <w:szCs w:val="24"/>
          <w:lang w:val="ro-MD"/>
        </w:rPr>
        <w:t xml:space="preserve">Mandatul legal </w:t>
      </w:r>
      <w:r w:rsidR="0069374B" w:rsidRPr="00424F06">
        <w:rPr>
          <w:rFonts w:asciiTheme="majorHAnsi" w:hAnsiTheme="majorHAnsi" w:cstheme="majorHAnsi"/>
          <w:b/>
          <w:bCs/>
          <w:sz w:val="24"/>
          <w:szCs w:val="24"/>
          <w:lang w:val="ro-MD"/>
        </w:rPr>
        <w:t>ș</w:t>
      </w:r>
      <w:r w:rsidRPr="00424F06">
        <w:rPr>
          <w:rFonts w:asciiTheme="majorHAnsi" w:hAnsiTheme="majorHAnsi" w:cstheme="majorHAnsi"/>
          <w:b/>
          <w:bCs/>
          <w:sz w:val="24"/>
          <w:szCs w:val="24"/>
          <w:lang w:val="ro-MD"/>
        </w:rPr>
        <w:t>i scopul auditului</w:t>
      </w:r>
    </w:p>
    <w:p w14:paraId="7631D372" w14:textId="5C4E54B3" w:rsidR="00394D01" w:rsidRPr="00424F06" w:rsidRDefault="00394D01" w:rsidP="00394D01">
      <w:pPr>
        <w:spacing w:after="0" w:line="276" w:lineRule="auto"/>
        <w:ind w:firstLine="709"/>
        <w:jc w:val="both"/>
        <w:rPr>
          <w:rFonts w:asciiTheme="majorHAnsi" w:hAnsiTheme="majorHAnsi" w:cstheme="majorHAnsi"/>
          <w:sz w:val="24"/>
          <w:szCs w:val="24"/>
          <w:lang w:val="ro-MD"/>
        </w:rPr>
      </w:pPr>
      <w:r w:rsidRPr="00424F06">
        <w:rPr>
          <w:rFonts w:asciiTheme="majorHAnsi" w:hAnsiTheme="majorHAnsi" w:cstheme="majorHAnsi"/>
          <w:sz w:val="24"/>
          <w:szCs w:val="24"/>
          <w:lang w:val="ro-MD"/>
        </w:rPr>
        <w:t>Misiunea de audit a fost desfă</w:t>
      </w:r>
      <w:r w:rsidR="0069374B" w:rsidRPr="00424F06">
        <w:rPr>
          <w:rFonts w:asciiTheme="majorHAnsi" w:hAnsiTheme="majorHAnsi" w:cstheme="majorHAnsi"/>
          <w:sz w:val="24"/>
          <w:szCs w:val="24"/>
          <w:lang w:val="ro-MD"/>
        </w:rPr>
        <w:t>ș</w:t>
      </w:r>
      <w:r w:rsidRPr="00424F06">
        <w:rPr>
          <w:rFonts w:asciiTheme="majorHAnsi" w:hAnsiTheme="majorHAnsi" w:cstheme="majorHAnsi"/>
          <w:sz w:val="24"/>
          <w:szCs w:val="24"/>
          <w:lang w:val="ro-MD"/>
        </w:rPr>
        <w:t xml:space="preserve">urată în temeiul prevederilor art.3 alin.(1), art.5 alin.(1) lit.a) </w:t>
      </w:r>
      <w:r w:rsidR="0069374B" w:rsidRPr="00424F06">
        <w:rPr>
          <w:rFonts w:asciiTheme="majorHAnsi" w:hAnsiTheme="majorHAnsi" w:cstheme="majorHAnsi"/>
          <w:sz w:val="24"/>
          <w:szCs w:val="24"/>
          <w:lang w:val="ro-MD"/>
        </w:rPr>
        <w:t>ș</w:t>
      </w:r>
      <w:r w:rsidRPr="00424F06">
        <w:rPr>
          <w:rFonts w:asciiTheme="majorHAnsi" w:hAnsiTheme="majorHAnsi" w:cstheme="majorHAnsi"/>
          <w:sz w:val="24"/>
          <w:szCs w:val="24"/>
          <w:lang w:val="ro-MD"/>
        </w:rPr>
        <w:t>i art.31 alin.(1) lit.b) din Legea nr.260 din 07.12.2017</w:t>
      </w:r>
      <w:r w:rsidRPr="00424F06">
        <w:rPr>
          <w:rFonts w:asciiTheme="majorHAnsi" w:hAnsiTheme="majorHAnsi" w:cstheme="majorHAnsi"/>
          <w:sz w:val="24"/>
          <w:szCs w:val="24"/>
          <w:vertAlign w:val="superscript"/>
          <w:lang w:val="ro-MD"/>
        </w:rPr>
        <w:footnoteReference w:id="96"/>
      </w:r>
      <w:r w:rsidRPr="00424F06">
        <w:rPr>
          <w:rFonts w:asciiTheme="majorHAnsi" w:hAnsiTheme="majorHAnsi" w:cstheme="majorHAnsi"/>
          <w:sz w:val="24"/>
          <w:szCs w:val="24"/>
          <w:lang w:val="ro-MD"/>
        </w:rPr>
        <w:t xml:space="preserve"> </w:t>
      </w:r>
      <w:r w:rsidR="0069374B" w:rsidRPr="00424F06">
        <w:rPr>
          <w:rFonts w:asciiTheme="majorHAnsi" w:hAnsiTheme="majorHAnsi" w:cstheme="majorHAnsi"/>
          <w:sz w:val="24"/>
          <w:szCs w:val="24"/>
          <w:lang w:val="ro-MD"/>
        </w:rPr>
        <w:t>ș</w:t>
      </w:r>
      <w:r w:rsidRPr="00424F06">
        <w:rPr>
          <w:rFonts w:asciiTheme="majorHAnsi" w:hAnsiTheme="majorHAnsi" w:cstheme="majorHAnsi"/>
          <w:sz w:val="24"/>
          <w:szCs w:val="24"/>
          <w:lang w:val="ro-MD"/>
        </w:rPr>
        <w:t>i Programului activită</w:t>
      </w:r>
      <w:r w:rsidR="0069374B" w:rsidRPr="00424F06">
        <w:rPr>
          <w:rFonts w:asciiTheme="majorHAnsi" w:hAnsiTheme="majorHAnsi" w:cstheme="majorHAnsi"/>
          <w:sz w:val="24"/>
          <w:szCs w:val="24"/>
          <w:lang w:val="ro-MD"/>
        </w:rPr>
        <w:t>ț</w:t>
      </w:r>
      <w:r w:rsidRPr="00424F06">
        <w:rPr>
          <w:rFonts w:asciiTheme="majorHAnsi" w:hAnsiTheme="majorHAnsi" w:cstheme="majorHAnsi"/>
          <w:sz w:val="24"/>
          <w:szCs w:val="24"/>
          <w:lang w:val="ro-MD"/>
        </w:rPr>
        <w:t>ii de audit a Cur</w:t>
      </w:r>
      <w:r w:rsidR="0069374B" w:rsidRPr="00424F06">
        <w:rPr>
          <w:rFonts w:asciiTheme="majorHAnsi" w:hAnsiTheme="majorHAnsi" w:cstheme="majorHAnsi"/>
          <w:sz w:val="24"/>
          <w:szCs w:val="24"/>
          <w:lang w:val="ro-MD"/>
        </w:rPr>
        <w:t>ț</w:t>
      </w:r>
      <w:r w:rsidRPr="00424F06">
        <w:rPr>
          <w:rFonts w:asciiTheme="majorHAnsi" w:hAnsiTheme="majorHAnsi" w:cstheme="majorHAnsi"/>
          <w:sz w:val="24"/>
          <w:szCs w:val="24"/>
          <w:lang w:val="ro-MD"/>
        </w:rPr>
        <w:t>ii de Conturi pe anul 202</w:t>
      </w:r>
      <w:r w:rsidR="00C960EE">
        <w:rPr>
          <w:rFonts w:asciiTheme="majorHAnsi" w:hAnsiTheme="majorHAnsi" w:cstheme="majorHAnsi"/>
          <w:sz w:val="24"/>
          <w:szCs w:val="24"/>
          <w:lang w:val="ro-MD"/>
        </w:rPr>
        <w:t>1</w:t>
      </w:r>
      <w:r w:rsidRPr="00424F06">
        <w:rPr>
          <w:rFonts w:asciiTheme="majorHAnsi" w:hAnsiTheme="majorHAnsi" w:cstheme="majorHAnsi"/>
          <w:sz w:val="24"/>
          <w:szCs w:val="24"/>
          <w:lang w:val="ro-MD"/>
        </w:rPr>
        <w:t>, în scopul oferirii unei asigurări rezonabile asupra conformită</w:t>
      </w:r>
      <w:r w:rsidR="0069374B" w:rsidRPr="00424F06">
        <w:rPr>
          <w:rFonts w:asciiTheme="majorHAnsi" w:hAnsiTheme="majorHAnsi" w:cstheme="majorHAnsi"/>
          <w:sz w:val="24"/>
          <w:szCs w:val="24"/>
          <w:lang w:val="ro-MD"/>
        </w:rPr>
        <w:t>ț</w:t>
      </w:r>
      <w:r w:rsidRPr="00424F06">
        <w:rPr>
          <w:rFonts w:asciiTheme="majorHAnsi" w:hAnsiTheme="majorHAnsi" w:cstheme="majorHAnsi"/>
          <w:sz w:val="24"/>
          <w:szCs w:val="24"/>
          <w:lang w:val="ro-MD"/>
        </w:rPr>
        <w:t xml:space="preserve">ii procesului bugetar </w:t>
      </w:r>
      <w:r w:rsidR="0069374B" w:rsidRPr="00424F06">
        <w:rPr>
          <w:rFonts w:asciiTheme="majorHAnsi" w:hAnsiTheme="majorHAnsi" w:cstheme="majorHAnsi"/>
          <w:sz w:val="24"/>
          <w:szCs w:val="24"/>
          <w:lang w:val="ro-MD"/>
        </w:rPr>
        <w:t>ș</w:t>
      </w:r>
      <w:r w:rsidRPr="00424F06">
        <w:rPr>
          <w:rFonts w:asciiTheme="majorHAnsi" w:hAnsiTheme="majorHAnsi" w:cstheme="majorHAnsi"/>
          <w:sz w:val="24"/>
          <w:szCs w:val="24"/>
          <w:lang w:val="ro-MD"/>
        </w:rPr>
        <w:t xml:space="preserve">i gestionării patrimoniului public al Comitetului Executiv al Găgăuziei </w:t>
      </w:r>
      <w:r w:rsidR="0020562B" w:rsidRPr="00424F06">
        <w:rPr>
          <w:rFonts w:asciiTheme="majorHAnsi" w:hAnsiTheme="majorHAnsi" w:cstheme="majorHAnsi"/>
          <w:sz w:val="24"/>
          <w:szCs w:val="24"/>
          <w:lang w:val="ro-MD"/>
        </w:rPr>
        <w:t>în</w:t>
      </w:r>
      <w:r w:rsidRPr="00424F06">
        <w:rPr>
          <w:rFonts w:asciiTheme="majorHAnsi" w:hAnsiTheme="majorHAnsi" w:cstheme="majorHAnsi"/>
          <w:sz w:val="24"/>
          <w:szCs w:val="24"/>
          <w:lang w:val="ro-MD"/>
        </w:rPr>
        <w:t xml:space="preserve"> anii 2018-2020. În contextul realizării scopului misiunii de audit, au fost determinate următoarele obiective specifice: </w:t>
      </w:r>
    </w:p>
    <w:p w14:paraId="7089B7D1" w14:textId="04DD226C" w:rsidR="001367E0" w:rsidRPr="00424F06" w:rsidRDefault="001367E0" w:rsidP="001367E0">
      <w:pPr>
        <w:pStyle w:val="ListParagraph"/>
        <w:numPr>
          <w:ilvl w:val="0"/>
          <w:numId w:val="1"/>
        </w:numPr>
        <w:rPr>
          <w:rFonts w:asciiTheme="majorHAnsi" w:hAnsiTheme="majorHAnsi" w:cstheme="majorHAnsi"/>
          <w:b/>
          <w:bCs/>
          <w:sz w:val="24"/>
          <w:szCs w:val="24"/>
          <w:lang w:val="ro-MD"/>
        </w:rPr>
      </w:pPr>
      <w:r w:rsidRPr="00424F06">
        <w:rPr>
          <w:rFonts w:asciiTheme="majorHAnsi" w:hAnsiTheme="majorHAnsi" w:cstheme="majorHAnsi"/>
          <w:b/>
          <w:bCs/>
          <w:sz w:val="24"/>
          <w:szCs w:val="24"/>
          <w:lang w:val="ro-MD"/>
        </w:rPr>
        <w:t>O</w:t>
      </w:r>
      <w:r w:rsidR="00424F06" w:rsidRPr="00424F06">
        <w:rPr>
          <w:rFonts w:asciiTheme="majorHAnsi" w:hAnsiTheme="majorHAnsi" w:cstheme="majorHAnsi"/>
          <w:b/>
          <w:bCs/>
          <w:sz w:val="24"/>
          <w:szCs w:val="24"/>
          <w:lang w:val="ro-MD"/>
        </w:rPr>
        <w:t>BIECTIVUL</w:t>
      </w:r>
      <w:r w:rsidRPr="00424F06">
        <w:rPr>
          <w:rFonts w:asciiTheme="majorHAnsi" w:hAnsiTheme="majorHAnsi" w:cstheme="majorHAnsi"/>
          <w:b/>
          <w:bCs/>
          <w:sz w:val="24"/>
          <w:szCs w:val="24"/>
          <w:lang w:val="ro-MD"/>
        </w:rPr>
        <w:t xml:space="preserve"> I: </w:t>
      </w:r>
      <w:r w:rsidR="00424F06" w:rsidRPr="00424F06">
        <w:rPr>
          <w:rFonts w:asciiTheme="majorHAnsi" w:hAnsiTheme="majorHAnsi" w:cstheme="majorHAnsi"/>
          <w:i/>
          <w:color w:val="333333"/>
          <w:sz w:val="24"/>
          <w:szCs w:val="24"/>
          <w:shd w:val="clear" w:color="auto" w:fill="FFFFFF"/>
          <w:lang w:val="ro-MD"/>
        </w:rPr>
        <w:t>Au fost stabilite principii clare de repartizare a veniturilor UTA Găgăuzia între bugetul central și bugetele locale de nivelul I?</w:t>
      </w:r>
    </w:p>
    <w:p w14:paraId="6E5DD36B" w14:textId="4943FB9A" w:rsidR="00394D01" w:rsidRPr="00424F06" w:rsidRDefault="00394D01" w:rsidP="00394D01">
      <w:pPr>
        <w:numPr>
          <w:ilvl w:val="0"/>
          <w:numId w:val="1"/>
        </w:numPr>
        <w:spacing w:line="276" w:lineRule="auto"/>
        <w:contextualSpacing/>
        <w:jc w:val="both"/>
        <w:rPr>
          <w:rFonts w:asciiTheme="majorHAnsi" w:hAnsiTheme="majorHAnsi" w:cstheme="majorHAnsi"/>
          <w:sz w:val="24"/>
          <w:szCs w:val="24"/>
          <w:lang w:val="ro-MD"/>
        </w:rPr>
      </w:pPr>
      <w:r w:rsidRPr="00424F06">
        <w:rPr>
          <w:rFonts w:asciiTheme="majorHAnsi" w:hAnsiTheme="majorHAnsi" w:cstheme="majorHAnsi"/>
          <w:b/>
          <w:bCs/>
          <w:sz w:val="24"/>
          <w:szCs w:val="24"/>
          <w:lang w:val="ro-MD"/>
        </w:rPr>
        <w:t>OBIECTIVUL II:</w:t>
      </w:r>
      <w:r w:rsidRPr="00424F06">
        <w:rPr>
          <w:rFonts w:asciiTheme="majorHAnsi" w:hAnsiTheme="majorHAnsi" w:cstheme="majorHAnsi"/>
          <w:sz w:val="24"/>
          <w:szCs w:val="24"/>
          <w:lang w:val="ro-MD"/>
        </w:rPr>
        <w:t xml:space="preserve"> </w:t>
      </w:r>
      <w:r w:rsidRPr="00424F06">
        <w:rPr>
          <w:rFonts w:asciiTheme="majorHAnsi" w:hAnsiTheme="majorHAnsi" w:cstheme="majorHAnsi"/>
          <w:i/>
          <w:iCs/>
          <w:sz w:val="24"/>
          <w:szCs w:val="24"/>
          <w:lang w:val="ro-MD"/>
        </w:rPr>
        <w:t>A justificat UT</w:t>
      </w:r>
      <w:r w:rsidR="00424F06" w:rsidRPr="00424F06">
        <w:rPr>
          <w:rFonts w:asciiTheme="majorHAnsi" w:hAnsiTheme="majorHAnsi" w:cstheme="majorHAnsi"/>
          <w:i/>
          <w:iCs/>
          <w:sz w:val="24"/>
          <w:szCs w:val="24"/>
          <w:lang w:val="ro-MD"/>
        </w:rPr>
        <w:t>A</w:t>
      </w:r>
      <w:r w:rsidRPr="00424F06">
        <w:rPr>
          <w:rFonts w:asciiTheme="majorHAnsi" w:hAnsiTheme="majorHAnsi" w:cstheme="majorHAnsi"/>
          <w:i/>
          <w:iCs/>
          <w:sz w:val="24"/>
          <w:szCs w:val="24"/>
          <w:lang w:val="ro-MD"/>
        </w:rPr>
        <w:t xml:space="preserve"> angajarea </w:t>
      </w:r>
      <w:r w:rsidR="0069374B" w:rsidRPr="00424F06">
        <w:rPr>
          <w:rFonts w:asciiTheme="majorHAnsi" w:hAnsiTheme="majorHAnsi" w:cstheme="majorHAnsi"/>
          <w:i/>
          <w:iCs/>
          <w:sz w:val="24"/>
          <w:szCs w:val="24"/>
          <w:lang w:val="ro-MD"/>
        </w:rPr>
        <w:t>ș</w:t>
      </w:r>
      <w:r w:rsidRPr="00424F06">
        <w:rPr>
          <w:rFonts w:asciiTheme="majorHAnsi" w:hAnsiTheme="majorHAnsi" w:cstheme="majorHAnsi"/>
          <w:i/>
          <w:iCs/>
          <w:sz w:val="24"/>
          <w:szCs w:val="24"/>
          <w:lang w:val="ro-MD"/>
        </w:rPr>
        <w:t>i gestionarea cheltuielilor potrivit cadrului regulator?</w:t>
      </w:r>
    </w:p>
    <w:p w14:paraId="2084B1E0" w14:textId="5018228E" w:rsidR="00394D01" w:rsidRPr="00424F06" w:rsidRDefault="00394D01" w:rsidP="00394D01">
      <w:pPr>
        <w:numPr>
          <w:ilvl w:val="0"/>
          <w:numId w:val="1"/>
        </w:numPr>
        <w:spacing w:line="276" w:lineRule="auto"/>
        <w:contextualSpacing/>
        <w:jc w:val="both"/>
        <w:rPr>
          <w:rFonts w:asciiTheme="majorHAnsi" w:hAnsiTheme="majorHAnsi" w:cstheme="majorHAnsi"/>
          <w:i/>
          <w:sz w:val="24"/>
          <w:szCs w:val="24"/>
          <w:lang w:val="ro-MD"/>
        </w:rPr>
      </w:pPr>
      <w:r w:rsidRPr="00424F06">
        <w:rPr>
          <w:rFonts w:asciiTheme="majorHAnsi" w:hAnsiTheme="majorHAnsi" w:cstheme="majorHAnsi"/>
          <w:b/>
          <w:bCs/>
          <w:sz w:val="24"/>
          <w:szCs w:val="24"/>
          <w:lang w:val="ro-MD"/>
        </w:rPr>
        <w:t>OBIECTIVUL III:</w:t>
      </w:r>
      <w:r w:rsidRPr="00424F06">
        <w:rPr>
          <w:rFonts w:asciiTheme="majorHAnsi" w:hAnsiTheme="majorHAnsi" w:cstheme="majorHAnsi"/>
          <w:sz w:val="24"/>
          <w:szCs w:val="24"/>
          <w:lang w:val="ro-MD"/>
        </w:rPr>
        <w:t xml:space="preserve"> </w:t>
      </w:r>
      <w:r w:rsidRPr="00424F06">
        <w:rPr>
          <w:rFonts w:asciiTheme="majorHAnsi" w:hAnsiTheme="majorHAnsi" w:cstheme="majorHAnsi"/>
          <w:i/>
          <w:sz w:val="24"/>
          <w:szCs w:val="24"/>
          <w:lang w:val="ro-MD"/>
        </w:rPr>
        <w:t xml:space="preserve">A înregistrat, a administrat </w:t>
      </w:r>
      <w:r w:rsidRPr="00424F06">
        <w:rPr>
          <w:rFonts w:asciiTheme="majorHAnsi" w:hAnsiTheme="majorHAnsi" w:cstheme="majorHAnsi"/>
          <w:i/>
          <w:iCs/>
          <w:sz w:val="24"/>
          <w:szCs w:val="24"/>
          <w:lang w:val="ro-MD"/>
        </w:rPr>
        <w:t xml:space="preserve"> </w:t>
      </w:r>
      <w:r w:rsidR="0069374B" w:rsidRPr="00424F06">
        <w:rPr>
          <w:rFonts w:asciiTheme="majorHAnsi" w:hAnsiTheme="majorHAnsi" w:cstheme="majorHAnsi"/>
          <w:i/>
          <w:iCs/>
          <w:sz w:val="24"/>
          <w:szCs w:val="24"/>
          <w:lang w:val="ro-MD"/>
        </w:rPr>
        <w:t>ș</w:t>
      </w:r>
      <w:r w:rsidRPr="00424F06">
        <w:rPr>
          <w:rFonts w:asciiTheme="majorHAnsi" w:hAnsiTheme="majorHAnsi" w:cstheme="majorHAnsi"/>
          <w:i/>
          <w:iCs/>
          <w:sz w:val="24"/>
          <w:szCs w:val="24"/>
          <w:lang w:val="ro-MD"/>
        </w:rPr>
        <w:t>i a gestionat UT</w:t>
      </w:r>
      <w:r w:rsidR="00424F06" w:rsidRPr="00424F06">
        <w:rPr>
          <w:rFonts w:asciiTheme="majorHAnsi" w:hAnsiTheme="majorHAnsi" w:cstheme="majorHAnsi"/>
          <w:i/>
          <w:iCs/>
          <w:sz w:val="24"/>
          <w:szCs w:val="24"/>
          <w:lang w:val="ro-MD"/>
        </w:rPr>
        <w:t>A</w:t>
      </w:r>
      <w:r w:rsidRPr="00424F06">
        <w:rPr>
          <w:rFonts w:asciiTheme="majorHAnsi" w:hAnsiTheme="majorHAnsi" w:cstheme="majorHAnsi"/>
          <w:i/>
          <w:iCs/>
          <w:sz w:val="24"/>
          <w:szCs w:val="24"/>
          <w:lang w:val="ro-MD"/>
        </w:rPr>
        <w:t xml:space="preserve"> în mod</w:t>
      </w:r>
      <w:r w:rsidR="00C53A99" w:rsidRPr="00424F06">
        <w:rPr>
          <w:rFonts w:asciiTheme="majorHAnsi" w:hAnsiTheme="majorHAnsi" w:cstheme="majorHAnsi"/>
          <w:i/>
          <w:iCs/>
          <w:sz w:val="24"/>
          <w:szCs w:val="24"/>
          <w:lang w:val="ro-MD"/>
        </w:rPr>
        <w:t xml:space="preserve">ul </w:t>
      </w:r>
      <w:r w:rsidRPr="00424F06">
        <w:rPr>
          <w:rFonts w:asciiTheme="majorHAnsi" w:hAnsiTheme="majorHAnsi" w:cstheme="majorHAnsi"/>
          <w:i/>
          <w:iCs/>
          <w:sz w:val="24"/>
          <w:szCs w:val="24"/>
          <w:lang w:val="ro-MD"/>
        </w:rPr>
        <w:t xml:space="preserve"> corespunzător patrimoniul public?</w:t>
      </w:r>
      <w:r w:rsidRPr="00424F06">
        <w:rPr>
          <w:rFonts w:asciiTheme="majorHAnsi" w:hAnsiTheme="majorHAnsi" w:cstheme="majorHAnsi"/>
          <w:i/>
          <w:sz w:val="24"/>
          <w:szCs w:val="24"/>
          <w:lang w:val="ro-MD"/>
        </w:rPr>
        <w:t xml:space="preserve"> </w:t>
      </w:r>
    </w:p>
    <w:p w14:paraId="1DA8978C" w14:textId="77777777" w:rsidR="00394D01" w:rsidRPr="00363CFA" w:rsidRDefault="00394D01" w:rsidP="00394D01">
      <w:pPr>
        <w:spacing w:after="0" w:line="276" w:lineRule="auto"/>
        <w:rPr>
          <w:rFonts w:asciiTheme="majorHAnsi" w:hAnsiTheme="majorHAnsi" w:cstheme="majorHAnsi"/>
          <w:b/>
          <w:bCs/>
          <w:sz w:val="24"/>
          <w:szCs w:val="24"/>
          <w:lang w:val="ro-MD"/>
        </w:rPr>
      </w:pPr>
      <w:r w:rsidRPr="00363CFA">
        <w:rPr>
          <w:rFonts w:asciiTheme="majorHAnsi" w:hAnsiTheme="majorHAnsi" w:cstheme="majorHAnsi"/>
          <w:b/>
          <w:bCs/>
          <w:sz w:val="24"/>
          <w:szCs w:val="24"/>
          <w:lang w:val="ro-MD"/>
        </w:rPr>
        <w:t>Abordarea auditului</w:t>
      </w:r>
    </w:p>
    <w:p w14:paraId="67CAA009" w14:textId="77777777" w:rsidR="00394D01" w:rsidRPr="00363CFA" w:rsidRDefault="00394D01" w:rsidP="00394D01">
      <w:pPr>
        <w:spacing w:after="0" w:line="276" w:lineRule="auto"/>
        <w:ind w:firstLine="709"/>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Activită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ile de audit au fost realizate în conformitate cu Standardele Interna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ionale de Audit aplicate de CCRM</w:t>
      </w:r>
      <w:r w:rsidRPr="00363CFA">
        <w:rPr>
          <w:rFonts w:asciiTheme="majorHAnsi" w:hAnsiTheme="majorHAnsi" w:cstheme="majorHAnsi"/>
          <w:sz w:val="24"/>
          <w:szCs w:val="24"/>
          <w:vertAlign w:val="superscript"/>
          <w:lang w:val="ro-MD"/>
        </w:rPr>
        <w:footnoteReference w:id="97"/>
      </w:r>
      <w:r w:rsidRPr="00363CFA">
        <w:rPr>
          <w:rFonts w:asciiTheme="majorHAnsi" w:hAnsiTheme="majorHAnsi" w:cstheme="majorHAnsi"/>
          <w:sz w:val="24"/>
          <w:szCs w:val="24"/>
          <w:lang w:val="ro-MD"/>
        </w:rPr>
        <w:t xml:space="preserve">. Abordarea de audit s-a bazat pe identificarea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evaluarea riscurilor de neconformitate din cadrul proceselor opera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ionale ale Comitetului Executiv al Găgăuziei, prin utilizarea preponderentă a testărilor directe de fond. </w:t>
      </w:r>
    </w:p>
    <w:p w14:paraId="636A72BA" w14:textId="77777777" w:rsidR="00394D01" w:rsidRPr="00363CFA" w:rsidRDefault="00394D01" w:rsidP="00394D01">
      <w:pPr>
        <w:spacing w:after="0" w:line="276" w:lineRule="auto"/>
        <w:ind w:firstLine="709"/>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Metodologia de audit a constat din ac</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iuni de colectare a probelor de audit în cadrul Comitetului Executiv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institu</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iilor din subordine atât de la distan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ă, cât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la fa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a locului. Auditul la distan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ă a fost condi</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ionat de restric</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iile impuse de situa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ia de urgen</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ă epidemiologică stabilită.</w:t>
      </w:r>
    </w:p>
    <w:p w14:paraId="05C03446" w14:textId="77777777" w:rsidR="00394D01" w:rsidRPr="00363CFA" w:rsidRDefault="00394D01" w:rsidP="00394D01">
      <w:pPr>
        <w:spacing w:after="0" w:line="276" w:lineRule="auto"/>
        <w:ind w:firstLine="709"/>
        <w:jc w:val="both"/>
        <w:rPr>
          <w:rFonts w:asciiTheme="majorHAnsi" w:hAnsiTheme="majorHAnsi" w:cstheme="majorHAnsi"/>
          <w:sz w:val="24"/>
          <w:szCs w:val="24"/>
          <w:lang w:val="ro-MD"/>
        </w:rPr>
      </w:pPr>
      <w:r w:rsidRPr="00363CFA">
        <w:rPr>
          <w:rFonts w:asciiTheme="majorHAnsi" w:hAnsiTheme="majorHAnsi" w:cstheme="majorHAnsi"/>
          <w:sz w:val="24"/>
          <w:szCs w:val="24"/>
          <w:lang w:val="ro-MD"/>
        </w:rPr>
        <w:t xml:space="preserve">Tehnicile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 xml:space="preserve">i procedurile de audit s-au bazat pe: a) examinarea rapoartelor financiare, documentelor primare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extraselor din înregistrările în sistemele informa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ionale ale entită</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 xml:space="preserve">ii, b) intervievarea persoanelor responsabile de domeniile auditate, c) calcularea </w:t>
      </w:r>
      <w:r w:rsidR="0069374B" w:rsidRPr="00363CFA">
        <w:rPr>
          <w:rFonts w:asciiTheme="majorHAnsi" w:hAnsiTheme="majorHAnsi" w:cstheme="majorHAnsi"/>
          <w:sz w:val="24"/>
          <w:szCs w:val="24"/>
          <w:lang w:val="ro-MD"/>
        </w:rPr>
        <w:t>ș</w:t>
      </w:r>
      <w:r w:rsidRPr="00363CFA">
        <w:rPr>
          <w:rFonts w:asciiTheme="majorHAnsi" w:hAnsiTheme="majorHAnsi" w:cstheme="majorHAnsi"/>
          <w:sz w:val="24"/>
          <w:szCs w:val="24"/>
          <w:lang w:val="ro-MD"/>
        </w:rPr>
        <w:t>i compararea informa</w:t>
      </w:r>
      <w:r w:rsidR="0069374B" w:rsidRPr="00363CFA">
        <w:rPr>
          <w:rFonts w:asciiTheme="majorHAnsi" w:hAnsiTheme="majorHAnsi" w:cstheme="majorHAnsi"/>
          <w:sz w:val="24"/>
          <w:szCs w:val="24"/>
          <w:lang w:val="ro-MD"/>
        </w:rPr>
        <w:t>ț</w:t>
      </w:r>
      <w:r w:rsidRPr="00363CFA">
        <w:rPr>
          <w:rFonts w:asciiTheme="majorHAnsi" w:hAnsiTheme="majorHAnsi" w:cstheme="majorHAnsi"/>
          <w:sz w:val="24"/>
          <w:szCs w:val="24"/>
          <w:lang w:val="ro-MD"/>
        </w:rPr>
        <w:t>iilor prezentate.</w:t>
      </w:r>
    </w:p>
    <w:p w14:paraId="39A207B8" w14:textId="77777777" w:rsidR="00394D01" w:rsidRPr="00363CFA" w:rsidRDefault="00394D01" w:rsidP="004F645B">
      <w:pPr>
        <w:spacing w:line="276" w:lineRule="auto"/>
        <w:jc w:val="both"/>
        <w:rPr>
          <w:rFonts w:asciiTheme="majorHAnsi" w:hAnsiTheme="majorHAnsi" w:cstheme="majorHAnsi"/>
          <w:b/>
          <w:bCs/>
          <w:sz w:val="24"/>
          <w:szCs w:val="24"/>
          <w:lang w:val="ro-MD"/>
        </w:rPr>
      </w:pPr>
    </w:p>
    <w:p w14:paraId="180EF0B8" w14:textId="77777777" w:rsidR="004F645B" w:rsidRPr="00363CFA" w:rsidRDefault="004F645B" w:rsidP="004F645B">
      <w:pPr>
        <w:spacing w:line="276" w:lineRule="auto"/>
        <w:jc w:val="both"/>
        <w:rPr>
          <w:rFonts w:asciiTheme="majorHAnsi" w:hAnsiTheme="majorHAnsi" w:cstheme="majorHAnsi"/>
          <w:b/>
          <w:bCs/>
          <w:sz w:val="24"/>
          <w:szCs w:val="24"/>
          <w:lang w:val="ro-MD"/>
        </w:rPr>
      </w:pPr>
    </w:p>
    <w:p w14:paraId="10357247" w14:textId="77777777" w:rsidR="004F645B" w:rsidRPr="00363CFA" w:rsidRDefault="004F645B" w:rsidP="004F645B">
      <w:pPr>
        <w:spacing w:line="276" w:lineRule="auto"/>
        <w:jc w:val="both"/>
        <w:rPr>
          <w:rFonts w:asciiTheme="majorHAnsi" w:hAnsiTheme="majorHAnsi" w:cstheme="majorHAnsi"/>
          <w:b/>
          <w:bCs/>
          <w:sz w:val="24"/>
          <w:szCs w:val="24"/>
          <w:lang w:val="ro-MD"/>
        </w:rPr>
      </w:pPr>
    </w:p>
    <w:p w14:paraId="6D6DC071" w14:textId="77777777" w:rsidR="00394D01" w:rsidRPr="00363CFA" w:rsidRDefault="00394D01" w:rsidP="004F645B">
      <w:pPr>
        <w:spacing w:line="276" w:lineRule="auto"/>
        <w:jc w:val="both"/>
        <w:rPr>
          <w:rFonts w:asciiTheme="majorHAnsi" w:hAnsiTheme="majorHAnsi" w:cstheme="majorHAnsi"/>
          <w:b/>
          <w:bCs/>
          <w:sz w:val="24"/>
          <w:szCs w:val="24"/>
          <w:lang w:val="ro-MD"/>
        </w:rPr>
      </w:pPr>
    </w:p>
    <w:p w14:paraId="267CA72A" w14:textId="77777777" w:rsidR="00394D01" w:rsidRPr="00363CFA" w:rsidRDefault="00394D01" w:rsidP="004F645B">
      <w:pPr>
        <w:spacing w:line="276" w:lineRule="auto"/>
        <w:jc w:val="both"/>
        <w:rPr>
          <w:rFonts w:asciiTheme="majorHAnsi" w:hAnsiTheme="majorHAnsi" w:cstheme="majorHAnsi"/>
          <w:b/>
          <w:bCs/>
          <w:sz w:val="24"/>
          <w:szCs w:val="24"/>
          <w:lang w:val="ro-MD"/>
        </w:rPr>
      </w:pPr>
    </w:p>
    <w:p w14:paraId="1725B054" w14:textId="749A31FF" w:rsidR="00394D01" w:rsidRPr="00363CFA" w:rsidRDefault="00394D01" w:rsidP="00394D01">
      <w:pPr>
        <w:keepNext/>
        <w:keepLines/>
        <w:pageBreakBefore/>
        <w:spacing w:before="240" w:after="0" w:line="276" w:lineRule="auto"/>
        <w:jc w:val="right"/>
        <w:outlineLvl w:val="0"/>
        <w:rPr>
          <w:rFonts w:asciiTheme="majorHAnsi" w:eastAsiaTheme="majorEastAsia" w:hAnsiTheme="majorHAnsi" w:cstheme="majorHAnsi"/>
          <w:b/>
          <w:bCs/>
          <w:sz w:val="24"/>
          <w:szCs w:val="24"/>
          <w:lang w:val="ro-MD"/>
        </w:rPr>
      </w:pPr>
      <w:bookmarkStart w:id="36" w:name="_Toc84512914"/>
      <w:r w:rsidRPr="00363CFA">
        <w:rPr>
          <w:rFonts w:asciiTheme="majorHAnsi" w:eastAsiaTheme="majorEastAsia" w:hAnsiTheme="majorHAnsi" w:cstheme="majorHAnsi"/>
          <w:b/>
          <w:bCs/>
          <w:sz w:val="24"/>
          <w:szCs w:val="24"/>
          <w:lang w:val="ro-MD"/>
        </w:rPr>
        <w:lastRenderedPageBreak/>
        <w:t>Anexa nr.3</w:t>
      </w:r>
      <w:bookmarkEnd w:id="36"/>
    </w:p>
    <w:p w14:paraId="1BEA5797" w14:textId="77777777" w:rsidR="00394D01" w:rsidRPr="00424F06" w:rsidRDefault="00394D01" w:rsidP="00394D01">
      <w:pPr>
        <w:spacing w:before="240" w:line="276" w:lineRule="auto"/>
        <w:jc w:val="center"/>
        <w:rPr>
          <w:rFonts w:asciiTheme="majorHAnsi" w:hAnsiTheme="majorHAnsi" w:cstheme="majorHAnsi"/>
          <w:b/>
          <w:bCs/>
          <w:sz w:val="28"/>
          <w:szCs w:val="28"/>
          <w:lang w:val="ro-MD"/>
        </w:rPr>
      </w:pPr>
      <w:r w:rsidRPr="00363CFA">
        <w:rPr>
          <w:rFonts w:asciiTheme="majorHAnsi" w:hAnsiTheme="majorHAnsi" w:cstheme="majorHAnsi"/>
          <w:b/>
          <w:bCs/>
          <w:sz w:val="28"/>
          <w:szCs w:val="28"/>
          <w:lang w:val="ro-MD"/>
        </w:rPr>
        <w:t xml:space="preserve">Lista actelor legislative </w:t>
      </w:r>
      <w:r w:rsidR="0069374B" w:rsidRPr="00363CFA">
        <w:rPr>
          <w:rFonts w:asciiTheme="majorHAnsi" w:hAnsiTheme="majorHAnsi" w:cstheme="majorHAnsi"/>
          <w:b/>
          <w:bCs/>
          <w:sz w:val="28"/>
          <w:szCs w:val="28"/>
          <w:lang w:val="ro-MD"/>
        </w:rPr>
        <w:t>ș</w:t>
      </w:r>
      <w:r w:rsidRPr="00363CFA">
        <w:rPr>
          <w:rFonts w:asciiTheme="majorHAnsi" w:hAnsiTheme="majorHAnsi" w:cstheme="majorHAnsi"/>
          <w:b/>
          <w:bCs/>
          <w:sz w:val="28"/>
          <w:szCs w:val="28"/>
          <w:lang w:val="ro-MD"/>
        </w:rPr>
        <w:t xml:space="preserve">i normative care au servit drept surse ale criteriilor de </w:t>
      </w:r>
      <w:r w:rsidRPr="00424F06">
        <w:rPr>
          <w:rFonts w:asciiTheme="majorHAnsi" w:hAnsiTheme="majorHAnsi" w:cstheme="majorHAnsi"/>
          <w:b/>
          <w:bCs/>
          <w:sz w:val="28"/>
          <w:szCs w:val="28"/>
          <w:lang w:val="ro-MD"/>
        </w:rPr>
        <w:t>audit:</w:t>
      </w:r>
    </w:p>
    <w:p w14:paraId="082F03DE"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Constitu</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ia Republicii Moldova;</w:t>
      </w:r>
    </w:p>
    <w:p w14:paraId="0EB3FE1E" w14:textId="297A13DD"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 xml:space="preserve">Legea nr.764-XV din 27.12.2001 </w:t>
      </w:r>
      <w:r w:rsidR="00490792" w:rsidRPr="00424F06">
        <w:rPr>
          <w:rFonts w:asciiTheme="majorHAnsi" w:eastAsia="Times New Roman" w:hAnsiTheme="majorHAnsi" w:cstheme="majorHAnsi"/>
          <w:lang w:val="ro-MD" w:eastAsia="ru-RU"/>
        </w:rPr>
        <w:t>p</w:t>
      </w:r>
      <w:r w:rsidRPr="00424F06">
        <w:rPr>
          <w:rFonts w:asciiTheme="majorHAnsi" w:eastAsia="Times New Roman" w:hAnsiTheme="majorHAnsi" w:cstheme="majorHAnsi"/>
          <w:lang w:val="ro-MD" w:eastAsia="ru-RU"/>
        </w:rPr>
        <w:t>rivind organizarea administrativ-teritorială a Republicii Moldova;</w:t>
      </w:r>
    </w:p>
    <w:p w14:paraId="2A288DA8" w14:textId="271C3259"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 xml:space="preserve">Legea nr.435-XVI din 28.12.2006 </w:t>
      </w:r>
      <w:r w:rsidR="00490792" w:rsidRPr="00424F06">
        <w:rPr>
          <w:rFonts w:asciiTheme="majorHAnsi" w:eastAsia="Times New Roman" w:hAnsiTheme="majorHAnsi" w:cstheme="majorHAnsi"/>
          <w:lang w:val="ro-MD" w:eastAsia="ru-RU"/>
        </w:rPr>
        <w:t>p</w:t>
      </w:r>
      <w:r w:rsidRPr="00424F06">
        <w:rPr>
          <w:rFonts w:asciiTheme="majorHAnsi" w:eastAsia="Times New Roman" w:hAnsiTheme="majorHAnsi" w:cstheme="majorHAnsi"/>
          <w:lang w:val="ro-MD" w:eastAsia="ru-RU"/>
        </w:rPr>
        <w:t>rivind descentralizarea administrativă;</w:t>
      </w:r>
    </w:p>
    <w:p w14:paraId="70CF27D1"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Legea privind administra</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 xml:space="preserve">ia publică locală nr.436-XVI din 28.12.2006; </w:t>
      </w:r>
    </w:p>
    <w:p w14:paraId="56376932"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Legea privind finan</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ele publice locale nr.397-XV din 16.10.2003;</w:t>
      </w:r>
    </w:p>
    <w:p w14:paraId="26CB8F23"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 xml:space="preserve">Legea </w:t>
      </w:r>
      <w:r w:rsidRPr="00424F06">
        <w:rPr>
          <w:rFonts w:asciiTheme="majorHAnsi" w:hAnsiTheme="majorHAnsi" w:cstheme="majorHAnsi"/>
          <w:lang w:val="ro-MD"/>
        </w:rPr>
        <w:t>finan</w:t>
      </w:r>
      <w:r w:rsidR="0069374B" w:rsidRPr="00424F06">
        <w:rPr>
          <w:rFonts w:asciiTheme="majorHAnsi" w:hAnsiTheme="majorHAnsi" w:cstheme="majorHAnsi"/>
          <w:lang w:val="ro-MD"/>
        </w:rPr>
        <w:t>ț</w:t>
      </w:r>
      <w:r w:rsidRPr="00424F06">
        <w:rPr>
          <w:rFonts w:asciiTheme="majorHAnsi" w:hAnsiTheme="majorHAnsi" w:cstheme="majorHAnsi"/>
          <w:lang w:val="ro-MD"/>
        </w:rPr>
        <w:t xml:space="preserve">elor publice </w:t>
      </w:r>
      <w:r w:rsidR="0069374B" w:rsidRPr="00424F06">
        <w:rPr>
          <w:rFonts w:asciiTheme="majorHAnsi" w:hAnsiTheme="majorHAnsi" w:cstheme="majorHAnsi"/>
          <w:lang w:val="ro-MD"/>
        </w:rPr>
        <w:t>ș</w:t>
      </w:r>
      <w:r w:rsidRPr="00424F06">
        <w:rPr>
          <w:rFonts w:asciiTheme="majorHAnsi" w:hAnsiTheme="majorHAnsi" w:cstheme="majorHAnsi"/>
          <w:lang w:val="ro-MD"/>
        </w:rPr>
        <w:t>i responsabilită</w:t>
      </w:r>
      <w:r w:rsidR="0069374B" w:rsidRPr="00424F06">
        <w:rPr>
          <w:rFonts w:asciiTheme="majorHAnsi" w:hAnsiTheme="majorHAnsi" w:cstheme="majorHAnsi"/>
          <w:lang w:val="ro-MD"/>
        </w:rPr>
        <w:t>ț</w:t>
      </w:r>
      <w:r w:rsidRPr="00424F06">
        <w:rPr>
          <w:rFonts w:asciiTheme="majorHAnsi" w:hAnsiTheme="majorHAnsi" w:cstheme="majorHAnsi"/>
          <w:lang w:val="ro-MD"/>
        </w:rPr>
        <w:t>ii bugetar-fiscale</w:t>
      </w:r>
      <w:r w:rsidRPr="00424F06">
        <w:rPr>
          <w:rFonts w:asciiTheme="majorHAnsi" w:hAnsiTheme="majorHAnsi" w:cstheme="majorHAnsi"/>
          <w:bCs/>
          <w:lang w:val="ro-MD"/>
        </w:rPr>
        <w:t xml:space="preserve"> nr.181 din 25.07.2014;</w:t>
      </w:r>
    </w:p>
    <w:p w14:paraId="6A3F01BC"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Legea privind statutul juridic special al Găgăuziei (Gagauz-Yeri) nr.344-XIII din 23.12.1994;</w:t>
      </w:r>
    </w:p>
    <w:p w14:paraId="0E328934" w14:textId="4D7A573B"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Legea contabilită</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 xml:space="preserve">ii nr.113-XVI din </w:t>
      </w:r>
      <w:r w:rsidR="0066104F" w:rsidRPr="00424F06">
        <w:rPr>
          <w:rFonts w:asciiTheme="majorHAnsi" w:eastAsia="Times New Roman" w:hAnsiTheme="majorHAnsi" w:cstheme="majorHAnsi"/>
          <w:lang w:val="ro-MD" w:eastAsia="ru-RU"/>
        </w:rPr>
        <w:t>27.04.</w:t>
      </w:r>
      <w:r w:rsidRPr="00424F06">
        <w:rPr>
          <w:rFonts w:asciiTheme="majorHAnsi" w:eastAsia="Times New Roman" w:hAnsiTheme="majorHAnsi" w:cstheme="majorHAnsi"/>
          <w:lang w:val="ro-MD" w:eastAsia="ru-RU"/>
        </w:rPr>
        <w:t>2007;</w:t>
      </w:r>
    </w:p>
    <w:p w14:paraId="43C645B0"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 xml:space="preserve">Legea privind organizarea </w:t>
      </w:r>
      <w:r w:rsidR="0069374B" w:rsidRPr="00424F06">
        <w:rPr>
          <w:rFonts w:asciiTheme="majorHAnsi" w:eastAsia="Times New Roman" w:hAnsiTheme="majorHAnsi" w:cstheme="majorHAnsi"/>
          <w:lang w:val="ro-MD" w:eastAsia="ru-RU"/>
        </w:rPr>
        <w:t>ș</w:t>
      </w:r>
      <w:r w:rsidRPr="00424F06">
        <w:rPr>
          <w:rFonts w:asciiTheme="majorHAnsi" w:eastAsia="Times New Roman" w:hAnsiTheme="majorHAnsi" w:cstheme="majorHAnsi"/>
          <w:lang w:val="ro-MD" w:eastAsia="ru-RU"/>
        </w:rPr>
        <w:t>i func</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ionarea Cur</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ii de Conturi a Republicii Moldova nr.260 din 07.12.2017;</w:t>
      </w:r>
    </w:p>
    <w:p w14:paraId="286C5AD0"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Legea privind controlul financiar public intern nr.229 din 23.09.2010;</w:t>
      </w:r>
    </w:p>
    <w:p w14:paraId="5FE4AA4A"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 xml:space="preserve">Legea nr.270 din 23.11.2018 cu privire la sistemul unitar de salarizare în sectorul bugetar; </w:t>
      </w:r>
    </w:p>
    <w:p w14:paraId="6265B2B8"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Legea privind achizi</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 xml:space="preserve">iile publice nr.131 din 03.07.2015; </w:t>
      </w:r>
    </w:p>
    <w:p w14:paraId="728634E0"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Legea cu privire la bugetul de stat pe anul 2018 nr.289 din 15.12.2017;</w:t>
      </w:r>
    </w:p>
    <w:p w14:paraId="21A77521"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Legea cu privire la bugetul de stat pe anul 2019 nr. 303 din 30.11.2018;</w:t>
      </w:r>
    </w:p>
    <w:p w14:paraId="3045414A"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Legea cu privire la bugetul de stat pe anul 2020 nr.172 din 19.12.2019;</w:t>
      </w:r>
    </w:p>
    <w:p w14:paraId="6BE6869A"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Legea UTA Găgăuzia nr. 16-IX/VI din 08.12.2017 cu privire la bugetul pentru anul 2018;</w:t>
      </w:r>
    </w:p>
    <w:p w14:paraId="05C6B02B"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Legea UTA Găgăuzia nr.32-XX/VI din 07.12.2018  cu privire la bugetul pentru anul 2019;</w:t>
      </w:r>
    </w:p>
    <w:p w14:paraId="32611C97"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Legea UTA Găgăuzia nr. 48-XXXII/VI din 17.12.2019  cu privire la bugetul pentru anul 2020;</w:t>
      </w:r>
    </w:p>
    <w:p w14:paraId="5292A4D2"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rPr>
        <w:t>Legea privind pre</w:t>
      </w:r>
      <w:r w:rsidR="0069374B" w:rsidRPr="00424F06">
        <w:rPr>
          <w:rFonts w:asciiTheme="majorHAnsi" w:eastAsia="Times New Roman" w:hAnsiTheme="majorHAnsi" w:cstheme="majorHAnsi"/>
          <w:lang w:val="ro-MD"/>
        </w:rPr>
        <w:t>ț</w:t>
      </w:r>
      <w:r w:rsidRPr="00424F06">
        <w:rPr>
          <w:rFonts w:asciiTheme="majorHAnsi" w:eastAsia="Times New Roman" w:hAnsiTheme="majorHAnsi" w:cstheme="majorHAnsi"/>
          <w:lang w:val="ro-MD"/>
        </w:rPr>
        <w:t xml:space="preserve">ul normativ </w:t>
      </w:r>
      <w:r w:rsidR="0069374B" w:rsidRPr="00424F06">
        <w:rPr>
          <w:rFonts w:asciiTheme="majorHAnsi" w:eastAsia="Times New Roman" w:hAnsiTheme="majorHAnsi" w:cstheme="majorHAnsi"/>
          <w:lang w:val="ro-MD"/>
        </w:rPr>
        <w:t>ș</w:t>
      </w:r>
      <w:r w:rsidRPr="00424F06">
        <w:rPr>
          <w:rFonts w:asciiTheme="majorHAnsi" w:eastAsia="Times New Roman" w:hAnsiTheme="majorHAnsi" w:cstheme="majorHAnsi"/>
          <w:lang w:val="ro-MD"/>
        </w:rPr>
        <w:t>i modul de vânzare-cumpărare a pământului nr.1308-XIII din 25.07.1997;</w:t>
      </w:r>
    </w:p>
    <w:p w14:paraId="5EC9EF91"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 xml:space="preserve">Hotărârea Guvernului nr.667 din 27.05.2016 </w:t>
      </w:r>
      <w:r w:rsidRPr="00424F06">
        <w:rPr>
          <w:rFonts w:asciiTheme="majorHAnsi" w:hAnsiTheme="majorHAnsi" w:cstheme="majorHAnsi"/>
          <w:lang w:val="ro-MD"/>
        </w:rPr>
        <w:t>„Pentru aprobarea Regulamentului cu privire la activitatea grupului de lucru pentru achizi</w:t>
      </w:r>
      <w:r w:rsidR="0069374B" w:rsidRPr="00424F06">
        <w:rPr>
          <w:rFonts w:asciiTheme="majorHAnsi" w:hAnsiTheme="majorHAnsi" w:cstheme="majorHAnsi"/>
          <w:lang w:val="ro-MD"/>
        </w:rPr>
        <w:t>ț</w:t>
      </w:r>
      <w:r w:rsidRPr="00424F06">
        <w:rPr>
          <w:rFonts w:asciiTheme="majorHAnsi" w:hAnsiTheme="majorHAnsi" w:cstheme="majorHAnsi"/>
          <w:lang w:val="ro-MD"/>
        </w:rPr>
        <w:t>ii”;</w:t>
      </w:r>
    </w:p>
    <w:p w14:paraId="03F8815E"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 xml:space="preserve">Hotărârea Guvernului nr. 665 din 27.05.2016 </w:t>
      </w:r>
      <w:r w:rsidRPr="00424F06">
        <w:rPr>
          <w:rFonts w:asciiTheme="majorHAnsi" w:hAnsiTheme="majorHAnsi" w:cstheme="majorHAnsi"/>
          <w:lang w:val="ro-MD"/>
        </w:rPr>
        <w:t>„Pentru aprobarea Regulamentului cu privire la achizi</w:t>
      </w:r>
      <w:r w:rsidR="0069374B" w:rsidRPr="00424F06">
        <w:rPr>
          <w:rFonts w:asciiTheme="majorHAnsi" w:hAnsiTheme="majorHAnsi" w:cstheme="majorHAnsi"/>
          <w:lang w:val="ro-MD"/>
        </w:rPr>
        <w:t>ț</w:t>
      </w:r>
      <w:r w:rsidRPr="00424F06">
        <w:rPr>
          <w:rFonts w:asciiTheme="majorHAnsi" w:hAnsiTheme="majorHAnsi" w:cstheme="majorHAnsi"/>
          <w:lang w:val="ro-MD"/>
        </w:rPr>
        <w:t>iile publice de valoare mică”;</w:t>
      </w:r>
    </w:p>
    <w:p w14:paraId="6F87B801" w14:textId="7FC4494F"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 xml:space="preserve">Ordinul ministrului </w:t>
      </w:r>
      <w:r w:rsidR="00490792" w:rsidRPr="00424F06">
        <w:rPr>
          <w:rFonts w:asciiTheme="majorHAnsi" w:hAnsiTheme="majorHAnsi" w:cstheme="majorHAnsi"/>
          <w:bCs/>
          <w:lang w:val="ro-MD"/>
        </w:rPr>
        <w:t>f</w:t>
      </w:r>
      <w:r w:rsidRPr="00424F06">
        <w:rPr>
          <w:rFonts w:asciiTheme="majorHAnsi" w:hAnsiTheme="majorHAnsi" w:cstheme="majorHAnsi"/>
          <w:bCs/>
          <w:lang w:val="ro-MD"/>
        </w:rPr>
        <w:t>inan</w:t>
      </w:r>
      <w:r w:rsidR="0069374B" w:rsidRPr="00424F06">
        <w:rPr>
          <w:rFonts w:asciiTheme="majorHAnsi" w:hAnsiTheme="majorHAnsi" w:cstheme="majorHAnsi"/>
          <w:bCs/>
          <w:lang w:val="ro-MD"/>
        </w:rPr>
        <w:t>ț</w:t>
      </w:r>
      <w:r w:rsidRPr="00424F06">
        <w:rPr>
          <w:rFonts w:asciiTheme="majorHAnsi" w:hAnsiTheme="majorHAnsi" w:cstheme="majorHAnsi"/>
          <w:bCs/>
          <w:lang w:val="ro-MD"/>
        </w:rPr>
        <w:t xml:space="preserve">elor nr.216 din 28.12.2015 </w:t>
      </w:r>
      <w:r w:rsidRPr="00424F06">
        <w:rPr>
          <w:rFonts w:asciiTheme="majorHAnsi" w:hAnsiTheme="majorHAnsi" w:cstheme="majorHAnsi"/>
          <w:lang w:val="ro-MD"/>
        </w:rPr>
        <w:t xml:space="preserve">„Cu privire la aprobarea Planului de conturi contabile în sistemul bugetar </w:t>
      </w:r>
      <w:r w:rsidR="0069374B" w:rsidRPr="00424F06">
        <w:rPr>
          <w:rFonts w:asciiTheme="majorHAnsi" w:hAnsiTheme="majorHAnsi" w:cstheme="majorHAnsi"/>
          <w:lang w:val="ro-MD"/>
        </w:rPr>
        <w:t>ș</w:t>
      </w:r>
      <w:r w:rsidRPr="00424F06">
        <w:rPr>
          <w:rFonts w:asciiTheme="majorHAnsi" w:hAnsiTheme="majorHAnsi" w:cstheme="majorHAnsi"/>
          <w:lang w:val="ro-MD"/>
        </w:rPr>
        <w:t>i a Normelor metodologice privind eviden</w:t>
      </w:r>
      <w:r w:rsidR="0069374B" w:rsidRPr="00424F06">
        <w:rPr>
          <w:rFonts w:asciiTheme="majorHAnsi" w:hAnsiTheme="majorHAnsi" w:cstheme="majorHAnsi"/>
          <w:lang w:val="ro-MD"/>
        </w:rPr>
        <w:t>ț</w:t>
      </w:r>
      <w:r w:rsidRPr="00424F06">
        <w:rPr>
          <w:rFonts w:asciiTheme="majorHAnsi" w:hAnsiTheme="majorHAnsi" w:cstheme="majorHAnsi"/>
          <w:lang w:val="ro-MD"/>
        </w:rPr>
        <w:t xml:space="preserve">a contabilă </w:t>
      </w:r>
      <w:r w:rsidR="0069374B" w:rsidRPr="00424F06">
        <w:rPr>
          <w:rFonts w:asciiTheme="majorHAnsi" w:hAnsiTheme="majorHAnsi" w:cstheme="majorHAnsi"/>
          <w:lang w:val="ro-MD"/>
        </w:rPr>
        <w:t>ș</w:t>
      </w:r>
      <w:r w:rsidRPr="00424F06">
        <w:rPr>
          <w:rFonts w:asciiTheme="majorHAnsi" w:hAnsiTheme="majorHAnsi" w:cstheme="majorHAnsi"/>
          <w:lang w:val="ro-MD"/>
        </w:rPr>
        <w:t>i raportarea financiară în sistemul bugetar”;</w:t>
      </w:r>
    </w:p>
    <w:p w14:paraId="44AAFBCB" w14:textId="283D58C2"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 xml:space="preserve">Ordinul ministrului </w:t>
      </w:r>
      <w:r w:rsidR="00490792" w:rsidRPr="00424F06">
        <w:rPr>
          <w:rFonts w:asciiTheme="majorHAnsi" w:hAnsiTheme="majorHAnsi" w:cstheme="majorHAnsi"/>
          <w:bCs/>
          <w:lang w:val="ro-MD"/>
        </w:rPr>
        <w:t>f</w:t>
      </w:r>
      <w:r w:rsidRPr="00424F06">
        <w:rPr>
          <w:rFonts w:asciiTheme="majorHAnsi" w:hAnsiTheme="majorHAnsi" w:cstheme="majorHAnsi"/>
          <w:bCs/>
          <w:lang w:val="ro-MD"/>
        </w:rPr>
        <w:t>inan</w:t>
      </w:r>
      <w:r w:rsidR="0069374B" w:rsidRPr="00424F06">
        <w:rPr>
          <w:rFonts w:asciiTheme="majorHAnsi" w:hAnsiTheme="majorHAnsi" w:cstheme="majorHAnsi"/>
          <w:bCs/>
          <w:lang w:val="ro-MD"/>
        </w:rPr>
        <w:t>ț</w:t>
      </w:r>
      <w:r w:rsidRPr="00424F06">
        <w:rPr>
          <w:rFonts w:asciiTheme="majorHAnsi" w:hAnsiTheme="majorHAnsi" w:cstheme="majorHAnsi"/>
          <w:bCs/>
          <w:lang w:val="ro-MD"/>
        </w:rPr>
        <w:t>elor nr.208 din 24.12.2015</w:t>
      </w:r>
      <w:r w:rsidRPr="00424F06">
        <w:rPr>
          <w:rFonts w:asciiTheme="majorHAnsi" w:hAnsiTheme="majorHAnsi" w:cstheme="majorHAnsi"/>
          <w:lang w:val="ro-MD"/>
        </w:rPr>
        <w:t xml:space="preserve"> „Privind clasifica</w:t>
      </w:r>
      <w:r w:rsidR="0069374B" w:rsidRPr="00424F06">
        <w:rPr>
          <w:rFonts w:asciiTheme="majorHAnsi" w:hAnsiTheme="majorHAnsi" w:cstheme="majorHAnsi"/>
          <w:lang w:val="ro-MD"/>
        </w:rPr>
        <w:t>ț</w:t>
      </w:r>
      <w:r w:rsidRPr="00424F06">
        <w:rPr>
          <w:rFonts w:asciiTheme="majorHAnsi" w:hAnsiTheme="majorHAnsi" w:cstheme="majorHAnsi"/>
          <w:lang w:val="ro-MD"/>
        </w:rPr>
        <w:t>ia bugetară”;</w:t>
      </w:r>
    </w:p>
    <w:p w14:paraId="6E8A7748" w14:textId="5482C418"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 xml:space="preserve">Ordinul ministrului </w:t>
      </w:r>
      <w:r w:rsidR="00490792" w:rsidRPr="00424F06">
        <w:rPr>
          <w:rFonts w:asciiTheme="majorHAnsi" w:eastAsia="Times New Roman" w:hAnsiTheme="majorHAnsi" w:cstheme="majorHAnsi"/>
          <w:lang w:val="ro-MD" w:eastAsia="ru-RU"/>
        </w:rPr>
        <w:t>f</w:t>
      </w:r>
      <w:r w:rsidRPr="00424F06">
        <w:rPr>
          <w:rFonts w:asciiTheme="majorHAnsi" w:eastAsia="Times New Roman" w:hAnsiTheme="majorHAnsi" w:cstheme="majorHAnsi"/>
          <w:lang w:val="ro-MD" w:eastAsia="ru-RU"/>
        </w:rPr>
        <w:t>inan</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 xml:space="preserve">elor nr.209 din 24.12.2015 „Cu privire la aprobarea Setului metodologic privind elaborarea, aprobarea </w:t>
      </w:r>
      <w:r w:rsidR="0069374B" w:rsidRPr="00424F06">
        <w:rPr>
          <w:rFonts w:asciiTheme="majorHAnsi" w:eastAsia="Times New Roman" w:hAnsiTheme="majorHAnsi" w:cstheme="majorHAnsi"/>
          <w:lang w:val="ro-MD" w:eastAsia="ru-RU"/>
        </w:rPr>
        <w:t>ș</w:t>
      </w:r>
      <w:r w:rsidRPr="00424F06">
        <w:rPr>
          <w:rFonts w:asciiTheme="majorHAnsi" w:eastAsia="Times New Roman" w:hAnsiTheme="majorHAnsi" w:cstheme="majorHAnsi"/>
          <w:lang w:val="ro-MD" w:eastAsia="ru-RU"/>
        </w:rPr>
        <w:t>i modificarea bugetului”;</w:t>
      </w:r>
    </w:p>
    <w:p w14:paraId="510EEB82" w14:textId="37A9C0B5"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 xml:space="preserve">Ordinul ministrului </w:t>
      </w:r>
      <w:r w:rsidR="00490792" w:rsidRPr="00424F06">
        <w:rPr>
          <w:rFonts w:asciiTheme="majorHAnsi" w:hAnsiTheme="majorHAnsi" w:cstheme="majorHAnsi"/>
          <w:bCs/>
          <w:lang w:val="ro-MD"/>
        </w:rPr>
        <w:t>f</w:t>
      </w:r>
      <w:r w:rsidRPr="00424F06">
        <w:rPr>
          <w:rFonts w:asciiTheme="majorHAnsi" w:hAnsiTheme="majorHAnsi" w:cstheme="majorHAnsi"/>
          <w:bCs/>
          <w:lang w:val="ro-MD"/>
        </w:rPr>
        <w:t>inan</w:t>
      </w:r>
      <w:r w:rsidR="0069374B" w:rsidRPr="00424F06">
        <w:rPr>
          <w:rFonts w:asciiTheme="majorHAnsi" w:hAnsiTheme="majorHAnsi" w:cstheme="majorHAnsi"/>
          <w:bCs/>
          <w:lang w:val="ro-MD"/>
        </w:rPr>
        <w:t>ț</w:t>
      </w:r>
      <w:r w:rsidRPr="00424F06">
        <w:rPr>
          <w:rFonts w:asciiTheme="majorHAnsi" w:hAnsiTheme="majorHAnsi" w:cstheme="majorHAnsi"/>
          <w:bCs/>
          <w:lang w:val="ro-MD"/>
        </w:rPr>
        <w:t xml:space="preserve">elor nr.60 din 29.05.2012 </w:t>
      </w:r>
      <w:r w:rsidRPr="00424F06">
        <w:rPr>
          <w:rFonts w:asciiTheme="majorHAnsi" w:hAnsiTheme="majorHAnsi" w:cstheme="majorHAnsi"/>
          <w:lang w:val="ro-MD"/>
        </w:rPr>
        <w:t>„Cu privire la aprobarea Regulamentului privind inventarierea”;</w:t>
      </w:r>
    </w:p>
    <w:p w14:paraId="446DB8DC" w14:textId="0652C07D"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hAnsiTheme="majorHAnsi" w:cstheme="majorHAnsi"/>
          <w:bCs/>
          <w:lang w:val="ro-MD"/>
        </w:rPr>
        <w:t xml:space="preserve">Ordinul ministrului </w:t>
      </w:r>
      <w:r w:rsidR="00490792" w:rsidRPr="00424F06">
        <w:rPr>
          <w:rFonts w:asciiTheme="majorHAnsi" w:hAnsiTheme="majorHAnsi" w:cstheme="majorHAnsi"/>
          <w:bCs/>
          <w:lang w:val="ro-MD"/>
        </w:rPr>
        <w:t>f</w:t>
      </w:r>
      <w:r w:rsidRPr="00424F06">
        <w:rPr>
          <w:rFonts w:asciiTheme="majorHAnsi" w:hAnsiTheme="majorHAnsi" w:cstheme="majorHAnsi"/>
          <w:bCs/>
          <w:lang w:val="ro-MD"/>
        </w:rPr>
        <w:t>inan</w:t>
      </w:r>
      <w:r w:rsidR="0069374B" w:rsidRPr="00424F06">
        <w:rPr>
          <w:rFonts w:asciiTheme="majorHAnsi" w:hAnsiTheme="majorHAnsi" w:cstheme="majorHAnsi"/>
          <w:bCs/>
          <w:lang w:val="ro-MD"/>
        </w:rPr>
        <w:t>ț</w:t>
      </w:r>
      <w:r w:rsidRPr="00424F06">
        <w:rPr>
          <w:rFonts w:asciiTheme="majorHAnsi" w:hAnsiTheme="majorHAnsi" w:cstheme="majorHAnsi"/>
          <w:bCs/>
          <w:lang w:val="ro-MD"/>
        </w:rPr>
        <w:t>elor nr.164 din 30.12.2016 „Cu privire la aprobarea Cerin</w:t>
      </w:r>
      <w:r w:rsidR="0069374B" w:rsidRPr="00424F06">
        <w:rPr>
          <w:rFonts w:asciiTheme="majorHAnsi" w:hAnsiTheme="majorHAnsi" w:cstheme="majorHAnsi"/>
          <w:bCs/>
          <w:lang w:val="ro-MD"/>
        </w:rPr>
        <w:t>ț</w:t>
      </w:r>
      <w:r w:rsidRPr="00424F06">
        <w:rPr>
          <w:rFonts w:asciiTheme="majorHAnsi" w:hAnsiTheme="majorHAnsi" w:cstheme="majorHAnsi"/>
          <w:bCs/>
          <w:lang w:val="ro-MD"/>
        </w:rPr>
        <w:t>elor la întocmirea Raportului narativ privind executarea bugetelor autorită</w:t>
      </w:r>
      <w:r w:rsidR="0069374B" w:rsidRPr="00424F06">
        <w:rPr>
          <w:rFonts w:asciiTheme="majorHAnsi" w:hAnsiTheme="majorHAnsi" w:cstheme="majorHAnsi"/>
          <w:bCs/>
          <w:lang w:val="ro-MD"/>
        </w:rPr>
        <w:t>ț</w:t>
      </w:r>
      <w:r w:rsidRPr="00424F06">
        <w:rPr>
          <w:rFonts w:asciiTheme="majorHAnsi" w:hAnsiTheme="majorHAnsi" w:cstheme="majorHAnsi"/>
          <w:bCs/>
          <w:lang w:val="ro-MD"/>
        </w:rPr>
        <w:t>ilor/institu</w:t>
      </w:r>
      <w:r w:rsidR="0069374B" w:rsidRPr="00424F06">
        <w:rPr>
          <w:rFonts w:asciiTheme="majorHAnsi" w:hAnsiTheme="majorHAnsi" w:cstheme="majorHAnsi"/>
          <w:bCs/>
          <w:lang w:val="ro-MD"/>
        </w:rPr>
        <w:t>ț</w:t>
      </w:r>
      <w:r w:rsidRPr="00424F06">
        <w:rPr>
          <w:rFonts w:asciiTheme="majorHAnsi" w:hAnsiTheme="majorHAnsi" w:cstheme="majorHAnsi"/>
          <w:bCs/>
          <w:lang w:val="ro-MD"/>
        </w:rPr>
        <w:t>iilor bugetare”;</w:t>
      </w:r>
    </w:p>
    <w:p w14:paraId="4059B992" w14:textId="77777777" w:rsidR="00394D01" w:rsidRPr="00424F06" w:rsidRDefault="00394D01" w:rsidP="00394D01">
      <w:pPr>
        <w:numPr>
          <w:ilvl w:val="0"/>
          <w:numId w:val="2"/>
        </w:numPr>
        <w:tabs>
          <w:tab w:val="left" w:pos="993"/>
        </w:tabs>
        <w:spacing w:after="0" w:line="276" w:lineRule="auto"/>
        <w:ind w:left="284" w:hanging="284"/>
        <w:contextualSpacing/>
        <w:jc w:val="both"/>
        <w:rPr>
          <w:rFonts w:asciiTheme="majorHAnsi" w:eastAsia="Times New Roman" w:hAnsiTheme="majorHAnsi" w:cstheme="majorHAnsi"/>
          <w:lang w:val="ro-MD" w:eastAsia="ru-RU"/>
        </w:rPr>
      </w:pPr>
      <w:r w:rsidRPr="00424F06">
        <w:rPr>
          <w:rFonts w:asciiTheme="majorHAnsi" w:eastAsia="Times New Roman" w:hAnsiTheme="majorHAnsi" w:cstheme="majorHAnsi"/>
          <w:lang w:val="ro-MD" w:eastAsia="ru-RU"/>
        </w:rPr>
        <w:t>Ordinul comun al Ministerului Educa</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 xml:space="preserve">iei, Culturii </w:t>
      </w:r>
      <w:r w:rsidR="0069374B" w:rsidRPr="00424F06">
        <w:rPr>
          <w:rFonts w:asciiTheme="majorHAnsi" w:eastAsia="Times New Roman" w:hAnsiTheme="majorHAnsi" w:cstheme="majorHAnsi"/>
          <w:lang w:val="ro-MD" w:eastAsia="ru-RU"/>
        </w:rPr>
        <w:t>ș</w:t>
      </w:r>
      <w:r w:rsidRPr="00424F06">
        <w:rPr>
          <w:rFonts w:asciiTheme="majorHAnsi" w:eastAsia="Times New Roman" w:hAnsiTheme="majorHAnsi" w:cstheme="majorHAnsi"/>
          <w:lang w:val="ro-MD" w:eastAsia="ru-RU"/>
        </w:rPr>
        <w:t xml:space="preserve">i Cercetării </w:t>
      </w:r>
      <w:r w:rsidR="0069374B" w:rsidRPr="00424F06">
        <w:rPr>
          <w:rFonts w:asciiTheme="majorHAnsi" w:eastAsia="Times New Roman" w:hAnsiTheme="majorHAnsi" w:cstheme="majorHAnsi"/>
          <w:lang w:val="ro-MD" w:eastAsia="ru-RU"/>
        </w:rPr>
        <w:t>ș</w:t>
      </w:r>
      <w:r w:rsidRPr="00424F06">
        <w:rPr>
          <w:rFonts w:asciiTheme="majorHAnsi" w:eastAsia="Times New Roman" w:hAnsiTheme="majorHAnsi" w:cstheme="majorHAnsi"/>
          <w:lang w:val="ro-MD" w:eastAsia="ru-RU"/>
        </w:rPr>
        <w:t>i Ministerului Finan</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elor nr.13/06 din 11.01.2019 „Cu privire la normele financiare pentru alimentarea copiilor/elevilor din institu</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iile de învă</w:t>
      </w:r>
      <w:r w:rsidR="0069374B" w:rsidRPr="00424F06">
        <w:rPr>
          <w:rFonts w:asciiTheme="majorHAnsi" w:eastAsia="Times New Roman" w:hAnsiTheme="majorHAnsi" w:cstheme="majorHAnsi"/>
          <w:lang w:val="ro-MD" w:eastAsia="ru-RU"/>
        </w:rPr>
        <w:t>ț</w:t>
      </w:r>
      <w:r w:rsidRPr="00424F06">
        <w:rPr>
          <w:rFonts w:asciiTheme="majorHAnsi" w:eastAsia="Times New Roman" w:hAnsiTheme="majorHAnsi" w:cstheme="majorHAnsi"/>
          <w:lang w:val="ro-MD" w:eastAsia="ru-RU"/>
        </w:rPr>
        <w:t>ământ”.</w:t>
      </w:r>
    </w:p>
    <w:p w14:paraId="4D30F439" w14:textId="77777777" w:rsidR="00394D01" w:rsidRPr="00424F06" w:rsidRDefault="00394D01" w:rsidP="004F645B">
      <w:pPr>
        <w:spacing w:line="276" w:lineRule="auto"/>
        <w:jc w:val="both"/>
        <w:rPr>
          <w:rFonts w:asciiTheme="majorHAnsi" w:hAnsiTheme="majorHAnsi" w:cstheme="majorHAnsi"/>
          <w:b/>
          <w:bCs/>
          <w:sz w:val="24"/>
          <w:szCs w:val="24"/>
          <w:lang w:val="ro-MD"/>
        </w:rPr>
        <w:sectPr w:rsidR="00394D01" w:rsidRPr="00424F06" w:rsidSect="00394D01">
          <w:pgSz w:w="11907" w:h="16840" w:code="9"/>
          <w:pgMar w:top="1440" w:right="1440" w:bottom="1440" w:left="1440" w:header="709" w:footer="709" w:gutter="0"/>
          <w:cols w:space="708"/>
          <w:docGrid w:linePitch="360"/>
        </w:sectPr>
      </w:pPr>
    </w:p>
    <w:p w14:paraId="6A1614E8" w14:textId="28057713" w:rsidR="00394D01" w:rsidRPr="00424F06" w:rsidRDefault="00394D01" w:rsidP="00394D01">
      <w:pPr>
        <w:keepNext/>
        <w:keepLines/>
        <w:pageBreakBefore/>
        <w:spacing w:before="240" w:after="0" w:line="276" w:lineRule="auto"/>
        <w:jc w:val="right"/>
        <w:outlineLvl w:val="0"/>
        <w:rPr>
          <w:rFonts w:asciiTheme="majorHAnsi" w:eastAsiaTheme="majorEastAsia" w:hAnsiTheme="majorHAnsi" w:cstheme="majorHAnsi"/>
          <w:b/>
          <w:bCs/>
          <w:sz w:val="24"/>
          <w:szCs w:val="24"/>
          <w:lang w:val="ro-MD"/>
        </w:rPr>
      </w:pPr>
      <w:bookmarkStart w:id="37" w:name="_Toc84512915"/>
      <w:r w:rsidRPr="00424F06">
        <w:rPr>
          <w:rFonts w:asciiTheme="majorHAnsi" w:eastAsiaTheme="majorEastAsia" w:hAnsiTheme="majorHAnsi" w:cstheme="majorHAnsi"/>
          <w:b/>
          <w:bCs/>
          <w:sz w:val="24"/>
          <w:szCs w:val="24"/>
          <w:lang w:val="ro-MD"/>
        </w:rPr>
        <w:lastRenderedPageBreak/>
        <w:t>Anexa nr.4</w:t>
      </w:r>
      <w:bookmarkEnd w:id="37"/>
    </w:p>
    <w:p w14:paraId="6C2CFF31" w14:textId="77777777" w:rsidR="00394D01" w:rsidRPr="00424F06" w:rsidRDefault="00394D01" w:rsidP="007F4964">
      <w:pPr>
        <w:spacing w:after="0"/>
        <w:rPr>
          <w:rFonts w:asciiTheme="majorHAnsi" w:hAnsiTheme="majorHAnsi" w:cstheme="majorHAnsi"/>
          <w:b/>
          <w:i/>
          <w:sz w:val="24"/>
          <w:szCs w:val="24"/>
          <w:lang w:val="ro-MD"/>
        </w:rPr>
      </w:pPr>
      <w:r w:rsidRPr="00424F06">
        <w:rPr>
          <w:rFonts w:asciiTheme="majorHAnsi" w:hAnsiTheme="majorHAnsi" w:cstheme="majorHAnsi"/>
          <w:b/>
          <w:i/>
          <w:sz w:val="24"/>
          <w:szCs w:val="24"/>
          <w:lang w:val="ro-MD"/>
        </w:rPr>
        <w:t xml:space="preserve">Analiza veniturilor  încasate la bugetul central al Găgăuziei </w:t>
      </w:r>
      <w:r w:rsidR="0069374B" w:rsidRPr="00424F06">
        <w:rPr>
          <w:rFonts w:asciiTheme="majorHAnsi" w:hAnsiTheme="majorHAnsi" w:cstheme="majorHAnsi"/>
          <w:b/>
          <w:i/>
          <w:sz w:val="24"/>
          <w:szCs w:val="24"/>
          <w:lang w:val="ro-MD"/>
        </w:rPr>
        <w:t>ș</w:t>
      </w:r>
      <w:r w:rsidRPr="00424F06">
        <w:rPr>
          <w:rFonts w:asciiTheme="majorHAnsi" w:hAnsiTheme="majorHAnsi" w:cstheme="majorHAnsi"/>
          <w:b/>
          <w:i/>
          <w:sz w:val="24"/>
          <w:szCs w:val="24"/>
          <w:lang w:val="ro-MD"/>
        </w:rPr>
        <w:t xml:space="preserve">i repartizarea acestora în anii 2019 </w:t>
      </w:r>
      <w:r w:rsidR="0069374B" w:rsidRPr="00424F06">
        <w:rPr>
          <w:rFonts w:asciiTheme="majorHAnsi" w:hAnsiTheme="majorHAnsi" w:cstheme="majorHAnsi"/>
          <w:b/>
          <w:i/>
          <w:sz w:val="24"/>
          <w:szCs w:val="24"/>
          <w:lang w:val="ro-MD"/>
        </w:rPr>
        <w:t>ș</w:t>
      </w:r>
      <w:r w:rsidRPr="00424F06">
        <w:rPr>
          <w:rFonts w:asciiTheme="majorHAnsi" w:hAnsiTheme="majorHAnsi" w:cstheme="majorHAnsi"/>
          <w:b/>
          <w:i/>
          <w:sz w:val="24"/>
          <w:szCs w:val="24"/>
          <w:lang w:val="ro-MD"/>
        </w:rPr>
        <w:t xml:space="preserve">i 2020                  </w:t>
      </w:r>
    </w:p>
    <w:p w14:paraId="1546DEC2" w14:textId="77777777" w:rsidR="00394D01" w:rsidRPr="00424F06" w:rsidRDefault="00394D01" w:rsidP="00394D01">
      <w:pPr>
        <w:spacing w:after="0"/>
        <w:jc w:val="right"/>
        <w:rPr>
          <w:rFonts w:asciiTheme="majorHAnsi" w:hAnsiTheme="majorHAnsi" w:cstheme="majorHAnsi"/>
          <w:b/>
          <w:i/>
          <w:sz w:val="18"/>
          <w:szCs w:val="18"/>
          <w:lang w:val="ro-MD"/>
        </w:rPr>
      </w:pPr>
      <w:r w:rsidRPr="00424F06">
        <w:rPr>
          <w:rFonts w:asciiTheme="majorHAnsi" w:hAnsiTheme="majorHAnsi" w:cstheme="majorHAnsi"/>
          <w:b/>
          <w:i/>
          <w:sz w:val="18"/>
          <w:szCs w:val="18"/>
          <w:lang w:val="ro-MD"/>
        </w:rPr>
        <w:t xml:space="preserve">                                                                                                                                   Mii lei</w:t>
      </w:r>
    </w:p>
    <w:tbl>
      <w:tblPr>
        <w:tblpPr w:leftFromText="180" w:rightFromText="180" w:vertAnchor="text" w:tblpY="1"/>
        <w:tblOverlap w:val="never"/>
        <w:tblW w:w="9750" w:type="dxa"/>
        <w:tblLook w:val="04A0" w:firstRow="1" w:lastRow="0" w:firstColumn="1" w:lastColumn="0" w:noHBand="0" w:noVBand="1"/>
      </w:tblPr>
      <w:tblGrid>
        <w:gridCol w:w="547"/>
        <w:gridCol w:w="7103"/>
        <w:gridCol w:w="1050"/>
        <w:gridCol w:w="1050"/>
      </w:tblGrid>
      <w:tr w:rsidR="00AD4268" w:rsidRPr="00424F06" w14:paraId="4AA017CF" w14:textId="77777777" w:rsidTr="00A405CD">
        <w:trPr>
          <w:trHeight w:val="46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CBDDEC6" w14:textId="77777777" w:rsidR="00053B45" w:rsidRPr="00424F06" w:rsidRDefault="00AD4268">
            <w:pPr>
              <w:spacing w:after="0" w:line="240" w:lineRule="auto"/>
              <w:jc w:val="center"/>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Nr.</w:t>
            </w:r>
          </w:p>
          <w:p w14:paraId="5ADC77F1" w14:textId="2FAF41FE" w:rsidR="00AD4268" w:rsidRPr="00424F06" w:rsidRDefault="00053B45">
            <w:pPr>
              <w:spacing w:after="0" w:line="240" w:lineRule="auto"/>
              <w:jc w:val="center"/>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d/o</w:t>
            </w:r>
          </w:p>
        </w:tc>
        <w:tc>
          <w:tcPr>
            <w:tcW w:w="710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6F22C9F" w14:textId="77777777" w:rsidR="00AD4268" w:rsidRPr="00424F06" w:rsidRDefault="00AD4268">
            <w:pPr>
              <w:spacing w:after="0" w:line="240" w:lineRule="auto"/>
              <w:jc w:val="center"/>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 xml:space="preserve">Autoritatea </w:t>
            </w:r>
          </w:p>
        </w:tc>
        <w:tc>
          <w:tcPr>
            <w:tcW w:w="2100" w:type="dxa"/>
            <w:gridSpan w:val="2"/>
            <w:tcBorders>
              <w:top w:val="single" w:sz="4" w:space="0" w:color="auto"/>
              <w:left w:val="nil"/>
              <w:bottom w:val="single" w:sz="4" w:space="0" w:color="auto"/>
              <w:right w:val="single" w:sz="4" w:space="0" w:color="000000"/>
            </w:tcBorders>
            <w:shd w:val="clear" w:color="auto" w:fill="auto"/>
            <w:hideMark/>
          </w:tcPr>
          <w:p w14:paraId="23A6A1F6" w14:textId="77777777" w:rsidR="00AD4268" w:rsidRPr="00424F06" w:rsidRDefault="00AD4268">
            <w:pPr>
              <w:spacing w:after="0" w:line="240" w:lineRule="auto"/>
              <w:jc w:val="center"/>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 xml:space="preserve"> Executarea veniturilor** </w:t>
            </w:r>
          </w:p>
        </w:tc>
      </w:tr>
      <w:tr w:rsidR="00AD4268" w:rsidRPr="00424F06" w14:paraId="3833DC2F" w14:textId="77777777" w:rsidTr="00A405CD">
        <w:trPr>
          <w:trHeight w:val="290"/>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7ABE37F0" w14:textId="77777777" w:rsidR="00AD4268" w:rsidRPr="00424F06" w:rsidRDefault="00AD4268">
            <w:pPr>
              <w:spacing w:after="0" w:line="240" w:lineRule="auto"/>
              <w:rPr>
                <w:rFonts w:ascii="Calibri Light" w:eastAsia="Times New Roman" w:hAnsi="Calibri Light" w:cs="Calibri Light"/>
                <w:b/>
                <w:bCs/>
                <w:i/>
                <w:iCs/>
                <w:color w:val="000000"/>
                <w:sz w:val="20"/>
                <w:szCs w:val="20"/>
                <w:lang w:val="ro-MD"/>
              </w:rPr>
            </w:pPr>
          </w:p>
        </w:tc>
        <w:tc>
          <w:tcPr>
            <w:tcW w:w="7103" w:type="dxa"/>
            <w:vMerge/>
            <w:tcBorders>
              <w:top w:val="single" w:sz="4" w:space="0" w:color="auto"/>
              <w:left w:val="single" w:sz="4" w:space="0" w:color="auto"/>
              <w:bottom w:val="single" w:sz="4" w:space="0" w:color="000000"/>
              <w:right w:val="single" w:sz="4" w:space="0" w:color="auto"/>
            </w:tcBorders>
            <w:vAlign w:val="center"/>
            <w:hideMark/>
          </w:tcPr>
          <w:p w14:paraId="6E74E6EC" w14:textId="77777777" w:rsidR="00AD4268" w:rsidRPr="00424F06" w:rsidRDefault="00AD4268">
            <w:pPr>
              <w:spacing w:after="0" w:line="240" w:lineRule="auto"/>
              <w:rPr>
                <w:rFonts w:ascii="Calibri Light" w:eastAsia="Times New Roman" w:hAnsi="Calibri Light" w:cs="Calibri Light"/>
                <w:b/>
                <w:bCs/>
                <w:i/>
                <w:iCs/>
                <w:color w:val="000000"/>
                <w:sz w:val="20"/>
                <w:szCs w:val="20"/>
                <w:lang w:val="ro-MD"/>
              </w:rPr>
            </w:pPr>
          </w:p>
        </w:tc>
        <w:tc>
          <w:tcPr>
            <w:tcW w:w="1050" w:type="dxa"/>
            <w:tcBorders>
              <w:top w:val="nil"/>
              <w:left w:val="nil"/>
              <w:bottom w:val="single" w:sz="4" w:space="0" w:color="auto"/>
              <w:right w:val="single" w:sz="4" w:space="0" w:color="auto"/>
            </w:tcBorders>
            <w:shd w:val="clear" w:color="auto" w:fill="auto"/>
            <w:noWrap/>
            <w:hideMark/>
          </w:tcPr>
          <w:p w14:paraId="15CBEBF1" w14:textId="77777777" w:rsidR="00AD4268" w:rsidRPr="00424F06" w:rsidRDefault="00AD4268">
            <w:pPr>
              <w:spacing w:after="0" w:line="240" w:lineRule="auto"/>
              <w:jc w:val="center"/>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2019</w:t>
            </w:r>
          </w:p>
        </w:tc>
        <w:tc>
          <w:tcPr>
            <w:tcW w:w="1050" w:type="dxa"/>
            <w:tcBorders>
              <w:top w:val="nil"/>
              <w:left w:val="nil"/>
              <w:bottom w:val="single" w:sz="4" w:space="0" w:color="auto"/>
              <w:right w:val="single" w:sz="4" w:space="0" w:color="auto"/>
            </w:tcBorders>
            <w:shd w:val="clear" w:color="auto" w:fill="auto"/>
            <w:noWrap/>
            <w:hideMark/>
          </w:tcPr>
          <w:p w14:paraId="4B2727EF" w14:textId="77777777" w:rsidR="00AD4268" w:rsidRPr="00424F06" w:rsidRDefault="00AD4268">
            <w:pPr>
              <w:spacing w:after="0" w:line="240" w:lineRule="auto"/>
              <w:jc w:val="center"/>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2020</w:t>
            </w:r>
          </w:p>
        </w:tc>
      </w:tr>
      <w:tr w:rsidR="00AD4268" w:rsidRPr="00424F06" w14:paraId="7491381E" w14:textId="77777777" w:rsidTr="00A405CD">
        <w:trPr>
          <w:trHeight w:val="180"/>
        </w:trPr>
        <w:tc>
          <w:tcPr>
            <w:tcW w:w="547" w:type="dxa"/>
            <w:tcBorders>
              <w:top w:val="nil"/>
              <w:left w:val="single" w:sz="4" w:space="0" w:color="auto"/>
              <w:bottom w:val="single" w:sz="4" w:space="0" w:color="auto"/>
              <w:right w:val="single" w:sz="4" w:space="0" w:color="auto"/>
            </w:tcBorders>
            <w:shd w:val="clear" w:color="auto" w:fill="auto"/>
            <w:noWrap/>
            <w:hideMark/>
          </w:tcPr>
          <w:p w14:paraId="3892C12E" w14:textId="77777777" w:rsidR="00AD4268" w:rsidRPr="00424F06" w:rsidRDefault="00AD4268">
            <w:pPr>
              <w:spacing w:after="0" w:line="240" w:lineRule="auto"/>
              <w:jc w:val="center"/>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1</w:t>
            </w:r>
          </w:p>
        </w:tc>
        <w:tc>
          <w:tcPr>
            <w:tcW w:w="7103" w:type="dxa"/>
            <w:tcBorders>
              <w:top w:val="nil"/>
              <w:left w:val="nil"/>
              <w:bottom w:val="single" w:sz="4" w:space="0" w:color="auto"/>
              <w:right w:val="single" w:sz="4" w:space="0" w:color="auto"/>
            </w:tcBorders>
            <w:shd w:val="clear" w:color="auto" w:fill="auto"/>
            <w:noWrap/>
            <w:hideMark/>
          </w:tcPr>
          <w:p w14:paraId="7109CDD6" w14:textId="77777777" w:rsidR="00AD4268" w:rsidRPr="00424F06" w:rsidRDefault="00AD4268">
            <w:pPr>
              <w:spacing w:after="0" w:line="240" w:lineRule="auto"/>
              <w:jc w:val="center"/>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2</w:t>
            </w:r>
          </w:p>
        </w:tc>
        <w:tc>
          <w:tcPr>
            <w:tcW w:w="1050" w:type="dxa"/>
            <w:tcBorders>
              <w:top w:val="nil"/>
              <w:left w:val="nil"/>
              <w:bottom w:val="single" w:sz="4" w:space="0" w:color="auto"/>
              <w:right w:val="single" w:sz="4" w:space="0" w:color="auto"/>
            </w:tcBorders>
            <w:shd w:val="clear" w:color="auto" w:fill="auto"/>
            <w:noWrap/>
            <w:hideMark/>
          </w:tcPr>
          <w:p w14:paraId="202A7990" w14:textId="77777777" w:rsidR="00AD4268" w:rsidRPr="00424F06" w:rsidRDefault="00AD4268">
            <w:pPr>
              <w:spacing w:after="0" w:line="240" w:lineRule="auto"/>
              <w:jc w:val="center"/>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3</w:t>
            </w:r>
          </w:p>
        </w:tc>
        <w:tc>
          <w:tcPr>
            <w:tcW w:w="1050" w:type="dxa"/>
            <w:tcBorders>
              <w:top w:val="nil"/>
              <w:left w:val="nil"/>
              <w:bottom w:val="single" w:sz="4" w:space="0" w:color="auto"/>
              <w:right w:val="single" w:sz="4" w:space="0" w:color="auto"/>
            </w:tcBorders>
            <w:shd w:val="clear" w:color="auto" w:fill="auto"/>
            <w:noWrap/>
            <w:hideMark/>
          </w:tcPr>
          <w:p w14:paraId="188655AB" w14:textId="77777777" w:rsidR="00AD4268" w:rsidRPr="00424F06" w:rsidRDefault="00AD4268">
            <w:pPr>
              <w:spacing w:after="0" w:line="240" w:lineRule="auto"/>
              <w:jc w:val="center"/>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4</w:t>
            </w:r>
          </w:p>
        </w:tc>
      </w:tr>
      <w:tr w:rsidR="00AD4268" w:rsidRPr="00424F06" w14:paraId="54ECB7C7" w14:textId="77777777" w:rsidTr="00A405CD">
        <w:trPr>
          <w:trHeight w:val="227"/>
        </w:trPr>
        <w:tc>
          <w:tcPr>
            <w:tcW w:w="547" w:type="dxa"/>
            <w:tcBorders>
              <w:top w:val="nil"/>
              <w:left w:val="single" w:sz="4" w:space="0" w:color="auto"/>
              <w:bottom w:val="single" w:sz="4" w:space="0" w:color="auto"/>
              <w:right w:val="single" w:sz="4" w:space="0" w:color="auto"/>
            </w:tcBorders>
            <w:shd w:val="clear" w:color="auto" w:fill="auto"/>
            <w:noWrap/>
            <w:hideMark/>
          </w:tcPr>
          <w:p w14:paraId="0222BD2E" w14:textId="77777777" w:rsidR="00AD4268" w:rsidRPr="00424F06" w:rsidRDefault="00AD4268">
            <w:pPr>
              <w:spacing w:after="0" w:line="240" w:lineRule="auto"/>
              <w:rPr>
                <w:rFonts w:ascii="Calibri Light" w:eastAsia="Times New Roman" w:hAnsi="Calibri Light" w:cs="Calibri Light"/>
                <w:color w:val="000000"/>
                <w:sz w:val="20"/>
                <w:szCs w:val="20"/>
                <w:lang w:val="ro-MD"/>
              </w:rPr>
            </w:pPr>
            <w:r w:rsidRPr="00424F06">
              <w:rPr>
                <w:rFonts w:ascii="Calibri Light" w:eastAsia="Times New Roman" w:hAnsi="Calibri Light" w:cs="Calibri Light"/>
                <w:color w:val="000000"/>
                <w:sz w:val="20"/>
                <w:szCs w:val="20"/>
                <w:lang w:val="ro-MD"/>
              </w:rPr>
              <w:t> </w:t>
            </w:r>
          </w:p>
        </w:tc>
        <w:tc>
          <w:tcPr>
            <w:tcW w:w="7103" w:type="dxa"/>
            <w:tcBorders>
              <w:top w:val="nil"/>
              <w:left w:val="nil"/>
              <w:bottom w:val="single" w:sz="4" w:space="0" w:color="auto"/>
              <w:right w:val="single" w:sz="4" w:space="0" w:color="auto"/>
            </w:tcBorders>
            <w:shd w:val="clear" w:color="auto" w:fill="auto"/>
            <w:hideMark/>
          </w:tcPr>
          <w:p w14:paraId="09C03EF1" w14:textId="77777777" w:rsidR="00AD4268" w:rsidRPr="00424F06" w:rsidRDefault="00AD4268">
            <w:pPr>
              <w:spacing w:after="0" w:line="240" w:lineRule="auto"/>
              <w:rPr>
                <w:rFonts w:ascii="Calibri Light" w:eastAsia="Times New Roman" w:hAnsi="Calibri Light" w:cs="Calibri Light"/>
                <w:b/>
                <w:bCs/>
                <w:color w:val="000000"/>
                <w:sz w:val="20"/>
                <w:szCs w:val="20"/>
                <w:lang w:val="ro-MD"/>
              </w:rPr>
            </w:pPr>
            <w:r w:rsidRPr="00424F06">
              <w:rPr>
                <w:rFonts w:ascii="Calibri Light" w:eastAsia="Times New Roman" w:hAnsi="Calibri Light" w:cs="Calibri Light"/>
                <w:b/>
                <w:bCs/>
                <w:color w:val="000000"/>
                <w:sz w:val="20"/>
                <w:szCs w:val="20"/>
                <w:lang w:val="ro-MD"/>
              </w:rPr>
              <w:t xml:space="preserve">Total venituri încasate din impozite </w:t>
            </w:r>
            <w:r w:rsidR="0069374B" w:rsidRPr="00424F06">
              <w:rPr>
                <w:rFonts w:ascii="Calibri Light" w:eastAsia="Times New Roman" w:hAnsi="Calibri Light" w:cs="Calibri Light"/>
                <w:b/>
                <w:bCs/>
                <w:color w:val="000000"/>
                <w:sz w:val="20"/>
                <w:szCs w:val="20"/>
                <w:lang w:val="ro-MD"/>
              </w:rPr>
              <w:t>ș</w:t>
            </w:r>
            <w:r w:rsidRPr="00424F06">
              <w:rPr>
                <w:rFonts w:ascii="Calibri Light" w:eastAsia="Times New Roman" w:hAnsi="Calibri Light" w:cs="Calibri Light"/>
                <w:b/>
                <w:bCs/>
                <w:color w:val="000000"/>
                <w:sz w:val="20"/>
                <w:szCs w:val="20"/>
                <w:lang w:val="ro-MD"/>
              </w:rPr>
              <w:t>i taxe achitate*</w:t>
            </w:r>
          </w:p>
        </w:tc>
        <w:tc>
          <w:tcPr>
            <w:tcW w:w="1050" w:type="dxa"/>
            <w:tcBorders>
              <w:top w:val="nil"/>
              <w:left w:val="nil"/>
              <w:bottom w:val="single" w:sz="4" w:space="0" w:color="auto"/>
              <w:right w:val="single" w:sz="4" w:space="0" w:color="auto"/>
            </w:tcBorders>
            <w:shd w:val="clear" w:color="auto" w:fill="auto"/>
            <w:noWrap/>
            <w:hideMark/>
          </w:tcPr>
          <w:p w14:paraId="2F3B63FE"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359.277,1</w:t>
            </w:r>
          </w:p>
        </w:tc>
        <w:tc>
          <w:tcPr>
            <w:tcW w:w="1050" w:type="dxa"/>
            <w:tcBorders>
              <w:top w:val="nil"/>
              <w:left w:val="nil"/>
              <w:bottom w:val="single" w:sz="4" w:space="0" w:color="auto"/>
              <w:right w:val="single" w:sz="4" w:space="0" w:color="auto"/>
            </w:tcBorders>
            <w:shd w:val="clear" w:color="auto" w:fill="auto"/>
            <w:noWrap/>
            <w:hideMark/>
          </w:tcPr>
          <w:p w14:paraId="1477D9D7"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359.037,5</w:t>
            </w:r>
          </w:p>
        </w:tc>
      </w:tr>
      <w:tr w:rsidR="00AD4268" w:rsidRPr="00424F06" w14:paraId="1AF41D8B" w14:textId="77777777" w:rsidTr="00A405CD">
        <w:trPr>
          <w:trHeight w:val="227"/>
        </w:trPr>
        <w:tc>
          <w:tcPr>
            <w:tcW w:w="547" w:type="dxa"/>
            <w:tcBorders>
              <w:top w:val="nil"/>
              <w:left w:val="single" w:sz="4" w:space="0" w:color="auto"/>
              <w:bottom w:val="nil"/>
              <w:right w:val="single" w:sz="4" w:space="0" w:color="auto"/>
            </w:tcBorders>
            <w:shd w:val="clear" w:color="auto" w:fill="auto"/>
            <w:noWrap/>
            <w:hideMark/>
          </w:tcPr>
          <w:p w14:paraId="18532500" w14:textId="77777777" w:rsidR="00AD4268" w:rsidRPr="00424F06" w:rsidRDefault="00AD4268">
            <w:pPr>
              <w:spacing w:after="0" w:line="240" w:lineRule="auto"/>
              <w:rPr>
                <w:rFonts w:ascii="Calibri Light" w:eastAsia="Times New Roman" w:hAnsi="Calibri Light" w:cs="Calibri Light"/>
                <w:color w:val="000000"/>
                <w:sz w:val="20"/>
                <w:szCs w:val="20"/>
                <w:lang w:val="ro-MD"/>
              </w:rPr>
            </w:pPr>
            <w:r w:rsidRPr="00424F06">
              <w:rPr>
                <w:rFonts w:ascii="Calibri Light" w:eastAsia="Times New Roman" w:hAnsi="Calibri Light" w:cs="Calibri Light"/>
                <w:color w:val="000000"/>
                <w:sz w:val="20"/>
                <w:szCs w:val="20"/>
                <w:lang w:val="ro-MD"/>
              </w:rPr>
              <w:t> </w:t>
            </w:r>
          </w:p>
        </w:tc>
        <w:tc>
          <w:tcPr>
            <w:tcW w:w="7103" w:type="dxa"/>
            <w:tcBorders>
              <w:top w:val="nil"/>
              <w:left w:val="nil"/>
              <w:bottom w:val="nil"/>
              <w:right w:val="single" w:sz="4" w:space="0" w:color="auto"/>
            </w:tcBorders>
            <w:shd w:val="clear" w:color="auto" w:fill="auto"/>
            <w:noWrap/>
            <w:hideMark/>
          </w:tcPr>
          <w:p w14:paraId="48BF28BF" w14:textId="77777777" w:rsidR="00AD4268" w:rsidRPr="00424F06" w:rsidRDefault="00AD4268">
            <w:pPr>
              <w:spacing w:after="0" w:line="240" w:lineRule="auto"/>
              <w:jc w:val="center"/>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TOTAL, din care:</w:t>
            </w:r>
          </w:p>
        </w:tc>
        <w:tc>
          <w:tcPr>
            <w:tcW w:w="1050" w:type="dxa"/>
            <w:tcBorders>
              <w:top w:val="nil"/>
              <w:left w:val="nil"/>
              <w:bottom w:val="single" w:sz="4" w:space="0" w:color="auto"/>
              <w:right w:val="single" w:sz="4" w:space="0" w:color="auto"/>
            </w:tcBorders>
            <w:shd w:val="clear" w:color="auto" w:fill="auto"/>
            <w:noWrap/>
            <w:hideMark/>
          </w:tcPr>
          <w:p w14:paraId="688B069E"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359.277,1</w:t>
            </w:r>
          </w:p>
        </w:tc>
        <w:tc>
          <w:tcPr>
            <w:tcW w:w="1050" w:type="dxa"/>
            <w:tcBorders>
              <w:top w:val="nil"/>
              <w:left w:val="nil"/>
              <w:bottom w:val="single" w:sz="4" w:space="0" w:color="auto"/>
              <w:right w:val="single" w:sz="4" w:space="0" w:color="auto"/>
            </w:tcBorders>
            <w:shd w:val="clear" w:color="auto" w:fill="auto"/>
            <w:noWrap/>
            <w:hideMark/>
          </w:tcPr>
          <w:p w14:paraId="3889D66E"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359.037,5</w:t>
            </w:r>
          </w:p>
        </w:tc>
      </w:tr>
      <w:tr w:rsidR="00AD4268" w:rsidRPr="00424F06" w14:paraId="56268F5E" w14:textId="77777777" w:rsidTr="00A405CD">
        <w:trPr>
          <w:trHeight w:val="227"/>
        </w:trPr>
        <w:tc>
          <w:tcPr>
            <w:tcW w:w="547" w:type="dxa"/>
            <w:tcBorders>
              <w:top w:val="single" w:sz="8" w:space="0" w:color="auto"/>
              <w:left w:val="single" w:sz="8" w:space="0" w:color="auto"/>
              <w:bottom w:val="single" w:sz="4" w:space="0" w:color="auto"/>
              <w:right w:val="single" w:sz="4" w:space="0" w:color="auto"/>
            </w:tcBorders>
            <w:shd w:val="clear" w:color="auto" w:fill="auto"/>
            <w:noWrap/>
            <w:hideMark/>
          </w:tcPr>
          <w:p w14:paraId="221E2056"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w:t>
            </w:r>
          </w:p>
        </w:tc>
        <w:tc>
          <w:tcPr>
            <w:tcW w:w="7103" w:type="dxa"/>
            <w:tcBorders>
              <w:top w:val="single" w:sz="8" w:space="0" w:color="auto"/>
              <w:left w:val="nil"/>
              <w:bottom w:val="single" w:sz="4" w:space="0" w:color="auto"/>
              <w:right w:val="single" w:sz="4" w:space="0" w:color="auto"/>
            </w:tcBorders>
            <w:shd w:val="clear" w:color="auto" w:fill="auto"/>
            <w:noWrap/>
            <w:hideMark/>
          </w:tcPr>
          <w:p w14:paraId="78CB379D" w14:textId="71838B28"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 xml:space="preserve">Venituri </w:t>
            </w:r>
            <w:r w:rsidR="00053B45" w:rsidRPr="00424F06">
              <w:rPr>
                <w:rFonts w:ascii="Calibri Light" w:eastAsia="Times New Roman" w:hAnsi="Calibri Light" w:cs="Calibri Light"/>
                <w:i/>
                <w:iCs/>
                <w:color w:val="000000"/>
                <w:sz w:val="20"/>
                <w:szCs w:val="20"/>
                <w:lang w:val="ro-MD"/>
              </w:rPr>
              <w:t>b</w:t>
            </w:r>
            <w:r w:rsidRPr="00424F06">
              <w:rPr>
                <w:rFonts w:ascii="Calibri Light" w:eastAsia="Times New Roman" w:hAnsi="Calibri Light" w:cs="Calibri Light"/>
                <w:i/>
                <w:iCs/>
                <w:color w:val="000000"/>
                <w:sz w:val="20"/>
                <w:szCs w:val="20"/>
                <w:lang w:val="ro-MD"/>
              </w:rPr>
              <w:t>ugetul de stat</w:t>
            </w:r>
          </w:p>
        </w:tc>
        <w:tc>
          <w:tcPr>
            <w:tcW w:w="1050" w:type="dxa"/>
            <w:tcBorders>
              <w:top w:val="single" w:sz="8" w:space="0" w:color="auto"/>
              <w:left w:val="nil"/>
              <w:bottom w:val="single" w:sz="4" w:space="0" w:color="auto"/>
              <w:right w:val="single" w:sz="4" w:space="0" w:color="auto"/>
            </w:tcBorders>
            <w:shd w:val="clear" w:color="auto" w:fill="auto"/>
            <w:noWrap/>
            <w:hideMark/>
          </w:tcPr>
          <w:p w14:paraId="272180F7"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c>
          <w:tcPr>
            <w:tcW w:w="1050" w:type="dxa"/>
            <w:tcBorders>
              <w:top w:val="single" w:sz="8" w:space="0" w:color="auto"/>
              <w:left w:val="nil"/>
              <w:bottom w:val="single" w:sz="4" w:space="0" w:color="auto"/>
              <w:right w:val="single" w:sz="4" w:space="0" w:color="auto"/>
            </w:tcBorders>
            <w:shd w:val="clear" w:color="auto" w:fill="auto"/>
            <w:noWrap/>
            <w:hideMark/>
          </w:tcPr>
          <w:p w14:paraId="4B5D522E"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r>
      <w:tr w:rsidR="00AD4268" w:rsidRPr="00424F06" w14:paraId="447FB42D"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2056EF21"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2</w:t>
            </w:r>
          </w:p>
        </w:tc>
        <w:tc>
          <w:tcPr>
            <w:tcW w:w="7103" w:type="dxa"/>
            <w:tcBorders>
              <w:top w:val="nil"/>
              <w:left w:val="nil"/>
              <w:bottom w:val="single" w:sz="4" w:space="0" w:color="auto"/>
              <w:right w:val="single" w:sz="4" w:space="0" w:color="auto"/>
            </w:tcBorders>
            <w:shd w:val="clear" w:color="auto" w:fill="auto"/>
            <w:noWrap/>
            <w:hideMark/>
          </w:tcPr>
          <w:p w14:paraId="422080A2" w14:textId="77777777"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Transferuri cu destina</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ie generală</w:t>
            </w:r>
          </w:p>
        </w:tc>
        <w:tc>
          <w:tcPr>
            <w:tcW w:w="1050" w:type="dxa"/>
            <w:tcBorders>
              <w:top w:val="nil"/>
              <w:left w:val="nil"/>
              <w:bottom w:val="single" w:sz="4" w:space="0" w:color="auto"/>
              <w:right w:val="single" w:sz="4" w:space="0" w:color="auto"/>
            </w:tcBorders>
            <w:shd w:val="clear" w:color="auto" w:fill="auto"/>
            <w:noWrap/>
            <w:hideMark/>
          </w:tcPr>
          <w:p w14:paraId="73F390CE"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c>
          <w:tcPr>
            <w:tcW w:w="1050" w:type="dxa"/>
            <w:tcBorders>
              <w:top w:val="nil"/>
              <w:left w:val="nil"/>
              <w:bottom w:val="single" w:sz="4" w:space="0" w:color="auto"/>
              <w:right w:val="single" w:sz="4" w:space="0" w:color="auto"/>
            </w:tcBorders>
            <w:shd w:val="clear" w:color="auto" w:fill="auto"/>
            <w:noWrap/>
            <w:hideMark/>
          </w:tcPr>
          <w:p w14:paraId="62071363"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r>
      <w:tr w:rsidR="00AD4268" w:rsidRPr="00424F06" w14:paraId="131AB6EF" w14:textId="77777777" w:rsidTr="00A405CD">
        <w:trPr>
          <w:trHeight w:val="227"/>
        </w:trPr>
        <w:tc>
          <w:tcPr>
            <w:tcW w:w="547" w:type="dxa"/>
            <w:tcBorders>
              <w:top w:val="nil"/>
              <w:left w:val="single" w:sz="8" w:space="0" w:color="auto"/>
              <w:bottom w:val="single" w:sz="8" w:space="0" w:color="auto"/>
              <w:right w:val="single" w:sz="4" w:space="0" w:color="auto"/>
            </w:tcBorders>
            <w:shd w:val="clear" w:color="auto" w:fill="auto"/>
            <w:noWrap/>
            <w:hideMark/>
          </w:tcPr>
          <w:p w14:paraId="722FFBCF"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3</w:t>
            </w:r>
          </w:p>
        </w:tc>
        <w:tc>
          <w:tcPr>
            <w:tcW w:w="7103" w:type="dxa"/>
            <w:tcBorders>
              <w:top w:val="nil"/>
              <w:left w:val="nil"/>
              <w:bottom w:val="single" w:sz="8" w:space="0" w:color="auto"/>
              <w:right w:val="single" w:sz="4" w:space="0" w:color="auto"/>
            </w:tcBorders>
            <w:shd w:val="clear" w:color="auto" w:fill="auto"/>
            <w:hideMark/>
          </w:tcPr>
          <w:p w14:paraId="35DC2FC2" w14:textId="77777777" w:rsidR="00AD4268" w:rsidRPr="00424F06" w:rsidRDefault="00AD4268">
            <w:pPr>
              <w:spacing w:after="0" w:line="240" w:lineRule="auto"/>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Venituri suplimentare la bugetele UAT din UTA Găgăuzia (r.3=r.1-r.2)</w:t>
            </w:r>
          </w:p>
        </w:tc>
        <w:tc>
          <w:tcPr>
            <w:tcW w:w="1050" w:type="dxa"/>
            <w:tcBorders>
              <w:top w:val="nil"/>
              <w:left w:val="nil"/>
              <w:bottom w:val="single" w:sz="8" w:space="0" w:color="auto"/>
              <w:right w:val="single" w:sz="4" w:space="0" w:color="auto"/>
            </w:tcBorders>
            <w:shd w:val="clear" w:color="auto" w:fill="auto"/>
            <w:noWrap/>
            <w:hideMark/>
          </w:tcPr>
          <w:p w14:paraId="5B20ED2E" w14:textId="77777777" w:rsidR="00AD4268" w:rsidRPr="00424F06" w:rsidRDefault="00AD4268">
            <w:pPr>
              <w:spacing w:after="0" w:line="240" w:lineRule="auto"/>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 </w:t>
            </w:r>
          </w:p>
        </w:tc>
        <w:tc>
          <w:tcPr>
            <w:tcW w:w="1050" w:type="dxa"/>
            <w:tcBorders>
              <w:top w:val="nil"/>
              <w:left w:val="nil"/>
              <w:bottom w:val="single" w:sz="8" w:space="0" w:color="auto"/>
              <w:right w:val="single" w:sz="4" w:space="0" w:color="auto"/>
            </w:tcBorders>
            <w:shd w:val="clear" w:color="auto" w:fill="auto"/>
            <w:noWrap/>
            <w:hideMark/>
          </w:tcPr>
          <w:p w14:paraId="1937F766" w14:textId="77777777" w:rsidR="00AD4268" w:rsidRPr="00424F06" w:rsidRDefault="00AD4268">
            <w:pPr>
              <w:spacing w:after="0" w:line="240" w:lineRule="auto"/>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 </w:t>
            </w:r>
          </w:p>
        </w:tc>
      </w:tr>
      <w:tr w:rsidR="00AD4268" w:rsidRPr="00424F06" w14:paraId="32901EF5" w14:textId="77777777" w:rsidTr="00A405CD">
        <w:trPr>
          <w:trHeight w:val="227"/>
        </w:trPr>
        <w:tc>
          <w:tcPr>
            <w:tcW w:w="547" w:type="dxa"/>
            <w:tcBorders>
              <w:top w:val="single" w:sz="8" w:space="0" w:color="auto"/>
              <w:left w:val="single" w:sz="8" w:space="0" w:color="auto"/>
              <w:bottom w:val="single" w:sz="4" w:space="0" w:color="auto"/>
              <w:right w:val="single" w:sz="4" w:space="0" w:color="auto"/>
            </w:tcBorders>
            <w:shd w:val="clear" w:color="auto" w:fill="auto"/>
            <w:noWrap/>
            <w:hideMark/>
          </w:tcPr>
          <w:p w14:paraId="02E8AF1E"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4</w:t>
            </w:r>
          </w:p>
        </w:tc>
        <w:tc>
          <w:tcPr>
            <w:tcW w:w="7103" w:type="dxa"/>
            <w:tcBorders>
              <w:top w:val="single" w:sz="8" w:space="0" w:color="auto"/>
              <w:left w:val="nil"/>
              <w:bottom w:val="single" w:sz="4" w:space="0" w:color="auto"/>
              <w:right w:val="single" w:sz="4" w:space="0" w:color="auto"/>
            </w:tcBorders>
            <w:shd w:val="clear" w:color="auto" w:fill="auto"/>
            <w:hideMark/>
          </w:tcPr>
          <w:p w14:paraId="3392BF88" w14:textId="5E7E6E39"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 xml:space="preserve">Venituri </w:t>
            </w:r>
            <w:r w:rsidR="00053B45" w:rsidRPr="00424F06">
              <w:rPr>
                <w:rFonts w:ascii="Calibri Light" w:eastAsia="Times New Roman" w:hAnsi="Calibri Light" w:cs="Calibri Light"/>
                <w:i/>
                <w:iCs/>
                <w:color w:val="000000"/>
                <w:sz w:val="20"/>
                <w:szCs w:val="20"/>
                <w:lang w:val="ro-MD"/>
              </w:rPr>
              <w:t>b</w:t>
            </w:r>
            <w:r w:rsidRPr="00424F06">
              <w:rPr>
                <w:rFonts w:ascii="Calibri Light" w:eastAsia="Times New Roman" w:hAnsi="Calibri Light" w:cs="Calibri Light"/>
                <w:i/>
                <w:iCs/>
                <w:color w:val="000000"/>
                <w:sz w:val="20"/>
                <w:szCs w:val="20"/>
                <w:lang w:val="ro-MD"/>
              </w:rPr>
              <w:t>ugetul Comitetului Executiv (bugetul central)</w:t>
            </w:r>
          </w:p>
        </w:tc>
        <w:tc>
          <w:tcPr>
            <w:tcW w:w="1050" w:type="dxa"/>
            <w:tcBorders>
              <w:top w:val="single" w:sz="8" w:space="0" w:color="auto"/>
              <w:left w:val="nil"/>
              <w:bottom w:val="single" w:sz="4" w:space="0" w:color="auto"/>
              <w:right w:val="single" w:sz="4" w:space="0" w:color="auto"/>
            </w:tcBorders>
            <w:shd w:val="clear" w:color="auto" w:fill="auto"/>
            <w:noWrap/>
            <w:hideMark/>
          </w:tcPr>
          <w:p w14:paraId="1FCA8FA4"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254.196,8</w:t>
            </w:r>
          </w:p>
        </w:tc>
        <w:tc>
          <w:tcPr>
            <w:tcW w:w="1050" w:type="dxa"/>
            <w:tcBorders>
              <w:top w:val="single" w:sz="8" w:space="0" w:color="auto"/>
              <w:left w:val="nil"/>
              <w:bottom w:val="single" w:sz="4" w:space="0" w:color="auto"/>
              <w:right w:val="single" w:sz="4" w:space="0" w:color="auto"/>
            </w:tcBorders>
            <w:shd w:val="clear" w:color="auto" w:fill="auto"/>
            <w:noWrap/>
            <w:hideMark/>
          </w:tcPr>
          <w:p w14:paraId="38F538C8"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238.697,6</w:t>
            </w:r>
          </w:p>
        </w:tc>
      </w:tr>
      <w:tr w:rsidR="00AD4268" w:rsidRPr="00424F06" w14:paraId="1FD65110"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5E006FB9"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5</w:t>
            </w:r>
          </w:p>
        </w:tc>
        <w:tc>
          <w:tcPr>
            <w:tcW w:w="7103" w:type="dxa"/>
            <w:tcBorders>
              <w:top w:val="nil"/>
              <w:left w:val="nil"/>
              <w:bottom w:val="single" w:sz="4" w:space="0" w:color="auto"/>
              <w:right w:val="single" w:sz="4" w:space="0" w:color="auto"/>
            </w:tcBorders>
            <w:shd w:val="clear" w:color="auto" w:fill="auto"/>
            <w:hideMark/>
          </w:tcPr>
          <w:p w14:paraId="51CAFA6D" w14:textId="77777777"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Transferuri cu destina</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ie generală</w:t>
            </w:r>
          </w:p>
        </w:tc>
        <w:tc>
          <w:tcPr>
            <w:tcW w:w="1050" w:type="dxa"/>
            <w:tcBorders>
              <w:top w:val="nil"/>
              <w:left w:val="nil"/>
              <w:bottom w:val="single" w:sz="4" w:space="0" w:color="auto"/>
              <w:right w:val="single" w:sz="4" w:space="0" w:color="auto"/>
            </w:tcBorders>
            <w:shd w:val="clear" w:color="auto" w:fill="auto"/>
            <w:noWrap/>
            <w:hideMark/>
          </w:tcPr>
          <w:p w14:paraId="72F608DA"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c>
          <w:tcPr>
            <w:tcW w:w="1050" w:type="dxa"/>
            <w:tcBorders>
              <w:top w:val="nil"/>
              <w:left w:val="nil"/>
              <w:bottom w:val="single" w:sz="4" w:space="0" w:color="auto"/>
              <w:right w:val="single" w:sz="4" w:space="0" w:color="auto"/>
            </w:tcBorders>
            <w:shd w:val="clear" w:color="auto" w:fill="auto"/>
            <w:noWrap/>
            <w:hideMark/>
          </w:tcPr>
          <w:p w14:paraId="63BE8A8E"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r>
      <w:tr w:rsidR="00AD4268" w:rsidRPr="00424F06" w14:paraId="184C67C8"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7BF0A6BB"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6</w:t>
            </w:r>
          </w:p>
        </w:tc>
        <w:tc>
          <w:tcPr>
            <w:tcW w:w="7103" w:type="dxa"/>
            <w:tcBorders>
              <w:top w:val="nil"/>
              <w:left w:val="nil"/>
              <w:bottom w:val="single" w:sz="4" w:space="0" w:color="auto"/>
              <w:right w:val="single" w:sz="4" w:space="0" w:color="auto"/>
            </w:tcBorders>
            <w:shd w:val="clear" w:color="auto" w:fill="auto"/>
            <w:hideMark/>
          </w:tcPr>
          <w:p w14:paraId="5A393E8E" w14:textId="77777777" w:rsidR="00AD4268" w:rsidRPr="00424F06" w:rsidRDefault="00AD4268">
            <w:pPr>
              <w:spacing w:after="0" w:line="240" w:lineRule="auto"/>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Diferen</w:t>
            </w:r>
            <w:r w:rsidR="0069374B" w:rsidRPr="00424F06">
              <w:rPr>
                <w:rFonts w:ascii="Calibri Light" w:eastAsia="Times New Roman" w:hAnsi="Calibri Light" w:cs="Calibri Light"/>
                <w:b/>
                <w:bCs/>
                <w:i/>
                <w:iCs/>
                <w:color w:val="000000"/>
                <w:sz w:val="20"/>
                <w:szCs w:val="20"/>
                <w:lang w:val="ro-MD"/>
              </w:rPr>
              <w:t>ț</w:t>
            </w:r>
            <w:r w:rsidRPr="00424F06">
              <w:rPr>
                <w:rFonts w:ascii="Calibri Light" w:eastAsia="Times New Roman" w:hAnsi="Calibri Light" w:cs="Calibri Light"/>
                <w:b/>
                <w:bCs/>
                <w:i/>
                <w:iCs/>
                <w:color w:val="000000"/>
                <w:sz w:val="20"/>
                <w:szCs w:val="20"/>
                <w:lang w:val="ro-MD"/>
              </w:rPr>
              <w:t>a (r.1-(r.2+r.3)</w:t>
            </w:r>
          </w:p>
        </w:tc>
        <w:tc>
          <w:tcPr>
            <w:tcW w:w="1050" w:type="dxa"/>
            <w:tcBorders>
              <w:top w:val="nil"/>
              <w:left w:val="nil"/>
              <w:bottom w:val="single" w:sz="4" w:space="0" w:color="auto"/>
              <w:right w:val="single" w:sz="4" w:space="0" w:color="auto"/>
            </w:tcBorders>
            <w:shd w:val="clear" w:color="auto" w:fill="auto"/>
            <w:noWrap/>
            <w:hideMark/>
          </w:tcPr>
          <w:p w14:paraId="6121B9B5"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254.196,8</w:t>
            </w:r>
          </w:p>
        </w:tc>
        <w:tc>
          <w:tcPr>
            <w:tcW w:w="1050" w:type="dxa"/>
            <w:tcBorders>
              <w:top w:val="nil"/>
              <w:left w:val="nil"/>
              <w:bottom w:val="single" w:sz="4" w:space="0" w:color="auto"/>
              <w:right w:val="single" w:sz="4" w:space="0" w:color="auto"/>
            </w:tcBorders>
            <w:shd w:val="clear" w:color="auto" w:fill="auto"/>
            <w:noWrap/>
            <w:hideMark/>
          </w:tcPr>
          <w:p w14:paraId="65DE32B6"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238.697,6</w:t>
            </w:r>
          </w:p>
        </w:tc>
      </w:tr>
      <w:tr w:rsidR="00AD4268" w:rsidRPr="00424F06" w14:paraId="6ACE5DA8"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46361A34"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7</w:t>
            </w:r>
          </w:p>
        </w:tc>
        <w:tc>
          <w:tcPr>
            <w:tcW w:w="7103" w:type="dxa"/>
            <w:tcBorders>
              <w:top w:val="nil"/>
              <w:left w:val="nil"/>
              <w:bottom w:val="single" w:sz="4" w:space="0" w:color="auto"/>
              <w:right w:val="single" w:sz="4" w:space="0" w:color="auto"/>
            </w:tcBorders>
            <w:shd w:val="clear" w:color="auto" w:fill="auto"/>
            <w:hideMark/>
          </w:tcPr>
          <w:p w14:paraId="24981FB9" w14:textId="335761BE" w:rsidR="00AD4268" w:rsidRPr="00424F06" w:rsidRDefault="00AD4268">
            <w:pPr>
              <w:spacing w:after="0" w:line="240" w:lineRule="auto"/>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 xml:space="preserve">TOTAL transferuri de la bugetul Comitetului Executiv </w:t>
            </w:r>
            <w:r w:rsidR="00053B45" w:rsidRPr="00424F06">
              <w:rPr>
                <w:rFonts w:ascii="Calibri Light" w:eastAsia="Times New Roman" w:hAnsi="Calibri Light" w:cs="Calibri Light"/>
                <w:b/>
                <w:bCs/>
                <w:i/>
                <w:iCs/>
                <w:color w:val="000000"/>
                <w:sz w:val="20"/>
                <w:szCs w:val="20"/>
                <w:lang w:val="ro-MD"/>
              </w:rPr>
              <w:t xml:space="preserve">către </w:t>
            </w:r>
            <w:r w:rsidRPr="00424F06">
              <w:rPr>
                <w:rFonts w:ascii="Calibri Light" w:eastAsia="Times New Roman" w:hAnsi="Calibri Light" w:cs="Calibri Light"/>
                <w:b/>
                <w:bCs/>
                <w:i/>
                <w:iCs/>
                <w:color w:val="000000"/>
                <w:sz w:val="20"/>
                <w:szCs w:val="20"/>
                <w:lang w:val="ro-MD"/>
              </w:rPr>
              <w:t xml:space="preserve">APL </w:t>
            </w:r>
            <w:r w:rsidR="00053B45" w:rsidRPr="00424F06">
              <w:rPr>
                <w:rFonts w:ascii="Calibri Light" w:eastAsia="Times New Roman" w:hAnsi="Calibri Light" w:cs="Calibri Light"/>
                <w:b/>
                <w:bCs/>
                <w:i/>
                <w:iCs/>
                <w:color w:val="000000"/>
                <w:sz w:val="20"/>
                <w:szCs w:val="20"/>
                <w:lang w:val="ro-MD"/>
              </w:rPr>
              <w:t xml:space="preserve">de </w:t>
            </w:r>
            <w:r w:rsidRPr="00424F06">
              <w:rPr>
                <w:rFonts w:ascii="Calibri Light" w:eastAsia="Times New Roman" w:hAnsi="Calibri Light" w:cs="Calibri Light"/>
                <w:b/>
                <w:bCs/>
                <w:i/>
                <w:iCs/>
                <w:color w:val="000000"/>
                <w:sz w:val="20"/>
                <w:szCs w:val="20"/>
                <w:lang w:val="ro-MD"/>
              </w:rPr>
              <w:t>nivelul I (cu excep</w:t>
            </w:r>
            <w:r w:rsidR="0069374B" w:rsidRPr="00424F06">
              <w:rPr>
                <w:rFonts w:ascii="Calibri Light" w:eastAsia="Times New Roman" w:hAnsi="Calibri Light" w:cs="Calibri Light"/>
                <w:b/>
                <w:bCs/>
                <w:i/>
                <w:iCs/>
                <w:color w:val="000000"/>
                <w:sz w:val="20"/>
                <w:szCs w:val="20"/>
                <w:lang w:val="ro-MD"/>
              </w:rPr>
              <w:t>ț</w:t>
            </w:r>
            <w:r w:rsidRPr="00424F06">
              <w:rPr>
                <w:rFonts w:ascii="Calibri Light" w:eastAsia="Times New Roman" w:hAnsi="Calibri Light" w:cs="Calibri Light"/>
                <w:b/>
                <w:bCs/>
                <w:i/>
                <w:iCs/>
                <w:color w:val="000000"/>
                <w:sz w:val="20"/>
                <w:szCs w:val="20"/>
                <w:lang w:val="ro-MD"/>
              </w:rPr>
              <w:t xml:space="preserve">ia celor primite de la </w:t>
            </w:r>
            <w:r w:rsidR="00053B45" w:rsidRPr="00424F06">
              <w:rPr>
                <w:rFonts w:ascii="Calibri Light" w:eastAsia="Times New Roman" w:hAnsi="Calibri Light" w:cs="Calibri Light"/>
                <w:b/>
                <w:bCs/>
                <w:i/>
                <w:iCs/>
                <w:color w:val="000000"/>
                <w:sz w:val="20"/>
                <w:szCs w:val="20"/>
                <w:lang w:val="ro-MD"/>
              </w:rPr>
              <w:t>bugetul de stat</w:t>
            </w:r>
            <w:r w:rsidRPr="00424F06">
              <w:rPr>
                <w:rFonts w:ascii="Calibri Light" w:eastAsia="Times New Roman" w:hAnsi="Calibri Light" w:cs="Calibri Light"/>
                <w:b/>
                <w:bCs/>
                <w:i/>
                <w:iCs/>
                <w:color w:val="000000"/>
                <w:sz w:val="20"/>
                <w:szCs w:val="20"/>
                <w:lang w:val="ro-MD"/>
              </w:rPr>
              <w:t>), din care:</w:t>
            </w:r>
          </w:p>
        </w:tc>
        <w:tc>
          <w:tcPr>
            <w:tcW w:w="1050" w:type="dxa"/>
            <w:tcBorders>
              <w:top w:val="nil"/>
              <w:left w:val="nil"/>
              <w:bottom w:val="single" w:sz="4" w:space="0" w:color="auto"/>
              <w:right w:val="single" w:sz="4" w:space="0" w:color="auto"/>
            </w:tcBorders>
            <w:shd w:val="clear" w:color="auto" w:fill="auto"/>
            <w:noWrap/>
            <w:hideMark/>
          </w:tcPr>
          <w:p w14:paraId="7B05C615"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63.337,3</w:t>
            </w:r>
          </w:p>
        </w:tc>
        <w:tc>
          <w:tcPr>
            <w:tcW w:w="1050" w:type="dxa"/>
            <w:tcBorders>
              <w:top w:val="nil"/>
              <w:left w:val="nil"/>
              <w:bottom w:val="single" w:sz="4" w:space="0" w:color="auto"/>
              <w:right w:val="single" w:sz="4" w:space="0" w:color="auto"/>
            </w:tcBorders>
            <w:shd w:val="clear" w:color="auto" w:fill="auto"/>
            <w:noWrap/>
            <w:hideMark/>
          </w:tcPr>
          <w:p w14:paraId="278D1794"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57.839,5</w:t>
            </w:r>
          </w:p>
        </w:tc>
      </w:tr>
      <w:tr w:rsidR="00AD4268" w:rsidRPr="00424F06" w14:paraId="04D3D2AE"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09EBEE85"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8</w:t>
            </w:r>
          </w:p>
        </w:tc>
        <w:tc>
          <w:tcPr>
            <w:tcW w:w="7103" w:type="dxa"/>
            <w:tcBorders>
              <w:top w:val="nil"/>
              <w:left w:val="nil"/>
              <w:bottom w:val="single" w:sz="4" w:space="0" w:color="auto"/>
              <w:right w:val="single" w:sz="4" w:space="0" w:color="auto"/>
            </w:tcBorders>
            <w:shd w:val="clear" w:color="auto" w:fill="auto"/>
            <w:hideMark/>
          </w:tcPr>
          <w:p w14:paraId="3B2A1ACA" w14:textId="77777777"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Transferuri cu destina</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ie generală</w:t>
            </w:r>
          </w:p>
        </w:tc>
        <w:tc>
          <w:tcPr>
            <w:tcW w:w="1050" w:type="dxa"/>
            <w:tcBorders>
              <w:top w:val="nil"/>
              <w:left w:val="nil"/>
              <w:bottom w:val="single" w:sz="4" w:space="0" w:color="auto"/>
              <w:right w:val="single" w:sz="4" w:space="0" w:color="auto"/>
            </w:tcBorders>
            <w:shd w:val="clear" w:color="auto" w:fill="auto"/>
            <w:noWrap/>
            <w:hideMark/>
          </w:tcPr>
          <w:p w14:paraId="5952933E"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20.533,3</w:t>
            </w:r>
          </w:p>
        </w:tc>
        <w:tc>
          <w:tcPr>
            <w:tcW w:w="1050" w:type="dxa"/>
            <w:tcBorders>
              <w:top w:val="nil"/>
              <w:left w:val="nil"/>
              <w:bottom w:val="single" w:sz="4" w:space="0" w:color="auto"/>
              <w:right w:val="single" w:sz="4" w:space="0" w:color="auto"/>
            </w:tcBorders>
            <w:shd w:val="clear" w:color="auto" w:fill="auto"/>
            <w:noWrap/>
            <w:hideMark/>
          </w:tcPr>
          <w:p w14:paraId="4FE7A5E3"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14.690,7</w:t>
            </w:r>
          </w:p>
        </w:tc>
      </w:tr>
      <w:tr w:rsidR="00AD4268" w:rsidRPr="00424F06" w14:paraId="50ADEB02"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4D460F30"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9</w:t>
            </w:r>
          </w:p>
        </w:tc>
        <w:tc>
          <w:tcPr>
            <w:tcW w:w="7103" w:type="dxa"/>
            <w:tcBorders>
              <w:top w:val="nil"/>
              <w:left w:val="nil"/>
              <w:bottom w:val="single" w:sz="4" w:space="0" w:color="auto"/>
              <w:right w:val="single" w:sz="4" w:space="0" w:color="auto"/>
            </w:tcBorders>
            <w:shd w:val="clear" w:color="auto" w:fill="auto"/>
            <w:hideMark/>
          </w:tcPr>
          <w:p w14:paraId="13C18433" w14:textId="77777777"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Transferuri cu destina</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ie specială</w:t>
            </w:r>
          </w:p>
        </w:tc>
        <w:tc>
          <w:tcPr>
            <w:tcW w:w="1050" w:type="dxa"/>
            <w:tcBorders>
              <w:top w:val="nil"/>
              <w:left w:val="nil"/>
              <w:bottom w:val="single" w:sz="4" w:space="0" w:color="auto"/>
              <w:right w:val="single" w:sz="4" w:space="0" w:color="auto"/>
            </w:tcBorders>
            <w:shd w:val="clear" w:color="auto" w:fill="auto"/>
            <w:noWrap/>
            <w:hideMark/>
          </w:tcPr>
          <w:p w14:paraId="01F95141"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42.804,0</w:t>
            </w:r>
          </w:p>
        </w:tc>
        <w:tc>
          <w:tcPr>
            <w:tcW w:w="1050" w:type="dxa"/>
            <w:tcBorders>
              <w:top w:val="nil"/>
              <w:left w:val="nil"/>
              <w:bottom w:val="single" w:sz="4" w:space="0" w:color="auto"/>
              <w:right w:val="single" w:sz="4" w:space="0" w:color="auto"/>
            </w:tcBorders>
            <w:shd w:val="clear" w:color="auto" w:fill="auto"/>
            <w:noWrap/>
            <w:hideMark/>
          </w:tcPr>
          <w:p w14:paraId="54AECAFB"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40.160,3</w:t>
            </w:r>
          </w:p>
        </w:tc>
      </w:tr>
      <w:tr w:rsidR="00AD4268" w:rsidRPr="00424F06" w14:paraId="14862743"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3B1D84D1"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10</w:t>
            </w:r>
          </w:p>
        </w:tc>
        <w:tc>
          <w:tcPr>
            <w:tcW w:w="7103" w:type="dxa"/>
            <w:tcBorders>
              <w:top w:val="nil"/>
              <w:left w:val="nil"/>
              <w:bottom w:val="single" w:sz="4" w:space="0" w:color="auto"/>
              <w:right w:val="single" w:sz="4" w:space="0" w:color="auto"/>
            </w:tcBorders>
            <w:shd w:val="clear" w:color="auto" w:fill="auto"/>
            <w:hideMark/>
          </w:tcPr>
          <w:p w14:paraId="767D1EA3" w14:textId="3A4D721E"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 xml:space="preserve">Alte transferuri (repartizarea soldului TDS primite de la </w:t>
            </w:r>
            <w:r w:rsidR="00053B45" w:rsidRPr="00424F06">
              <w:rPr>
                <w:rFonts w:ascii="Calibri Light" w:eastAsia="Times New Roman" w:hAnsi="Calibri Light" w:cs="Calibri Light"/>
                <w:i/>
                <w:iCs/>
                <w:color w:val="000000"/>
                <w:sz w:val="20"/>
                <w:szCs w:val="20"/>
                <w:lang w:val="ro-MD"/>
              </w:rPr>
              <w:t>bugetul de stat</w:t>
            </w:r>
            <w:r w:rsidRPr="00424F06">
              <w:rPr>
                <w:rFonts w:ascii="Calibri Light" w:eastAsia="Times New Roman" w:hAnsi="Calibri Light" w:cs="Calibri Light"/>
                <w:i/>
                <w:iCs/>
                <w:color w:val="000000"/>
                <w:sz w:val="20"/>
                <w:szCs w:val="20"/>
                <w:lang w:val="ro-MD"/>
              </w:rPr>
              <w:t xml:space="preserve"> în anul precedent)</w:t>
            </w:r>
          </w:p>
        </w:tc>
        <w:tc>
          <w:tcPr>
            <w:tcW w:w="1050" w:type="dxa"/>
            <w:tcBorders>
              <w:top w:val="nil"/>
              <w:left w:val="nil"/>
              <w:bottom w:val="single" w:sz="4" w:space="0" w:color="auto"/>
              <w:right w:val="single" w:sz="4" w:space="0" w:color="auto"/>
            </w:tcBorders>
            <w:shd w:val="clear" w:color="auto" w:fill="auto"/>
            <w:noWrap/>
            <w:hideMark/>
          </w:tcPr>
          <w:p w14:paraId="390D55D1"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c>
          <w:tcPr>
            <w:tcW w:w="1050" w:type="dxa"/>
            <w:tcBorders>
              <w:top w:val="nil"/>
              <w:left w:val="nil"/>
              <w:bottom w:val="single" w:sz="4" w:space="0" w:color="auto"/>
              <w:right w:val="single" w:sz="4" w:space="0" w:color="auto"/>
            </w:tcBorders>
            <w:shd w:val="clear" w:color="auto" w:fill="auto"/>
            <w:noWrap/>
            <w:hideMark/>
          </w:tcPr>
          <w:p w14:paraId="4FA1FD7B"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2.988,5</w:t>
            </w:r>
          </w:p>
        </w:tc>
      </w:tr>
      <w:tr w:rsidR="00AD4268" w:rsidRPr="00424F06" w14:paraId="5A5067E0" w14:textId="77777777" w:rsidTr="00A405CD">
        <w:trPr>
          <w:trHeight w:val="227"/>
        </w:trPr>
        <w:tc>
          <w:tcPr>
            <w:tcW w:w="547" w:type="dxa"/>
            <w:tcBorders>
              <w:top w:val="nil"/>
              <w:left w:val="single" w:sz="8" w:space="0" w:color="auto"/>
              <w:bottom w:val="single" w:sz="8" w:space="0" w:color="auto"/>
              <w:right w:val="single" w:sz="4" w:space="0" w:color="auto"/>
            </w:tcBorders>
            <w:shd w:val="clear" w:color="auto" w:fill="auto"/>
            <w:noWrap/>
            <w:hideMark/>
          </w:tcPr>
          <w:p w14:paraId="799CE511"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11</w:t>
            </w:r>
          </w:p>
        </w:tc>
        <w:tc>
          <w:tcPr>
            <w:tcW w:w="7103" w:type="dxa"/>
            <w:tcBorders>
              <w:top w:val="nil"/>
              <w:left w:val="nil"/>
              <w:bottom w:val="single" w:sz="8" w:space="0" w:color="auto"/>
              <w:right w:val="single" w:sz="4" w:space="0" w:color="auto"/>
            </w:tcBorders>
            <w:shd w:val="clear" w:color="auto" w:fill="auto"/>
            <w:hideMark/>
          </w:tcPr>
          <w:p w14:paraId="130CB211" w14:textId="03092822" w:rsidR="00AD4268" w:rsidRPr="00424F06" w:rsidRDefault="00AD4268">
            <w:pPr>
              <w:spacing w:after="0" w:line="240" w:lineRule="auto"/>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 xml:space="preserve">Venituri suplimentare la bugetul central </w:t>
            </w:r>
            <w:r w:rsidR="00053B45" w:rsidRPr="00424F06">
              <w:rPr>
                <w:rFonts w:ascii="Calibri Light" w:eastAsia="Times New Roman" w:hAnsi="Calibri Light" w:cs="Calibri Light"/>
                <w:b/>
                <w:bCs/>
                <w:i/>
                <w:iCs/>
                <w:color w:val="000000"/>
                <w:sz w:val="20"/>
                <w:szCs w:val="20"/>
                <w:lang w:val="ro-MD"/>
              </w:rPr>
              <w:t xml:space="preserve">al </w:t>
            </w:r>
            <w:r w:rsidRPr="00424F06">
              <w:rPr>
                <w:rFonts w:ascii="Calibri Light" w:eastAsia="Times New Roman" w:hAnsi="Calibri Light" w:cs="Calibri Light"/>
                <w:b/>
                <w:bCs/>
                <w:i/>
                <w:iCs/>
                <w:color w:val="000000"/>
                <w:sz w:val="20"/>
                <w:szCs w:val="20"/>
                <w:lang w:val="ro-MD"/>
              </w:rPr>
              <w:t>UTA Găgăuzia (r.11=r.6-r.7)</w:t>
            </w:r>
          </w:p>
        </w:tc>
        <w:tc>
          <w:tcPr>
            <w:tcW w:w="1050" w:type="dxa"/>
            <w:tcBorders>
              <w:top w:val="nil"/>
              <w:left w:val="nil"/>
              <w:bottom w:val="single" w:sz="8" w:space="0" w:color="auto"/>
              <w:right w:val="single" w:sz="4" w:space="0" w:color="auto"/>
            </w:tcBorders>
            <w:shd w:val="clear" w:color="auto" w:fill="auto"/>
            <w:noWrap/>
            <w:hideMark/>
          </w:tcPr>
          <w:p w14:paraId="6917F770"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190.859,5</w:t>
            </w:r>
          </w:p>
        </w:tc>
        <w:tc>
          <w:tcPr>
            <w:tcW w:w="1050" w:type="dxa"/>
            <w:tcBorders>
              <w:top w:val="nil"/>
              <w:left w:val="nil"/>
              <w:bottom w:val="single" w:sz="8" w:space="0" w:color="auto"/>
              <w:right w:val="single" w:sz="4" w:space="0" w:color="auto"/>
            </w:tcBorders>
            <w:shd w:val="clear" w:color="auto" w:fill="auto"/>
            <w:noWrap/>
            <w:hideMark/>
          </w:tcPr>
          <w:p w14:paraId="577C658B"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180.858,1</w:t>
            </w:r>
          </w:p>
        </w:tc>
      </w:tr>
      <w:tr w:rsidR="00AD4268" w:rsidRPr="00424F06" w14:paraId="5FCAEAC5" w14:textId="77777777" w:rsidTr="00A405CD">
        <w:trPr>
          <w:trHeight w:val="227"/>
        </w:trPr>
        <w:tc>
          <w:tcPr>
            <w:tcW w:w="547" w:type="dxa"/>
            <w:tcBorders>
              <w:top w:val="single" w:sz="8" w:space="0" w:color="auto"/>
              <w:left w:val="single" w:sz="8" w:space="0" w:color="auto"/>
              <w:bottom w:val="single" w:sz="4" w:space="0" w:color="auto"/>
              <w:right w:val="single" w:sz="4" w:space="0" w:color="auto"/>
            </w:tcBorders>
            <w:shd w:val="clear" w:color="auto" w:fill="auto"/>
            <w:noWrap/>
            <w:hideMark/>
          </w:tcPr>
          <w:p w14:paraId="59ADE92B"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12</w:t>
            </w:r>
          </w:p>
        </w:tc>
        <w:tc>
          <w:tcPr>
            <w:tcW w:w="7103" w:type="dxa"/>
            <w:tcBorders>
              <w:top w:val="single" w:sz="8" w:space="0" w:color="auto"/>
              <w:left w:val="nil"/>
              <w:bottom w:val="single" w:sz="4" w:space="0" w:color="auto"/>
              <w:right w:val="single" w:sz="4" w:space="0" w:color="auto"/>
            </w:tcBorders>
            <w:shd w:val="clear" w:color="auto" w:fill="auto"/>
            <w:hideMark/>
          </w:tcPr>
          <w:p w14:paraId="7FD70CEE" w14:textId="03A173CE" w:rsidR="00AD4268" w:rsidRPr="00424F06" w:rsidRDefault="00AD4268">
            <w:pPr>
              <w:spacing w:after="0" w:line="240" w:lineRule="auto"/>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 xml:space="preserve">Venituri </w:t>
            </w:r>
            <w:r w:rsidR="00053B45" w:rsidRPr="00424F06">
              <w:rPr>
                <w:rFonts w:ascii="Calibri Light" w:eastAsia="Times New Roman" w:hAnsi="Calibri Light" w:cs="Calibri Light"/>
                <w:b/>
                <w:bCs/>
                <w:i/>
                <w:iCs/>
                <w:color w:val="000000"/>
                <w:sz w:val="20"/>
                <w:szCs w:val="20"/>
                <w:lang w:val="ro-MD"/>
              </w:rPr>
              <w:t>t</w:t>
            </w:r>
            <w:r w:rsidRPr="00424F06">
              <w:rPr>
                <w:rFonts w:ascii="Calibri Light" w:eastAsia="Times New Roman" w:hAnsi="Calibri Light" w:cs="Calibri Light"/>
                <w:b/>
                <w:bCs/>
                <w:i/>
                <w:iCs/>
                <w:color w:val="000000"/>
                <w:sz w:val="20"/>
                <w:szCs w:val="20"/>
                <w:lang w:val="ro-MD"/>
              </w:rPr>
              <w:t xml:space="preserve">otal </w:t>
            </w:r>
            <w:r w:rsidR="00053B45" w:rsidRPr="00424F06">
              <w:rPr>
                <w:rFonts w:ascii="Calibri Light" w:eastAsia="Times New Roman" w:hAnsi="Calibri Light" w:cs="Calibri Light"/>
                <w:b/>
                <w:bCs/>
                <w:i/>
                <w:iCs/>
                <w:color w:val="000000"/>
                <w:sz w:val="20"/>
                <w:szCs w:val="20"/>
                <w:lang w:val="ro-MD"/>
              </w:rPr>
              <w:t>b</w:t>
            </w:r>
            <w:r w:rsidRPr="00424F06">
              <w:rPr>
                <w:rFonts w:ascii="Calibri Light" w:eastAsia="Times New Roman" w:hAnsi="Calibri Light" w:cs="Calibri Light"/>
                <w:b/>
                <w:bCs/>
                <w:i/>
                <w:iCs/>
                <w:color w:val="000000"/>
                <w:sz w:val="20"/>
                <w:szCs w:val="20"/>
                <w:lang w:val="ro-MD"/>
              </w:rPr>
              <w:t>ugetele locale de nivelul I, inclusiv: (r.12=r.13+r.14+r.15)</w:t>
            </w:r>
          </w:p>
        </w:tc>
        <w:tc>
          <w:tcPr>
            <w:tcW w:w="1050" w:type="dxa"/>
            <w:tcBorders>
              <w:top w:val="single" w:sz="8" w:space="0" w:color="auto"/>
              <w:left w:val="nil"/>
              <w:bottom w:val="single" w:sz="4" w:space="0" w:color="auto"/>
              <w:right w:val="single" w:sz="4" w:space="0" w:color="auto"/>
            </w:tcBorders>
            <w:shd w:val="clear" w:color="auto" w:fill="auto"/>
            <w:noWrap/>
            <w:hideMark/>
          </w:tcPr>
          <w:p w14:paraId="7817FF64"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105.080,3</w:t>
            </w:r>
          </w:p>
        </w:tc>
        <w:tc>
          <w:tcPr>
            <w:tcW w:w="1050" w:type="dxa"/>
            <w:tcBorders>
              <w:top w:val="single" w:sz="8" w:space="0" w:color="auto"/>
              <w:left w:val="nil"/>
              <w:bottom w:val="single" w:sz="4" w:space="0" w:color="auto"/>
              <w:right w:val="single" w:sz="4" w:space="0" w:color="auto"/>
            </w:tcBorders>
            <w:shd w:val="clear" w:color="auto" w:fill="auto"/>
            <w:noWrap/>
            <w:hideMark/>
          </w:tcPr>
          <w:p w14:paraId="4BADA620"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120.339,9</w:t>
            </w:r>
          </w:p>
        </w:tc>
      </w:tr>
      <w:tr w:rsidR="00AD4268" w:rsidRPr="00424F06" w14:paraId="7A966D06"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069D7CE8"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13</w:t>
            </w:r>
          </w:p>
        </w:tc>
        <w:tc>
          <w:tcPr>
            <w:tcW w:w="7103" w:type="dxa"/>
            <w:tcBorders>
              <w:top w:val="nil"/>
              <w:left w:val="nil"/>
              <w:bottom w:val="single" w:sz="4" w:space="0" w:color="auto"/>
              <w:right w:val="single" w:sz="4" w:space="0" w:color="auto"/>
            </w:tcBorders>
            <w:shd w:val="clear" w:color="auto" w:fill="auto"/>
            <w:noWrap/>
            <w:hideMark/>
          </w:tcPr>
          <w:p w14:paraId="62CD94FD" w14:textId="77777777"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Bugetul mun. Comrat (re</w:t>
            </w:r>
            <w:r w:rsidR="0069374B" w:rsidRPr="00424F06">
              <w:rPr>
                <w:rFonts w:ascii="Calibri Light" w:eastAsia="Times New Roman" w:hAnsi="Calibri Light" w:cs="Calibri Light"/>
                <w:i/>
                <w:iCs/>
                <w:color w:val="000000"/>
                <w:sz w:val="20"/>
                <w:szCs w:val="20"/>
                <w:lang w:val="ro-MD"/>
              </w:rPr>
              <w:t>ș</w:t>
            </w:r>
            <w:r w:rsidRPr="00424F06">
              <w:rPr>
                <w:rFonts w:ascii="Calibri Light" w:eastAsia="Times New Roman" w:hAnsi="Calibri Light" w:cs="Calibri Light"/>
                <w:i/>
                <w:iCs/>
                <w:color w:val="000000"/>
                <w:sz w:val="20"/>
                <w:szCs w:val="20"/>
                <w:lang w:val="ro-MD"/>
              </w:rPr>
              <w:t>edin</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ă)</w:t>
            </w:r>
          </w:p>
        </w:tc>
        <w:tc>
          <w:tcPr>
            <w:tcW w:w="1050" w:type="dxa"/>
            <w:tcBorders>
              <w:top w:val="nil"/>
              <w:left w:val="nil"/>
              <w:bottom w:val="single" w:sz="4" w:space="0" w:color="auto"/>
              <w:right w:val="single" w:sz="4" w:space="0" w:color="auto"/>
            </w:tcBorders>
            <w:shd w:val="clear" w:color="auto" w:fill="auto"/>
            <w:noWrap/>
            <w:hideMark/>
          </w:tcPr>
          <w:p w14:paraId="03D99D68"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37.558,2</w:t>
            </w:r>
          </w:p>
        </w:tc>
        <w:tc>
          <w:tcPr>
            <w:tcW w:w="1050" w:type="dxa"/>
            <w:tcBorders>
              <w:top w:val="nil"/>
              <w:left w:val="nil"/>
              <w:bottom w:val="single" w:sz="4" w:space="0" w:color="auto"/>
              <w:right w:val="single" w:sz="4" w:space="0" w:color="auto"/>
            </w:tcBorders>
            <w:shd w:val="clear" w:color="auto" w:fill="auto"/>
            <w:noWrap/>
            <w:hideMark/>
          </w:tcPr>
          <w:p w14:paraId="4E785D0C"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38.376,6</w:t>
            </w:r>
          </w:p>
        </w:tc>
      </w:tr>
      <w:tr w:rsidR="00AD4268" w:rsidRPr="00424F06" w14:paraId="19F18107"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77E16CF2"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14</w:t>
            </w:r>
          </w:p>
        </w:tc>
        <w:tc>
          <w:tcPr>
            <w:tcW w:w="7103" w:type="dxa"/>
            <w:tcBorders>
              <w:top w:val="nil"/>
              <w:left w:val="nil"/>
              <w:bottom w:val="single" w:sz="4" w:space="0" w:color="auto"/>
              <w:right w:val="single" w:sz="4" w:space="0" w:color="auto"/>
            </w:tcBorders>
            <w:shd w:val="clear" w:color="auto" w:fill="auto"/>
            <w:hideMark/>
          </w:tcPr>
          <w:p w14:paraId="1E1D842A" w14:textId="63E4526B"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Bugetul mun. Cead</w:t>
            </w:r>
            <w:r w:rsidR="00053B45" w:rsidRPr="00424F06">
              <w:rPr>
                <w:rFonts w:ascii="Calibri Light" w:eastAsia="Times New Roman" w:hAnsi="Calibri Light" w:cs="Calibri Light"/>
                <w:i/>
                <w:iCs/>
                <w:color w:val="000000"/>
                <w:sz w:val="20"/>
                <w:szCs w:val="20"/>
                <w:lang w:val="ro-MD"/>
              </w:rPr>
              <w:t>â</w:t>
            </w:r>
            <w:r w:rsidRPr="00424F06">
              <w:rPr>
                <w:rFonts w:ascii="Calibri Light" w:eastAsia="Times New Roman" w:hAnsi="Calibri Light" w:cs="Calibri Light"/>
                <w:i/>
                <w:iCs/>
                <w:color w:val="000000"/>
                <w:sz w:val="20"/>
                <w:szCs w:val="20"/>
                <w:lang w:val="ro-MD"/>
              </w:rPr>
              <w:t xml:space="preserve">r - Lunga </w:t>
            </w:r>
            <w:r w:rsidR="0069374B" w:rsidRPr="00424F06">
              <w:rPr>
                <w:rFonts w:ascii="Calibri Light" w:eastAsia="Times New Roman" w:hAnsi="Calibri Light" w:cs="Calibri Light"/>
                <w:i/>
                <w:iCs/>
                <w:color w:val="000000"/>
                <w:sz w:val="20"/>
                <w:szCs w:val="20"/>
                <w:lang w:val="ro-MD"/>
              </w:rPr>
              <w:t>ș</w:t>
            </w:r>
            <w:r w:rsidRPr="00424F06">
              <w:rPr>
                <w:rFonts w:ascii="Calibri Light" w:eastAsia="Times New Roman" w:hAnsi="Calibri Light" w:cs="Calibri Light"/>
                <w:i/>
                <w:iCs/>
                <w:color w:val="000000"/>
                <w:sz w:val="20"/>
                <w:szCs w:val="20"/>
                <w:lang w:val="ro-MD"/>
              </w:rPr>
              <w:t xml:space="preserve">i </w:t>
            </w:r>
            <w:r w:rsidR="00053B45" w:rsidRPr="00424F06">
              <w:rPr>
                <w:rFonts w:ascii="Calibri Light" w:eastAsia="Times New Roman" w:hAnsi="Calibri Light" w:cs="Calibri Light"/>
                <w:i/>
                <w:iCs/>
                <w:color w:val="000000"/>
                <w:sz w:val="20"/>
                <w:szCs w:val="20"/>
                <w:lang w:val="ro-MD"/>
              </w:rPr>
              <w:t xml:space="preserve">al </w:t>
            </w:r>
            <w:r w:rsidRPr="00424F06">
              <w:rPr>
                <w:rFonts w:ascii="Calibri Light" w:eastAsia="Times New Roman" w:hAnsi="Calibri Light" w:cs="Calibri Light"/>
                <w:i/>
                <w:iCs/>
                <w:color w:val="000000"/>
                <w:sz w:val="20"/>
                <w:szCs w:val="20"/>
                <w:lang w:val="ro-MD"/>
              </w:rPr>
              <w:t>or. Vulcăne</w:t>
            </w:r>
            <w:r w:rsidR="0069374B" w:rsidRPr="00424F06">
              <w:rPr>
                <w:rFonts w:ascii="Calibri Light" w:eastAsia="Times New Roman" w:hAnsi="Calibri Light" w:cs="Calibri Light"/>
                <w:i/>
                <w:iCs/>
                <w:color w:val="000000"/>
                <w:sz w:val="20"/>
                <w:szCs w:val="20"/>
                <w:lang w:val="ro-MD"/>
              </w:rPr>
              <w:t>ș</w:t>
            </w:r>
            <w:r w:rsidRPr="00424F06">
              <w:rPr>
                <w:rFonts w:ascii="Calibri Light" w:eastAsia="Times New Roman" w:hAnsi="Calibri Light" w:cs="Calibri Light"/>
                <w:i/>
                <w:iCs/>
                <w:color w:val="000000"/>
                <w:sz w:val="20"/>
                <w:szCs w:val="20"/>
                <w:lang w:val="ro-MD"/>
              </w:rPr>
              <w:t>ti (localită</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 din componen</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a UTA)</w:t>
            </w:r>
          </w:p>
        </w:tc>
        <w:tc>
          <w:tcPr>
            <w:tcW w:w="1050" w:type="dxa"/>
            <w:tcBorders>
              <w:top w:val="nil"/>
              <w:left w:val="nil"/>
              <w:bottom w:val="single" w:sz="4" w:space="0" w:color="auto"/>
              <w:right w:val="single" w:sz="4" w:space="0" w:color="auto"/>
            </w:tcBorders>
            <w:shd w:val="clear" w:color="auto" w:fill="auto"/>
            <w:noWrap/>
            <w:hideMark/>
          </w:tcPr>
          <w:p w14:paraId="6D6409A9"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27.591,8</w:t>
            </w:r>
          </w:p>
        </w:tc>
        <w:tc>
          <w:tcPr>
            <w:tcW w:w="1050" w:type="dxa"/>
            <w:tcBorders>
              <w:top w:val="nil"/>
              <w:left w:val="nil"/>
              <w:bottom w:val="single" w:sz="4" w:space="0" w:color="auto"/>
              <w:right w:val="single" w:sz="4" w:space="0" w:color="auto"/>
            </w:tcBorders>
            <w:shd w:val="clear" w:color="auto" w:fill="auto"/>
            <w:noWrap/>
            <w:hideMark/>
          </w:tcPr>
          <w:p w14:paraId="31D38065"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30.826,5</w:t>
            </w:r>
          </w:p>
        </w:tc>
      </w:tr>
      <w:tr w:rsidR="00AD4268" w:rsidRPr="00424F06" w14:paraId="5DC7CD4C"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60EFB751"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15</w:t>
            </w:r>
          </w:p>
        </w:tc>
        <w:tc>
          <w:tcPr>
            <w:tcW w:w="7103" w:type="dxa"/>
            <w:tcBorders>
              <w:top w:val="nil"/>
              <w:left w:val="nil"/>
              <w:bottom w:val="single" w:sz="4" w:space="0" w:color="auto"/>
              <w:right w:val="single" w:sz="4" w:space="0" w:color="auto"/>
            </w:tcBorders>
            <w:shd w:val="clear" w:color="auto" w:fill="auto"/>
            <w:hideMark/>
          </w:tcPr>
          <w:p w14:paraId="67588D18" w14:textId="493AAFA2"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Autorită</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ile publice locale de niv</w:t>
            </w:r>
            <w:r w:rsidR="00053B45" w:rsidRPr="00424F06">
              <w:rPr>
                <w:rFonts w:ascii="Calibri Light" w:eastAsia="Times New Roman" w:hAnsi="Calibri Light" w:cs="Calibri Light"/>
                <w:i/>
                <w:iCs/>
                <w:color w:val="000000"/>
                <w:sz w:val="20"/>
                <w:szCs w:val="20"/>
                <w:lang w:val="ro-MD"/>
              </w:rPr>
              <w:t>elul</w:t>
            </w:r>
            <w:r w:rsidRPr="00424F06">
              <w:rPr>
                <w:rFonts w:ascii="Calibri Light" w:eastAsia="Times New Roman" w:hAnsi="Calibri Light" w:cs="Calibri Light"/>
                <w:i/>
                <w:iCs/>
                <w:color w:val="000000"/>
                <w:sz w:val="20"/>
                <w:szCs w:val="20"/>
                <w:lang w:val="ro-MD"/>
              </w:rPr>
              <w:t xml:space="preserve"> I din componen</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 xml:space="preserve">a UTA </w:t>
            </w:r>
          </w:p>
        </w:tc>
        <w:tc>
          <w:tcPr>
            <w:tcW w:w="1050" w:type="dxa"/>
            <w:tcBorders>
              <w:top w:val="nil"/>
              <w:left w:val="nil"/>
              <w:bottom w:val="single" w:sz="4" w:space="0" w:color="auto"/>
              <w:right w:val="single" w:sz="4" w:space="0" w:color="auto"/>
            </w:tcBorders>
            <w:shd w:val="clear" w:color="auto" w:fill="auto"/>
            <w:noWrap/>
            <w:hideMark/>
          </w:tcPr>
          <w:p w14:paraId="4B29B66C"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39.930,3</w:t>
            </w:r>
          </w:p>
        </w:tc>
        <w:tc>
          <w:tcPr>
            <w:tcW w:w="1050" w:type="dxa"/>
            <w:tcBorders>
              <w:top w:val="nil"/>
              <w:left w:val="nil"/>
              <w:bottom w:val="single" w:sz="4" w:space="0" w:color="auto"/>
              <w:right w:val="single" w:sz="4" w:space="0" w:color="auto"/>
            </w:tcBorders>
            <w:shd w:val="clear" w:color="auto" w:fill="auto"/>
            <w:noWrap/>
            <w:hideMark/>
          </w:tcPr>
          <w:p w14:paraId="1A482BDF"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51.136,8</w:t>
            </w:r>
          </w:p>
        </w:tc>
      </w:tr>
      <w:tr w:rsidR="00AD4268" w:rsidRPr="00424F06" w14:paraId="12AD5324"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551BBACB"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16</w:t>
            </w:r>
          </w:p>
        </w:tc>
        <w:tc>
          <w:tcPr>
            <w:tcW w:w="7103" w:type="dxa"/>
            <w:tcBorders>
              <w:top w:val="nil"/>
              <w:left w:val="nil"/>
              <w:bottom w:val="single" w:sz="4" w:space="0" w:color="auto"/>
              <w:right w:val="single" w:sz="4" w:space="0" w:color="auto"/>
            </w:tcBorders>
            <w:shd w:val="clear" w:color="auto" w:fill="auto"/>
            <w:hideMark/>
          </w:tcPr>
          <w:p w14:paraId="23D9E3F3" w14:textId="6B70AEBE" w:rsidR="00AD4268" w:rsidRPr="00424F06" w:rsidRDefault="00AD4268">
            <w:pPr>
              <w:spacing w:after="0" w:line="240" w:lineRule="auto"/>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TOTAL transferuri de la bugetul Comitetului Executiv</w:t>
            </w:r>
            <w:r w:rsidR="00053B45" w:rsidRPr="00424F06">
              <w:rPr>
                <w:rFonts w:ascii="Calibri Light" w:eastAsia="Times New Roman" w:hAnsi="Calibri Light" w:cs="Calibri Light"/>
                <w:b/>
                <w:bCs/>
                <w:i/>
                <w:iCs/>
                <w:color w:val="000000"/>
                <w:sz w:val="20"/>
                <w:szCs w:val="20"/>
                <w:lang w:val="ro-MD"/>
              </w:rPr>
              <w:t xml:space="preserve"> către</w:t>
            </w:r>
            <w:r w:rsidRPr="00424F06">
              <w:rPr>
                <w:rFonts w:ascii="Calibri Light" w:eastAsia="Times New Roman" w:hAnsi="Calibri Light" w:cs="Calibri Light"/>
                <w:b/>
                <w:bCs/>
                <w:i/>
                <w:iCs/>
                <w:color w:val="000000"/>
                <w:sz w:val="20"/>
                <w:szCs w:val="20"/>
                <w:lang w:val="ro-MD"/>
              </w:rPr>
              <w:t xml:space="preserve"> APL </w:t>
            </w:r>
            <w:r w:rsidR="00053B45" w:rsidRPr="00424F06">
              <w:rPr>
                <w:rFonts w:ascii="Calibri Light" w:eastAsia="Times New Roman" w:hAnsi="Calibri Light" w:cs="Calibri Light"/>
                <w:b/>
                <w:bCs/>
                <w:i/>
                <w:iCs/>
                <w:color w:val="000000"/>
                <w:sz w:val="20"/>
                <w:szCs w:val="20"/>
                <w:lang w:val="ro-MD"/>
              </w:rPr>
              <w:t xml:space="preserve">de </w:t>
            </w:r>
            <w:r w:rsidRPr="00424F06">
              <w:rPr>
                <w:rFonts w:ascii="Calibri Light" w:eastAsia="Times New Roman" w:hAnsi="Calibri Light" w:cs="Calibri Light"/>
                <w:b/>
                <w:bCs/>
                <w:i/>
                <w:iCs/>
                <w:color w:val="000000"/>
                <w:sz w:val="20"/>
                <w:szCs w:val="20"/>
                <w:lang w:val="ro-MD"/>
              </w:rPr>
              <w:t>nivelul I (cu excep</w:t>
            </w:r>
            <w:r w:rsidR="0069374B" w:rsidRPr="00424F06">
              <w:rPr>
                <w:rFonts w:ascii="Calibri Light" w:eastAsia="Times New Roman" w:hAnsi="Calibri Light" w:cs="Calibri Light"/>
                <w:b/>
                <w:bCs/>
                <w:i/>
                <w:iCs/>
                <w:color w:val="000000"/>
                <w:sz w:val="20"/>
                <w:szCs w:val="20"/>
                <w:lang w:val="ro-MD"/>
              </w:rPr>
              <w:t>ț</w:t>
            </w:r>
            <w:r w:rsidRPr="00424F06">
              <w:rPr>
                <w:rFonts w:ascii="Calibri Light" w:eastAsia="Times New Roman" w:hAnsi="Calibri Light" w:cs="Calibri Light"/>
                <w:b/>
                <w:bCs/>
                <w:i/>
                <w:iCs/>
                <w:color w:val="000000"/>
                <w:sz w:val="20"/>
                <w:szCs w:val="20"/>
                <w:lang w:val="ro-MD"/>
              </w:rPr>
              <w:t xml:space="preserve">ia celor primite de la </w:t>
            </w:r>
            <w:r w:rsidR="00053B45" w:rsidRPr="00424F06">
              <w:rPr>
                <w:rFonts w:ascii="Calibri Light" w:eastAsia="Times New Roman" w:hAnsi="Calibri Light" w:cs="Calibri Light"/>
                <w:b/>
                <w:bCs/>
                <w:i/>
                <w:iCs/>
                <w:color w:val="000000"/>
                <w:sz w:val="20"/>
                <w:szCs w:val="20"/>
                <w:lang w:val="ro-MD"/>
              </w:rPr>
              <w:t>bugetul de stat</w:t>
            </w:r>
            <w:r w:rsidRPr="00424F06">
              <w:rPr>
                <w:rFonts w:ascii="Calibri Light" w:eastAsia="Times New Roman" w:hAnsi="Calibri Light" w:cs="Calibri Light"/>
                <w:b/>
                <w:bCs/>
                <w:i/>
                <w:iCs/>
                <w:color w:val="000000"/>
                <w:sz w:val="20"/>
                <w:szCs w:val="20"/>
                <w:lang w:val="ro-MD"/>
              </w:rPr>
              <w:t>), din care: (r.16=r.17+r.18+r.19)</w:t>
            </w:r>
          </w:p>
        </w:tc>
        <w:tc>
          <w:tcPr>
            <w:tcW w:w="1050" w:type="dxa"/>
            <w:tcBorders>
              <w:top w:val="nil"/>
              <w:left w:val="nil"/>
              <w:bottom w:val="single" w:sz="4" w:space="0" w:color="auto"/>
              <w:right w:val="single" w:sz="4" w:space="0" w:color="auto"/>
            </w:tcBorders>
            <w:shd w:val="clear" w:color="auto" w:fill="auto"/>
            <w:noWrap/>
            <w:hideMark/>
          </w:tcPr>
          <w:p w14:paraId="790AB1D2" w14:textId="77777777" w:rsidR="00AD4268" w:rsidRPr="00424F06" w:rsidRDefault="00AD4268">
            <w:pPr>
              <w:spacing w:after="0" w:line="240" w:lineRule="auto"/>
              <w:jc w:val="center"/>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63.337,3</w:t>
            </w:r>
          </w:p>
        </w:tc>
        <w:tc>
          <w:tcPr>
            <w:tcW w:w="1050" w:type="dxa"/>
            <w:tcBorders>
              <w:top w:val="nil"/>
              <w:left w:val="nil"/>
              <w:bottom w:val="single" w:sz="4" w:space="0" w:color="auto"/>
              <w:right w:val="single" w:sz="4" w:space="0" w:color="auto"/>
            </w:tcBorders>
            <w:shd w:val="clear" w:color="auto" w:fill="auto"/>
            <w:noWrap/>
            <w:hideMark/>
          </w:tcPr>
          <w:p w14:paraId="2A54CF9C" w14:textId="77777777" w:rsidR="00AD4268" w:rsidRPr="00424F06" w:rsidRDefault="00AD4268">
            <w:pPr>
              <w:spacing w:after="0" w:line="240" w:lineRule="auto"/>
              <w:jc w:val="center"/>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57.839,5</w:t>
            </w:r>
          </w:p>
        </w:tc>
      </w:tr>
      <w:tr w:rsidR="00AD4268" w:rsidRPr="00424F06" w14:paraId="29C48C37"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1E5B39C9"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17</w:t>
            </w:r>
          </w:p>
        </w:tc>
        <w:tc>
          <w:tcPr>
            <w:tcW w:w="7103" w:type="dxa"/>
            <w:tcBorders>
              <w:top w:val="nil"/>
              <w:left w:val="nil"/>
              <w:bottom w:val="single" w:sz="4" w:space="0" w:color="auto"/>
              <w:right w:val="single" w:sz="4" w:space="0" w:color="auto"/>
            </w:tcBorders>
            <w:shd w:val="clear" w:color="auto" w:fill="auto"/>
            <w:hideMark/>
          </w:tcPr>
          <w:p w14:paraId="2CC4A638" w14:textId="77777777"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Transferuri cu destina</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ie generală</w:t>
            </w:r>
          </w:p>
        </w:tc>
        <w:tc>
          <w:tcPr>
            <w:tcW w:w="1050" w:type="dxa"/>
            <w:tcBorders>
              <w:top w:val="nil"/>
              <w:left w:val="nil"/>
              <w:bottom w:val="single" w:sz="4" w:space="0" w:color="auto"/>
              <w:right w:val="single" w:sz="4" w:space="0" w:color="auto"/>
            </w:tcBorders>
            <w:shd w:val="clear" w:color="auto" w:fill="auto"/>
            <w:noWrap/>
            <w:hideMark/>
          </w:tcPr>
          <w:p w14:paraId="0F296FCA"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20.533,3</w:t>
            </w:r>
          </w:p>
        </w:tc>
        <w:tc>
          <w:tcPr>
            <w:tcW w:w="1050" w:type="dxa"/>
            <w:tcBorders>
              <w:top w:val="nil"/>
              <w:left w:val="nil"/>
              <w:bottom w:val="single" w:sz="4" w:space="0" w:color="auto"/>
              <w:right w:val="single" w:sz="4" w:space="0" w:color="auto"/>
            </w:tcBorders>
            <w:shd w:val="clear" w:color="auto" w:fill="auto"/>
            <w:noWrap/>
            <w:hideMark/>
          </w:tcPr>
          <w:p w14:paraId="43B249C3"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14.690,7</w:t>
            </w:r>
          </w:p>
        </w:tc>
      </w:tr>
      <w:tr w:rsidR="00AD4268" w:rsidRPr="00424F06" w14:paraId="68E90C59"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7443F3AB"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18</w:t>
            </w:r>
          </w:p>
        </w:tc>
        <w:tc>
          <w:tcPr>
            <w:tcW w:w="7103" w:type="dxa"/>
            <w:tcBorders>
              <w:top w:val="nil"/>
              <w:left w:val="nil"/>
              <w:bottom w:val="single" w:sz="4" w:space="0" w:color="auto"/>
              <w:right w:val="single" w:sz="4" w:space="0" w:color="auto"/>
            </w:tcBorders>
            <w:shd w:val="clear" w:color="auto" w:fill="auto"/>
            <w:hideMark/>
          </w:tcPr>
          <w:p w14:paraId="6DE7D138" w14:textId="77777777"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Transferuri cu destina</w:t>
            </w:r>
            <w:r w:rsidR="0069374B" w:rsidRPr="00424F06">
              <w:rPr>
                <w:rFonts w:ascii="Calibri Light" w:eastAsia="Times New Roman" w:hAnsi="Calibri Light" w:cs="Calibri Light"/>
                <w:i/>
                <w:iCs/>
                <w:color w:val="000000"/>
                <w:sz w:val="20"/>
                <w:szCs w:val="20"/>
                <w:lang w:val="ro-MD"/>
              </w:rPr>
              <w:t>ț</w:t>
            </w:r>
            <w:r w:rsidRPr="00424F06">
              <w:rPr>
                <w:rFonts w:ascii="Calibri Light" w:eastAsia="Times New Roman" w:hAnsi="Calibri Light" w:cs="Calibri Light"/>
                <w:i/>
                <w:iCs/>
                <w:color w:val="000000"/>
                <w:sz w:val="20"/>
                <w:szCs w:val="20"/>
                <w:lang w:val="ro-MD"/>
              </w:rPr>
              <w:t>ie specială</w:t>
            </w:r>
          </w:p>
        </w:tc>
        <w:tc>
          <w:tcPr>
            <w:tcW w:w="1050" w:type="dxa"/>
            <w:tcBorders>
              <w:top w:val="nil"/>
              <w:left w:val="nil"/>
              <w:bottom w:val="single" w:sz="4" w:space="0" w:color="auto"/>
              <w:right w:val="single" w:sz="4" w:space="0" w:color="auto"/>
            </w:tcBorders>
            <w:shd w:val="clear" w:color="auto" w:fill="auto"/>
            <w:noWrap/>
            <w:hideMark/>
          </w:tcPr>
          <w:p w14:paraId="715232F9"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42.804,0</w:t>
            </w:r>
          </w:p>
        </w:tc>
        <w:tc>
          <w:tcPr>
            <w:tcW w:w="1050" w:type="dxa"/>
            <w:tcBorders>
              <w:top w:val="nil"/>
              <w:left w:val="nil"/>
              <w:bottom w:val="single" w:sz="4" w:space="0" w:color="auto"/>
              <w:right w:val="single" w:sz="4" w:space="0" w:color="auto"/>
            </w:tcBorders>
            <w:shd w:val="clear" w:color="auto" w:fill="auto"/>
            <w:noWrap/>
            <w:hideMark/>
          </w:tcPr>
          <w:p w14:paraId="797A6E5E"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40.160,3</w:t>
            </w:r>
          </w:p>
        </w:tc>
      </w:tr>
      <w:tr w:rsidR="00AD4268" w:rsidRPr="00424F06" w14:paraId="67FB53B1" w14:textId="77777777" w:rsidTr="00A405CD">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14:paraId="4F8BAA71"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19</w:t>
            </w:r>
          </w:p>
        </w:tc>
        <w:tc>
          <w:tcPr>
            <w:tcW w:w="7103" w:type="dxa"/>
            <w:tcBorders>
              <w:top w:val="nil"/>
              <w:left w:val="nil"/>
              <w:bottom w:val="single" w:sz="4" w:space="0" w:color="auto"/>
              <w:right w:val="single" w:sz="4" w:space="0" w:color="auto"/>
            </w:tcBorders>
            <w:shd w:val="clear" w:color="auto" w:fill="auto"/>
            <w:hideMark/>
          </w:tcPr>
          <w:p w14:paraId="3C169169" w14:textId="5CECA782" w:rsidR="00AD4268" w:rsidRPr="00424F06" w:rsidRDefault="00AD4268">
            <w:pPr>
              <w:spacing w:after="0" w:line="240" w:lineRule="auto"/>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 xml:space="preserve">Alte transferuri (repartizarea soldului TDS primite de la </w:t>
            </w:r>
            <w:r w:rsidR="00053B45" w:rsidRPr="00424F06">
              <w:rPr>
                <w:rFonts w:ascii="Calibri Light" w:eastAsia="Times New Roman" w:hAnsi="Calibri Light" w:cs="Calibri Light"/>
                <w:i/>
                <w:iCs/>
                <w:color w:val="000000"/>
                <w:sz w:val="20"/>
                <w:szCs w:val="20"/>
                <w:lang w:val="ro-MD"/>
              </w:rPr>
              <w:t>bugetul de stat</w:t>
            </w:r>
            <w:r w:rsidRPr="00424F06">
              <w:rPr>
                <w:rFonts w:ascii="Calibri Light" w:eastAsia="Times New Roman" w:hAnsi="Calibri Light" w:cs="Calibri Light"/>
                <w:i/>
                <w:iCs/>
                <w:color w:val="000000"/>
                <w:sz w:val="20"/>
                <w:szCs w:val="20"/>
                <w:lang w:val="ro-MD"/>
              </w:rPr>
              <w:t xml:space="preserve"> în anul precedent)</w:t>
            </w:r>
          </w:p>
        </w:tc>
        <w:tc>
          <w:tcPr>
            <w:tcW w:w="1050" w:type="dxa"/>
            <w:tcBorders>
              <w:top w:val="nil"/>
              <w:left w:val="nil"/>
              <w:bottom w:val="single" w:sz="4" w:space="0" w:color="auto"/>
              <w:right w:val="single" w:sz="4" w:space="0" w:color="auto"/>
            </w:tcBorders>
            <w:shd w:val="clear" w:color="auto" w:fill="auto"/>
            <w:noWrap/>
            <w:hideMark/>
          </w:tcPr>
          <w:p w14:paraId="48D53340" w14:textId="77777777" w:rsidR="00AD4268" w:rsidRPr="00424F06" w:rsidRDefault="00AD4268">
            <w:pPr>
              <w:spacing w:after="0" w:line="240" w:lineRule="auto"/>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 </w:t>
            </w:r>
          </w:p>
        </w:tc>
        <w:tc>
          <w:tcPr>
            <w:tcW w:w="1050" w:type="dxa"/>
            <w:tcBorders>
              <w:top w:val="nil"/>
              <w:left w:val="nil"/>
              <w:bottom w:val="single" w:sz="4" w:space="0" w:color="auto"/>
              <w:right w:val="single" w:sz="4" w:space="0" w:color="auto"/>
            </w:tcBorders>
            <w:shd w:val="clear" w:color="auto" w:fill="auto"/>
            <w:noWrap/>
            <w:hideMark/>
          </w:tcPr>
          <w:p w14:paraId="361BEA61" w14:textId="77777777" w:rsidR="00AD4268" w:rsidRPr="00424F06" w:rsidRDefault="00AD4268">
            <w:pPr>
              <w:spacing w:after="0" w:line="240" w:lineRule="auto"/>
              <w:jc w:val="right"/>
              <w:rPr>
                <w:rFonts w:asciiTheme="majorHAnsi" w:eastAsia="Times New Roman" w:hAnsiTheme="majorHAnsi" w:cstheme="majorHAnsi"/>
                <w:i/>
                <w:iCs/>
                <w:color w:val="000000"/>
                <w:sz w:val="20"/>
                <w:szCs w:val="20"/>
                <w:lang w:val="ro-MD"/>
              </w:rPr>
            </w:pPr>
            <w:r w:rsidRPr="00424F06">
              <w:rPr>
                <w:rFonts w:asciiTheme="majorHAnsi" w:eastAsia="Times New Roman" w:hAnsiTheme="majorHAnsi" w:cstheme="majorHAnsi"/>
                <w:i/>
                <w:iCs/>
                <w:color w:val="000000"/>
                <w:sz w:val="20"/>
                <w:szCs w:val="20"/>
                <w:lang w:val="ro-MD"/>
              </w:rPr>
              <w:t>2.988,5</w:t>
            </w:r>
          </w:p>
        </w:tc>
      </w:tr>
      <w:tr w:rsidR="00AD4268" w:rsidRPr="00424F06" w14:paraId="6A3E9639" w14:textId="77777777" w:rsidTr="00A405CD">
        <w:trPr>
          <w:trHeight w:val="227"/>
        </w:trPr>
        <w:tc>
          <w:tcPr>
            <w:tcW w:w="547" w:type="dxa"/>
            <w:tcBorders>
              <w:top w:val="nil"/>
              <w:left w:val="single" w:sz="8" w:space="0" w:color="auto"/>
              <w:bottom w:val="single" w:sz="8" w:space="0" w:color="auto"/>
              <w:right w:val="single" w:sz="4" w:space="0" w:color="auto"/>
            </w:tcBorders>
            <w:shd w:val="clear" w:color="auto" w:fill="auto"/>
            <w:noWrap/>
            <w:hideMark/>
          </w:tcPr>
          <w:p w14:paraId="2FC69FF1" w14:textId="77777777" w:rsidR="00AD4268" w:rsidRPr="00424F06" w:rsidRDefault="00AD4268">
            <w:pPr>
              <w:spacing w:after="0" w:line="240" w:lineRule="auto"/>
              <w:jc w:val="right"/>
              <w:rPr>
                <w:rFonts w:ascii="Calibri Light" w:eastAsia="Times New Roman" w:hAnsi="Calibri Light" w:cs="Calibri Light"/>
                <w:i/>
                <w:iCs/>
                <w:color w:val="000000"/>
                <w:sz w:val="20"/>
                <w:szCs w:val="20"/>
                <w:lang w:val="ro-MD"/>
              </w:rPr>
            </w:pPr>
            <w:r w:rsidRPr="00424F06">
              <w:rPr>
                <w:rFonts w:ascii="Calibri Light" w:eastAsia="Times New Roman" w:hAnsi="Calibri Light" w:cs="Calibri Light"/>
                <w:i/>
                <w:iCs/>
                <w:color w:val="000000"/>
                <w:sz w:val="20"/>
                <w:szCs w:val="20"/>
                <w:lang w:val="ro-MD"/>
              </w:rPr>
              <w:t>20</w:t>
            </w:r>
          </w:p>
        </w:tc>
        <w:tc>
          <w:tcPr>
            <w:tcW w:w="7103" w:type="dxa"/>
            <w:tcBorders>
              <w:top w:val="nil"/>
              <w:left w:val="nil"/>
              <w:bottom w:val="single" w:sz="8" w:space="0" w:color="auto"/>
              <w:right w:val="single" w:sz="4" w:space="0" w:color="auto"/>
            </w:tcBorders>
            <w:shd w:val="clear" w:color="auto" w:fill="auto"/>
            <w:hideMark/>
          </w:tcPr>
          <w:p w14:paraId="71F2B6F1" w14:textId="77777777" w:rsidR="00AD4268" w:rsidRPr="00424F06" w:rsidRDefault="00AD4268">
            <w:pPr>
              <w:spacing w:after="0" w:line="240" w:lineRule="auto"/>
              <w:rPr>
                <w:rFonts w:ascii="Calibri Light" w:eastAsia="Times New Roman" w:hAnsi="Calibri Light" w:cs="Calibri Light"/>
                <w:b/>
                <w:bCs/>
                <w:i/>
                <w:iCs/>
                <w:color w:val="000000"/>
                <w:sz w:val="20"/>
                <w:szCs w:val="20"/>
                <w:lang w:val="ro-MD"/>
              </w:rPr>
            </w:pPr>
            <w:r w:rsidRPr="00424F06">
              <w:rPr>
                <w:rFonts w:ascii="Calibri Light" w:eastAsia="Times New Roman" w:hAnsi="Calibri Light" w:cs="Calibri Light"/>
                <w:b/>
                <w:bCs/>
                <w:i/>
                <w:iCs/>
                <w:color w:val="000000"/>
                <w:sz w:val="20"/>
                <w:szCs w:val="20"/>
                <w:lang w:val="ro-MD"/>
              </w:rPr>
              <w:t>Venituri suplimentare la bugetele UAT de nivelul I din UTA Găgăuzia (r.20=r.12+r.16)</w:t>
            </w:r>
          </w:p>
        </w:tc>
        <w:tc>
          <w:tcPr>
            <w:tcW w:w="1050" w:type="dxa"/>
            <w:tcBorders>
              <w:top w:val="nil"/>
              <w:left w:val="nil"/>
              <w:bottom w:val="single" w:sz="8" w:space="0" w:color="auto"/>
              <w:right w:val="single" w:sz="4" w:space="0" w:color="auto"/>
            </w:tcBorders>
            <w:shd w:val="clear" w:color="auto" w:fill="auto"/>
            <w:noWrap/>
            <w:hideMark/>
          </w:tcPr>
          <w:p w14:paraId="076125F4"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168.417,6</w:t>
            </w:r>
          </w:p>
        </w:tc>
        <w:tc>
          <w:tcPr>
            <w:tcW w:w="1050" w:type="dxa"/>
            <w:tcBorders>
              <w:top w:val="nil"/>
              <w:left w:val="nil"/>
              <w:bottom w:val="single" w:sz="8" w:space="0" w:color="auto"/>
              <w:right w:val="single" w:sz="4" w:space="0" w:color="auto"/>
            </w:tcBorders>
            <w:shd w:val="clear" w:color="auto" w:fill="auto"/>
            <w:noWrap/>
            <w:hideMark/>
          </w:tcPr>
          <w:p w14:paraId="34F9B26C" w14:textId="77777777" w:rsidR="00AD4268" w:rsidRPr="00424F06" w:rsidRDefault="00AD4268">
            <w:pPr>
              <w:spacing w:after="0" w:line="240" w:lineRule="auto"/>
              <w:jc w:val="right"/>
              <w:rPr>
                <w:rFonts w:asciiTheme="majorHAnsi" w:eastAsia="Times New Roman" w:hAnsiTheme="majorHAnsi" w:cstheme="majorHAnsi"/>
                <w:b/>
                <w:bCs/>
                <w:i/>
                <w:iCs/>
                <w:color w:val="000000"/>
                <w:sz w:val="20"/>
                <w:szCs w:val="20"/>
                <w:lang w:val="ro-MD"/>
              </w:rPr>
            </w:pPr>
            <w:r w:rsidRPr="00424F06">
              <w:rPr>
                <w:rFonts w:asciiTheme="majorHAnsi" w:eastAsia="Times New Roman" w:hAnsiTheme="majorHAnsi" w:cstheme="majorHAnsi"/>
                <w:b/>
                <w:bCs/>
                <w:i/>
                <w:iCs/>
                <w:color w:val="000000"/>
                <w:sz w:val="20"/>
                <w:szCs w:val="20"/>
                <w:lang w:val="ro-MD"/>
              </w:rPr>
              <w:t>178.179,4</w:t>
            </w:r>
          </w:p>
        </w:tc>
      </w:tr>
    </w:tbl>
    <w:p w14:paraId="7E16035C" w14:textId="77777777" w:rsidR="00394D01" w:rsidRPr="00424F06" w:rsidRDefault="00AD4268" w:rsidP="00394D01">
      <w:pPr>
        <w:spacing w:after="0"/>
        <w:jc w:val="both"/>
        <w:rPr>
          <w:rFonts w:asciiTheme="majorHAnsi" w:hAnsiTheme="majorHAnsi" w:cstheme="majorHAnsi"/>
          <w:sz w:val="16"/>
          <w:szCs w:val="16"/>
          <w:lang w:val="ro-MD"/>
        </w:rPr>
      </w:pPr>
      <w:r w:rsidRPr="00424F06">
        <w:rPr>
          <w:rFonts w:asciiTheme="majorHAnsi" w:hAnsiTheme="majorHAnsi" w:cstheme="majorHAnsi"/>
          <w:sz w:val="16"/>
          <w:szCs w:val="16"/>
          <w:lang w:val="ro-MD"/>
        </w:rPr>
        <w:br w:type="textWrapping" w:clear="all"/>
      </w:r>
    </w:p>
    <w:p w14:paraId="2D8BEDE3" w14:textId="7DE3030F" w:rsidR="00394D01" w:rsidRPr="00424F06" w:rsidRDefault="00394D01" w:rsidP="00394D01">
      <w:pPr>
        <w:spacing w:after="0"/>
        <w:jc w:val="both"/>
        <w:rPr>
          <w:rFonts w:asciiTheme="majorHAnsi" w:hAnsiTheme="majorHAnsi" w:cstheme="majorHAnsi"/>
          <w:sz w:val="16"/>
          <w:szCs w:val="16"/>
          <w:lang w:val="ro-MD"/>
        </w:rPr>
      </w:pPr>
      <w:r w:rsidRPr="00424F06">
        <w:rPr>
          <w:rFonts w:asciiTheme="majorHAnsi" w:hAnsiTheme="majorHAnsi" w:cstheme="majorHAnsi"/>
          <w:b/>
          <w:sz w:val="16"/>
          <w:szCs w:val="16"/>
          <w:lang w:val="ro-MD"/>
        </w:rPr>
        <w:t>Note:</w:t>
      </w:r>
      <w:r w:rsidRPr="00424F06">
        <w:rPr>
          <w:rFonts w:asciiTheme="majorHAnsi" w:hAnsiTheme="majorHAnsi" w:cstheme="majorHAnsi"/>
          <w:sz w:val="16"/>
          <w:szCs w:val="16"/>
          <w:lang w:val="ro-MD"/>
        </w:rPr>
        <w:t xml:space="preserve"> * date preluate din baza de date a SFS - formularul CC10</w:t>
      </w:r>
      <w:r w:rsidR="00053B45" w:rsidRPr="00424F06">
        <w:rPr>
          <w:rFonts w:asciiTheme="majorHAnsi" w:hAnsiTheme="majorHAnsi" w:cstheme="majorHAnsi"/>
          <w:sz w:val="16"/>
          <w:szCs w:val="16"/>
          <w:lang w:val="ro-MD"/>
        </w:rPr>
        <w:t>.</w:t>
      </w:r>
    </w:p>
    <w:p w14:paraId="6C31F4E7" w14:textId="60CBB2FF" w:rsidR="00394D01" w:rsidRPr="00424F06" w:rsidRDefault="00394D01" w:rsidP="00394D01">
      <w:pPr>
        <w:spacing w:after="0"/>
        <w:jc w:val="both"/>
        <w:rPr>
          <w:rFonts w:asciiTheme="majorHAnsi" w:hAnsiTheme="majorHAnsi" w:cstheme="majorHAnsi"/>
          <w:sz w:val="16"/>
          <w:szCs w:val="16"/>
          <w:lang w:val="ro-MD"/>
        </w:rPr>
      </w:pPr>
      <w:r w:rsidRPr="00424F06">
        <w:rPr>
          <w:rFonts w:asciiTheme="majorHAnsi" w:hAnsiTheme="majorHAnsi" w:cstheme="majorHAnsi"/>
          <w:sz w:val="16"/>
          <w:szCs w:val="16"/>
          <w:lang w:val="ro-MD"/>
        </w:rPr>
        <w:t xml:space="preserve">       ** date preluate din FD-44 pentru an</w:t>
      </w:r>
      <w:r w:rsidR="00053B45" w:rsidRPr="00424F06">
        <w:rPr>
          <w:rFonts w:asciiTheme="majorHAnsi" w:hAnsiTheme="majorHAnsi" w:cstheme="majorHAnsi"/>
          <w:sz w:val="16"/>
          <w:szCs w:val="16"/>
          <w:lang w:val="ro-MD"/>
        </w:rPr>
        <w:t>ii</w:t>
      </w:r>
      <w:r w:rsidRPr="00424F06">
        <w:rPr>
          <w:rFonts w:asciiTheme="majorHAnsi" w:hAnsiTheme="majorHAnsi" w:cstheme="majorHAnsi"/>
          <w:sz w:val="16"/>
          <w:szCs w:val="16"/>
          <w:lang w:val="ro-MD"/>
        </w:rPr>
        <w:t xml:space="preserve"> 2019 </w:t>
      </w:r>
      <w:r w:rsidR="0069374B" w:rsidRPr="00424F06">
        <w:rPr>
          <w:rFonts w:asciiTheme="majorHAnsi" w:hAnsiTheme="majorHAnsi" w:cstheme="majorHAnsi"/>
          <w:sz w:val="16"/>
          <w:szCs w:val="16"/>
          <w:lang w:val="ro-MD"/>
        </w:rPr>
        <w:t>ș</w:t>
      </w:r>
      <w:r w:rsidRPr="00424F06">
        <w:rPr>
          <w:rFonts w:asciiTheme="majorHAnsi" w:hAnsiTheme="majorHAnsi" w:cstheme="majorHAnsi"/>
          <w:sz w:val="16"/>
          <w:szCs w:val="16"/>
          <w:lang w:val="ro-MD"/>
        </w:rPr>
        <w:t>i 2020</w:t>
      </w:r>
      <w:r w:rsidR="00053B45" w:rsidRPr="00424F06">
        <w:rPr>
          <w:rFonts w:asciiTheme="majorHAnsi" w:hAnsiTheme="majorHAnsi" w:cstheme="majorHAnsi"/>
          <w:sz w:val="16"/>
          <w:szCs w:val="16"/>
          <w:lang w:val="ro-MD"/>
        </w:rPr>
        <w:t>,</w:t>
      </w:r>
      <w:r w:rsidRPr="00424F06">
        <w:rPr>
          <w:rFonts w:asciiTheme="majorHAnsi" w:hAnsiTheme="majorHAnsi" w:cstheme="majorHAnsi"/>
          <w:sz w:val="16"/>
          <w:szCs w:val="16"/>
          <w:lang w:val="ro-MD"/>
        </w:rPr>
        <w:t xml:space="preserve"> prezentate de către Comitetul Central al UTA Găgăuzia </w:t>
      </w:r>
      <w:r w:rsidR="0069374B" w:rsidRPr="00424F06">
        <w:rPr>
          <w:rFonts w:asciiTheme="majorHAnsi" w:hAnsiTheme="majorHAnsi" w:cstheme="majorHAnsi"/>
          <w:sz w:val="16"/>
          <w:szCs w:val="16"/>
          <w:lang w:val="ro-MD"/>
        </w:rPr>
        <w:t>ș</w:t>
      </w:r>
      <w:r w:rsidR="00AD4268" w:rsidRPr="00424F06">
        <w:rPr>
          <w:rFonts w:asciiTheme="majorHAnsi" w:hAnsiTheme="majorHAnsi" w:cstheme="majorHAnsi"/>
          <w:sz w:val="16"/>
          <w:szCs w:val="16"/>
          <w:lang w:val="ro-MD"/>
        </w:rPr>
        <w:t xml:space="preserve">i </w:t>
      </w:r>
      <w:r w:rsidRPr="00424F06">
        <w:rPr>
          <w:rFonts w:asciiTheme="majorHAnsi" w:hAnsiTheme="majorHAnsi" w:cstheme="majorHAnsi"/>
          <w:sz w:val="16"/>
          <w:szCs w:val="16"/>
          <w:lang w:val="ro-MD"/>
        </w:rPr>
        <w:t xml:space="preserve">APL </w:t>
      </w:r>
      <w:r w:rsidR="00053B45" w:rsidRPr="00424F06">
        <w:rPr>
          <w:rFonts w:asciiTheme="majorHAnsi" w:hAnsiTheme="majorHAnsi" w:cstheme="majorHAnsi"/>
          <w:sz w:val="16"/>
          <w:szCs w:val="16"/>
          <w:lang w:val="ro-MD"/>
        </w:rPr>
        <w:t xml:space="preserve">de </w:t>
      </w:r>
      <w:r w:rsidRPr="00424F06">
        <w:rPr>
          <w:rFonts w:asciiTheme="majorHAnsi" w:hAnsiTheme="majorHAnsi" w:cstheme="majorHAnsi"/>
          <w:sz w:val="16"/>
          <w:szCs w:val="16"/>
          <w:lang w:val="ro-MD"/>
        </w:rPr>
        <w:t>nivelul I</w:t>
      </w:r>
      <w:r w:rsidR="00053B45" w:rsidRPr="00424F06">
        <w:rPr>
          <w:rFonts w:asciiTheme="majorHAnsi" w:hAnsiTheme="majorHAnsi" w:cstheme="majorHAnsi"/>
          <w:sz w:val="16"/>
          <w:szCs w:val="16"/>
          <w:lang w:val="ro-MD"/>
        </w:rPr>
        <w:t>.</w:t>
      </w:r>
    </w:p>
    <w:p w14:paraId="538D4125" w14:textId="77777777" w:rsidR="00394D01" w:rsidRPr="00424F06" w:rsidRDefault="00394D01" w:rsidP="00394D01">
      <w:pPr>
        <w:spacing w:after="0"/>
        <w:jc w:val="both"/>
        <w:rPr>
          <w:rFonts w:asciiTheme="majorHAnsi" w:hAnsiTheme="majorHAnsi" w:cstheme="majorHAnsi"/>
          <w:sz w:val="16"/>
          <w:szCs w:val="16"/>
          <w:lang w:val="ro-MD"/>
        </w:rPr>
      </w:pPr>
    </w:p>
    <w:p w14:paraId="6D0912C3" w14:textId="77777777" w:rsidR="007F4964" w:rsidRPr="00424F06" w:rsidRDefault="007F4964" w:rsidP="00394D01">
      <w:pPr>
        <w:spacing w:after="0"/>
        <w:jc w:val="both"/>
        <w:rPr>
          <w:rFonts w:asciiTheme="majorHAnsi" w:hAnsiTheme="majorHAnsi" w:cstheme="majorHAnsi"/>
          <w:sz w:val="16"/>
          <w:szCs w:val="16"/>
          <w:lang w:val="ro-MD"/>
        </w:rPr>
        <w:sectPr w:rsidR="007F4964" w:rsidRPr="00424F06" w:rsidSect="007F4964">
          <w:pgSz w:w="11907" w:h="16840" w:code="9"/>
          <w:pgMar w:top="1440" w:right="1440" w:bottom="1440" w:left="1440" w:header="709" w:footer="709" w:gutter="0"/>
          <w:cols w:space="708"/>
          <w:docGrid w:linePitch="360"/>
        </w:sectPr>
      </w:pPr>
    </w:p>
    <w:p w14:paraId="1021B961" w14:textId="77777777" w:rsidR="00394D01" w:rsidRPr="0014733C" w:rsidRDefault="00394D01" w:rsidP="0014733C">
      <w:pPr>
        <w:pStyle w:val="Heading1"/>
        <w:jc w:val="right"/>
        <w:rPr>
          <w:b/>
          <w:color w:val="auto"/>
          <w:sz w:val="24"/>
          <w:szCs w:val="24"/>
          <w:lang w:val="ro-MD"/>
        </w:rPr>
      </w:pPr>
      <w:r w:rsidRPr="0014733C">
        <w:rPr>
          <w:b/>
          <w:color w:val="auto"/>
          <w:sz w:val="24"/>
          <w:szCs w:val="24"/>
          <w:lang w:val="ro-MD"/>
        </w:rPr>
        <w:t xml:space="preserve">Anexa nr.5  </w:t>
      </w:r>
    </w:p>
    <w:p w14:paraId="78D17F7F" w14:textId="44609A49" w:rsidR="00394D01" w:rsidRPr="00424F06" w:rsidRDefault="00B612BA" w:rsidP="00394D01">
      <w:pPr>
        <w:spacing w:after="0"/>
        <w:jc w:val="both"/>
        <w:rPr>
          <w:rFonts w:asciiTheme="majorHAnsi" w:eastAsiaTheme="majorEastAsia" w:hAnsiTheme="majorHAnsi" w:cstheme="majorHAnsi"/>
          <w:b/>
          <w:bCs/>
          <w:sz w:val="24"/>
          <w:szCs w:val="24"/>
          <w:lang w:val="ro-MD"/>
        </w:rPr>
      </w:pPr>
      <w:r w:rsidRPr="00424F06">
        <w:rPr>
          <w:rFonts w:ascii="Calibri Light" w:eastAsia="Times New Roman" w:hAnsi="Calibri Light" w:cs="Calibri Light"/>
          <w:b/>
          <w:bCs/>
          <w:i/>
          <w:iCs/>
          <w:sz w:val="24"/>
          <w:szCs w:val="24"/>
          <w:lang w:val="ro-MD"/>
        </w:rPr>
        <w:t xml:space="preserve">Transferuri </w:t>
      </w:r>
      <w:r w:rsidR="00053B45" w:rsidRPr="00424F06">
        <w:rPr>
          <w:rFonts w:ascii="Calibri Light" w:eastAsia="Times New Roman" w:hAnsi="Calibri Light" w:cs="Calibri Light"/>
          <w:b/>
          <w:bCs/>
          <w:i/>
          <w:iCs/>
          <w:sz w:val="24"/>
          <w:szCs w:val="24"/>
          <w:lang w:val="ro-MD"/>
        </w:rPr>
        <w:t>c</w:t>
      </w:r>
      <w:r w:rsidRPr="00424F06">
        <w:rPr>
          <w:rFonts w:ascii="Calibri Light" w:eastAsia="Times New Roman" w:hAnsi="Calibri Light" w:cs="Calibri Light"/>
          <w:b/>
          <w:bCs/>
          <w:i/>
          <w:iCs/>
          <w:sz w:val="24"/>
          <w:szCs w:val="24"/>
          <w:lang w:val="ro-MD"/>
        </w:rPr>
        <w:t>u destina</w:t>
      </w:r>
      <w:r w:rsidR="0069374B" w:rsidRPr="00424F06">
        <w:rPr>
          <w:rFonts w:ascii="Calibri Light" w:eastAsia="Times New Roman" w:hAnsi="Calibri Light" w:cs="Calibri Light"/>
          <w:b/>
          <w:bCs/>
          <w:i/>
          <w:iCs/>
          <w:sz w:val="24"/>
          <w:szCs w:val="24"/>
          <w:lang w:val="ro-MD"/>
        </w:rPr>
        <w:t>ț</w:t>
      </w:r>
      <w:r w:rsidRPr="00424F06">
        <w:rPr>
          <w:rFonts w:ascii="Calibri Light" w:eastAsia="Times New Roman" w:hAnsi="Calibri Light" w:cs="Calibri Light"/>
          <w:b/>
          <w:bCs/>
          <w:i/>
          <w:iCs/>
          <w:sz w:val="24"/>
          <w:szCs w:val="24"/>
          <w:lang w:val="ro-MD"/>
        </w:rPr>
        <w:t xml:space="preserve">ie generală de la </w:t>
      </w:r>
      <w:r w:rsidR="00053B45" w:rsidRPr="00424F06">
        <w:rPr>
          <w:rFonts w:ascii="Calibri Light" w:eastAsia="Times New Roman" w:hAnsi="Calibri Light" w:cs="Calibri Light"/>
          <w:b/>
          <w:bCs/>
          <w:i/>
          <w:iCs/>
          <w:sz w:val="24"/>
          <w:szCs w:val="24"/>
          <w:lang w:val="ro-MD"/>
        </w:rPr>
        <w:t>b</w:t>
      </w:r>
      <w:r w:rsidRPr="00424F06">
        <w:rPr>
          <w:rFonts w:ascii="Calibri Light" w:eastAsia="Times New Roman" w:hAnsi="Calibri Light" w:cs="Calibri Light"/>
          <w:b/>
          <w:bCs/>
          <w:i/>
          <w:iCs/>
          <w:sz w:val="24"/>
          <w:szCs w:val="24"/>
          <w:lang w:val="ro-MD"/>
        </w:rPr>
        <w:t xml:space="preserve">ugetul </w:t>
      </w:r>
      <w:r w:rsidR="00053B45" w:rsidRPr="00424F06">
        <w:rPr>
          <w:rFonts w:ascii="Calibri Light" w:eastAsia="Times New Roman" w:hAnsi="Calibri Light" w:cs="Calibri Light"/>
          <w:b/>
          <w:bCs/>
          <w:i/>
          <w:iCs/>
          <w:sz w:val="24"/>
          <w:szCs w:val="24"/>
          <w:lang w:val="ro-MD"/>
        </w:rPr>
        <w:t>c</w:t>
      </w:r>
      <w:r w:rsidRPr="00424F06">
        <w:rPr>
          <w:rFonts w:ascii="Calibri Light" w:eastAsia="Times New Roman" w:hAnsi="Calibri Light" w:cs="Calibri Light"/>
          <w:b/>
          <w:bCs/>
          <w:i/>
          <w:iCs/>
          <w:sz w:val="24"/>
          <w:szCs w:val="24"/>
          <w:lang w:val="ro-MD"/>
        </w:rPr>
        <w:t xml:space="preserve">entral al UTA Găgăuzia către APL </w:t>
      </w:r>
      <w:r w:rsidR="00053B45" w:rsidRPr="00424F06">
        <w:rPr>
          <w:rFonts w:ascii="Calibri Light" w:eastAsia="Times New Roman" w:hAnsi="Calibri Light" w:cs="Calibri Light"/>
          <w:b/>
          <w:bCs/>
          <w:i/>
          <w:iCs/>
          <w:sz w:val="24"/>
          <w:szCs w:val="24"/>
          <w:lang w:val="ro-MD"/>
        </w:rPr>
        <w:t xml:space="preserve">de </w:t>
      </w:r>
      <w:r w:rsidRPr="00424F06">
        <w:rPr>
          <w:rFonts w:ascii="Calibri Light" w:eastAsia="Times New Roman" w:hAnsi="Calibri Light" w:cs="Calibri Light"/>
          <w:b/>
          <w:bCs/>
          <w:i/>
          <w:iCs/>
          <w:sz w:val="24"/>
          <w:szCs w:val="24"/>
          <w:lang w:val="ro-MD"/>
        </w:rPr>
        <w:t>nivelul I</w:t>
      </w:r>
      <w:r w:rsidRPr="00424F06" w:rsidDel="00802898">
        <w:rPr>
          <w:rFonts w:asciiTheme="majorHAnsi" w:eastAsiaTheme="majorEastAsia" w:hAnsiTheme="majorHAnsi" w:cstheme="majorHAnsi"/>
          <w:b/>
          <w:bCs/>
          <w:sz w:val="24"/>
          <w:szCs w:val="24"/>
          <w:lang w:val="ro-MD"/>
        </w:rPr>
        <w:t xml:space="preserve"> </w:t>
      </w:r>
      <w:r w:rsidRPr="00424F06">
        <w:rPr>
          <w:rFonts w:asciiTheme="majorHAnsi" w:eastAsiaTheme="majorEastAsia" w:hAnsiTheme="majorHAnsi" w:cstheme="majorHAnsi"/>
          <w:b/>
          <w:bCs/>
          <w:sz w:val="24"/>
          <w:szCs w:val="24"/>
          <w:lang w:val="ro-MD"/>
        </w:rPr>
        <w:t xml:space="preserve">în perioada </w:t>
      </w:r>
      <w:r w:rsidR="00053B45" w:rsidRPr="00424F06">
        <w:rPr>
          <w:rFonts w:asciiTheme="majorHAnsi" w:eastAsiaTheme="majorEastAsia" w:hAnsiTheme="majorHAnsi" w:cstheme="majorHAnsi"/>
          <w:b/>
          <w:bCs/>
          <w:sz w:val="24"/>
          <w:szCs w:val="24"/>
          <w:lang w:val="ro-MD"/>
        </w:rPr>
        <w:t xml:space="preserve">anilor </w:t>
      </w:r>
      <w:r w:rsidRPr="00424F06">
        <w:rPr>
          <w:rFonts w:asciiTheme="majorHAnsi" w:eastAsiaTheme="majorEastAsia" w:hAnsiTheme="majorHAnsi" w:cstheme="majorHAnsi"/>
          <w:b/>
          <w:bCs/>
          <w:sz w:val="24"/>
          <w:szCs w:val="24"/>
          <w:lang w:val="ro-MD"/>
        </w:rPr>
        <w:t xml:space="preserve">2019 </w:t>
      </w:r>
      <w:r w:rsidR="0069374B" w:rsidRPr="00424F06">
        <w:rPr>
          <w:rFonts w:asciiTheme="majorHAnsi" w:eastAsiaTheme="majorEastAsia" w:hAnsiTheme="majorHAnsi" w:cstheme="majorHAnsi"/>
          <w:b/>
          <w:bCs/>
          <w:sz w:val="24"/>
          <w:szCs w:val="24"/>
          <w:lang w:val="ro-MD"/>
        </w:rPr>
        <w:t>ș</w:t>
      </w:r>
      <w:r w:rsidRPr="00424F06">
        <w:rPr>
          <w:rFonts w:asciiTheme="majorHAnsi" w:eastAsiaTheme="majorEastAsia" w:hAnsiTheme="majorHAnsi" w:cstheme="majorHAnsi"/>
          <w:b/>
          <w:bCs/>
          <w:sz w:val="24"/>
          <w:szCs w:val="24"/>
          <w:lang w:val="ro-MD"/>
        </w:rPr>
        <w:t>i 2020</w:t>
      </w:r>
    </w:p>
    <w:p w14:paraId="1815335C" w14:textId="19186B19" w:rsidR="00394D01" w:rsidRPr="00424F06" w:rsidRDefault="00053B45" w:rsidP="00424F06">
      <w:pPr>
        <w:spacing w:after="0"/>
        <w:jc w:val="center"/>
        <w:rPr>
          <w:rFonts w:asciiTheme="majorHAnsi" w:eastAsiaTheme="majorEastAsia" w:hAnsiTheme="majorHAnsi" w:cstheme="majorHAnsi"/>
          <w:b/>
          <w:bCs/>
          <w:i/>
          <w:lang w:val="ro-MD"/>
        </w:rPr>
      </w:pPr>
      <w:r w:rsidRPr="00424F06">
        <w:rPr>
          <w:rFonts w:asciiTheme="majorHAnsi" w:eastAsiaTheme="majorEastAsia" w:hAnsiTheme="majorHAnsi" w:cstheme="majorHAnsi"/>
          <w:b/>
          <w:bCs/>
          <w:i/>
          <w:lang w:val="ro-MD"/>
        </w:rPr>
        <w:t xml:space="preserve">                                                                                               </w:t>
      </w:r>
      <w:r w:rsidR="00394D01" w:rsidRPr="00424F06">
        <w:rPr>
          <w:rFonts w:asciiTheme="majorHAnsi" w:eastAsiaTheme="majorEastAsia" w:hAnsiTheme="majorHAnsi" w:cstheme="majorHAnsi"/>
          <w:b/>
          <w:bCs/>
          <w:i/>
          <w:lang w:val="ro-MD"/>
        </w:rPr>
        <w:t>mii lei</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065"/>
        <w:gridCol w:w="1065"/>
        <w:gridCol w:w="1065"/>
        <w:gridCol w:w="1065"/>
      </w:tblGrid>
      <w:tr w:rsidR="008648A2" w:rsidRPr="00424F06" w14:paraId="583F6513" w14:textId="77777777" w:rsidTr="00A405CD">
        <w:trPr>
          <w:trHeight w:val="20"/>
        </w:trPr>
        <w:tc>
          <w:tcPr>
            <w:tcW w:w="2825" w:type="dxa"/>
            <w:shd w:val="clear" w:color="auto" w:fill="auto"/>
            <w:noWrap/>
            <w:vAlign w:val="center"/>
          </w:tcPr>
          <w:p w14:paraId="00600C98" w14:textId="77777777" w:rsidR="008648A2" w:rsidRPr="00424F06" w:rsidRDefault="008648A2" w:rsidP="00B612BA">
            <w:pPr>
              <w:spacing w:after="0" w:line="240" w:lineRule="auto"/>
              <w:jc w:val="center"/>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color w:val="000000"/>
                <w:sz w:val="24"/>
                <w:szCs w:val="24"/>
                <w:lang w:val="ro-MD"/>
              </w:rPr>
              <w:t>UAT</w:t>
            </w:r>
          </w:p>
        </w:tc>
        <w:tc>
          <w:tcPr>
            <w:tcW w:w="2130" w:type="dxa"/>
            <w:gridSpan w:val="2"/>
            <w:vAlign w:val="center"/>
          </w:tcPr>
          <w:p w14:paraId="7FCFD139" w14:textId="77777777" w:rsidR="008648A2" w:rsidRPr="00424F06" w:rsidDel="00802898" w:rsidRDefault="008648A2" w:rsidP="00B612BA">
            <w:pPr>
              <w:spacing w:after="0" w:line="240" w:lineRule="auto"/>
              <w:jc w:val="center"/>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color w:val="000000"/>
                <w:sz w:val="24"/>
                <w:szCs w:val="24"/>
                <w:lang w:val="ro-MD"/>
              </w:rPr>
              <w:t>Anul 2019</w:t>
            </w:r>
          </w:p>
        </w:tc>
        <w:tc>
          <w:tcPr>
            <w:tcW w:w="2123" w:type="dxa"/>
            <w:gridSpan w:val="2"/>
            <w:vAlign w:val="center"/>
          </w:tcPr>
          <w:p w14:paraId="629A65C7" w14:textId="77777777" w:rsidR="008648A2" w:rsidRPr="00424F06" w:rsidDel="00802898" w:rsidRDefault="008648A2" w:rsidP="00B612BA">
            <w:pPr>
              <w:spacing w:after="0" w:line="240" w:lineRule="auto"/>
              <w:jc w:val="center"/>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color w:val="000000"/>
                <w:sz w:val="24"/>
                <w:szCs w:val="24"/>
                <w:lang w:val="ro-MD"/>
              </w:rPr>
              <w:t>Anul 2020</w:t>
            </w:r>
          </w:p>
        </w:tc>
      </w:tr>
      <w:tr w:rsidR="00B612BA" w:rsidRPr="00424F06" w14:paraId="36F050F0" w14:textId="77777777" w:rsidTr="00A405CD">
        <w:trPr>
          <w:trHeight w:val="20"/>
        </w:trPr>
        <w:tc>
          <w:tcPr>
            <w:tcW w:w="2825" w:type="dxa"/>
            <w:shd w:val="clear" w:color="auto" w:fill="auto"/>
            <w:noWrap/>
            <w:vAlign w:val="bottom"/>
          </w:tcPr>
          <w:p w14:paraId="13156551" w14:textId="77777777" w:rsidR="00B612BA" w:rsidRPr="00424F06" w:rsidRDefault="00B612BA" w:rsidP="00B612BA">
            <w:pPr>
              <w:spacing w:after="0" w:line="240" w:lineRule="auto"/>
              <w:rPr>
                <w:rFonts w:ascii="Calibri Light" w:eastAsia="Times New Roman" w:hAnsi="Calibri Light" w:cs="Calibri Light"/>
                <w:b/>
                <w:bCs/>
                <w:i/>
                <w:iCs/>
                <w:color w:val="000000"/>
                <w:sz w:val="24"/>
                <w:szCs w:val="24"/>
                <w:lang w:val="ro-MD"/>
              </w:rPr>
            </w:pPr>
          </w:p>
        </w:tc>
        <w:tc>
          <w:tcPr>
            <w:tcW w:w="1065" w:type="dxa"/>
            <w:vAlign w:val="center"/>
          </w:tcPr>
          <w:p w14:paraId="36DC9EFB" w14:textId="77777777" w:rsidR="00B612BA" w:rsidRPr="00424F06" w:rsidRDefault="00B612BA" w:rsidP="00B612BA">
            <w:pPr>
              <w:spacing w:after="0" w:line="240" w:lineRule="auto"/>
              <w:jc w:val="right"/>
              <w:rPr>
                <w:rFonts w:ascii="Calibri Light" w:eastAsia="Times New Roman" w:hAnsi="Calibri Light" w:cs="Calibri Light"/>
                <w:b/>
                <w:bCs/>
                <w:i/>
                <w:iCs/>
                <w:sz w:val="24"/>
                <w:szCs w:val="24"/>
                <w:lang w:val="ro-MD"/>
              </w:rPr>
            </w:pPr>
            <w:r w:rsidRPr="00424F06">
              <w:rPr>
                <w:rFonts w:ascii="Calibri Light" w:eastAsia="Times New Roman" w:hAnsi="Calibri Light" w:cs="Calibri Light"/>
                <w:b/>
                <w:bCs/>
                <w:i/>
                <w:iCs/>
                <w:sz w:val="24"/>
                <w:szCs w:val="24"/>
                <w:lang w:val="ro-MD"/>
              </w:rPr>
              <w:t>precizat</w:t>
            </w:r>
          </w:p>
        </w:tc>
        <w:tc>
          <w:tcPr>
            <w:tcW w:w="1065" w:type="dxa"/>
            <w:vAlign w:val="center"/>
          </w:tcPr>
          <w:p w14:paraId="48CBD2C2" w14:textId="77777777" w:rsidR="00B612BA" w:rsidRPr="00424F06" w:rsidRDefault="00B612BA" w:rsidP="00B612BA">
            <w:pPr>
              <w:spacing w:after="0" w:line="240" w:lineRule="auto"/>
              <w:jc w:val="right"/>
              <w:rPr>
                <w:rFonts w:ascii="Calibri Light" w:eastAsia="Times New Roman" w:hAnsi="Calibri Light" w:cs="Calibri Light"/>
                <w:b/>
                <w:bCs/>
                <w:i/>
                <w:iCs/>
                <w:sz w:val="24"/>
                <w:szCs w:val="24"/>
                <w:lang w:val="ro-MD"/>
              </w:rPr>
            </w:pPr>
            <w:r w:rsidRPr="00424F06">
              <w:rPr>
                <w:rFonts w:ascii="Calibri Light" w:eastAsia="Times New Roman" w:hAnsi="Calibri Light" w:cs="Calibri Light"/>
                <w:b/>
                <w:bCs/>
                <w:i/>
                <w:iCs/>
                <w:sz w:val="24"/>
                <w:szCs w:val="24"/>
                <w:lang w:val="ro-MD"/>
              </w:rPr>
              <w:t>executat</w:t>
            </w:r>
          </w:p>
        </w:tc>
        <w:tc>
          <w:tcPr>
            <w:tcW w:w="1065" w:type="dxa"/>
            <w:vAlign w:val="center"/>
          </w:tcPr>
          <w:p w14:paraId="4E613292" w14:textId="77777777" w:rsidR="00B612BA" w:rsidRPr="00424F06" w:rsidRDefault="00B612BA" w:rsidP="00B612BA">
            <w:pPr>
              <w:spacing w:after="0" w:line="240" w:lineRule="auto"/>
              <w:jc w:val="right"/>
              <w:rPr>
                <w:rFonts w:ascii="Calibri Light" w:eastAsia="Times New Roman" w:hAnsi="Calibri Light" w:cs="Calibri Light"/>
                <w:b/>
                <w:bCs/>
                <w:i/>
                <w:iCs/>
                <w:sz w:val="24"/>
                <w:szCs w:val="24"/>
                <w:lang w:val="ro-MD"/>
              </w:rPr>
            </w:pPr>
            <w:r w:rsidRPr="00424F06">
              <w:rPr>
                <w:rFonts w:ascii="Calibri Light" w:eastAsia="Times New Roman" w:hAnsi="Calibri Light" w:cs="Calibri Light"/>
                <w:b/>
                <w:bCs/>
                <w:i/>
                <w:iCs/>
                <w:sz w:val="24"/>
                <w:szCs w:val="24"/>
                <w:lang w:val="ro-MD"/>
              </w:rPr>
              <w:t>precizat</w:t>
            </w:r>
          </w:p>
        </w:tc>
        <w:tc>
          <w:tcPr>
            <w:tcW w:w="1058" w:type="dxa"/>
            <w:vAlign w:val="center"/>
          </w:tcPr>
          <w:p w14:paraId="01DDD991" w14:textId="77777777" w:rsidR="00B612BA" w:rsidRPr="00424F06" w:rsidRDefault="00B612BA" w:rsidP="00B612BA">
            <w:pPr>
              <w:spacing w:after="0" w:line="240" w:lineRule="auto"/>
              <w:jc w:val="right"/>
              <w:rPr>
                <w:rFonts w:ascii="Calibri Light" w:eastAsia="Times New Roman" w:hAnsi="Calibri Light" w:cs="Calibri Light"/>
                <w:b/>
                <w:bCs/>
                <w:i/>
                <w:iCs/>
                <w:sz w:val="24"/>
                <w:szCs w:val="24"/>
                <w:lang w:val="ro-MD"/>
              </w:rPr>
            </w:pPr>
            <w:r w:rsidRPr="00424F06">
              <w:rPr>
                <w:rFonts w:ascii="Calibri Light" w:eastAsia="Times New Roman" w:hAnsi="Calibri Light" w:cs="Calibri Light"/>
                <w:b/>
                <w:bCs/>
                <w:i/>
                <w:iCs/>
                <w:sz w:val="24"/>
                <w:szCs w:val="24"/>
                <w:lang w:val="ro-MD"/>
              </w:rPr>
              <w:t>executat</w:t>
            </w:r>
          </w:p>
        </w:tc>
      </w:tr>
      <w:tr w:rsidR="00B612BA" w:rsidRPr="00424F06" w14:paraId="0F2F13A6" w14:textId="77777777" w:rsidTr="00A405CD">
        <w:trPr>
          <w:trHeight w:val="20"/>
        </w:trPr>
        <w:tc>
          <w:tcPr>
            <w:tcW w:w="2825" w:type="dxa"/>
            <w:shd w:val="clear" w:color="auto" w:fill="auto"/>
            <w:noWrap/>
            <w:vAlign w:val="bottom"/>
            <w:hideMark/>
          </w:tcPr>
          <w:p w14:paraId="3C5DE90C" w14:textId="77777777" w:rsidR="00B612BA" w:rsidRPr="00424F06" w:rsidRDefault="00B612BA" w:rsidP="00B612BA">
            <w:pPr>
              <w:spacing w:after="0" w:line="240" w:lineRule="auto"/>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color w:val="000000"/>
                <w:sz w:val="24"/>
                <w:szCs w:val="24"/>
                <w:lang w:val="ro-MD"/>
              </w:rPr>
              <w:t>TOTAL</w:t>
            </w:r>
          </w:p>
        </w:tc>
        <w:tc>
          <w:tcPr>
            <w:tcW w:w="1065" w:type="dxa"/>
            <w:vAlign w:val="center"/>
          </w:tcPr>
          <w:p w14:paraId="79C24460"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22.000,0</w:t>
            </w:r>
          </w:p>
        </w:tc>
        <w:tc>
          <w:tcPr>
            <w:tcW w:w="1065" w:type="dxa"/>
            <w:vAlign w:val="center"/>
          </w:tcPr>
          <w:p w14:paraId="2CC620F8"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20.533,3</w:t>
            </w:r>
          </w:p>
        </w:tc>
        <w:tc>
          <w:tcPr>
            <w:tcW w:w="1065" w:type="dxa"/>
            <w:vAlign w:val="center"/>
          </w:tcPr>
          <w:p w14:paraId="47EB9AF1"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18.793,3</w:t>
            </w:r>
          </w:p>
        </w:tc>
        <w:tc>
          <w:tcPr>
            <w:tcW w:w="1058" w:type="dxa"/>
            <w:vAlign w:val="center"/>
          </w:tcPr>
          <w:p w14:paraId="34A3E904"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14.690,7</w:t>
            </w:r>
          </w:p>
        </w:tc>
      </w:tr>
      <w:tr w:rsidR="00B612BA" w:rsidRPr="00424F06" w14:paraId="7F19CDFD" w14:textId="77777777" w:rsidTr="00A405CD">
        <w:trPr>
          <w:trHeight w:val="20"/>
        </w:trPr>
        <w:tc>
          <w:tcPr>
            <w:tcW w:w="2825" w:type="dxa"/>
            <w:shd w:val="clear" w:color="auto" w:fill="auto"/>
            <w:noWrap/>
            <w:vAlign w:val="bottom"/>
            <w:hideMark/>
          </w:tcPr>
          <w:p w14:paraId="1C118EF0" w14:textId="77777777" w:rsidR="00B612BA" w:rsidRPr="00424F06" w:rsidRDefault="00B612BA" w:rsidP="00B612BA">
            <w:pPr>
              <w:spacing w:after="0" w:line="240" w:lineRule="auto"/>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color w:val="000000"/>
                <w:sz w:val="24"/>
                <w:szCs w:val="24"/>
                <w:lang w:val="ro-MD"/>
              </w:rPr>
              <w:t>Total LG II</w:t>
            </w:r>
          </w:p>
        </w:tc>
        <w:tc>
          <w:tcPr>
            <w:tcW w:w="1065" w:type="dxa"/>
            <w:vAlign w:val="center"/>
          </w:tcPr>
          <w:p w14:paraId="68A5598A"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 </w:t>
            </w:r>
          </w:p>
        </w:tc>
        <w:tc>
          <w:tcPr>
            <w:tcW w:w="1065" w:type="dxa"/>
            <w:vAlign w:val="center"/>
          </w:tcPr>
          <w:p w14:paraId="2A68E07F"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 </w:t>
            </w:r>
          </w:p>
        </w:tc>
        <w:tc>
          <w:tcPr>
            <w:tcW w:w="1065" w:type="dxa"/>
            <w:vAlign w:val="center"/>
          </w:tcPr>
          <w:p w14:paraId="1479280E"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 </w:t>
            </w:r>
          </w:p>
        </w:tc>
        <w:tc>
          <w:tcPr>
            <w:tcW w:w="1058" w:type="dxa"/>
            <w:vAlign w:val="center"/>
          </w:tcPr>
          <w:p w14:paraId="0702523E"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 </w:t>
            </w:r>
          </w:p>
        </w:tc>
      </w:tr>
      <w:tr w:rsidR="00B612BA" w:rsidRPr="00424F06" w14:paraId="73954B56" w14:textId="77777777" w:rsidTr="00A405CD">
        <w:trPr>
          <w:trHeight w:val="20"/>
        </w:trPr>
        <w:tc>
          <w:tcPr>
            <w:tcW w:w="2825" w:type="dxa"/>
            <w:shd w:val="clear" w:color="auto" w:fill="auto"/>
            <w:noWrap/>
            <w:vAlign w:val="bottom"/>
            <w:hideMark/>
          </w:tcPr>
          <w:p w14:paraId="1C006F54" w14:textId="77777777" w:rsidR="00B612BA" w:rsidRPr="00424F06" w:rsidRDefault="00B612BA" w:rsidP="00B612BA">
            <w:pPr>
              <w:spacing w:after="0" w:line="240" w:lineRule="auto"/>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color w:val="000000"/>
                <w:sz w:val="24"/>
                <w:szCs w:val="24"/>
                <w:lang w:val="ro-MD"/>
              </w:rPr>
              <w:t>Total LG I</w:t>
            </w:r>
          </w:p>
        </w:tc>
        <w:tc>
          <w:tcPr>
            <w:tcW w:w="1065" w:type="dxa"/>
            <w:vAlign w:val="center"/>
          </w:tcPr>
          <w:p w14:paraId="57BBAC47"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22.000,0</w:t>
            </w:r>
          </w:p>
        </w:tc>
        <w:tc>
          <w:tcPr>
            <w:tcW w:w="1065" w:type="dxa"/>
            <w:vAlign w:val="center"/>
          </w:tcPr>
          <w:p w14:paraId="55CCF390"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20.533,3</w:t>
            </w:r>
          </w:p>
        </w:tc>
        <w:tc>
          <w:tcPr>
            <w:tcW w:w="1065" w:type="dxa"/>
            <w:vAlign w:val="center"/>
          </w:tcPr>
          <w:p w14:paraId="32A8B800"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18.793,3</w:t>
            </w:r>
          </w:p>
        </w:tc>
        <w:tc>
          <w:tcPr>
            <w:tcW w:w="1058" w:type="dxa"/>
            <w:vAlign w:val="center"/>
          </w:tcPr>
          <w:p w14:paraId="0DA7A5EE" w14:textId="77777777" w:rsidR="00B612BA" w:rsidRPr="00424F06" w:rsidDel="00802898" w:rsidRDefault="00B612BA" w:rsidP="00B612BA">
            <w:pPr>
              <w:spacing w:after="0" w:line="240" w:lineRule="auto"/>
              <w:jc w:val="right"/>
              <w:rPr>
                <w:rFonts w:ascii="Calibri Light" w:eastAsia="Times New Roman" w:hAnsi="Calibri Light" w:cs="Calibri Light"/>
                <w:b/>
                <w:bCs/>
                <w:i/>
                <w:iCs/>
                <w:color w:val="000000"/>
                <w:sz w:val="24"/>
                <w:szCs w:val="24"/>
                <w:lang w:val="ro-MD"/>
              </w:rPr>
            </w:pPr>
            <w:r w:rsidRPr="00424F06">
              <w:rPr>
                <w:rFonts w:ascii="Calibri Light" w:eastAsia="Times New Roman" w:hAnsi="Calibri Light" w:cs="Calibri Light"/>
                <w:b/>
                <w:bCs/>
                <w:i/>
                <w:iCs/>
                <w:sz w:val="24"/>
                <w:szCs w:val="24"/>
                <w:lang w:val="ro-MD"/>
              </w:rPr>
              <w:t>14.690,7</w:t>
            </w:r>
          </w:p>
        </w:tc>
      </w:tr>
      <w:tr w:rsidR="00B612BA" w:rsidRPr="00424F06" w14:paraId="019B44E2" w14:textId="77777777" w:rsidTr="00A405CD">
        <w:trPr>
          <w:trHeight w:val="20"/>
        </w:trPr>
        <w:tc>
          <w:tcPr>
            <w:tcW w:w="2825" w:type="dxa"/>
            <w:shd w:val="clear" w:color="auto" w:fill="auto"/>
            <w:noWrap/>
            <w:vAlign w:val="bottom"/>
            <w:hideMark/>
          </w:tcPr>
          <w:p w14:paraId="41782511" w14:textId="490BC4C0"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or</w:t>
            </w:r>
            <w:r w:rsidR="00B612BA" w:rsidRPr="00424F06">
              <w:rPr>
                <w:rFonts w:ascii="Calibri Light" w:eastAsia="Times New Roman" w:hAnsi="Calibri Light" w:cs="Calibri Light"/>
                <w:i/>
                <w:iCs/>
                <w:color w:val="000000"/>
                <w:sz w:val="24"/>
                <w:szCs w:val="24"/>
                <w:lang w:val="ro-MD"/>
              </w:rPr>
              <w:t>.COMRAT</w:t>
            </w:r>
          </w:p>
        </w:tc>
        <w:tc>
          <w:tcPr>
            <w:tcW w:w="1065" w:type="dxa"/>
            <w:vAlign w:val="center"/>
          </w:tcPr>
          <w:p w14:paraId="3932DCB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1.134,2</w:t>
            </w:r>
          </w:p>
        </w:tc>
        <w:tc>
          <w:tcPr>
            <w:tcW w:w="1065" w:type="dxa"/>
            <w:vAlign w:val="center"/>
          </w:tcPr>
          <w:p w14:paraId="6F49FC4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1.058,6</w:t>
            </w:r>
          </w:p>
        </w:tc>
        <w:tc>
          <w:tcPr>
            <w:tcW w:w="1065" w:type="dxa"/>
            <w:vAlign w:val="bottom"/>
          </w:tcPr>
          <w:p w14:paraId="0460C2B5"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982,9</w:t>
            </w:r>
          </w:p>
        </w:tc>
        <w:tc>
          <w:tcPr>
            <w:tcW w:w="1058" w:type="dxa"/>
            <w:vAlign w:val="bottom"/>
          </w:tcPr>
          <w:p w14:paraId="0F1A5E2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737,1</w:t>
            </w:r>
          </w:p>
        </w:tc>
      </w:tr>
      <w:tr w:rsidR="00B612BA" w:rsidRPr="00424F06" w14:paraId="0552C831" w14:textId="77777777" w:rsidTr="00A405CD">
        <w:trPr>
          <w:trHeight w:val="20"/>
        </w:trPr>
        <w:tc>
          <w:tcPr>
            <w:tcW w:w="2825" w:type="dxa"/>
            <w:shd w:val="clear" w:color="auto" w:fill="auto"/>
            <w:noWrap/>
            <w:vAlign w:val="bottom"/>
            <w:hideMark/>
          </w:tcPr>
          <w:p w14:paraId="3CAE3A7D" w14:textId="6387D89B"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.AVDARMA</w:t>
            </w:r>
          </w:p>
        </w:tc>
        <w:tc>
          <w:tcPr>
            <w:tcW w:w="1065" w:type="dxa"/>
            <w:vAlign w:val="center"/>
          </w:tcPr>
          <w:p w14:paraId="0306A395"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277,1</w:t>
            </w:r>
          </w:p>
        </w:tc>
        <w:tc>
          <w:tcPr>
            <w:tcW w:w="1065" w:type="dxa"/>
            <w:vAlign w:val="center"/>
          </w:tcPr>
          <w:p w14:paraId="30BE45B9"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258,7</w:t>
            </w:r>
          </w:p>
        </w:tc>
        <w:tc>
          <w:tcPr>
            <w:tcW w:w="1065" w:type="dxa"/>
            <w:vAlign w:val="bottom"/>
          </w:tcPr>
          <w:p w14:paraId="0E85A5B3"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187,7</w:t>
            </w:r>
          </w:p>
        </w:tc>
        <w:tc>
          <w:tcPr>
            <w:tcW w:w="1058" w:type="dxa"/>
            <w:vAlign w:val="bottom"/>
          </w:tcPr>
          <w:p w14:paraId="38328631"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140,6</w:t>
            </w:r>
          </w:p>
        </w:tc>
      </w:tr>
      <w:tr w:rsidR="00B612BA" w:rsidRPr="00424F06" w14:paraId="58BB98CE" w14:textId="77777777" w:rsidTr="00A405CD">
        <w:trPr>
          <w:trHeight w:val="20"/>
        </w:trPr>
        <w:tc>
          <w:tcPr>
            <w:tcW w:w="2825" w:type="dxa"/>
            <w:shd w:val="clear" w:color="auto" w:fill="auto"/>
            <w:noWrap/>
            <w:vAlign w:val="bottom"/>
            <w:hideMark/>
          </w:tcPr>
          <w:p w14:paraId="53D6B0BA" w14:textId="6FC6E01B"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.BE</w:t>
            </w:r>
            <w:r w:rsidRPr="00424F06">
              <w:rPr>
                <w:rFonts w:ascii="Calibri Light" w:eastAsia="Times New Roman" w:hAnsi="Calibri Light" w:cs="Calibri Light"/>
                <w:i/>
                <w:iCs/>
                <w:color w:val="000000"/>
                <w:sz w:val="24"/>
                <w:szCs w:val="24"/>
                <w:lang w:val="ro-MD"/>
              </w:rPr>
              <w:t>Ș</w:t>
            </w:r>
            <w:r w:rsidR="00B612BA" w:rsidRPr="00424F06">
              <w:rPr>
                <w:rFonts w:ascii="Calibri Light" w:eastAsia="Times New Roman" w:hAnsi="Calibri Light" w:cs="Calibri Light"/>
                <w:i/>
                <w:iCs/>
                <w:color w:val="000000"/>
                <w:sz w:val="24"/>
                <w:szCs w:val="24"/>
                <w:lang w:val="ro-MD"/>
              </w:rPr>
              <w:t>ALMA</w:t>
            </w:r>
          </w:p>
        </w:tc>
        <w:tc>
          <w:tcPr>
            <w:tcW w:w="1065" w:type="dxa"/>
            <w:vAlign w:val="center"/>
          </w:tcPr>
          <w:p w14:paraId="6E46C0DC"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1.140,7</w:t>
            </w:r>
          </w:p>
        </w:tc>
        <w:tc>
          <w:tcPr>
            <w:tcW w:w="1065" w:type="dxa"/>
            <w:vAlign w:val="center"/>
          </w:tcPr>
          <w:p w14:paraId="2B61AA57"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1.064,6</w:t>
            </w:r>
          </w:p>
        </w:tc>
        <w:tc>
          <w:tcPr>
            <w:tcW w:w="1065" w:type="dxa"/>
            <w:vAlign w:val="bottom"/>
          </w:tcPr>
          <w:p w14:paraId="5CD08D2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1.055,6</w:t>
            </w:r>
          </w:p>
        </w:tc>
        <w:tc>
          <w:tcPr>
            <w:tcW w:w="1058" w:type="dxa"/>
            <w:vAlign w:val="bottom"/>
          </w:tcPr>
          <w:p w14:paraId="47C481FD"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791,9</w:t>
            </w:r>
          </w:p>
        </w:tc>
      </w:tr>
      <w:tr w:rsidR="00B612BA" w:rsidRPr="00424F06" w14:paraId="55EA2A9F" w14:textId="77777777" w:rsidTr="00A405CD">
        <w:trPr>
          <w:trHeight w:val="20"/>
        </w:trPr>
        <w:tc>
          <w:tcPr>
            <w:tcW w:w="2825" w:type="dxa"/>
            <w:shd w:val="clear" w:color="auto" w:fill="auto"/>
            <w:noWrap/>
            <w:vAlign w:val="bottom"/>
            <w:hideMark/>
          </w:tcPr>
          <w:p w14:paraId="2FE20522" w14:textId="3B905323"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.BUGEAC</w:t>
            </w:r>
          </w:p>
        </w:tc>
        <w:tc>
          <w:tcPr>
            <w:tcW w:w="1065" w:type="dxa"/>
            <w:vAlign w:val="center"/>
          </w:tcPr>
          <w:p w14:paraId="0CEBAB38"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534,1</w:t>
            </w:r>
          </w:p>
        </w:tc>
        <w:tc>
          <w:tcPr>
            <w:tcW w:w="1065" w:type="dxa"/>
            <w:vAlign w:val="center"/>
          </w:tcPr>
          <w:p w14:paraId="481429D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498,5</w:t>
            </w:r>
          </w:p>
        </w:tc>
        <w:tc>
          <w:tcPr>
            <w:tcW w:w="1065" w:type="dxa"/>
            <w:vAlign w:val="bottom"/>
          </w:tcPr>
          <w:p w14:paraId="48969E5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76,1</w:t>
            </w:r>
          </w:p>
        </w:tc>
        <w:tc>
          <w:tcPr>
            <w:tcW w:w="1058" w:type="dxa"/>
            <w:vAlign w:val="bottom"/>
          </w:tcPr>
          <w:p w14:paraId="554512AC"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56,9</w:t>
            </w:r>
          </w:p>
        </w:tc>
      </w:tr>
      <w:tr w:rsidR="00B612BA" w:rsidRPr="00424F06" w14:paraId="5F869AF8" w14:textId="77777777" w:rsidTr="00A405CD">
        <w:trPr>
          <w:trHeight w:val="20"/>
        </w:trPr>
        <w:tc>
          <w:tcPr>
            <w:tcW w:w="2825" w:type="dxa"/>
            <w:shd w:val="clear" w:color="auto" w:fill="auto"/>
            <w:noWrap/>
            <w:vAlign w:val="bottom"/>
            <w:hideMark/>
          </w:tcPr>
          <w:p w14:paraId="1372034F" w14:textId="2AD22BC6"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.DEZGHINGEA</w:t>
            </w:r>
          </w:p>
        </w:tc>
        <w:tc>
          <w:tcPr>
            <w:tcW w:w="1065" w:type="dxa"/>
            <w:vAlign w:val="center"/>
          </w:tcPr>
          <w:p w14:paraId="17F5B69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1.179,1</w:t>
            </w:r>
          </w:p>
        </w:tc>
        <w:tc>
          <w:tcPr>
            <w:tcW w:w="1065" w:type="dxa"/>
            <w:vAlign w:val="center"/>
          </w:tcPr>
          <w:p w14:paraId="486B2808"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1.100,5</w:t>
            </w:r>
          </w:p>
        </w:tc>
        <w:tc>
          <w:tcPr>
            <w:tcW w:w="1065" w:type="dxa"/>
            <w:vAlign w:val="bottom"/>
          </w:tcPr>
          <w:p w14:paraId="51EB9EEF"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1.043,1</w:t>
            </w:r>
          </w:p>
        </w:tc>
        <w:tc>
          <w:tcPr>
            <w:tcW w:w="1058" w:type="dxa"/>
            <w:vAlign w:val="bottom"/>
          </w:tcPr>
          <w:p w14:paraId="573D2378"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782,4</w:t>
            </w:r>
          </w:p>
        </w:tc>
      </w:tr>
      <w:tr w:rsidR="00B612BA" w:rsidRPr="00424F06" w14:paraId="01758D0E" w14:textId="77777777" w:rsidTr="00A405CD">
        <w:trPr>
          <w:trHeight w:val="20"/>
        </w:trPr>
        <w:tc>
          <w:tcPr>
            <w:tcW w:w="2825" w:type="dxa"/>
            <w:shd w:val="clear" w:color="auto" w:fill="auto"/>
            <w:noWrap/>
            <w:vAlign w:val="bottom"/>
            <w:hideMark/>
          </w:tcPr>
          <w:p w14:paraId="49F3F6E8" w14:textId="5BE61E66"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.CHIRSOVA</w:t>
            </w:r>
          </w:p>
        </w:tc>
        <w:tc>
          <w:tcPr>
            <w:tcW w:w="1065" w:type="dxa"/>
            <w:vAlign w:val="center"/>
          </w:tcPr>
          <w:p w14:paraId="2F5401D1"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1.168,6</w:t>
            </w:r>
          </w:p>
        </w:tc>
        <w:tc>
          <w:tcPr>
            <w:tcW w:w="1065" w:type="dxa"/>
            <w:vAlign w:val="center"/>
          </w:tcPr>
          <w:p w14:paraId="44D6791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1.090,7</w:t>
            </w:r>
          </w:p>
        </w:tc>
        <w:tc>
          <w:tcPr>
            <w:tcW w:w="1065" w:type="dxa"/>
            <w:vAlign w:val="bottom"/>
          </w:tcPr>
          <w:p w14:paraId="72F0D3E7"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1.010,8</w:t>
            </w:r>
          </w:p>
        </w:tc>
        <w:tc>
          <w:tcPr>
            <w:tcW w:w="1058" w:type="dxa"/>
            <w:vAlign w:val="bottom"/>
          </w:tcPr>
          <w:p w14:paraId="1BFE2F9E"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817,2</w:t>
            </w:r>
          </w:p>
        </w:tc>
      </w:tr>
      <w:tr w:rsidR="00B612BA" w:rsidRPr="00424F06" w14:paraId="00322EF1" w14:textId="77777777" w:rsidTr="00A405CD">
        <w:trPr>
          <w:trHeight w:val="20"/>
        </w:trPr>
        <w:tc>
          <w:tcPr>
            <w:tcW w:w="2825" w:type="dxa"/>
            <w:shd w:val="clear" w:color="auto" w:fill="auto"/>
            <w:noWrap/>
            <w:vAlign w:val="bottom"/>
            <w:hideMark/>
          </w:tcPr>
          <w:p w14:paraId="15B0FE99" w14:textId="1146B3D9"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.CHIOSELIA RUS</w:t>
            </w:r>
            <w:r w:rsidRPr="00424F06">
              <w:rPr>
                <w:rFonts w:ascii="Calibri Light" w:eastAsia="Times New Roman" w:hAnsi="Calibri Light" w:cs="Calibri Light"/>
                <w:i/>
                <w:iCs/>
                <w:color w:val="000000"/>
                <w:sz w:val="24"/>
                <w:szCs w:val="24"/>
                <w:lang w:val="ro-MD"/>
              </w:rPr>
              <w:t>Ă</w:t>
            </w:r>
          </w:p>
        </w:tc>
        <w:tc>
          <w:tcPr>
            <w:tcW w:w="1065" w:type="dxa"/>
            <w:vAlign w:val="center"/>
          </w:tcPr>
          <w:p w14:paraId="4223E303"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520,8</w:t>
            </w:r>
          </w:p>
        </w:tc>
        <w:tc>
          <w:tcPr>
            <w:tcW w:w="1065" w:type="dxa"/>
            <w:vAlign w:val="center"/>
          </w:tcPr>
          <w:p w14:paraId="75C8CE9A"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486,1</w:t>
            </w:r>
          </w:p>
        </w:tc>
        <w:tc>
          <w:tcPr>
            <w:tcW w:w="1065" w:type="dxa"/>
            <w:vAlign w:val="bottom"/>
          </w:tcPr>
          <w:p w14:paraId="33AAF0A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339,2</w:t>
            </w:r>
          </w:p>
        </w:tc>
        <w:tc>
          <w:tcPr>
            <w:tcW w:w="1058" w:type="dxa"/>
            <w:vAlign w:val="bottom"/>
          </w:tcPr>
          <w:p w14:paraId="3FDF9A6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254,3</w:t>
            </w:r>
          </w:p>
        </w:tc>
      </w:tr>
      <w:tr w:rsidR="00B612BA" w:rsidRPr="00424F06" w14:paraId="7A3BAF82" w14:textId="77777777" w:rsidTr="00A405CD">
        <w:trPr>
          <w:trHeight w:val="20"/>
        </w:trPr>
        <w:tc>
          <w:tcPr>
            <w:tcW w:w="2825" w:type="dxa"/>
            <w:shd w:val="clear" w:color="auto" w:fill="auto"/>
            <w:noWrap/>
            <w:vAlign w:val="bottom"/>
            <w:hideMark/>
          </w:tcPr>
          <w:p w14:paraId="203F93C4" w14:textId="606E3A36"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.CONGAZ</w:t>
            </w:r>
          </w:p>
        </w:tc>
        <w:tc>
          <w:tcPr>
            <w:tcW w:w="1065" w:type="dxa"/>
            <w:vAlign w:val="center"/>
          </w:tcPr>
          <w:p w14:paraId="4214933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915,8</w:t>
            </w:r>
          </w:p>
        </w:tc>
        <w:tc>
          <w:tcPr>
            <w:tcW w:w="1065" w:type="dxa"/>
            <w:vAlign w:val="center"/>
          </w:tcPr>
          <w:p w14:paraId="2A611C2C"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854,8</w:t>
            </w:r>
          </w:p>
        </w:tc>
        <w:tc>
          <w:tcPr>
            <w:tcW w:w="1065" w:type="dxa"/>
            <w:vAlign w:val="bottom"/>
          </w:tcPr>
          <w:p w14:paraId="6A82806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755,6</w:t>
            </w:r>
          </w:p>
        </w:tc>
        <w:tc>
          <w:tcPr>
            <w:tcW w:w="1058" w:type="dxa"/>
            <w:vAlign w:val="bottom"/>
          </w:tcPr>
          <w:p w14:paraId="2B83CC27"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566,9</w:t>
            </w:r>
          </w:p>
        </w:tc>
      </w:tr>
      <w:tr w:rsidR="00B612BA" w:rsidRPr="00424F06" w14:paraId="2AB91EF3" w14:textId="77777777" w:rsidTr="00A405CD">
        <w:trPr>
          <w:trHeight w:val="20"/>
        </w:trPr>
        <w:tc>
          <w:tcPr>
            <w:tcW w:w="2825" w:type="dxa"/>
            <w:shd w:val="clear" w:color="auto" w:fill="auto"/>
            <w:noWrap/>
            <w:vAlign w:val="bottom"/>
            <w:hideMark/>
          </w:tcPr>
          <w:p w14:paraId="5EC90908" w14:textId="7FBC1429"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 xml:space="preserve">.CONGAZCIC </w:t>
            </w:r>
          </w:p>
        </w:tc>
        <w:tc>
          <w:tcPr>
            <w:tcW w:w="1065" w:type="dxa"/>
            <w:vAlign w:val="center"/>
          </w:tcPr>
          <w:p w14:paraId="616C6D04"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739,1</w:t>
            </w:r>
          </w:p>
        </w:tc>
        <w:tc>
          <w:tcPr>
            <w:tcW w:w="1065" w:type="dxa"/>
            <w:vAlign w:val="center"/>
          </w:tcPr>
          <w:p w14:paraId="179F2EFD"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689,8</w:t>
            </w:r>
          </w:p>
        </w:tc>
        <w:tc>
          <w:tcPr>
            <w:tcW w:w="1065" w:type="dxa"/>
            <w:vAlign w:val="bottom"/>
          </w:tcPr>
          <w:p w14:paraId="50DA4F0A"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587,4</w:t>
            </w:r>
          </w:p>
        </w:tc>
        <w:tc>
          <w:tcPr>
            <w:tcW w:w="1058" w:type="dxa"/>
            <w:vAlign w:val="bottom"/>
          </w:tcPr>
          <w:p w14:paraId="62171623"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440,4</w:t>
            </w:r>
          </w:p>
        </w:tc>
      </w:tr>
      <w:tr w:rsidR="00B612BA" w:rsidRPr="00424F06" w14:paraId="73168D48" w14:textId="77777777" w:rsidTr="00A405CD">
        <w:trPr>
          <w:trHeight w:val="20"/>
        </w:trPr>
        <w:tc>
          <w:tcPr>
            <w:tcW w:w="2825" w:type="dxa"/>
            <w:shd w:val="clear" w:color="auto" w:fill="auto"/>
            <w:noWrap/>
            <w:vAlign w:val="bottom"/>
            <w:hideMark/>
          </w:tcPr>
          <w:p w14:paraId="1AE508C7" w14:textId="6D5E7455"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.COTOVSCOE</w:t>
            </w:r>
          </w:p>
        </w:tc>
        <w:tc>
          <w:tcPr>
            <w:tcW w:w="1065" w:type="dxa"/>
            <w:vAlign w:val="center"/>
          </w:tcPr>
          <w:p w14:paraId="5F8E6C1E"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712,5</w:t>
            </w:r>
          </w:p>
        </w:tc>
        <w:tc>
          <w:tcPr>
            <w:tcW w:w="1065" w:type="dxa"/>
            <w:vAlign w:val="center"/>
          </w:tcPr>
          <w:p w14:paraId="75D6B315"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665,0</w:t>
            </w:r>
          </w:p>
        </w:tc>
        <w:tc>
          <w:tcPr>
            <w:tcW w:w="1065" w:type="dxa"/>
            <w:vAlign w:val="bottom"/>
          </w:tcPr>
          <w:p w14:paraId="48A113F4"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668,8</w:t>
            </w:r>
          </w:p>
        </w:tc>
        <w:tc>
          <w:tcPr>
            <w:tcW w:w="1058" w:type="dxa"/>
            <w:vAlign w:val="bottom"/>
          </w:tcPr>
          <w:p w14:paraId="6687640F"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501,5</w:t>
            </w:r>
          </w:p>
        </w:tc>
      </w:tr>
      <w:tr w:rsidR="00B612BA" w:rsidRPr="00424F06" w14:paraId="337F2DCC" w14:textId="77777777" w:rsidTr="00A405CD">
        <w:trPr>
          <w:trHeight w:val="20"/>
        </w:trPr>
        <w:tc>
          <w:tcPr>
            <w:tcW w:w="2825" w:type="dxa"/>
            <w:shd w:val="clear" w:color="auto" w:fill="auto"/>
            <w:noWrap/>
            <w:vAlign w:val="bottom"/>
            <w:hideMark/>
          </w:tcPr>
          <w:p w14:paraId="4336EA55" w14:textId="6C78720C"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.SVETL</w:t>
            </w:r>
            <w:r w:rsidRPr="00424F06">
              <w:rPr>
                <w:rFonts w:ascii="Calibri Light" w:eastAsia="Times New Roman" w:hAnsi="Calibri Light" w:cs="Calibri Light"/>
                <w:i/>
                <w:iCs/>
                <w:color w:val="000000"/>
                <w:sz w:val="24"/>
                <w:szCs w:val="24"/>
                <w:lang w:val="ro-MD"/>
              </w:rPr>
              <w:t>Â</w:t>
            </w:r>
            <w:r w:rsidR="00B612BA" w:rsidRPr="00424F06">
              <w:rPr>
                <w:rFonts w:ascii="Calibri Light" w:eastAsia="Times New Roman" w:hAnsi="Calibri Light" w:cs="Calibri Light"/>
                <w:i/>
                <w:iCs/>
                <w:color w:val="000000"/>
                <w:sz w:val="24"/>
                <w:szCs w:val="24"/>
                <w:lang w:val="ro-MD"/>
              </w:rPr>
              <w:t>I</w:t>
            </w:r>
          </w:p>
        </w:tc>
        <w:tc>
          <w:tcPr>
            <w:tcW w:w="1065" w:type="dxa"/>
            <w:vAlign w:val="center"/>
          </w:tcPr>
          <w:p w14:paraId="2CC89D5D"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103,7</w:t>
            </w:r>
          </w:p>
        </w:tc>
        <w:tc>
          <w:tcPr>
            <w:tcW w:w="1065" w:type="dxa"/>
            <w:vAlign w:val="center"/>
          </w:tcPr>
          <w:p w14:paraId="2749D48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96,8</w:t>
            </w:r>
          </w:p>
        </w:tc>
        <w:tc>
          <w:tcPr>
            <w:tcW w:w="1065" w:type="dxa"/>
            <w:vAlign w:val="bottom"/>
          </w:tcPr>
          <w:p w14:paraId="5669F29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89,3</w:t>
            </w:r>
          </w:p>
        </w:tc>
        <w:tc>
          <w:tcPr>
            <w:tcW w:w="1058" w:type="dxa"/>
            <w:vAlign w:val="bottom"/>
          </w:tcPr>
          <w:p w14:paraId="398B63C4"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66,8</w:t>
            </w:r>
          </w:p>
        </w:tc>
      </w:tr>
      <w:tr w:rsidR="00B612BA" w:rsidRPr="00424F06" w14:paraId="5793048E" w14:textId="77777777" w:rsidTr="00A405CD">
        <w:trPr>
          <w:trHeight w:val="20"/>
        </w:trPr>
        <w:tc>
          <w:tcPr>
            <w:tcW w:w="2825" w:type="dxa"/>
            <w:shd w:val="clear" w:color="auto" w:fill="auto"/>
            <w:noWrap/>
            <w:vAlign w:val="bottom"/>
            <w:hideMark/>
          </w:tcPr>
          <w:p w14:paraId="310CAB8D" w14:textId="63BC1943"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.FERAPONTIEVCA</w:t>
            </w:r>
          </w:p>
        </w:tc>
        <w:tc>
          <w:tcPr>
            <w:tcW w:w="1065" w:type="dxa"/>
            <w:vAlign w:val="center"/>
          </w:tcPr>
          <w:p w14:paraId="4E1DFBCA"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577,9</w:t>
            </w:r>
          </w:p>
        </w:tc>
        <w:tc>
          <w:tcPr>
            <w:tcW w:w="1065" w:type="dxa"/>
            <w:vAlign w:val="center"/>
          </w:tcPr>
          <w:p w14:paraId="6F515DB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539,3</w:t>
            </w:r>
          </w:p>
        </w:tc>
        <w:tc>
          <w:tcPr>
            <w:tcW w:w="1065" w:type="dxa"/>
            <w:vAlign w:val="bottom"/>
          </w:tcPr>
          <w:p w14:paraId="1F85B79C"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293,8</w:t>
            </w:r>
          </w:p>
        </w:tc>
        <w:tc>
          <w:tcPr>
            <w:tcW w:w="1058" w:type="dxa"/>
            <w:vAlign w:val="bottom"/>
          </w:tcPr>
          <w:p w14:paraId="67E1AC11"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220,3</w:t>
            </w:r>
          </w:p>
        </w:tc>
      </w:tr>
      <w:tr w:rsidR="00B612BA" w:rsidRPr="00424F06" w14:paraId="514061D7" w14:textId="77777777" w:rsidTr="00A405CD">
        <w:trPr>
          <w:trHeight w:val="20"/>
        </w:trPr>
        <w:tc>
          <w:tcPr>
            <w:tcW w:w="2825" w:type="dxa"/>
            <w:shd w:val="clear" w:color="auto" w:fill="auto"/>
            <w:noWrap/>
            <w:vAlign w:val="bottom"/>
            <w:hideMark/>
          </w:tcPr>
          <w:p w14:paraId="3E22A982" w14:textId="4222168D"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.CIOC-MAIDAN</w:t>
            </w:r>
          </w:p>
        </w:tc>
        <w:tc>
          <w:tcPr>
            <w:tcW w:w="1065" w:type="dxa"/>
            <w:vAlign w:val="center"/>
          </w:tcPr>
          <w:p w14:paraId="52CDA59C"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861,8</w:t>
            </w:r>
          </w:p>
        </w:tc>
        <w:tc>
          <w:tcPr>
            <w:tcW w:w="1065" w:type="dxa"/>
            <w:vAlign w:val="center"/>
          </w:tcPr>
          <w:p w14:paraId="36573328"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804,3</w:t>
            </w:r>
          </w:p>
        </w:tc>
        <w:tc>
          <w:tcPr>
            <w:tcW w:w="1065" w:type="dxa"/>
            <w:vAlign w:val="bottom"/>
          </w:tcPr>
          <w:p w14:paraId="4A524512"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818,1</w:t>
            </w:r>
          </w:p>
        </w:tc>
        <w:tc>
          <w:tcPr>
            <w:tcW w:w="1058" w:type="dxa"/>
            <w:vAlign w:val="bottom"/>
          </w:tcPr>
          <w:p w14:paraId="51309E94"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613,8</w:t>
            </w:r>
          </w:p>
        </w:tc>
      </w:tr>
      <w:tr w:rsidR="00B612BA" w:rsidRPr="00424F06" w14:paraId="6DF8D421" w14:textId="77777777" w:rsidTr="00A405CD">
        <w:trPr>
          <w:trHeight w:val="20"/>
        </w:trPr>
        <w:tc>
          <w:tcPr>
            <w:tcW w:w="2825" w:type="dxa"/>
            <w:shd w:val="clear" w:color="auto" w:fill="auto"/>
            <w:noWrap/>
            <w:vAlign w:val="bottom"/>
            <w:hideMark/>
          </w:tcPr>
          <w:p w14:paraId="2DF65949" w14:textId="029C4D23"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or</w:t>
            </w:r>
            <w:r w:rsidR="00B612BA" w:rsidRPr="00424F06">
              <w:rPr>
                <w:rFonts w:ascii="Calibri Light" w:eastAsia="Times New Roman" w:hAnsi="Calibri Light" w:cs="Calibri Light"/>
                <w:i/>
                <w:iCs/>
                <w:color w:val="000000"/>
                <w:sz w:val="24"/>
                <w:szCs w:val="24"/>
                <w:lang w:val="ro-MD"/>
              </w:rPr>
              <w:t>.CEAD</w:t>
            </w:r>
            <w:r w:rsidRPr="00424F06">
              <w:rPr>
                <w:rFonts w:ascii="Calibri Light" w:eastAsia="Times New Roman" w:hAnsi="Calibri Light" w:cs="Calibri Light"/>
                <w:i/>
                <w:iCs/>
                <w:color w:val="000000"/>
                <w:sz w:val="24"/>
                <w:szCs w:val="24"/>
                <w:lang w:val="ro-MD"/>
              </w:rPr>
              <w:t>Â</w:t>
            </w:r>
            <w:r w:rsidR="00B612BA" w:rsidRPr="00424F06">
              <w:rPr>
                <w:rFonts w:ascii="Calibri Light" w:eastAsia="Times New Roman" w:hAnsi="Calibri Light" w:cs="Calibri Light"/>
                <w:i/>
                <w:iCs/>
                <w:color w:val="000000"/>
                <w:sz w:val="24"/>
                <w:szCs w:val="24"/>
                <w:lang w:val="ro-MD"/>
              </w:rPr>
              <w:t>R-LUNGA</w:t>
            </w:r>
          </w:p>
        </w:tc>
        <w:tc>
          <w:tcPr>
            <w:tcW w:w="1065" w:type="dxa"/>
            <w:vAlign w:val="center"/>
          </w:tcPr>
          <w:p w14:paraId="5ECC19BD"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897,9</w:t>
            </w:r>
          </w:p>
        </w:tc>
        <w:tc>
          <w:tcPr>
            <w:tcW w:w="1065" w:type="dxa"/>
            <w:vAlign w:val="center"/>
          </w:tcPr>
          <w:p w14:paraId="570447C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838,0</w:t>
            </w:r>
          </w:p>
        </w:tc>
        <w:tc>
          <w:tcPr>
            <w:tcW w:w="1065" w:type="dxa"/>
            <w:vAlign w:val="bottom"/>
          </w:tcPr>
          <w:p w14:paraId="5A43124F"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795,6</w:t>
            </w:r>
          </w:p>
        </w:tc>
        <w:tc>
          <w:tcPr>
            <w:tcW w:w="1058" w:type="dxa"/>
            <w:vAlign w:val="center"/>
          </w:tcPr>
          <w:p w14:paraId="5A22393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596,7</w:t>
            </w:r>
          </w:p>
        </w:tc>
      </w:tr>
      <w:tr w:rsidR="00B612BA" w:rsidRPr="00424F06" w14:paraId="70A28FAE" w14:textId="77777777" w:rsidTr="00A405CD">
        <w:trPr>
          <w:trHeight w:val="20"/>
        </w:trPr>
        <w:tc>
          <w:tcPr>
            <w:tcW w:w="2825" w:type="dxa"/>
            <w:shd w:val="clear" w:color="auto" w:fill="auto"/>
            <w:noWrap/>
            <w:vAlign w:val="bottom"/>
            <w:hideMark/>
          </w:tcPr>
          <w:p w14:paraId="7DEEF331" w14:textId="4147D8FC"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.BAURCI</w:t>
            </w:r>
          </w:p>
        </w:tc>
        <w:tc>
          <w:tcPr>
            <w:tcW w:w="1065" w:type="dxa"/>
            <w:vAlign w:val="center"/>
          </w:tcPr>
          <w:p w14:paraId="52F48CB8"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1.300,0</w:t>
            </w:r>
          </w:p>
        </w:tc>
        <w:tc>
          <w:tcPr>
            <w:tcW w:w="1065" w:type="dxa"/>
            <w:vAlign w:val="center"/>
          </w:tcPr>
          <w:p w14:paraId="0AC75AA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1.213,4</w:t>
            </w:r>
          </w:p>
        </w:tc>
        <w:tc>
          <w:tcPr>
            <w:tcW w:w="1065" w:type="dxa"/>
            <w:vAlign w:val="bottom"/>
          </w:tcPr>
          <w:p w14:paraId="1CEE143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1.169,6</w:t>
            </w:r>
          </w:p>
        </w:tc>
        <w:tc>
          <w:tcPr>
            <w:tcW w:w="1058" w:type="dxa"/>
            <w:vAlign w:val="center"/>
          </w:tcPr>
          <w:p w14:paraId="748A1708"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877,4</w:t>
            </w:r>
          </w:p>
        </w:tc>
      </w:tr>
      <w:tr w:rsidR="00B612BA" w:rsidRPr="00424F06" w14:paraId="030A4399" w14:textId="77777777" w:rsidTr="00A405CD">
        <w:trPr>
          <w:trHeight w:val="20"/>
        </w:trPr>
        <w:tc>
          <w:tcPr>
            <w:tcW w:w="2825" w:type="dxa"/>
            <w:shd w:val="clear" w:color="auto" w:fill="auto"/>
            <w:noWrap/>
            <w:vAlign w:val="bottom"/>
            <w:hideMark/>
          </w:tcPr>
          <w:p w14:paraId="276EF721" w14:textId="71A7F6EA"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.BE</w:t>
            </w:r>
            <w:r w:rsidR="00886FF5" w:rsidRPr="00424F06">
              <w:rPr>
                <w:rFonts w:ascii="Calibri Light" w:eastAsia="Times New Roman" w:hAnsi="Calibri Light" w:cs="Calibri Light"/>
                <w:i/>
                <w:iCs/>
                <w:color w:val="000000"/>
                <w:sz w:val="24"/>
                <w:szCs w:val="24"/>
                <w:lang w:val="ro-MD"/>
              </w:rPr>
              <w:t>Ș</w:t>
            </w:r>
            <w:r w:rsidR="00B612BA" w:rsidRPr="00424F06">
              <w:rPr>
                <w:rFonts w:ascii="Calibri Light" w:eastAsia="Times New Roman" w:hAnsi="Calibri Light" w:cs="Calibri Light"/>
                <w:i/>
                <w:iCs/>
                <w:color w:val="000000"/>
                <w:sz w:val="24"/>
                <w:szCs w:val="24"/>
                <w:lang w:val="ro-MD"/>
              </w:rPr>
              <w:t>GHIOZ</w:t>
            </w:r>
          </w:p>
        </w:tc>
        <w:tc>
          <w:tcPr>
            <w:tcW w:w="1065" w:type="dxa"/>
            <w:vAlign w:val="center"/>
          </w:tcPr>
          <w:p w14:paraId="670B7CA3"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932,7</w:t>
            </w:r>
          </w:p>
        </w:tc>
        <w:tc>
          <w:tcPr>
            <w:tcW w:w="1065" w:type="dxa"/>
            <w:vAlign w:val="center"/>
          </w:tcPr>
          <w:p w14:paraId="3EB95647"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870,5</w:t>
            </w:r>
          </w:p>
        </w:tc>
        <w:tc>
          <w:tcPr>
            <w:tcW w:w="1065" w:type="dxa"/>
            <w:vAlign w:val="bottom"/>
          </w:tcPr>
          <w:p w14:paraId="672FAC32"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837,5</w:t>
            </w:r>
          </w:p>
        </w:tc>
        <w:tc>
          <w:tcPr>
            <w:tcW w:w="1058" w:type="dxa"/>
            <w:vAlign w:val="center"/>
          </w:tcPr>
          <w:p w14:paraId="2AEDE22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628,2</w:t>
            </w:r>
          </w:p>
        </w:tc>
      </w:tr>
      <w:tr w:rsidR="00B612BA" w:rsidRPr="00424F06" w14:paraId="4C75B934" w14:textId="77777777" w:rsidTr="00A405CD">
        <w:trPr>
          <w:trHeight w:val="20"/>
        </w:trPr>
        <w:tc>
          <w:tcPr>
            <w:tcW w:w="2825" w:type="dxa"/>
            <w:shd w:val="clear" w:color="auto" w:fill="auto"/>
            <w:noWrap/>
            <w:vAlign w:val="bottom"/>
            <w:hideMark/>
          </w:tcPr>
          <w:p w14:paraId="3BCFEBFF" w14:textId="53B872A8"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.GAIDAR</w:t>
            </w:r>
          </w:p>
        </w:tc>
        <w:tc>
          <w:tcPr>
            <w:tcW w:w="1065" w:type="dxa"/>
            <w:vAlign w:val="center"/>
          </w:tcPr>
          <w:p w14:paraId="329D5DF2"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1.156,3</w:t>
            </w:r>
          </w:p>
        </w:tc>
        <w:tc>
          <w:tcPr>
            <w:tcW w:w="1065" w:type="dxa"/>
            <w:vAlign w:val="center"/>
          </w:tcPr>
          <w:p w14:paraId="5A29E242"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1.079,2</w:t>
            </w:r>
          </w:p>
        </w:tc>
        <w:tc>
          <w:tcPr>
            <w:tcW w:w="1065" w:type="dxa"/>
            <w:vAlign w:val="bottom"/>
          </w:tcPr>
          <w:p w14:paraId="13D9D38C"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1.026,1</w:t>
            </w:r>
          </w:p>
        </w:tc>
        <w:tc>
          <w:tcPr>
            <w:tcW w:w="1058" w:type="dxa"/>
            <w:vAlign w:val="center"/>
          </w:tcPr>
          <w:p w14:paraId="269565F9"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940,5</w:t>
            </w:r>
          </w:p>
        </w:tc>
      </w:tr>
      <w:tr w:rsidR="00B612BA" w:rsidRPr="00424F06" w14:paraId="10641649" w14:textId="77777777" w:rsidTr="00A405CD">
        <w:trPr>
          <w:trHeight w:val="20"/>
        </w:trPr>
        <w:tc>
          <w:tcPr>
            <w:tcW w:w="2825" w:type="dxa"/>
            <w:shd w:val="clear" w:color="auto" w:fill="auto"/>
            <w:noWrap/>
            <w:vAlign w:val="bottom"/>
            <w:hideMark/>
          </w:tcPr>
          <w:p w14:paraId="5B4EDF20" w14:textId="6613766A"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.JOLTAI</w:t>
            </w:r>
          </w:p>
        </w:tc>
        <w:tc>
          <w:tcPr>
            <w:tcW w:w="1065" w:type="dxa"/>
            <w:vAlign w:val="center"/>
          </w:tcPr>
          <w:p w14:paraId="7BD2A34A"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994,0</w:t>
            </w:r>
          </w:p>
        </w:tc>
        <w:tc>
          <w:tcPr>
            <w:tcW w:w="1065" w:type="dxa"/>
            <w:vAlign w:val="center"/>
          </w:tcPr>
          <w:p w14:paraId="5ACF57D3"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927,7</w:t>
            </w:r>
          </w:p>
        </w:tc>
        <w:tc>
          <w:tcPr>
            <w:tcW w:w="1065" w:type="dxa"/>
            <w:vAlign w:val="bottom"/>
          </w:tcPr>
          <w:p w14:paraId="5F6922ED"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975,2</w:t>
            </w:r>
          </w:p>
        </w:tc>
        <w:tc>
          <w:tcPr>
            <w:tcW w:w="1058" w:type="dxa"/>
            <w:vAlign w:val="center"/>
          </w:tcPr>
          <w:p w14:paraId="5F6DBFCD"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731,3</w:t>
            </w:r>
          </w:p>
        </w:tc>
      </w:tr>
      <w:tr w:rsidR="00B612BA" w:rsidRPr="00424F06" w14:paraId="3B21412B" w14:textId="77777777" w:rsidTr="00A405CD">
        <w:trPr>
          <w:trHeight w:val="20"/>
        </w:trPr>
        <w:tc>
          <w:tcPr>
            <w:tcW w:w="2825" w:type="dxa"/>
            <w:shd w:val="clear" w:color="auto" w:fill="auto"/>
            <w:noWrap/>
            <w:vAlign w:val="bottom"/>
            <w:hideMark/>
          </w:tcPr>
          <w:p w14:paraId="6AB796D4" w14:textId="13B2A31E"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.CAZACLIA</w:t>
            </w:r>
          </w:p>
        </w:tc>
        <w:tc>
          <w:tcPr>
            <w:tcW w:w="1065" w:type="dxa"/>
            <w:vAlign w:val="center"/>
          </w:tcPr>
          <w:p w14:paraId="20223895"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1.038,5</w:t>
            </w:r>
          </w:p>
        </w:tc>
        <w:tc>
          <w:tcPr>
            <w:tcW w:w="1065" w:type="dxa"/>
            <w:vAlign w:val="center"/>
          </w:tcPr>
          <w:p w14:paraId="5BE15F61"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969,3</w:t>
            </w:r>
          </w:p>
        </w:tc>
        <w:tc>
          <w:tcPr>
            <w:tcW w:w="1065" w:type="dxa"/>
            <w:vAlign w:val="bottom"/>
          </w:tcPr>
          <w:p w14:paraId="7014EF5E"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826,5</w:t>
            </w:r>
          </w:p>
        </w:tc>
        <w:tc>
          <w:tcPr>
            <w:tcW w:w="1058" w:type="dxa"/>
            <w:vAlign w:val="center"/>
          </w:tcPr>
          <w:p w14:paraId="6E2FCEE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619,8</w:t>
            </w:r>
          </w:p>
        </w:tc>
      </w:tr>
      <w:tr w:rsidR="00B612BA" w:rsidRPr="00424F06" w14:paraId="01D36927" w14:textId="77777777" w:rsidTr="00A405CD">
        <w:trPr>
          <w:trHeight w:val="20"/>
        </w:trPr>
        <w:tc>
          <w:tcPr>
            <w:tcW w:w="2825" w:type="dxa"/>
            <w:shd w:val="clear" w:color="auto" w:fill="auto"/>
            <w:noWrap/>
            <w:vAlign w:val="bottom"/>
            <w:hideMark/>
          </w:tcPr>
          <w:p w14:paraId="05CDF2F4" w14:textId="47286ADF"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.CHIRIET-LUNGA</w:t>
            </w:r>
          </w:p>
        </w:tc>
        <w:tc>
          <w:tcPr>
            <w:tcW w:w="1065" w:type="dxa"/>
            <w:vAlign w:val="center"/>
          </w:tcPr>
          <w:p w14:paraId="48EE366F"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1.046,8</w:t>
            </w:r>
          </w:p>
        </w:tc>
        <w:tc>
          <w:tcPr>
            <w:tcW w:w="1065" w:type="dxa"/>
            <w:vAlign w:val="center"/>
          </w:tcPr>
          <w:p w14:paraId="75AB183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977,0</w:t>
            </w:r>
          </w:p>
        </w:tc>
        <w:tc>
          <w:tcPr>
            <w:tcW w:w="1065" w:type="dxa"/>
            <w:vAlign w:val="bottom"/>
          </w:tcPr>
          <w:p w14:paraId="3FCCD24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952,9</w:t>
            </w:r>
          </w:p>
        </w:tc>
        <w:tc>
          <w:tcPr>
            <w:tcW w:w="1058" w:type="dxa"/>
            <w:vAlign w:val="center"/>
          </w:tcPr>
          <w:p w14:paraId="2FAC58B2"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858,1</w:t>
            </w:r>
          </w:p>
        </w:tc>
      </w:tr>
      <w:tr w:rsidR="00B612BA" w:rsidRPr="00424F06" w14:paraId="23B27513" w14:textId="77777777" w:rsidTr="00A405CD">
        <w:trPr>
          <w:trHeight w:val="20"/>
        </w:trPr>
        <w:tc>
          <w:tcPr>
            <w:tcW w:w="2825" w:type="dxa"/>
            <w:shd w:val="clear" w:color="auto" w:fill="auto"/>
            <w:noWrap/>
            <w:vAlign w:val="bottom"/>
            <w:hideMark/>
          </w:tcPr>
          <w:p w14:paraId="2675B165" w14:textId="7498D6F5"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.COPCEAC</w:t>
            </w:r>
          </w:p>
        </w:tc>
        <w:tc>
          <w:tcPr>
            <w:tcW w:w="1065" w:type="dxa"/>
            <w:vAlign w:val="center"/>
          </w:tcPr>
          <w:p w14:paraId="0C233A53"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1.039,5</w:t>
            </w:r>
          </w:p>
        </w:tc>
        <w:tc>
          <w:tcPr>
            <w:tcW w:w="1065" w:type="dxa"/>
            <w:vAlign w:val="center"/>
          </w:tcPr>
          <w:p w14:paraId="3E81495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970,2</w:t>
            </w:r>
          </w:p>
        </w:tc>
        <w:tc>
          <w:tcPr>
            <w:tcW w:w="1065" w:type="dxa"/>
            <w:vAlign w:val="bottom"/>
          </w:tcPr>
          <w:p w14:paraId="00E73127"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889,6</w:t>
            </w:r>
          </w:p>
        </w:tc>
        <w:tc>
          <w:tcPr>
            <w:tcW w:w="1058" w:type="dxa"/>
            <w:vAlign w:val="center"/>
          </w:tcPr>
          <w:p w14:paraId="40554E87"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889,6</w:t>
            </w:r>
          </w:p>
        </w:tc>
      </w:tr>
      <w:tr w:rsidR="00B612BA" w:rsidRPr="00424F06" w14:paraId="66A52A01" w14:textId="77777777" w:rsidTr="00A405CD">
        <w:trPr>
          <w:trHeight w:val="20"/>
        </w:trPr>
        <w:tc>
          <w:tcPr>
            <w:tcW w:w="2825" w:type="dxa"/>
            <w:shd w:val="clear" w:color="auto" w:fill="auto"/>
            <w:noWrap/>
            <w:vAlign w:val="bottom"/>
            <w:hideMark/>
          </w:tcPr>
          <w:p w14:paraId="10422BA7" w14:textId="267B6F10"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.TOMAI</w:t>
            </w:r>
          </w:p>
        </w:tc>
        <w:tc>
          <w:tcPr>
            <w:tcW w:w="1065" w:type="dxa"/>
            <w:vAlign w:val="center"/>
          </w:tcPr>
          <w:p w14:paraId="55915FA9"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911,5</w:t>
            </w:r>
          </w:p>
        </w:tc>
        <w:tc>
          <w:tcPr>
            <w:tcW w:w="1065" w:type="dxa"/>
            <w:vAlign w:val="center"/>
          </w:tcPr>
          <w:p w14:paraId="450FC6DD"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850,8</w:t>
            </w:r>
          </w:p>
        </w:tc>
        <w:tc>
          <w:tcPr>
            <w:tcW w:w="1065" w:type="dxa"/>
            <w:vAlign w:val="bottom"/>
          </w:tcPr>
          <w:p w14:paraId="094CD86A"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747,0</w:t>
            </w:r>
          </w:p>
        </w:tc>
        <w:tc>
          <w:tcPr>
            <w:tcW w:w="1058" w:type="dxa"/>
            <w:vAlign w:val="center"/>
          </w:tcPr>
          <w:p w14:paraId="641722F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560,1</w:t>
            </w:r>
          </w:p>
        </w:tc>
      </w:tr>
      <w:tr w:rsidR="00B612BA" w:rsidRPr="00424F06" w14:paraId="204A398D" w14:textId="77777777" w:rsidTr="00A405CD">
        <w:trPr>
          <w:trHeight w:val="20"/>
        </w:trPr>
        <w:tc>
          <w:tcPr>
            <w:tcW w:w="2825" w:type="dxa"/>
            <w:shd w:val="clear" w:color="auto" w:fill="auto"/>
            <w:noWrap/>
            <w:vAlign w:val="bottom"/>
            <w:hideMark/>
          </w:tcPr>
          <w:p w14:paraId="6949651E" w14:textId="00ABA6E7"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or</w:t>
            </w:r>
            <w:r w:rsidR="00B612BA" w:rsidRPr="00424F06">
              <w:rPr>
                <w:rFonts w:ascii="Calibri Light" w:eastAsia="Times New Roman" w:hAnsi="Calibri Light" w:cs="Calibri Light"/>
                <w:i/>
                <w:iCs/>
                <w:color w:val="000000"/>
                <w:sz w:val="24"/>
                <w:szCs w:val="24"/>
                <w:lang w:val="ro-MD"/>
              </w:rPr>
              <w:t>.VULC</w:t>
            </w:r>
            <w:r w:rsidRPr="00424F06">
              <w:rPr>
                <w:rFonts w:ascii="Calibri Light" w:eastAsia="Times New Roman" w:hAnsi="Calibri Light" w:cs="Calibri Light"/>
                <w:i/>
                <w:iCs/>
                <w:color w:val="000000"/>
                <w:sz w:val="24"/>
                <w:szCs w:val="24"/>
                <w:lang w:val="ro-MD"/>
              </w:rPr>
              <w:t>Ă</w:t>
            </w:r>
            <w:r w:rsidR="00B612BA" w:rsidRPr="00424F06">
              <w:rPr>
                <w:rFonts w:ascii="Calibri Light" w:eastAsia="Times New Roman" w:hAnsi="Calibri Light" w:cs="Calibri Light"/>
                <w:i/>
                <w:iCs/>
                <w:color w:val="000000"/>
                <w:sz w:val="24"/>
                <w:szCs w:val="24"/>
                <w:lang w:val="ro-MD"/>
              </w:rPr>
              <w:t>NE</w:t>
            </w:r>
            <w:r w:rsidRPr="00424F06">
              <w:rPr>
                <w:rFonts w:ascii="Calibri Light" w:eastAsia="Times New Roman" w:hAnsi="Calibri Light" w:cs="Calibri Light"/>
                <w:i/>
                <w:iCs/>
                <w:color w:val="000000"/>
                <w:sz w:val="24"/>
                <w:szCs w:val="24"/>
                <w:lang w:val="ro-MD"/>
              </w:rPr>
              <w:t>Ș</w:t>
            </w:r>
            <w:r w:rsidR="00B612BA" w:rsidRPr="00424F06">
              <w:rPr>
                <w:rFonts w:ascii="Calibri Light" w:eastAsia="Times New Roman" w:hAnsi="Calibri Light" w:cs="Calibri Light"/>
                <w:i/>
                <w:iCs/>
                <w:color w:val="000000"/>
                <w:sz w:val="24"/>
                <w:szCs w:val="24"/>
                <w:lang w:val="ro-MD"/>
              </w:rPr>
              <w:t>TI</w:t>
            </w:r>
          </w:p>
        </w:tc>
        <w:tc>
          <w:tcPr>
            <w:tcW w:w="1065" w:type="dxa"/>
            <w:vAlign w:val="center"/>
          </w:tcPr>
          <w:p w14:paraId="3FB91A4C"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1.088,9</w:t>
            </w:r>
          </w:p>
        </w:tc>
        <w:tc>
          <w:tcPr>
            <w:tcW w:w="1065" w:type="dxa"/>
            <w:vAlign w:val="center"/>
          </w:tcPr>
          <w:p w14:paraId="3B32ACC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1.016,3</w:t>
            </w:r>
          </w:p>
        </w:tc>
        <w:tc>
          <w:tcPr>
            <w:tcW w:w="1065" w:type="dxa"/>
            <w:vAlign w:val="bottom"/>
          </w:tcPr>
          <w:p w14:paraId="221A251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1.203,7</w:t>
            </w:r>
          </w:p>
        </w:tc>
        <w:tc>
          <w:tcPr>
            <w:tcW w:w="1058" w:type="dxa"/>
            <w:vAlign w:val="center"/>
          </w:tcPr>
          <w:p w14:paraId="600E511A"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902,8</w:t>
            </w:r>
          </w:p>
        </w:tc>
      </w:tr>
      <w:tr w:rsidR="00B612BA" w:rsidRPr="00424F06" w14:paraId="5E5286C9" w14:textId="77777777" w:rsidTr="00A405CD">
        <w:trPr>
          <w:trHeight w:val="20"/>
        </w:trPr>
        <w:tc>
          <w:tcPr>
            <w:tcW w:w="2825" w:type="dxa"/>
            <w:shd w:val="clear" w:color="auto" w:fill="auto"/>
            <w:noWrap/>
            <w:vAlign w:val="bottom"/>
            <w:hideMark/>
          </w:tcPr>
          <w:p w14:paraId="5A8E874D" w14:textId="542EA5E9"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.CARBALIA</w:t>
            </w:r>
          </w:p>
        </w:tc>
        <w:tc>
          <w:tcPr>
            <w:tcW w:w="1065" w:type="dxa"/>
            <w:vAlign w:val="center"/>
          </w:tcPr>
          <w:p w14:paraId="28E96DD7"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475,6</w:t>
            </w:r>
          </w:p>
        </w:tc>
        <w:tc>
          <w:tcPr>
            <w:tcW w:w="1065" w:type="dxa"/>
            <w:vAlign w:val="center"/>
          </w:tcPr>
          <w:p w14:paraId="1E2794E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443,9</w:t>
            </w:r>
          </w:p>
        </w:tc>
        <w:tc>
          <w:tcPr>
            <w:tcW w:w="1065" w:type="dxa"/>
            <w:vAlign w:val="bottom"/>
          </w:tcPr>
          <w:p w14:paraId="6F88BD9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410,8</w:t>
            </w:r>
          </w:p>
        </w:tc>
        <w:tc>
          <w:tcPr>
            <w:tcW w:w="1058" w:type="dxa"/>
            <w:vAlign w:val="center"/>
          </w:tcPr>
          <w:p w14:paraId="6BDED30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308,2</w:t>
            </w:r>
          </w:p>
        </w:tc>
      </w:tr>
      <w:tr w:rsidR="00B612BA" w:rsidRPr="00424F06" w14:paraId="79F0AC20" w14:textId="77777777" w:rsidTr="00A405CD">
        <w:trPr>
          <w:trHeight w:val="20"/>
        </w:trPr>
        <w:tc>
          <w:tcPr>
            <w:tcW w:w="2825" w:type="dxa"/>
            <w:shd w:val="clear" w:color="auto" w:fill="auto"/>
            <w:noWrap/>
            <w:vAlign w:val="bottom"/>
            <w:hideMark/>
          </w:tcPr>
          <w:p w14:paraId="1F09C5BB" w14:textId="1C9FCC1E"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.ETULIA</w:t>
            </w:r>
          </w:p>
        </w:tc>
        <w:tc>
          <w:tcPr>
            <w:tcW w:w="1065" w:type="dxa"/>
            <w:vAlign w:val="center"/>
          </w:tcPr>
          <w:p w14:paraId="54F3624F"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198,3</w:t>
            </w:r>
          </w:p>
        </w:tc>
        <w:tc>
          <w:tcPr>
            <w:tcW w:w="1065" w:type="dxa"/>
            <w:vAlign w:val="center"/>
          </w:tcPr>
          <w:p w14:paraId="180F669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185,1</w:t>
            </w:r>
          </w:p>
        </w:tc>
        <w:tc>
          <w:tcPr>
            <w:tcW w:w="1065" w:type="dxa"/>
            <w:vAlign w:val="bottom"/>
          </w:tcPr>
          <w:p w14:paraId="21DE7170"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668,9</w:t>
            </w:r>
          </w:p>
        </w:tc>
        <w:tc>
          <w:tcPr>
            <w:tcW w:w="1058" w:type="dxa"/>
            <w:vAlign w:val="center"/>
          </w:tcPr>
          <w:p w14:paraId="6DB2A855"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501,8</w:t>
            </w:r>
          </w:p>
        </w:tc>
      </w:tr>
      <w:tr w:rsidR="00B612BA" w:rsidRPr="00424F06" w14:paraId="51CFC10B" w14:textId="77777777" w:rsidTr="00A405CD">
        <w:trPr>
          <w:trHeight w:val="20"/>
        </w:trPr>
        <w:tc>
          <w:tcPr>
            <w:tcW w:w="2825" w:type="dxa"/>
            <w:shd w:val="clear" w:color="auto" w:fill="auto"/>
            <w:noWrap/>
            <w:vAlign w:val="bottom"/>
            <w:hideMark/>
          </w:tcPr>
          <w:p w14:paraId="21085385" w14:textId="24834E6E" w:rsidR="00B612BA" w:rsidRPr="00424F06" w:rsidRDefault="00725AD4" w:rsidP="00B612BA">
            <w:pPr>
              <w:spacing w:after="0" w:line="240" w:lineRule="auto"/>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s</w:t>
            </w:r>
            <w:r w:rsidR="00B612BA" w:rsidRPr="00424F06">
              <w:rPr>
                <w:rFonts w:ascii="Calibri Light" w:eastAsia="Times New Roman" w:hAnsi="Calibri Light" w:cs="Calibri Light"/>
                <w:i/>
                <w:iCs/>
                <w:color w:val="000000"/>
                <w:sz w:val="24"/>
                <w:szCs w:val="24"/>
                <w:lang w:val="ro-MD"/>
              </w:rPr>
              <w:t>.CI</w:t>
            </w:r>
            <w:r w:rsidRPr="00424F06">
              <w:rPr>
                <w:rFonts w:ascii="Calibri Light" w:eastAsia="Times New Roman" w:hAnsi="Calibri Light" w:cs="Calibri Light"/>
                <w:i/>
                <w:iCs/>
                <w:color w:val="000000"/>
                <w:sz w:val="24"/>
                <w:szCs w:val="24"/>
                <w:lang w:val="ro-MD"/>
              </w:rPr>
              <w:t>Ș</w:t>
            </w:r>
            <w:r w:rsidR="00B612BA" w:rsidRPr="00424F06">
              <w:rPr>
                <w:rFonts w:ascii="Calibri Light" w:eastAsia="Times New Roman" w:hAnsi="Calibri Light" w:cs="Calibri Light"/>
                <w:i/>
                <w:iCs/>
                <w:color w:val="000000"/>
                <w:sz w:val="24"/>
                <w:szCs w:val="24"/>
                <w:lang w:val="ro-MD"/>
              </w:rPr>
              <w:t xml:space="preserve">MICHIOI </w:t>
            </w:r>
          </w:p>
        </w:tc>
        <w:tc>
          <w:tcPr>
            <w:tcW w:w="1065" w:type="dxa"/>
            <w:vAlign w:val="center"/>
          </w:tcPr>
          <w:p w14:paraId="5778CD96"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1.054,6</w:t>
            </w:r>
          </w:p>
        </w:tc>
        <w:tc>
          <w:tcPr>
            <w:tcW w:w="1065" w:type="dxa"/>
            <w:vAlign w:val="center"/>
          </w:tcPr>
          <w:p w14:paraId="5073DD24"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984,2</w:t>
            </w:r>
          </w:p>
        </w:tc>
        <w:tc>
          <w:tcPr>
            <w:tcW w:w="1065" w:type="dxa"/>
            <w:vAlign w:val="bottom"/>
          </w:tcPr>
          <w:p w14:paraId="07F78C44"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color w:val="000000"/>
                <w:sz w:val="24"/>
                <w:szCs w:val="24"/>
                <w:lang w:val="ro-MD"/>
              </w:rPr>
              <w:t>381,5</w:t>
            </w:r>
          </w:p>
        </w:tc>
        <w:tc>
          <w:tcPr>
            <w:tcW w:w="1058" w:type="dxa"/>
            <w:vAlign w:val="center"/>
          </w:tcPr>
          <w:p w14:paraId="3ECCCC8B" w14:textId="77777777" w:rsidR="00B612BA" w:rsidRPr="00424F06" w:rsidDel="00802898" w:rsidRDefault="00B612BA" w:rsidP="00B612BA">
            <w:pPr>
              <w:spacing w:after="0" w:line="240" w:lineRule="auto"/>
              <w:jc w:val="right"/>
              <w:rPr>
                <w:rFonts w:ascii="Calibri Light" w:eastAsia="Times New Roman" w:hAnsi="Calibri Light" w:cs="Calibri Light"/>
                <w:i/>
                <w:iCs/>
                <w:color w:val="000000"/>
                <w:sz w:val="24"/>
                <w:szCs w:val="24"/>
                <w:lang w:val="ro-MD"/>
              </w:rPr>
            </w:pPr>
            <w:r w:rsidRPr="00424F06">
              <w:rPr>
                <w:rFonts w:ascii="Calibri Light" w:eastAsia="Times New Roman" w:hAnsi="Calibri Light" w:cs="Calibri Light"/>
                <w:i/>
                <w:iCs/>
                <w:sz w:val="24"/>
                <w:szCs w:val="24"/>
                <w:lang w:val="ro-MD"/>
              </w:rPr>
              <w:t>286,1</w:t>
            </w:r>
          </w:p>
        </w:tc>
      </w:tr>
    </w:tbl>
    <w:p w14:paraId="633D68BE" w14:textId="77777777" w:rsidR="00C960EE" w:rsidRDefault="00C960EE" w:rsidP="004F645B">
      <w:pPr>
        <w:spacing w:line="276" w:lineRule="auto"/>
        <w:jc w:val="both"/>
        <w:rPr>
          <w:rFonts w:asciiTheme="majorHAnsi" w:hAnsiTheme="majorHAnsi" w:cstheme="majorHAnsi"/>
          <w:b/>
          <w:bCs/>
          <w:sz w:val="24"/>
          <w:szCs w:val="24"/>
          <w:lang w:val="ro-MD"/>
        </w:rPr>
        <w:sectPr w:rsidR="00C960EE" w:rsidSect="00B612BA">
          <w:pgSz w:w="11907" w:h="16840" w:code="9"/>
          <w:pgMar w:top="1440" w:right="1440" w:bottom="1440" w:left="1440" w:header="709" w:footer="709" w:gutter="0"/>
          <w:cols w:space="708"/>
          <w:docGrid w:linePitch="360"/>
        </w:sectPr>
      </w:pPr>
    </w:p>
    <w:p w14:paraId="6239B4D6" w14:textId="1A5BCB3C" w:rsidR="00394D01" w:rsidRDefault="00B1128B" w:rsidP="004F645B">
      <w:pPr>
        <w:spacing w:line="276" w:lineRule="auto"/>
        <w:jc w:val="both"/>
        <w:rPr>
          <w:rFonts w:asciiTheme="majorHAnsi" w:hAnsiTheme="majorHAnsi" w:cstheme="majorHAnsi"/>
          <w:b/>
          <w:bCs/>
          <w:sz w:val="24"/>
          <w:szCs w:val="24"/>
          <w:lang w:val="ro-MD"/>
        </w:rPr>
      </w:pPr>
      <w:r w:rsidRPr="00B1128B">
        <w:rPr>
          <w:noProof/>
        </w:rPr>
        <w:drawing>
          <wp:inline distT="0" distB="0" distL="0" distR="0" wp14:anchorId="7BF635C7" wp14:editId="2531BD2B">
            <wp:extent cx="9130354" cy="594040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5547" cy="5963300"/>
                    </a:xfrm>
                    <a:prstGeom prst="rect">
                      <a:avLst/>
                    </a:prstGeom>
                    <a:noFill/>
                    <a:ln>
                      <a:noFill/>
                    </a:ln>
                  </pic:spPr>
                </pic:pic>
              </a:graphicData>
            </a:graphic>
          </wp:inline>
        </w:drawing>
      </w:r>
    </w:p>
    <w:p w14:paraId="11CD9DCA" w14:textId="7650110E" w:rsidR="00B1128B" w:rsidRPr="00424F06" w:rsidRDefault="00B1128B" w:rsidP="004F645B">
      <w:pPr>
        <w:spacing w:line="276" w:lineRule="auto"/>
        <w:jc w:val="both"/>
        <w:rPr>
          <w:rFonts w:asciiTheme="majorHAnsi" w:hAnsiTheme="majorHAnsi" w:cstheme="majorHAnsi"/>
          <w:b/>
          <w:bCs/>
          <w:sz w:val="24"/>
          <w:szCs w:val="24"/>
          <w:lang w:val="ro-MD"/>
        </w:rPr>
      </w:pPr>
      <w:r w:rsidRPr="00B1128B">
        <w:rPr>
          <w:noProof/>
        </w:rPr>
        <w:drawing>
          <wp:inline distT="0" distB="0" distL="0" distR="0" wp14:anchorId="28596038" wp14:editId="57622BDF">
            <wp:extent cx="9001593" cy="598516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4210" cy="6040096"/>
                    </a:xfrm>
                    <a:prstGeom prst="rect">
                      <a:avLst/>
                    </a:prstGeom>
                    <a:noFill/>
                    <a:ln>
                      <a:noFill/>
                    </a:ln>
                  </pic:spPr>
                </pic:pic>
              </a:graphicData>
            </a:graphic>
          </wp:inline>
        </w:drawing>
      </w:r>
    </w:p>
    <w:p w14:paraId="6A6FB43A" w14:textId="77777777" w:rsidR="00B1128B" w:rsidRDefault="00B1128B" w:rsidP="00B1128B">
      <w:pPr>
        <w:rPr>
          <w:rFonts w:asciiTheme="majorHAnsi" w:eastAsia="Times New Roman" w:hAnsiTheme="majorHAnsi" w:cstheme="majorHAnsi"/>
          <w:b/>
          <w:sz w:val="24"/>
          <w:szCs w:val="24"/>
          <w:lang w:val="ro-MD"/>
        </w:rPr>
      </w:pPr>
      <w:r w:rsidRPr="00B1128B">
        <w:rPr>
          <w:noProof/>
        </w:rPr>
        <w:drawing>
          <wp:inline distT="0" distB="0" distL="0" distR="0" wp14:anchorId="2D1BED7C" wp14:editId="5C648FA2">
            <wp:extent cx="8920196" cy="5623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228" cy="5644225"/>
                    </a:xfrm>
                    <a:prstGeom prst="rect">
                      <a:avLst/>
                    </a:prstGeom>
                    <a:noFill/>
                    <a:ln>
                      <a:noFill/>
                    </a:ln>
                  </pic:spPr>
                </pic:pic>
              </a:graphicData>
            </a:graphic>
          </wp:inline>
        </w:drawing>
      </w:r>
    </w:p>
    <w:p w14:paraId="77F6503A" w14:textId="77777777" w:rsidR="00825951" w:rsidRDefault="00825951" w:rsidP="00B1128B">
      <w:pPr>
        <w:rPr>
          <w:rFonts w:asciiTheme="majorHAnsi" w:eastAsia="Times New Roman" w:hAnsiTheme="majorHAnsi" w:cstheme="majorHAnsi"/>
          <w:b/>
          <w:sz w:val="24"/>
          <w:szCs w:val="24"/>
          <w:lang w:val="ro-MD"/>
        </w:rPr>
        <w:sectPr w:rsidR="00825951" w:rsidSect="00C960EE">
          <w:pgSz w:w="16840" w:h="11907" w:orient="landscape" w:code="9"/>
          <w:pgMar w:top="851" w:right="1440" w:bottom="1440" w:left="1440" w:header="709" w:footer="709" w:gutter="0"/>
          <w:cols w:space="708"/>
          <w:docGrid w:linePitch="360"/>
        </w:sectPr>
      </w:pPr>
    </w:p>
    <w:p w14:paraId="7D336A17" w14:textId="4BDFFCBE" w:rsidR="004C3FF9" w:rsidRDefault="00B1128B" w:rsidP="00B1128B">
      <w:pPr>
        <w:rPr>
          <w:rFonts w:asciiTheme="majorHAnsi" w:eastAsia="Times New Roman" w:hAnsiTheme="majorHAnsi" w:cstheme="majorHAnsi"/>
          <w:b/>
          <w:sz w:val="24"/>
          <w:szCs w:val="24"/>
          <w:lang w:val="ro-MD"/>
        </w:rPr>
      </w:pPr>
      <w:r w:rsidRPr="00B1128B">
        <w:rPr>
          <w:noProof/>
        </w:rPr>
        <w:drawing>
          <wp:inline distT="0" distB="0" distL="0" distR="0" wp14:anchorId="1434070B" wp14:editId="28A2AEB7">
            <wp:extent cx="8894618" cy="61956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33019" cy="6222444"/>
                    </a:xfrm>
                    <a:prstGeom prst="rect">
                      <a:avLst/>
                    </a:prstGeom>
                    <a:noFill/>
                    <a:ln>
                      <a:noFill/>
                    </a:ln>
                  </pic:spPr>
                </pic:pic>
              </a:graphicData>
            </a:graphic>
          </wp:inline>
        </w:drawing>
      </w:r>
    </w:p>
    <w:p w14:paraId="6F894DCF" w14:textId="77777777" w:rsidR="004C3FF9" w:rsidRDefault="004C3FF9" w:rsidP="00B1128B">
      <w:pPr>
        <w:rPr>
          <w:rFonts w:asciiTheme="majorHAnsi" w:eastAsia="Times New Roman" w:hAnsiTheme="majorHAnsi" w:cstheme="majorHAnsi"/>
          <w:b/>
          <w:sz w:val="24"/>
          <w:szCs w:val="24"/>
          <w:lang w:val="ro-MD"/>
        </w:rPr>
      </w:pPr>
      <w:r w:rsidRPr="004C3FF9">
        <w:rPr>
          <w:noProof/>
        </w:rPr>
        <w:drawing>
          <wp:inline distT="0" distB="0" distL="0" distR="0" wp14:anchorId="473FFA0E" wp14:editId="7EA9A0C8">
            <wp:extent cx="8939379" cy="596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634" cy="5987836"/>
                    </a:xfrm>
                    <a:prstGeom prst="rect">
                      <a:avLst/>
                    </a:prstGeom>
                    <a:noFill/>
                    <a:ln>
                      <a:noFill/>
                    </a:ln>
                  </pic:spPr>
                </pic:pic>
              </a:graphicData>
            </a:graphic>
          </wp:inline>
        </w:drawing>
      </w:r>
    </w:p>
    <w:p w14:paraId="5AABF7AE" w14:textId="57007629" w:rsidR="008831AE" w:rsidRPr="00424F06" w:rsidRDefault="004C3FF9" w:rsidP="00B1128B">
      <w:pPr>
        <w:rPr>
          <w:rFonts w:asciiTheme="majorHAnsi" w:eastAsia="Times New Roman" w:hAnsiTheme="majorHAnsi" w:cstheme="majorHAnsi"/>
          <w:b/>
          <w:sz w:val="24"/>
          <w:szCs w:val="24"/>
          <w:lang w:val="ro-MD"/>
        </w:rPr>
        <w:sectPr w:rsidR="008831AE" w:rsidRPr="00424F06" w:rsidSect="00825951">
          <w:pgSz w:w="16840" w:h="11907" w:orient="landscape" w:code="9"/>
          <w:pgMar w:top="851" w:right="1440" w:bottom="1440" w:left="1440" w:header="709" w:footer="709" w:gutter="0"/>
          <w:cols w:space="708"/>
          <w:docGrid w:linePitch="360"/>
        </w:sectPr>
      </w:pPr>
      <w:r w:rsidRPr="004C3FF9">
        <w:rPr>
          <w:noProof/>
        </w:rPr>
        <w:drawing>
          <wp:inline distT="0" distB="0" distL="0" distR="0" wp14:anchorId="22C29821" wp14:editId="5036FD83">
            <wp:extent cx="9052146" cy="519807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91336" cy="5220581"/>
                    </a:xfrm>
                    <a:prstGeom prst="rect">
                      <a:avLst/>
                    </a:prstGeom>
                    <a:noFill/>
                    <a:ln>
                      <a:noFill/>
                    </a:ln>
                  </pic:spPr>
                </pic:pic>
              </a:graphicData>
            </a:graphic>
          </wp:inline>
        </w:drawing>
      </w:r>
      <w:r w:rsidR="00B1128B">
        <w:rPr>
          <w:rFonts w:asciiTheme="majorHAnsi" w:eastAsia="Times New Roman" w:hAnsiTheme="majorHAnsi" w:cstheme="majorHAnsi"/>
          <w:b/>
          <w:sz w:val="24"/>
          <w:szCs w:val="24"/>
          <w:lang w:val="ro-MD"/>
        </w:rPr>
        <w:br w:type="page"/>
      </w:r>
    </w:p>
    <w:p w14:paraId="171CB0AA" w14:textId="6A4BD7FF" w:rsidR="001367E0" w:rsidRPr="0014733C" w:rsidRDefault="004C3FF9" w:rsidP="0014733C">
      <w:pPr>
        <w:pStyle w:val="Heading1"/>
        <w:jc w:val="right"/>
        <w:rPr>
          <w:b/>
          <w:color w:val="auto"/>
          <w:sz w:val="24"/>
          <w:szCs w:val="24"/>
          <w:lang w:val="ro-MD"/>
        </w:rPr>
      </w:pPr>
      <w:r w:rsidRPr="0014733C">
        <w:rPr>
          <w:b/>
          <w:color w:val="auto"/>
          <w:sz w:val="24"/>
          <w:szCs w:val="24"/>
          <w:lang w:val="ro-MD"/>
        </w:rPr>
        <w:t>Anexa nr.10</w:t>
      </w:r>
    </w:p>
    <w:p w14:paraId="42B21F55" w14:textId="77777777" w:rsidR="001367E0" w:rsidRPr="00424F06" w:rsidRDefault="001367E0" w:rsidP="00C9418C">
      <w:pPr>
        <w:spacing w:after="0" w:line="276" w:lineRule="auto"/>
        <w:jc w:val="center"/>
        <w:rPr>
          <w:rFonts w:asciiTheme="majorHAnsi" w:hAnsiTheme="majorHAnsi" w:cstheme="majorHAnsi"/>
          <w:b/>
          <w:bCs/>
          <w:sz w:val="24"/>
          <w:szCs w:val="24"/>
          <w:lang w:val="ro-MD"/>
        </w:rPr>
      </w:pPr>
      <w:r w:rsidRPr="00424F06">
        <w:rPr>
          <w:rFonts w:asciiTheme="majorHAnsi" w:hAnsiTheme="majorHAnsi" w:cstheme="majorHAnsi"/>
          <w:b/>
          <w:bCs/>
          <w:sz w:val="24"/>
          <w:szCs w:val="24"/>
          <w:lang w:val="ro-MD"/>
        </w:rPr>
        <w:t>Analiza implementării recomandărilor anterioare ale Cur</w:t>
      </w:r>
      <w:r w:rsidR="0069374B" w:rsidRPr="00424F06">
        <w:rPr>
          <w:rFonts w:asciiTheme="majorHAnsi" w:hAnsiTheme="majorHAnsi" w:cstheme="majorHAnsi"/>
          <w:b/>
          <w:bCs/>
          <w:sz w:val="24"/>
          <w:szCs w:val="24"/>
          <w:lang w:val="ro-MD"/>
        </w:rPr>
        <w:t>ț</w:t>
      </w:r>
      <w:r w:rsidRPr="00424F06">
        <w:rPr>
          <w:rFonts w:asciiTheme="majorHAnsi" w:hAnsiTheme="majorHAnsi" w:cstheme="majorHAnsi"/>
          <w:b/>
          <w:bCs/>
          <w:sz w:val="24"/>
          <w:szCs w:val="24"/>
          <w:lang w:val="ro-MD"/>
        </w:rPr>
        <w:t>ii de Conturi</w:t>
      </w:r>
    </w:p>
    <w:p w14:paraId="4668D4D9" w14:textId="77777777" w:rsidR="001367E0" w:rsidRPr="00424F06" w:rsidRDefault="001367E0" w:rsidP="00C9418C">
      <w:pPr>
        <w:spacing w:after="0" w:line="276" w:lineRule="auto"/>
        <w:jc w:val="center"/>
        <w:rPr>
          <w:rFonts w:asciiTheme="majorHAnsi" w:hAnsiTheme="majorHAnsi" w:cstheme="majorHAnsi"/>
          <w:b/>
          <w:bCs/>
          <w:sz w:val="24"/>
          <w:szCs w:val="24"/>
          <w:lang w:val="ro-MD"/>
        </w:rPr>
      </w:pPr>
      <w:r w:rsidRPr="00424F06">
        <w:rPr>
          <w:rFonts w:asciiTheme="majorHAnsi" w:hAnsiTheme="majorHAnsi" w:cstheme="majorHAnsi"/>
          <w:b/>
          <w:bCs/>
          <w:sz w:val="24"/>
          <w:szCs w:val="24"/>
          <w:lang w:val="ro-MD"/>
        </w:rPr>
        <w:t>(Hotărârea  Cur</w:t>
      </w:r>
      <w:r w:rsidR="0069374B" w:rsidRPr="00424F06">
        <w:rPr>
          <w:rFonts w:asciiTheme="majorHAnsi" w:hAnsiTheme="majorHAnsi" w:cstheme="majorHAnsi"/>
          <w:b/>
          <w:bCs/>
          <w:sz w:val="24"/>
          <w:szCs w:val="24"/>
          <w:lang w:val="ro-MD"/>
        </w:rPr>
        <w:t>ț</w:t>
      </w:r>
      <w:r w:rsidRPr="00424F06">
        <w:rPr>
          <w:rFonts w:asciiTheme="majorHAnsi" w:hAnsiTheme="majorHAnsi" w:cstheme="majorHAnsi"/>
          <w:b/>
          <w:bCs/>
          <w:sz w:val="24"/>
          <w:szCs w:val="24"/>
          <w:lang w:val="ro-MD"/>
        </w:rPr>
        <w:t>ii de Conturi nr.</w:t>
      </w:r>
      <w:r w:rsidRPr="00424F06">
        <w:rPr>
          <w:rFonts w:asciiTheme="majorHAnsi" w:hAnsiTheme="majorHAnsi" w:cstheme="majorHAnsi"/>
          <w:b/>
          <w:sz w:val="24"/>
          <w:szCs w:val="24"/>
          <w:lang w:val="ro-MD"/>
        </w:rPr>
        <w:t>50 din 23.07</w:t>
      </w:r>
      <w:r w:rsidRPr="00424F06">
        <w:rPr>
          <w:rFonts w:asciiTheme="majorHAnsi" w:hAnsiTheme="majorHAnsi" w:cstheme="majorHAnsi"/>
          <w:b/>
          <w:bCs/>
          <w:sz w:val="24"/>
          <w:szCs w:val="24"/>
          <w:lang w:val="ro-MD"/>
        </w:rPr>
        <w:t>.2018</w:t>
      </w:r>
      <w:r w:rsidRPr="00424F06">
        <w:rPr>
          <w:rFonts w:asciiTheme="majorHAnsi" w:hAnsiTheme="majorHAnsi" w:cstheme="majorHAnsi"/>
          <w:sz w:val="24"/>
          <w:szCs w:val="24"/>
          <w:vertAlign w:val="superscript"/>
          <w:lang w:val="ro-MD"/>
        </w:rPr>
        <w:footnoteReference w:id="98"/>
      </w:r>
      <w:r w:rsidRPr="00424F06">
        <w:rPr>
          <w:rFonts w:asciiTheme="majorHAnsi" w:hAnsiTheme="majorHAnsi" w:cstheme="majorHAnsi"/>
          <w:b/>
          <w:bCs/>
          <w:sz w:val="24"/>
          <w:szCs w:val="24"/>
          <w:lang w:val="ro-MD"/>
        </w:rPr>
        <w:t>)</w:t>
      </w:r>
    </w:p>
    <w:tbl>
      <w:tblPr>
        <w:tblW w:w="9506" w:type="dxa"/>
        <w:tblLook w:val="04A0" w:firstRow="1" w:lastRow="0" w:firstColumn="1" w:lastColumn="0" w:noHBand="0" w:noVBand="1"/>
      </w:tblPr>
      <w:tblGrid>
        <w:gridCol w:w="3855"/>
        <w:gridCol w:w="3937"/>
        <w:gridCol w:w="467"/>
        <w:gridCol w:w="708"/>
        <w:gridCol w:w="533"/>
        <w:gridCol w:w="6"/>
      </w:tblGrid>
      <w:tr w:rsidR="001367E0" w:rsidRPr="00C9418C" w14:paraId="6FB066EE" w14:textId="77777777" w:rsidTr="00536420">
        <w:trPr>
          <w:gridAfter w:val="1"/>
          <w:wAfter w:w="6" w:type="dxa"/>
          <w:trHeight w:val="518"/>
        </w:trPr>
        <w:tc>
          <w:tcPr>
            <w:tcW w:w="3855"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3EBA61EC" w14:textId="77777777" w:rsidR="001367E0" w:rsidRPr="00C9418C" w:rsidRDefault="001367E0" w:rsidP="00536420">
            <w:pPr>
              <w:spacing w:after="0" w:line="240" w:lineRule="auto"/>
              <w:jc w:val="center"/>
              <w:rPr>
                <w:rFonts w:asciiTheme="majorHAnsi" w:hAnsiTheme="majorHAnsi" w:cstheme="majorHAnsi"/>
                <w:b/>
                <w:bCs/>
                <w:sz w:val="18"/>
                <w:szCs w:val="18"/>
                <w:lang w:val="ro-MD"/>
              </w:rPr>
            </w:pPr>
            <w:r w:rsidRPr="00C9418C">
              <w:rPr>
                <w:rFonts w:asciiTheme="majorHAnsi" w:hAnsiTheme="majorHAnsi" w:cstheme="majorHAnsi"/>
                <w:b/>
                <w:bCs/>
                <w:sz w:val="18"/>
                <w:szCs w:val="18"/>
                <w:lang w:val="ro-MD"/>
              </w:rPr>
              <w:t>Recomandarea</w:t>
            </w:r>
          </w:p>
        </w:tc>
        <w:tc>
          <w:tcPr>
            <w:tcW w:w="3937" w:type="dxa"/>
            <w:vMerge w:val="restart"/>
            <w:tcBorders>
              <w:top w:val="single" w:sz="4" w:space="0" w:color="auto"/>
              <w:left w:val="nil"/>
              <w:right w:val="single" w:sz="4" w:space="0" w:color="auto"/>
            </w:tcBorders>
            <w:shd w:val="clear" w:color="auto" w:fill="D5DCE4" w:themeFill="text2" w:themeFillTint="33"/>
            <w:vAlign w:val="center"/>
            <w:hideMark/>
          </w:tcPr>
          <w:p w14:paraId="0F4B7374" w14:textId="77777777" w:rsidR="001367E0" w:rsidRPr="00C9418C" w:rsidRDefault="001367E0" w:rsidP="00536420">
            <w:pPr>
              <w:spacing w:after="0" w:line="240" w:lineRule="auto"/>
              <w:jc w:val="center"/>
              <w:rPr>
                <w:rFonts w:asciiTheme="majorHAnsi" w:hAnsiTheme="majorHAnsi" w:cstheme="majorHAnsi"/>
                <w:b/>
                <w:bCs/>
                <w:sz w:val="18"/>
                <w:szCs w:val="18"/>
                <w:lang w:val="ro-MD"/>
              </w:rPr>
            </w:pPr>
            <w:r w:rsidRPr="00C9418C">
              <w:rPr>
                <w:rFonts w:asciiTheme="majorHAnsi" w:hAnsiTheme="majorHAnsi" w:cstheme="majorHAnsi"/>
                <w:b/>
                <w:bCs/>
                <w:sz w:val="18"/>
                <w:szCs w:val="18"/>
                <w:lang w:val="ro-MD"/>
              </w:rPr>
              <w:t>Măsurile întreprinse</w:t>
            </w:r>
          </w:p>
        </w:tc>
        <w:tc>
          <w:tcPr>
            <w:tcW w:w="1708" w:type="dxa"/>
            <w:gridSpan w:val="3"/>
            <w:tcBorders>
              <w:top w:val="single" w:sz="4" w:space="0" w:color="auto"/>
              <w:left w:val="nil"/>
              <w:bottom w:val="single" w:sz="4" w:space="0" w:color="auto"/>
              <w:right w:val="single" w:sz="4" w:space="0" w:color="auto"/>
            </w:tcBorders>
            <w:shd w:val="clear" w:color="auto" w:fill="D5DCE4" w:themeFill="text2" w:themeFillTint="33"/>
            <w:vAlign w:val="center"/>
          </w:tcPr>
          <w:p w14:paraId="5C98DF03" w14:textId="77777777" w:rsidR="001367E0" w:rsidRPr="00C9418C" w:rsidRDefault="001367E0" w:rsidP="00536420">
            <w:pPr>
              <w:spacing w:after="0" w:line="240" w:lineRule="auto"/>
              <w:ind w:left="-153" w:right="-106"/>
              <w:jc w:val="center"/>
              <w:rPr>
                <w:rFonts w:asciiTheme="majorHAnsi" w:hAnsiTheme="majorHAnsi" w:cstheme="majorHAnsi"/>
                <w:b/>
                <w:bCs/>
                <w:sz w:val="18"/>
                <w:szCs w:val="18"/>
                <w:lang w:val="ro-MD"/>
              </w:rPr>
            </w:pPr>
            <w:r w:rsidRPr="00C9418C">
              <w:rPr>
                <w:rFonts w:asciiTheme="majorHAnsi" w:hAnsiTheme="majorHAnsi" w:cstheme="majorHAnsi"/>
                <w:b/>
                <w:bCs/>
                <w:sz w:val="18"/>
                <w:szCs w:val="18"/>
                <w:lang w:val="ro-MD"/>
              </w:rPr>
              <w:t>Statutul implementării recomandării</w:t>
            </w:r>
          </w:p>
        </w:tc>
      </w:tr>
      <w:tr w:rsidR="001367E0" w:rsidRPr="00C9418C" w14:paraId="24257D47" w14:textId="77777777" w:rsidTr="00536420">
        <w:trPr>
          <w:gridAfter w:val="1"/>
          <w:wAfter w:w="6" w:type="dxa"/>
          <w:cantSplit/>
          <w:trHeight w:val="1168"/>
        </w:trPr>
        <w:tc>
          <w:tcPr>
            <w:tcW w:w="3855" w:type="dxa"/>
            <w:vMerge/>
            <w:tcBorders>
              <w:left w:val="single" w:sz="4" w:space="0" w:color="auto"/>
              <w:bottom w:val="single" w:sz="4" w:space="0" w:color="auto"/>
              <w:right w:val="single" w:sz="4" w:space="0" w:color="auto"/>
            </w:tcBorders>
            <w:shd w:val="clear" w:color="auto" w:fill="D5DCE4" w:themeFill="text2" w:themeFillTint="33"/>
          </w:tcPr>
          <w:p w14:paraId="5D69A76E" w14:textId="77777777" w:rsidR="001367E0" w:rsidRPr="00C9418C" w:rsidRDefault="001367E0" w:rsidP="00536420">
            <w:pPr>
              <w:spacing w:after="0" w:line="240" w:lineRule="auto"/>
              <w:jc w:val="center"/>
              <w:rPr>
                <w:rFonts w:ascii="Tahoma" w:eastAsia="Times New Roman" w:hAnsi="Tahoma" w:cs="Tahoma"/>
                <w:b/>
                <w:bCs/>
                <w:sz w:val="18"/>
                <w:szCs w:val="18"/>
                <w:lang w:val="ro-MD"/>
              </w:rPr>
            </w:pPr>
          </w:p>
        </w:tc>
        <w:tc>
          <w:tcPr>
            <w:tcW w:w="3937" w:type="dxa"/>
            <w:vMerge/>
            <w:tcBorders>
              <w:left w:val="nil"/>
              <w:bottom w:val="single" w:sz="4" w:space="0" w:color="auto"/>
              <w:right w:val="single" w:sz="4" w:space="0" w:color="auto"/>
            </w:tcBorders>
            <w:shd w:val="clear" w:color="auto" w:fill="D5DCE4" w:themeFill="text2" w:themeFillTint="33"/>
          </w:tcPr>
          <w:p w14:paraId="39490140" w14:textId="77777777" w:rsidR="001367E0" w:rsidRPr="00C9418C" w:rsidRDefault="001367E0" w:rsidP="00536420">
            <w:pPr>
              <w:spacing w:after="0" w:line="240" w:lineRule="auto"/>
              <w:jc w:val="center"/>
              <w:rPr>
                <w:rFonts w:ascii="Tahoma" w:eastAsia="Times New Roman" w:hAnsi="Tahoma" w:cs="Tahoma"/>
                <w:b/>
                <w:bCs/>
                <w:sz w:val="18"/>
                <w:szCs w:val="18"/>
                <w:lang w:val="ro-MD"/>
              </w:rPr>
            </w:pPr>
          </w:p>
        </w:tc>
        <w:tc>
          <w:tcPr>
            <w:tcW w:w="467"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tcPr>
          <w:p w14:paraId="40C1C95E" w14:textId="77777777" w:rsidR="001367E0" w:rsidRPr="00C9418C" w:rsidRDefault="001367E0" w:rsidP="00536420">
            <w:pPr>
              <w:spacing w:after="0" w:line="240" w:lineRule="auto"/>
              <w:jc w:val="center"/>
              <w:rPr>
                <w:rFonts w:ascii="Tahoma" w:eastAsia="Times New Roman" w:hAnsi="Tahoma" w:cs="Tahoma"/>
                <w:b/>
                <w:bCs/>
                <w:sz w:val="18"/>
                <w:szCs w:val="18"/>
                <w:lang w:val="ro-MD"/>
              </w:rPr>
            </w:pPr>
            <w:r w:rsidRPr="00C9418C">
              <w:rPr>
                <w:rFonts w:asciiTheme="majorHAnsi" w:hAnsiTheme="majorHAnsi" w:cstheme="majorHAnsi"/>
                <w:b/>
                <w:bCs/>
                <w:sz w:val="18"/>
                <w:szCs w:val="18"/>
                <w:lang w:val="ro-MD"/>
              </w:rPr>
              <w:t>Realizat</w:t>
            </w:r>
          </w:p>
        </w:tc>
        <w:tc>
          <w:tcPr>
            <w:tcW w:w="708"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tcPr>
          <w:p w14:paraId="6557022C" w14:textId="77777777" w:rsidR="001367E0" w:rsidRPr="00C9418C" w:rsidRDefault="001367E0" w:rsidP="00536420">
            <w:pPr>
              <w:spacing w:after="0" w:line="240" w:lineRule="auto"/>
              <w:ind w:left="113" w:right="113"/>
              <w:jc w:val="center"/>
              <w:rPr>
                <w:rFonts w:asciiTheme="majorHAnsi" w:hAnsiTheme="majorHAnsi" w:cstheme="majorHAnsi"/>
                <w:b/>
                <w:bCs/>
                <w:sz w:val="18"/>
                <w:szCs w:val="18"/>
                <w:lang w:val="ro-MD"/>
              </w:rPr>
            </w:pPr>
            <w:r w:rsidRPr="00C9418C">
              <w:rPr>
                <w:rFonts w:asciiTheme="majorHAnsi" w:hAnsiTheme="majorHAnsi" w:cstheme="majorHAnsi"/>
                <w:b/>
                <w:bCs/>
                <w:sz w:val="18"/>
                <w:szCs w:val="18"/>
                <w:lang w:val="ro-MD"/>
              </w:rPr>
              <w:t>Par</w:t>
            </w:r>
            <w:r w:rsidR="0069374B" w:rsidRPr="00C9418C">
              <w:rPr>
                <w:rFonts w:asciiTheme="majorHAnsi" w:hAnsiTheme="majorHAnsi" w:cstheme="majorHAnsi"/>
                <w:b/>
                <w:bCs/>
                <w:sz w:val="18"/>
                <w:szCs w:val="18"/>
                <w:lang w:val="ro-MD"/>
              </w:rPr>
              <w:t>ț</w:t>
            </w:r>
            <w:r w:rsidRPr="00C9418C">
              <w:rPr>
                <w:rFonts w:asciiTheme="majorHAnsi" w:hAnsiTheme="majorHAnsi" w:cstheme="majorHAnsi"/>
                <w:b/>
                <w:bCs/>
                <w:sz w:val="18"/>
                <w:szCs w:val="18"/>
                <w:lang w:val="ro-MD"/>
              </w:rPr>
              <w:t>ial realizat</w:t>
            </w:r>
          </w:p>
        </w:tc>
        <w:tc>
          <w:tcPr>
            <w:tcW w:w="533"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tcPr>
          <w:p w14:paraId="55FB48D2" w14:textId="77777777" w:rsidR="001367E0" w:rsidRPr="00C9418C" w:rsidRDefault="001367E0" w:rsidP="00536420">
            <w:pPr>
              <w:spacing w:after="0" w:line="240" w:lineRule="auto"/>
              <w:ind w:left="113" w:right="113"/>
              <w:jc w:val="center"/>
              <w:rPr>
                <w:rFonts w:asciiTheme="majorHAnsi" w:hAnsiTheme="majorHAnsi" w:cstheme="majorHAnsi"/>
                <w:b/>
                <w:bCs/>
                <w:sz w:val="18"/>
                <w:szCs w:val="18"/>
                <w:lang w:val="ro-MD"/>
              </w:rPr>
            </w:pPr>
            <w:r w:rsidRPr="00C9418C">
              <w:rPr>
                <w:rFonts w:asciiTheme="majorHAnsi" w:hAnsiTheme="majorHAnsi" w:cstheme="majorHAnsi"/>
                <w:b/>
                <w:bCs/>
                <w:sz w:val="18"/>
                <w:szCs w:val="18"/>
                <w:lang w:val="ro-MD"/>
              </w:rPr>
              <w:t>Nerealizat</w:t>
            </w:r>
          </w:p>
        </w:tc>
      </w:tr>
      <w:tr w:rsidR="001367E0" w:rsidRPr="00C9418C" w14:paraId="17434BF5" w14:textId="77777777" w:rsidTr="00536420">
        <w:trPr>
          <w:gridAfter w:val="1"/>
          <w:wAfter w:w="6" w:type="dxa"/>
          <w:trHeight w:val="290"/>
        </w:trPr>
        <w:tc>
          <w:tcPr>
            <w:tcW w:w="3855" w:type="dxa"/>
            <w:tcBorders>
              <w:top w:val="nil"/>
              <w:left w:val="single" w:sz="4" w:space="0" w:color="auto"/>
              <w:bottom w:val="single" w:sz="4" w:space="0" w:color="auto"/>
              <w:right w:val="single" w:sz="4" w:space="0" w:color="auto"/>
            </w:tcBorders>
            <w:shd w:val="clear" w:color="auto" w:fill="auto"/>
          </w:tcPr>
          <w:p w14:paraId="4D43D03A" w14:textId="77777777" w:rsidR="001367E0" w:rsidRPr="00C9418C" w:rsidRDefault="001367E0" w:rsidP="00536420">
            <w:pPr>
              <w:spacing w:after="0" w:line="240" w:lineRule="auto"/>
              <w:jc w:val="both"/>
              <w:rPr>
                <w:rFonts w:asciiTheme="majorHAnsi" w:eastAsia="Times New Roman" w:hAnsiTheme="majorHAnsi" w:cstheme="majorHAnsi"/>
                <w:b/>
                <w:sz w:val="18"/>
                <w:szCs w:val="18"/>
                <w:lang w:val="ro-MD"/>
              </w:rPr>
            </w:pPr>
            <w:r w:rsidRPr="00C9418C">
              <w:rPr>
                <w:rFonts w:asciiTheme="majorHAnsi" w:eastAsia="Times New Roman" w:hAnsiTheme="majorHAnsi" w:cstheme="majorHAnsi"/>
                <w:b/>
                <w:sz w:val="18"/>
                <w:szCs w:val="18"/>
                <w:lang w:val="ro-MD"/>
              </w:rPr>
              <w:t>Cerin</w:t>
            </w:r>
            <w:r w:rsidR="0069374B" w:rsidRPr="00C9418C">
              <w:rPr>
                <w:rFonts w:asciiTheme="majorHAnsi" w:eastAsia="Times New Roman" w:hAnsiTheme="majorHAnsi" w:cstheme="majorHAnsi"/>
                <w:b/>
                <w:sz w:val="18"/>
                <w:szCs w:val="18"/>
                <w:lang w:val="ro-MD"/>
              </w:rPr>
              <w:t>ț</w:t>
            </w:r>
            <w:r w:rsidRPr="00C9418C">
              <w:rPr>
                <w:rFonts w:asciiTheme="majorHAnsi" w:eastAsia="Times New Roman" w:hAnsiTheme="majorHAnsi" w:cstheme="majorHAnsi"/>
                <w:b/>
                <w:sz w:val="18"/>
                <w:szCs w:val="18"/>
                <w:lang w:val="ro-MD"/>
              </w:rPr>
              <w:t>e:</w:t>
            </w:r>
          </w:p>
        </w:tc>
        <w:tc>
          <w:tcPr>
            <w:tcW w:w="3937" w:type="dxa"/>
            <w:tcBorders>
              <w:top w:val="nil"/>
              <w:left w:val="nil"/>
              <w:bottom w:val="single" w:sz="4" w:space="0" w:color="auto"/>
              <w:right w:val="single" w:sz="4" w:space="0" w:color="auto"/>
            </w:tcBorders>
            <w:shd w:val="clear" w:color="auto" w:fill="auto"/>
          </w:tcPr>
          <w:p w14:paraId="3D982D31" w14:textId="77777777"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p>
        </w:tc>
        <w:tc>
          <w:tcPr>
            <w:tcW w:w="467" w:type="dxa"/>
            <w:tcBorders>
              <w:top w:val="nil"/>
              <w:left w:val="nil"/>
              <w:bottom w:val="single" w:sz="4" w:space="0" w:color="auto"/>
              <w:right w:val="single" w:sz="4" w:space="0" w:color="auto"/>
            </w:tcBorders>
          </w:tcPr>
          <w:p w14:paraId="120A8EC4"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3A13A023"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1DF33BA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67DA54E6"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0BC5BFE3" w14:textId="77777777" w:rsidR="001367E0" w:rsidRPr="00C9418C" w:rsidRDefault="001367E0" w:rsidP="00536420">
            <w:pPr>
              <w:spacing w:after="0" w:line="240" w:lineRule="auto"/>
              <w:jc w:val="both"/>
              <w:rPr>
                <w:rFonts w:asciiTheme="majorHAnsi" w:eastAsia="Times New Roman" w:hAnsiTheme="majorHAnsi" w:cstheme="majorHAnsi"/>
                <w:b/>
                <w:sz w:val="18"/>
                <w:szCs w:val="18"/>
                <w:lang w:val="ro-MD"/>
              </w:rPr>
            </w:pPr>
            <w:r w:rsidRPr="00C9418C">
              <w:rPr>
                <w:rFonts w:asciiTheme="majorHAnsi" w:hAnsiTheme="majorHAnsi" w:cstheme="majorHAnsi"/>
                <w:b/>
                <w:sz w:val="18"/>
                <w:szCs w:val="18"/>
                <w:lang w:val="ro-MD"/>
              </w:rPr>
              <w:t>2.1.</w:t>
            </w:r>
            <w:r w:rsidRPr="00C9418C">
              <w:rPr>
                <w:rFonts w:asciiTheme="majorHAnsi" w:hAnsiTheme="majorHAnsi" w:cstheme="majorHAnsi"/>
                <w:sz w:val="18"/>
                <w:szCs w:val="18"/>
                <w:lang w:val="ro-MD"/>
              </w:rPr>
              <w:t xml:space="preserve"> </w:t>
            </w:r>
            <w:r w:rsidRPr="00C9418C">
              <w:rPr>
                <w:rFonts w:asciiTheme="majorHAnsi" w:hAnsiTheme="majorHAnsi" w:cstheme="majorHAnsi"/>
                <w:b/>
                <w:bCs/>
                <w:sz w:val="18"/>
                <w:szCs w:val="18"/>
                <w:lang w:val="ro-MD"/>
              </w:rPr>
              <w:t xml:space="preserve">Comitetului Executiv al UTA Găgăuzia </w:t>
            </w:r>
            <w:r w:rsidR="0069374B" w:rsidRPr="00C9418C">
              <w:rPr>
                <w:rFonts w:asciiTheme="majorHAnsi" w:hAnsiTheme="majorHAnsi" w:cstheme="majorHAnsi"/>
                <w:b/>
                <w:bCs/>
                <w:sz w:val="18"/>
                <w:szCs w:val="18"/>
                <w:lang w:val="ro-MD"/>
              </w:rPr>
              <w:t>ș</w:t>
            </w:r>
            <w:r w:rsidRPr="00C9418C">
              <w:rPr>
                <w:rFonts w:asciiTheme="majorHAnsi" w:hAnsiTheme="majorHAnsi" w:cstheme="majorHAnsi"/>
                <w:b/>
                <w:bCs/>
                <w:sz w:val="18"/>
                <w:szCs w:val="18"/>
                <w:lang w:val="ro-MD"/>
              </w:rPr>
              <w:t>i</w:t>
            </w:r>
            <w:r w:rsidRPr="00C9418C">
              <w:rPr>
                <w:rFonts w:asciiTheme="majorHAnsi" w:hAnsiTheme="majorHAnsi" w:cstheme="majorHAnsi"/>
                <w:b/>
                <w:sz w:val="18"/>
                <w:szCs w:val="18"/>
                <w:lang w:val="ro-MD"/>
              </w:rPr>
              <w:t xml:space="preserve"> APL</w:t>
            </w:r>
            <w:r w:rsidRPr="00C9418C">
              <w:rPr>
                <w:rFonts w:asciiTheme="majorHAnsi" w:hAnsiTheme="majorHAnsi" w:cstheme="majorHAnsi"/>
                <w:b/>
                <w:sz w:val="18"/>
                <w:szCs w:val="18"/>
                <w:vertAlign w:val="superscript"/>
                <w:lang w:val="ro-MD"/>
              </w:rPr>
              <w:footnoteReference w:id="99"/>
            </w:r>
            <w:r w:rsidRPr="00C9418C">
              <w:rPr>
                <w:rFonts w:asciiTheme="majorHAnsi" w:hAnsiTheme="majorHAnsi" w:cstheme="majorHAnsi"/>
                <w:b/>
                <w:bCs/>
                <w:sz w:val="18"/>
                <w:szCs w:val="18"/>
                <w:lang w:val="ro-MD"/>
              </w:rPr>
              <w:t>,</w:t>
            </w:r>
            <w:r w:rsidRPr="00C9418C">
              <w:rPr>
                <w:rFonts w:asciiTheme="majorHAnsi" w:hAnsiTheme="majorHAnsi" w:cstheme="majorHAnsi"/>
                <w:bCs/>
                <w:sz w:val="18"/>
                <w:szCs w:val="18"/>
                <w:lang w:val="ro-MD"/>
              </w:rPr>
              <w:t xml:space="preserve"> </w:t>
            </w:r>
            <w:r w:rsidRPr="00C9418C">
              <w:rPr>
                <w:rFonts w:asciiTheme="majorHAnsi" w:hAnsiTheme="majorHAnsi" w:cstheme="majorHAnsi"/>
                <w:sz w:val="18"/>
                <w:szCs w:val="18"/>
                <w:lang w:val="ro-MD"/>
              </w:rPr>
              <w:t xml:space="preserve">pentru întreprinderea măsurilor de rigoare în vederea implementării recomandărilor expuse în Raportul de </w:t>
            </w:r>
            <w:r w:rsidRPr="00C9418C">
              <w:rPr>
                <w:rFonts w:asciiTheme="majorHAnsi" w:hAnsiTheme="majorHAnsi" w:cstheme="majorHAnsi"/>
                <w:color w:val="000000" w:themeColor="text1"/>
                <w:sz w:val="18"/>
                <w:szCs w:val="18"/>
                <w:lang w:val="ro-MD"/>
              </w:rPr>
              <w:t xml:space="preserve">audit, cu întocmirea unui plan </w:t>
            </w:r>
            <w:r w:rsidR="0069374B" w:rsidRPr="00C9418C">
              <w:rPr>
                <w:rFonts w:asciiTheme="majorHAnsi" w:hAnsiTheme="majorHAnsi" w:cstheme="majorHAnsi"/>
                <w:color w:val="000000" w:themeColor="text1"/>
                <w:sz w:val="18"/>
                <w:szCs w:val="18"/>
                <w:lang w:val="ro-MD"/>
              </w:rPr>
              <w:t>ș</w:t>
            </w:r>
            <w:r w:rsidRPr="00C9418C">
              <w:rPr>
                <w:rFonts w:asciiTheme="majorHAnsi" w:hAnsiTheme="majorHAnsi" w:cstheme="majorHAnsi"/>
                <w:color w:val="000000" w:themeColor="text1"/>
                <w:sz w:val="18"/>
                <w:szCs w:val="18"/>
                <w:lang w:val="ro-MD"/>
              </w:rPr>
              <w:t>i desemnarea persoanelor responsabile;</w:t>
            </w:r>
          </w:p>
        </w:tc>
        <w:tc>
          <w:tcPr>
            <w:tcW w:w="3937" w:type="dxa"/>
            <w:tcBorders>
              <w:top w:val="nil"/>
              <w:left w:val="nil"/>
              <w:bottom w:val="single" w:sz="4" w:space="0" w:color="auto"/>
              <w:right w:val="single" w:sz="4" w:space="0" w:color="auto"/>
            </w:tcBorders>
            <w:shd w:val="clear" w:color="auto" w:fill="auto"/>
          </w:tcPr>
          <w:p w14:paraId="3C5F1EB0" w14:textId="0FC6DB7A"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Prin HCC nr.50 din 23.07.2018, au fost înaintate 156 de cerin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e (46)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recomandări (110). Din numărul total al acestora, 45</w:t>
            </w:r>
            <w:r w:rsidR="00725AD4"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sau 28,9 %</w:t>
            </w:r>
            <w:r w:rsidR="00725AD4"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au fost implementate; 69 </w:t>
            </w:r>
            <w:r w:rsidR="00725AD4" w:rsidRPr="00C9418C">
              <w:rPr>
                <w:rFonts w:asciiTheme="majorHAnsi" w:eastAsia="Times New Roman" w:hAnsiTheme="majorHAnsi" w:cstheme="majorHAnsi"/>
                <w:bCs/>
                <w:sz w:val="18"/>
                <w:szCs w:val="18"/>
                <w:lang w:val="ro-MD"/>
              </w:rPr>
              <w:t xml:space="preserve">de </w:t>
            </w:r>
            <w:r w:rsidRPr="00C9418C">
              <w:rPr>
                <w:rFonts w:asciiTheme="majorHAnsi" w:eastAsia="Times New Roman" w:hAnsiTheme="majorHAnsi" w:cstheme="majorHAnsi"/>
                <w:bCs/>
                <w:sz w:val="18"/>
                <w:szCs w:val="18"/>
                <w:lang w:val="ro-MD"/>
              </w:rPr>
              <w:t>cerin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e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recomandări</w:t>
            </w:r>
            <w:r w:rsidR="00725AD4" w:rsidRPr="00C9418C">
              <w:rPr>
                <w:rFonts w:asciiTheme="majorHAnsi" w:eastAsia="Times New Roman" w:hAnsiTheme="majorHAnsi" w:cstheme="majorHAnsi"/>
                <w:bCs/>
                <w:sz w:val="18"/>
                <w:szCs w:val="18"/>
                <w:lang w:val="ro-MD"/>
              </w:rPr>
              <w:t xml:space="preserve"> </w:t>
            </w:r>
            <w:r w:rsidRPr="00C9418C">
              <w:rPr>
                <w:rFonts w:asciiTheme="majorHAnsi" w:eastAsia="Times New Roman" w:hAnsiTheme="majorHAnsi" w:cstheme="majorHAnsi"/>
                <w:bCs/>
                <w:sz w:val="18"/>
                <w:szCs w:val="18"/>
                <w:lang w:val="ro-MD"/>
              </w:rPr>
              <w:t>sunt implementate par</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ial, sau la nivel de 44,2%, iar 39 – nu au fost implementate, ponderea acestora constituind 25% din numărul total al cerin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elor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 xml:space="preserve">i recomandărilor înaintate.   </w:t>
            </w:r>
          </w:p>
        </w:tc>
        <w:tc>
          <w:tcPr>
            <w:tcW w:w="467" w:type="dxa"/>
            <w:tcBorders>
              <w:top w:val="nil"/>
              <w:left w:val="nil"/>
              <w:bottom w:val="single" w:sz="4" w:space="0" w:color="auto"/>
              <w:right w:val="single" w:sz="4" w:space="0" w:color="auto"/>
            </w:tcBorders>
          </w:tcPr>
          <w:p w14:paraId="28291AC2"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4BF44FA1" w14:textId="77777777" w:rsidR="001367E0" w:rsidRPr="00C9418C" w:rsidRDefault="001367E0" w:rsidP="00536420">
            <w:pPr>
              <w:pStyle w:val="ListParagraph"/>
              <w:numPr>
                <w:ilvl w:val="0"/>
                <w:numId w:val="25"/>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769FB47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733B65" w14:paraId="39C9BD25"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3DF7F384" w14:textId="77777777" w:rsidR="001367E0" w:rsidRPr="00C9418C" w:rsidRDefault="001367E0" w:rsidP="00536420">
            <w:pPr>
              <w:spacing w:after="0" w:line="240" w:lineRule="auto"/>
              <w:jc w:val="both"/>
              <w:rPr>
                <w:rFonts w:asciiTheme="majorHAnsi" w:eastAsia="Times New Roman" w:hAnsiTheme="majorHAnsi" w:cstheme="majorHAnsi"/>
                <w:sz w:val="18"/>
                <w:szCs w:val="18"/>
                <w:lang w:val="ro-MD"/>
              </w:rPr>
            </w:pPr>
            <w:r w:rsidRPr="00C9418C">
              <w:rPr>
                <w:rFonts w:asciiTheme="majorHAnsi" w:eastAsia="Times New Roman" w:hAnsiTheme="majorHAnsi" w:cstheme="majorHAnsi"/>
                <w:b/>
                <w:sz w:val="18"/>
                <w:szCs w:val="18"/>
                <w:lang w:val="ro-MD"/>
              </w:rPr>
              <w:t>2.2. Ministerului Finan</w:t>
            </w:r>
            <w:r w:rsidR="0069374B" w:rsidRPr="00C9418C">
              <w:rPr>
                <w:rFonts w:asciiTheme="majorHAnsi" w:eastAsia="Times New Roman" w:hAnsiTheme="majorHAnsi" w:cstheme="majorHAnsi"/>
                <w:b/>
                <w:sz w:val="18"/>
                <w:szCs w:val="18"/>
                <w:lang w:val="ro-MD"/>
              </w:rPr>
              <w:t>ț</w:t>
            </w:r>
            <w:r w:rsidRPr="00C9418C">
              <w:rPr>
                <w:rFonts w:asciiTheme="majorHAnsi" w:eastAsia="Times New Roman" w:hAnsiTheme="majorHAnsi" w:cstheme="majorHAnsi"/>
                <w:b/>
                <w:sz w:val="18"/>
                <w:szCs w:val="18"/>
                <w:lang w:val="ro-MD"/>
              </w:rPr>
              <w:t xml:space="preserve">elor, </w:t>
            </w:r>
            <w:r w:rsidRPr="00C9418C">
              <w:rPr>
                <w:rFonts w:asciiTheme="majorHAnsi" w:eastAsia="Times New Roman" w:hAnsiTheme="majorHAnsi" w:cstheme="majorHAnsi"/>
                <w:sz w:val="18"/>
                <w:szCs w:val="18"/>
                <w:lang w:val="ro-MD"/>
              </w:rPr>
              <w:t>pentru:</w:t>
            </w:r>
          </w:p>
          <w:p w14:paraId="6C45E15F" w14:textId="1212C4FF" w:rsidR="001367E0" w:rsidRPr="00C9418C" w:rsidRDefault="001367E0" w:rsidP="00536420">
            <w:pPr>
              <w:spacing w:after="0" w:line="240" w:lineRule="auto"/>
              <w:jc w:val="both"/>
              <w:rPr>
                <w:rFonts w:asciiTheme="majorHAnsi" w:eastAsia="Times New Roman" w:hAnsiTheme="majorHAnsi" w:cstheme="majorHAnsi"/>
                <w:sz w:val="18"/>
                <w:szCs w:val="18"/>
                <w:lang w:val="ro-MD"/>
              </w:rPr>
            </w:pPr>
            <w:r w:rsidRPr="00C9418C">
              <w:rPr>
                <w:rFonts w:asciiTheme="majorHAnsi" w:eastAsia="Times New Roman" w:hAnsiTheme="majorHAnsi" w:cstheme="majorHAnsi"/>
                <w:b/>
                <w:sz w:val="18"/>
                <w:szCs w:val="18"/>
                <w:lang w:val="ro-MD"/>
              </w:rPr>
              <w:t xml:space="preserve">2.2.1. </w:t>
            </w:r>
            <w:r w:rsidRPr="00C9418C">
              <w:rPr>
                <w:rFonts w:asciiTheme="majorHAnsi" w:eastAsia="Times New Roman" w:hAnsiTheme="majorHAnsi" w:cstheme="majorHAnsi"/>
                <w:sz w:val="18"/>
                <w:szCs w:val="18"/>
                <w:lang w:val="ro-MD"/>
              </w:rPr>
              <w:t>modificarea Clasifica</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iei bugetare, aprobată prin Ordinul</w:t>
            </w:r>
            <w:r w:rsidR="00C9418C" w:rsidRPr="00C9418C">
              <w:rPr>
                <w:rFonts w:asciiTheme="majorHAnsi" w:eastAsia="Times New Roman" w:hAnsiTheme="majorHAnsi" w:cstheme="majorHAnsi"/>
                <w:sz w:val="18"/>
                <w:szCs w:val="18"/>
                <w:lang w:val="ro-MD"/>
              </w:rPr>
              <w:t xml:space="preserve"> MF </w:t>
            </w:r>
            <w:r w:rsidRPr="00C9418C">
              <w:rPr>
                <w:rFonts w:asciiTheme="majorHAnsi" w:eastAsia="Times New Roman" w:hAnsiTheme="majorHAnsi" w:cstheme="majorHAnsi"/>
                <w:sz w:val="18"/>
                <w:szCs w:val="18"/>
                <w:lang w:val="ro-MD"/>
              </w:rPr>
              <w:t>nr.208 din 24.12.2015 „Privind Clasifica</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ia bugetară”, prin excluderea Administra</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 xml:space="preserve">iilor raioanelor Comrat, Ceadâr-Lunga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i Vulcăne</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ti din Anexa nr.3 „Organe ale autorită</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 xml:space="preserve">ilor publice locale”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i includerea lor ca subdiviziuni structurale ale Comitetului Executiv al UTA Găgăuzia, astfel asigurând raportarea corectă a situa</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iilor financiare consolidate ale Comitetului Executiv al UTA Găgăuzia;</w:t>
            </w:r>
          </w:p>
        </w:tc>
        <w:tc>
          <w:tcPr>
            <w:tcW w:w="3937" w:type="dxa"/>
            <w:tcBorders>
              <w:top w:val="nil"/>
              <w:left w:val="nil"/>
              <w:bottom w:val="single" w:sz="4" w:space="0" w:color="auto"/>
              <w:right w:val="single" w:sz="4" w:space="0" w:color="auto"/>
            </w:tcBorders>
            <w:shd w:val="clear" w:color="auto" w:fill="auto"/>
          </w:tcPr>
          <w:p w14:paraId="4FE3F238" w14:textId="486626EB"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Ministerul Finan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elor nu a asigurat modificarea </w:t>
            </w:r>
            <w:r w:rsidR="00725AD4" w:rsidRPr="00C9418C">
              <w:rPr>
                <w:rFonts w:asciiTheme="majorHAnsi" w:eastAsia="Times New Roman" w:hAnsiTheme="majorHAnsi" w:cstheme="majorHAnsi"/>
                <w:bCs/>
                <w:sz w:val="18"/>
                <w:szCs w:val="18"/>
                <w:lang w:val="ro-MD"/>
              </w:rPr>
              <w:t>C</w:t>
            </w:r>
            <w:r w:rsidRPr="00C9418C">
              <w:rPr>
                <w:rFonts w:asciiTheme="majorHAnsi" w:eastAsia="Times New Roman" w:hAnsiTheme="majorHAnsi" w:cstheme="majorHAnsi"/>
                <w:bCs/>
                <w:sz w:val="18"/>
                <w:szCs w:val="18"/>
                <w:lang w:val="ro-MD"/>
              </w:rPr>
              <w:t>lasifica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iei bugetare. P</w:t>
            </w:r>
            <w:r w:rsidR="00725AD4"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nă la momentul desfă</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urării misiunii de audit</w:t>
            </w:r>
            <w:r w:rsidR="00725AD4"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w:t>
            </w:r>
            <w:r w:rsidR="003C2D6D" w:rsidRPr="00C9418C">
              <w:rPr>
                <w:rFonts w:asciiTheme="majorHAnsi" w:eastAsia="Times New Roman" w:hAnsiTheme="majorHAnsi" w:cstheme="majorHAnsi"/>
                <w:bCs/>
                <w:sz w:val="18"/>
                <w:szCs w:val="18"/>
                <w:lang w:val="ro-MD"/>
              </w:rPr>
              <w:t>dolayurile</w:t>
            </w:r>
            <w:r w:rsidRPr="00C9418C">
              <w:rPr>
                <w:rFonts w:asciiTheme="majorHAnsi" w:eastAsia="Times New Roman" w:hAnsiTheme="majorHAnsi" w:cstheme="majorHAnsi"/>
                <w:bCs/>
                <w:sz w:val="18"/>
                <w:szCs w:val="18"/>
                <w:lang w:val="ro-MD"/>
              </w:rPr>
              <w:t xml:space="preserve"> Comrat; Cead</w:t>
            </w:r>
            <w:r w:rsidR="00725AD4"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 xml:space="preserve">r-Lunga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Vulcăne</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 xml:space="preserve">ti sunt clasificate ca APL </w:t>
            </w:r>
            <w:r w:rsidR="00725AD4" w:rsidRPr="00C9418C">
              <w:rPr>
                <w:rFonts w:asciiTheme="majorHAnsi" w:eastAsia="Times New Roman" w:hAnsiTheme="majorHAnsi" w:cstheme="majorHAnsi"/>
                <w:bCs/>
                <w:sz w:val="18"/>
                <w:szCs w:val="18"/>
                <w:lang w:val="ro-MD"/>
              </w:rPr>
              <w:t xml:space="preserve">de </w:t>
            </w:r>
            <w:r w:rsidRPr="00C9418C">
              <w:rPr>
                <w:rFonts w:asciiTheme="majorHAnsi" w:eastAsia="Times New Roman" w:hAnsiTheme="majorHAnsi" w:cstheme="majorHAnsi"/>
                <w:bCs/>
                <w:sz w:val="18"/>
                <w:szCs w:val="18"/>
                <w:lang w:val="ro-MD"/>
              </w:rPr>
              <w:t xml:space="preserve">nivelul I, </w:t>
            </w:r>
            <w:r w:rsidR="00725AD4" w:rsidRPr="00C9418C">
              <w:rPr>
                <w:rFonts w:asciiTheme="majorHAnsi" w:eastAsia="Times New Roman" w:hAnsiTheme="majorHAnsi" w:cstheme="majorHAnsi"/>
                <w:bCs/>
                <w:sz w:val="18"/>
                <w:szCs w:val="18"/>
                <w:lang w:val="ro-MD"/>
              </w:rPr>
              <w:t>r</w:t>
            </w:r>
            <w:r w:rsidRPr="00C9418C">
              <w:rPr>
                <w:rFonts w:asciiTheme="majorHAnsi" w:eastAsia="Times New Roman" w:hAnsiTheme="majorHAnsi" w:cstheme="majorHAnsi"/>
                <w:bCs/>
                <w:sz w:val="18"/>
                <w:szCs w:val="18"/>
                <w:lang w:val="ro-MD"/>
              </w:rPr>
              <w:t>aportează individual</w:t>
            </w:r>
            <w:r w:rsidR="00725AD4" w:rsidRPr="00C9418C">
              <w:rPr>
                <w:rFonts w:asciiTheme="majorHAnsi" w:eastAsia="Times New Roman" w:hAnsiTheme="majorHAnsi" w:cstheme="majorHAnsi"/>
                <w:bCs/>
                <w:sz w:val="18"/>
                <w:szCs w:val="18"/>
                <w:lang w:val="ro-MD"/>
              </w:rPr>
              <w:t xml:space="preserve"> și R</w:t>
            </w:r>
            <w:r w:rsidRPr="00C9418C">
              <w:rPr>
                <w:rFonts w:asciiTheme="majorHAnsi" w:eastAsia="Times New Roman" w:hAnsiTheme="majorHAnsi" w:cstheme="majorHAnsi"/>
                <w:bCs/>
                <w:sz w:val="18"/>
                <w:szCs w:val="18"/>
                <w:lang w:val="ro-MD"/>
              </w:rPr>
              <w:t>apoartele acestora nu se consolidează în Rapoartele Comitetului Executiv al UTA Găgăuzia .</w:t>
            </w:r>
          </w:p>
        </w:tc>
        <w:tc>
          <w:tcPr>
            <w:tcW w:w="467" w:type="dxa"/>
            <w:tcBorders>
              <w:top w:val="nil"/>
              <w:left w:val="nil"/>
              <w:bottom w:val="single" w:sz="4" w:space="0" w:color="auto"/>
              <w:right w:val="single" w:sz="4" w:space="0" w:color="auto"/>
            </w:tcBorders>
          </w:tcPr>
          <w:p w14:paraId="76D04028"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2E3A3B5D"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0B0429F1"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7508377E"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0B6A0FEF" w14:textId="77777777" w:rsidR="001367E0" w:rsidRPr="00C9418C" w:rsidRDefault="001367E0" w:rsidP="00536420">
            <w:pPr>
              <w:spacing w:after="0" w:line="240" w:lineRule="auto"/>
              <w:jc w:val="both"/>
              <w:rPr>
                <w:rFonts w:asciiTheme="majorHAnsi" w:eastAsia="Times New Roman" w:hAnsiTheme="majorHAnsi" w:cstheme="majorHAnsi"/>
                <w:b/>
                <w:sz w:val="18"/>
                <w:szCs w:val="18"/>
                <w:lang w:val="ro-MD"/>
              </w:rPr>
            </w:pPr>
            <w:r w:rsidRPr="00C9418C">
              <w:rPr>
                <w:rFonts w:asciiTheme="majorHAnsi" w:eastAsia="Times New Roman" w:hAnsiTheme="majorHAnsi" w:cstheme="majorHAnsi"/>
                <w:b/>
                <w:sz w:val="18"/>
                <w:szCs w:val="18"/>
                <w:lang w:val="ro-MD"/>
              </w:rPr>
              <w:t xml:space="preserve">2.2.2. </w:t>
            </w:r>
            <w:r w:rsidRPr="00C9418C">
              <w:rPr>
                <w:rFonts w:asciiTheme="majorHAnsi" w:eastAsia="Times New Roman" w:hAnsiTheme="majorHAnsi" w:cstheme="majorHAnsi"/>
                <w:sz w:val="18"/>
                <w:szCs w:val="18"/>
                <w:lang w:val="ro-MD"/>
              </w:rPr>
              <w:t xml:space="preserve">reglementarea mecanismului de reflectare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i raportare în eviden</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a contabilă la Unită</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ile Administrativ-Teritoriale (în continuare - UAT) a calculelor, crean</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 xml:space="preserve">elor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 xml:space="preserve">i datoriilor aferente impozitelor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i taxelor locale;</w:t>
            </w:r>
          </w:p>
        </w:tc>
        <w:tc>
          <w:tcPr>
            <w:tcW w:w="3937" w:type="dxa"/>
            <w:tcBorders>
              <w:top w:val="nil"/>
              <w:left w:val="nil"/>
              <w:bottom w:val="single" w:sz="4" w:space="0" w:color="auto"/>
              <w:right w:val="single" w:sz="4" w:space="0" w:color="auto"/>
            </w:tcBorders>
            <w:shd w:val="clear" w:color="auto" w:fill="auto"/>
          </w:tcPr>
          <w:p w14:paraId="7EF1EEFB" w14:textId="70609FB3"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w:t>
            </w:r>
            <w:r w:rsidR="00725AD4"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nă la momentul desfă</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 xml:space="preserve">urării misiunii de audit nu este reglementat mecanismul de reflectare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raportare în eviden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a contabilă la UAT a calculelor, crean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elor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 xml:space="preserve">i datoriilor aferente impozitelor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taxelor locale. Potrivit prevederilor Ordinul</w:t>
            </w:r>
            <w:r w:rsidR="00886FF5" w:rsidRPr="00C9418C">
              <w:rPr>
                <w:rFonts w:asciiTheme="majorHAnsi" w:eastAsia="Times New Roman" w:hAnsiTheme="majorHAnsi" w:cstheme="majorHAnsi"/>
                <w:bCs/>
                <w:sz w:val="18"/>
                <w:szCs w:val="18"/>
                <w:lang w:val="ro-MD"/>
              </w:rPr>
              <w:t>ui</w:t>
            </w:r>
            <w:r w:rsidRPr="00C9418C">
              <w:rPr>
                <w:rFonts w:asciiTheme="majorHAnsi" w:eastAsia="Times New Roman" w:hAnsiTheme="majorHAnsi" w:cstheme="majorHAnsi"/>
                <w:bCs/>
                <w:sz w:val="18"/>
                <w:szCs w:val="18"/>
                <w:lang w:val="ro-MD"/>
              </w:rPr>
              <w:t xml:space="preserve"> </w:t>
            </w:r>
            <w:r w:rsidR="00886FF5" w:rsidRPr="00C9418C">
              <w:rPr>
                <w:rFonts w:asciiTheme="majorHAnsi" w:eastAsia="Times New Roman" w:hAnsiTheme="majorHAnsi" w:cstheme="majorHAnsi"/>
                <w:bCs/>
                <w:sz w:val="18"/>
                <w:szCs w:val="18"/>
                <w:lang w:val="ro-MD"/>
              </w:rPr>
              <w:t>ministrului finanțelor nr.</w:t>
            </w:r>
            <w:r w:rsidRPr="00C9418C">
              <w:rPr>
                <w:rFonts w:asciiTheme="majorHAnsi" w:eastAsia="Times New Roman" w:hAnsiTheme="majorHAnsi" w:cstheme="majorHAnsi"/>
                <w:bCs/>
                <w:sz w:val="18"/>
                <w:szCs w:val="18"/>
                <w:lang w:val="ro-MD"/>
              </w:rPr>
              <w:t xml:space="preserve"> 216</w:t>
            </w:r>
            <w:r w:rsidR="00886FF5"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2015, eviden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a contabilă se </w:t>
            </w:r>
            <w:r w:rsidR="00886FF5" w:rsidRPr="00C9418C">
              <w:rPr>
                <w:rFonts w:asciiTheme="majorHAnsi" w:eastAsia="Times New Roman" w:hAnsiTheme="majorHAnsi" w:cstheme="majorHAnsi"/>
                <w:bCs/>
                <w:sz w:val="18"/>
                <w:szCs w:val="18"/>
                <w:lang w:val="ro-MD"/>
              </w:rPr>
              <w:t>ține</w:t>
            </w:r>
            <w:r w:rsidRPr="00C9418C">
              <w:rPr>
                <w:rFonts w:asciiTheme="majorHAnsi" w:eastAsia="Times New Roman" w:hAnsiTheme="majorHAnsi" w:cstheme="majorHAnsi"/>
                <w:bCs/>
                <w:sz w:val="18"/>
                <w:szCs w:val="18"/>
                <w:lang w:val="ro-MD"/>
              </w:rPr>
              <w:t xml:space="preserve"> prin metoda de angajamente. Eviden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a prin metoda de casă se </w:t>
            </w:r>
            <w:r w:rsidR="00886FF5" w:rsidRPr="00C9418C">
              <w:rPr>
                <w:rFonts w:asciiTheme="majorHAnsi" w:eastAsia="Times New Roman" w:hAnsiTheme="majorHAnsi" w:cstheme="majorHAnsi"/>
                <w:bCs/>
                <w:sz w:val="18"/>
                <w:szCs w:val="18"/>
                <w:lang w:val="ro-MD"/>
              </w:rPr>
              <w:t>ține</w:t>
            </w:r>
            <w:r w:rsidRPr="00C9418C">
              <w:rPr>
                <w:rFonts w:asciiTheme="majorHAnsi" w:eastAsia="Times New Roman" w:hAnsiTheme="majorHAnsi" w:cstheme="majorHAnsi"/>
                <w:bCs/>
                <w:sz w:val="18"/>
                <w:szCs w:val="18"/>
                <w:lang w:val="ro-MD"/>
              </w:rPr>
              <w:t xml:space="preserve"> de către Trezorerii.</w:t>
            </w:r>
          </w:p>
        </w:tc>
        <w:tc>
          <w:tcPr>
            <w:tcW w:w="467" w:type="dxa"/>
            <w:tcBorders>
              <w:top w:val="nil"/>
              <w:left w:val="nil"/>
              <w:bottom w:val="single" w:sz="4" w:space="0" w:color="auto"/>
              <w:right w:val="single" w:sz="4" w:space="0" w:color="auto"/>
            </w:tcBorders>
          </w:tcPr>
          <w:p w14:paraId="226A0500"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584EA78B"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5C7E5177"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15711E8A" w14:textId="77777777" w:rsidTr="00536420">
        <w:trPr>
          <w:gridAfter w:val="1"/>
          <w:wAfter w:w="6" w:type="dxa"/>
          <w:trHeight w:val="699"/>
        </w:trPr>
        <w:tc>
          <w:tcPr>
            <w:tcW w:w="3855" w:type="dxa"/>
            <w:tcBorders>
              <w:top w:val="nil"/>
              <w:left w:val="single" w:sz="4" w:space="0" w:color="auto"/>
              <w:bottom w:val="single" w:sz="4" w:space="0" w:color="auto"/>
              <w:right w:val="single" w:sz="4" w:space="0" w:color="auto"/>
            </w:tcBorders>
            <w:shd w:val="clear" w:color="auto" w:fill="auto"/>
          </w:tcPr>
          <w:p w14:paraId="5745C0E0" w14:textId="134A70C1" w:rsidR="001367E0" w:rsidRPr="00C9418C" w:rsidRDefault="001367E0" w:rsidP="00536420">
            <w:pPr>
              <w:spacing w:after="0" w:line="240" w:lineRule="auto"/>
              <w:jc w:val="both"/>
              <w:rPr>
                <w:rFonts w:asciiTheme="majorHAnsi" w:eastAsia="Times New Roman" w:hAnsiTheme="majorHAnsi" w:cstheme="majorHAnsi"/>
                <w:sz w:val="18"/>
                <w:szCs w:val="18"/>
                <w:lang w:val="ro-MD"/>
              </w:rPr>
            </w:pPr>
            <w:r w:rsidRPr="00C9418C">
              <w:rPr>
                <w:rFonts w:asciiTheme="majorHAnsi" w:eastAsia="Times New Roman" w:hAnsiTheme="majorHAnsi" w:cstheme="majorHAnsi"/>
                <w:b/>
                <w:sz w:val="18"/>
                <w:szCs w:val="18"/>
                <w:lang w:val="ro-MD"/>
              </w:rPr>
              <w:t>2.2.3.</w:t>
            </w:r>
            <w:r w:rsidRPr="00C9418C">
              <w:rPr>
                <w:rFonts w:asciiTheme="majorHAnsi" w:eastAsia="Times New Roman" w:hAnsiTheme="majorHAnsi" w:cstheme="majorHAnsi"/>
                <w:sz w:val="18"/>
                <w:szCs w:val="18"/>
                <w:lang w:val="ro-MD"/>
              </w:rPr>
              <w:t xml:space="preserve"> completarea cadrului normativ</w:t>
            </w:r>
            <w:r w:rsidR="00DB4B19" w:rsidRPr="00C9418C">
              <w:rPr>
                <w:rFonts w:asciiTheme="majorHAnsi" w:eastAsia="Times New Roman" w:hAnsiTheme="majorHAnsi" w:cstheme="majorHAnsi"/>
                <w:sz w:val="18"/>
                <w:szCs w:val="18"/>
                <w:lang w:val="ro-MD"/>
              </w:rPr>
              <w:t>-</w:t>
            </w:r>
            <w:r w:rsidRPr="00C9418C">
              <w:rPr>
                <w:rFonts w:asciiTheme="majorHAnsi" w:eastAsia="Times New Roman" w:hAnsiTheme="majorHAnsi" w:cstheme="majorHAnsi"/>
                <w:sz w:val="18"/>
                <w:szCs w:val="18"/>
                <w:lang w:val="ro-MD"/>
              </w:rPr>
              <w:t>metodologic de eviden</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ă contabilă în sistemul bugetar, în scopul asigurării înregistrării corecte a mijloacelor fixe, prin stabilirea unui plafon al pre</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ului unitar pentru obiectele care urmează a fi înregistrate la mijloace fixe, conform prevederilor Hotărârii Guvernului nr.338 din 21.03.2003;</w:t>
            </w:r>
          </w:p>
        </w:tc>
        <w:tc>
          <w:tcPr>
            <w:tcW w:w="3937" w:type="dxa"/>
            <w:tcBorders>
              <w:top w:val="nil"/>
              <w:left w:val="nil"/>
              <w:bottom w:val="single" w:sz="4" w:space="0" w:color="auto"/>
              <w:right w:val="single" w:sz="4" w:space="0" w:color="auto"/>
            </w:tcBorders>
            <w:shd w:val="clear" w:color="auto" w:fill="auto"/>
          </w:tcPr>
          <w:p w14:paraId="2A0544FE" w14:textId="7C24DDEA"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 xml:space="preserve">Prin Ordinul </w:t>
            </w:r>
            <w:r w:rsidR="00886FF5" w:rsidRPr="00C9418C">
              <w:rPr>
                <w:rFonts w:asciiTheme="majorHAnsi" w:eastAsia="Times New Roman" w:hAnsiTheme="majorHAnsi" w:cstheme="majorHAnsi"/>
                <w:bCs/>
                <w:sz w:val="18"/>
                <w:szCs w:val="18"/>
                <w:lang w:val="ro-MD"/>
              </w:rPr>
              <w:t>ministrului finanțelor</w:t>
            </w:r>
            <w:r w:rsidRPr="00C9418C">
              <w:rPr>
                <w:rFonts w:asciiTheme="majorHAnsi" w:eastAsia="Times New Roman" w:hAnsiTheme="majorHAnsi" w:cstheme="majorHAnsi"/>
                <w:bCs/>
                <w:sz w:val="18"/>
                <w:szCs w:val="18"/>
                <w:lang w:val="ro-MD"/>
              </w:rPr>
              <w:t xml:space="preserve"> nr. 127/2018</w:t>
            </w:r>
            <w:r w:rsidR="00886FF5"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au fost operate modificări la Ordinul nr.216/2015</w:t>
            </w:r>
            <w:r w:rsidR="00886FF5"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prin care </w:t>
            </w:r>
            <w:r w:rsidR="00886FF5" w:rsidRPr="00C9418C">
              <w:rPr>
                <w:rFonts w:asciiTheme="majorHAnsi" w:eastAsia="Times New Roman" w:hAnsiTheme="majorHAnsi" w:cstheme="majorHAnsi"/>
                <w:bCs/>
                <w:sz w:val="18"/>
                <w:szCs w:val="18"/>
                <w:lang w:val="ro-MD"/>
              </w:rPr>
              <w:t>s-</w:t>
            </w:r>
            <w:r w:rsidRPr="00C9418C">
              <w:rPr>
                <w:rFonts w:asciiTheme="majorHAnsi" w:eastAsia="Times New Roman" w:hAnsiTheme="majorHAnsi" w:cstheme="majorHAnsi"/>
                <w:bCs/>
                <w:sz w:val="18"/>
                <w:szCs w:val="18"/>
                <w:lang w:val="ro-MD"/>
              </w:rPr>
              <w:t>a  stabilit modalitatea de atribuire a bunului la mijloc fix, de către o comisie creată la nivel de entitate</w:t>
            </w:r>
            <w:r w:rsidR="00C13FCD"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cu respectarea simultană a 2 condi</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ii. Alte criterii de atribuire sunt stabilite de către entitate în politica sa de contabilitate.</w:t>
            </w:r>
          </w:p>
        </w:tc>
        <w:tc>
          <w:tcPr>
            <w:tcW w:w="467" w:type="dxa"/>
            <w:tcBorders>
              <w:top w:val="nil"/>
              <w:left w:val="nil"/>
              <w:bottom w:val="single" w:sz="4" w:space="0" w:color="auto"/>
              <w:right w:val="single" w:sz="4" w:space="0" w:color="auto"/>
            </w:tcBorders>
          </w:tcPr>
          <w:p w14:paraId="2734822B"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24726073"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52EAD16D"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276ED382"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2FAD42BD" w14:textId="77777777" w:rsidR="001367E0" w:rsidRPr="00C9418C" w:rsidRDefault="001367E0" w:rsidP="00536420">
            <w:pPr>
              <w:spacing w:after="0" w:line="240" w:lineRule="auto"/>
              <w:jc w:val="both"/>
              <w:rPr>
                <w:rFonts w:asciiTheme="majorHAnsi" w:eastAsia="Times New Roman" w:hAnsiTheme="majorHAnsi" w:cstheme="majorHAnsi"/>
                <w:color w:val="000000" w:themeColor="text1"/>
                <w:sz w:val="18"/>
                <w:szCs w:val="18"/>
                <w:lang w:val="ro-MD"/>
              </w:rPr>
            </w:pPr>
            <w:r w:rsidRPr="00C9418C">
              <w:rPr>
                <w:rFonts w:asciiTheme="majorHAnsi" w:eastAsia="Times New Roman" w:hAnsiTheme="majorHAnsi" w:cstheme="majorHAnsi"/>
                <w:b/>
                <w:sz w:val="18"/>
                <w:szCs w:val="18"/>
                <w:lang w:val="ro-MD"/>
              </w:rPr>
              <w:t>2.3. Ministerului Educa</w:t>
            </w:r>
            <w:r w:rsidR="0069374B" w:rsidRPr="00C9418C">
              <w:rPr>
                <w:rFonts w:asciiTheme="majorHAnsi" w:eastAsia="Times New Roman" w:hAnsiTheme="majorHAnsi" w:cstheme="majorHAnsi"/>
                <w:b/>
                <w:sz w:val="18"/>
                <w:szCs w:val="18"/>
                <w:lang w:val="ro-MD"/>
              </w:rPr>
              <w:t>ț</w:t>
            </w:r>
            <w:r w:rsidRPr="00C9418C">
              <w:rPr>
                <w:rFonts w:asciiTheme="majorHAnsi" w:eastAsia="Times New Roman" w:hAnsiTheme="majorHAnsi" w:cstheme="majorHAnsi"/>
                <w:b/>
                <w:sz w:val="18"/>
                <w:szCs w:val="18"/>
                <w:lang w:val="ro-MD"/>
              </w:rPr>
              <w:t xml:space="preserve">iei, Culturii </w:t>
            </w:r>
            <w:r w:rsidR="0069374B" w:rsidRPr="00C9418C">
              <w:rPr>
                <w:rFonts w:asciiTheme="majorHAnsi" w:eastAsia="Times New Roman" w:hAnsiTheme="majorHAnsi" w:cstheme="majorHAnsi"/>
                <w:b/>
                <w:sz w:val="18"/>
                <w:szCs w:val="18"/>
                <w:lang w:val="ro-MD"/>
              </w:rPr>
              <w:t>ș</w:t>
            </w:r>
            <w:r w:rsidRPr="00C9418C">
              <w:rPr>
                <w:rFonts w:asciiTheme="majorHAnsi" w:eastAsia="Times New Roman" w:hAnsiTheme="majorHAnsi" w:cstheme="majorHAnsi"/>
                <w:b/>
                <w:sz w:val="18"/>
                <w:szCs w:val="18"/>
                <w:lang w:val="ro-MD"/>
              </w:rPr>
              <w:t xml:space="preserve">i Cercetării, </w:t>
            </w:r>
            <w:r w:rsidRPr="00C9418C">
              <w:rPr>
                <w:rFonts w:asciiTheme="majorHAnsi" w:eastAsia="Times New Roman" w:hAnsiTheme="majorHAnsi" w:cstheme="majorHAnsi"/>
                <w:sz w:val="18"/>
                <w:szCs w:val="18"/>
                <w:lang w:val="ro-MD"/>
              </w:rPr>
              <w:t>pentru executarea prevederilor art.143 alin.(2) din Codul educa</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iei, referitor la propunerea anuală a formulei de alocare a transferurilor cu destina</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ie specială de la bugetul de stat la bugetele locale pentru învă</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ământul pre</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colar;</w:t>
            </w:r>
          </w:p>
        </w:tc>
        <w:tc>
          <w:tcPr>
            <w:tcW w:w="3937" w:type="dxa"/>
            <w:tcBorders>
              <w:top w:val="nil"/>
              <w:left w:val="nil"/>
              <w:bottom w:val="single" w:sz="4" w:space="0" w:color="auto"/>
              <w:right w:val="single" w:sz="4" w:space="0" w:color="auto"/>
            </w:tcBorders>
            <w:shd w:val="clear" w:color="auto" w:fill="auto"/>
          </w:tcPr>
          <w:p w14:paraId="24E625C0" w14:textId="315C7917"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w:t>
            </w:r>
            <w:r w:rsidR="00F86D09"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nă la moment lipse</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te formula de alocare a transferurilor cu destina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ie specială de la bugetul de stat la bugetele locale pentru învă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ământul pre</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colar</w:t>
            </w:r>
            <w:r w:rsidR="00C13FCD" w:rsidRPr="00C9418C">
              <w:rPr>
                <w:rFonts w:asciiTheme="majorHAnsi" w:eastAsia="Times New Roman" w:hAnsiTheme="majorHAnsi" w:cstheme="majorHAnsi"/>
                <w:bCs/>
                <w:sz w:val="18"/>
                <w:szCs w:val="18"/>
                <w:lang w:val="ro-MD"/>
              </w:rPr>
              <w:t>.</w:t>
            </w:r>
          </w:p>
        </w:tc>
        <w:tc>
          <w:tcPr>
            <w:tcW w:w="467" w:type="dxa"/>
            <w:tcBorders>
              <w:top w:val="nil"/>
              <w:left w:val="nil"/>
              <w:bottom w:val="single" w:sz="4" w:space="0" w:color="auto"/>
              <w:right w:val="single" w:sz="4" w:space="0" w:color="auto"/>
            </w:tcBorders>
          </w:tcPr>
          <w:p w14:paraId="2C430F77"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23B52478"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7744DA12"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003FC814" w14:textId="77777777" w:rsidTr="00536420">
        <w:trPr>
          <w:gridAfter w:val="1"/>
          <w:wAfter w:w="6" w:type="dxa"/>
          <w:trHeight w:val="1266"/>
        </w:trPr>
        <w:tc>
          <w:tcPr>
            <w:tcW w:w="3855" w:type="dxa"/>
            <w:tcBorders>
              <w:top w:val="nil"/>
              <w:left w:val="single" w:sz="4" w:space="0" w:color="auto"/>
              <w:bottom w:val="single" w:sz="4" w:space="0" w:color="auto"/>
              <w:right w:val="single" w:sz="4" w:space="0" w:color="auto"/>
            </w:tcBorders>
            <w:shd w:val="clear" w:color="auto" w:fill="auto"/>
          </w:tcPr>
          <w:p w14:paraId="61B4FC83" w14:textId="439E476A" w:rsidR="001367E0" w:rsidRPr="00C9418C" w:rsidRDefault="001367E0" w:rsidP="00536420">
            <w:pPr>
              <w:spacing w:after="0" w:line="240" w:lineRule="auto"/>
              <w:jc w:val="both"/>
              <w:rPr>
                <w:rFonts w:asciiTheme="majorHAnsi" w:eastAsia="Times New Roman" w:hAnsiTheme="majorHAnsi" w:cstheme="majorHAnsi"/>
                <w:color w:val="000000" w:themeColor="text1"/>
                <w:sz w:val="18"/>
                <w:szCs w:val="18"/>
                <w:lang w:val="ro-MD"/>
              </w:rPr>
            </w:pPr>
            <w:r w:rsidRPr="00C9418C">
              <w:rPr>
                <w:rFonts w:asciiTheme="majorHAnsi" w:eastAsia="Times New Roman" w:hAnsiTheme="majorHAnsi" w:cstheme="majorHAnsi"/>
                <w:b/>
                <w:sz w:val="18"/>
                <w:szCs w:val="18"/>
                <w:lang w:val="ro-MD"/>
              </w:rPr>
              <w:t xml:space="preserve">2.4. Ministerului Economiei </w:t>
            </w:r>
            <w:r w:rsidR="0069374B" w:rsidRPr="00C9418C">
              <w:rPr>
                <w:rFonts w:asciiTheme="majorHAnsi" w:eastAsia="Times New Roman" w:hAnsiTheme="majorHAnsi" w:cstheme="majorHAnsi"/>
                <w:b/>
                <w:sz w:val="18"/>
                <w:szCs w:val="18"/>
                <w:lang w:val="ro-MD"/>
              </w:rPr>
              <w:t>ș</w:t>
            </w:r>
            <w:r w:rsidRPr="00C9418C">
              <w:rPr>
                <w:rFonts w:asciiTheme="majorHAnsi" w:eastAsia="Times New Roman" w:hAnsiTheme="majorHAnsi" w:cstheme="majorHAnsi"/>
                <w:b/>
                <w:sz w:val="18"/>
                <w:szCs w:val="18"/>
                <w:lang w:val="ro-MD"/>
              </w:rPr>
              <w:t xml:space="preserve">i Infrastructurii, </w:t>
            </w:r>
            <w:r w:rsidRPr="00C9418C">
              <w:rPr>
                <w:rFonts w:asciiTheme="majorHAnsi" w:eastAsia="Times New Roman" w:hAnsiTheme="majorHAnsi" w:cstheme="majorHAnsi"/>
                <w:sz w:val="18"/>
                <w:szCs w:val="18"/>
                <w:lang w:val="ro-MD"/>
              </w:rPr>
              <w:t xml:space="preserve">pentru înaintarea în modul stabilit a propunerilor privind modificarea Hotărârii Guvernului nr.1468 din 30.12.2016 (Anexa nr.2), în sensul indicării exacte a lungimii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i denumirii drumurilor publice locale de interes raional transmise UAT</w:t>
            </w:r>
            <w:r w:rsidR="00C13FCD" w:rsidRPr="00C9418C">
              <w:rPr>
                <w:rFonts w:asciiTheme="majorHAnsi" w:eastAsia="Times New Roman"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77482912" w14:textId="5148B5AA"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În HG men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ionată au fost incluse Drumurile locale L638.1</w:t>
            </w:r>
            <w:r w:rsidR="00C13FCD"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Drumul de acces spre frontieră cu Ukraina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L639; M3- drumul de acces spre frontiera cu Ukraina; HG nu a fost completată cu indicarea lungimii drumurilor transmise UAT.</w:t>
            </w:r>
          </w:p>
        </w:tc>
        <w:tc>
          <w:tcPr>
            <w:tcW w:w="467" w:type="dxa"/>
            <w:tcBorders>
              <w:top w:val="nil"/>
              <w:left w:val="nil"/>
              <w:bottom w:val="single" w:sz="4" w:space="0" w:color="auto"/>
              <w:right w:val="single" w:sz="4" w:space="0" w:color="auto"/>
            </w:tcBorders>
          </w:tcPr>
          <w:p w14:paraId="265C7E9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45705139"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00E8DBAA"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50DEC748" w14:textId="77777777" w:rsidTr="00536420">
        <w:trPr>
          <w:gridAfter w:val="1"/>
          <w:wAfter w:w="6" w:type="dxa"/>
          <w:trHeight w:val="266"/>
        </w:trPr>
        <w:tc>
          <w:tcPr>
            <w:tcW w:w="3855" w:type="dxa"/>
            <w:tcBorders>
              <w:top w:val="nil"/>
              <w:left w:val="single" w:sz="4" w:space="0" w:color="auto"/>
              <w:bottom w:val="single" w:sz="4" w:space="0" w:color="auto"/>
              <w:right w:val="single" w:sz="4" w:space="0" w:color="auto"/>
            </w:tcBorders>
            <w:shd w:val="clear" w:color="auto" w:fill="auto"/>
          </w:tcPr>
          <w:p w14:paraId="29EB470A" w14:textId="77777777" w:rsidR="001367E0" w:rsidRPr="00C9418C" w:rsidRDefault="001367E0" w:rsidP="00536420">
            <w:pPr>
              <w:spacing w:after="0" w:line="240" w:lineRule="auto"/>
              <w:jc w:val="both"/>
              <w:rPr>
                <w:rFonts w:asciiTheme="majorHAnsi" w:eastAsia="Times New Roman" w:hAnsiTheme="majorHAnsi" w:cstheme="majorHAnsi"/>
                <w:b/>
                <w:sz w:val="18"/>
                <w:szCs w:val="18"/>
                <w:lang w:val="ro-MD"/>
              </w:rPr>
            </w:pPr>
            <w:r w:rsidRPr="00C9418C">
              <w:rPr>
                <w:rFonts w:asciiTheme="majorHAnsi" w:eastAsia="Times New Roman" w:hAnsiTheme="majorHAnsi" w:cstheme="majorHAnsi"/>
                <w:b/>
                <w:sz w:val="18"/>
                <w:szCs w:val="18"/>
                <w:lang w:val="ro-MD"/>
              </w:rPr>
              <w:t>Recomandările auditului:</w:t>
            </w:r>
          </w:p>
        </w:tc>
        <w:tc>
          <w:tcPr>
            <w:tcW w:w="3937" w:type="dxa"/>
            <w:tcBorders>
              <w:top w:val="nil"/>
              <w:left w:val="nil"/>
              <w:bottom w:val="single" w:sz="4" w:space="0" w:color="auto"/>
              <w:right w:val="single" w:sz="4" w:space="0" w:color="auto"/>
            </w:tcBorders>
            <w:shd w:val="clear" w:color="auto" w:fill="auto"/>
          </w:tcPr>
          <w:p w14:paraId="42110A35" w14:textId="77777777"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p>
        </w:tc>
        <w:tc>
          <w:tcPr>
            <w:tcW w:w="467" w:type="dxa"/>
            <w:tcBorders>
              <w:top w:val="nil"/>
              <w:left w:val="nil"/>
              <w:bottom w:val="single" w:sz="4" w:space="0" w:color="auto"/>
              <w:right w:val="single" w:sz="4" w:space="0" w:color="auto"/>
            </w:tcBorders>
          </w:tcPr>
          <w:p w14:paraId="22C170D7"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7212BCEC"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53E69B40"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19E3A0A8" w14:textId="77777777" w:rsidTr="00536420">
        <w:trPr>
          <w:gridAfter w:val="1"/>
          <w:wAfter w:w="6" w:type="dxa"/>
          <w:trHeight w:val="557"/>
        </w:trPr>
        <w:tc>
          <w:tcPr>
            <w:tcW w:w="3855" w:type="dxa"/>
            <w:tcBorders>
              <w:top w:val="nil"/>
              <w:left w:val="single" w:sz="4" w:space="0" w:color="auto"/>
              <w:bottom w:val="single" w:sz="4" w:space="0" w:color="auto"/>
              <w:right w:val="single" w:sz="4" w:space="0" w:color="auto"/>
            </w:tcBorders>
            <w:shd w:val="clear" w:color="auto" w:fill="auto"/>
          </w:tcPr>
          <w:p w14:paraId="0D8FF79E" w14:textId="49FEE2E6" w:rsidR="001367E0" w:rsidRPr="00C9418C" w:rsidRDefault="001367E0" w:rsidP="00536420">
            <w:pPr>
              <w:spacing w:after="0" w:line="240" w:lineRule="auto"/>
              <w:jc w:val="both"/>
              <w:rPr>
                <w:rFonts w:asciiTheme="majorHAnsi" w:eastAsia="Calibri" w:hAnsiTheme="majorHAnsi" w:cstheme="majorHAnsi"/>
                <w:b/>
                <w:i/>
                <w:sz w:val="18"/>
                <w:szCs w:val="18"/>
                <w:lang w:val="ro-MD"/>
              </w:rPr>
            </w:pPr>
            <w:r w:rsidRPr="00C9418C">
              <w:rPr>
                <w:rFonts w:asciiTheme="majorHAnsi" w:eastAsia="Calibri" w:hAnsiTheme="majorHAnsi" w:cstheme="majorHAnsi"/>
                <w:b/>
                <w:i/>
                <w:sz w:val="18"/>
                <w:szCs w:val="18"/>
                <w:lang w:val="ro-MD"/>
              </w:rPr>
              <w:t xml:space="preserve">Guvernatorului </w:t>
            </w:r>
            <w:r w:rsidR="00C13FCD" w:rsidRPr="00C9418C">
              <w:rPr>
                <w:rFonts w:asciiTheme="majorHAnsi" w:eastAsia="Calibri" w:hAnsiTheme="majorHAnsi" w:cstheme="majorHAnsi"/>
                <w:b/>
                <w:i/>
                <w:sz w:val="18"/>
                <w:szCs w:val="18"/>
                <w:lang w:val="ro-MD"/>
              </w:rPr>
              <w:t xml:space="preserve">Găgăuziei </w:t>
            </w:r>
            <w:r w:rsidR="0069374B" w:rsidRPr="00C9418C">
              <w:rPr>
                <w:rFonts w:asciiTheme="majorHAnsi" w:eastAsia="Calibri" w:hAnsiTheme="majorHAnsi" w:cstheme="majorHAnsi"/>
                <w:b/>
                <w:i/>
                <w:sz w:val="18"/>
                <w:szCs w:val="18"/>
                <w:lang w:val="ro-MD"/>
              </w:rPr>
              <w:t>ș</w:t>
            </w:r>
            <w:r w:rsidRPr="00C9418C">
              <w:rPr>
                <w:rFonts w:asciiTheme="majorHAnsi" w:eastAsia="Calibri" w:hAnsiTheme="majorHAnsi" w:cstheme="majorHAnsi"/>
                <w:b/>
                <w:i/>
                <w:sz w:val="18"/>
                <w:szCs w:val="18"/>
                <w:lang w:val="ro-MD"/>
              </w:rPr>
              <w:t>i Comitetului Executiv al UTA Găgăuzia, autorită</w:t>
            </w:r>
            <w:r w:rsidR="0069374B" w:rsidRPr="00C9418C">
              <w:rPr>
                <w:rFonts w:asciiTheme="majorHAnsi" w:eastAsia="Calibri" w:hAnsiTheme="majorHAnsi" w:cstheme="majorHAnsi"/>
                <w:b/>
                <w:i/>
                <w:sz w:val="18"/>
                <w:szCs w:val="18"/>
                <w:lang w:val="ro-MD"/>
              </w:rPr>
              <w:t>ț</w:t>
            </w:r>
            <w:r w:rsidRPr="00C9418C">
              <w:rPr>
                <w:rFonts w:asciiTheme="majorHAnsi" w:eastAsia="Calibri" w:hAnsiTheme="majorHAnsi" w:cstheme="majorHAnsi"/>
                <w:b/>
                <w:i/>
                <w:sz w:val="18"/>
                <w:szCs w:val="18"/>
                <w:lang w:val="ro-MD"/>
              </w:rPr>
              <w:t>ilor/institu</w:t>
            </w:r>
            <w:r w:rsidR="0069374B" w:rsidRPr="00C9418C">
              <w:rPr>
                <w:rFonts w:asciiTheme="majorHAnsi" w:eastAsia="Calibri" w:hAnsiTheme="majorHAnsi" w:cstheme="majorHAnsi"/>
                <w:b/>
                <w:i/>
                <w:sz w:val="18"/>
                <w:szCs w:val="18"/>
                <w:lang w:val="ro-MD"/>
              </w:rPr>
              <w:t>ț</w:t>
            </w:r>
            <w:r w:rsidRPr="00C9418C">
              <w:rPr>
                <w:rFonts w:asciiTheme="majorHAnsi" w:eastAsia="Calibri" w:hAnsiTheme="majorHAnsi" w:cstheme="majorHAnsi"/>
                <w:b/>
                <w:i/>
                <w:sz w:val="18"/>
                <w:szCs w:val="18"/>
                <w:lang w:val="ro-MD"/>
              </w:rPr>
              <w:t>iilor din subordine:</w:t>
            </w:r>
          </w:p>
          <w:p w14:paraId="671B0F6F" w14:textId="77777777" w:rsidR="001367E0" w:rsidRPr="00C9418C" w:rsidRDefault="001367E0" w:rsidP="00536420">
            <w:pPr>
              <w:spacing w:after="0" w:line="240" w:lineRule="auto"/>
              <w:jc w:val="both"/>
              <w:rPr>
                <w:rFonts w:asciiTheme="majorHAnsi" w:eastAsia="Times New Roman" w:hAnsiTheme="majorHAnsi" w:cstheme="majorHAnsi"/>
                <w:b/>
                <w:sz w:val="18"/>
                <w:szCs w:val="18"/>
                <w:lang w:val="ro-MD"/>
              </w:rPr>
            </w:pPr>
            <w:r w:rsidRPr="00C9418C">
              <w:rPr>
                <w:rFonts w:asciiTheme="majorHAnsi" w:eastAsia="Calibri" w:hAnsiTheme="majorHAnsi" w:cstheme="majorHAnsi"/>
                <w:sz w:val="18"/>
                <w:szCs w:val="18"/>
                <w:lang w:val="ro-MD"/>
              </w:rPr>
              <w:t xml:space="preserve">1. să implementeze sistemul de management financiar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 xml:space="preserve">i control la nivel de entitate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 xml:space="preserve">i la nivel de APL de nivelul II, utilizând procedurile descrise detaliat în Manualul de management financiar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control, cu desemnarea persoanelor responsabile de componente (pct. 6.1.);</w:t>
            </w:r>
          </w:p>
        </w:tc>
        <w:tc>
          <w:tcPr>
            <w:tcW w:w="3937" w:type="dxa"/>
            <w:tcBorders>
              <w:top w:val="nil"/>
              <w:left w:val="nil"/>
              <w:bottom w:val="single" w:sz="4" w:space="0" w:color="auto"/>
              <w:right w:val="single" w:sz="4" w:space="0" w:color="auto"/>
            </w:tcBorders>
            <w:shd w:val="clear" w:color="auto" w:fill="auto"/>
          </w:tcPr>
          <w:p w14:paraId="142C0785" w14:textId="2259FC0F"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hAnsiTheme="majorHAnsi" w:cstheme="majorHAnsi"/>
                <w:sz w:val="18"/>
                <w:szCs w:val="18"/>
                <w:lang w:val="ro-MD"/>
              </w:rPr>
              <w:t>Controlul intern managerial</w:t>
            </w:r>
            <w:r w:rsidR="00C13FCD" w:rsidRPr="00C9418C">
              <w:rPr>
                <w:rFonts w:asciiTheme="majorHAnsi" w:hAnsiTheme="majorHAnsi" w:cstheme="majorHAnsi"/>
                <w:sz w:val="18"/>
                <w:szCs w:val="18"/>
                <w:lang w:val="ro-MD"/>
              </w:rPr>
              <w:t xml:space="preserve"> (CIM)</w:t>
            </w:r>
            <w:r w:rsidRPr="00C9418C">
              <w:rPr>
                <w:rFonts w:asciiTheme="majorHAnsi" w:hAnsiTheme="majorHAnsi" w:cstheme="majorHAnsi"/>
                <w:sz w:val="18"/>
                <w:szCs w:val="18"/>
                <w:lang w:val="ro-MD"/>
              </w:rPr>
              <w:t xml:space="preserve"> instituit în cadrul Comitetului Executiv al UTA Găgăuzia </w:t>
            </w:r>
            <w:r w:rsidR="0069374B" w:rsidRPr="00C9418C">
              <w:rPr>
                <w:rFonts w:asciiTheme="majorHAnsi" w:hAnsiTheme="majorHAnsi" w:cstheme="majorHAnsi"/>
                <w:sz w:val="18"/>
                <w:szCs w:val="18"/>
                <w:lang w:val="ro-MD"/>
              </w:rPr>
              <w:t>ș</w:t>
            </w:r>
            <w:r w:rsidRPr="00C9418C">
              <w:rPr>
                <w:rFonts w:asciiTheme="majorHAnsi" w:hAnsiTheme="majorHAnsi" w:cstheme="majorHAnsi"/>
                <w:sz w:val="18"/>
                <w:szCs w:val="18"/>
                <w:lang w:val="ro-MD"/>
              </w:rPr>
              <w:t>i la autorită</w:t>
            </w:r>
            <w:r w:rsidR="0069374B" w:rsidRPr="00C9418C">
              <w:rPr>
                <w:rFonts w:asciiTheme="majorHAnsi" w:hAnsiTheme="majorHAnsi" w:cstheme="majorHAnsi"/>
                <w:sz w:val="18"/>
                <w:szCs w:val="18"/>
                <w:lang w:val="ro-MD"/>
              </w:rPr>
              <w:t>ț</w:t>
            </w:r>
            <w:r w:rsidRPr="00C9418C">
              <w:rPr>
                <w:rFonts w:asciiTheme="majorHAnsi" w:hAnsiTheme="majorHAnsi" w:cstheme="majorHAnsi"/>
                <w:sz w:val="18"/>
                <w:szCs w:val="18"/>
                <w:lang w:val="ro-MD"/>
              </w:rPr>
              <w:t>ile/institu</w:t>
            </w:r>
            <w:r w:rsidR="0069374B" w:rsidRPr="00C9418C">
              <w:rPr>
                <w:rFonts w:asciiTheme="majorHAnsi" w:hAnsiTheme="majorHAnsi" w:cstheme="majorHAnsi"/>
                <w:sz w:val="18"/>
                <w:szCs w:val="18"/>
                <w:lang w:val="ro-MD"/>
              </w:rPr>
              <w:t>ț</w:t>
            </w:r>
            <w:r w:rsidRPr="00C9418C">
              <w:rPr>
                <w:rFonts w:asciiTheme="majorHAnsi" w:hAnsiTheme="majorHAnsi" w:cstheme="majorHAnsi"/>
                <w:sz w:val="18"/>
                <w:szCs w:val="18"/>
                <w:lang w:val="ro-MD"/>
              </w:rPr>
              <w:t xml:space="preserve">iile din subordine este unul ineficient, </w:t>
            </w:r>
            <w:r w:rsidRPr="00C9418C">
              <w:rPr>
                <w:rFonts w:asciiTheme="majorHAnsi" w:eastAsia="Calibri" w:hAnsiTheme="majorHAnsi" w:cstheme="majorHAnsi"/>
                <w:sz w:val="18"/>
                <w:szCs w:val="18"/>
                <w:lang w:val="ro-MD"/>
              </w:rPr>
              <w:t xml:space="preserve">fapt confirmat de: neidentificarea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nedescrierea proceselor opera</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ionale; </w:t>
            </w:r>
            <w:r w:rsidRPr="00C9418C">
              <w:rPr>
                <w:rFonts w:asciiTheme="majorHAnsi" w:eastAsia="Times New Roman" w:hAnsiTheme="majorHAnsi" w:cstheme="majorHAnsi"/>
                <w:sz w:val="18"/>
                <w:szCs w:val="18"/>
                <w:lang w:val="ro-MD"/>
              </w:rPr>
              <w:t xml:space="preserve">nedefinirea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 xml:space="preserve">i nedescrierea unor proceduri </w:t>
            </w:r>
            <w:r w:rsidR="0069374B" w:rsidRPr="00C9418C">
              <w:rPr>
                <w:rFonts w:asciiTheme="majorHAnsi" w:eastAsia="Times New Roman" w:hAnsiTheme="majorHAnsi" w:cstheme="majorHAnsi"/>
                <w:sz w:val="18"/>
                <w:szCs w:val="18"/>
                <w:lang w:val="ro-MD"/>
              </w:rPr>
              <w:t>ș</w:t>
            </w:r>
            <w:r w:rsidRPr="00C9418C">
              <w:rPr>
                <w:rFonts w:asciiTheme="majorHAnsi" w:eastAsia="Times New Roman" w:hAnsiTheme="majorHAnsi" w:cstheme="majorHAnsi"/>
                <w:sz w:val="18"/>
                <w:szCs w:val="18"/>
                <w:lang w:val="ro-MD"/>
              </w:rPr>
              <w:t>i activită</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i de control la nivel de sisteme opera</w:t>
            </w:r>
            <w:r w:rsidR="0069374B" w:rsidRPr="00C9418C">
              <w:rPr>
                <w:rFonts w:asciiTheme="majorHAnsi" w:eastAsia="Times New Roman" w:hAnsiTheme="majorHAnsi" w:cstheme="majorHAnsi"/>
                <w:sz w:val="18"/>
                <w:szCs w:val="18"/>
                <w:lang w:val="ro-MD"/>
              </w:rPr>
              <w:t>ț</w:t>
            </w:r>
            <w:r w:rsidRPr="00C9418C">
              <w:rPr>
                <w:rFonts w:asciiTheme="majorHAnsi" w:eastAsia="Times New Roman" w:hAnsiTheme="majorHAnsi" w:cstheme="majorHAnsi"/>
                <w:sz w:val="18"/>
                <w:szCs w:val="18"/>
                <w:lang w:val="ro-MD"/>
              </w:rPr>
              <w:t xml:space="preserve">ionale. </w:t>
            </w:r>
            <w:r w:rsidRPr="00C9418C">
              <w:rPr>
                <w:rFonts w:asciiTheme="majorHAnsi" w:hAnsiTheme="majorHAnsi" w:cstheme="majorHAnsi"/>
                <w:sz w:val="18"/>
                <w:szCs w:val="18"/>
                <w:lang w:val="ro-MD"/>
              </w:rPr>
              <w:t>Evaluarea preliminară a CIM denotă că, de</w:t>
            </w:r>
            <w:r w:rsidR="0069374B" w:rsidRPr="00C9418C">
              <w:rPr>
                <w:rFonts w:asciiTheme="majorHAnsi" w:hAnsiTheme="majorHAnsi" w:cstheme="majorHAnsi"/>
                <w:sz w:val="18"/>
                <w:szCs w:val="18"/>
                <w:lang w:val="ro-MD"/>
              </w:rPr>
              <w:t>ș</w:t>
            </w:r>
            <w:r w:rsidRPr="00C9418C">
              <w:rPr>
                <w:rFonts w:asciiTheme="majorHAnsi" w:hAnsiTheme="majorHAnsi" w:cstheme="majorHAnsi"/>
                <w:sz w:val="18"/>
                <w:szCs w:val="18"/>
                <w:lang w:val="ro-MD"/>
              </w:rPr>
              <w:t xml:space="preserve">i Comitetul Executiv </w:t>
            </w:r>
            <w:r w:rsidRPr="00C9418C">
              <w:rPr>
                <w:rFonts w:asciiTheme="majorHAnsi" w:eastAsia="Calibri" w:hAnsiTheme="majorHAnsi" w:cstheme="majorHAnsi"/>
                <w:sz w:val="18"/>
                <w:szCs w:val="18"/>
                <w:lang w:val="ro-MD"/>
              </w:rPr>
              <w:t>are instituit</w:t>
            </w:r>
            <w:r w:rsidRPr="00C9418C">
              <w:rPr>
                <w:rFonts w:asciiTheme="majorHAnsi" w:eastAsia="Calibri" w:hAnsiTheme="majorHAnsi" w:cstheme="majorHAnsi"/>
                <w:sz w:val="18"/>
                <w:szCs w:val="18"/>
                <w:vertAlign w:val="superscript"/>
                <w:lang w:val="ro-MD"/>
              </w:rPr>
              <w:footnoteReference w:id="100"/>
            </w:r>
            <w:r w:rsidRPr="00C9418C">
              <w:rPr>
                <w:rFonts w:asciiTheme="majorHAnsi" w:eastAsia="Calibri" w:hAnsiTheme="majorHAnsi" w:cstheme="majorHAnsi"/>
                <w:sz w:val="18"/>
                <w:szCs w:val="18"/>
                <w:lang w:val="ro-MD"/>
              </w:rPr>
              <w:t xml:space="preserve"> un sistem de control intern managerial </w:t>
            </w:r>
            <w:r w:rsidRPr="00C9418C">
              <w:rPr>
                <w:rFonts w:asciiTheme="majorHAnsi" w:eastAsia="Calibri" w:hAnsiTheme="majorHAnsi" w:cstheme="majorHAnsi"/>
                <w:sz w:val="18"/>
                <w:szCs w:val="18"/>
                <w:vertAlign w:val="superscript"/>
                <w:lang w:val="ro-MD"/>
              </w:rPr>
              <w:footnoteReference w:id="101"/>
            </w:r>
            <w:r w:rsidRPr="00C9418C">
              <w:rPr>
                <w:rFonts w:asciiTheme="majorHAnsi" w:eastAsia="Calibri" w:hAnsiTheme="majorHAnsi" w:cstheme="majorHAnsi"/>
                <w:sz w:val="18"/>
                <w:szCs w:val="18"/>
                <w:lang w:val="ro-MD"/>
              </w:rPr>
              <w:t>, acesta nu asigură pe deplin func</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ionalitatea controalelor-cheie, precum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 xml:space="preserve">i identificarea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 xml:space="preserve">i gestionarea unor riscuri specifice aferente procesului financiar-contabil, ceea ce a determinat </w:t>
            </w:r>
            <w:r w:rsidR="00C13FCD" w:rsidRPr="00C9418C">
              <w:rPr>
                <w:rFonts w:asciiTheme="majorHAnsi" w:eastAsia="Calibri" w:hAnsiTheme="majorHAnsi" w:cstheme="majorHAnsi"/>
                <w:sz w:val="18"/>
                <w:szCs w:val="18"/>
                <w:lang w:val="ro-MD"/>
              </w:rPr>
              <w:t xml:space="preserve">admiterea </w:t>
            </w:r>
            <w:r w:rsidRPr="00C9418C">
              <w:rPr>
                <w:rFonts w:asciiTheme="majorHAnsi" w:eastAsia="Calibri" w:hAnsiTheme="majorHAnsi" w:cstheme="majorHAnsi"/>
                <w:sz w:val="18"/>
                <w:szCs w:val="18"/>
                <w:lang w:val="ro-MD"/>
              </w:rPr>
              <w:t>neregularită</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il</w:t>
            </w:r>
            <w:r w:rsidR="00C13FCD" w:rsidRPr="00C9418C">
              <w:rPr>
                <w:rFonts w:asciiTheme="majorHAnsi" w:eastAsia="Calibri" w:hAnsiTheme="majorHAnsi" w:cstheme="majorHAnsi"/>
                <w:sz w:val="18"/>
                <w:szCs w:val="18"/>
                <w:lang w:val="ro-MD"/>
              </w:rPr>
              <w:t>or</w:t>
            </w:r>
            <w:r w:rsidRPr="00C9418C">
              <w:rPr>
                <w:rFonts w:asciiTheme="majorHAnsi" w:eastAsia="Calibri" w:hAnsiTheme="majorHAnsi" w:cstheme="majorHAnsi"/>
                <w:sz w:val="18"/>
                <w:szCs w:val="18"/>
                <w:lang w:val="ro-MD"/>
              </w:rPr>
              <w:t xml:space="preserve"> constatate de audit.</w:t>
            </w:r>
          </w:p>
        </w:tc>
        <w:tc>
          <w:tcPr>
            <w:tcW w:w="467" w:type="dxa"/>
            <w:tcBorders>
              <w:top w:val="nil"/>
              <w:left w:val="nil"/>
              <w:bottom w:val="single" w:sz="4" w:space="0" w:color="auto"/>
              <w:right w:val="single" w:sz="4" w:space="0" w:color="auto"/>
            </w:tcBorders>
          </w:tcPr>
          <w:p w14:paraId="782925E5"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5D9FC550"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55618978"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0AD92A22"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573215F3" w14:textId="30B90432" w:rsidR="001367E0" w:rsidRPr="00C9418C" w:rsidRDefault="001367E0" w:rsidP="00536420">
            <w:pPr>
              <w:pStyle w:val="ListParagraph"/>
              <w:numPr>
                <w:ilvl w:val="0"/>
                <w:numId w:val="4"/>
              </w:numPr>
              <w:spacing w:after="0" w:line="240" w:lineRule="auto"/>
              <w:ind w:left="32" w:hanging="32"/>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 xml:space="preserve">să asigure inventarierea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înregistrarea în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a contabilă a valorii patrimoniului transmis în capitalul social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în gestiunea entită</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ilor fondate (pct.4.4.1.), precum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a valorii ac</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iunilor de</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inute în capitalul social al agen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ilor economici (pct.4.4.2.);</w:t>
            </w:r>
          </w:p>
        </w:tc>
        <w:tc>
          <w:tcPr>
            <w:tcW w:w="3937" w:type="dxa"/>
            <w:tcBorders>
              <w:top w:val="nil"/>
              <w:left w:val="nil"/>
              <w:bottom w:val="single" w:sz="4" w:space="0" w:color="auto"/>
              <w:right w:val="single" w:sz="4" w:space="0" w:color="auto"/>
            </w:tcBorders>
            <w:shd w:val="clear" w:color="auto" w:fill="auto"/>
          </w:tcPr>
          <w:p w14:paraId="3780F899" w14:textId="71279267"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Comitetul Executiv</w:t>
            </w:r>
            <w:r w:rsidR="00C13FCD" w:rsidRPr="00C9418C">
              <w:rPr>
                <w:rFonts w:asciiTheme="majorHAnsi" w:eastAsia="Times New Roman" w:hAnsiTheme="majorHAnsi" w:cstheme="majorHAnsi"/>
                <w:bCs/>
                <w:sz w:val="18"/>
                <w:szCs w:val="18"/>
                <w:lang w:val="ro-MD"/>
              </w:rPr>
              <w:t xml:space="preserve"> al UTA Găgăuzia</w:t>
            </w:r>
            <w:r w:rsidRPr="00C9418C">
              <w:rPr>
                <w:rFonts w:asciiTheme="majorHAnsi" w:eastAsia="Times New Roman" w:hAnsiTheme="majorHAnsi" w:cstheme="majorHAnsi"/>
                <w:bCs/>
                <w:sz w:val="18"/>
                <w:szCs w:val="18"/>
                <w:lang w:val="ro-MD"/>
              </w:rPr>
              <w:t>, autorită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ile/institu</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iile din subordine au înregistrat în eviden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a contabilă valoarea patrimoniului transmis în capitalul social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în gestiunea entită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ilor fondate</w:t>
            </w:r>
            <w:r w:rsidR="00C13FCD"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precum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valoarea ac</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iunilor de</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inute în capitalul social al agen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ilor economici viza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i în Raportul de audit. </w:t>
            </w:r>
          </w:p>
        </w:tc>
        <w:tc>
          <w:tcPr>
            <w:tcW w:w="467" w:type="dxa"/>
            <w:tcBorders>
              <w:top w:val="nil"/>
              <w:left w:val="nil"/>
              <w:bottom w:val="single" w:sz="4" w:space="0" w:color="auto"/>
              <w:right w:val="single" w:sz="4" w:space="0" w:color="auto"/>
            </w:tcBorders>
          </w:tcPr>
          <w:p w14:paraId="69CDDFF1"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1A15230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37EC99E8"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45F323BD" w14:textId="77777777" w:rsidTr="00536420">
        <w:trPr>
          <w:gridAfter w:val="1"/>
          <w:wAfter w:w="6" w:type="dxa"/>
          <w:trHeight w:val="848"/>
        </w:trPr>
        <w:tc>
          <w:tcPr>
            <w:tcW w:w="3855" w:type="dxa"/>
            <w:tcBorders>
              <w:top w:val="nil"/>
              <w:left w:val="single" w:sz="4" w:space="0" w:color="auto"/>
              <w:bottom w:val="single" w:sz="4" w:space="0" w:color="auto"/>
              <w:right w:val="single" w:sz="4" w:space="0" w:color="auto"/>
            </w:tcBorders>
            <w:shd w:val="clear" w:color="auto" w:fill="auto"/>
          </w:tcPr>
          <w:p w14:paraId="48320D74" w14:textId="77777777" w:rsidR="001367E0" w:rsidRPr="00C9418C" w:rsidRDefault="001367E0" w:rsidP="00536420">
            <w:pPr>
              <w:pStyle w:val="ListParagraph"/>
              <w:numPr>
                <w:ilvl w:val="0"/>
                <w:numId w:val="4"/>
              </w:numPr>
              <w:spacing w:after="0" w:line="240" w:lineRule="auto"/>
              <w:ind w:left="32" w:firstLine="0"/>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 xml:space="preserve">să întreprindă măsurile de rigoare pentru contabilizarea la fondator a valorii patrimoniului transmis în gestiune ÎM „RCT” (pct.4.4.3.); </w:t>
            </w:r>
          </w:p>
        </w:tc>
        <w:tc>
          <w:tcPr>
            <w:tcW w:w="3937" w:type="dxa"/>
            <w:tcBorders>
              <w:top w:val="nil"/>
              <w:left w:val="nil"/>
              <w:bottom w:val="single" w:sz="4" w:space="0" w:color="auto"/>
              <w:right w:val="single" w:sz="4" w:space="0" w:color="auto"/>
            </w:tcBorders>
            <w:shd w:val="clear" w:color="auto" w:fill="auto"/>
          </w:tcPr>
          <w:p w14:paraId="433AF056" w14:textId="16287A26"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Primăria mun. Comrat a transmis la balan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a Administra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iei dola</w:t>
            </w:r>
            <w:r w:rsidR="003C2D6D" w:rsidRPr="00C9418C">
              <w:rPr>
                <w:rFonts w:asciiTheme="majorHAnsi" w:eastAsia="Times New Roman" w:hAnsiTheme="majorHAnsi" w:cstheme="majorHAnsi"/>
                <w:bCs/>
                <w:sz w:val="18"/>
                <w:szCs w:val="18"/>
                <w:lang w:val="ro-MD"/>
              </w:rPr>
              <w:t xml:space="preserve">yului </w:t>
            </w:r>
            <w:r w:rsidRPr="00C9418C">
              <w:rPr>
                <w:rFonts w:asciiTheme="majorHAnsi" w:eastAsia="Times New Roman" w:hAnsiTheme="majorHAnsi" w:cstheme="majorHAnsi"/>
                <w:bCs/>
                <w:sz w:val="18"/>
                <w:szCs w:val="18"/>
                <w:lang w:val="ro-MD"/>
              </w:rPr>
              <w:t xml:space="preserve"> Comrat valoarea patrimoniului gestionat de către ÎM „RCT”.</w:t>
            </w:r>
          </w:p>
        </w:tc>
        <w:tc>
          <w:tcPr>
            <w:tcW w:w="467" w:type="dxa"/>
            <w:tcBorders>
              <w:top w:val="nil"/>
              <w:left w:val="nil"/>
              <w:bottom w:val="single" w:sz="4" w:space="0" w:color="auto"/>
              <w:right w:val="single" w:sz="4" w:space="0" w:color="auto"/>
            </w:tcBorders>
          </w:tcPr>
          <w:p w14:paraId="4722DAE0"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1F338FBB"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181DAFEF"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49F47868"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1BAEE12E" w14:textId="77777777" w:rsidR="001367E0" w:rsidRPr="00C9418C" w:rsidRDefault="001367E0" w:rsidP="00536420">
            <w:pPr>
              <w:pStyle w:val="ListParagraph"/>
              <w:numPr>
                <w:ilvl w:val="0"/>
                <w:numId w:val="4"/>
              </w:numPr>
              <w:spacing w:after="0" w:line="240" w:lineRule="auto"/>
              <w:ind w:left="0" w:firstLine="32"/>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să asigure înregistrarea în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a contabilă a datoriei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a crean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elor pentru împrumutul recreditat de la Ministerul Finan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elor (pct.4.5.1.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pct.4.5.2.);</w:t>
            </w:r>
          </w:p>
        </w:tc>
        <w:tc>
          <w:tcPr>
            <w:tcW w:w="3937" w:type="dxa"/>
            <w:tcBorders>
              <w:top w:val="nil"/>
              <w:left w:val="nil"/>
              <w:bottom w:val="single" w:sz="4" w:space="0" w:color="auto"/>
              <w:right w:val="single" w:sz="4" w:space="0" w:color="auto"/>
            </w:tcBorders>
            <w:shd w:val="clear" w:color="auto" w:fill="auto"/>
          </w:tcPr>
          <w:p w14:paraId="1F015B2F" w14:textId="09ABD8E9"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 xml:space="preserve">Potrivit datelor reflectate în Raportul </w:t>
            </w:r>
            <w:r w:rsidR="003738A5" w:rsidRPr="00C9418C">
              <w:rPr>
                <w:rFonts w:asciiTheme="majorHAnsi" w:eastAsia="Times New Roman" w:hAnsiTheme="majorHAnsi" w:cstheme="majorHAnsi"/>
                <w:bCs/>
                <w:sz w:val="18"/>
                <w:szCs w:val="18"/>
                <w:lang w:val="ro-MD"/>
              </w:rPr>
              <w:t>c</w:t>
            </w:r>
            <w:r w:rsidRPr="00C9418C">
              <w:rPr>
                <w:rFonts w:asciiTheme="majorHAnsi" w:eastAsia="Times New Roman" w:hAnsiTheme="majorHAnsi" w:cstheme="majorHAnsi"/>
                <w:bCs/>
                <w:sz w:val="18"/>
                <w:szCs w:val="18"/>
                <w:lang w:val="ro-MD"/>
              </w:rPr>
              <w:t>onsolidat al Comitetului Executiv al Găgăuziei, la situa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ia din 31.12.2020, valoarea împrumutului recreditat de la Ministerul Finan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elor este raportată la contul extrabilan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ier</w:t>
            </w:r>
            <w:r w:rsidR="000B3D55" w:rsidRPr="00C9418C">
              <w:rPr>
                <w:rFonts w:asciiTheme="majorHAnsi" w:eastAsia="Times New Roman" w:hAnsiTheme="majorHAnsi" w:cstheme="majorHAnsi"/>
                <w:bCs/>
                <w:sz w:val="18"/>
                <w:szCs w:val="18"/>
                <w:lang w:val="ro-MD"/>
              </w:rPr>
              <w:t>, c</w:t>
            </w:r>
            <w:r w:rsidRPr="00C9418C">
              <w:rPr>
                <w:rFonts w:asciiTheme="majorHAnsi" w:eastAsia="Times New Roman" w:hAnsiTheme="majorHAnsi" w:cstheme="majorHAnsi"/>
                <w:bCs/>
                <w:sz w:val="18"/>
                <w:szCs w:val="18"/>
                <w:lang w:val="ro-MD"/>
              </w:rPr>
              <w:t>rean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a beneficiarilor împrumutului nefiind raportată în raportul consolidat al Comitetului Executiv.</w:t>
            </w:r>
          </w:p>
        </w:tc>
        <w:tc>
          <w:tcPr>
            <w:tcW w:w="467" w:type="dxa"/>
            <w:tcBorders>
              <w:top w:val="nil"/>
              <w:left w:val="nil"/>
              <w:bottom w:val="single" w:sz="4" w:space="0" w:color="auto"/>
              <w:right w:val="single" w:sz="4" w:space="0" w:color="auto"/>
            </w:tcBorders>
          </w:tcPr>
          <w:p w14:paraId="1213D9C4"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1E95F6D1"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7A2A75C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44FDDEEC" w14:textId="77777777" w:rsidTr="00536420">
        <w:trPr>
          <w:gridAfter w:val="1"/>
          <w:wAfter w:w="6" w:type="dxa"/>
          <w:trHeight w:val="995"/>
        </w:trPr>
        <w:tc>
          <w:tcPr>
            <w:tcW w:w="3855" w:type="dxa"/>
            <w:tcBorders>
              <w:top w:val="nil"/>
              <w:left w:val="single" w:sz="4" w:space="0" w:color="auto"/>
              <w:bottom w:val="single" w:sz="4" w:space="0" w:color="auto"/>
              <w:right w:val="single" w:sz="4" w:space="0" w:color="auto"/>
            </w:tcBorders>
            <w:shd w:val="clear" w:color="auto" w:fill="auto"/>
          </w:tcPr>
          <w:p w14:paraId="42BBFB08" w14:textId="20AD1692" w:rsidR="001367E0" w:rsidRPr="00C9418C" w:rsidRDefault="001367E0" w:rsidP="00536420">
            <w:pPr>
              <w:pStyle w:val="ListParagraph"/>
              <w:numPr>
                <w:ilvl w:val="0"/>
                <w:numId w:val="4"/>
              </w:numPr>
              <w:spacing w:after="0" w:line="240" w:lineRule="auto"/>
              <w:ind w:left="0" w:firstLine="32"/>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să înregistreze în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a contabilă valoarea lucrărilor nefinalizate finan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ate din buget (pct.4.6.)</w:t>
            </w:r>
            <w:r w:rsidR="003738A5" w:rsidRPr="00C9418C">
              <w:rPr>
                <w:rFonts w:asciiTheme="majorHAnsi" w:eastAsia="Calibri"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409A4629" w14:textId="2B47B429"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La momentul desfă</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urării misiunii de audit, Î</w:t>
            </w:r>
            <w:r w:rsidR="000B3D55"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S</w:t>
            </w:r>
            <w:r w:rsidR="000B3D55"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„Sud-A-Con” este în procedură de lichidare. La momentul demarării procesului de lichidare, valoarea lucrărilor nefinalizate</w:t>
            </w:r>
            <w:r w:rsidR="000B3D55"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finan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ate din buget, nu au fost contabilizate.  La moment se înregistrează ace</w:t>
            </w:r>
            <w:r w:rsidR="000B3D55" w:rsidRPr="00C9418C">
              <w:rPr>
                <w:rFonts w:asciiTheme="majorHAnsi" w:eastAsia="Times New Roman" w:hAnsiTheme="majorHAnsi" w:cstheme="majorHAnsi"/>
                <w:bCs/>
                <w:sz w:val="18"/>
                <w:szCs w:val="18"/>
                <w:lang w:val="ro-MD"/>
              </w:rPr>
              <w:t>e</w:t>
            </w:r>
            <w:r w:rsidRPr="00C9418C">
              <w:rPr>
                <w:rFonts w:asciiTheme="majorHAnsi" w:eastAsia="Times New Roman" w:hAnsiTheme="majorHAnsi" w:cstheme="majorHAnsi"/>
                <w:bCs/>
                <w:sz w:val="18"/>
                <w:szCs w:val="18"/>
                <w:lang w:val="ro-MD"/>
              </w:rPr>
              <w:t>a</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situa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ie.</w:t>
            </w:r>
          </w:p>
        </w:tc>
        <w:tc>
          <w:tcPr>
            <w:tcW w:w="467" w:type="dxa"/>
            <w:tcBorders>
              <w:top w:val="nil"/>
              <w:left w:val="nil"/>
              <w:bottom w:val="single" w:sz="4" w:space="0" w:color="auto"/>
              <w:right w:val="single" w:sz="4" w:space="0" w:color="auto"/>
            </w:tcBorders>
          </w:tcPr>
          <w:p w14:paraId="79826E14"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1BC5F7A5"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14BA2A85"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12216DD7"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5A5DDCD3" w14:textId="52465623" w:rsidR="001367E0" w:rsidRPr="00C9418C" w:rsidRDefault="001367E0" w:rsidP="00536420">
            <w:pPr>
              <w:spacing w:after="0" w:line="240" w:lineRule="auto"/>
              <w:jc w:val="both"/>
              <w:rPr>
                <w:rFonts w:asciiTheme="majorHAnsi" w:eastAsia="Calibri" w:hAnsiTheme="majorHAnsi" w:cstheme="majorHAnsi"/>
                <w:sz w:val="18"/>
                <w:szCs w:val="18"/>
                <w:lang w:val="ro-MD"/>
              </w:rPr>
            </w:pPr>
            <w:r w:rsidRPr="00C9418C">
              <w:rPr>
                <w:rFonts w:asciiTheme="majorHAnsi" w:eastAsia="Calibri" w:hAnsiTheme="majorHAnsi" w:cstheme="majorHAnsi"/>
                <w:b/>
                <w:i/>
                <w:sz w:val="18"/>
                <w:szCs w:val="18"/>
                <w:lang w:val="ro-MD"/>
              </w:rPr>
              <w:t xml:space="preserve">Guvernatorului </w:t>
            </w:r>
            <w:r w:rsidR="003738A5" w:rsidRPr="00C9418C">
              <w:rPr>
                <w:rFonts w:asciiTheme="majorHAnsi" w:eastAsia="Calibri" w:hAnsiTheme="majorHAnsi" w:cstheme="majorHAnsi"/>
                <w:b/>
                <w:i/>
                <w:sz w:val="18"/>
                <w:szCs w:val="18"/>
                <w:lang w:val="ro-MD"/>
              </w:rPr>
              <w:t xml:space="preserve">Găgăuziei </w:t>
            </w:r>
            <w:r w:rsidR="0069374B" w:rsidRPr="00C9418C">
              <w:rPr>
                <w:rFonts w:asciiTheme="majorHAnsi" w:eastAsia="Calibri" w:hAnsiTheme="majorHAnsi" w:cstheme="majorHAnsi"/>
                <w:b/>
                <w:i/>
                <w:sz w:val="18"/>
                <w:szCs w:val="18"/>
                <w:lang w:val="ro-MD"/>
              </w:rPr>
              <w:t>ș</w:t>
            </w:r>
            <w:r w:rsidRPr="00C9418C">
              <w:rPr>
                <w:rFonts w:asciiTheme="majorHAnsi" w:eastAsia="Calibri" w:hAnsiTheme="majorHAnsi" w:cstheme="majorHAnsi"/>
                <w:b/>
                <w:i/>
                <w:sz w:val="18"/>
                <w:szCs w:val="18"/>
                <w:lang w:val="ro-MD"/>
              </w:rPr>
              <w:t xml:space="preserve">i </w:t>
            </w:r>
            <w:r w:rsidRPr="00C9418C">
              <w:rPr>
                <w:rFonts w:asciiTheme="majorHAnsi" w:eastAsia="Calibri" w:hAnsiTheme="majorHAnsi" w:cstheme="majorHAnsi"/>
                <w:b/>
                <w:bCs/>
                <w:i/>
                <w:iCs/>
                <w:sz w:val="18"/>
                <w:szCs w:val="18"/>
                <w:lang w:val="ro-MD"/>
              </w:rPr>
              <w:t>Comitetului Executiv al UTA Găgăuzia:</w:t>
            </w:r>
          </w:p>
          <w:p w14:paraId="5DED635E" w14:textId="78D7498E" w:rsidR="001367E0" w:rsidRPr="00C9418C" w:rsidRDefault="001367E0" w:rsidP="00536420">
            <w:pPr>
              <w:spacing w:after="0" w:line="240" w:lineRule="auto"/>
              <w:ind w:firstLine="32"/>
              <w:contextualSpacing/>
              <w:jc w:val="both"/>
              <w:rPr>
                <w:rFonts w:asciiTheme="majorHAnsi" w:eastAsia="Calibri" w:hAnsiTheme="majorHAnsi" w:cstheme="majorHAnsi"/>
                <w:sz w:val="18"/>
                <w:szCs w:val="18"/>
                <w:lang w:val="ro-MD"/>
              </w:rPr>
            </w:pPr>
            <w:r w:rsidRPr="00C9418C">
              <w:rPr>
                <w:rFonts w:asciiTheme="majorHAnsi" w:eastAsia="Calibri" w:hAnsiTheme="majorHAnsi" w:cstheme="majorHAnsi"/>
                <w:b/>
                <w:bCs/>
                <w:i/>
                <w:iCs/>
                <w:sz w:val="18"/>
                <w:szCs w:val="18"/>
                <w:lang w:val="ro-MD"/>
              </w:rPr>
              <w:t xml:space="preserve">6. </w:t>
            </w:r>
            <w:r w:rsidRPr="00C9418C">
              <w:rPr>
                <w:rFonts w:asciiTheme="majorHAnsi" w:eastAsia="Calibri" w:hAnsiTheme="majorHAnsi" w:cstheme="majorHAnsi"/>
                <w:sz w:val="18"/>
                <w:szCs w:val="18"/>
                <w:lang w:val="ro-MD"/>
              </w:rPr>
              <w:t xml:space="preserve">să întreprindă măsurile de rigoare pentru conformarea statelor de personal la cadrul legal existent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 xml:space="preserve">i înregistrarea statelor de personal la Cancelaria de Stat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la Ministerul Finan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elor (pct.4.11.2.)</w:t>
            </w:r>
            <w:r w:rsidR="003738A5" w:rsidRPr="00C9418C">
              <w:rPr>
                <w:rFonts w:asciiTheme="majorHAnsi" w:eastAsia="Calibri"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7709E962" w14:textId="6FDA95D9"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w:t>
            </w:r>
            <w:r w:rsidR="000B3D55"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nă la momentul desfă</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 xml:space="preserve">urării misiunii de audit nu au fost întreprinse careva măsuri </w:t>
            </w:r>
            <w:r w:rsidR="000B3D55" w:rsidRPr="00C9418C">
              <w:rPr>
                <w:rFonts w:asciiTheme="majorHAnsi" w:eastAsia="Times New Roman" w:hAnsiTheme="majorHAnsi" w:cstheme="majorHAnsi"/>
                <w:bCs/>
                <w:sz w:val="18"/>
                <w:szCs w:val="18"/>
                <w:lang w:val="ro-MD"/>
              </w:rPr>
              <w:t>pe</w:t>
            </w:r>
            <w:r w:rsidRPr="00C9418C">
              <w:rPr>
                <w:rFonts w:asciiTheme="majorHAnsi" w:eastAsia="Times New Roman" w:hAnsiTheme="majorHAnsi" w:cstheme="majorHAnsi"/>
                <w:bCs/>
                <w:sz w:val="18"/>
                <w:szCs w:val="18"/>
                <w:lang w:val="ro-MD"/>
              </w:rPr>
              <w:t>ntru conformarea statelor de personal</w:t>
            </w:r>
            <w:r w:rsidR="000B3D55" w:rsidRPr="00C9418C">
              <w:rPr>
                <w:rFonts w:asciiTheme="majorHAnsi" w:eastAsia="Times New Roman" w:hAnsiTheme="majorHAnsi" w:cstheme="majorHAnsi"/>
                <w:bCs/>
                <w:sz w:val="18"/>
                <w:szCs w:val="18"/>
                <w:lang w:val="ro-MD"/>
              </w:rPr>
              <w:t xml:space="preserve"> </w:t>
            </w:r>
            <w:r w:rsidRPr="00C9418C">
              <w:rPr>
                <w:rFonts w:asciiTheme="majorHAnsi" w:eastAsia="Times New Roman" w:hAnsiTheme="majorHAnsi" w:cstheme="majorHAnsi"/>
                <w:bCs/>
                <w:sz w:val="18"/>
                <w:szCs w:val="18"/>
                <w:lang w:val="ro-MD"/>
              </w:rPr>
              <w:t>a</w:t>
            </w:r>
            <w:r w:rsidR="000B3D55" w:rsidRPr="00C9418C">
              <w:rPr>
                <w:rFonts w:asciiTheme="majorHAnsi" w:eastAsia="Times New Roman" w:hAnsiTheme="majorHAnsi" w:cstheme="majorHAnsi"/>
                <w:bCs/>
                <w:sz w:val="18"/>
                <w:szCs w:val="18"/>
                <w:lang w:val="ro-MD"/>
              </w:rPr>
              <w:t>le</w:t>
            </w:r>
            <w:r w:rsidRPr="00C9418C">
              <w:rPr>
                <w:rFonts w:asciiTheme="majorHAnsi" w:eastAsia="Times New Roman" w:hAnsiTheme="majorHAnsi" w:cstheme="majorHAnsi"/>
                <w:bCs/>
                <w:sz w:val="18"/>
                <w:szCs w:val="18"/>
                <w:lang w:val="ro-MD"/>
              </w:rPr>
              <w:t xml:space="preserve"> institu</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iilor vizate la cadrul legal existent. Situa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ia a rămas neschimbată.</w:t>
            </w:r>
          </w:p>
        </w:tc>
        <w:tc>
          <w:tcPr>
            <w:tcW w:w="467" w:type="dxa"/>
            <w:tcBorders>
              <w:top w:val="nil"/>
              <w:left w:val="nil"/>
              <w:bottom w:val="single" w:sz="4" w:space="0" w:color="auto"/>
              <w:right w:val="single" w:sz="4" w:space="0" w:color="auto"/>
            </w:tcBorders>
          </w:tcPr>
          <w:p w14:paraId="524B457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2CB3EF2C"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0DEB2CC6"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1EF1F006"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277F96A4" w14:textId="77777777" w:rsidR="001367E0" w:rsidRPr="00C9418C" w:rsidRDefault="001367E0" w:rsidP="00536420">
            <w:pPr>
              <w:spacing w:after="0" w:line="240" w:lineRule="auto"/>
              <w:contextualSpacing/>
              <w:jc w:val="both"/>
              <w:rPr>
                <w:rFonts w:asciiTheme="majorHAnsi" w:eastAsia="Calibri" w:hAnsiTheme="majorHAnsi" w:cstheme="majorHAnsi"/>
                <w:b/>
                <w:i/>
                <w:sz w:val="18"/>
                <w:szCs w:val="18"/>
                <w:lang w:val="ro-MD"/>
              </w:rPr>
            </w:pPr>
            <w:r w:rsidRPr="00C9418C">
              <w:rPr>
                <w:rFonts w:asciiTheme="majorHAnsi" w:eastAsia="Calibri" w:hAnsiTheme="majorHAnsi" w:cstheme="majorHAnsi"/>
                <w:b/>
                <w:i/>
                <w:sz w:val="18"/>
                <w:szCs w:val="18"/>
                <w:lang w:val="ro-MD"/>
              </w:rPr>
              <w:t>Primarilor UAT de nivelul I din UTA Găgăuzia:</w:t>
            </w:r>
          </w:p>
          <w:p w14:paraId="64C2DAA2" w14:textId="77777777" w:rsidR="001367E0" w:rsidRPr="00C9418C" w:rsidRDefault="001367E0" w:rsidP="00536420">
            <w:pPr>
              <w:pStyle w:val="ListParagraph"/>
              <w:numPr>
                <w:ilvl w:val="0"/>
                <w:numId w:val="5"/>
              </w:numPr>
              <w:spacing w:after="0" w:line="240" w:lineRule="auto"/>
              <w:ind w:left="0" w:firstLine="32"/>
              <w:jc w:val="both"/>
              <w:rPr>
                <w:rFonts w:asciiTheme="majorHAnsi" w:eastAsia="Calibri" w:hAnsiTheme="majorHAnsi" w:cstheme="majorHAnsi"/>
                <w:b/>
                <w:sz w:val="18"/>
                <w:szCs w:val="18"/>
                <w:lang w:val="ro-MD"/>
              </w:rPr>
            </w:pPr>
            <w:r w:rsidRPr="00C9418C">
              <w:rPr>
                <w:rFonts w:asciiTheme="majorHAnsi" w:eastAsia="Calibri" w:hAnsiTheme="majorHAnsi" w:cstheme="majorHAnsi"/>
                <w:sz w:val="18"/>
                <w:szCs w:val="18"/>
                <w:lang w:val="ro-MD"/>
              </w:rPr>
              <w:t xml:space="preserve">să asigure evaluarea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înregistrarea în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a contabilă a suprafe</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ei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valorii terenurilor proprietate publică a UAT de nivelul I</w:t>
            </w:r>
            <w:r w:rsidRPr="00C9418C">
              <w:rPr>
                <w:rFonts w:asciiTheme="majorHAnsi" w:hAnsiTheme="majorHAnsi" w:cstheme="majorHAnsi"/>
                <w:sz w:val="18"/>
                <w:szCs w:val="18"/>
                <w:vertAlign w:val="superscript"/>
                <w:lang w:val="ro-MD"/>
              </w:rPr>
              <w:footnoteReference w:id="102"/>
            </w:r>
            <w:r w:rsidRPr="00C9418C">
              <w:rPr>
                <w:rFonts w:asciiTheme="majorHAnsi" w:eastAsia="Calibri" w:hAnsiTheme="majorHAnsi" w:cstheme="majorHAnsi"/>
                <w:sz w:val="18"/>
                <w:szCs w:val="18"/>
                <w:lang w:val="ro-MD"/>
              </w:rPr>
              <w:t xml:space="preserve"> (pct.4.13.2.);</w:t>
            </w:r>
          </w:p>
        </w:tc>
        <w:tc>
          <w:tcPr>
            <w:tcW w:w="3937" w:type="dxa"/>
            <w:tcBorders>
              <w:top w:val="nil"/>
              <w:left w:val="nil"/>
              <w:bottom w:val="single" w:sz="4" w:space="0" w:color="auto"/>
              <w:right w:val="single" w:sz="4" w:space="0" w:color="auto"/>
            </w:tcBorders>
            <w:shd w:val="clear" w:color="auto" w:fill="auto"/>
          </w:tcPr>
          <w:p w14:paraId="224A5684" w14:textId="1A1237BA"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w:t>
            </w:r>
            <w:r w:rsidR="000B3D55"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nă la momentul desfă</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urării misiunii de audit, 13 APL</w:t>
            </w:r>
            <w:r w:rsidRPr="00C9418C">
              <w:rPr>
                <w:rStyle w:val="FootnoteReference"/>
                <w:rFonts w:eastAsia="Times New Roman" w:cstheme="majorHAnsi"/>
                <w:bCs/>
                <w:sz w:val="18"/>
                <w:szCs w:val="18"/>
                <w:lang w:val="ro-MD"/>
              </w:rPr>
              <w:footnoteReference w:id="103"/>
            </w:r>
            <w:r w:rsidRPr="00C9418C">
              <w:rPr>
                <w:rFonts w:asciiTheme="majorHAnsi" w:eastAsia="Times New Roman" w:hAnsiTheme="majorHAnsi" w:cstheme="majorHAnsi"/>
                <w:bCs/>
                <w:sz w:val="18"/>
                <w:szCs w:val="18"/>
                <w:lang w:val="ro-MD"/>
              </w:rPr>
              <w:t xml:space="preserve"> de nivelul I au asigurat inventarierea terenurilor proprietate publică a UAT; 7 APL</w:t>
            </w:r>
            <w:r w:rsidRPr="00C9418C">
              <w:rPr>
                <w:rStyle w:val="FootnoteReference"/>
                <w:rFonts w:eastAsia="Times New Roman" w:cstheme="majorHAnsi"/>
                <w:bCs/>
                <w:sz w:val="18"/>
                <w:szCs w:val="18"/>
                <w:lang w:val="ro-MD"/>
              </w:rPr>
              <w:footnoteReference w:id="104"/>
            </w:r>
            <w:r w:rsidRPr="00C9418C">
              <w:rPr>
                <w:rFonts w:asciiTheme="majorHAnsi" w:eastAsia="Times New Roman" w:hAnsiTheme="majorHAnsi" w:cstheme="majorHAnsi"/>
                <w:bCs/>
                <w:sz w:val="18"/>
                <w:szCs w:val="18"/>
                <w:lang w:val="ro-MD"/>
              </w:rPr>
              <w:t xml:space="preserve"> de nivelul I au asigurat par</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ial </w:t>
            </w:r>
            <w:r w:rsidR="000B3D55" w:rsidRPr="00C9418C">
              <w:rPr>
                <w:rFonts w:asciiTheme="majorHAnsi" w:eastAsia="Times New Roman" w:hAnsiTheme="majorHAnsi" w:cstheme="majorHAnsi"/>
                <w:bCs/>
                <w:sz w:val="18"/>
                <w:szCs w:val="18"/>
                <w:lang w:val="ro-MD"/>
              </w:rPr>
              <w:t>i</w:t>
            </w:r>
            <w:r w:rsidRPr="00C9418C">
              <w:rPr>
                <w:rFonts w:asciiTheme="majorHAnsi" w:eastAsia="Times New Roman" w:hAnsiTheme="majorHAnsi" w:cstheme="majorHAnsi"/>
                <w:bCs/>
                <w:sz w:val="18"/>
                <w:szCs w:val="18"/>
                <w:lang w:val="ro-MD"/>
              </w:rPr>
              <w:t>nventarierea acestora, iar 6 APL</w:t>
            </w:r>
            <w:r w:rsidRPr="00C9418C">
              <w:rPr>
                <w:rStyle w:val="FootnoteReference"/>
                <w:rFonts w:eastAsia="Times New Roman" w:cstheme="majorHAnsi"/>
                <w:bCs/>
                <w:sz w:val="18"/>
                <w:szCs w:val="18"/>
                <w:lang w:val="ro-MD"/>
              </w:rPr>
              <w:footnoteReference w:id="105"/>
            </w:r>
            <w:r w:rsidRPr="00C9418C">
              <w:rPr>
                <w:rFonts w:asciiTheme="majorHAnsi" w:eastAsia="Times New Roman" w:hAnsiTheme="majorHAnsi" w:cstheme="majorHAnsi"/>
                <w:bCs/>
                <w:sz w:val="18"/>
                <w:szCs w:val="18"/>
                <w:lang w:val="ro-MD"/>
              </w:rPr>
              <w:t xml:space="preserve"> </w:t>
            </w:r>
            <w:r w:rsidR="000B3D55" w:rsidRPr="00C9418C">
              <w:rPr>
                <w:rFonts w:asciiTheme="majorHAnsi" w:eastAsia="Times New Roman" w:hAnsiTheme="majorHAnsi" w:cstheme="majorHAnsi"/>
                <w:bCs/>
                <w:sz w:val="18"/>
                <w:szCs w:val="18"/>
                <w:lang w:val="ro-MD"/>
              </w:rPr>
              <w:t xml:space="preserve">de </w:t>
            </w:r>
            <w:r w:rsidRPr="00C9418C">
              <w:rPr>
                <w:rFonts w:asciiTheme="majorHAnsi" w:eastAsia="Times New Roman" w:hAnsiTheme="majorHAnsi" w:cstheme="majorHAnsi"/>
                <w:bCs/>
                <w:sz w:val="18"/>
                <w:szCs w:val="18"/>
                <w:lang w:val="ro-MD"/>
              </w:rPr>
              <w:t>nivelul I numai au ini</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iat procesul de inventariere a terenurilor proprietate publică a UAT. APL de nivelul I au asigurat înregistrarea în eviden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a contabilă a suprafe</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ei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valorii terenurilor în baza estimărilor auditului precedent.</w:t>
            </w:r>
          </w:p>
        </w:tc>
        <w:tc>
          <w:tcPr>
            <w:tcW w:w="467" w:type="dxa"/>
            <w:tcBorders>
              <w:top w:val="nil"/>
              <w:left w:val="nil"/>
              <w:bottom w:val="single" w:sz="4" w:space="0" w:color="auto"/>
              <w:right w:val="single" w:sz="4" w:space="0" w:color="auto"/>
            </w:tcBorders>
          </w:tcPr>
          <w:p w14:paraId="18E5BB6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40523F45"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2E521B66"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57365DA3" w14:textId="77777777" w:rsidTr="00536420">
        <w:trPr>
          <w:gridAfter w:val="1"/>
          <w:wAfter w:w="6" w:type="dxa"/>
          <w:trHeight w:val="50"/>
        </w:trPr>
        <w:tc>
          <w:tcPr>
            <w:tcW w:w="3855" w:type="dxa"/>
            <w:tcBorders>
              <w:top w:val="nil"/>
              <w:left w:val="single" w:sz="4" w:space="0" w:color="auto"/>
              <w:bottom w:val="single" w:sz="4" w:space="0" w:color="auto"/>
              <w:right w:val="single" w:sz="4" w:space="0" w:color="auto"/>
            </w:tcBorders>
            <w:shd w:val="clear" w:color="auto" w:fill="auto"/>
          </w:tcPr>
          <w:p w14:paraId="4291D319" w14:textId="77777777" w:rsidR="001367E0" w:rsidRPr="00C9418C" w:rsidRDefault="001367E0" w:rsidP="00536420">
            <w:pPr>
              <w:pStyle w:val="ListParagraph"/>
              <w:numPr>
                <w:ilvl w:val="0"/>
                <w:numId w:val="5"/>
              </w:numPr>
              <w:spacing w:after="0" w:line="240" w:lineRule="auto"/>
              <w:ind w:left="0" w:firstLine="0"/>
              <w:jc w:val="both"/>
              <w:rPr>
                <w:rFonts w:asciiTheme="majorHAnsi" w:eastAsia="Calibri" w:hAnsiTheme="majorHAnsi" w:cstheme="majorHAnsi"/>
                <w:b/>
                <w:sz w:val="18"/>
                <w:szCs w:val="18"/>
                <w:lang w:val="ro-MD"/>
              </w:rPr>
            </w:pPr>
            <w:r w:rsidRPr="00C9418C">
              <w:rPr>
                <w:rFonts w:asciiTheme="majorHAnsi" w:eastAsia="Calibri" w:hAnsiTheme="majorHAnsi" w:cstheme="majorHAnsi"/>
                <w:sz w:val="18"/>
                <w:szCs w:val="18"/>
                <w:lang w:val="ro-MD"/>
              </w:rPr>
              <w:t>să întreprindă măsurile de rigoare pentru excluderea din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a contabilă a valorii fondului de locuin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e privatizat</w:t>
            </w:r>
            <w:r w:rsidRPr="00C9418C">
              <w:rPr>
                <w:rFonts w:asciiTheme="majorHAnsi" w:hAnsiTheme="majorHAnsi" w:cstheme="majorHAnsi"/>
                <w:sz w:val="18"/>
                <w:szCs w:val="18"/>
                <w:vertAlign w:val="superscript"/>
                <w:lang w:val="ro-MD"/>
              </w:rPr>
              <w:footnoteReference w:id="106"/>
            </w:r>
            <w:r w:rsidRPr="00C9418C">
              <w:rPr>
                <w:rFonts w:asciiTheme="majorHAnsi" w:eastAsia="Calibri" w:hAnsiTheme="majorHAnsi" w:cstheme="majorHAnsi"/>
                <w:sz w:val="18"/>
                <w:szCs w:val="18"/>
                <w:lang w:val="ro-MD"/>
              </w:rPr>
              <w:t xml:space="preserve"> (pct.4.13.3);</w:t>
            </w:r>
          </w:p>
        </w:tc>
        <w:tc>
          <w:tcPr>
            <w:tcW w:w="3937" w:type="dxa"/>
            <w:tcBorders>
              <w:top w:val="nil"/>
              <w:left w:val="nil"/>
              <w:bottom w:val="single" w:sz="4" w:space="0" w:color="auto"/>
              <w:right w:val="single" w:sz="4" w:space="0" w:color="auto"/>
            </w:tcBorders>
            <w:shd w:val="clear" w:color="auto" w:fill="auto"/>
          </w:tcPr>
          <w:p w14:paraId="6F5C3368" w14:textId="77777777"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APL de nivelul I au asigurat excluderea din eviden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a contabilă a valorii fondului de locuin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e privatizat.</w:t>
            </w:r>
          </w:p>
        </w:tc>
        <w:tc>
          <w:tcPr>
            <w:tcW w:w="467" w:type="dxa"/>
            <w:tcBorders>
              <w:top w:val="nil"/>
              <w:left w:val="nil"/>
              <w:bottom w:val="single" w:sz="4" w:space="0" w:color="auto"/>
              <w:right w:val="single" w:sz="4" w:space="0" w:color="auto"/>
            </w:tcBorders>
          </w:tcPr>
          <w:p w14:paraId="3F2D0801"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3D98E58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2DA96938"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49DD988E" w14:textId="77777777" w:rsidTr="00536420">
        <w:trPr>
          <w:gridAfter w:val="1"/>
          <w:wAfter w:w="6" w:type="dxa"/>
          <w:trHeight w:val="822"/>
        </w:trPr>
        <w:tc>
          <w:tcPr>
            <w:tcW w:w="3855" w:type="dxa"/>
            <w:tcBorders>
              <w:top w:val="nil"/>
              <w:left w:val="single" w:sz="4" w:space="0" w:color="auto"/>
              <w:bottom w:val="single" w:sz="4" w:space="0" w:color="auto"/>
              <w:right w:val="single" w:sz="4" w:space="0" w:color="auto"/>
            </w:tcBorders>
            <w:shd w:val="clear" w:color="auto" w:fill="auto"/>
          </w:tcPr>
          <w:p w14:paraId="5BB31D51" w14:textId="47F091B8" w:rsidR="001367E0" w:rsidRPr="00C9418C" w:rsidRDefault="001367E0" w:rsidP="00536420">
            <w:pPr>
              <w:pStyle w:val="ListParagraph"/>
              <w:numPr>
                <w:ilvl w:val="0"/>
                <w:numId w:val="5"/>
              </w:numPr>
              <w:spacing w:after="0" w:line="240" w:lineRule="auto"/>
              <w:ind w:left="0" w:firstLine="0"/>
              <w:jc w:val="both"/>
              <w:rPr>
                <w:rFonts w:asciiTheme="majorHAnsi" w:eastAsia="Calibri" w:hAnsiTheme="majorHAnsi" w:cstheme="majorHAnsi"/>
                <w:b/>
                <w:sz w:val="18"/>
                <w:szCs w:val="18"/>
                <w:lang w:val="ro-MD"/>
              </w:rPr>
            </w:pPr>
            <w:r w:rsidRPr="00C9418C">
              <w:rPr>
                <w:rFonts w:asciiTheme="majorHAnsi" w:eastAsia="Calibri" w:hAnsiTheme="majorHAnsi" w:cstheme="majorHAnsi"/>
                <w:sz w:val="18"/>
                <w:szCs w:val="18"/>
                <w:lang w:val="ro-MD"/>
              </w:rPr>
              <w:t>să asigure înregistrarea în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a contabilă a datoriei la împrumutul recreditat de la Comitetul Executiv</w:t>
            </w:r>
            <w:r w:rsidRPr="00C9418C">
              <w:rPr>
                <w:rFonts w:asciiTheme="majorHAnsi" w:hAnsiTheme="majorHAnsi" w:cstheme="majorHAnsi"/>
                <w:sz w:val="18"/>
                <w:szCs w:val="18"/>
                <w:vertAlign w:val="superscript"/>
                <w:lang w:val="ro-MD"/>
              </w:rPr>
              <w:footnoteReference w:id="107"/>
            </w:r>
            <w:r w:rsidRPr="00C9418C">
              <w:rPr>
                <w:rFonts w:asciiTheme="majorHAnsi" w:eastAsia="Calibri" w:hAnsiTheme="majorHAnsi" w:cstheme="majorHAnsi"/>
                <w:sz w:val="18"/>
                <w:szCs w:val="18"/>
                <w:lang w:val="ro-MD"/>
              </w:rPr>
              <w:t xml:space="preserve"> (pct.4.13.4)</w:t>
            </w:r>
            <w:r w:rsidR="000B3D55" w:rsidRPr="00C9418C">
              <w:rPr>
                <w:rFonts w:asciiTheme="majorHAnsi" w:eastAsia="Calibri"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017883DF" w14:textId="7E90F698"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Potrivit datelor reflectate în Bilan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ul contabil al APL </w:t>
            </w:r>
            <w:r w:rsidR="00773CA1" w:rsidRPr="00C9418C">
              <w:rPr>
                <w:rFonts w:asciiTheme="majorHAnsi" w:eastAsia="Times New Roman" w:hAnsiTheme="majorHAnsi" w:cstheme="majorHAnsi"/>
                <w:bCs/>
                <w:sz w:val="18"/>
                <w:szCs w:val="18"/>
                <w:lang w:val="ro-MD"/>
              </w:rPr>
              <w:t xml:space="preserve">de </w:t>
            </w:r>
            <w:r w:rsidRPr="00C9418C">
              <w:rPr>
                <w:rFonts w:asciiTheme="majorHAnsi" w:eastAsia="Times New Roman" w:hAnsiTheme="majorHAnsi" w:cstheme="majorHAnsi"/>
                <w:bCs/>
                <w:sz w:val="18"/>
                <w:szCs w:val="18"/>
                <w:lang w:val="ro-MD"/>
              </w:rPr>
              <w:t>nivelul I vizate</w:t>
            </w:r>
            <w:r w:rsidR="00773CA1"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datoria la împrumutul recreditat de la Comitetul Executiv este contabilizat</w:t>
            </w:r>
            <w:r w:rsidR="00773CA1" w:rsidRPr="00C9418C">
              <w:rPr>
                <w:rFonts w:asciiTheme="majorHAnsi" w:eastAsia="Times New Roman" w:hAnsiTheme="majorHAnsi" w:cstheme="majorHAnsi"/>
                <w:bCs/>
                <w:sz w:val="18"/>
                <w:szCs w:val="18"/>
                <w:lang w:val="ro-MD"/>
              </w:rPr>
              <w:t>ă</w:t>
            </w:r>
            <w:r w:rsidRPr="00C9418C">
              <w:rPr>
                <w:rFonts w:asciiTheme="majorHAnsi" w:eastAsia="Times New Roman" w:hAnsiTheme="majorHAnsi" w:cstheme="majorHAnsi"/>
                <w:bCs/>
                <w:sz w:val="18"/>
                <w:szCs w:val="18"/>
                <w:lang w:val="ro-MD"/>
              </w:rPr>
              <w:t xml:space="preserve"> la contul extrabilan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ier.</w:t>
            </w:r>
          </w:p>
        </w:tc>
        <w:tc>
          <w:tcPr>
            <w:tcW w:w="467" w:type="dxa"/>
            <w:tcBorders>
              <w:top w:val="nil"/>
              <w:left w:val="nil"/>
              <w:bottom w:val="single" w:sz="4" w:space="0" w:color="auto"/>
              <w:right w:val="single" w:sz="4" w:space="0" w:color="auto"/>
            </w:tcBorders>
          </w:tcPr>
          <w:p w14:paraId="0767B484"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3084EFC4"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76EEFFF0"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06B1C6E1" w14:textId="77777777" w:rsidTr="00536420">
        <w:trPr>
          <w:trHeight w:val="276"/>
        </w:trPr>
        <w:tc>
          <w:tcPr>
            <w:tcW w:w="9506" w:type="dxa"/>
            <w:gridSpan w:val="6"/>
            <w:tcBorders>
              <w:top w:val="nil"/>
              <w:left w:val="single" w:sz="4" w:space="0" w:color="auto"/>
              <w:bottom w:val="single" w:sz="4" w:space="0" w:color="auto"/>
              <w:right w:val="single" w:sz="4" w:space="0" w:color="auto"/>
            </w:tcBorders>
            <w:shd w:val="clear" w:color="auto" w:fill="auto"/>
          </w:tcPr>
          <w:p w14:paraId="55325348" w14:textId="1F1DBBD5" w:rsidR="001367E0" w:rsidRPr="00C9418C" w:rsidRDefault="001367E0" w:rsidP="00536420">
            <w:pPr>
              <w:spacing w:after="0" w:line="240" w:lineRule="auto"/>
              <w:ind w:firstLine="720"/>
              <w:jc w:val="both"/>
              <w:rPr>
                <w:rFonts w:asciiTheme="majorHAnsi" w:eastAsia="Calibri" w:hAnsiTheme="majorHAnsi" w:cstheme="majorHAnsi"/>
                <w:b/>
                <w:i/>
                <w:sz w:val="18"/>
                <w:szCs w:val="18"/>
                <w:lang w:val="ro-MD"/>
              </w:rPr>
            </w:pPr>
            <w:r w:rsidRPr="00C9418C">
              <w:rPr>
                <w:rFonts w:asciiTheme="majorHAnsi" w:eastAsia="Calibri" w:hAnsiTheme="majorHAnsi" w:cstheme="majorHAnsi"/>
                <w:b/>
                <w:i/>
                <w:sz w:val="18"/>
                <w:szCs w:val="18"/>
                <w:lang w:val="ro-MD"/>
              </w:rPr>
              <w:t>Recomandările reiterate, aprobate prin Hotărârea Cur</w:t>
            </w:r>
            <w:r w:rsidR="0069374B" w:rsidRPr="00C9418C">
              <w:rPr>
                <w:rFonts w:asciiTheme="majorHAnsi" w:eastAsia="Calibri" w:hAnsiTheme="majorHAnsi" w:cstheme="majorHAnsi"/>
                <w:b/>
                <w:i/>
                <w:sz w:val="18"/>
                <w:szCs w:val="18"/>
                <w:lang w:val="ro-MD"/>
              </w:rPr>
              <w:t>ț</w:t>
            </w:r>
            <w:r w:rsidRPr="00C9418C">
              <w:rPr>
                <w:rFonts w:asciiTheme="majorHAnsi" w:eastAsia="Calibri" w:hAnsiTheme="majorHAnsi" w:cstheme="majorHAnsi"/>
                <w:b/>
                <w:i/>
                <w:sz w:val="18"/>
                <w:szCs w:val="18"/>
                <w:lang w:val="ro-MD"/>
              </w:rPr>
              <w:t>ii de Conturi nr. 31 din 26.07.2016</w:t>
            </w:r>
            <w:r w:rsidR="00773CA1" w:rsidRPr="00C9418C">
              <w:rPr>
                <w:rFonts w:asciiTheme="majorHAnsi" w:eastAsia="Calibri" w:hAnsiTheme="majorHAnsi" w:cstheme="majorHAnsi"/>
                <w:b/>
                <w:i/>
                <w:sz w:val="18"/>
                <w:szCs w:val="18"/>
                <w:lang w:val="ro-MD"/>
              </w:rPr>
              <w:t>,</w:t>
            </w:r>
            <w:r w:rsidRPr="00C9418C">
              <w:rPr>
                <w:rFonts w:asciiTheme="majorHAnsi" w:eastAsia="Calibri" w:hAnsiTheme="majorHAnsi" w:cstheme="majorHAnsi"/>
                <w:b/>
                <w:i/>
                <w:sz w:val="18"/>
                <w:szCs w:val="18"/>
                <w:lang w:val="ro-MD"/>
              </w:rPr>
              <w:t xml:space="preserve"> </w:t>
            </w:r>
            <w:r w:rsidR="0069374B" w:rsidRPr="00C9418C">
              <w:rPr>
                <w:rFonts w:asciiTheme="majorHAnsi" w:eastAsia="Calibri" w:hAnsiTheme="majorHAnsi" w:cstheme="majorHAnsi"/>
                <w:b/>
                <w:i/>
                <w:sz w:val="18"/>
                <w:szCs w:val="18"/>
                <w:lang w:val="ro-MD"/>
              </w:rPr>
              <w:t>ș</w:t>
            </w:r>
            <w:r w:rsidRPr="00C9418C">
              <w:rPr>
                <w:rFonts w:asciiTheme="majorHAnsi" w:eastAsia="Calibri" w:hAnsiTheme="majorHAnsi" w:cstheme="majorHAnsi"/>
                <w:b/>
                <w:i/>
                <w:sz w:val="18"/>
                <w:szCs w:val="18"/>
                <w:lang w:val="ro-MD"/>
              </w:rPr>
              <w:t>i neimplementate:</w:t>
            </w:r>
          </w:p>
        </w:tc>
      </w:tr>
      <w:tr w:rsidR="001367E0" w:rsidRPr="00C9418C" w14:paraId="641DC0F1"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6D27516B" w14:textId="3D0134F0" w:rsidR="001367E0" w:rsidRPr="00C9418C" w:rsidRDefault="001367E0" w:rsidP="00536420">
            <w:pPr>
              <w:spacing w:after="0" w:line="240" w:lineRule="auto"/>
              <w:jc w:val="both"/>
              <w:rPr>
                <w:rFonts w:asciiTheme="majorHAnsi" w:eastAsia="Calibri" w:hAnsiTheme="majorHAnsi" w:cstheme="majorHAnsi"/>
                <w:sz w:val="18"/>
                <w:szCs w:val="18"/>
                <w:lang w:val="ro-MD"/>
              </w:rPr>
            </w:pPr>
            <w:r w:rsidRPr="00C9418C">
              <w:rPr>
                <w:rFonts w:asciiTheme="majorHAnsi" w:eastAsia="Calibri" w:hAnsiTheme="majorHAnsi" w:cstheme="majorHAnsi"/>
                <w:b/>
                <w:i/>
                <w:sz w:val="18"/>
                <w:szCs w:val="18"/>
                <w:lang w:val="ro-MD"/>
              </w:rPr>
              <w:t xml:space="preserve">Guvernatorului </w:t>
            </w:r>
            <w:r w:rsidR="00773CA1" w:rsidRPr="00C9418C">
              <w:rPr>
                <w:rFonts w:asciiTheme="majorHAnsi" w:eastAsia="Calibri" w:hAnsiTheme="majorHAnsi" w:cstheme="majorHAnsi"/>
                <w:b/>
                <w:i/>
                <w:sz w:val="18"/>
                <w:szCs w:val="18"/>
                <w:lang w:val="ro-MD"/>
              </w:rPr>
              <w:t xml:space="preserve">Găgăuziei </w:t>
            </w:r>
            <w:r w:rsidR="0069374B" w:rsidRPr="00C9418C">
              <w:rPr>
                <w:rFonts w:asciiTheme="majorHAnsi" w:eastAsia="Calibri" w:hAnsiTheme="majorHAnsi" w:cstheme="majorHAnsi"/>
                <w:b/>
                <w:i/>
                <w:sz w:val="18"/>
                <w:szCs w:val="18"/>
                <w:lang w:val="ro-MD"/>
              </w:rPr>
              <w:t>ș</w:t>
            </w:r>
            <w:r w:rsidRPr="00C9418C">
              <w:rPr>
                <w:rFonts w:asciiTheme="majorHAnsi" w:eastAsia="Calibri" w:hAnsiTheme="majorHAnsi" w:cstheme="majorHAnsi"/>
                <w:b/>
                <w:i/>
                <w:sz w:val="18"/>
                <w:szCs w:val="18"/>
                <w:lang w:val="ro-MD"/>
              </w:rPr>
              <w:t xml:space="preserve">i </w:t>
            </w:r>
            <w:r w:rsidRPr="00C9418C">
              <w:rPr>
                <w:rFonts w:asciiTheme="majorHAnsi" w:eastAsia="Calibri" w:hAnsiTheme="majorHAnsi" w:cstheme="majorHAnsi"/>
                <w:b/>
                <w:bCs/>
                <w:i/>
                <w:sz w:val="18"/>
                <w:szCs w:val="18"/>
                <w:lang w:val="ro-MD"/>
              </w:rPr>
              <w:t>Comitetului Executiv al UTA Găgăuzia,</w:t>
            </w:r>
            <w:r w:rsidRPr="00C9418C">
              <w:rPr>
                <w:rFonts w:asciiTheme="majorHAnsi" w:eastAsia="Calibri" w:hAnsiTheme="majorHAnsi" w:cstheme="majorHAnsi"/>
                <w:b/>
                <w:i/>
                <w:sz w:val="18"/>
                <w:szCs w:val="18"/>
                <w:lang w:val="ro-MD"/>
              </w:rPr>
              <w:t xml:space="preserve"> Direc</w:t>
            </w:r>
            <w:r w:rsidR="0069374B" w:rsidRPr="00C9418C">
              <w:rPr>
                <w:rFonts w:asciiTheme="majorHAnsi" w:eastAsia="Calibri" w:hAnsiTheme="majorHAnsi" w:cstheme="majorHAnsi"/>
                <w:b/>
                <w:i/>
                <w:sz w:val="18"/>
                <w:szCs w:val="18"/>
                <w:lang w:val="ro-MD"/>
              </w:rPr>
              <w:t>ț</w:t>
            </w:r>
            <w:r w:rsidRPr="00C9418C">
              <w:rPr>
                <w:rFonts w:asciiTheme="majorHAnsi" w:eastAsia="Calibri" w:hAnsiTheme="majorHAnsi" w:cstheme="majorHAnsi"/>
                <w:b/>
                <w:i/>
                <w:sz w:val="18"/>
                <w:szCs w:val="18"/>
                <w:lang w:val="ro-MD"/>
              </w:rPr>
              <w:t xml:space="preserve">iei </w:t>
            </w:r>
            <w:r w:rsidR="00773CA1" w:rsidRPr="00C9418C">
              <w:rPr>
                <w:rFonts w:asciiTheme="majorHAnsi" w:eastAsia="Calibri" w:hAnsiTheme="majorHAnsi" w:cstheme="majorHAnsi"/>
                <w:b/>
                <w:i/>
                <w:sz w:val="18"/>
                <w:szCs w:val="18"/>
                <w:lang w:val="ro-MD"/>
              </w:rPr>
              <w:t>G</w:t>
            </w:r>
            <w:r w:rsidRPr="00C9418C">
              <w:rPr>
                <w:rFonts w:asciiTheme="majorHAnsi" w:eastAsia="Calibri" w:hAnsiTheme="majorHAnsi" w:cstheme="majorHAnsi"/>
                <w:b/>
                <w:i/>
                <w:sz w:val="18"/>
                <w:szCs w:val="18"/>
                <w:lang w:val="ro-MD"/>
              </w:rPr>
              <w:t xml:space="preserve">enerale </w:t>
            </w:r>
            <w:r w:rsidR="00773CA1" w:rsidRPr="00C9418C">
              <w:rPr>
                <w:rFonts w:asciiTheme="majorHAnsi" w:eastAsia="Calibri" w:hAnsiTheme="majorHAnsi" w:cstheme="majorHAnsi"/>
                <w:b/>
                <w:i/>
                <w:sz w:val="18"/>
                <w:szCs w:val="18"/>
                <w:lang w:val="ro-MD"/>
              </w:rPr>
              <w:t>F</w:t>
            </w:r>
            <w:r w:rsidRPr="00C9418C">
              <w:rPr>
                <w:rFonts w:asciiTheme="majorHAnsi" w:eastAsia="Calibri" w:hAnsiTheme="majorHAnsi" w:cstheme="majorHAnsi"/>
                <w:b/>
                <w:i/>
                <w:sz w:val="18"/>
                <w:szCs w:val="18"/>
                <w:lang w:val="ro-MD"/>
              </w:rPr>
              <w:t>inan</w:t>
            </w:r>
            <w:r w:rsidR="0069374B" w:rsidRPr="00C9418C">
              <w:rPr>
                <w:rFonts w:asciiTheme="majorHAnsi" w:eastAsia="Calibri" w:hAnsiTheme="majorHAnsi" w:cstheme="majorHAnsi"/>
                <w:b/>
                <w:i/>
                <w:sz w:val="18"/>
                <w:szCs w:val="18"/>
                <w:lang w:val="ro-MD"/>
              </w:rPr>
              <w:t>ț</w:t>
            </w:r>
            <w:r w:rsidRPr="00C9418C">
              <w:rPr>
                <w:rFonts w:asciiTheme="majorHAnsi" w:eastAsia="Calibri" w:hAnsiTheme="majorHAnsi" w:cstheme="majorHAnsi"/>
                <w:b/>
                <w:i/>
                <w:sz w:val="18"/>
                <w:szCs w:val="18"/>
                <w:lang w:val="ro-MD"/>
              </w:rPr>
              <w:t>e:</w:t>
            </w:r>
          </w:p>
          <w:p w14:paraId="186B721B" w14:textId="7258BBEB" w:rsidR="001367E0" w:rsidRPr="00C9418C" w:rsidRDefault="001367E0" w:rsidP="00536420">
            <w:pPr>
              <w:pStyle w:val="ListParagraph"/>
              <w:numPr>
                <w:ilvl w:val="0"/>
                <w:numId w:val="5"/>
              </w:numPr>
              <w:spacing w:after="0" w:line="240" w:lineRule="auto"/>
              <w:ind w:left="32" w:firstLine="0"/>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 xml:space="preserve">să asigure monitorizarea metodologică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activitatea de control asupra conformită</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ii </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inerii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ei contabile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veridicită</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ii rapoartelor financiare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patrimoniale ale entită</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ilor din subordine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ale APL de nivelul I</w:t>
            </w:r>
            <w:r w:rsidR="00773CA1" w:rsidRPr="00C9418C">
              <w:rPr>
                <w:rFonts w:asciiTheme="majorHAnsi" w:eastAsia="Calibri"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6D052F93" w14:textId="512E1351"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 xml:space="preserve">Comitetul Executiv al Găgăuziei asigură monitorizarea metodologică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activitatea de control, periodic fiind efectuate controale la unele institu</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ii din subordine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 xml:space="preserve">i </w:t>
            </w:r>
            <w:r w:rsidR="00773CA1" w:rsidRPr="00C9418C">
              <w:rPr>
                <w:rFonts w:asciiTheme="majorHAnsi" w:eastAsia="Times New Roman" w:hAnsiTheme="majorHAnsi" w:cstheme="majorHAnsi"/>
                <w:bCs/>
                <w:sz w:val="18"/>
                <w:szCs w:val="18"/>
                <w:lang w:val="ro-MD"/>
              </w:rPr>
              <w:t xml:space="preserve">la </w:t>
            </w:r>
            <w:r w:rsidRPr="00C9418C">
              <w:rPr>
                <w:rFonts w:asciiTheme="majorHAnsi" w:eastAsia="Times New Roman" w:hAnsiTheme="majorHAnsi" w:cstheme="majorHAnsi"/>
                <w:bCs/>
                <w:sz w:val="18"/>
                <w:szCs w:val="18"/>
                <w:lang w:val="ro-MD"/>
              </w:rPr>
              <w:t>unele APL de nivelul I</w:t>
            </w:r>
            <w:r w:rsidR="00773CA1" w:rsidRPr="00C9418C">
              <w:rPr>
                <w:rFonts w:asciiTheme="majorHAnsi" w:eastAsia="Times New Roman" w:hAnsiTheme="majorHAnsi" w:cstheme="majorHAnsi"/>
                <w:bCs/>
                <w:sz w:val="18"/>
                <w:szCs w:val="18"/>
                <w:lang w:val="ro-MD"/>
              </w:rPr>
              <w:t>,</w:t>
            </w:r>
            <w:r w:rsidRPr="00C9418C">
              <w:rPr>
                <w:rFonts w:asciiTheme="majorHAnsi" w:eastAsia="Times New Roman" w:hAnsiTheme="majorHAnsi" w:cstheme="majorHAnsi"/>
                <w:bCs/>
                <w:sz w:val="18"/>
                <w:szCs w:val="18"/>
                <w:lang w:val="ro-MD"/>
              </w:rPr>
              <w:t xml:space="preserve"> acestea nefiind sistemice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permanente.</w:t>
            </w:r>
          </w:p>
        </w:tc>
        <w:tc>
          <w:tcPr>
            <w:tcW w:w="467" w:type="dxa"/>
            <w:tcBorders>
              <w:top w:val="nil"/>
              <w:left w:val="nil"/>
              <w:bottom w:val="single" w:sz="4" w:space="0" w:color="auto"/>
              <w:right w:val="single" w:sz="4" w:space="0" w:color="auto"/>
            </w:tcBorders>
          </w:tcPr>
          <w:p w14:paraId="7AFF1C53"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27EE9B28"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07C322E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50CCA715" w14:textId="77777777" w:rsidTr="00536420">
        <w:trPr>
          <w:gridAfter w:val="1"/>
          <w:wAfter w:w="6" w:type="dxa"/>
          <w:trHeight w:val="699"/>
        </w:trPr>
        <w:tc>
          <w:tcPr>
            <w:tcW w:w="3855" w:type="dxa"/>
            <w:tcBorders>
              <w:top w:val="nil"/>
              <w:left w:val="single" w:sz="4" w:space="0" w:color="auto"/>
              <w:bottom w:val="single" w:sz="4" w:space="0" w:color="auto"/>
              <w:right w:val="single" w:sz="4" w:space="0" w:color="auto"/>
            </w:tcBorders>
            <w:shd w:val="clear" w:color="auto" w:fill="auto"/>
          </w:tcPr>
          <w:p w14:paraId="647FC806" w14:textId="7EA02D3A" w:rsidR="001367E0" w:rsidRPr="00C9418C" w:rsidRDefault="001367E0" w:rsidP="00536420">
            <w:pPr>
              <w:spacing w:after="0" w:line="240" w:lineRule="auto"/>
              <w:rPr>
                <w:rFonts w:asciiTheme="majorHAnsi" w:hAnsiTheme="majorHAnsi" w:cstheme="majorHAnsi"/>
                <w:i/>
                <w:sz w:val="18"/>
                <w:szCs w:val="18"/>
                <w:lang w:val="ro-MD"/>
              </w:rPr>
            </w:pPr>
            <w:r w:rsidRPr="00C9418C">
              <w:rPr>
                <w:rFonts w:asciiTheme="majorHAnsi" w:hAnsiTheme="majorHAnsi" w:cstheme="majorHAnsi"/>
                <w:b/>
                <w:i/>
                <w:sz w:val="18"/>
                <w:szCs w:val="18"/>
                <w:lang w:val="ro-MD"/>
              </w:rPr>
              <w:t xml:space="preserve">Guvernatorului </w:t>
            </w:r>
            <w:r w:rsidR="00773CA1" w:rsidRPr="00C9418C">
              <w:rPr>
                <w:rFonts w:asciiTheme="majorHAnsi" w:hAnsiTheme="majorHAnsi" w:cstheme="majorHAnsi"/>
                <w:b/>
                <w:i/>
                <w:sz w:val="18"/>
                <w:szCs w:val="18"/>
                <w:lang w:val="ro-MD"/>
              </w:rPr>
              <w:t xml:space="preserve">Găgăuziei </w:t>
            </w:r>
            <w:r w:rsidR="0069374B" w:rsidRPr="00C9418C">
              <w:rPr>
                <w:rFonts w:asciiTheme="majorHAnsi" w:hAnsiTheme="majorHAnsi" w:cstheme="majorHAnsi"/>
                <w:b/>
                <w:i/>
                <w:sz w:val="18"/>
                <w:szCs w:val="18"/>
                <w:lang w:val="ro-MD"/>
              </w:rPr>
              <w:t>ș</w:t>
            </w:r>
            <w:r w:rsidRPr="00C9418C">
              <w:rPr>
                <w:rFonts w:asciiTheme="majorHAnsi" w:hAnsiTheme="majorHAnsi" w:cstheme="majorHAnsi"/>
                <w:b/>
                <w:i/>
                <w:sz w:val="18"/>
                <w:szCs w:val="18"/>
                <w:lang w:val="ro-MD"/>
              </w:rPr>
              <w:t xml:space="preserve">i </w:t>
            </w:r>
            <w:r w:rsidRPr="00C9418C">
              <w:rPr>
                <w:rFonts w:asciiTheme="majorHAnsi" w:hAnsiTheme="majorHAnsi" w:cstheme="majorHAnsi"/>
                <w:b/>
                <w:bCs/>
                <w:i/>
                <w:sz w:val="18"/>
                <w:szCs w:val="18"/>
                <w:lang w:val="ro-MD"/>
              </w:rPr>
              <w:t xml:space="preserve">Comitetului Executiv al UTA Găgăuzia, primarilor municipiilor Comrat </w:t>
            </w:r>
            <w:r w:rsidR="0069374B" w:rsidRPr="00C9418C">
              <w:rPr>
                <w:rFonts w:asciiTheme="majorHAnsi" w:hAnsiTheme="majorHAnsi" w:cstheme="majorHAnsi"/>
                <w:b/>
                <w:bCs/>
                <w:i/>
                <w:sz w:val="18"/>
                <w:szCs w:val="18"/>
                <w:lang w:val="ro-MD"/>
              </w:rPr>
              <w:t>ș</w:t>
            </w:r>
            <w:r w:rsidRPr="00C9418C">
              <w:rPr>
                <w:rFonts w:asciiTheme="majorHAnsi" w:hAnsiTheme="majorHAnsi" w:cstheme="majorHAnsi"/>
                <w:b/>
                <w:bCs/>
                <w:i/>
                <w:sz w:val="18"/>
                <w:szCs w:val="18"/>
                <w:lang w:val="ro-MD"/>
              </w:rPr>
              <w:t>i Ceadâr-Lunga, or. Vulcăne</w:t>
            </w:r>
            <w:r w:rsidR="0069374B" w:rsidRPr="00C9418C">
              <w:rPr>
                <w:rFonts w:asciiTheme="majorHAnsi" w:hAnsiTheme="majorHAnsi" w:cstheme="majorHAnsi"/>
                <w:b/>
                <w:bCs/>
                <w:i/>
                <w:sz w:val="18"/>
                <w:szCs w:val="18"/>
                <w:lang w:val="ro-MD"/>
              </w:rPr>
              <w:t>ș</w:t>
            </w:r>
            <w:r w:rsidRPr="00C9418C">
              <w:rPr>
                <w:rFonts w:asciiTheme="majorHAnsi" w:hAnsiTheme="majorHAnsi" w:cstheme="majorHAnsi"/>
                <w:b/>
                <w:bCs/>
                <w:i/>
                <w:sz w:val="18"/>
                <w:szCs w:val="18"/>
                <w:lang w:val="ro-MD"/>
              </w:rPr>
              <w:t xml:space="preserve">ti: </w:t>
            </w:r>
          </w:p>
          <w:p w14:paraId="15296C4B" w14:textId="77777777" w:rsidR="001367E0" w:rsidRPr="00C9418C" w:rsidRDefault="001367E0" w:rsidP="00536420">
            <w:pPr>
              <w:pStyle w:val="ListParagraph"/>
              <w:numPr>
                <w:ilvl w:val="0"/>
                <w:numId w:val="5"/>
              </w:numPr>
              <w:spacing w:after="0" w:line="240" w:lineRule="auto"/>
              <w:ind w:left="32" w:hanging="32"/>
              <w:jc w:val="both"/>
              <w:rPr>
                <w:rFonts w:asciiTheme="majorHAnsi" w:hAnsiTheme="majorHAnsi" w:cstheme="majorHAnsi"/>
                <w:sz w:val="18"/>
                <w:szCs w:val="18"/>
                <w:lang w:val="ro-MD"/>
              </w:rPr>
            </w:pPr>
            <w:r w:rsidRPr="00C9418C">
              <w:rPr>
                <w:rFonts w:asciiTheme="majorHAnsi" w:hAnsiTheme="majorHAnsi" w:cstheme="majorHAnsi"/>
                <w:b/>
                <w:bCs/>
                <w:sz w:val="18"/>
                <w:szCs w:val="18"/>
                <w:lang w:val="ro-MD"/>
              </w:rPr>
              <w:t xml:space="preserve"> </w:t>
            </w:r>
            <w:r w:rsidRPr="00C9418C">
              <w:rPr>
                <w:rFonts w:asciiTheme="majorHAnsi" w:hAnsiTheme="majorHAnsi" w:cstheme="majorHAnsi"/>
                <w:sz w:val="18"/>
                <w:szCs w:val="18"/>
                <w:lang w:val="ro-MD"/>
              </w:rPr>
              <w:t>să întreprindă măsuri pentru aducerea în concordan</w:t>
            </w:r>
            <w:r w:rsidR="0069374B" w:rsidRPr="00C9418C">
              <w:rPr>
                <w:rFonts w:asciiTheme="majorHAnsi" w:hAnsiTheme="majorHAnsi" w:cstheme="majorHAnsi"/>
                <w:sz w:val="18"/>
                <w:szCs w:val="18"/>
                <w:lang w:val="ro-MD"/>
              </w:rPr>
              <w:t>ț</w:t>
            </w:r>
            <w:r w:rsidRPr="00C9418C">
              <w:rPr>
                <w:rFonts w:asciiTheme="majorHAnsi" w:hAnsiTheme="majorHAnsi" w:cstheme="majorHAnsi"/>
                <w:sz w:val="18"/>
                <w:szCs w:val="18"/>
                <w:lang w:val="ro-MD"/>
              </w:rPr>
              <w:t xml:space="preserve">ă cu norma legală a statutelor </w:t>
            </w:r>
            <w:r w:rsidR="0069374B" w:rsidRPr="00C9418C">
              <w:rPr>
                <w:rFonts w:asciiTheme="majorHAnsi" w:hAnsiTheme="majorHAnsi" w:cstheme="majorHAnsi"/>
                <w:sz w:val="18"/>
                <w:szCs w:val="18"/>
                <w:lang w:val="ro-MD"/>
              </w:rPr>
              <w:t>ș</w:t>
            </w:r>
            <w:r w:rsidRPr="00C9418C">
              <w:rPr>
                <w:rFonts w:asciiTheme="majorHAnsi" w:hAnsiTheme="majorHAnsi" w:cstheme="majorHAnsi"/>
                <w:sz w:val="18"/>
                <w:szCs w:val="18"/>
                <w:lang w:val="ro-MD"/>
              </w:rPr>
              <w:t>i activită</w:t>
            </w:r>
            <w:r w:rsidR="0069374B" w:rsidRPr="00C9418C">
              <w:rPr>
                <w:rFonts w:asciiTheme="majorHAnsi" w:hAnsiTheme="majorHAnsi" w:cstheme="majorHAnsi"/>
                <w:sz w:val="18"/>
                <w:szCs w:val="18"/>
                <w:lang w:val="ro-MD"/>
              </w:rPr>
              <w:t>ț</w:t>
            </w:r>
            <w:r w:rsidRPr="00C9418C">
              <w:rPr>
                <w:rFonts w:asciiTheme="majorHAnsi" w:hAnsiTheme="majorHAnsi" w:cstheme="majorHAnsi"/>
                <w:sz w:val="18"/>
                <w:szCs w:val="18"/>
                <w:lang w:val="ro-MD"/>
              </w:rPr>
              <w:t xml:space="preserve">ilor întreprinderilor municipale </w:t>
            </w:r>
            <w:r w:rsidR="0069374B" w:rsidRPr="00C9418C">
              <w:rPr>
                <w:rFonts w:asciiTheme="majorHAnsi" w:hAnsiTheme="majorHAnsi" w:cstheme="majorHAnsi"/>
                <w:sz w:val="18"/>
                <w:szCs w:val="18"/>
                <w:lang w:val="ro-MD"/>
              </w:rPr>
              <w:t>ș</w:t>
            </w:r>
            <w:r w:rsidRPr="00C9418C">
              <w:rPr>
                <w:rFonts w:asciiTheme="majorHAnsi" w:hAnsiTheme="majorHAnsi" w:cstheme="majorHAnsi"/>
                <w:sz w:val="18"/>
                <w:szCs w:val="18"/>
                <w:lang w:val="ro-MD"/>
              </w:rPr>
              <w:t>i institu</w:t>
            </w:r>
            <w:r w:rsidR="0069374B" w:rsidRPr="00C9418C">
              <w:rPr>
                <w:rFonts w:asciiTheme="majorHAnsi" w:hAnsiTheme="majorHAnsi" w:cstheme="majorHAnsi"/>
                <w:sz w:val="18"/>
                <w:szCs w:val="18"/>
                <w:lang w:val="ro-MD"/>
              </w:rPr>
              <w:t>ț</w:t>
            </w:r>
            <w:r w:rsidRPr="00C9418C">
              <w:rPr>
                <w:rFonts w:asciiTheme="majorHAnsi" w:hAnsiTheme="majorHAnsi" w:cstheme="majorHAnsi"/>
                <w:sz w:val="18"/>
                <w:szCs w:val="18"/>
                <w:lang w:val="ro-MD"/>
              </w:rPr>
              <w:t xml:space="preserve">iilor fondate; </w:t>
            </w:r>
          </w:p>
        </w:tc>
        <w:tc>
          <w:tcPr>
            <w:tcW w:w="3937" w:type="dxa"/>
            <w:tcBorders>
              <w:top w:val="nil"/>
              <w:left w:val="nil"/>
              <w:bottom w:val="single" w:sz="4" w:space="0" w:color="auto"/>
              <w:right w:val="single" w:sz="4" w:space="0" w:color="auto"/>
            </w:tcBorders>
            <w:shd w:val="clear" w:color="auto" w:fill="auto"/>
          </w:tcPr>
          <w:p w14:paraId="712C321D" w14:textId="5B96D29F"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Autorită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ile vizate nu au întreprins careva măsuri pentru aducerea în concordan</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ă cu norma legală a statutelor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activită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ilor întreprinderilor municipale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institu</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iilor fondate. Echipei de audit nu </w:t>
            </w:r>
            <w:r w:rsidR="00773CA1" w:rsidRPr="00C9418C">
              <w:rPr>
                <w:rFonts w:asciiTheme="majorHAnsi" w:eastAsia="Times New Roman" w:hAnsiTheme="majorHAnsi" w:cstheme="majorHAnsi"/>
                <w:bCs/>
                <w:sz w:val="18"/>
                <w:szCs w:val="18"/>
                <w:lang w:val="ro-MD"/>
              </w:rPr>
              <w:t>i-</w:t>
            </w:r>
            <w:r w:rsidRPr="00C9418C">
              <w:rPr>
                <w:rFonts w:asciiTheme="majorHAnsi" w:eastAsia="Times New Roman" w:hAnsiTheme="majorHAnsi" w:cstheme="majorHAnsi"/>
                <w:bCs/>
                <w:sz w:val="18"/>
                <w:szCs w:val="18"/>
                <w:lang w:val="ro-MD"/>
              </w:rPr>
              <w:t>au fost prezentate probe care ar confirma executarea acestei recomandări.</w:t>
            </w:r>
          </w:p>
        </w:tc>
        <w:tc>
          <w:tcPr>
            <w:tcW w:w="467" w:type="dxa"/>
            <w:tcBorders>
              <w:top w:val="nil"/>
              <w:left w:val="nil"/>
              <w:bottom w:val="single" w:sz="4" w:space="0" w:color="auto"/>
              <w:right w:val="single" w:sz="4" w:space="0" w:color="auto"/>
            </w:tcBorders>
          </w:tcPr>
          <w:p w14:paraId="478B7D9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4D5D0768"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04F1F18F"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08ECF755" w14:textId="77777777" w:rsidTr="00536420">
        <w:trPr>
          <w:gridAfter w:val="1"/>
          <w:wAfter w:w="6" w:type="dxa"/>
          <w:trHeight w:val="1577"/>
        </w:trPr>
        <w:tc>
          <w:tcPr>
            <w:tcW w:w="3855" w:type="dxa"/>
            <w:tcBorders>
              <w:top w:val="nil"/>
              <w:left w:val="single" w:sz="4" w:space="0" w:color="auto"/>
              <w:bottom w:val="single" w:sz="4" w:space="0" w:color="auto"/>
              <w:right w:val="single" w:sz="4" w:space="0" w:color="auto"/>
            </w:tcBorders>
            <w:shd w:val="clear" w:color="auto" w:fill="auto"/>
          </w:tcPr>
          <w:p w14:paraId="70AE702B" w14:textId="0C02F998" w:rsidR="001367E0" w:rsidRPr="00C9418C" w:rsidRDefault="001367E0" w:rsidP="00536420">
            <w:pPr>
              <w:pStyle w:val="ListParagraph"/>
              <w:numPr>
                <w:ilvl w:val="0"/>
                <w:numId w:val="5"/>
              </w:numPr>
              <w:spacing w:after="0" w:line="240" w:lineRule="auto"/>
              <w:ind w:left="32" w:hanging="32"/>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 xml:space="preserve">să asigure efectuarea inventarierii exhaustive a patrimoniului public transmis în administrarea întreprinderilor fondate, precum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înregistrarea conformă a acestuia în eviden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a contabilă, inclusiv a drepturilor asupra lui, cu implementarea unor proceduri eficiente de control intern în acest aspect; </w:t>
            </w:r>
          </w:p>
        </w:tc>
        <w:tc>
          <w:tcPr>
            <w:tcW w:w="3937" w:type="dxa"/>
            <w:tcBorders>
              <w:top w:val="nil"/>
              <w:left w:val="nil"/>
              <w:bottom w:val="single" w:sz="4" w:space="0" w:color="auto"/>
              <w:right w:val="single" w:sz="4" w:space="0" w:color="auto"/>
            </w:tcBorders>
            <w:shd w:val="clear" w:color="auto" w:fill="auto"/>
          </w:tcPr>
          <w:p w14:paraId="6F1217DB" w14:textId="33C0EF0C"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 xml:space="preserve">Echipei de audit nu i-au fost prezentate actele care ar confirma inventarierea exhaustivă a patrimoniului transmis în administrare întreprinderilor fondate, precum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 xml:space="preserve">i contabilizarea conformă a </w:t>
            </w:r>
            <w:r w:rsidR="00773CA1" w:rsidRPr="00C9418C">
              <w:rPr>
                <w:rFonts w:asciiTheme="majorHAnsi" w:eastAsia="Times New Roman" w:hAnsiTheme="majorHAnsi" w:cstheme="majorHAnsi"/>
                <w:bCs/>
                <w:sz w:val="18"/>
                <w:szCs w:val="18"/>
                <w:lang w:val="ro-MD"/>
              </w:rPr>
              <w:t>a</w:t>
            </w:r>
            <w:r w:rsidRPr="00C9418C">
              <w:rPr>
                <w:rFonts w:asciiTheme="majorHAnsi" w:eastAsia="Times New Roman" w:hAnsiTheme="majorHAnsi" w:cstheme="majorHAnsi"/>
                <w:bCs/>
                <w:sz w:val="18"/>
                <w:szCs w:val="18"/>
                <w:lang w:val="ro-MD"/>
              </w:rPr>
              <w:t>cestuia.</w:t>
            </w:r>
          </w:p>
        </w:tc>
        <w:tc>
          <w:tcPr>
            <w:tcW w:w="467" w:type="dxa"/>
            <w:tcBorders>
              <w:top w:val="nil"/>
              <w:left w:val="nil"/>
              <w:bottom w:val="single" w:sz="4" w:space="0" w:color="auto"/>
              <w:right w:val="single" w:sz="4" w:space="0" w:color="auto"/>
            </w:tcBorders>
          </w:tcPr>
          <w:p w14:paraId="242A1EAD"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7EE79EE5"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16C7C568"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237A88FC" w14:textId="77777777" w:rsidTr="00536420">
        <w:trPr>
          <w:gridAfter w:val="1"/>
          <w:wAfter w:w="6" w:type="dxa"/>
          <w:trHeight w:val="1259"/>
        </w:trPr>
        <w:tc>
          <w:tcPr>
            <w:tcW w:w="3855" w:type="dxa"/>
            <w:tcBorders>
              <w:top w:val="nil"/>
              <w:left w:val="single" w:sz="4" w:space="0" w:color="auto"/>
              <w:bottom w:val="single" w:sz="4" w:space="0" w:color="auto"/>
              <w:right w:val="single" w:sz="4" w:space="0" w:color="auto"/>
            </w:tcBorders>
            <w:shd w:val="clear" w:color="auto" w:fill="auto"/>
          </w:tcPr>
          <w:p w14:paraId="78E52245" w14:textId="64CDD839" w:rsidR="001367E0" w:rsidRPr="00C9418C" w:rsidRDefault="001367E0" w:rsidP="00536420">
            <w:pPr>
              <w:pStyle w:val="ListParagraph"/>
              <w:numPr>
                <w:ilvl w:val="0"/>
                <w:numId w:val="5"/>
              </w:numPr>
              <w:spacing w:after="0" w:line="240" w:lineRule="auto"/>
              <w:ind w:left="32" w:firstLine="0"/>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 xml:space="preserve">să elaboreze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să propună, spre aprobare, consiliilor locale modul de furnizare a serviciilor publice de gospodărie comunală, în scopul gestionării eficiente, în condi</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iile legii, a patrimoniului public, cu stabilirea unor proceduri de control intern exhaustive;</w:t>
            </w:r>
          </w:p>
        </w:tc>
        <w:tc>
          <w:tcPr>
            <w:tcW w:w="3937" w:type="dxa"/>
            <w:tcBorders>
              <w:top w:val="nil"/>
              <w:left w:val="nil"/>
              <w:bottom w:val="single" w:sz="4" w:space="0" w:color="auto"/>
              <w:right w:val="single" w:sz="4" w:space="0" w:color="auto"/>
            </w:tcBorders>
            <w:shd w:val="clear" w:color="auto" w:fill="auto"/>
          </w:tcPr>
          <w:p w14:paraId="09609D91" w14:textId="6454A180"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 xml:space="preserve">APL </w:t>
            </w:r>
            <w:r w:rsidR="00773CA1" w:rsidRPr="00C9418C">
              <w:rPr>
                <w:rFonts w:asciiTheme="majorHAnsi" w:eastAsia="Times New Roman" w:hAnsiTheme="majorHAnsi" w:cstheme="majorHAnsi"/>
                <w:bCs/>
                <w:sz w:val="18"/>
                <w:szCs w:val="18"/>
                <w:lang w:val="ro-MD"/>
              </w:rPr>
              <w:t xml:space="preserve">de </w:t>
            </w:r>
            <w:r w:rsidRPr="00C9418C">
              <w:rPr>
                <w:rFonts w:asciiTheme="majorHAnsi" w:eastAsia="Times New Roman" w:hAnsiTheme="majorHAnsi" w:cstheme="majorHAnsi"/>
                <w:bCs/>
                <w:sz w:val="18"/>
                <w:szCs w:val="18"/>
                <w:lang w:val="ro-MD"/>
              </w:rPr>
              <w:t xml:space="preserve">nivelul </w:t>
            </w:r>
            <w:r w:rsidR="00773CA1" w:rsidRPr="00C9418C">
              <w:rPr>
                <w:rFonts w:asciiTheme="majorHAnsi" w:eastAsia="Times New Roman" w:hAnsiTheme="majorHAnsi" w:cstheme="majorHAnsi"/>
                <w:bCs/>
                <w:sz w:val="18"/>
                <w:szCs w:val="18"/>
                <w:lang w:val="ro-MD"/>
              </w:rPr>
              <w:t xml:space="preserve">I </w:t>
            </w:r>
            <w:r w:rsidRPr="00C9418C">
              <w:rPr>
                <w:rFonts w:asciiTheme="majorHAnsi" w:eastAsia="Times New Roman" w:hAnsiTheme="majorHAnsi" w:cstheme="majorHAnsi"/>
                <w:bCs/>
                <w:sz w:val="18"/>
                <w:szCs w:val="18"/>
                <w:lang w:val="ro-MD"/>
              </w:rPr>
              <w:t>nu a</w:t>
            </w:r>
            <w:r w:rsidR="009C065B" w:rsidRPr="00C9418C">
              <w:rPr>
                <w:rFonts w:asciiTheme="majorHAnsi" w:eastAsia="Times New Roman" w:hAnsiTheme="majorHAnsi" w:cstheme="majorHAnsi"/>
                <w:bCs/>
                <w:sz w:val="18"/>
                <w:szCs w:val="18"/>
                <w:lang w:val="ro-MD"/>
              </w:rPr>
              <w:t>u</w:t>
            </w:r>
            <w:r w:rsidRPr="00C9418C">
              <w:rPr>
                <w:rFonts w:asciiTheme="majorHAnsi" w:eastAsia="Times New Roman" w:hAnsiTheme="majorHAnsi" w:cstheme="majorHAnsi"/>
                <w:bCs/>
                <w:sz w:val="18"/>
                <w:szCs w:val="18"/>
                <w:lang w:val="ro-MD"/>
              </w:rPr>
              <w:t xml:space="preserve"> prezentat echipei de audit acte care ar confirma executarea acestei recomandări.</w:t>
            </w:r>
          </w:p>
        </w:tc>
        <w:tc>
          <w:tcPr>
            <w:tcW w:w="467" w:type="dxa"/>
            <w:tcBorders>
              <w:top w:val="nil"/>
              <w:left w:val="nil"/>
              <w:bottom w:val="single" w:sz="4" w:space="0" w:color="auto"/>
              <w:right w:val="single" w:sz="4" w:space="0" w:color="auto"/>
            </w:tcBorders>
          </w:tcPr>
          <w:p w14:paraId="5A8977C0"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66C3E3CE"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040734A0"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54E1F6E1" w14:textId="77777777" w:rsidTr="00536420">
        <w:trPr>
          <w:gridAfter w:val="1"/>
          <w:wAfter w:w="6" w:type="dxa"/>
          <w:trHeight w:val="1788"/>
        </w:trPr>
        <w:tc>
          <w:tcPr>
            <w:tcW w:w="3855" w:type="dxa"/>
            <w:tcBorders>
              <w:top w:val="nil"/>
              <w:left w:val="single" w:sz="4" w:space="0" w:color="auto"/>
              <w:bottom w:val="single" w:sz="4" w:space="0" w:color="auto"/>
              <w:right w:val="single" w:sz="4" w:space="0" w:color="auto"/>
            </w:tcBorders>
            <w:shd w:val="clear" w:color="auto" w:fill="auto"/>
          </w:tcPr>
          <w:p w14:paraId="48D3FF5D" w14:textId="2EA81D5C" w:rsidR="001367E0" w:rsidRPr="00C9418C" w:rsidRDefault="001367E0" w:rsidP="00536420">
            <w:pPr>
              <w:pStyle w:val="ListParagraph"/>
              <w:numPr>
                <w:ilvl w:val="0"/>
                <w:numId w:val="5"/>
              </w:numPr>
              <w:spacing w:after="0" w:line="240" w:lineRule="auto"/>
              <w:ind w:left="32" w:firstLine="0"/>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să implementeze procese opera</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ionale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proceduri eficiente de control intern  care să asigure respectarea cadrului legal-normativ în materie de administrare/gestionare a patrimoniului public local, cu întreprinderea măsurilor de rigoare în vederea înregistrării conforme a patrimoniului proprietate publică la organele cadastrale</w:t>
            </w:r>
            <w:r w:rsidR="009C065B" w:rsidRPr="00C9418C">
              <w:rPr>
                <w:rFonts w:asciiTheme="majorHAnsi" w:eastAsia="Calibri"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07F85C4B" w14:textId="5308CB1E"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Entită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ile vizate implementează unele elemente ale controlului intern care ar asigura respectarea cadrului normativ </w:t>
            </w:r>
            <w:r w:rsidR="009C065B" w:rsidRPr="00C9418C">
              <w:rPr>
                <w:rFonts w:asciiTheme="majorHAnsi" w:eastAsia="Times New Roman" w:hAnsiTheme="majorHAnsi" w:cstheme="majorHAnsi"/>
                <w:bCs/>
                <w:sz w:val="18"/>
                <w:szCs w:val="18"/>
                <w:lang w:val="ro-MD"/>
              </w:rPr>
              <w:t>î</w:t>
            </w:r>
            <w:r w:rsidRPr="00C9418C">
              <w:rPr>
                <w:rFonts w:asciiTheme="majorHAnsi" w:eastAsia="Times New Roman" w:hAnsiTheme="majorHAnsi" w:cstheme="majorHAnsi"/>
                <w:bCs/>
                <w:sz w:val="18"/>
                <w:szCs w:val="18"/>
                <w:lang w:val="ro-MD"/>
              </w:rPr>
              <w:t>n materie de administrare/ gestionare a patrimoniului public local.</w:t>
            </w:r>
          </w:p>
        </w:tc>
        <w:tc>
          <w:tcPr>
            <w:tcW w:w="467" w:type="dxa"/>
            <w:tcBorders>
              <w:top w:val="nil"/>
              <w:left w:val="nil"/>
              <w:bottom w:val="single" w:sz="4" w:space="0" w:color="auto"/>
              <w:right w:val="single" w:sz="4" w:space="0" w:color="auto"/>
            </w:tcBorders>
          </w:tcPr>
          <w:p w14:paraId="5DF963FD"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437DCA56"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4BC80E86"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4C2D8EA0"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7BC90B86" w14:textId="77777777" w:rsidR="001367E0" w:rsidRPr="00C9418C" w:rsidRDefault="001367E0" w:rsidP="00536420">
            <w:pPr>
              <w:spacing w:after="0" w:line="240" w:lineRule="auto"/>
              <w:contextualSpacing/>
              <w:jc w:val="both"/>
              <w:rPr>
                <w:rFonts w:asciiTheme="majorHAnsi" w:eastAsia="Calibri" w:hAnsiTheme="majorHAnsi" w:cstheme="majorHAnsi"/>
                <w:sz w:val="18"/>
                <w:szCs w:val="18"/>
                <w:lang w:val="ro-MD"/>
              </w:rPr>
            </w:pPr>
            <w:r w:rsidRPr="00C9418C">
              <w:rPr>
                <w:rFonts w:asciiTheme="majorHAnsi" w:eastAsia="Calibri" w:hAnsiTheme="majorHAnsi" w:cstheme="majorHAnsi"/>
                <w:b/>
                <w:i/>
                <w:sz w:val="18"/>
                <w:szCs w:val="18"/>
                <w:lang w:val="ro-MD"/>
              </w:rPr>
              <w:t>P</w:t>
            </w:r>
            <w:r w:rsidRPr="00C9418C">
              <w:rPr>
                <w:rFonts w:asciiTheme="majorHAnsi" w:eastAsia="Calibri" w:hAnsiTheme="majorHAnsi" w:cstheme="majorHAnsi"/>
                <w:b/>
                <w:bCs/>
                <w:i/>
                <w:sz w:val="18"/>
                <w:szCs w:val="18"/>
                <w:lang w:val="ro-MD"/>
              </w:rPr>
              <w:t xml:space="preserve">rimarilor municipiilor Comrat </w:t>
            </w:r>
            <w:r w:rsidR="0069374B" w:rsidRPr="00C9418C">
              <w:rPr>
                <w:rFonts w:asciiTheme="majorHAnsi" w:eastAsia="Calibri" w:hAnsiTheme="majorHAnsi" w:cstheme="majorHAnsi"/>
                <w:b/>
                <w:bCs/>
                <w:i/>
                <w:sz w:val="18"/>
                <w:szCs w:val="18"/>
                <w:lang w:val="ro-MD"/>
              </w:rPr>
              <w:t>ș</w:t>
            </w:r>
            <w:r w:rsidRPr="00C9418C">
              <w:rPr>
                <w:rFonts w:asciiTheme="majorHAnsi" w:eastAsia="Calibri" w:hAnsiTheme="majorHAnsi" w:cstheme="majorHAnsi"/>
                <w:b/>
                <w:bCs/>
                <w:i/>
                <w:sz w:val="18"/>
                <w:szCs w:val="18"/>
                <w:lang w:val="ro-MD"/>
              </w:rPr>
              <w:t>i Ceadâr-Lunga, or. Vulcăne</w:t>
            </w:r>
            <w:r w:rsidR="0069374B" w:rsidRPr="00C9418C">
              <w:rPr>
                <w:rFonts w:asciiTheme="majorHAnsi" w:eastAsia="Calibri" w:hAnsiTheme="majorHAnsi" w:cstheme="majorHAnsi"/>
                <w:b/>
                <w:bCs/>
                <w:i/>
                <w:sz w:val="18"/>
                <w:szCs w:val="18"/>
                <w:lang w:val="ro-MD"/>
              </w:rPr>
              <w:t>ș</w:t>
            </w:r>
            <w:r w:rsidRPr="00C9418C">
              <w:rPr>
                <w:rFonts w:asciiTheme="majorHAnsi" w:eastAsia="Calibri" w:hAnsiTheme="majorHAnsi" w:cstheme="majorHAnsi"/>
                <w:b/>
                <w:bCs/>
                <w:i/>
                <w:sz w:val="18"/>
                <w:szCs w:val="18"/>
                <w:lang w:val="ro-MD"/>
              </w:rPr>
              <w:t>ti</w:t>
            </w:r>
            <w:r w:rsidRPr="00C9418C">
              <w:rPr>
                <w:rFonts w:asciiTheme="majorHAnsi" w:eastAsia="Calibri" w:hAnsiTheme="majorHAnsi" w:cstheme="majorHAnsi"/>
                <w:b/>
                <w:i/>
                <w:sz w:val="18"/>
                <w:szCs w:val="18"/>
                <w:lang w:val="ro-MD"/>
              </w:rPr>
              <w:t>:</w:t>
            </w:r>
            <w:r w:rsidRPr="00C9418C">
              <w:rPr>
                <w:rFonts w:asciiTheme="majorHAnsi" w:eastAsia="Calibri" w:hAnsiTheme="majorHAnsi" w:cstheme="majorHAnsi"/>
                <w:b/>
                <w:bCs/>
                <w:sz w:val="18"/>
                <w:szCs w:val="18"/>
                <w:lang w:val="ro-MD"/>
              </w:rPr>
              <w:t xml:space="preserve">  </w:t>
            </w:r>
          </w:p>
          <w:p w14:paraId="6ACC0232" w14:textId="178DCF23" w:rsidR="001367E0" w:rsidRPr="00C9418C" w:rsidRDefault="001367E0" w:rsidP="00536420">
            <w:pPr>
              <w:pStyle w:val="ListParagraph"/>
              <w:numPr>
                <w:ilvl w:val="0"/>
                <w:numId w:val="5"/>
              </w:numPr>
              <w:spacing w:after="0" w:line="240" w:lineRule="auto"/>
              <w:ind w:left="32" w:firstLine="0"/>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să asigure, conform prevederilor legale, stabilirea/aplicarea plă</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ii pentru folosirea terenurilor arabile proprietate publică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 xml:space="preserve">i a terenurilor proprietate publică aferente întreprinderilor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obiectivelor private</w:t>
            </w:r>
            <w:r w:rsidR="009C065B" w:rsidRPr="00C9418C">
              <w:rPr>
                <w:rFonts w:asciiTheme="majorHAnsi" w:eastAsia="Calibri"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2F7D355F" w14:textId="2F78F6A9"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Potrivit informa</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 xml:space="preserve">iilor prezentate UAT Comrat </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i Cead</w:t>
            </w:r>
            <w:r w:rsidR="009C065B"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r-Lunga, încontinuu se conformează prevederilor legale la stabilirea/aplicarea plă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ii pentru folosirea terenurilor arabile, astfel asigur</w:t>
            </w:r>
            <w:r w:rsidR="009C065B"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nd implementarea recomandării. UAT Vulcăne</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ti nu a prezentat careva acte care ar confirma întreprinderea măsurilor în acest domeniu.</w:t>
            </w:r>
          </w:p>
        </w:tc>
        <w:tc>
          <w:tcPr>
            <w:tcW w:w="467" w:type="dxa"/>
            <w:tcBorders>
              <w:top w:val="nil"/>
              <w:left w:val="nil"/>
              <w:bottom w:val="single" w:sz="4" w:space="0" w:color="auto"/>
              <w:right w:val="single" w:sz="4" w:space="0" w:color="auto"/>
            </w:tcBorders>
          </w:tcPr>
          <w:p w14:paraId="71754511"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3AE788EC"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5F7CA75D"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2B773680" w14:textId="77777777" w:rsidTr="00536420">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14:paraId="0AC562ED" w14:textId="77777777" w:rsidR="001367E0" w:rsidRPr="00C9418C" w:rsidRDefault="001367E0" w:rsidP="00536420">
            <w:pPr>
              <w:spacing w:after="0" w:line="240" w:lineRule="auto"/>
              <w:jc w:val="both"/>
              <w:rPr>
                <w:rFonts w:asciiTheme="majorHAnsi" w:eastAsia="Calibri" w:hAnsiTheme="majorHAnsi" w:cstheme="majorHAnsi"/>
                <w:b/>
                <w:i/>
                <w:sz w:val="18"/>
                <w:szCs w:val="18"/>
                <w:lang w:val="ro-MD"/>
              </w:rPr>
            </w:pPr>
            <w:r w:rsidRPr="00C9418C">
              <w:rPr>
                <w:rFonts w:asciiTheme="majorHAnsi" w:eastAsia="Calibri" w:hAnsiTheme="majorHAnsi" w:cstheme="majorHAnsi"/>
                <w:b/>
                <w:i/>
                <w:sz w:val="18"/>
                <w:szCs w:val="18"/>
                <w:lang w:val="ro-MD"/>
              </w:rPr>
              <w:t>Primarilor UAT din UTA Găgăuzia:</w:t>
            </w:r>
          </w:p>
          <w:p w14:paraId="5170C68F" w14:textId="77777777" w:rsidR="001367E0" w:rsidRPr="00C9418C" w:rsidRDefault="001367E0" w:rsidP="00536420">
            <w:pPr>
              <w:pStyle w:val="ListParagraph"/>
              <w:numPr>
                <w:ilvl w:val="0"/>
                <w:numId w:val="5"/>
              </w:numPr>
              <w:spacing w:after="0" w:line="240" w:lineRule="auto"/>
              <w:ind w:left="32" w:firstLine="0"/>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 xml:space="preserve"> să asigure respectarea cadrului legal în procesul alimentării copiilor din institu</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iile pre</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colare, cu eficientizarea controlului intern în această privin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ă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înlăturarea deficien</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elor constatate de audit;</w:t>
            </w:r>
          </w:p>
        </w:tc>
        <w:tc>
          <w:tcPr>
            <w:tcW w:w="3937" w:type="dxa"/>
            <w:tcBorders>
              <w:top w:val="nil"/>
              <w:left w:val="nil"/>
              <w:bottom w:val="single" w:sz="4" w:space="0" w:color="auto"/>
              <w:right w:val="single" w:sz="4" w:space="0" w:color="auto"/>
            </w:tcBorders>
            <w:shd w:val="clear" w:color="auto" w:fill="auto"/>
          </w:tcPr>
          <w:p w14:paraId="6E7E3915" w14:textId="76C13E58"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 xml:space="preserve">Din 25 de APL </w:t>
            </w:r>
            <w:r w:rsidR="009C065B" w:rsidRPr="00C9418C">
              <w:rPr>
                <w:rFonts w:asciiTheme="majorHAnsi" w:eastAsia="Times New Roman" w:hAnsiTheme="majorHAnsi" w:cstheme="majorHAnsi"/>
                <w:bCs/>
                <w:sz w:val="18"/>
                <w:szCs w:val="18"/>
                <w:lang w:val="ro-MD"/>
              </w:rPr>
              <w:t xml:space="preserve">de </w:t>
            </w:r>
            <w:r w:rsidRPr="00C9418C">
              <w:rPr>
                <w:rFonts w:asciiTheme="majorHAnsi" w:eastAsia="Times New Roman" w:hAnsiTheme="majorHAnsi" w:cstheme="majorHAnsi"/>
                <w:bCs/>
                <w:sz w:val="18"/>
                <w:szCs w:val="18"/>
                <w:lang w:val="ro-MD"/>
              </w:rPr>
              <w:t>nivelul I, în anul 2020, 8 APL</w:t>
            </w:r>
            <w:r w:rsidRPr="00C9418C">
              <w:rPr>
                <w:rStyle w:val="FootnoteReference"/>
                <w:rFonts w:eastAsia="Times New Roman" w:cstheme="majorHAnsi"/>
                <w:bCs/>
                <w:sz w:val="18"/>
                <w:szCs w:val="18"/>
                <w:lang w:val="ro-MD"/>
              </w:rPr>
              <w:footnoteReference w:id="108"/>
            </w:r>
            <w:r w:rsidRPr="00C9418C">
              <w:rPr>
                <w:rFonts w:asciiTheme="majorHAnsi" w:eastAsia="Times New Roman" w:hAnsiTheme="majorHAnsi" w:cstheme="majorHAnsi"/>
                <w:bCs/>
                <w:sz w:val="18"/>
                <w:szCs w:val="18"/>
                <w:lang w:val="ro-MD"/>
              </w:rPr>
              <w:t xml:space="preserve"> au asigurat respectarea normativului financiar la alimentarea copiilor din institu</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iile de învă</w:t>
            </w:r>
            <w:r w:rsidR="0069374B" w:rsidRPr="00C9418C">
              <w:rPr>
                <w:rFonts w:asciiTheme="majorHAnsi" w:eastAsia="Times New Roman" w:hAnsiTheme="majorHAnsi" w:cstheme="majorHAnsi"/>
                <w:bCs/>
                <w:sz w:val="18"/>
                <w:szCs w:val="18"/>
                <w:lang w:val="ro-MD"/>
              </w:rPr>
              <w:t>ț</w:t>
            </w:r>
            <w:r w:rsidRPr="00C9418C">
              <w:rPr>
                <w:rFonts w:asciiTheme="majorHAnsi" w:eastAsia="Times New Roman" w:hAnsiTheme="majorHAnsi" w:cstheme="majorHAnsi"/>
                <w:bCs/>
                <w:sz w:val="18"/>
                <w:szCs w:val="18"/>
                <w:lang w:val="ro-MD"/>
              </w:rPr>
              <w:t>ăm</w:t>
            </w:r>
            <w:r w:rsidR="009C065B"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nt pre</w:t>
            </w:r>
            <w:r w:rsidR="0069374B" w:rsidRPr="00C9418C">
              <w:rPr>
                <w:rFonts w:asciiTheme="majorHAnsi" w:eastAsia="Times New Roman" w:hAnsiTheme="majorHAnsi" w:cstheme="majorHAnsi"/>
                <w:bCs/>
                <w:sz w:val="18"/>
                <w:szCs w:val="18"/>
                <w:lang w:val="ro-MD"/>
              </w:rPr>
              <w:t>ș</w:t>
            </w:r>
            <w:r w:rsidRPr="00C9418C">
              <w:rPr>
                <w:rFonts w:asciiTheme="majorHAnsi" w:eastAsia="Times New Roman" w:hAnsiTheme="majorHAnsi" w:cstheme="majorHAnsi"/>
                <w:bCs/>
                <w:sz w:val="18"/>
                <w:szCs w:val="18"/>
                <w:lang w:val="ro-MD"/>
              </w:rPr>
              <w:t>colar; 5 APL</w:t>
            </w:r>
            <w:r w:rsidRPr="00C9418C">
              <w:rPr>
                <w:rStyle w:val="FootnoteReference"/>
                <w:rFonts w:eastAsia="Times New Roman" w:cstheme="majorHAnsi"/>
                <w:bCs/>
                <w:sz w:val="18"/>
                <w:szCs w:val="18"/>
                <w:lang w:val="ro-MD"/>
              </w:rPr>
              <w:footnoteReference w:id="109"/>
            </w:r>
            <w:r w:rsidRPr="00C9418C">
              <w:rPr>
                <w:rFonts w:asciiTheme="majorHAnsi" w:eastAsia="Times New Roman" w:hAnsiTheme="majorHAnsi" w:cstheme="majorHAnsi"/>
                <w:bCs/>
                <w:sz w:val="18"/>
                <w:szCs w:val="18"/>
                <w:lang w:val="ro-MD"/>
              </w:rPr>
              <w:t xml:space="preserve"> au asigurat respectarea normativului financiar diminuat cu p</w:t>
            </w:r>
            <w:r w:rsidR="009C065B" w:rsidRPr="00C9418C">
              <w:rPr>
                <w:rFonts w:asciiTheme="majorHAnsi" w:eastAsia="Times New Roman" w:hAnsiTheme="majorHAnsi" w:cstheme="majorHAnsi"/>
                <w:bCs/>
                <w:sz w:val="18"/>
                <w:szCs w:val="18"/>
                <w:lang w:val="ro-MD"/>
              </w:rPr>
              <w:t>â</w:t>
            </w:r>
            <w:r w:rsidRPr="00C9418C">
              <w:rPr>
                <w:rFonts w:asciiTheme="majorHAnsi" w:eastAsia="Times New Roman" w:hAnsiTheme="majorHAnsi" w:cstheme="majorHAnsi"/>
                <w:bCs/>
                <w:sz w:val="18"/>
                <w:szCs w:val="18"/>
                <w:lang w:val="ro-MD"/>
              </w:rPr>
              <w:t>nă la 1 lei/per copil/zi, iar 12 APL</w:t>
            </w:r>
            <w:r w:rsidRPr="00C9418C">
              <w:rPr>
                <w:rStyle w:val="FootnoteReference"/>
                <w:rFonts w:eastAsia="Times New Roman" w:cstheme="majorHAnsi"/>
                <w:bCs/>
                <w:sz w:val="18"/>
                <w:szCs w:val="18"/>
                <w:lang w:val="ro-MD"/>
              </w:rPr>
              <w:footnoteReference w:id="110"/>
            </w:r>
            <w:r w:rsidRPr="00C9418C">
              <w:rPr>
                <w:rFonts w:asciiTheme="majorHAnsi" w:eastAsia="Times New Roman" w:hAnsiTheme="majorHAnsi" w:cstheme="majorHAnsi"/>
                <w:bCs/>
                <w:sz w:val="18"/>
                <w:szCs w:val="18"/>
                <w:lang w:val="ro-MD"/>
              </w:rPr>
              <w:t xml:space="preserve"> în continuare nu au asigurat respectare</w:t>
            </w:r>
            <w:r w:rsidR="009C065B" w:rsidRPr="00C9418C">
              <w:rPr>
                <w:rFonts w:asciiTheme="majorHAnsi" w:eastAsia="Times New Roman" w:hAnsiTheme="majorHAnsi" w:cstheme="majorHAnsi"/>
                <w:bCs/>
                <w:sz w:val="18"/>
                <w:szCs w:val="18"/>
                <w:lang w:val="ro-MD"/>
              </w:rPr>
              <w:t>a</w:t>
            </w:r>
            <w:r w:rsidRPr="00C9418C">
              <w:rPr>
                <w:rFonts w:asciiTheme="majorHAnsi" w:eastAsia="Times New Roman" w:hAnsiTheme="majorHAnsi" w:cstheme="majorHAnsi"/>
                <w:bCs/>
                <w:sz w:val="18"/>
                <w:szCs w:val="18"/>
                <w:lang w:val="ro-MD"/>
              </w:rPr>
              <w:t xml:space="preserve"> acestuia.</w:t>
            </w:r>
          </w:p>
        </w:tc>
        <w:tc>
          <w:tcPr>
            <w:tcW w:w="467" w:type="dxa"/>
            <w:tcBorders>
              <w:top w:val="nil"/>
              <w:left w:val="nil"/>
              <w:bottom w:val="single" w:sz="4" w:space="0" w:color="auto"/>
              <w:right w:val="single" w:sz="4" w:space="0" w:color="auto"/>
            </w:tcBorders>
          </w:tcPr>
          <w:p w14:paraId="7B60D25C"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4C731DD0"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774BA148"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r w:rsidR="001367E0" w:rsidRPr="00C9418C" w14:paraId="2120F0B7" w14:textId="77777777" w:rsidTr="00536420">
        <w:trPr>
          <w:gridAfter w:val="1"/>
          <w:wAfter w:w="6" w:type="dxa"/>
          <w:trHeight w:val="1153"/>
        </w:trPr>
        <w:tc>
          <w:tcPr>
            <w:tcW w:w="3855" w:type="dxa"/>
            <w:tcBorders>
              <w:top w:val="nil"/>
              <w:left w:val="single" w:sz="4" w:space="0" w:color="auto"/>
              <w:bottom w:val="single" w:sz="4" w:space="0" w:color="auto"/>
              <w:right w:val="single" w:sz="4" w:space="0" w:color="auto"/>
            </w:tcBorders>
            <w:shd w:val="clear" w:color="auto" w:fill="auto"/>
          </w:tcPr>
          <w:p w14:paraId="1772A358" w14:textId="77777777" w:rsidR="001367E0" w:rsidRPr="00C9418C" w:rsidRDefault="001367E0" w:rsidP="00536420">
            <w:pPr>
              <w:spacing w:after="0" w:line="240" w:lineRule="auto"/>
              <w:jc w:val="both"/>
              <w:rPr>
                <w:rFonts w:asciiTheme="majorHAnsi" w:eastAsia="Calibri" w:hAnsiTheme="majorHAnsi" w:cstheme="majorHAnsi"/>
                <w:b/>
                <w:i/>
                <w:sz w:val="18"/>
                <w:szCs w:val="18"/>
                <w:lang w:val="ro-MD"/>
              </w:rPr>
            </w:pPr>
            <w:r w:rsidRPr="00C9418C">
              <w:rPr>
                <w:rFonts w:asciiTheme="majorHAnsi" w:eastAsia="Calibri" w:hAnsiTheme="majorHAnsi" w:cstheme="majorHAnsi"/>
                <w:b/>
                <w:i/>
                <w:sz w:val="18"/>
                <w:szCs w:val="18"/>
                <w:lang w:val="ro-MD"/>
              </w:rPr>
              <w:t>Primarilor mun.Comrat, mun.Ceadâr-Lunga, or.Vulcăne</w:t>
            </w:r>
            <w:r w:rsidR="0069374B" w:rsidRPr="00C9418C">
              <w:rPr>
                <w:rFonts w:asciiTheme="majorHAnsi" w:eastAsia="Calibri" w:hAnsiTheme="majorHAnsi" w:cstheme="majorHAnsi"/>
                <w:b/>
                <w:i/>
                <w:sz w:val="18"/>
                <w:szCs w:val="18"/>
                <w:lang w:val="ro-MD"/>
              </w:rPr>
              <w:t>ș</w:t>
            </w:r>
            <w:r w:rsidRPr="00C9418C">
              <w:rPr>
                <w:rFonts w:asciiTheme="majorHAnsi" w:eastAsia="Calibri" w:hAnsiTheme="majorHAnsi" w:cstheme="majorHAnsi"/>
                <w:b/>
                <w:i/>
                <w:sz w:val="18"/>
                <w:szCs w:val="18"/>
                <w:lang w:val="ro-MD"/>
              </w:rPr>
              <w:t xml:space="preserve">ti </w:t>
            </w:r>
            <w:r w:rsidR="0069374B" w:rsidRPr="00C9418C">
              <w:rPr>
                <w:rFonts w:asciiTheme="majorHAnsi" w:eastAsia="Calibri" w:hAnsiTheme="majorHAnsi" w:cstheme="majorHAnsi"/>
                <w:b/>
                <w:i/>
                <w:sz w:val="18"/>
                <w:szCs w:val="18"/>
                <w:lang w:val="ro-MD"/>
              </w:rPr>
              <w:t>ș</w:t>
            </w:r>
            <w:r w:rsidRPr="00C9418C">
              <w:rPr>
                <w:rFonts w:asciiTheme="majorHAnsi" w:eastAsia="Calibri" w:hAnsiTheme="majorHAnsi" w:cstheme="majorHAnsi"/>
                <w:b/>
                <w:i/>
                <w:sz w:val="18"/>
                <w:szCs w:val="18"/>
                <w:lang w:val="ro-MD"/>
              </w:rPr>
              <w:t xml:space="preserve">i s. Copceac: </w:t>
            </w:r>
          </w:p>
          <w:p w14:paraId="23F12E74" w14:textId="6E81BAAA" w:rsidR="001367E0" w:rsidRPr="00C9418C" w:rsidRDefault="001367E0" w:rsidP="00536420">
            <w:pPr>
              <w:pStyle w:val="ListParagraph"/>
              <w:numPr>
                <w:ilvl w:val="0"/>
                <w:numId w:val="5"/>
              </w:numPr>
              <w:spacing w:after="0" w:line="240" w:lineRule="auto"/>
              <w:ind w:left="32" w:firstLine="0"/>
              <w:jc w:val="both"/>
              <w:rPr>
                <w:rFonts w:asciiTheme="majorHAnsi" w:eastAsia="Calibri" w:hAnsiTheme="majorHAnsi" w:cstheme="majorHAnsi"/>
                <w:sz w:val="18"/>
                <w:szCs w:val="18"/>
                <w:lang w:val="ro-MD"/>
              </w:rPr>
            </w:pPr>
            <w:r w:rsidRPr="00C9418C">
              <w:rPr>
                <w:rFonts w:asciiTheme="majorHAnsi" w:eastAsia="Calibri" w:hAnsiTheme="majorHAnsi" w:cstheme="majorHAnsi"/>
                <w:sz w:val="18"/>
                <w:szCs w:val="18"/>
                <w:lang w:val="ro-MD"/>
              </w:rPr>
              <w:t xml:space="preserve"> să asigure înlăturarea iregularită</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ilor constatate de audit la efectuarea cheltuielilor bugetare din domeniul investi</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 xml:space="preserve">iilor capitale </w:t>
            </w:r>
            <w:r w:rsidR="0069374B" w:rsidRPr="00C9418C">
              <w:rPr>
                <w:rFonts w:asciiTheme="majorHAnsi" w:eastAsia="Calibri" w:hAnsiTheme="majorHAnsi" w:cstheme="majorHAnsi"/>
                <w:sz w:val="18"/>
                <w:szCs w:val="18"/>
                <w:lang w:val="ro-MD"/>
              </w:rPr>
              <w:t>ș</w:t>
            </w:r>
            <w:r w:rsidRPr="00C9418C">
              <w:rPr>
                <w:rFonts w:asciiTheme="majorHAnsi" w:eastAsia="Calibri" w:hAnsiTheme="majorHAnsi" w:cstheme="majorHAnsi"/>
                <w:sz w:val="18"/>
                <w:szCs w:val="18"/>
                <w:lang w:val="ro-MD"/>
              </w:rPr>
              <w:t>i achizi</w:t>
            </w:r>
            <w:r w:rsidR="0069374B" w:rsidRPr="00C9418C">
              <w:rPr>
                <w:rFonts w:asciiTheme="majorHAnsi" w:eastAsia="Calibri" w:hAnsiTheme="majorHAnsi" w:cstheme="majorHAnsi"/>
                <w:sz w:val="18"/>
                <w:szCs w:val="18"/>
                <w:lang w:val="ro-MD"/>
              </w:rPr>
              <w:t>ț</w:t>
            </w:r>
            <w:r w:rsidRPr="00C9418C">
              <w:rPr>
                <w:rFonts w:asciiTheme="majorHAnsi" w:eastAsia="Calibri" w:hAnsiTheme="majorHAnsi" w:cstheme="majorHAnsi"/>
                <w:sz w:val="18"/>
                <w:szCs w:val="18"/>
                <w:lang w:val="ro-MD"/>
              </w:rPr>
              <w:t>iilor publice</w:t>
            </w:r>
            <w:r w:rsidR="009C065B" w:rsidRPr="00C9418C">
              <w:rPr>
                <w:rFonts w:asciiTheme="majorHAnsi" w:eastAsia="Calibri" w:hAnsiTheme="majorHAnsi" w:cstheme="majorHAnsi"/>
                <w:sz w:val="18"/>
                <w:szCs w:val="18"/>
                <w:lang w:val="ro-MD"/>
              </w:rPr>
              <w:t>.</w:t>
            </w:r>
          </w:p>
        </w:tc>
        <w:tc>
          <w:tcPr>
            <w:tcW w:w="3937" w:type="dxa"/>
            <w:tcBorders>
              <w:top w:val="nil"/>
              <w:left w:val="nil"/>
              <w:bottom w:val="single" w:sz="4" w:space="0" w:color="auto"/>
              <w:right w:val="single" w:sz="4" w:space="0" w:color="auto"/>
            </w:tcBorders>
            <w:shd w:val="clear" w:color="auto" w:fill="auto"/>
          </w:tcPr>
          <w:p w14:paraId="768FD68E" w14:textId="2832CE6E"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 xml:space="preserve">APL </w:t>
            </w:r>
            <w:r w:rsidR="009C065B" w:rsidRPr="00C9418C">
              <w:rPr>
                <w:rFonts w:asciiTheme="majorHAnsi" w:eastAsia="Times New Roman" w:hAnsiTheme="majorHAnsi" w:cstheme="majorHAnsi"/>
                <w:bCs/>
                <w:sz w:val="18"/>
                <w:szCs w:val="18"/>
                <w:lang w:val="ro-MD"/>
              </w:rPr>
              <w:t xml:space="preserve">de </w:t>
            </w:r>
            <w:r w:rsidRPr="00C9418C">
              <w:rPr>
                <w:rFonts w:asciiTheme="majorHAnsi" w:eastAsia="Times New Roman" w:hAnsiTheme="majorHAnsi" w:cstheme="majorHAnsi"/>
                <w:bCs/>
                <w:sz w:val="18"/>
                <w:szCs w:val="18"/>
                <w:lang w:val="ro-MD"/>
              </w:rPr>
              <w:t xml:space="preserve">nivelul </w:t>
            </w:r>
            <w:r w:rsidR="009C065B" w:rsidRPr="00C9418C">
              <w:rPr>
                <w:rFonts w:asciiTheme="majorHAnsi" w:eastAsia="Times New Roman" w:hAnsiTheme="majorHAnsi" w:cstheme="majorHAnsi"/>
                <w:bCs/>
                <w:sz w:val="18"/>
                <w:szCs w:val="18"/>
                <w:lang w:val="ro-MD"/>
              </w:rPr>
              <w:t xml:space="preserve">I </w:t>
            </w:r>
            <w:r w:rsidRPr="00C9418C">
              <w:rPr>
                <w:rFonts w:asciiTheme="majorHAnsi" w:eastAsia="Times New Roman" w:hAnsiTheme="majorHAnsi" w:cstheme="majorHAnsi"/>
                <w:bCs/>
                <w:sz w:val="18"/>
                <w:szCs w:val="18"/>
                <w:lang w:val="ro-MD"/>
              </w:rPr>
              <w:t>nu a</w:t>
            </w:r>
            <w:r w:rsidR="009C065B" w:rsidRPr="00C9418C">
              <w:rPr>
                <w:rFonts w:asciiTheme="majorHAnsi" w:eastAsia="Times New Roman" w:hAnsiTheme="majorHAnsi" w:cstheme="majorHAnsi"/>
                <w:bCs/>
                <w:sz w:val="18"/>
                <w:szCs w:val="18"/>
                <w:lang w:val="ro-MD"/>
              </w:rPr>
              <w:t>u</w:t>
            </w:r>
            <w:r w:rsidRPr="00C9418C">
              <w:rPr>
                <w:rFonts w:asciiTheme="majorHAnsi" w:eastAsia="Times New Roman" w:hAnsiTheme="majorHAnsi" w:cstheme="majorHAnsi"/>
                <w:bCs/>
                <w:sz w:val="18"/>
                <w:szCs w:val="18"/>
                <w:lang w:val="ro-MD"/>
              </w:rPr>
              <w:t xml:space="preserve"> prezentat echipei de audit acte care ar confirma executarea acestei recomandări.</w:t>
            </w:r>
          </w:p>
        </w:tc>
        <w:tc>
          <w:tcPr>
            <w:tcW w:w="467" w:type="dxa"/>
            <w:tcBorders>
              <w:top w:val="nil"/>
              <w:left w:val="nil"/>
              <w:bottom w:val="single" w:sz="4" w:space="0" w:color="auto"/>
              <w:right w:val="single" w:sz="4" w:space="0" w:color="auto"/>
            </w:tcBorders>
          </w:tcPr>
          <w:p w14:paraId="0726EB31"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7B1975F6"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1ACF634B" w14:textId="77777777" w:rsidR="001367E0" w:rsidRPr="00C9418C" w:rsidRDefault="001367E0" w:rsidP="00536420">
            <w:pPr>
              <w:pStyle w:val="ListParagraph"/>
              <w:numPr>
                <w:ilvl w:val="0"/>
                <w:numId w:val="24"/>
              </w:numPr>
              <w:spacing w:after="0" w:line="240" w:lineRule="auto"/>
              <w:jc w:val="center"/>
              <w:rPr>
                <w:rFonts w:asciiTheme="majorHAnsi" w:eastAsia="Times New Roman" w:hAnsiTheme="majorHAnsi" w:cstheme="majorHAnsi"/>
                <w:b/>
                <w:bCs/>
                <w:sz w:val="18"/>
                <w:szCs w:val="18"/>
                <w:lang w:val="ro-MD"/>
              </w:rPr>
            </w:pPr>
          </w:p>
        </w:tc>
      </w:tr>
      <w:tr w:rsidR="001367E0" w:rsidRPr="00C9418C" w14:paraId="691D4F82" w14:textId="77777777" w:rsidTr="00536420">
        <w:trPr>
          <w:gridAfter w:val="1"/>
          <w:wAfter w:w="6" w:type="dxa"/>
          <w:trHeight w:val="778"/>
        </w:trPr>
        <w:tc>
          <w:tcPr>
            <w:tcW w:w="3855" w:type="dxa"/>
            <w:tcBorders>
              <w:top w:val="nil"/>
              <w:left w:val="single" w:sz="4" w:space="0" w:color="auto"/>
              <w:bottom w:val="single" w:sz="4" w:space="0" w:color="auto"/>
              <w:right w:val="single" w:sz="4" w:space="0" w:color="auto"/>
            </w:tcBorders>
            <w:shd w:val="clear" w:color="auto" w:fill="auto"/>
          </w:tcPr>
          <w:p w14:paraId="07BF665D" w14:textId="491172B4" w:rsidR="001367E0" w:rsidRPr="00C9418C" w:rsidRDefault="001367E0" w:rsidP="00536420">
            <w:pPr>
              <w:spacing w:after="0" w:line="240" w:lineRule="auto"/>
              <w:ind w:firstLine="720"/>
              <w:contextualSpacing/>
              <w:jc w:val="both"/>
              <w:rPr>
                <w:rFonts w:asciiTheme="majorHAnsi" w:eastAsia="Calibri" w:hAnsiTheme="majorHAnsi" w:cstheme="majorHAnsi"/>
                <w:b/>
                <w:sz w:val="18"/>
                <w:szCs w:val="18"/>
                <w:lang w:val="ro-MD"/>
              </w:rPr>
            </w:pPr>
            <w:r w:rsidRPr="00C9418C">
              <w:rPr>
                <w:rFonts w:asciiTheme="majorHAnsi" w:eastAsia="Calibri" w:hAnsiTheme="majorHAnsi" w:cstheme="majorHAnsi"/>
                <w:b/>
                <w:bCs/>
                <w:i/>
                <w:iCs/>
                <w:sz w:val="18"/>
                <w:szCs w:val="18"/>
                <w:lang w:val="ro-MD"/>
              </w:rPr>
              <w:t xml:space="preserve">Comitetului Executiv al UTA Găgăuzia </w:t>
            </w:r>
            <w:r w:rsidR="0069374B" w:rsidRPr="00C9418C">
              <w:rPr>
                <w:rFonts w:asciiTheme="majorHAnsi" w:eastAsia="Calibri" w:hAnsiTheme="majorHAnsi" w:cstheme="majorHAnsi"/>
                <w:b/>
                <w:bCs/>
                <w:i/>
                <w:iCs/>
                <w:sz w:val="18"/>
                <w:szCs w:val="18"/>
                <w:lang w:val="ro-MD"/>
              </w:rPr>
              <w:t>ș</w:t>
            </w:r>
            <w:r w:rsidRPr="00C9418C">
              <w:rPr>
                <w:rFonts w:asciiTheme="majorHAnsi" w:eastAsia="Calibri" w:hAnsiTheme="majorHAnsi" w:cstheme="majorHAnsi"/>
                <w:b/>
                <w:bCs/>
                <w:i/>
                <w:iCs/>
                <w:sz w:val="18"/>
                <w:szCs w:val="18"/>
                <w:lang w:val="ro-MD"/>
              </w:rPr>
              <w:t>i Adunării Populare</w:t>
            </w:r>
            <w:r w:rsidR="009C065B" w:rsidRPr="00C9418C">
              <w:rPr>
                <w:rFonts w:asciiTheme="majorHAnsi" w:eastAsia="Calibri" w:hAnsiTheme="majorHAnsi" w:cstheme="majorHAnsi"/>
                <w:b/>
                <w:bCs/>
                <w:i/>
                <w:iCs/>
                <w:sz w:val="18"/>
                <w:szCs w:val="18"/>
                <w:lang w:val="ro-MD"/>
              </w:rPr>
              <w:t xml:space="preserve"> a Găgăuziei</w:t>
            </w:r>
            <w:r w:rsidRPr="00C9418C">
              <w:rPr>
                <w:rFonts w:asciiTheme="majorHAnsi" w:eastAsia="Calibri" w:hAnsiTheme="majorHAnsi" w:cstheme="majorHAnsi"/>
                <w:b/>
                <w:bCs/>
                <w:i/>
                <w:iCs/>
                <w:sz w:val="18"/>
                <w:szCs w:val="18"/>
                <w:lang w:val="ro-MD"/>
              </w:rPr>
              <w:t>:</w:t>
            </w:r>
            <w:r w:rsidRPr="00C9418C">
              <w:rPr>
                <w:rFonts w:asciiTheme="majorHAnsi" w:eastAsia="Calibri" w:hAnsiTheme="majorHAnsi" w:cstheme="majorHAnsi"/>
                <w:sz w:val="18"/>
                <w:szCs w:val="18"/>
                <w:lang w:val="ro-MD"/>
              </w:rPr>
              <w:t xml:space="preserve"> </w:t>
            </w:r>
          </w:p>
          <w:p w14:paraId="661AE28B" w14:textId="74EDD620" w:rsidR="001367E0" w:rsidRPr="00C9418C" w:rsidRDefault="001367E0" w:rsidP="00536420">
            <w:pPr>
              <w:spacing w:after="0" w:line="240" w:lineRule="auto"/>
              <w:contextualSpacing/>
              <w:jc w:val="both"/>
              <w:rPr>
                <w:rFonts w:asciiTheme="majorHAnsi" w:eastAsia="Calibri" w:hAnsiTheme="majorHAnsi" w:cstheme="majorHAnsi"/>
                <w:b/>
                <w:sz w:val="18"/>
                <w:szCs w:val="18"/>
                <w:lang w:val="ro-MD"/>
              </w:rPr>
            </w:pPr>
            <w:r w:rsidRPr="00C9418C">
              <w:rPr>
                <w:rFonts w:asciiTheme="majorHAnsi" w:eastAsia="Calibri" w:hAnsiTheme="majorHAnsi" w:cstheme="majorHAnsi"/>
                <w:sz w:val="18"/>
                <w:szCs w:val="18"/>
                <w:lang w:val="ro-MD"/>
              </w:rPr>
              <w:t>18. să asigure utilizarea conformă a mijloacelor fondului de rezervă.</w:t>
            </w:r>
          </w:p>
        </w:tc>
        <w:tc>
          <w:tcPr>
            <w:tcW w:w="3937" w:type="dxa"/>
            <w:tcBorders>
              <w:top w:val="nil"/>
              <w:left w:val="nil"/>
              <w:bottom w:val="single" w:sz="4" w:space="0" w:color="auto"/>
              <w:right w:val="single" w:sz="4" w:space="0" w:color="auto"/>
            </w:tcBorders>
            <w:shd w:val="clear" w:color="auto" w:fill="auto"/>
          </w:tcPr>
          <w:p w14:paraId="3071E004" w14:textId="46C9A384" w:rsidR="001367E0" w:rsidRPr="00C9418C" w:rsidRDefault="001367E0" w:rsidP="00536420">
            <w:pPr>
              <w:spacing w:after="0" w:line="240" w:lineRule="auto"/>
              <w:jc w:val="both"/>
              <w:rPr>
                <w:rFonts w:asciiTheme="majorHAnsi" w:eastAsia="Times New Roman" w:hAnsiTheme="majorHAnsi" w:cstheme="majorHAnsi"/>
                <w:bCs/>
                <w:sz w:val="18"/>
                <w:szCs w:val="18"/>
                <w:lang w:val="ro-MD"/>
              </w:rPr>
            </w:pPr>
            <w:r w:rsidRPr="00C9418C">
              <w:rPr>
                <w:rFonts w:asciiTheme="majorHAnsi" w:eastAsia="Times New Roman" w:hAnsiTheme="majorHAnsi" w:cstheme="majorHAnsi"/>
                <w:bCs/>
                <w:sz w:val="18"/>
                <w:szCs w:val="18"/>
                <w:lang w:val="ro-MD"/>
              </w:rPr>
              <w:t>Această recomandarea a decăzut pentru a fi implementată</w:t>
            </w:r>
            <w:r w:rsidR="009C065B" w:rsidRPr="00C9418C">
              <w:rPr>
                <w:rFonts w:asciiTheme="majorHAnsi" w:eastAsia="Times New Roman" w:hAnsiTheme="majorHAnsi" w:cstheme="majorHAnsi"/>
                <w:bCs/>
                <w:sz w:val="18"/>
                <w:szCs w:val="18"/>
                <w:lang w:val="ro-MD"/>
              </w:rPr>
              <w:t>.</w:t>
            </w:r>
          </w:p>
        </w:tc>
        <w:tc>
          <w:tcPr>
            <w:tcW w:w="467" w:type="dxa"/>
            <w:tcBorders>
              <w:top w:val="nil"/>
              <w:left w:val="nil"/>
              <w:bottom w:val="single" w:sz="4" w:space="0" w:color="auto"/>
              <w:right w:val="single" w:sz="4" w:space="0" w:color="auto"/>
            </w:tcBorders>
          </w:tcPr>
          <w:p w14:paraId="1BABB40D"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708" w:type="dxa"/>
            <w:tcBorders>
              <w:top w:val="nil"/>
              <w:left w:val="nil"/>
              <w:bottom w:val="single" w:sz="4" w:space="0" w:color="auto"/>
              <w:right w:val="single" w:sz="4" w:space="0" w:color="auto"/>
            </w:tcBorders>
          </w:tcPr>
          <w:p w14:paraId="25270BD9"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c>
          <w:tcPr>
            <w:tcW w:w="533" w:type="dxa"/>
            <w:tcBorders>
              <w:top w:val="nil"/>
              <w:left w:val="nil"/>
              <w:bottom w:val="single" w:sz="4" w:space="0" w:color="auto"/>
              <w:right w:val="single" w:sz="4" w:space="0" w:color="auto"/>
            </w:tcBorders>
          </w:tcPr>
          <w:p w14:paraId="65FE555A" w14:textId="77777777" w:rsidR="001367E0" w:rsidRPr="00C9418C" w:rsidRDefault="001367E0" w:rsidP="00536420">
            <w:pPr>
              <w:spacing w:after="0" w:line="240" w:lineRule="auto"/>
              <w:jc w:val="center"/>
              <w:rPr>
                <w:rFonts w:asciiTheme="majorHAnsi" w:eastAsia="Times New Roman" w:hAnsiTheme="majorHAnsi" w:cstheme="majorHAnsi"/>
                <w:b/>
                <w:bCs/>
                <w:sz w:val="18"/>
                <w:szCs w:val="18"/>
                <w:lang w:val="ro-MD"/>
              </w:rPr>
            </w:pPr>
          </w:p>
        </w:tc>
      </w:tr>
    </w:tbl>
    <w:p w14:paraId="24802B0F" w14:textId="77777777" w:rsidR="001367E0" w:rsidRPr="00363CFA" w:rsidRDefault="001367E0" w:rsidP="00C9418C">
      <w:pPr>
        <w:spacing w:after="0"/>
        <w:rPr>
          <w:lang w:val="ro-MD"/>
        </w:rPr>
      </w:pPr>
    </w:p>
    <w:p w14:paraId="6400A973" w14:textId="42F46772" w:rsidR="008831AE" w:rsidRPr="00363CFA" w:rsidRDefault="008831AE" w:rsidP="00C9418C">
      <w:pPr>
        <w:keepNext/>
        <w:keepLines/>
        <w:spacing w:after="0" w:line="276" w:lineRule="auto"/>
        <w:jc w:val="both"/>
        <w:outlineLvl w:val="0"/>
        <w:rPr>
          <w:rFonts w:asciiTheme="majorHAnsi" w:eastAsia="Times New Roman" w:hAnsiTheme="majorHAnsi" w:cstheme="majorHAnsi"/>
          <w:b/>
          <w:sz w:val="24"/>
          <w:szCs w:val="24"/>
          <w:lang w:val="ro-MD"/>
        </w:rPr>
      </w:pPr>
    </w:p>
    <w:sectPr w:rsidR="008831AE" w:rsidRPr="00363CFA" w:rsidSect="0040565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57BA" w14:textId="77777777" w:rsidR="00E11758" w:rsidRDefault="00E11758" w:rsidP="00C23DCE">
      <w:pPr>
        <w:spacing w:after="0" w:line="240" w:lineRule="auto"/>
      </w:pPr>
      <w:r>
        <w:separator/>
      </w:r>
    </w:p>
  </w:endnote>
  <w:endnote w:type="continuationSeparator" w:id="0">
    <w:p w14:paraId="78AC9ECD" w14:textId="77777777" w:rsidR="00E11758" w:rsidRDefault="00E11758" w:rsidP="00C2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7CAD00DA" w14:textId="46FE9181" w:rsidR="00497136" w:rsidRDefault="00497136">
        <w:pPr>
          <w:pStyle w:val="Footer"/>
          <w:jc w:val="right"/>
        </w:pPr>
        <w:r>
          <w:fldChar w:fldCharType="begin"/>
        </w:r>
        <w:r>
          <w:instrText xml:space="preserve"> PAGE   \* MERGEFORMAT </w:instrText>
        </w:r>
        <w:r>
          <w:fldChar w:fldCharType="separate"/>
        </w:r>
        <w:r w:rsidR="00A23037">
          <w:rPr>
            <w:noProof/>
          </w:rPr>
          <w:t>28</w:t>
        </w:r>
        <w:r>
          <w:rPr>
            <w:noProof/>
          </w:rPr>
          <w:fldChar w:fldCharType="end"/>
        </w:r>
      </w:p>
    </w:sdtContent>
  </w:sdt>
  <w:p w14:paraId="1406B0F2" w14:textId="77777777" w:rsidR="00497136" w:rsidRDefault="00497136" w:rsidP="00040A69">
    <w:pPr>
      <w:pStyle w:val="Footer"/>
      <w:tabs>
        <w:tab w:val="clear" w:pos="4844"/>
        <w:tab w:val="clear" w:pos="9689"/>
        <w:tab w:val="left" w:pos="333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14:paraId="3B12E9BD" w14:textId="19A7E4EE" w:rsidR="00497136" w:rsidRDefault="00497136">
        <w:pPr>
          <w:pStyle w:val="Footer"/>
          <w:jc w:val="right"/>
        </w:pPr>
        <w:r>
          <w:fldChar w:fldCharType="begin"/>
        </w:r>
        <w:r>
          <w:instrText xml:space="preserve"> PAGE   \* MERGEFORMAT </w:instrText>
        </w:r>
        <w:r>
          <w:fldChar w:fldCharType="separate"/>
        </w:r>
        <w:r w:rsidR="00A23037">
          <w:rPr>
            <w:noProof/>
          </w:rPr>
          <w:t>1</w:t>
        </w:r>
        <w:r>
          <w:rPr>
            <w:noProof/>
          </w:rPr>
          <w:fldChar w:fldCharType="end"/>
        </w:r>
      </w:p>
    </w:sdtContent>
  </w:sdt>
  <w:p w14:paraId="5F9DDD7C" w14:textId="77777777" w:rsidR="00497136" w:rsidRDefault="00497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F71A" w14:textId="77777777" w:rsidR="00E11758" w:rsidRDefault="00E11758" w:rsidP="00C23DCE">
      <w:pPr>
        <w:spacing w:after="0" w:line="240" w:lineRule="auto"/>
      </w:pPr>
      <w:r>
        <w:separator/>
      </w:r>
    </w:p>
  </w:footnote>
  <w:footnote w:type="continuationSeparator" w:id="0">
    <w:p w14:paraId="79F7C995" w14:textId="77777777" w:rsidR="00E11758" w:rsidRDefault="00E11758" w:rsidP="00C23DCE">
      <w:pPr>
        <w:spacing w:after="0" w:line="240" w:lineRule="auto"/>
      </w:pPr>
      <w:r>
        <w:continuationSeparator/>
      </w:r>
    </w:p>
  </w:footnote>
  <w:footnote w:id="1">
    <w:p w14:paraId="3C20738B"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Art.111 din Constituția Republicii Moldova, adoptată la 29.07.1994.</w:t>
      </w:r>
    </w:p>
  </w:footnote>
  <w:footnote w:id="2">
    <w:p w14:paraId="43FD733D" w14:textId="2946DB0C"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Legea nr.764-XV din 27.12.2001 </w:t>
      </w:r>
      <w:r>
        <w:rPr>
          <w:rFonts w:asciiTheme="majorHAnsi" w:eastAsia="Times New Roman" w:hAnsiTheme="majorHAnsi" w:cstheme="majorHAnsi"/>
          <w:sz w:val="16"/>
          <w:szCs w:val="16"/>
          <w:lang w:val="ro-MD"/>
        </w:rPr>
        <w:t>p</w:t>
      </w:r>
      <w:r w:rsidRPr="00C12753">
        <w:rPr>
          <w:rFonts w:asciiTheme="majorHAnsi" w:eastAsia="Times New Roman" w:hAnsiTheme="majorHAnsi" w:cstheme="majorHAnsi"/>
          <w:sz w:val="16"/>
          <w:szCs w:val="16"/>
          <w:lang w:val="ro-MD"/>
        </w:rPr>
        <w:t>rivind organizarea administrativ-teritorială a Republicii Moldova</w:t>
      </w:r>
      <w:r>
        <w:rPr>
          <w:rFonts w:asciiTheme="majorHAnsi" w:eastAsia="Times New Roman" w:hAnsiTheme="majorHAnsi" w:cstheme="majorHAnsi"/>
          <w:sz w:val="16"/>
          <w:szCs w:val="16"/>
          <w:lang w:val="ro-MD"/>
        </w:rPr>
        <w:t>.</w:t>
      </w:r>
    </w:p>
  </w:footnote>
  <w:footnote w:id="3">
    <w:p w14:paraId="6D3AB988" w14:textId="358A632C"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Legea nr.436-XVI din 28.12.2006 </w:t>
      </w:r>
      <w:r>
        <w:rPr>
          <w:rFonts w:asciiTheme="majorHAnsi" w:eastAsia="Times New Roman" w:hAnsiTheme="majorHAnsi" w:cstheme="majorHAnsi"/>
          <w:sz w:val="16"/>
          <w:szCs w:val="16"/>
          <w:lang w:val="ro-MD"/>
        </w:rPr>
        <w:t>p</w:t>
      </w:r>
      <w:r w:rsidRPr="00C12753">
        <w:rPr>
          <w:rFonts w:asciiTheme="majorHAnsi" w:eastAsia="Times New Roman" w:hAnsiTheme="majorHAnsi" w:cstheme="majorHAnsi"/>
          <w:sz w:val="16"/>
          <w:szCs w:val="16"/>
          <w:lang w:val="ro-MD"/>
        </w:rPr>
        <w:t>rivind administraţia publică locală (în continuare - Legea nr.436-XVI din 28.12.2006).</w:t>
      </w:r>
    </w:p>
  </w:footnote>
  <w:footnote w:id="4">
    <w:p w14:paraId="00EC9676" w14:textId="62F298A7" w:rsidR="00497136" w:rsidRPr="00C12753" w:rsidRDefault="00497136" w:rsidP="00C12753">
      <w:pPr>
        <w:spacing w:after="0" w:line="240" w:lineRule="auto"/>
        <w:jc w:val="both"/>
        <w:rPr>
          <w:rFonts w:asciiTheme="majorHAnsi" w:eastAsia="Times New Roman"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Legea nr.344-XIII din 23.12.1994 </w:t>
      </w:r>
      <w:r>
        <w:rPr>
          <w:rFonts w:asciiTheme="majorHAnsi" w:eastAsia="Times New Roman" w:hAnsiTheme="majorHAnsi" w:cstheme="majorHAnsi"/>
          <w:sz w:val="16"/>
          <w:szCs w:val="16"/>
          <w:lang w:val="ro-MD"/>
        </w:rPr>
        <w:t>p</w:t>
      </w:r>
      <w:r w:rsidRPr="00C12753">
        <w:rPr>
          <w:rFonts w:asciiTheme="majorHAnsi" w:eastAsia="Times New Roman" w:hAnsiTheme="majorHAnsi" w:cstheme="majorHAnsi"/>
          <w:sz w:val="16"/>
          <w:szCs w:val="16"/>
          <w:lang w:val="ro-MD"/>
        </w:rPr>
        <w:t>rivind statutul juridic special al Găgăuziei (Gagauz-Yeri).</w:t>
      </w:r>
    </w:p>
  </w:footnote>
  <w:footnote w:id="5">
    <w:p w14:paraId="0F54F0AE" w14:textId="4EADCD0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Legea nr.435-XVI din 28.12.2006 </w:t>
      </w:r>
      <w:r>
        <w:rPr>
          <w:rFonts w:asciiTheme="majorHAnsi" w:eastAsia="Times New Roman" w:hAnsiTheme="majorHAnsi" w:cstheme="majorHAnsi"/>
          <w:sz w:val="16"/>
          <w:szCs w:val="16"/>
          <w:lang w:val="ro-MD"/>
        </w:rPr>
        <w:t>p</w:t>
      </w:r>
      <w:r w:rsidRPr="00C12753">
        <w:rPr>
          <w:rFonts w:asciiTheme="majorHAnsi" w:eastAsia="Times New Roman" w:hAnsiTheme="majorHAnsi" w:cstheme="majorHAnsi"/>
          <w:sz w:val="16"/>
          <w:szCs w:val="16"/>
          <w:lang w:val="ro-MD"/>
        </w:rPr>
        <w:t>rivind descentralizarea administrativă.</w:t>
      </w:r>
    </w:p>
  </w:footnote>
  <w:footnote w:id="6">
    <w:p w14:paraId="48A20573" w14:textId="22F9F25F"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Art.1 alin.(2), art.2 alin.(2) şi art.12 din Legea UTA Găgăuzia (Gagauz-Yeri) </w:t>
      </w:r>
      <w:r>
        <w:rPr>
          <w:rFonts w:asciiTheme="majorHAnsi" w:eastAsia="Times New Roman" w:hAnsiTheme="majorHAnsi" w:cstheme="majorHAnsi"/>
          <w:sz w:val="16"/>
          <w:szCs w:val="16"/>
          <w:lang w:val="ro-MD"/>
        </w:rPr>
        <w:t>p</w:t>
      </w:r>
      <w:r w:rsidRPr="00C12753">
        <w:rPr>
          <w:rFonts w:asciiTheme="majorHAnsi" w:eastAsia="Times New Roman" w:hAnsiTheme="majorHAnsi" w:cstheme="majorHAnsi"/>
          <w:sz w:val="16"/>
          <w:szCs w:val="16"/>
          <w:lang w:val="ro-MD"/>
        </w:rPr>
        <w:t>rivind sistemul bugetar şi procesul bugetar nr.</w:t>
      </w:r>
      <w:r w:rsidRPr="00EA1535">
        <w:rPr>
          <w:rFonts w:asciiTheme="majorHAnsi" w:eastAsia="Times New Roman" w:hAnsiTheme="majorHAnsi" w:cstheme="majorHAnsi"/>
          <w:sz w:val="16"/>
          <w:szCs w:val="16"/>
          <w:lang w:val="ro-MD"/>
        </w:rPr>
        <w:t>18-X/II din</w:t>
      </w:r>
      <w:r w:rsidRPr="00C12753">
        <w:rPr>
          <w:rFonts w:asciiTheme="majorHAnsi" w:eastAsia="Times New Roman" w:hAnsiTheme="majorHAnsi" w:cstheme="majorHAnsi"/>
          <w:sz w:val="16"/>
          <w:szCs w:val="16"/>
          <w:lang w:val="ro-MD"/>
        </w:rPr>
        <w:t xml:space="preserve"> 03.10.2000.</w:t>
      </w:r>
    </w:p>
  </w:footnote>
  <w:footnote w:id="7">
    <w:p w14:paraId="0AB7E1A3" w14:textId="01445ABB"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Legea UTA Găgăuzia nr.48 din 17.12.2019 </w:t>
      </w:r>
      <w:r>
        <w:rPr>
          <w:rFonts w:asciiTheme="majorHAnsi" w:hAnsiTheme="majorHAnsi" w:cstheme="majorHAnsi"/>
          <w:sz w:val="16"/>
          <w:szCs w:val="16"/>
          <w:lang w:val="ro-MD"/>
        </w:rPr>
        <w:t>d</w:t>
      </w:r>
      <w:r w:rsidRPr="00C12753">
        <w:rPr>
          <w:rFonts w:asciiTheme="majorHAnsi" w:hAnsiTheme="majorHAnsi" w:cstheme="majorHAnsi"/>
          <w:sz w:val="16"/>
          <w:szCs w:val="16"/>
          <w:lang w:val="ro-MD"/>
        </w:rPr>
        <w:t>espre bugetul pentru anul 2020</w:t>
      </w:r>
      <w:r>
        <w:rPr>
          <w:rFonts w:asciiTheme="majorHAnsi" w:hAnsiTheme="majorHAnsi" w:cstheme="majorHAnsi"/>
          <w:sz w:val="16"/>
          <w:szCs w:val="16"/>
          <w:lang w:val="ro-MD"/>
        </w:rPr>
        <w:t>.</w:t>
      </w:r>
    </w:p>
  </w:footnote>
  <w:footnote w:id="8">
    <w:p w14:paraId="4B57E5B5" w14:textId="77777777"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eastAsia="Lucida Sans Unicode"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hAnsiTheme="majorHAnsi" w:cstheme="majorHAnsi"/>
          <w:spacing w:val="-3"/>
          <w:sz w:val="16"/>
          <w:szCs w:val="16"/>
          <w:lang w:val="ro-MD"/>
        </w:rPr>
        <w:t>Legea privind organizarea și funcționarea Curții de Conturi a Republicii Moldova nr.260 din 07.12.2017</w:t>
      </w:r>
      <w:r w:rsidRPr="00C12753">
        <w:rPr>
          <w:rFonts w:asciiTheme="majorHAnsi" w:hAnsiTheme="majorHAnsi" w:cstheme="majorHAnsi"/>
          <w:spacing w:val="-1"/>
          <w:sz w:val="16"/>
          <w:szCs w:val="16"/>
          <w:lang w:val="ro-MD"/>
        </w:rPr>
        <w:t>.</w:t>
      </w:r>
    </w:p>
  </w:footnote>
  <w:footnote w:id="9">
    <w:p w14:paraId="06143323" w14:textId="71549600"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eastAsia="Lucida Sans Unicode"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Programul activității de audit a Curții de Conturi pe anul 2021, aprobat prin Hotărârea Curții de Conturi nr.62 din 10.12.2020.</w:t>
      </w:r>
    </w:p>
  </w:footnote>
  <w:footnote w:id="10">
    <w:p w14:paraId="4FFA8C26" w14:textId="77777777" w:rsidR="00497136" w:rsidRPr="00C12753" w:rsidRDefault="00497136" w:rsidP="00C12753">
      <w:pPr>
        <w:pStyle w:val="10"/>
        <w:rPr>
          <w:rFonts w:asciiTheme="majorHAnsi" w:hAnsiTheme="majorHAnsi" w:cstheme="majorHAnsi"/>
          <w:lang w:val="ro-MD"/>
        </w:rPr>
      </w:pPr>
      <w:r w:rsidRPr="00C12753">
        <w:rPr>
          <w:rStyle w:val="FootnoteReference"/>
          <w:rFonts w:asciiTheme="majorHAnsi" w:eastAsia="Lucida Sans Unicode" w:hAnsiTheme="majorHAnsi" w:cstheme="majorHAnsi"/>
          <w:lang w:val="ro-MD"/>
        </w:rPr>
        <w:footnoteRef/>
      </w:r>
      <w:r w:rsidRPr="00C12753">
        <w:rPr>
          <w:rFonts w:asciiTheme="majorHAnsi" w:hAnsiTheme="majorHAnsi" w:cstheme="majorHAnsi"/>
          <w:lang w:val="ro-MD"/>
        </w:rPr>
        <w:t xml:space="preserve"> Hotărârea Curții de Conturi nr.2 din 24.01.2020 „Cu privire la Cadrul Declarațiilor Profesionale ale INTOSAI”.</w:t>
      </w:r>
    </w:p>
  </w:footnote>
  <w:footnote w:id="11">
    <w:p w14:paraId="59DF5DC0"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Hotărârea Curții de Conturi nr.19 din 05.04.2019 „Cu privire la aprobarea Codului etic al Curții de Conturi”. </w:t>
      </w:r>
    </w:p>
  </w:footnote>
  <w:footnote w:id="12">
    <w:p w14:paraId="691C87AF" w14:textId="0C2DCE39"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 5 alin. (4) din Legea nr.397-XV din 16.10.2003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rivind finanțele publice locale</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p>
  </w:footnote>
  <w:footnote w:id="13">
    <w:p w14:paraId="068E24DC" w14:textId="3E367AF6"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i/>
          <w:sz w:val="16"/>
          <w:szCs w:val="16"/>
          <w:lang w:val="ro-MD"/>
        </w:rPr>
        <w:t>a) venituri proprii:</w:t>
      </w:r>
      <w:r>
        <w:rPr>
          <w:rFonts w:asciiTheme="majorHAnsi" w:eastAsia="Times New Roman" w:hAnsiTheme="majorHAnsi" w:cstheme="majorHAnsi"/>
          <w:sz w:val="16"/>
          <w:szCs w:val="16"/>
          <w:lang w:val="ro-MD"/>
        </w:rPr>
        <w:t xml:space="preserve"> </w:t>
      </w:r>
      <w:r w:rsidRPr="00C12753">
        <w:rPr>
          <w:rFonts w:asciiTheme="majorHAnsi" w:eastAsia="Times New Roman" w:hAnsiTheme="majorHAnsi" w:cstheme="majorHAnsi"/>
          <w:sz w:val="16"/>
          <w:szCs w:val="16"/>
          <w:lang w:val="ro-MD"/>
        </w:rPr>
        <w:t>taxele pentru resursele naturale; impozitul privat (conform apartenenței patrimoniului);</w:t>
      </w:r>
      <w:r w:rsidR="00747BAB">
        <w:rPr>
          <w:rFonts w:asciiTheme="majorHAnsi" w:eastAsia="Times New Roman"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alte venituri prevăzute de legislație; </w:t>
      </w:r>
      <w:r w:rsidRPr="00C12753">
        <w:rPr>
          <w:rFonts w:asciiTheme="majorHAnsi" w:eastAsia="Times New Roman" w:hAnsiTheme="majorHAnsi" w:cstheme="majorHAnsi"/>
          <w:i/>
          <w:sz w:val="16"/>
          <w:szCs w:val="16"/>
          <w:lang w:val="ro-MD"/>
        </w:rPr>
        <w:t xml:space="preserve">b) defalcări de la următoarele tipuri de impozite și taxe de stat: </w:t>
      </w:r>
      <w:r w:rsidRPr="00C12753">
        <w:rPr>
          <w:rFonts w:asciiTheme="majorHAnsi" w:eastAsia="Times New Roman" w:hAnsiTheme="majorHAnsi" w:cstheme="majorHAnsi"/>
          <w:sz w:val="16"/>
          <w:szCs w:val="16"/>
          <w:lang w:val="ro-MD"/>
        </w:rPr>
        <w:t>impozitul pe venit al persoanelor fizice – 100% din volumul total colectat pe teritoriul unității teritoriale autonome; impozitul pe venit al persoanelor juridice – 100% din volumul total colectat pe teritoriul unității teritoriale autonome; taxa pe valoarea adăugată la mărfurile produse şi la serviciile prestate pe teritoriul unității teritoriale autonome cu statut juridic special – 100% din volumul total colectat pe teritoriul unității teritoriale autonome;</w:t>
      </w:r>
      <w:r w:rsidR="00747BAB">
        <w:rPr>
          <w:rFonts w:asciiTheme="majorHAnsi" w:eastAsia="Times New Roman" w:hAnsiTheme="majorHAnsi" w:cstheme="majorHAnsi"/>
          <w:sz w:val="16"/>
          <w:szCs w:val="16"/>
          <w:lang w:val="ro-MD"/>
        </w:rPr>
        <w:t xml:space="preserve"> </w:t>
      </w:r>
      <w:r w:rsidRPr="00C12753">
        <w:rPr>
          <w:rFonts w:asciiTheme="majorHAnsi" w:eastAsia="Times New Roman" w:hAnsiTheme="majorHAnsi" w:cstheme="majorHAnsi"/>
          <w:sz w:val="16"/>
          <w:szCs w:val="16"/>
          <w:lang w:val="ro-MD"/>
        </w:rPr>
        <w:t xml:space="preserve">accizele la mărfurile supuse accizelor, fabricate pe teritoriul unității teritoriale autonome cu statut juridic special – 100% din volumul total colectat pe teritoriul unității teritoriale autonome; </w:t>
      </w:r>
      <w:r w:rsidRPr="00C12753">
        <w:rPr>
          <w:rFonts w:asciiTheme="majorHAnsi" w:eastAsia="Times New Roman" w:hAnsiTheme="majorHAnsi" w:cstheme="majorHAnsi"/>
          <w:i/>
          <w:sz w:val="16"/>
          <w:szCs w:val="16"/>
          <w:lang w:val="ro-MD"/>
        </w:rPr>
        <w:t>c) transferuri cu destinație specială</w:t>
      </w:r>
      <w:r w:rsidRPr="00C12753">
        <w:rPr>
          <w:rFonts w:asciiTheme="majorHAnsi" w:eastAsia="Times New Roman" w:hAnsiTheme="majorHAnsi" w:cstheme="majorHAnsi"/>
          <w:sz w:val="16"/>
          <w:szCs w:val="16"/>
          <w:lang w:val="ro-MD"/>
        </w:rPr>
        <w:t xml:space="preserve"> (prevăzute </w:t>
      </w:r>
      <w:r w:rsidRPr="00EA745B">
        <w:rPr>
          <w:rFonts w:asciiTheme="majorHAnsi" w:eastAsia="Times New Roman" w:hAnsiTheme="majorHAnsi" w:cstheme="majorHAnsi"/>
          <w:sz w:val="16"/>
          <w:szCs w:val="16"/>
          <w:lang w:val="ro-MD"/>
        </w:rPr>
        <w:t>la art.</w:t>
      </w:r>
      <w:r w:rsidRPr="00216968">
        <w:rPr>
          <w:rFonts w:asciiTheme="majorHAnsi" w:eastAsia="Times New Roman" w:hAnsiTheme="majorHAnsi" w:cstheme="majorHAnsi"/>
          <w:sz w:val="16"/>
          <w:szCs w:val="16"/>
          <w:lang w:val="ro-MD"/>
        </w:rPr>
        <w:t>12 din lege</w:t>
      </w:r>
      <w:r w:rsidR="00747BAB">
        <w:rPr>
          <w:rFonts w:asciiTheme="majorHAnsi" w:eastAsia="Times New Roman" w:hAnsiTheme="majorHAnsi" w:cstheme="majorHAnsi"/>
          <w:sz w:val="16"/>
          <w:szCs w:val="16"/>
          <w:lang w:val="ro-MD"/>
        </w:rPr>
        <w:t xml:space="preserve">a </w:t>
      </w:r>
      <w:r w:rsidR="00747BAB" w:rsidRPr="00C12753">
        <w:rPr>
          <w:rFonts w:asciiTheme="majorHAnsi" w:hAnsiTheme="majorHAnsi" w:cstheme="majorHAnsi"/>
          <w:sz w:val="16"/>
          <w:szCs w:val="16"/>
          <w:lang w:val="ro-MD"/>
        </w:rPr>
        <w:t>nr.397 din 16.10.2003</w:t>
      </w:r>
      <w:r w:rsidRPr="00216968">
        <w:rPr>
          <w:rFonts w:asciiTheme="majorHAnsi" w:eastAsia="Times New Roman" w:hAnsiTheme="majorHAnsi" w:cstheme="majorHAnsi"/>
          <w:sz w:val="16"/>
          <w:szCs w:val="16"/>
          <w:lang w:val="ro-MD"/>
        </w:rPr>
        <w:t xml:space="preserve">); </w:t>
      </w:r>
      <w:r w:rsidRPr="00216968">
        <w:rPr>
          <w:rFonts w:asciiTheme="majorHAnsi" w:eastAsia="Times New Roman" w:hAnsiTheme="majorHAnsi" w:cstheme="majorHAnsi"/>
          <w:i/>
          <w:sz w:val="16"/>
          <w:szCs w:val="16"/>
          <w:lang w:val="ro-MD"/>
        </w:rPr>
        <w:t>d</w:t>
      </w:r>
      <w:r w:rsidRPr="00C12753">
        <w:rPr>
          <w:rFonts w:asciiTheme="majorHAnsi" w:eastAsia="Times New Roman" w:hAnsiTheme="majorHAnsi" w:cstheme="majorHAnsi"/>
          <w:i/>
          <w:sz w:val="16"/>
          <w:szCs w:val="16"/>
          <w:lang w:val="ro-MD"/>
        </w:rPr>
        <w:t>) granturi pentru susținerea bugetului</w:t>
      </w:r>
      <w:r>
        <w:rPr>
          <w:rFonts w:asciiTheme="majorHAnsi" w:eastAsia="Times New Roman" w:hAnsiTheme="majorHAnsi" w:cstheme="majorHAnsi"/>
          <w:sz w:val="16"/>
          <w:szCs w:val="16"/>
          <w:lang w:val="ro-MD"/>
        </w:rPr>
        <w:t>.</w:t>
      </w:r>
    </w:p>
  </w:footnote>
  <w:footnote w:id="14">
    <w:p w14:paraId="1628CF0F" w14:textId="2FD9A64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Leg</w:t>
      </w:r>
      <w:r>
        <w:rPr>
          <w:rFonts w:asciiTheme="majorHAnsi" w:hAnsiTheme="majorHAnsi" w:cstheme="majorHAnsi"/>
          <w:sz w:val="16"/>
          <w:szCs w:val="16"/>
          <w:lang w:val="ro-MD"/>
        </w:rPr>
        <w:t>ile</w:t>
      </w:r>
      <w:r w:rsidRPr="00C12753">
        <w:rPr>
          <w:rFonts w:asciiTheme="majorHAnsi" w:hAnsiTheme="majorHAnsi" w:cstheme="majorHAnsi"/>
          <w:sz w:val="16"/>
          <w:szCs w:val="16"/>
          <w:lang w:val="ro-MD"/>
        </w:rPr>
        <w:t xml:space="preserve"> bugetului</w:t>
      </w:r>
      <w:r>
        <w:rPr>
          <w:rFonts w:asciiTheme="majorHAnsi" w:hAnsiTheme="majorHAnsi" w:cstheme="majorHAnsi"/>
          <w:sz w:val="16"/>
          <w:szCs w:val="16"/>
          <w:lang w:val="ro-MD"/>
        </w:rPr>
        <w:t xml:space="preserve"> de stat</w:t>
      </w:r>
      <w:r w:rsidRPr="00C12753">
        <w:rPr>
          <w:rFonts w:asciiTheme="majorHAnsi" w:hAnsiTheme="majorHAnsi" w:cstheme="majorHAnsi"/>
          <w:sz w:val="16"/>
          <w:szCs w:val="16"/>
          <w:lang w:val="ro-MD"/>
        </w:rPr>
        <w:t xml:space="preserve"> pentru an</w:t>
      </w:r>
      <w:r>
        <w:rPr>
          <w:rFonts w:asciiTheme="majorHAnsi" w:hAnsiTheme="majorHAnsi" w:cstheme="majorHAnsi"/>
          <w:sz w:val="16"/>
          <w:szCs w:val="16"/>
          <w:lang w:val="ro-MD"/>
        </w:rPr>
        <w:t>ii</w:t>
      </w:r>
      <w:r w:rsidRPr="00C12753">
        <w:rPr>
          <w:rFonts w:asciiTheme="majorHAnsi" w:hAnsiTheme="majorHAnsi" w:cstheme="majorHAnsi"/>
          <w:sz w:val="16"/>
          <w:szCs w:val="16"/>
          <w:lang w:val="ro-MD"/>
        </w:rPr>
        <w:t xml:space="preserve"> 2019 și 2020</w:t>
      </w:r>
      <w:r>
        <w:rPr>
          <w:rFonts w:asciiTheme="majorHAnsi" w:hAnsiTheme="majorHAnsi" w:cstheme="majorHAnsi"/>
          <w:sz w:val="16"/>
          <w:szCs w:val="16"/>
          <w:lang w:val="ro-MD"/>
        </w:rPr>
        <w:t>.</w:t>
      </w:r>
    </w:p>
  </w:footnote>
  <w:footnote w:id="15">
    <w:p w14:paraId="369C42B3" w14:textId="4F7F5714"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Art.5 alin.(4) din Legea nr.397-XV din 16.10.2003</w:t>
      </w:r>
      <w:r>
        <w:rPr>
          <w:rFonts w:asciiTheme="majorHAnsi" w:hAnsiTheme="majorHAnsi" w:cstheme="majorHAnsi"/>
          <w:sz w:val="16"/>
          <w:szCs w:val="16"/>
          <w:lang w:val="ro-MD"/>
        </w:rPr>
        <w:t xml:space="preserve"> p</w:t>
      </w:r>
      <w:r w:rsidRPr="00C12753">
        <w:rPr>
          <w:rFonts w:asciiTheme="majorHAnsi" w:hAnsiTheme="majorHAnsi" w:cstheme="majorHAnsi"/>
          <w:sz w:val="16"/>
          <w:szCs w:val="16"/>
          <w:lang w:val="ro-MD"/>
        </w:rPr>
        <w:t>rivind finanțele publice locale</w:t>
      </w:r>
      <w:r>
        <w:rPr>
          <w:rFonts w:asciiTheme="majorHAnsi" w:hAnsiTheme="majorHAnsi" w:cstheme="majorHAnsi"/>
          <w:sz w:val="16"/>
          <w:szCs w:val="16"/>
          <w:lang w:val="ro-MD"/>
        </w:rPr>
        <w:t>.</w:t>
      </w:r>
    </w:p>
  </w:footnote>
  <w:footnote w:id="16">
    <w:p w14:paraId="23B7951C" w14:textId="31AB575B"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Art.5 alin.(4) din Legea nr.397-XV din 16.10.2003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rivind finanțele publice locale</w:t>
      </w:r>
      <w:r>
        <w:rPr>
          <w:rFonts w:asciiTheme="majorHAnsi" w:hAnsiTheme="majorHAnsi" w:cstheme="majorHAnsi"/>
          <w:sz w:val="16"/>
          <w:szCs w:val="16"/>
          <w:lang w:val="ro-MD"/>
        </w:rPr>
        <w:t>.</w:t>
      </w:r>
    </w:p>
  </w:footnote>
  <w:footnote w:id="17">
    <w:p w14:paraId="54E022F8" w14:textId="466C4D18"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 5 alin. (1) și alin. (2) din Legea nr.397-XV din 16.10.2003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rivind finanțele publice locale</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p>
  </w:footnote>
  <w:footnote w:id="18">
    <w:p w14:paraId="35AA6F18" w14:textId="0A570D8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241575">
        <w:rPr>
          <w:rFonts w:asciiTheme="majorHAnsi" w:eastAsia="Times New Roman" w:hAnsiTheme="majorHAnsi" w:cstheme="majorHAnsi"/>
          <w:i/>
          <w:sz w:val="16"/>
          <w:szCs w:val="16"/>
          <w:lang w:val="ro-MD"/>
        </w:rPr>
        <w:t>Veniturile generale includ</w:t>
      </w:r>
      <w:r w:rsidRPr="00174032">
        <w:rPr>
          <w:rFonts w:asciiTheme="majorHAnsi" w:eastAsia="Times New Roman" w:hAnsiTheme="majorHAnsi" w:cstheme="majorHAnsi"/>
          <w:b/>
          <w:i/>
          <w:sz w:val="16"/>
          <w:szCs w:val="16"/>
          <w:lang w:val="ro-MD"/>
        </w:rPr>
        <w:t>:</w:t>
      </w:r>
      <w:r w:rsidRPr="00174032">
        <w:rPr>
          <w:rFonts w:asciiTheme="majorHAnsi" w:hAnsiTheme="majorHAnsi" w:cstheme="majorHAnsi"/>
          <w:color w:val="000000" w:themeColor="text1"/>
          <w:sz w:val="16"/>
          <w:szCs w:val="16"/>
          <w:lang w:val="ro-MD"/>
        </w:rPr>
        <w:t xml:space="preserve"> </w:t>
      </w:r>
      <w:r w:rsidRPr="00174032">
        <w:rPr>
          <w:rFonts w:asciiTheme="majorHAnsi" w:eastAsia="Times New Roman" w:hAnsiTheme="majorHAnsi" w:cstheme="majorHAnsi"/>
          <w:i/>
          <w:sz w:val="16"/>
          <w:szCs w:val="16"/>
          <w:lang w:val="ro-MD"/>
        </w:rPr>
        <w:t>a) venituri proprii:</w:t>
      </w:r>
      <w:r w:rsidRPr="00174032">
        <w:rPr>
          <w:rFonts w:asciiTheme="majorHAnsi" w:eastAsia="Times New Roman" w:hAnsiTheme="majorHAnsi" w:cstheme="majorHAnsi"/>
          <w:sz w:val="16"/>
          <w:szCs w:val="16"/>
          <w:lang w:val="ro-MD"/>
        </w:rPr>
        <w:t xml:space="preserve"> impozitul pe bunurile imobiliare; taxa pentru patenta de întreprinzător; impozitul pe venitul persoanelor fizice ce desfăşoară activitate independentă în domeniul comerţului cu amănuntul; impozitul privat (conform apartenenţei patrimoniului); taxele locale, aplicate conform Codului fiscal; taxele speciale; încasări din arenda terenurilor şi locaţiunea bunurilor domeniului privat al unităţii administrativ-teritoriale; alte venituri prevăzute de legislaţie;</w:t>
      </w:r>
      <w:r w:rsidRPr="00174032">
        <w:rPr>
          <w:rFonts w:asciiTheme="majorHAnsi" w:hAnsiTheme="majorHAnsi" w:cstheme="majorHAnsi"/>
          <w:color w:val="000000" w:themeColor="text1"/>
          <w:sz w:val="16"/>
          <w:szCs w:val="16"/>
          <w:lang w:val="ro-MD"/>
        </w:rPr>
        <w:t xml:space="preserve"> </w:t>
      </w:r>
      <w:r w:rsidRPr="00174032">
        <w:rPr>
          <w:rFonts w:asciiTheme="majorHAnsi" w:eastAsia="Times New Roman" w:hAnsiTheme="majorHAnsi" w:cstheme="majorHAnsi"/>
          <w:sz w:val="16"/>
          <w:szCs w:val="16"/>
          <w:lang w:val="ro-MD"/>
        </w:rPr>
        <w:t>d) granturi pentru susţinerea bugetului.</w:t>
      </w:r>
    </w:p>
  </w:footnote>
  <w:footnote w:id="19">
    <w:p w14:paraId="6674ADE1" w14:textId="544AE4B8" w:rsidR="00497136" w:rsidRPr="00C12753" w:rsidRDefault="00497136" w:rsidP="008C2D9E">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Legea nr. 344-XIII din 23.12.1994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 xml:space="preserve">rivind statutul juridic special al Găgăuziei (Gagauz-Yeri) și Legea nr.397-XV din 16.10.2003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rivind finanțele publice locale</w:t>
      </w:r>
      <w:r>
        <w:rPr>
          <w:rFonts w:asciiTheme="majorHAnsi" w:hAnsiTheme="majorHAnsi" w:cstheme="majorHAnsi"/>
          <w:sz w:val="16"/>
          <w:szCs w:val="16"/>
          <w:lang w:val="ro-MD"/>
        </w:rPr>
        <w:t>.</w:t>
      </w:r>
    </w:p>
  </w:footnote>
  <w:footnote w:id="20">
    <w:p w14:paraId="3EEF5843" w14:textId="77777777" w:rsidR="00497136" w:rsidRPr="002022C5" w:rsidRDefault="00497136" w:rsidP="00C209A0">
      <w:pPr>
        <w:pStyle w:val="FootnoteText"/>
        <w:rPr>
          <w:rFonts w:asciiTheme="majorHAnsi" w:hAnsiTheme="majorHAnsi" w:cstheme="majorHAnsi"/>
          <w:sz w:val="16"/>
          <w:szCs w:val="16"/>
          <w:lang w:val="ro-MD"/>
        </w:rPr>
      </w:pPr>
      <w:r w:rsidRPr="002022C5">
        <w:rPr>
          <w:rStyle w:val="FootnoteReference"/>
          <w:rFonts w:asciiTheme="majorHAnsi" w:hAnsiTheme="majorHAnsi" w:cstheme="majorHAnsi"/>
          <w:sz w:val="16"/>
          <w:szCs w:val="16"/>
        </w:rPr>
        <w:footnoteRef/>
      </w:r>
      <w:r w:rsidRPr="002022C5">
        <w:rPr>
          <w:rFonts w:asciiTheme="majorHAnsi" w:hAnsiTheme="majorHAnsi" w:cstheme="majorHAnsi"/>
          <w:sz w:val="16"/>
          <w:szCs w:val="16"/>
        </w:rPr>
        <w:t xml:space="preserve"> </w:t>
      </w:r>
      <w:r w:rsidRPr="002022C5">
        <w:rPr>
          <w:rFonts w:asciiTheme="majorHAnsi" w:hAnsiTheme="majorHAnsi" w:cstheme="majorHAnsi"/>
          <w:color w:val="000000" w:themeColor="text1"/>
          <w:sz w:val="16"/>
          <w:szCs w:val="16"/>
          <w:lang w:val="ro-MD"/>
        </w:rPr>
        <w:t>Vezi Anexa nr.7</w:t>
      </w:r>
      <w:r w:rsidRPr="002022C5">
        <w:rPr>
          <w:rFonts w:asciiTheme="majorHAnsi" w:hAnsiTheme="majorHAnsi" w:cstheme="majorHAnsi"/>
          <w:i/>
          <w:color w:val="000000" w:themeColor="text1"/>
          <w:sz w:val="16"/>
          <w:szCs w:val="16"/>
          <w:lang w:val="ro-MD"/>
        </w:rPr>
        <w:t xml:space="preserve"> </w:t>
      </w:r>
      <w:r w:rsidRPr="002022C5">
        <w:rPr>
          <w:rFonts w:asciiTheme="majorHAnsi" w:hAnsiTheme="majorHAnsi" w:cstheme="majorHAnsi"/>
          <w:color w:val="000000" w:themeColor="text1"/>
          <w:sz w:val="16"/>
          <w:szCs w:val="16"/>
          <w:lang w:val="ro-MD"/>
        </w:rPr>
        <w:t>la Raportul de audit.</w:t>
      </w:r>
    </w:p>
  </w:footnote>
  <w:footnote w:id="21">
    <w:p w14:paraId="0F2487B4" w14:textId="22C30BA0"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Legea nr. 344-XIII din 23.12.1994</w:t>
      </w:r>
      <w:r>
        <w:rPr>
          <w:rFonts w:asciiTheme="majorHAnsi" w:hAnsiTheme="majorHAnsi" w:cstheme="majorHAnsi"/>
          <w:sz w:val="16"/>
          <w:szCs w:val="16"/>
          <w:lang w:val="ro-MD"/>
        </w:rPr>
        <w:t xml:space="preserve"> p</w:t>
      </w:r>
      <w:r w:rsidRPr="00C12753">
        <w:rPr>
          <w:rFonts w:asciiTheme="majorHAnsi" w:hAnsiTheme="majorHAnsi" w:cstheme="majorHAnsi"/>
          <w:sz w:val="16"/>
          <w:szCs w:val="16"/>
          <w:lang w:val="ro-MD"/>
        </w:rPr>
        <w:t>rivind statutul juridic special al Găgăuziei (Gagauz-Yeri)</w:t>
      </w:r>
      <w:r>
        <w:rPr>
          <w:rFonts w:asciiTheme="majorHAnsi" w:hAnsiTheme="majorHAnsi" w:cstheme="majorHAnsi"/>
          <w:sz w:val="16"/>
          <w:szCs w:val="16"/>
          <w:lang w:val="ro-MD"/>
        </w:rPr>
        <w:t>.</w:t>
      </w:r>
    </w:p>
  </w:footnote>
  <w:footnote w:id="22">
    <w:p w14:paraId="0776CF53" w14:textId="69199999"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Legea UTA Găgăuzi</w:t>
      </w:r>
      <w:r>
        <w:rPr>
          <w:rFonts w:asciiTheme="majorHAnsi" w:hAnsiTheme="majorHAnsi" w:cstheme="majorHAnsi"/>
          <w:sz w:val="16"/>
          <w:szCs w:val="16"/>
          <w:lang w:val="ro-MD"/>
        </w:rPr>
        <w:t>a</w:t>
      </w:r>
      <w:r w:rsidRPr="00C12753">
        <w:rPr>
          <w:rFonts w:asciiTheme="majorHAnsi" w:hAnsiTheme="majorHAnsi" w:cstheme="majorHAnsi"/>
          <w:sz w:val="16"/>
          <w:szCs w:val="16"/>
          <w:lang w:val="ro-MD"/>
        </w:rPr>
        <w:t xml:space="preserve"> nr. 30-XVII/VI din 26.10.2018 „Despre lărgirea ariei de utilizate a limbii găgăuze”</w:t>
      </w:r>
      <w:r>
        <w:rPr>
          <w:rFonts w:asciiTheme="majorHAnsi" w:hAnsiTheme="majorHAnsi" w:cstheme="majorHAnsi"/>
          <w:sz w:val="16"/>
          <w:szCs w:val="16"/>
          <w:lang w:val="ro-MD"/>
        </w:rPr>
        <w:t>.</w:t>
      </w:r>
    </w:p>
  </w:footnote>
  <w:footnote w:id="23">
    <w:p w14:paraId="73FC48D7" w14:textId="0A785B8B"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În anul 2019 – 684,4 mii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și în anul 2020 – 4128,2 mii lei</w:t>
      </w:r>
      <w:r>
        <w:rPr>
          <w:rFonts w:asciiTheme="majorHAnsi" w:hAnsiTheme="majorHAnsi" w:cstheme="majorHAnsi"/>
          <w:sz w:val="16"/>
          <w:szCs w:val="16"/>
          <w:lang w:val="ro-MD"/>
        </w:rPr>
        <w:t>.</w:t>
      </w:r>
    </w:p>
  </w:footnote>
  <w:footnote w:id="24">
    <w:p w14:paraId="308347F5" w14:textId="5A97572E"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Teatrul Național </w:t>
      </w:r>
      <w:r>
        <w:rPr>
          <w:rFonts w:asciiTheme="majorHAnsi" w:hAnsiTheme="majorHAnsi" w:cstheme="majorHAnsi"/>
          <w:sz w:val="16"/>
          <w:szCs w:val="16"/>
          <w:lang w:val="ro-MD"/>
        </w:rPr>
        <w:t>„</w:t>
      </w:r>
      <w:r w:rsidRPr="00A24504">
        <w:rPr>
          <w:rFonts w:asciiTheme="majorHAnsi" w:hAnsiTheme="majorHAnsi" w:cstheme="majorHAnsi"/>
          <w:sz w:val="16"/>
          <w:szCs w:val="16"/>
          <w:lang w:val="ro-MD"/>
        </w:rPr>
        <w:t>D. Tanasoglo”</w:t>
      </w:r>
      <w:r w:rsidRPr="00C12753">
        <w:rPr>
          <w:rFonts w:asciiTheme="majorHAnsi" w:hAnsiTheme="majorHAnsi" w:cstheme="majorHAnsi"/>
          <w:sz w:val="16"/>
          <w:szCs w:val="16"/>
          <w:lang w:val="ro-MD"/>
        </w:rPr>
        <w:t xml:space="preserve"> din mun. Cead</w:t>
      </w:r>
      <w:r>
        <w:rPr>
          <w:rFonts w:asciiTheme="majorHAnsi" w:hAnsiTheme="majorHAnsi" w:cstheme="majorHAnsi"/>
          <w:sz w:val="16"/>
          <w:szCs w:val="16"/>
          <w:lang w:val="ro-MD"/>
        </w:rPr>
        <w:t>â</w:t>
      </w:r>
      <w:r w:rsidRPr="00C12753">
        <w:rPr>
          <w:rFonts w:asciiTheme="majorHAnsi" w:hAnsiTheme="majorHAnsi" w:cstheme="majorHAnsi"/>
          <w:sz w:val="16"/>
          <w:szCs w:val="16"/>
          <w:lang w:val="ro-MD"/>
        </w:rPr>
        <w:t>r-Lunga: în anul 2019 – 164,5 mii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și în anul 2020 – 878,6 mii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p>
  </w:footnote>
  <w:footnote w:id="25">
    <w:p w14:paraId="376C528D" w14:textId="243A0BC7"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Teatrul municipal din Comrat: în anul 2019 – 78,9 mii lei</w:t>
      </w:r>
      <w:r>
        <w:rPr>
          <w:rFonts w:asciiTheme="majorHAnsi" w:hAnsiTheme="majorHAnsi" w:cstheme="majorHAnsi"/>
          <w:sz w:val="16"/>
          <w:szCs w:val="16"/>
          <w:lang w:val="ro-MD"/>
        </w:rPr>
        <w:t>, în</w:t>
      </w:r>
      <w:r w:rsidRPr="00C12753">
        <w:rPr>
          <w:rFonts w:asciiTheme="majorHAnsi" w:hAnsiTheme="majorHAnsi" w:cstheme="majorHAnsi"/>
          <w:sz w:val="16"/>
          <w:szCs w:val="16"/>
          <w:lang w:val="ro-MD"/>
        </w:rPr>
        <w:t xml:space="preserve"> a</w:t>
      </w:r>
      <w:r>
        <w:rPr>
          <w:rFonts w:asciiTheme="majorHAnsi" w:hAnsiTheme="majorHAnsi" w:cstheme="majorHAnsi"/>
          <w:sz w:val="16"/>
          <w:szCs w:val="16"/>
          <w:lang w:val="ro-MD"/>
        </w:rPr>
        <w:t xml:space="preserve">nul </w:t>
      </w:r>
      <w:r w:rsidRPr="00C12753">
        <w:rPr>
          <w:rFonts w:asciiTheme="majorHAnsi" w:hAnsiTheme="majorHAnsi" w:cstheme="majorHAnsi"/>
          <w:sz w:val="16"/>
          <w:szCs w:val="16"/>
          <w:lang w:val="ro-MD"/>
        </w:rPr>
        <w:t xml:space="preserve"> 2020 – 0,0 mii lei.</w:t>
      </w:r>
    </w:p>
  </w:footnote>
  <w:footnote w:id="26">
    <w:p w14:paraId="51A7CF2D" w14:textId="4B42BD45"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În Legea UTA Găgăuzia nr.30 </w:t>
      </w:r>
      <w:r>
        <w:rPr>
          <w:rFonts w:asciiTheme="majorHAnsi" w:hAnsiTheme="majorHAnsi" w:cstheme="majorHAnsi"/>
          <w:sz w:val="16"/>
          <w:szCs w:val="16"/>
          <w:lang w:val="ro-MD"/>
        </w:rPr>
        <w:t xml:space="preserve">–XVII/VI </w:t>
      </w:r>
      <w:r w:rsidRPr="00C12753">
        <w:rPr>
          <w:rFonts w:asciiTheme="majorHAnsi" w:hAnsiTheme="majorHAnsi" w:cstheme="majorHAnsi"/>
          <w:sz w:val="16"/>
          <w:szCs w:val="16"/>
          <w:lang w:val="ro-MD"/>
        </w:rPr>
        <w:t>din 26.10.2018</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acest spor este stabilit în mărime „de nu mai puțin de 100% din salariu</w:t>
      </w:r>
      <w:r>
        <w:rPr>
          <w:rFonts w:asciiTheme="majorHAnsi" w:hAnsiTheme="majorHAnsi" w:cstheme="majorHAnsi"/>
          <w:sz w:val="16"/>
          <w:szCs w:val="16"/>
          <w:lang w:val="ro-MD"/>
        </w:rPr>
        <w:t>l</w:t>
      </w:r>
      <w:r w:rsidRPr="00C12753">
        <w:rPr>
          <w:rFonts w:asciiTheme="majorHAnsi" w:hAnsiTheme="majorHAnsi" w:cstheme="majorHAnsi"/>
          <w:sz w:val="16"/>
          <w:szCs w:val="16"/>
          <w:lang w:val="ro-MD"/>
        </w:rPr>
        <w:t xml:space="preserve"> de funcție”</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p>
  </w:footnote>
  <w:footnote w:id="27">
    <w:p w14:paraId="4D1CEDAD" w14:textId="6B4EB486"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În </w:t>
      </w:r>
      <w:r>
        <w:rPr>
          <w:rFonts w:asciiTheme="majorHAnsi" w:hAnsiTheme="majorHAnsi" w:cstheme="majorHAnsi"/>
          <w:sz w:val="16"/>
          <w:szCs w:val="16"/>
          <w:lang w:val="ro-MD"/>
        </w:rPr>
        <w:t>a.</w:t>
      </w:r>
      <w:r w:rsidRPr="00C12753">
        <w:rPr>
          <w:rFonts w:asciiTheme="majorHAnsi" w:hAnsiTheme="majorHAnsi" w:cstheme="majorHAnsi"/>
          <w:sz w:val="16"/>
          <w:szCs w:val="16"/>
          <w:lang w:val="ro-MD"/>
        </w:rPr>
        <w:t xml:space="preserve">2018 – 944,0 mii lei; în </w:t>
      </w:r>
      <w:r>
        <w:rPr>
          <w:rFonts w:asciiTheme="majorHAnsi" w:hAnsiTheme="majorHAnsi" w:cstheme="majorHAnsi"/>
          <w:sz w:val="16"/>
          <w:szCs w:val="16"/>
          <w:lang w:val="ro-MD"/>
        </w:rPr>
        <w:t>a.</w:t>
      </w:r>
      <w:r w:rsidRPr="00C12753">
        <w:rPr>
          <w:rFonts w:asciiTheme="majorHAnsi" w:hAnsiTheme="majorHAnsi" w:cstheme="majorHAnsi"/>
          <w:sz w:val="16"/>
          <w:szCs w:val="16"/>
          <w:lang w:val="ro-MD"/>
        </w:rPr>
        <w:t>2019 -  1050,0 mii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și în </w:t>
      </w:r>
      <w:r>
        <w:rPr>
          <w:rFonts w:asciiTheme="majorHAnsi" w:hAnsiTheme="majorHAnsi" w:cstheme="majorHAnsi"/>
          <w:sz w:val="16"/>
          <w:szCs w:val="16"/>
          <w:lang w:val="ro-MD"/>
        </w:rPr>
        <w:t>a.</w:t>
      </w:r>
      <w:r w:rsidRPr="00C12753">
        <w:rPr>
          <w:rFonts w:asciiTheme="majorHAnsi" w:hAnsiTheme="majorHAnsi" w:cstheme="majorHAnsi"/>
          <w:sz w:val="16"/>
          <w:szCs w:val="16"/>
          <w:lang w:val="ro-MD"/>
        </w:rPr>
        <w:t>2020 – 1300,8 mii lei.</w:t>
      </w:r>
    </w:p>
  </w:footnote>
  <w:footnote w:id="28">
    <w:p w14:paraId="69D6E049" w14:textId="4E63FAB2"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Precizarea/modificarea programelor de finanțare prin majorarea alocațiilor bugetare sau trecerea lor de la a</w:t>
      </w:r>
      <w:r>
        <w:rPr>
          <w:rFonts w:asciiTheme="majorHAnsi" w:hAnsiTheme="majorHAnsi" w:cstheme="majorHAnsi"/>
          <w:sz w:val="16"/>
          <w:szCs w:val="16"/>
          <w:lang w:val="ro-MD"/>
        </w:rPr>
        <w:t>l</w:t>
      </w:r>
      <w:r w:rsidRPr="00C12753">
        <w:rPr>
          <w:rFonts w:asciiTheme="majorHAnsi" w:hAnsiTheme="majorHAnsi" w:cstheme="majorHAnsi"/>
          <w:sz w:val="16"/>
          <w:szCs w:val="16"/>
          <w:lang w:val="ro-MD"/>
        </w:rPr>
        <w:t>te articole de cheltuieli; finanțarea unor activități din contul fondurilor locale administrate de către Comitetul Executiv al UTA Găgăuzia.</w:t>
      </w:r>
    </w:p>
  </w:footnote>
  <w:footnote w:id="29">
    <w:p w14:paraId="73673392" w14:textId="2FFEB302" w:rsidR="00497136" w:rsidRPr="00C12753" w:rsidRDefault="00497136" w:rsidP="00C12753">
      <w:pPr>
        <w:pStyle w:val="FootnoteText"/>
        <w:tabs>
          <w:tab w:val="left" w:pos="567"/>
        </w:tabs>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Art.4 alin.(7), alin. (15) și alin.(21), art.74 alin.(1) din Legea nr.131 din 03.07.2015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rivind achizițiile publice (cu modificările ulterioare; în continuare - Legea nr.131 din 03.07.2015); pct.15 din Regulamentul achizițiilor publice de valoare mică, aprobat prin Hotărârea Guvernului nr.665 din 27.05.2016.</w:t>
      </w:r>
    </w:p>
  </w:footnote>
  <w:footnote w:id="30">
    <w:p w14:paraId="59326D2F" w14:textId="77777777" w:rsidR="00497136" w:rsidRPr="00C12753" w:rsidRDefault="00497136" w:rsidP="00C12753">
      <w:pPr>
        <w:pStyle w:val="FootnoteText"/>
        <w:jc w:val="both"/>
        <w:rPr>
          <w:rFonts w:asciiTheme="majorHAnsi" w:eastAsia="Calibr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Pct.15 din Regulamentul achizițiilor publice de valoare mică, aprobat prin Hotărârea Guvernului nr.665 din 27.05.2016.</w:t>
      </w:r>
    </w:p>
  </w:footnote>
  <w:footnote w:id="31">
    <w:p w14:paraId="7E939BBB" w14:textId="3E77C0E8"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Centrul de cercetări științifice al Găgăuziei „M.V. Marunevici” (reparația construcțiilor speciale – 2 contracte, 152,4 mii lei); Instituția Publică „Împreună pentru Viață” (medicamente și material medical – 7 contracte, 20,4 mii lei); Comitetul Executiv (mărfuri de uz gospodăresc – 2 contracte, 28,3 mii lei; rechizite de birou – 2 contracte, 50,8 mii lei); Direcția Generală Învățământ (mărfuri de uz gospodăresc – 2 contracte, 18,3 mii lei); Direcția Generală pentru Tineret și Sport (reparația construcțiilor la tabără – 2 contracte, 127,6 mii lei; </w:t>
      </w:r>
      <w:r w:rsidRPr="003C2D6D">
        <w:rPr>
          <w:rFonts w:asciiTheme="majorHAnsi" w:hAnsiTheme="majorHAnsi" w:cstheme="majorHAnsi"/>
          <w:sz w:val="16"/>
          <w:szCs w:val="16"/>
          <w:lang w:val="ro-MD"/>
        </w:rPr>
        <w:t xml:space="preserve">materiale de construcție – 2 contracte, 70,3 mii lei; mărfuri de uz gospodăresc – 3 contracte, 32,2 mii lei; reparații curente – 2 contracte, 18,4 mii lei); </w:t>
      </w:r>
      <w:r w:rsidRPr="00A87C8B">
        <w:rPr>
          <w:rFonts w:asciiTheme="majorHAnsi" w:hAnsiTheme="majorHAnsi" w:cstheme="majorHAnsi"/>
          <w:sz w:val="16"/>
          <w:szCs w:val="16"/>
          <w:lang w:val="ro-MD"/>
        </w:rPr>
        <w:t>Dola</w:t>
      </w:r>
      <w:r w:rsidRPr="00BC3271">
        <w:rPr>
          <w:rFonts w:asciiTheme="majorHAnsi" w:hAnsiTheme="majorHAnsi" w:cstheme="majorHAnsi"/>
          <w:sz w:val="16"/>
          <w:szCs w:val="16"/>
          <w:lang w:val="ro-MD"/>
        </w:rPr>
        <w:t>y</w:t>
      </w:r>
      <w:r w:rsidRPr="00A87C8B">
        <w:rPr>
          <w:rFonts w:asciiTheme="majorHAnsi" w:hAnsiTheme="majorHAnsi" w:cstheme="majorHAnsi"/>
          <w:sz w:val="16"/>
          <w:szCs w:val="16"/>
          <w:lang w:val="ro-MD"/>
        </w:rPr>
        <w:t xml:space="preserve"> Ceadâr-Lunga (procurarea ferestrelor – 2 contracte, 105,9 mii lei); Dola</w:t>
      </w:r>
      <w:r w:rsidRPr="00BC3271">
        <w:rPr>
          <w:rFonts w:asciiTheme="majorHAnsi" w:hAnsiTheme="majorHAnsi" w:cstheme="majorHAnsi"/>
          <w:sz w:val="16"/>
          <w:szCs w:val="16"/>
          <w:lang w:val="ro-MD"/>
        </w:rPr>
        <w:t>y</w:t>
      </w:r>
      <w:r w:rsidRPr="00A87C8B">
        <w:rPr>
          <w:rFonts w:asciiTheme="majorHAnsi" w:hAnsiTheme="majorHAnsi" w:cstheme="majorHAnsi"/>
          <w:sz w:val="16"/>
          <w:szCs w:val="16"/>
          <w:lang w:val="ro-MD"/>
        </w:rPr>
        <w:t xml:space="preserve"> Comrat (reparația clădirilor – 3 contracte, 115,8 mii lei); Gimnaziul „P. Cazmali”, or. Ceadâr-Lunga (materiale de construcție/mărfuri de uz gospodăresc – 2 contracte, 62,8 mii lei; mobilă – 2 contracte, 162,5 mii lei); Gimnaziul „S. Rudenco”, or.Vulcănești (materiale de construcție/mărfuri de uz gospodăresc - 4 contracte, 27,9 mii lei); Gimnaziul</w:t>
      </w:r>
      <w:r w:rsidRPr="00C12753">
        <w:rPr>
          <w:rFonts w:asciiTheme="majorHAnsi" w:hAnsiTheme="majorHAnsi" w:cstheme="majorHAnsi"/>
          <w:sz w:val="16"/>
          <w:szCs w:val="16"/>
          <w:lang w:val="ro-MD"/>
        </w:rPr>
        <w:t xml:space="preserve"> „M. Tanasoglo”, s. Chirsova (reparația clădirilor – 2 contracte, 16,8 mii lei); Liceul</w:t>
      </w:r>
      <w:r>
        <w:rPr>
          <w:rFonts w:asciiTheme="majorHAnsi" w:hAnsiTheme="majorHAnsi" w:cstheme="majorHAnsi"/>
          <w:sz w:val="16"/>
          <w:szCs w:val="16"/>
          <w:lang w:val="ro-MD"/>
        </w:rPr>
        <w:t>-</w:t>
      </w:r>
      <w:r w:rsidRPr="00C12753">
        <w:rPr>
          <w:rFonts w:asciiTheme="majorHAnsi" w:hAnsiTheme="majorHAnsi" w:cstheme="majorHAnsi"/>
          <w:sz w:val="16"/>
          <w:szCs w:val="16"/>
          <w:lang w:val="ro-MD"/>
        </w:rPr>
        <w:t>internat sportiv din mun. Comrat (mobilă pentru clase – 2 contracte, 50,9 mii lei; materiale de construcție – 2 contracte, 59,8 mii lei); Liceul Teoretic, s. Cișmichioi (mobilă – 2 contracte, 21,4 mii lei); Liceul Teoretic „G.A. Gaidarji”, mun. Comrat (reparații/pavaj – 2 contracte, 52,4 mii lei; mărfuri de cancelarie – 2 contracte, 10,7 mii lei); Liceul Teoretic „B. Ianacoglo”, s. Copceac (reconstrucția rețelelor electrice – 2 contracte, 69,5 mii lei); Liceul Teoretic „Celenghir”</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s. Avdarma (mărfuri de uz gospodăresc - 3 contracte, 16,6 mii lei; mașini și utilaje – 2 contracte, 162,5 mii lei); Liceul Teoretic „G</w:t>
      </w:r>
      <w:r>
        <w:rPr>
          <w:rFonts w:asciiTheme="majorHAnsi" w:hAnsiTheme="majorHAnsi" w:cstheme="majorHAnsi"/>
          <w:sz w:val="16"/>
          <w:szCs w:val="16"/>
          <w:lang w:val="ro-MD"/>
        </w:rPr>
        <w:t>r</w:t>
      </w:r>
      <w:r w:rsidRPr="00C12753">
        <w:rPr>
          <w:rFonts w:asciiTheme="majorHAnsi" w:hAnsiTheme="majorHAnsi" w:cstheme="majorHAnsi"/>
          <w:sz w:val="16"/>
          <w:szCs w:val="16"/>
          <w:lang w:val="ro-MD"/>
        </w:rPr>
        <w:t>. Vieru”, s. Chioselia Rusă (materiale de construcție – 4 contracte, 22,4 mii lei (1 agent economic); materiale de construcție – 3 contracte, 10,7 mii lei (al 2 agent economic)); Liceul Teoretic „M. I. Tuzlova”</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s. Chirsova (mobilă – 2 contracte, 39,6 mii lei (1 agent economi</w:t>
      </w:r>
      <w:r>
        <w:rPr>
          <w:rFonts w:asciiTheme="majorHAnsi" w:hAnsiTheme="majorHAnsi" w:cstheme="majorHAnsi"/>
          <w:sz w:val="16"/>
          <w:szCs w:val="16"/>
          <w:lang w:val="ro-MD"/>
        </w:rPr>
        <w:t>c</w:t>
      </w:r>
      <w:r w:rsidRPr="00C12753">
        <w:rPr>
          <w:rFonts w:asciiTheme="majorHAnsi" w:hAnsiTheme="majorHAnsi" w:cstheme="majorHAnsi"/>
          <w:sz w:val="16"/>
          <w:szCs w:val="16"/>
          <w:lang w:val="ro-MD"/>
        </w:rPr>
        <w:t>); mobilă – 2 contracte, 11,3 mii lei (al 2 agent economic)); Gimnaziul „I. Sîncu”, s. Cotovscoe (reparația clădirii - 2 contracte, 62,3 mii lei); Gimnaziul „S. Curoglo”, mun. Comrat (mașini și utilaje de oficiu - 2 contracte, 53,7 mii lei); Liceul Teoretic „D. Cara</w:t>
      </w:r>
      <w:r>
        <w:rPr>
          <w:rFonts w:asciiTheme="majorHAnsi" w:hAnsiTheme="majorHAnsi" w:cstheme="majorHAnsi"/>
          <w:sz w:val="16"/>
          <w:szCs w:val="16"/>
          <w:lang w:val="ro-MD"/>
        </w:rPr>
        <w:t>-C</w:t>
      </w:r>
      <w:r w:rsidRPr="00C12753">
        <w:rPr>
          <w:rFonts w:asciiTheme="majorHAnsi" w:hAnsiTheme="majorHAnsi" w:cstheme="majorHAnsi"/>
          <w:sz w:val="16"/>
          <w:szCs w:val="16"/>
          <w:lang w:val="ro-MD"/>
        </w:rPr>
        <w:t>ioban</w:t>
      </w:r>
      <w:r>
        <w:rPr>
          <w:rFonts w:asciiTheme="majorHAnsi" w:hAnsiTheme="majorHAnsi" w:cstheme="majorHAnsi"/>
          <w:sz w:val="16"/>
          <w:szCs w:val="16"/>
          <w:lang w:val="ro-MD"/>
        </w:rPr>
        <w:t>u</w:t>
      </w:r>
      <w:r w:rsidRPr="00C12753">
        <w:rPr>
          <w:rFonts w:asciiTheme="majorHAnsi" w:hAnsiTheme="majorHAnsi" w:cstheme="majorHAnsi"/>
          <w:sz w:val="16"/>
          <w:szCs w:val="16"/>
          <w:lang w:val="ro-MD"/>
        </w:rPr>
        <w:t>”, mun. Comrat (mobilă - 2 contracte, 114,6 mii lei); Liceul Teoretic „M. Eminescu”, mun. Comrat (mobilă - 2 contracte, 82,2 mii lei; materiale de construcție - 2 contracte, 37,2 mii lei); Liceul Teoretic nr.2, or.Ciad</w:t>
      </w:r>
      <w:r>
        <w:rPr>
          <w:rFonts w:asciiTheme="majorHAnsi" w:hAnsiTheme="majorHAnsi" w:cstheme="majorHAnsi"/>
          <w:sz w:val="16"/>
          <w:szCs w:val="16"/>
          <w:lang w:val="ro-MD"/>
        </w:rPr>
        <w:t>â</w:t>
      </w:r>
      <w:r w:rsidRPr="00C12753">
        <w:rPr>
          <w:rFonts w:asciiTheme="majorHAnsi" w:hAnsiTheme="majorHAnsi" w:cstheme="majorHAnsi"/>
          <w:sz w:val="16"/>
          <w:szCs w:val="16"/>
          <w:lang w:val="ro-MD"/>
        </w:rPr>
        <w:t>r-Lunga (mobilă -2 contracte, 19,3 mii lei; inventar sportiv - 2 contracte, 82,2 mii lei).</w:t>
      </w:r>
    </w:p>
  </w:footnote>
  <w:footnote w:id="32">
    <w:p w14:paraId="7FCA5834" w14:textId="13304E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În anul 2018: 20 instituții – pe 16 categorii de marfă; în anul 2019: 17 entități – </w:t>
      </w:r>
      <w:r>
        <w:rPr>
          <w:rFonts w:asciiTheme="majorHAnsi" w:hAnsiTheme="majorHAnsi" w:cstheme="majorHAnsi"/>
          <w:sz w:val="16"/>
          <w:szCs w:val="16"/>
          <w:lang w:val="ro-MD"/>
        </w:rPr>
        <w:t xml:space="preserve">pe </w:t>
      </w:r>
      <w:r w:rsidRPr="00C12753">
        <w:rPr>
          <w:rFonts w:asciiTheme="majorHAnsi" w:hAnsiTheme="majorHAnsi" w:cstheme="majorHAnsi"/>
          <w:sz w:val="16"/>
          <w:szCs w:val="16"/>
          <w:lang w:val="ro-MD"/>
        </w:rPr>
        <w:t>15 categorii de marfă; în anul 2020: 22 entități – pe 9 categorii</w:t>
      </w:r>
      <w:r>
        <w:rPr>
          <w:rFonts w:asciiTheme="majorHAnsi" w:hAnsiTheme="majorHAnsi" w:cstheme="majorHAnsi"/>
          <w:sz w:val="16"/>
          <w:szCs w:val="16"/>
          <w:lang w:val="ro-MD"/>
        </w:rPr>
        <w:t xml:space="preserve"> de marfă.</w:t>
      </w:r>
    </w:p>
  </w:footnote>
  <w:footnote w:id="33">
    <w:p w14:paraId="10A6CC16" w14:textId="68EFE310"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Art.2 alin.(1) și art.57 alin.(1) din Legea nr.131 din 03.07.2015. Art.2 alin.(1) – „Prezenta lege se aplică contractelor de achiziții publice, cu excepția celor specificate la art.5, a căror valoare estimată, fără taxa pe valoarea adăugată, este egală cu sau mai mare decât următoarele praguri: pentru contractele de achiziții publice de bunuri și servicii, altele decât cele menționate la lit. c) – 200000 lei; pentru contractele de achiziții publice de lucrări – 250000 lei”. Art.57 alin.(1) – „Autoritatea contractantă, prin cererea ofertelor de prețuri, poate atribui contracte de achiziții publice de bunuri, lucrări sau servicii, care se prezintă conform unor specificații concrete, cu condiția ca valoarea estimată a achiziției să nu depășească 800000 lei pentru bunuri și servicii și 2000000 lei pentru lucrări”.</w:t>
      </w:r>
    </w:p>
  </w:footnote>
  <w:footnote w:id="34">
    <w:p w14:paraId="69F031F2" w14:textId="2E153A19"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w:t>
      </w:r>
      <w:r w:rsidR="00241575">
        <w:rPr>
          <w:rFonts w:asciiTheme="majorHAnsi" w:hAnsiTheme="majorHAnsi" w:cstheme="majorHAnsi"/>
          <w:sz w:val="16"/>
          <w:szCs w:val="16"/>
          <w:lang w:val="ro-MD"/>
        </w:rPr>
        <w:t>A</w:t>
      </w:r>
      <w:r w:rsidRPr="00BC3271">
        <w:rPr>
          <w:rFonts w:asciiTheme="majorHAnsi" w:hAnsiTheme="majorHAnsi" w:cstheme="majorHAnsi"/>
          <w:sz w:val="16"/>
          <w:szCs w:val="16"/>
          <w:lang w:val="ro-MD"/>
        </w:rPr>
        <w:t>nul 2018: 16 instituții – pe 6 categorii de marfă; anul 2019: 6 entități – pe 6 categorii de marfă; anul 2020: 7 entități – pe 4 categorii de marfă.</w:t>
      </w:r>
    </w:p>
  </w:footnote>
  <w:footnote w:id="35">
    <w:p w14:paraId="3EB8F578" w14:textId="77777777"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w:t>
      </w:r>
      <w:r w:rsidRPr="00BC3271">
        <w:rPr>
          <w:rFonts w:asciiTheme="majorHAnsi" w:eastAsia="Times New Roman" w:hAnsiTheme="majorHAnsi" w:cstheme="majorHAnsi"/>
          <w:sz w:val="16"/>
          <w:szCs w:val="16"/>
          <w:lang w:val="ro-MD"/>
        </w:rPr>
        <w:t>Hotărârea Guvernului nr.1570 din 09.12.2002 „Cu privire la măsurile urgente de trecere la noua bază normativă de deviz în construcții”.</w:t>
      </w:r>
    </w:p>
  </w:footnote>
  <w:footnote w:id="36">
    <w:p w14:paraId="58ADCD4A" w14:textId="15396E6A"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Administrația </w:t>
      </w:r>
      <w:r w:rsidR="003F67BB">
        <w:rPr>
          <w:rFonts w:asciiTheme="majorHAnsi" w:hAnsiTheme="majorHAnsi" w:cstheme="majorHAnsi"/>
          <w:sz w:val="16"/>
          <w:szCs w:val="16"/>
          <w:lang w:val="ro-MD"/>
        </w:rPr>
        <w:t>dolay</w:t>
      </w:r>
      <w:r w:rsidRPr="00BC3271">
        <w:rPr>
          <w:rFonts w:asciiTheme="majorHAnsi" w:hAnsiTheme="majorHAnsi" w:cstheme="majorHAnsi"/>
          <w:sz w:val="16"/>
          <w:szCs w:val="16"/>
          <w:lang w:val="ro-MD"/>
        </w:rPr>
        <w:t>ului Ceadâr-Lunga: anul 2019 - modificarea traseului rețelei electrice exterioare a orașului; Muzeul Național Găgăuz de Istorie „D. Cara-Ciobanu”: anul 2018 - construcții PVC și instalarea lor, ferestre; Gimnaziul „V.Topal”, s. Congaz: anul 2020 - procurarea și instalarea ferestrelor și ușilor; Liceul Teoretic, s. Dezghingea: anul 2020 - confecționarea și instalarea ferestrelor din PVC; Liceul Teoretic, s. Svetlâi: anul 2020 - construcții PVC și instalarea lor, ferestre, pervaz, reparația glafurilor (45 buc.), acoperișul din exterior; Liceul Teoretic „G.A. Gaidarji”: anul 2020 - efectuarea măsurărilor și încercărilor de reglare-recepție a instalațiilor electrice; Liceul Teoretic „M. Guboglo”, or. Ceadâr-Lunga: anul 2018 - confecționarea și instalarea ușilor, ferestrelor din PVC (46 buc.); Liceul Teoretic Moldo-Turc „S. Demireli”, s. Congaz: anul 2020 - baia și cantina; montarea sistemei de alimentare cu apă, lavoarelor, bateriilor de apă (în clase); reconstrucția intrării la clădirea liceului și montarea acoperișului la intrare în cămin; anul 2019 - îngrădire, porți; Gimnaziul „I. Sîncu”, s. Cotovscoe: anul 2020 - acoperiș, ferestre, pereți, vopsitorii etc.; balustrade, betonare, teracotă, vopsitorii; anul 2019 - pereți, vopsitorii, plintă, linoleum, drișcuirea pardoseli etc.; Gimnaziul „M. Vovciocs”, s. Ferapontievca: anul 2018 - construcții PVC, ferestre.</w:t>
      </w:r>
    </w:p>
  </w:footnote>
  <w:footnote w:id="37">
    <w:p w14:paraId="1EA981C7" w14:textId="7BB2E4FC"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Legea</w:t>
      </w:r>
      <w:r w:rsidRPr="00BC3271">
        <w:rPr>
          <w:rFonts w:asciiTheme="majorHAnsi" w:hAnsiTheme="majorHAnsi" w:cstheme="majorHAnsi"/>
          <w:bCs/>
          <w:sz w:val="16"/>
          <w:szCs w:val="16"/>
          <w:lang w:val="ro-MD"/>
        </w:rPr>
        <w:t xml:space="preserve"> nr.489-XIV din 08.07.1999 privind sistemul public de asigurări sociale.</w:t>
      </w:r>
    </w:p>
  </w:footnote>
  <w:footnote w:id="38">
    <w:p w14:paraId="67E4665D" w14:textId="52FC566E"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Dolay Ceadâr-Lunga – 0,7 mii lei (anul 2019); Liceul Teoretic „G.A. Gaidarji”, mun. Comrat – 0,5 mii lei (anul 2018); Liceul Teoretic „M. I. Tuzlova”, s. Chirsova – 0,4 mii lei (anul 2018); Liceul Teoretic „N. Tretiacov”, mun. Comrat – 3,6 mii lei (anul 2018 – 2,9 mii lei, anul 2019 – 0,7 mii lei); Liceul Teoretic „V. Moșcov”, or. Ceadâr-Lunga – 6,1 mii lei (anul 2020); Liceul Teoretic „D. Cara-Ciobanu”, mun. Comrat – 2,4 mii lei (anul 2019); Direcția Generală Construcții și Infrastructură – 2,9 mii lei (anul 2019); 18,1 mii lei (anul 2018).</w:t>
      </w:r>
    </w:p>
  </w:footnote>
  <w:footnote w:id="39">
    <w:p w14:paraId="4037EB08" w14:textId="77777777"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Anul 2018 – 21,9 mii lei; anul 2019 – 6,7 mii lei; anul 2020 – 6,1 mii lei.</w:t>
      </w:r>
    </w:p>
  </w:footnote>
  <w:footnote w:id="40">
    <w:p w14:paraId="3C40654D" w14:textId="120E7E65" w:rsidR="00497136" w:rsidRPr="00C12753" w:rsidRDefault="00497136" w:rsidP="00C12753">
      <w:pPr>
        <w:pStyle w:val="FootnoteText"/>
        <w:jc w:val="both"/>
        <w:rPr>
          <w:rFonts w:asciiTheme="majorHAnsi" w:hAnsiTheme="majorHAnsi" w:cstheme="majorHAnsi"/>
          <w:b/>
          <w:sz w:val="16"/>
          <w:szCs w:val="16"/>
          <w:u w:val="single"/>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Gimnaziul „M. Chiosea”, s. Beșalma – 2,3 mii lei (anul 2020). Cu </w:t>
      </w:r>
      <w:r w:rsidR="003F67BB">
        <w:rPr>
          <w:rFonts w:asciiTheme="majorHAnsi" w:hAnsiTheme="majorHAnsi" w:cstheme="majorHAnsi"/>
          <w:sz w:val="16"/>
          <w:szCs w:val="16"/>
          <w:lang w:val="ro-MD"/>
        </w:rPr>
        <w:t>abate</w:t>
      </w:r>
      <w:r w:rsidRPr="00BC3271">
        <w:rPr>
          <w:rFonts w:asciiTheme="majorHAnsi" w:hAnsiTheme="majorHAnsi" w:cstheme="majorHAnsi"/>
          <w:sz w:val="16"/>
          <w:szCs w:val="16"/>
          <w:lang w:val="ro-MD"/>
        </w:rPr>
        <w:t>re de la prevederile pct.4.3.3.5. din Codul Practic în Construcții „Instrucțiuni privind întocmirea devizelor pentru lucrările de construcții-montaj prin metoda de resurse” CP L.01.01-2012, aprobat de Ministerul Dezvoltării Regionale și Construcțiilor al Republicii Moldova (în continuare – CP L.01.01-2012), prin care este reglementat că, după „Total”, în Formularele nr.3 și nr.7 ale devizelor, nu se includ careva cheltuieli cu titlu de elaborare de documente.</w:t>
      </w:r>
    </w:p>
  </w:footnote>
  <w:footnote w:id="41">
    <w:p w14:paraId="0D7B1B2F" w14:textId="77777777" w:rsidR="00497136" w:rsidRPr="00BC3271" w:rsidRDefault="00497136" w:rsidP="00C12753">
      <w:pPr>
        <w:spacing w:after="0" w:line="240" w:lineRule="auto"/>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Contrar prevederilor Scrisorii Ministerului Economiei și Infrastructurii nr.10/1-0086 din 15.06.2018 „Cu privire la determinarea valorii obiectelor în construcții începând cu 01 mai 2018”, s-a acceptat cota de cheltuieli pentru transportarea materialelor majorată în mărime de (10,0%, 12,5%), în raport cu cea regulamentară de (10,0%, 4,0%). Liceul „M. Guboglo”, or. Ceadâr-Lunga – 2,7 mii lei (anul 2020). Direcția Generală Construcții și Infrastructură – 16,1 mii lei (anul 2020).</w:t>
      </w:r>
    </w:p>
  </w:footnote>
  <w:footnote w:id="42">
    <w:p w14:paraId="46CE963E" w14:textId="2E29F486"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Liceul Teoretic „V. Moșcov”, or. Ceadâr-Lunga – 4,3 mii lei. Cu </w:t>
      </w:r>
      <w:r w:rsidR="003F67BB">
        <w:rPr>
          <w:rFonts w:asciiTheme="majorHAnsi" w:hAnsiTheme="majorHAnsi" w:cstheme="majorHAnsi"/>
          <w:sz w:val="16"/>
          <w:szCs w:val="16"/>
          <w:lang w:val="ro-MD"/>
        </w:rPr>
        <w:t>abate</w:t>
      </w:r>
      <w:r w:rsidR="003F67BB" w:rsidRPr="00BC3271">
        <w:rPr>
          <w:rFonts w:asciiTheme="majorHAnsi" w:hAnsiTheme="majorHAnsi" w:cstheme="majorHAnsi"/>
          <w:sz w:val="16"/>
          <w:szCs w:val="16"/>
          <w:lang w:val="ro-MD"/>
        </w:rPr>
        <w:t>re</w:t>
      </w:r>
      <w:r w:rsidRPr="00BC3271">
        <w:rPr>
          <w:rFonts w:asciiTheme="majorHAnsi" w:hAnsiTheme="majorHAnsi" w:cstheme="majorHAnsi"/>
          <w:sz w:val="16"/>
          <w:szCs w:val="16"/>
          <w:lang w:val="ro-MD"/>
        </w:rPr>
        <w:t xml:space="preserve"> de la prevederile pct.4.3.3.5. din CPL.01.01-2012, prin care este reglementat că, după „Total”, în Formularele nr.3 și nr.7 ale devizelor, nu se includ careva cheltuieli cu titlu de supraveghere tehnică. Totodată, conform prevederilor art.22 alin.(1) lit.d) din Legea nr.721-XIII din 02.02.1996 privind calitatea în construcții, responsabilul tehnic este agent independent, altul decât executantul lucrării, și este contractat de către investitor.</w:t>
      </w:r>
    </w:p>
  </w:footnote>
  <w:footnote w:id="43">
    <w:p w14:paraId="7E669CE4" w14:textId="5AC3D67C"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Contractul din 28.06.2019, în sumă de 12393159,97 lei (ocds-b3wdp1-MD-1559304858048). Cota cheltuielilor de regie s-a calculat în mărime de 14,0%, deși, conform prevederilor devizului-ofertă, urma a fi aplicată cota de 12,0%.</w:t>
      </w:r>
    </w:p>
  </w:footnote>
  <w:footnote w:id="44">
    <w:p w14:paraId="419DC4E6" w14:textId="76FA5E55"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1) Contractul din 19.06.2018, în sumă de 4298021,52 lei (2018-0000002256, lucrările de reparație la Centrul de sănătate din s. Tomai). Comparativ cu devizul-ofertă, cota de cheltuieli pentru transportarea materialelor în actele de recepție s-a aplicat în mărime de 10%, deși urma - 5,5%. Cheltuielile de depozitare (2,0%) nu au fost prevăzute în devizul-ofertă. Cota cheltuielilor de regie în actele de recepție s-a aplicat în mărime de 14,5% și 76,0% (montare), deși urma - 8,0% și 40,0% (montare). Cota beneficiului de deviz în actele de recepție s-a aplicat în mărime de 6,0%, deși, conform devizului-ofertă, urma a fi aplicată cota de 3,5%. 2) Contractul din 11.06.2018, în sumă de 1061951,95 lei (2018-0000001984, lucrările de reparație la grădinița din s. Cioc-Maidan). Cota de cheltuieli pentru transportarea materialelor în actele de recepție s-a aplicat în mărime de 10%, deși, conform devizului-ofertă, urma a fi aplicată cota de 1,0%. Cota cheltuielilor de regie în actele de recepție  s-a aplicat în mărime de 14,5%, deși, conform devizului-ofertă, urma a fi aplicată cota de 1,0%. Cota beneficiului de deviz în actele de recepție s-a aplicat în mărime de 6,0%, deși, conform devizului-ofertă, urma a fi aplicată cota de 1,0%.</w:t>
      </w:r>
    </w:p>
  </w:footnote>
  <w:footnote w:id="45">
    <w:p w14:paraId="5C977EF3" w14:textId="77777777"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Anul 2019 – 4,6 mii lei; anul 2018 – 32,3 mii lei.</w:t>
      </w:r>
    </w:p>
  </w:footnote>
  <w:footnote w:id="46">
    <w:p w14:paraId="3AEE107C" w14:textId="1AE45D62"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Contractul din 28.06.2019, în sumă de 12393159,97 lei (ocds-b3wdp1-MD-1559304858048).</w:t>
      </w:r>
    </w:p>
  </w:footnote>
  <w:footnote w:id="47">
    <w:p w14:paraId="59FB4794" w14:textId="30A03DBF"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Costul pentru o oră - 258,46 lei, inclusiv salariu - 60,46 lei.</w:t>
      </w:r>
    </w:p>
  </w:footnote>
  <w:footnote w:id="48">
    <w:p w14:paraId="17F5CD23" w14:textId="2D031D4F"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Rezerva pentru lucrările neprevăzute, care a fost inclusă inițial în devizul local de lucrări la valoarea absolută, de 2% de la cheltuielile directe.</w:t>
      </w:r>
    </w:p>
  </w:footnote>
  <w:footnote w:id="49">
    <w:p w14:paraId="4BCB7F6C" w14:textId="6A30A1E7"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Pct.4.3.3.6 și pct.6.11 din CP L.01.01-2012. Pct.4.3.3.6 – În devizele-oferte, antreprenorul ia în considerație cheltuielile limitate pentru rezerva de mijloace pentru cheltuielile neprevăzute (în conformitate cu pct.6.11 din instrucțiune); Pct.6.11 - În devizul general, printr-un rând aparte se include rezerva de mijloace pentru cheltuielile neprevăzute, destinată acoperirii cheltuielilor, necesităților care apar în procesul de elaborare a documentației de execuție (etapa proiect, proiectul de execuție) sau în procesul de construcție, ca rezultat al precizării soluțiilor de proiect sau a condițiilor de construcție pe obiecte (pe categorii de lucrări), prevăzute în proiectul aprobat. Această rezervă se determină din totalul capitolelor 1-12, în mărime de 2% pentru obiectivele din sfera socială. Dacă prețul contractual este deschis și decontările între beneficiar și antreprenor se efectuează pentru volumele de lucrări efectiv executate, această parte din rezervă nu se transmite antreprenorului, dar  rămâne la beneficiar. </w:t>
      </w:r>
    </w:p>
  </w:footnote>
  <w:footnote w:id="50">
    <w:p w14:paraId="58E4258E" w14:textId="77777777"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Gimnaziul „S. Rudenco”, or.Vulcănești: anul 2020 – 2,9 mii lei, anul 2018 – 4,3 mii lei; Liceul Teoretic, s. Cișmichioi: anul 2020 – 0,7 mii lei; Liceul Teoretic „M. Eminescu”, mun. Comrat: anul 2019 – 1,6 mii lei.</w:t>
      </w:r>
    </w:p>
  </w:footnote>
  <w:footnote w:id="51">
    <w:p w14:paraId="438191D3" w14:textId="77777777" w:rsidR="00497136" w:rsidRPr="00C12753"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Anul 2018 – 4,3 mii lei; anul 2019 – 1,6 mii lei; anul 2020 – 3,6 mii lei.</w:t>
      </w:r>
    </w:p>
  </w:footnote>
  <w:footnote w:id="52">
    <w:p w14:paraId="5CC4324D" w14:textId="77777777"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Legea Inspectoratului General pentru Situații de Urgență nr.93-XVI din 05.04.2007: Art.16 alin.(1) -  Asigurarea financiară a Inspectoratului se realizează din contul mijloacelor bugetului de stat și din alte surse prevăzute de legislație. Alin.(4) - Organele centrale de specialitate ale administrației publice și autoritățile administrației publice locale repartizează gratuit Inspectoratului, în conformitate cu legislația, clădiri și încăperi necesare pentru desfășurarea activității acestuia.</w:t>
      </w:r>
    </w:p>
  </w:footnote>
  <w:footnote w:id="53">
    <w:p w14:paraId="6DCAAE54" w14:textId="77777777" w:rsidR="00497136" w:rsidRPr="00F54F60" w:rsidRDefault="00497136" w:rsidP="00C12753">
      <w:pPr>
        <w:pStyle w:val="FootnoteText"/>
        <w:rPr>
          <w:rFonts w:asciiTheme="majorHAnsi" w:hAnsiTheme="majorHAnsi" w:cstheme="majorHAnsi"/>
          <w:sz w:val="16"/>
          <w:szCs w:val="16"/>
          <w:lang w:val="ro-MD"/>
        </w:rPr>
      </w:pPr>
      <w:r w:rsidRPr="00F54F60">
        <w:rPr>
          <w:rStyle w:val="FootnoteReference"/>
          <w:rFonts w:asciiTheme="majorHAnsi" w:hAnsiTheme="majorHAnsi" w:cstheme="majorHAnsi"/>
          <w:sz w:val="16"/>
          <w:szCs w:val="16"/>
          <w:lang w:val="ro-MD"/>
        </w:rPr>
        <w:footnoteRef/>
      </w:r>
      <w:r w:rsidRPr="00F54F60">
        <w:rPr>
          <w:rFonts w:asciiTheme="majorHAnsi" w:hAnsiTheme="majorHAnsi" w:cstheme="majorHAnsi"/>
          <w:sz w:val="16"/>
          <w:szCs w:val="16"/>
          <w:lang w:val="ro-MD"/>
        </w:rPr>
        <w:t xml:space="preserve"> Echipei de audit nu i-au fost prezentate actele care ar confirma transmiterea valorii investiției executate.</w:t>
      </w:r>
    </w:p>
  </w:footnote>
  <w:footnote w:id="54">
    <w:p w14:paraId="35F4CBAA" w14:textId="6F57D09B" w:rsidR="00497136" w:rsidRPr="00216968" w:rsidRDefault="00497136">
      <w:pPr>
        <w:pStyle w:val="FootnoteText"/>
        <w:rPr>
          <w:rFonts w:asciiTheme="majorHAnsi" w:hAnsiTheme="majorHAnsi" w:cstheme="majorHAnsi"/>
          <w:sz w:val="16"/>
          <w:szCs w:val="16"/>
        </w:rPr>
      </w:pPr>
      <w:r w:rsidRPr="00216968">
        <w:rPr>
          <w:rStyle w:val="FootnoteReference"/>
          <w:rFonts w:asciiTheme="majorHAnsi" w:hAnsiTheme="majorHAnsi" w:cstheme="majorHAnsi"/>
          <w:sz w:val="16"/>
          <w:szCs w:val="16"/>
        </w:rPr>
        <w:footnoteRef/>
      </w:r>
      <w:r w:rsidRPr="00216968">
        <w:rPr>
          <w:rFonts w:asciiTheme="majorHAnsi" w:hAnsiTheme="majorHAnsi" w:cstheme="majorHAnsi"/>
          <w:sz w:val="16"/>
          <w:szCs w:val="16"/>
        </w:rPr>
        <w:t xml:space="preserve"> Art.67 din </w:t>
      </w:r>
      <w:r w:rsidRPr="00216968">
        <w:rPr>
          <w:rFonts w:asciiTheme="majorHAnsi" w:eastAsia="Times New Roman" w:hAnsiTheme="majorHAnsi" w:cstheme="majorHAnsi"/>
          <w:sz w:val="16"/>
          <w:szCs w:val="16"/>
        </w:rPr>
        <w:t>Legea nr.158/04.07.2008 cu privire la funcţia publică şi statutul funcţionarului public</w:t>
      </w:r>
      <w:r>
        <w:rPr>
          <w:rFonts w:asciiTheme="majorHAnsi" w:eastAsia="Times New Roman" w:hAnsiTheme="majorHAnsi" w:cstheme="majorHAnsi"/>
          <w:sz w:val="16"/>
          <w:szCs w:val="16"/>
        </w:rPr>
        <w:t>.</w:t>
      </w:r>
    </w:p>
  </w:footnote>
  <w:footnote w:id="55">
    <w:p w14:paraId="6C5D773B" w14:textId="0304E8B3" w:rsidR="00497136" w:rsidRPr="00216968" w:rsidRDefault="00497136" w:rsidP="00C82BA7">
      <w:pPr>
        <w:pStyle w:val="FootnoteText"/>
        <w:rPr>
          <w:rFonts w:asciiTheme="majorHAnsi" w:hAnsiTheme="majorHAnsi" w:cstheme="majorHAnsi"/>
          <w:sz w:val="16"/>
          <w:szCs w:val="16"/>
        </w:rPr>
      </w:pPr>
      <w:r w:rsidRPr="00216968">
        <w:rPr>
          <w:rStyle w:val="FootnoteReference"/>
          <w:rFonts w:asciiTheme="majorHAnsi" w:hAnsiTheme="majorHAnsi" w:cstheme="majorHAnsi"/>
          <w:sz w:val="16"/>
          <w:szCs w:val="16"/>
        </w:rPr>
        <w:footnoteRef/>
      </w:r>
      <w:r w:rsidRPr="00216968">
        <w:rPr>
          <w:rFonts w:asciiTheme="majorHAnsi" w:hAnsiTheme="majorHAnsi" w:cstheme="majorHAnsi"/>
          <w:sz w:val="16"/>
          <w:szCs w:val="16"/>
        </w:rPr>
        <w:t xml:space="preserve"> Neprevăzute de a</w:t>
      </w:r>
      <w:r w:rsidRPr="00216968">
        <w:rPr>
          <w:rFonts w:asciiTheme="majorHAnsi" w:eastAsia="Times New Roman" w:hAnsiTheme="majorHAnsi" w:cstheme="majorHAnsi"/>
          <w:bCs/>
          <w:noProof/>
          <w:sz w:val="16"/>
          <w:szCs w:val="16"/>
          <w:lang w:val="ro-MD" w:eastAsia="ru-RU"/>
        </w:rPr>
        <w:t>ctele normative ale Republicii Moldova.</w:t>
      </w:r>
    </w:p>
  </w:footnote>
  <w:footnote w:id="56">
    <w:p w14:paraId="138EBE1C" w14:textId="0CE57943" w:rsidR="00497136" w:rsidRPr="00BC3271" w:rsidRDefault="00497136" w:rsidP="00C12753">
      <w:pPr>
        <w:pStyle w:val="FootnoteText"/>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Legea UTA Găgăuzia nr.12-XI/I din 28.06.1996 „Privind Curtea de Conturi a Găgăuziei (Gagauz-Yeri)”. </w:t>
      </w:r>
    </w:p>
  </w:footnote>
  <w:footnote w:id="57">
    <w:p w14:paraId="661FF9BB" w14:textId="3C518ED6"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Curtea de Conturi a Găgăuziei este </w:t>
      </w:r>
      <w:r w:rsidRPr="00BC3271">
        <w:rPr>
          <w:rFonts w:asciiTheme="majorHAnsi" w:eastAsia="Times New Roman" w:hAnsiTheme="majorHAnsi" w:cstheme="majorHAnsi"/>
          <w:i/>
          <w:sz w:val="16"/>
          <w:szCs w:val="16"/>
          <w:lang w:val="ro-MD" w:eastAsia="ru-RU"/>
        </w:rPr>
        <w:t>instituție supremă de control financiar pe teritoriul UTA Găgăuzia, care activează pe lângă Adunarea Populară a Găgăuziei. Este o instituție independentă în executarea atribuțiilor sale și care activează în conformitate cu Constituția Republicii Moldova, Regulamentul Găgăuziei, Legea Republicii Moldova nr.344 din 23.12.1994, Legea Curții de Conturi a Găgăuziei, alte acte normative ale Găgăuziei. Potrivit prevederilor art. 14 din Legea UTA Găgăuzia menționată, Curtea de Conturi (CC) exercită controlul asupra modului de formare, administrare și întrebuințare a resurselor financiare publice și a patrimoniului public. Controlului financiar din partea CC a Găgăuziei, conform art.16 și art. 17 din lege, sunt supuse Aparatul Adunării Populare și Aparatul Comitetului Executiv; agenții economici, indiferent de forma de proprietate și organizatorico-juridică,  privind legalitatea, eficacitatea și utilizarea conform destinației a banilor publici. CC efectuează revizii și controlul activității Direcțiilor Generale, băncilor comerciale și a filialelor acestora, în capitalul statutar al cărora statul deține cota-parte, a Direcției administrării fiscale de stat și controlului financiar al Găgăuziei și subdiviziunilor acesteia pe lângă Direcția Generală Finanțe, a altor  autorități publice și agenți economici, după necesitate. Conducerea CC a Găgăuziei (art.7, art.8) se exercită de către Președintele CC, care este numit de către Adunarea Populară a Găgăuziei pe un termen de 4 ani. CC este alcătuită din 5 membri, care sunt numiți de către Adunarea Populară, la propunerea Președintelui CC.</w:t>
      </w:r>
    </w:p>
  </w:footnote>
  <w:footnote w:id="58">
    <w:p w14:paraId="73BC78A9" w14:textId="77777777" w:rsidR="00497136" w:rsidRPr="00BC3271" w:rsidRDefault="00497136" w:rsidP="00C12753">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Președintele CC – codul funcției A2028 „șef de direcție”; vicepreședintele – codul funcției A2028 „șef de direcție” minus 4 clase de salarizare; angajații cu funcție de execuție – codul funcției A2086; A2106; A2139 și A2141 – „controlor de stat principal”; „controlor de stat superior”; „controlor de stat” și „consultant superior”. </w:t>
      </w:r>
    </w:p>
  </w:footnote>
  <w:footnote w:id="59">
    <w:p w14:paraId="206DE3A8" w14:textId="39937F28" w:rsidR="00497136" w:rsidRPr="00C12753" w:rsidRDefault="00497136" w:rsidP="0054286F">
      <w:pPr>
        <w:pStyle w:val="FootnoteText"/>
        <w:jc w:val="both"/>
        <w:rPr>
          <w:rFonts w:asciiTheme="majorHAnsi" w:hAnsiTheme="majorHAnsi" w:cstheme="majorHAnsi"/>
          <w:sz w:val="16"/>
          <w:szCs w:val="16"/>
          <w:lang w:val="ro-MD"/>
        </w:rPr>
      </w:pPr>
      <w:r w:rsidRPr="00BC3271">
        <w:rPr>
          <w:rStyle w:val="FootnoteReference"/>
          <w:rFonts w:asciiTheme="majorHAnsi" w:hAnsiTheme="majorHAnsi" w:cstheme="majorHAnsi"/>
          <w:sz w:val="16"/>
          <w:szCs w:val="16"/>
          <w:lang w:val="ro-MD"/>
        </w:rPr>
        <w:footnoteRef/>
      </w:r>
      <w:r w:rsidRPr="00BC3271">
        <w:rPr>
          <w:rFonts w:asciiTheme="majorHAnsi" w:hAnsiTheme="majorHAnsi" w:cstheme="majorHAnsi"/>
          <w:sz w:val="16"/>
          <w:szCs w:val="16"/>
          <w:lang w:val="ro-MD"/>
        </w:rPr>
        <w:t xml:space="preserve"> </w:t>
      </w:r>
      <w:r w:rsidR="00241575">
        <w:rPr>
          <w:rFonts w:asciiTheme="majorHAnsi" w:hAnsiTheme="majorHAnsi" w:cstheme="majorHAnsi"/>
          <w:sz w:val="16"/>
          <w:szCs w:val="16"/>
          <w:lang w:val="ro-MD"/>
        </w:rPr>
        <w:t>A</w:t>
      </w:r>
      <w:r w:rsidRPr="00BC3271">
        <w:rPr>
          <w:rFonts w:asciiTheme="majorHAnsi" w:hAnsiTheme="majorHAnsi" w:cstheme="majorHAnsi"/>
          <w:sz w:val="16"/>
          <w:szCs w:val="16"/>
          <w:lang w:val="ro-MD"/>
        </w:rPr>
        <w:t>nul 2019 – 595,7 mii lei, inclusiv contribuții obligatorii - 118,7 mii lei;  anul 2020 - 903,5 mii lei, inclusiv contribuții obligatorii - 180,1 mii lei.</w:t>
      </w:r>
    </w:p>
  </w:footnote>
  <w:footnote w:id="60">
    <w:p w14:paraId="32C36C0A" w14:textId="698649F2"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00241575">
        <w:rPr>
          <w:rFonts w:asciiTheme="majorHAnsi" w:hAnsiTheme="majorHAnsi" w:cstheme="majorHAnsi"/>
          <w:sz w:val="16"/>
          <w:szCs w:val="16"/>
          <w:lang w:val="ro-MD"/>
        </w:rPr>
        <w:t>A</w:t>
      </w:r>
      <w:r w:rsidRPr="00C12753">
        <w:rPr>
          <w:rFonts w:asciiTheme="majorHAnsi" w:hAnsiTheme="majorHAnsi" w:cstheme="majorHAnsi"/>
          <w:sz w:val="16"/>
          <w:szCs w:val="16"/>
          <w:lang w:val="ro-MD"/>
        </w:rPr>
        <w:t>nul 2019 – 162,0 mii lei</w:t>
      </w:r>
      <w:r>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 xml:space="preserve">inclusiv contribuții obligatorii </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34,9 mii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anul 2020 – 216,5 mii lei</w:t>
      </w:r>
      <w:r>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 xml:space="preserve">inclusiv contribuții obligatorii </w:t>
      </w:r>
      <w:r>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46,7 mii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p>
  </w:footnote>
  <w:footnote w:id="61">
    <w:p w14:paraId="0E148477" w14:textId="068C0898" w:rsidR="00497136" w:rsidRPr="00C12753" w:rsidRDefault="00497136" w:rsidP="005E1F71">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Anul 2019 – 629,1 mii lei, inclusiv contribuții obligatorii – 123,9 mii lei; </w:t>
      </w:r>
      <w:r>
        <w:rPr>
          <w:rFonts w:asciiTheme="majorHAnsi" w:hAnsiTheme="majorHAnsi" w:cstheme="majorHAnsi"/>
          <w:sz w:val="16"/>
          <w:szCs w:val="16"/>
          <w:lang w:val="ro-MD"/>
        </w:rPr>
        <w:t>a</w:t>
      </w:r>
      <w:r w:rsidRPr="00C12753">
        <w:rPr>
          <w:rFonts w:asciiTheme="majorHAnsi" w:hAnsiTheme="majorHAnsi" w:cstheme="majorHAnsi"/>
          <w:sz w:val="16"/>
          <w:szCs w:val="16"/>
          <w:lang w:val="ro-MD"/>
        </w:rPr>
        <w:t xml:space="preserve">nul 2020 – 781,1 mii lei, inclusiv contribuții obligatorii </w:t>
      </w:r>
      <w:r>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150,8 mii lei.</w:t>
      </w:r>
    </w:p>
  </w:footnote>
  <w:footnote w:id="62">
    <w:p w14:paraId="442A91FC" w14:textId="5C7011B6" w:rsidR="00497136" w:rsidRPr="00C12753" w:rsidRDefault="00497136" w:rsidP="005E1F71">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Art.4 alin.(1) din Legea nr.764-XV din 27.12.2001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rivind organizarea administrativ-teritorială a R</w:t>
      </w:r>
      <w:r>
        <w:rPr>
          <w:rFonts w:asciiTheme="majorHAnsi" w:hAnsiTheme="majorHAnsi" w:cstheme="majorHAnsi"/>
          <w:sz w:val="16"/>
          <w:szCs w:val="16"/>
          <w:lang w:val="ro-MD"/>
        </w:rPr>
        <w:t xml:space="preserve">epublicii </w:t>
      </w:r>
      <w:r w:rsidRPr="00C12753">
        <w:rPr>
          <w:rFonts w:asciiTheme="majorHAnsi" w:hAnsiTheme="majorHAnsi" w:cstheme="majorHAnsi"/>
          <w:sz w:val="16"/>
          <w:szCs w:val="16"/>
          <w:lang w:val="ro-MD"/>
        </w:rPr>
        <w:t>M</w:t>
      </w:r>
      <w:r>
        <w:rPr>
          <w:rFonts w:asciiTheme="majorHAnsi" w:hAnsiTheme="majorHAnsi" w:cstheme="majorHAnsi"/>
          <w:sz w:val="16"/>
          <w:szCs w:val="16"/>
          <w:lang w:val="ro-MD"/>
        </w:rPr>
        <w:t>oldova.</w:t>
      </w:r>
    </w:p>
  </w:footnote>
  <w:footnote w:id="63">
    <w:p w14:paraId="302F58B3" w14:textId="6DB25B9F" w:rsidR="00497136" w:rsidRPr="00C12753" w:rsidRDefault="00497136" w:rsidP="005E1F71">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Legea nr.270 din 23.11.2018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rivind sistemul unitar de salarizare în sectorul bugetar</w:t>
      </w:r>
      <w:r>
        <w:rPr>
          <w:rFonts w:asciiTheme="majorHAnsi" w:hAnsiTheme="majorHAnsi" w:cstheme="majorHAnsi"/>
          <w:sz w:val="16"/>
          <w:szCs w:val="16"/>
          <w:lang w:val="ro-MD"/>
        </w:rPr>
        <w:t>.</w:t>
      </w:r>
    </w:p>
  </w:footnote>
  <w:footnote w:id="64">
    <w:p w14:paraId="236A90F0" w14:textId="7D3843FE" w:rsidR="00497136" w:rsidRPr="00C12753" w:rsidRDefault="00497136" w:rsidP="005E1F71">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001C0869">
        <w:rPr>
          <w:rFonts w:asciiTheme="majorHAnsi" w:hAnsiTheme="majorHAnsi" w:cstheme="majorHAnsi"/>
          <w:sz w:val="16"/>
          <w:szCs w:val="16"/>
          <w:lang w:val="ro-MD"/>
        </w:rPr>
        <w:t>A</w:t>
      </w:r>
      <w:r w:rsidRPr="00C12753">
        <w:rPr>
          <w:rFonts w:asciiTheme="majorHAnsi" w:hAnsiTheme="majorHAnsi" w:cstheme="majorHAnsi"/>
          <w:sz w:val="16"/>
          <w:szCs w:val="16"/>
          <w:lang w:val="ro-MD"/>
        </w:rPr>
        <w:t xml:space="preserve">nul 2019 – 985,4 mii lei, inclusiv contribuții obligatorii </w:t>
      </w:r>
      <w:r>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271,0 mii lei</w:t>
      </w:r>
      <w:r w:rsidR="001C0869">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anul </w:t>
      </w:r>
      <w:r w:rsidRPr="00C12753">
        <w:rPr>
          <w:rFonts w:asciiTheme="majorHAnsi" w:hAnsiTheme="majorHAnsi" w:cstheme="majorHAnsi"/>
          <w:sz w:val="16"/>
          <w:szCs w:val="16"/>
          <w:lang w:val="ro-MD"/>
        </w:rPr>
        <w:t xml:space="preserve">2020 – 1084,2 mii lei, inclusiv contribuții obligatorii </w:t>
      </w:r>
      <w:r>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298,2 mii lei.</w:t>
      </w:r>
    </w:p>
  </w:footnote>
  <w:footnote w:id="65">
    <w:p w14:paraId="4A470CB8" w14:textId="0A0CAF3E" w:rsidR="00497136" w:rsidRPr="00C12753" w:rsidRDefault="00497136" w:rsidP="005E1F71">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001C0869">
        <w:rPr>
          <w:rFonts w:asciiTheme="majorHAnsi" w:hAnsiTheme="majorHAnsi" w:cstheme="majorHAnsi"/>
          <w:sz w:val="16"/>
          <w:szCs w:val="16"/>
          <w:lang w:val="ro-MD"/>
        </w:rPr>
        <w:t>A</w:t>
      </w:r>
      <w:r w:rsidRPr="00C12753">
        <w:rPr>
          <w:rFonts w:asciiTheme="majorHAnsi" w:hAnsiTheme="majorHAnsi" w:cstheme="majorHAnsi"/>
          <w:sz w:val="16"/>
          <w:szCs w:val="16"/>
          <w:lang w:val="ro-MD"/>
        </w:rPr>
        <w:t xml:space="preserve">nul 2019 – 312,2 mii lei (inclusiv contribuții obligatorii </w:t>
      </w:r>
      <w:r w:rsidR="001C0869">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67,3 mii lei)</w:t>
      </w:r>
      <w:r w:rsidR="001C0869">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anul 2020 – 344,0  mii lei (inclusiv contribuții obligatorii </w:t>
      </w:r>
      <w:r w:rsidR="001C0869">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74,2 mii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p>
  </w:footnote>
  <w:footnote w:id="66">
    <w:p w14:paraId="22BFDE44" w14:textId="1E535B64" w:rsidR="00497136" w:rsidRPr="00F63694"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Ordinul ministrului </w:t>
      </w:r>
      <w:r>
        <w:rPr>
          <w:rFonts w:asciiTheme="majorHAnsi" w:hAnsiTheme="majorHAnsi" w:cstheme="majorHAnsi"/>
          <w:sz w:val="16"/>
          <w:szCs w:val="16"/>
          <w:lang w:val="ro-MD"/>
        </w:rPr>
        <w:t>s</w:t>
      </w:r>
      <w:r w:rsidRPr="00C12753">
        <w:rPr>
          <w:rFonts w:asciiTheme="majorHAnsi" w:hAnsiTheme="majorHAnsi" w:cstheme="majorHAnsi"/>
          <w:sz w:val="16"/>
          <w:szCs w:val="16"/>
          <w:lang w:val="ro-MD"/>
        </w:rPr>
        <w:t xml:space="preserve">ănătății nr.638 din 12.08.2016 „Cu privire la implementarea Recomandărilor pentru un regim alimentar sănătos și activitate fizică adecvată în instituțiile de învățământ din Republica Moldova” (în continuare – Ordinul ministrului </w:t>
      </w:r>
      <w:r>
        <w:rPr>
          <w:rFonts w:asciiTheme="majorHAnsi" w:hAnsiTheme="majorHAnsi" w:cstheme="majorHAnsi"/>
          <w:sz w:val="16"/>
          <w:szCs w:val="16"/>
          <w:lang w:val="ro-MD"/>
        </w:rPr>
        <w:t>s</w:t>
      </w:r>
      <w:r w:rsidRPr="00C12753">
        <w:rPr>
          <w:rFonts w:asciiTheme="majorHAnsi" w:hAnsiTheme="majorHAnsi" w:cstheme="majorHAnsi"/>
          <w:sz w:val="16"/>
          <w:szCs w:val="16"/>
          <w:lang w:val="ro-MD"/>
        </w:rPr>
        <w:t>ănătății nr.638 din 12.</w:t>
      </w:r>
      <w:r w:rsidRPr="00F63694">
        <w:rPr>
          <w:rFonts w:asciiTheme="majorHAnsi" w:hAnsiTheme="majorHAnsi" w:cstheme="majorHAnsi"/>
          <w:sz w:val="16"/>
          <w:szCs w:val="16"/>
          <w:lang w:val="ro-MD"/>
        </w:rPr>
        <w:t>08.2016).</w:t>
      </w:r>
    </w:p>
  </w:footnote>
  <w:footnote w:id="67">
    <w:p w14:paraId="35BE8E00" w14:textId="7B552C1B" w:rsidR="00497136" w:rsidRPr="00F63694" w:rsidRDefault="00497136" w:rsidP="00C12753">
      <w:pPr>
        <w:pStyle w:val="FootnoteText"/>
        <w:jc w:val="both"/>
        <w:rPr>
          <w:rFonts w:asciiTheme="majorHAnsi" w:hAnsiTheme="majorHAnsi" w:cstheme="majorHAnsi"/>
          <w:sz w:val="16"/>
          <w:szCs w:val="16"/>
          <w:highlight w:val="yellow"/>
          <w:lang w:val="ro-MD"/>
        </w:rPr>
      </w:pPr>
      <w:r w:rsidRPr="00F63694">
        <w:rPr>
          <w:rStyle w:val="FootnoteReference"/>
          <w:rFonts w:asciiTheme="majorHAnsi" w:hAnsiTheme="majorHAnsi" w:cstheme="majorHAnsi"/>
          <w:sz w:val="16"/>
          <w:szCs w:val="16"/>
          <w:lang w:val="ro-MD"/>
        </w:rPr>
        <w:footnoteRef/>
      </w:r>
      <w:r w:rsidRPr="00F63694">
        <w:rPr>
          <w:rFonts w:asciiTheme="majorHAnsi" w:hAnsiTheme="majorHAnsi" w:cstheme="majorHAnsi"/>
          <w:sz w:val="16"/>
          <w:szCs w:val="16"/>
          <w:lang w:val="ro-MD"/>
        </w:rPr>
        <w:t xml:space="preserve"> </w:t>
      </w:r>
      <w:r w:rsidRPr="00F63694">
        <w:rPr>
          <w:rFonts w:asciiTheme="majorHAnsi" w:eastAsia="Calibri" w:hAnsiTheme="majorHAnsi" w:cstheme="majorHAnsi"/>
          <w:i/>
          <w:sz w:val="16"/>
          <w:szCs w:val="16"/>
          <w:lang w:val="ro-MD"/>
        </w:rPr>
        <w:t>Peștele</w:t>
      </w:r>
      <w:r w:rsidRPr="00F63694">
        <w:rPr>
          <w:rFonts w:asciiTheme="majorHAnsi" w:eastAsia="Calibri" w:hAnsiTheme="majorHAnsi" w:cstheme="majorHAnsi"/>
          <w:sz w:val="16"/>
          <w:szCs w:val="16"/>
          <w:lang w:val="ro-MD"/>
        </w:rPr>
        <w:t xml:space="preserve"> -  fiind asigurat în volume de la 9% până la 79% din cantitatea zilnică per copil; </w:t>
      </w:r>
      <w:r w:rsidRPr="00F63694">
        <w:rPr>
          <w:rFonts w:asciiTheme="majorHAnsi" w:eastAsia="Calibri" w:hAnsiTheme="majorHAnsi" w:cstheme="majorHAnsi"/>
          <w:i/>
          <w:sz w:val="16"/>
          <w:szCs w:val="16"/>
          <w:lang w:val="ro-MD"/>
        </w:rPr>
        <w:t>carnea</w:t>
      </w:r>
      <w:r w:rsidRPr="00F63694">
        <w:rPr>
          <w:rFonts w:asciiTheme="majorHAnsi" w:eastAsia="Calibri" w:hAnsiTheme="majorHAnsi" w:cstheme="majorHAnsi"/>
          <w:sz w:val="16"/>
          <w:szCs w:val="16"/>
          <w:lang w:val="ro-MD"/>
        </w:rPr>
        <w:t xml:space="preserve"> – de la 23% până la 96% (au fost, însă, și instituții de învățământ preșcolar care au asigurat cantitatea zilnică per copil cu depășirea cantității aprobate, care a variat de la 100% până la 167%);  </w:t>
      </w:r>
      <w:r w:rsidRPr="00F63694">
        <w:rPr>
          <w:rFonts w:asciiTheme="majorHAnsi" w:eastAsia="Calibri" w:hAnsiTheme="majorHAnsi" w:cstheme="majorHAnsi"/>
          <w:i/>
          <w:sz w:val="16"/>
          <w:szCs w:val="16"/>
          <w:lang w:val="ro-MD"/>
        </w:rPr>
        <w:t>fructele uscate</w:t>
      </w:r>
      <w:r w:rsidRPr="00F63694">
        <w:rPr>
          <w:rFonts w:asciiTheme="majorHAnsi" w:eastAsia="Calibri" w:hAnsiTheme="majorHAnsi" w:cstheme="majorHAnsi"/>
          <w:sz w:val="16"/>
          <w:szCs w:val="16"/>
          <w:lang w:val="ro-MD"/>
        </w:rPr>
        <w:t xml:space="preserve"> – de la 17% până la 94%;  </w:t>
      </w:r>
      <w:r w:rsidRPr="00F63694">
        <w:rPr>
          <w:rFonts w:asciiTheme="majorHAnsi" w:eastAsia="Calibri" w:hAnsiTheme="majorHAnsi" w:cstheme="majorHAnsi"/>
          <w:i/>
          <w:sz w:val="16"/>
          <w:szCs w:val="16"/>
          <w:lang w:val="ro-MD"/>
        </w:rPr>
        <w:t>cartofii</w:t>
      </w:r>
      <w:r w:rsidRPr="00F63694">
        <w:rPr>
          <w:rFonts w:asciiTheme="majorHAnsi" w:eastAsia="Calibri" w:hAnsiTheme="majorHAnsi" w:cstheme="majorHAnsi"/>
          <w:sz w:val="16"/>
          <w:szCs w:val="16"/>
          <w:lang w:val="ro-MD"/>
        </w:rPr>
        <w:t xml:space="preserve"> – de la 53% până la 93%;</w:t>
      </w:r>
      <w:r w:rsidRPr="00F63694">
        <w:rPr>
          <w:rFonts w:asciiTheme="majorHAnsi" w:eastAsia="Calibri" w:hAnsiTheme="majorHAnsi" w:cstheme="majorHAnsi"/>
          <w:i/>
          <w:sz w:val="16"/>
          <w:szCs w:val="16"/>
          <w:lang w:val="ro-MD"/>
        </w:rPr>
        <w:t xml:space="preserve"> legumele</w:t>
      </w:r>
      <w:r w:rsidRPr="00F63694">
        <w:rPr>
          <w:rFonts w:asciiTheme="majorHAnsi" w:eastAsia="Calibri" w:hAnsiTheme="majorHAnsi" w:cstheme="majorHAnsi"/>
          <w:sz w:val="16"/>
          <w:szCs w:val="16"/>
          <w:lang w:val="ro-MD"/>
        </w:rPr>
        <w:t xml:space="preserve"> – de la 34% până la 96% etc. </w:t>
      </w:r>
    </w:p>
  </w:footnote>
  <w:footnote w:id="68">
    <w:p w14:paraId="6A5A71C9" w14:textId="5EB33AF8" w:rsidR="00497136" w:rsidRPr="00F63694" w:rsidRDefault="00497136" w:rsidP="00C12753">
      <w:pPr>
        <w:pStyle w:val="FootnoteText"/>
        <w:jc w:val="both"/>
        <w:rPr>
          <w:rFonts w:asciiTheme="majorHAnsi" w:hAnsiTheme="majorHAnsi" w:cstheme="majorHAnsi"/>
          <w:sz w:val="16"/>
          <w:szCs w:val="16"/>
          <w:lang w:val="ro-MD"/>
        </w:rPr>
      </w:pPr>
      <w:r w:rsidRPr="00F63694">
        <w:rPr>
          <w:rStyle w:val="FootnoteReference"/>
          <w:rFonts w:asciiTheme="majorHAnsi" w:hAnsiTheme="majorHAnsi" w:cstheme="majorHAnsi"/>
          <w:sz w:val="16"/>
          <w:szCs w:val="16"/>
          <w:lang w:val="ro-MD"/>
        </w:rPr>
        <w:footnoteRef/>
      </w:r>
      <w:r w:rsidRPr="00F63694">
        <w:rPr>
          <w:rFonts w:asciiTheme="majorHAnsi" w:hAnsiTheme="majorHAnsi" w:cstheme="majorHAnsi"/>
          <w:sz w:val="16"/>
          <w:szCs w:val="16"/>
          <w:lang w:val="ro-MD"/>
        </w:rPr>
        <w:t xml:space="preserve"> </w:t>
      </w:r>
      <w:r w:rsidRPr="00F63694">
        <w:rPr>
          <w:rFonts w:asciiTheme="majorHAnsi" w:hAnsiTheme="majorHAnsi" w:cstheme="majorHAnsi"/>
          <w:i/>
          <w:sz w:val="16"/>
          <w:szCs w:val="16"/>
          <w:lang w:val="ro-MD"/>
        </w:rPr>
        <w:t>Crupe și alte derivate ale cerealelor integrale</w:t>
      </w:r>
      <w:r w:rsidRPr="00F63694">
        <w:rPr>
          <w:rFonts w:asciiTheme="majorHAnsi" w:hAnsiTheme="majorHAnsi" w:cstheme="majorHAnsi"/>
          <w:sz w:val="16"/>
          <w:szCs w:val="16"/>
          <w:lang w:val="ro-MD"/>
        </w:rPr>
        <w:t xml:space="preserve"> – între 108 și 321% din cantitatea zilnică per copil aprobată; </w:t>
      </w:r>
      <w:r w:rsidRPr="00F63694">
        <w:rPr>
          <w:rFonts w:asciiTheme="majorHAnsi" w:hAnsiTheme="majorHAnsi" w:cstheme="majorHAnsi"/>
          <w:i/>
          <w:sz w:val="16"/>
          <w:szCs w:val="16"/>
          <w:lang w:val="ro-MD"/>
        </w:rPr>
        <w:t>pâinea de grâu</w:t>
      </w:r>
      <w:r w:rsidRPr="00F63694">
        <w:rPr>
          <w:rFonts w:asciiTheme="majorHAnsi" w:hAnsiTheme="majorHAnsi" w:cstheme="majorHAnsi"/>
          <w:sz w:val="16"/>
          <w:szCs w:val="16"/>
          <w:lang w:val="ro-MD"/>
        </w:rPr>
        <w:t xml:space="preserve"> – între 108 și 393%, </w:t>
      </w:r>
      <w:r w:rsidRPr="00F63694">
        <w:rPr>
          <w:rFonts w:asciiTheme="majorHAnsi" w:hAnsiTheme="majorHAnsi" w:cstheme="majorHAnsi"/>
          <w:i/>
          <w:sz w:val="16"/>
          <w:szCs w:val="16"/>
          <w:lang w:val="ro-MD"/>
        </w:rPr>
        <w:t>brânza tare</w:t>
      </w:r>
      <w:r w:rsidRPr="00F63694">
        <w:rPr>
          <w:rFonts w:asciiTheme="majorHAnsi" w:hAnsiTheme="majorHAnsi" w:cstheme="majorHAnsi"/>
          <w:sz w:val="16"/>
          <w:szCs w:val="16"/>
          <w:lang w:val="ro-MD"/>
        </w:rPr>
        <w:t xml:space="preserve"> – de la 103 până la 209% etc.</w:t>
      </w:r>
    </w:p>
  </w:footnote>
  <w:footnote w:id="69">
    <w:p w14:paraId="2ACC196B"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Art.4 alin.(1) lit.h) din Legea nr.435- XVI din 28.12.2006 privind descentralizarea administrativă.</w:t>
      </w:r>
    </w:p>
  </w:footnote>
  <w:footnote w:id="70">
    <w:p w14:paraId="72F7D8D6" w14:textId="102927DA"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Ordinul comun al ministrului </w:t>
      </w:r>
      <w:r>
        <w:rPr>
          <w:rFonts w:asciiTheme="majorHAnsi" w:hAnsiTheme="majorHAnsi" w:cstheme="majorHAnsi"/>
          <w:sz w:val="16"/>
          <w:szCs w:val="16"/>
          <w:lang w:val="ro-MD"/>
        </w:rPr>
        <w:t>e</w:t>
      </w:r>
      <w:r w:rsidRPr="00C12753">
        <w:rPr>
          <w:rFonts w:asciiTheme="majorHAnsi" w:hAnsiTheme="majorHAnsi" w:cstheme="majorHAnsi"/>
          <w:sz w:val="16"/>
          <w:szCs w:val="16"/>
          <w:lang w:val="ro-MD"/>
        </w:rPr>
        <w:t xml:space="preserve">ducației, </w:t>
      </w:r>
      <w:r>
        <w:rPr>
          <w:rFonts w:asciiTheme="majorHAnsi" w:hAnsiTheme="majorHAnsi" w:cstheme="majorHAnsi"/>
          <w:sz w:val="16"/>
          <w:szCs w:val="16"/>
          <w:lang w:val="ro-MD"/>
        </w:rPr>
        <w:t>c</w:t>
      </w:r>
      <w:r w:rsidRPr="00C12753">
        <w:rPr>
          <w:rFonts w:asciiTheme="majorHAnsi" w:hAnsiTheme="majorHAnsi" w:cstheme="majorHAnsi"/>
          <w:sz w:val="16"/>
          <w:szCs w:val="16"/>
          <w:lang w:val="ro-MD"/>
        </w:rPr>
        <w:t xml:space="preserve">ulturii și </w:t>
      </w:r>
      <w:r>
        <w:rPr>
          <w:rFonts w:asciiTheme="majorHAnsi" w:hAnsiTheme="majorHAnsi" w:cstheme="majorHAnsi"/>
          <w:sz w:val="16"/>
          <w:szCs w:val="16"/>
          <w:lang w:val="ro-MD"/>
        </w:rPr>
        <w:t>c</w:t>
      </w:r>
      <w:r w:rsidRPr="00C12753">
        <w:rPr>
          <w:rFonts w:asciiTheme="majorHAnsi" w:hAnsiTheme="majorHAnsi" w:cstheme="majorHAnsi"/>
          <w:sz w:val="16"/>
          <w:szCs w:val="16"/>
          <w:lang w:val="ro-MD"/>
        </w:rPr>
        <w:t xml:space="preserve">ercetării și ministrului </w:t>
      </w:r>
      <w:r>
        <w:rPr>
          <w:rFonts w:asciiTheme="majorHAnsi" w:hAnsiTheme="majorHAnsi" w:cstheme="majorHAnsi"/>
          <w:sz w:val="16"/>
          <w:szCs w:val="16"/>
          <w:lang w:val="ro-MD"/>
        </w:rPr>
        <w:t>f</w:t>
      </w:r>
      <w:r w:rsidRPr="00C12753">
        <w:rPr>
          <w:rFonts w:asciiTheme="majorHAnsi" w:hAnsiTheme="majorHAnsi" w:cstheme="majorHAnsi"/>
          <w:sz w:val="16"/>
          <w:szCs w:val="16"/>
          <w:lang w:val="ro-MD"/>
        </w:rPr>
        <w:t xml:space="preserve">inanțelor nr.9/12 din 15.01.2020 „Cu privire la normele financiare pentru alimentarea copiilor/elevilor din instituțiile din învățământ”. </w:t>
      </w:r>
    </w:p>
  </w:footnote>
  <w:footnote w:id="71">
    <w:p w14:paraId="29468813" w14:textId="0236F616"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Regulamentul privind modul de utilizare a mijloacelor financiare pentru deservirea delegațiilor și persoanelor oficiale străine</w:t>
      </w:r>
      <w:r>
        <w:rPr>
          <w:rFonts w:asciiTheme="majorHAnsi" w:hAnsiTheme="majorHAnsi" w:cstheme="majorHAnsi"/>
          <w:sz w:val="16"/>
          <w:szCs w:val="16"/>
          <w:lang w:val="ro-MD"/>
        </w:rPr>
        <w:t xml:space="preserve">, aprobat prin </w:t>
      </w:r>
      <w:r w:rsidRPr="00C12753">
        <w:rPr>
          <w:rFonts w:asciiTheme="majorHAnsi" w:hAnsiTheme="majorHAnsi" w:cstheme="majorHAnsi"/>
          <w:sz w:val="16"/>
          <w:szCs w:val="16"/>
          <w:lang w:val="ro-MD"/>
        </w:rPr>
        <w:t xml:space="preserve"> Hotărârea Guvernului nr.101 din 30.01.2018.</w:t>
      </w:r>
    </w:p>
  </w:footnote>
  <w:footnote w:id="72">
    <w:p w14:paraId="11DEFDF9" w14:textId="204DACBB" w:rsidR="00497136" w:rsidRPr="0065196B"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65196B">
        <w:rPr>
          <w:rFonts w:asciiTheme="majorHAnsi" w:hAnsiTheme="majorHAnsi" w:cstheme="majorHAnsi"/>
          <w:sz w:val="16"/>
          <w:szCs w:val="16"/>
          <w:lang w:val="ro-MD"/>
        </w:rPr>
        <w:t>Comitetul Executiv: în anul 2018 – 488,8 mii lei; în anul 2019 – 571,1, mii lei, și în anul 2020 – 461,3 mii lei; Adunarea Populară: în a.2018 – 32,8 mii lei, și în a.2020 – 35,9 mii lei.</w:t>
      </w:r>
    </w:p>
  </w:footnote>
  <w:footnote w:id="73">
    <w:p w14:paraId="32C1EE5C" w14:textId="3282C6A4"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Fără aplicarea uniformă a prevederilor </w:t>
      </w:r>
      <w:r w:rsidRPr="00C12753">
        <w:rPr>
          <w:rFonts w:asciiTheme="majorHAnsi" w:hAnsiTheme="majorHAnsi" w:cstheme="majorHAnsi"/>
          <w:bCs/>
          <w:sz w:val="16"/>
          <w:szCs w:val="16"/>
          <w:lang w:val="ro-MD"/>
        </w:rPr>
        <w:t xml:space="preserve">Regulamentului cu privire la normativele de cheltuieli pentru desfășurarea conferințelor, simpozioanelor, festivalurilor etc. de către instituțiile publice finanțate de la bugetul public național, aprobat prin </w:t>
      </w:r>
      <w:r w:rsidRPr="00C12753">
        <w:rPr>
          <w:rFonts w:asciiTheme="majorHAnsi" w:hAnsiTheme="majorHAnsi" w:cstheme="majorHAnsi"/>
          <w:sz w:val="16"/>
          <w:szCs w:val="16"/>
          <w:lang w:val="ro-MD"/>
        </w:rPr>
        <w:t>Hotărârea Guvernului nr.1151 din 02.09.2002.</w:t>
      </w:r>
    </w:p>
  </w:footnote>
  <w:footnote w:id="74">
    <w:p w14:paraId="54E1FC0A"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De nivel internațional, republican, interdepartamental.</w:t>
      </w:r>
    </w:p>
  </w:footnote>
  <w:footnote w:id="75">
    <w:p w14:paraId="7C8EE372" w14:textId="3918C472"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Normele de cheltuieli pentru următoarele achiziții și activități: flori pentru participanți și amenajarea sălii; cheltuieli pentru băuturi, cafea, apă minerală și gustări în timpul pauzelor; articole de cancelarie; servicii editoriale și de multiplicare; confecționarea afișelor; anunțurile de presă, serviciile foto și video; serviciile traducătorilor; arenda s</w:t>
      </w:r>
      <w:r>
        <w:rPr>
          <w:rFonts w:asciiTheme="majorHAnsi" w:hAnsiTheme="majorHAnsi" w:cstheme="majorHAnsi"/>
          <w:sz w:val="16"/>
          <w:szCs w:val="16"/>
          <w:lang w:val="ro-MD"/>
        </w:rPr>
        <w:t>ă</w:t>
      </w:r>
      <w:r w:rsidRPr="00C12753">
        <w:rPr>
          <w:rFonts w:asciiTheme="majorHAnsi" w:hAnsiTheme="majorHAnsi" w:cstheme="majorHAnsi"/>
          <w:sz w:val="16"/>
          <w:szCs w:val="16"/>
          <w:lang w:val="ro-MD"/>
        </w:rPr>
        <w:t>lii, aparatajului și utilajului tehnic; servicii de transport; premierea participanților.</w:t>
      </w:r>
    </w:p>
  </w:footnote>
  <w:footnote w:id="76">
    <w:p w14:paraId="10B88820"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Pauză de cafea, alimentația, băuturi – 233,7 mii lei; publicații în presă – 9,0 mii lei; cadouri pentru participanți – 18,8 mii lei; servicii de moderator – 2,3 mii lei; utilizarea aparatajului și utilajului tehnic – 220,8 mii lei; servicii de design și decor – 219,7 mii lei; servicii de traducere – 230,9 mii lei; servicii foto și video – 40,0 mii lei.</w:t>
      </w:r>
    </w:p>
  </w:footnote>
  <w:footnote w:id="77">
    <w:p w14:paraId="124AE2E8"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Servicii de organizare și suport tehnic în cadrul forumului – 395,0 mii lei; flori – 15,0 mii lei; alimentația participanților (pauză de cafea, alimentația, băuturi) – 407,0 mii lei.</w:t>
      </w:r>
    </w:p>
  </w:footnote>
  <w:footnote w:id="78">
    <w:p w14:paraId="5DEFA95C"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Alimentația participanților (pauză de cafea, alimentația, băuturi) – 175,6 mii lei; anunț în presă – 10,0 mii lei; tocuri-memorie flash – 44,3 mii lei; broșuri – 17,6 mii lei; afișe, drapele – 54,9 mii lei; serviciile traducătorilor – 48,7 lei; program cultural – 15,0 mii lei.</w:t>
      </w:r>
    </w:p>
  </w:footnote>
  <w:footnote w:id="79">
    <w:p w14:paraId="4E410869" w14:textId="4B4904F1"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Eprubete; concentratoare de oxigen; tampoane sterile; halate de protecție; stative medicale; combinezoane de protecție; bonete medicale; material de protecție pentru încălțăminte; pulsometre; termometre infraroșu; electrocardiograf; măști de protecție; mănuși medicale; dozatoare pentru dezinfectant; dezinfectant; aparate pentru respirație; medicamente</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mobilier și utilaj cu destinație medical</w:t>
      </w:r>
      <w:r>
        <w:rPr>
          <w:rFonts w:asciiTheme="majorHAnsi" w:hAnsiTheme="majorHAnsi" w:cstheme="majorHAnsi"/>
          <w:sz w:val="16"/>
          <w:szCs w:val="16"/>
          <w:lang w:val="ro-MD"/>
        </w:rPr>
        <w:t>ă</w:t>
      </w:r>
      <w:r w:rsidRPr="00C12753">
        <w:rPr>
          <w:rFonts w:asciiTheme="majorHAnsi" w:hAnsiTheme="majorHAnsi" w:cstheme="majorHAnsi"/>
          <w:sz w:val="16"/>
          <w:szCs w:val="16"/>
          <w:lang w:val="ro-MD"/>
        </w:rPr>
        <w:t>.</w:t>
      </w:r>
    </w:p>
  </w:footnote>
  <w:footnote w:id="80">
    <w:p w14:paraId="2FEC83C1"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Lucrări de reparație – 2347,8 mii lei; întocmirea documentației de deviz – 28,1 mii lei; supravegherea tehnică – 24,1 mii lei.</w:t>
      </w:r>
    </w:p>
  </w:footnote>
  <w:footnote w:id="81">
    <w:p w14:paraId="1F875443" w14:textId="4B4F6E3D" w:rsidR="00497136" w:rsidRPr="00C12753" w:rsidRDefault="00497136" w:rsidP="00983EE5">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Hotărârea Adunării Populare a Găgăuziei nr.398-XXVI/V din 30.06.2015 „Despre transmiterea dreptul</w:t>
      </w:r>
      <w:r>
        <w:rPr>
          <w:rFonts w:asciiTheme="majorHAnsi" w:hAnsiTheme="majorHAnsi" w:cstheme="majorHAnsi"/>
          <w:sz w:val="16"/>
          <w:szCs w:val="16"/>
          <w:lang w:val="ro-MD"/>
        </w:rPr>
        <w:t>ui</w:t>
      </w:r>
      <w:r w:rsidRPr="00C12753">
        <w:rPr>
          <w:rFonts w:asciiTheme="majorHAnsi" w:hAnsiTheme="majorHAnsi" w:cstheme="majorHAnsi"/>
          <w:sz w:val="16"/>
          <w:szCs w:val="16"/>
          <w:lang w:val="ro-MD"/>
        </w:rPr>
        <w:t xml:space="preserve"> de fondator al IMSP din UTA Găgăuzia Comitetului Executiv ”</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w:t>
      </w:r>
    </w:p>
  </w:footnote>
  <w:footnote w:id="82">
    <w:p w14:paraId="25B85D51" w14:textId="4144E816" w:rsidR="00497136" w:rsidRPr="00C12753" w:rsidRDefault="00497136" w:rsidP="00983EE5">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Centrul de Sănătate </w:t>
      </w:r>
      <w:r>
        <w:rPr>
          <w:rFonts w:asciiTheme="majorHAnsi" w:hAnsiTheme="majorHAnsi" w:cstheme="majorHAnsi"/>
          <w:sz w:val="16"/>
          <w:szCs w:val="16"/>
          <w:lang w:val="ro-MD"/>
        </w:rPr>
        <w:t>P</w:t>
      </w:r>
      <w:r w:rsidRPr="00C12753">
        <w:rPr>
          <w:rFonts w:asciiTheme="majorHAnsi" w:hAnsiTheme="majorHAnsi" w:cstheme="majorHAnsi"/>
          <w:sz w:val="16"/>
          <w:szCs w:val="16"/>
          <w:lang w:val="ro-MD"/>
        </w:rPr>
        <w:t>ublică Vulcănești – 12,3 mil</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lei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și Spitalul Raional Vulcănești – 14,9 mil</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lei.</w:t>
      </w:r>
    </w:p>
  </w:footnote>
  <w:footnote w:id="83">
    <w:p w14:paraId="2CE0B123" w14:textId="1CD9D805" w:rsidR="00497136" w:rsidRPr="00424F06" w:rsidRDefault="00497136" w:rsidP="00983EE5">
      <w:pPr>
        <w:pStyle w:val="FootnoteText"/>
        <w:jc w:val="both"/>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Legea nr. 589-XIII din 22.09.1995 privind rezervele materiale de stat și de mobilizare (abrogată </w:t>
      </w:r>
      <w:r w:rsidR="00983EE5">
        <w:rPr>
          <w:rFonts w:asciiTheme="majorHAnsi" w:hAnsiTheme="majorHAnsi" w:cstheme="majorHAnsi"/>
          <w:sz w:val="16"/>
          <w:szCs w:val="16"/>
          <w:lang w:val="ro-MD"/>
        </w:rPr>
        <w:t xml:space="preserve">la </w:t>
      </w:r>
      <w:r w:rsidR="00983EE5" w:rsidRPr="00424F06">
        <w:rPr>
          <w:rFonts w:asciiTheme="majorHAnsi" w:hAnsiTheme="majorHAnsi" w:cstheme="majorHAnsi"/>
          <w:sz w:val="16"/>
          <w:szCs w:val="16"/>
          <w:lang w:val="ro-MD"/>
        </w:rPr>
        <w:t>14.10.2020</w:t>
      </w:r>
      <w:r w:rsidR="00983EE5">
        <w:rPr>
          <w:rFonts w:asciiTheme="majorHAnsi" w:hAnsiTheme="majorHAnsi" w:cstheme="majorHAnsi"/>
          <w:sz w:val="16"/>
          <w:szCs w:val="16"/>
          <w:lang w:val="ro-MD"/>
        </w:rPr>
        <w:t xml:space="preserve"> </w:t>
      </w:r>
      <w:r w:rsidRPr="00424F06">
        <w:rPr>
          <w:rFonts w:asciiTheme="majorHAnsi" w:hAnsiTheme="majorHAnsi" w:cstheme="majorHAnsi"/>
          <w:sz w:val="16"/>
          <w:szCs w:val="16"/>
          <w:lang w:val="ro-MD"/>
        </w:rPr>
        <w:t>prin Legea nr.104 din 18.06.2020).</w:t>
      </w:r>
    </w:p>
  </w:footnote>
  <w:footnote w:id="84">
    <w:p w14:paraId="42F854D8" w14:textId="37E7F1AF" w:rsidR="00497136" w:rsidRPr="00424F06" w:rsidRDefault="00497136" w:rsidP="00983EE5">
      <w:pPr>
        <w:pStyle w:val="FootnoteText"/>
        <w:jc w:val="both"/>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w:t>
      </w:r>
      <w:r w:rsidRPr="00424F06">
        <w:rPr>
          <w:rFonts w:asciiTheme="majorHAnsi" w:eastAsia="Times New Roman" w:hAnsiTheme="majorHAnsi" w:cstheme="majorHAnsi"/>
          <w:sz w:val="16"/>
          <w:szCs w:val="16"/>
          <w:lang w:val="ro-MD"/>
        </w:rPr>
        <w:t>Regulamentul privind rezervele materiale ale Găgăuziei, aprobat prin Hotărârea Comitetului Executiv al Găgăuziei nr.13/21 din 09.08.2007 (în continuare - Regulamentul privind rezervele materiale ale Găgăuziei).</w:t>
      </w:r>
    </w:p>
  </w:footnote>
  <w:footnote w:id="85">
    <w:p w14:paraId="4BDBC719" w14:textId="3CBD4BA4" w:rsidR="00497136" w:rsidRPr="00424F06" w:rsidRDefault="00497136" w:rsidP="00983EE5">
      <w:pPr>
        <w:pStyle w:val="FootnoteText"/>
        <w:jc w:val="both"/>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Cadrul normativ în vigoare nu oferă criteriul de calificare a ajutorului umanitar. </w:t>
      </w:r>
    </w:p>
  </w:footnote>
  <w:footnote w:id="86">
    <w:p w14:paraId="4971E1BF" w14:textId="582F8E81" w:rsidR="00497136" w:rsidRPr="00424F06" w:rsidRDefault="00497136" w:rsidP="00C12753">
      <w:pPr>
        <w:pStyle w:val="FootnoteText"/>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Hotărârea Adunării Populare a Găgăuziei nr. 369-XXXVI/VI din 28.04.2020 „Despre măsurile de depășire a consecințelor secetei în gospodăriile agricole din Găgăuzia”.</w:t>
      </w:r>
    </w:p>
  </w:footnote>
  <w:footnote w:id="87">
    <w:p w14:paraId="30EE4A28" w14:textId="63B69B7A" w:rsidR="00497136" w:rsidRPr="00424F06" w:rsidRDefault="00497136" w:rsidP="00C12753">
      <w:pPr>
        <w:pStyle w:val="FootnoteText"/>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Legea nr.344-XIII din 23.12.1994 privind statutul juridic special al Găgăuziei (Gagauz-Yeri)”; Legea nr. 271-XIII din 09.11.1994 cu privire la protecția civilă; Hotărârea Guvernului nr.803 din 01.08.2018 „Cu privire la Centrul de dirijare în situații excepționale al Comisiei pentru Situații Excepționale a Republicii Moldova și structurile de asigurare a activității altor comisii pentru situații excepționale”.  </w:t>
      </w:r>
    </w:p>
  </w:footnote>
  <w:footnote w:id="88">
    <w:p w14:paraId="7271072F" w14:textId="5878B2CF" w:rsidR="00497136" w:rsidRPr="00424F06" w:rsidRDefault="00497136" w:rsidP="00C12753">
      <w:pPr>
        <w:pStyle w:val="FootnoteText"/>
        <w:jc w:val="both"/>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Art. 8 din Legea nr. 589-XIII din 22.09.1995 privind rezervele materiale de stat și de mobilizare (abrogată la 14.10.2020, prin Legea nr.104 din 18.06.2020).</w:t>
      </w:r>
    </w:p>
  </w:footnote>
  <w:footnote w:id="89">
    <w:p w14:paraId="4B55F954" w14:textId="7222C42B" w:rsidR="00497136" w:rsidRPr="00424F06" w:rsidRDefault="00497136" w:rsidP="00C12753">
      <w:pPr>
        <w:pStyle w:val="FootnoteText"/>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Hotărârea Comitetului Executiv nr.18/2 din 03.07.2020 „Despre transmiterea grâului alimentar din rezerva materială a UTA Găgăuzia”.</w:t>
      </w:r>
    </w:p>
  </w:footnote>
  <w:footnote w:id="90">
    <w:p w14:paraId="3C4AF0AB" w14:textId="096C0605" w:rsidR="00497136" w:rsidRPr="00424F06" w:rsidRDefault="00497136" w:rsidP="00C12753">
      <w:pPr>
        <w:pStyle w:val="FootnoteText"/>
        <w:jc w:val="both"/>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840868 kg/145816 locuitori (potrivit datelor BNS) = 5,77 kg/locuitor.</w:t>
      </w:r>
    </w:p>
  </w:footnote>
  <w:footnote w:id="91">
    <w:p w14:paraId="21FFB234" w14:textId="0B04B02E" w:rsidR="00497136" w:rsidRPr="00424F06" w:rsidRDefault="00497136" w:rsidP="00C12753">
      <w:pPr>
        <w:pStyle w:val="FootnoteText"/>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Analiza mișcării grâului alimentar din rezerva materială a UTA Găgăuz</w:t>
      </w:r>
      <w:r w:rsidR="003A5DF5">
        <w:rPr>
          <w:rFonts w:asciiTheme="majorHAnsi" w:hAnsiTheme="majorHAnsi" w:cstheme="majorHAnsi"/>
          <w:sz w:val="16"/>
          <w:szCs w:val="16"/>
          <w:lang w:val="ro-MD"/>
        </w:rPr>
        <w:t>ia în perioada anilor 2018-2020</w:t>
      </w:r>
      <w:r w:rsidRPr="00424F06">
        <w:rPr>
          <w:rFonts w:asciiTheme="majorHAnsi" w:hAnsiTheme="majorHAnsi" w:cstheme="majorHAnsi"/>
          <w:b/>
          <w:i/>
          <w:sz w:val="16"/>
          <w:szCs w:val="16"/>
          <w:lang w:val="ro-MD"/>
        </w:rPr>
        <w:t>.</w:t>
      </w:r>
    </w:p>
  </w:footnote>
  <w:footnote w:id="92">
    <w:p w14:paraId="696445D0" w14:textId="2572E71A" w:rsidR="00497136" w:rsidRPr="003A5DF5" w:rsidRDefault="00497136" w:rsidP="00C12753">
      <w:pPr>
        <w:pStyle w:val="FootnoteText"/>
        <w:jc w:val="both"/>
        <w:rPr>
          <w:rFonts w:asciiTheme="majorHAnsi" w:hAnsiTheme="majorHAnsi" w:cstheme="majorHAnsi"/>
          <w:sz w:val="16"/>
          <w:szCs w:val="16"/>
          <w:lang w:val="ro-MD"/>
        </w:rPr>
      </w:pPr>
      <w:r w:rsidRPr="00424F06">
        <w:rPr>
          <w:rStyle w:val="FootnoteReference"/>
          <w:rFonts w:asciiTheme="majorHAnsi" w:hAnsiTheme="majorHAnsi" w:cstheme="majorHAnsi"/>
          <w:sz w:val="16"/>
          <w:szCs w:val="16"/>
          <w:lang w:val="ro-MD"/>
        </w:rPr>
        <w:footnoteRef/>
      </w:r>
      <w:r w:rsidRPr="00424F06">
        <w:rPr>
          <w:rFonts w:asciiTheme="majorHAnsi" w:hAnsiTheme="majorHAnsi" w:cstheme="majorHAnsi"/>
          <w:sz w:val="16"/>
          <w:szCs w:val="16"/>
          <w:lang w:val="ro-MD"/>
        </w:rPr>
        <w:t xml:space="preserve"> 9 AAPL au decis transmiterea grâului alimentar primit instituțiilor religioase din localitate; 3 AAPL au </w:t>
      </w:r>
      <w:r w:rsidRPr="00216968">
        <w:rPr>
          <w:rFonts w:asciiTheme="majorHAnsi" w:hAnsiTheme="majorHAnsi" w:cstheme="majorHAnsi"/>
          <w:sz w:val="16"/>
          <w:szCs w:val="16"/>
          <w:lang w:val="ro-MD"/>
        </w:rPr>
        <w:t>transmis</w:t>
      </w:r>
      <w:r w:rsidR="003A5DF5">
        <w:rPr>
          <w:rFonts w:asciiTheme="majorHAnsi" w:hAnsiTheme="majorHAnsi" w:cstheme="majorHAnsi"/>
          <w:sz w:val="16"/>
          <w:szCs w:val="16"/>
          <w:lang w:val="ro-MD"/>
        </w:rPr>
        <w:t xml:space="preserve"> </w:t>
      </w:r>
      <w:r w:rsidR="003A5DF5" w:rsidRPr="00424F06">
        <w:rPr>
          <w:rFonts w:asciiTheme="majorHAnsi" w:hAnsiTheme="majorHAnsi" w:cstheme="majorHAnsi"/>
          <w:sz w:val="16"/>
          <w:szCs w:val="16"/>
          <w:lang w:val="ro-MD"/>
        </w:rPr>
        <w:t>grâu</w:t>
      </w:r>
      <w:r w:rsidR="003A5DF5">
        <w:rPr>
          <w:rFonts w:asciiTheme="majorHAnsi" w:hAnsiTheme="majorHAnsi" w:cstheme="majorHAnsi"/>
          <w:sz w:val="16"/>
          <w:szCs w:val="16"/>
          <w:lang w:val="ro-MD"/>
        </w:rPr>
        <w:t>l</w:t>
      </w:r>
      <w:r w:rsidR="003A5DF5" w:rsidRPr="00424F06">
        <w:rPr>
          <w:rFonts w:asciiTheme="majorHAnsi" w:hAnsiTheme="majorHAnsi" w:cstheme="majorHAnsi"/>
          <w:sz w:val="16"/>
          <w:szCs w:val="16"/>
          <w:lang w:val="ro-MD"/>
        </w:rPr>
        <w:t xml:space="preserve"> primit</w:t>
      </w:r>
      <w:r w:rsidRPr="00216968">
        <w:rPr>
          <w:rFonts w:asciiTheme="majorHAnsi" w:hAnsiTheme="majorHAnsi" w:cstheme="majorHAnsi"/>
          <w:sz w:val="16"/>
          <w:szCs w:val="16"/>
          <w:lang w:val="ro-MD"/>
        </w:rPr>
        <w:t xml:space="preserve"> AO, pentru</w:t>
      </w:r>
      <w:r w:rsidRPr="00424F06">
        <w:rPr>
          <w:rFonts w:asciiTheme="majorHAnsi" w:hAnsiTheme="majorHAnsi" w:cstheme="majorHAnsi"/>
          <w:sz w:val="16"/>
          <w:szCs w:val="16"/>
          <w:lang w:val="ro-MD"/>
        </w:rPr>
        <w:t xml:space="preserve"> realizare, cu utilizarea mijloacelor bănești încasate pentru amenajarea obiectelor de menire socială; 5 AAPL au repartizat cantitatea de grâu primită anumitor categorii de populație (copii cu vărsta de până la 16 ani, persoane vârstnice, invalizi etc.); 9 AAPL  au repartizat grâu populației </w:t>
      </w:r>
      <w:r w:rsidRPr="003A5DF5">
        <w:rPr>
          <w:rFonts w:asciiTheme="majorHAnsi" w:hAnsiTheme="majorHAnsi" w:cstheme="majorHAnsi"/>
          <w:sz w:val="16"/>
          <w:szCs w:val="16"/>
          <w:lang w:val="ro-MD"/>
        </w:rPr>
        <w:t>din localitate, reieșind din calculul de 5,77 kg per locuitor, și 3 AAPL au transmis</w:t>
      </w:r>
      <w:r w:rsidR="003A5DF5" w:rsidRPr="003A5DF5">
        <w:rPr>
          <w:rFonts w:asciiTheme="majorHAnsi" w:hAnsiTheme="majorHAnsi" w:cstheme="majorHAnsi"/>
          <w:sz w:val="16"/>
          <w:szCs w:val="16"/>
          <w:lang w:val="ro-MD"/>
        </w:rPr>
        <w:t xml:space="preserve"> grâul</w:t>
      </w:r>
      <w:r w:rsidRPr="003A5DF5">
        <w:rPr>
          <w:rFonts w:asciiTheme="majorHAnsi" w:hAnsiTheme="majorHAnsi" w:cstheme="majorHAnsi"/>
          <w:sz w:val="16"/>
          <w:szCs w:val="16"/>
          <w:lang w:val="ro-MD"/>
        </w:rPr>
        <w:t xml:space="preserve"> agenților economici din localitate, pentru păstrare.</w:t>
      </w:r>
    </w:p>
  </w:footnote>
  <w:footnote w:id="93">
    <w:p w14:paraId="55E3E0A8" w14:textId="5B8C7AA0" w:rsidR="00497136" w:rsidRPr="001A7D99" w:rsidRDefault="00497136" w:rsidP="00D259DF">
      <w:pPr>
        <w:pStyle w:val="FootnoteText"/>
        <w:rPr>
          <w:rFonts w:asciiTheme="majorHAnsi" w:eastAsia="Times New Roman" w:hAnsiTheme="majorHAnsi" w:cstheme="majorHAnsi"/>
          <w:sz w:val="16"/>
          <w:szCs w:val="16"/>
          <w:lang w:val="ro-MD"/>
        </w:rPr>
      </w:pPr>
      <w:r w:rsidRPr="003A5DF5">
        <w:rPr>
          <w:rStyle w:val="FootnoteReference"/>
          <w:rFonts w:asciiTheme="majorHAnsi" w:hAnsiTheme="majorHAnsi" w:cstheme="majorHAnsi"/>
          <w:sz w:val="16"/>
          <w:szCs w:val="16"/>
        </w:rPr>
        <w:footnoteRef/>
      </w:r>
      <w:r w:rsidRPr="003A5DF5">
        <w:rPr>
          <w:rFonts w:asciiTheme="majorHAnsi" w:hAnsiTheme="majorHAnsi" w:cstheme="majorHAnsi"/>
          <w:sz w:val="16"/>
          <w:szCs w:val="16"/>
          <w:lang w:val="ro-MD"/>
        </w:rPr>
        <w:t xml:space="preserve"> </w:t>
      </w:r>
      <w:r w:rsidRPr="003A5DF5">
        <w:rPr>
          <w:rFonts w:asciiTheme="majorHAnsi" w:eastAsia="Times New Roman" w:hAnsiTheme="majorHAnsi" w:cstheme="majorHAnsi"/>
          <w:sz w:val="16"/>
          <w:szCs w:val="16"/>
          <w:lang w:val="ro-MD"/>
        </w:rPr>
        <w:t xml:space="preserve">Anexa </w:t>
      </w:r>
      <w:r w:rsidR="00983EE5" w:rsidRPr="003A5DF5">
        <w:rPr>
          <w:rFonts w:asciiTheme="majorHAnsi" w:eastAsia="Times New Roman" w:hAnsiTheme="majorHAnsi" w:cstheme="majorHAnsi"/>
          <w:sz w:val="16"/>
          <w:szCs w:val="16"/>
          <w:lang w:val="ro-MD"/>
        </w:rPr>
        <w:t>nr.</w:t>
      </w:r>
      <w:r w:rsidRPr="003A5DF5">
        <w:rPr>
          <w:rFonts w:asciiTheme="majorHAnsi" w:eastAsia="Times New Roman" w:hAnsiTheme="majorHAnsi" w:cstheme="majorHAnsi"/>
          <w:sz w:val="16"/>
          <w:szCs w:val="16"/>
          <w:lang w:val="ro-MD"/>
        </w:rPr>
        <w:t>10</w:t>
      </w:r>
      <w:r w:rsidR="00983EE5" w:rsidRPr="003A5DF5">
        <w:rPr>
          <w:rFonts w:asciiTheme="majorHAnsi" w:eastAsia="Times New Roman" w:hAnsiTheme="majorHAnsi" w:cstheme="majorHAnsi"/>
          <w:sz w:val="16"/>
          <w:szCs w:val="16"/>
          <w:lang w:val="ro-MD"/>
        </w:rPr>
        <w:t xml:space="preserve"> la Raportul de audit:</w:t>
      </w:r>
      <w:r w:rsidRPr="003A5DF5">
        <w:rPr>
          <w:rFonts w:asciiTheme="majorHAnsi" w:eastAsia="Times New Roman" w:hAnsiTheme="majorHAnsi" w:cstheme="majorHAnsi"/>
          <w:sz w:val="16"/>
          <w:szCs w:val="16"/>
          <w:lang w:val="ro-MD"/>
        </w:rPr>
        <w:t xml:space="preserve"> Analiza implementării</w:t>
      </w:r>
      <w:r w:rsidRPr="001A7D99">
        <w:rPr>
          <w:rFonts w:asciiTheme="majorHAnsi" w:eastAsia="Times New Roman" w:hAnsiTheme="majorHAnsi" w:cstheme="majorHAnsi"/>
          <w:sz w:val="16"/>
          <w:szCs w:val="16"/>
          <w:lang w:val="ro-MD"/>
        </w:rPr>
        <w:t xml:space="preserve"> recomandărilor anterioare ale Curții de Conturi (Hotărârea nr.50 din 23.07.2018</w:t>
      </w:r>
      <w:r>
        <w:rPr>
          <w:rFonts w:asciiTheme="majorHAnsi" w:eastAsia="Times New Roman" w:hAnsiTheme="majorHAnsi" w:cstheme="majorHAnsi"/>
          <w:sz w:val="16"/>
          <w:szCs w:val="16"/>
          <w:lang w:val="ro-MD"/>
        </w:rPr>
        <w:t>).</w:t>
      </w:r>
    </w:p>
  </w:footnote>
  <w:footnote w:id="94">
    <w:p w14:paraId="46D71CFF" w14:textId="77777777"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UAT: Comrat, Ceadâr-Lunga, Vulcăneşti, Avdarma, Baurci, Beşalma, Beşghioz, Bugeac, Carbalia, Cazaclia, Chiriet-Lunga, Chirsova, Cioc-Maidan, Cişmichioi, Chioselia Rusă, Congaz, Congazcicul de Sus, Copceac, Cotovscoe, Dezghingea, Etulia, Ferapontievca, Gaidar, Joltai, Svetlîi, Tomai.</w:t>
      </w:r>
    </w:p>
  </w:footnote>
  <w:footnote w:id="95">
    <w:p w14:paraId="458033B6" w14:textId="77777777"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w:t>
      </w:r>
      <w:r w:rsidRPr="00C12753">
        <w:rPr>
          <w:rFonts w:asciiTheme="majorHAnsi" w:eastAsia="Times New Roman" w:hAnsiTheme="majorHAnsi" w:cstheme="majorHAnsi"/>
          <w:sz w:val="16"/>
          <w:szCs w:val="16"/>
          <w:lang w:val="ro-MD"/>
        </w:rPr>
        <w:t>UAT: Comrat, Ceadâr-Lunga, Vulcăneşti, Avdarma, Baurci, Beşalma, Beşghioz, Bugeac, Carbalia, Cazaclia, Chiriet-Lunga, Chirsova, Cioc-Maidan, Cişmichioi, Chioselia Rusă, Congaz, Congazcicul de Sus, Copceac, Cotovscoe, Dezghingea, Etulia, Ferapontievca, Gaidar, Joltai, Svetlîi, Tomai.</w:t>
      </w:r>
    </w:p>
  </w:footnote>
  <w:footnote w:id="96">
    <w:p w14:paraId="624C951F"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Legea nr. 260 din 07.12.2017 privind organizarea și funcționarea Curții de Conturi a Republicii Moldova.</w:t>
      </w:r>
    </w:p>
  </w:footnote>
  <w:footnote w:id="97">
    <w:p w14:paraId="6F9B1242"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ISSAI 100, ISSAI 400 și ISSAI 4000, aprobate pentru aplicare prin Hotărârea CCRM nr.2 din 24.01.2020 „Cu privire la Cadrul Declarațiilor Profesionale ale INTOSAI”.</w:t>
      </w:r>
    </w:p>
  </w:footnote>
  <w:footnote w:id="98">
    <w:p w14:paraId="2B185621"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Hotărârea Curții de Conturi nr.50 din 23.07.2018 „</w:t>
      </w:r>
      <w:r w:rsidRPr="00C12753">
        <w:rPr>
          <w:rFonts w:asciiTheme="majorHAnsi" w:hAnsiTheme="majorHAnsi" w:cstheme="majorHAnsi"/>
          <w:bCs/>
          <w:sz w:val="16"/>
          <w:szCs w:val="16"/>
          <w:lang w:val="ro-MD"/>
        </w:rPr>
        <w:t xml:space="preserve">Privind aprobarea </w:t>
      </w:r>
      <w:r w:rsidRPr="00C12753">
        <w:rPr>
          <w:rFonts w:asciiTheme="majorHAnsi" w:hAnsiTheme="majorHAnsi" w:cstheme="majorHAnsi"/>
          <w:sz w:val="16"/>
          <w:szCs w:val="16"/>
          <w:lang w:val="ro-MD"/>
        </w:rPr>
        <w:t>Raportului auditului situațiilor financiare aferente procesului bugetar și gestionării patrimoniului public de către Unitatea Teritorială Autonomă Găgăuzia pe anii 2016-2017”.</w:t>
      </w:r>
    </w:p>
  </w:footnote>
  <w:footnote w:id="99">
    <w:p w14:paraId="5FACF60B" w14:textId="233DED5C"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Consiliilor locale și primarilor UAT: Comrat, Ceadâr-Lunga, Vulcănești, Avdarma, Baurci, Beșalma, Beșghioz, Bugeac, Carbalia, Cazaclia, Chiriet-Lunga, Chirsova, Cioc-Maidan, Cișmichioi, Chioselia Rusă, Congaz, Congazcicul de Sus, Copceac, Cotovscoe, Dezghingea, Etulia, Ferapontievca, Gaidar, Joltai, Svetl</w:t>
      </w:r>
      <w:r>
        <w:rPr>
          <w:rFonts w:asciiTheme="majorHAnsi" w:hAnsiTheme="majorHAnsi" w:cstheme="majorHAnsi"/>
          <w:sz w:val="16"/>
          <w:szCs w:val="16"/>
          <w:lang w:val="ro-MD"/>
        </w:rPr>
        <w:t>â</w:t>
      </w:r>
      <w:r w:rsidRPr="00C12753">
        <w:rPr>
          <w:rFonts w:asciiTheme="majorHAnsi" w:hAnsiTheme="majorHAnsi" w:cstheme="majorHAnsi"/>
          <w:sz w:val="16"/>
          <w:szCs w:val="16"/>
          <w:lang w:val="ro-MD"/>
        </w:rPr>
        <w:t>i, Tomai.</w:t>
      </w:r>
    </w:p>
  </w:footnote>
  <w:footnote w:id="100">
    <w:p w14:paraId="0967FDD5" w14:textId="6510F6ED"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Coordonatorul CIM desemnat prin </w:t>
      </w:r>
      <w:r>
        <w:rPr>
          <w:rFonts w:asciiTheme="majorHAnsi" w:hAnsiTheme="majorHAnsi" w:cstheme="majorHAnsi"/>
          <w:sz w:val="16"/>
          <w:szCs w:val="16"/>
          <w:lang w:val="ro-MD"/>
        </w:rPr>
        <w:t>D</w:t>
      </w:r>
      <w:r w:rsidRPr="00C12753">
        <w:rPr>
          <w:rFonts w:asciiTheme="majorHAnsi" w:hAnsiTheme="majorHAnsi" w:cstheme="majorHAnsi"/>
          <w:sz w:val="16"/>
          <w:szCs w:val="16"/>
          <w:lang w:val="ro-MD"/>
        </w:rPr>
        <w:t>ispoziția v</w:t>
      </w:r>
      <w:r>
        <w:rPr>
          <w:rFonts w:asciiTheme="majorHAnsi" w:hAnsiTheme="majorHAnsi" w:cstheme="majorHAnsi"/>
          <w:sz w:val="16"/>
          <w:szCs w:val="16"/>
          <w:lang w:val="ro-MD"/>
        </w:rPr>
        <w:t>i</w:t>
      </w:r>
      <w:r w:rsidRPr="00C12753">
        <w:rPr>
          <w:rFonts w:asciiTheme="majorHAnsi" w:hAnsiTheme="majorHAnsi" w:cstheme="majorHAnsi"/>
          <w:sz w:val="16"/>
          <w:szCs w:val="16"/>
          <w:lang w:val="ro-MD"/>
        </w:rPr>
        <w:t>cepreședintelui Comitetului Executiv nr.100-K din 04.04.2018 (dna</w:t>
      </w:r>
      <w:r>
        <w:rPr>
          <w:rFonts w:asciiTheme="majorHAnsi" w:hAnsiTheme="majorHAnsi" w:cstheme="majorHAnsi"/>
          <w:sz w:val="16"/>
          <w:szCs w:val="16"/>
          <w:lang w:val="ro-MD"/>
        </w:rPr>
        <w:t xml:space="preserve"> </w:t>
      </w:r>
      <w:r w:rsidRPr="00C12753">
        <w:rPr>
          <w:rFonts w:asciiTheme="majorHAnsi" w:hAnsiTheme="majorHAnsi" w:cstheme="majorHAnsi"/>
          <w:sz w:val="16"/>
          <w:szCs w:val="16"/>
          <w:lang w:val="ro-MD"/>
        </w:rPr>
        <w:t xml:space="preserve">Giumiușliu E.N. - specialist în </w:t>
      </w:r>
      <w:r>
        <w:rPr>
          <w:rFonts w:asciiTheme="majorHAnsi" w:hAnsiTheme="majorHAnsi" w:cstheme="majorHAnsi"/>
          <w:sz w:val="16"/>
          <w:szCs w:val="16"/>
          <w:lang w:val="ro-MD"/>
        </w:rPr>
        <w:t>D</w:t>
      </w:r>
      <w:r w:rsidRPr="00C12753">
        <w:rPr>
          <w:rFonts w:asciiTheme="majorHAnsi" w:hAnsiTheme="majorHAnsi" w:cstheme="majorHAnsi"/>
          <w:sz w:val="16"/>
          <w:szCs w:val="16"/>
          <w:lang w:val="ro-MD"/>
        </w:rPr>
        <w:t>irecția juridică). S-a întocmit Raportul anual consolidat privind controlul intern managerial și s-a emis Declarația de răspundere managerială.</w:t>
      </w:r>
    </w:p>
  </w:footnote>
  <w:footnote w:id="101">
    <w:p w14:paraId="75819530"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La nivel de Comitet Executiv al UTA Găgăuzia și 15 instituții subordonate.</w:t>
      </w:r>
    </w:p>
  </w:footnote>
  <w:footnote w:id="102">
    <w:p w14:paraId="07455737" w14:textId="56DDE12D"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 Comrat, Ceadâr-Lunga, Vulcănești, Avdarma, Baurci, Beșalma, Beșghioz, Bugeac, Carbalia, Cazaclia, Chiriet-Lunga, Chirsova, Cioc-Maidan, Cișmichioi, Chioselia Rusă, Congaz, Congazcicul de Sus, Copceac, Cotovscoe, Dezghingea, Etulia, Ferapontievca, Gaidar, Joltai, Svetl</w:t>
      </w:r>
      <w:r>
        <w:rPr>
          <w:rFonts w:asciiTheme="majorHAnsi" w:hAnsiTheme="majorHAnsi" w:cstheme="majorHAnsi"/>
          <w:sz w:val="16"/>
          <w:szCs w:val="16"/>
          <w:lang w:val="ro-MD"/>
        </w:rPr>
        <w:t>â</w:t>
      </w:r>
      <w:r w:rsidRPr="00C12753">
        <w:rPr>
          <w:rFonts w:asciiTheme="majorHAnsi" w:hAnsiTheme="majorHAnsi" w:cstheme="majorHAnsi"/>
          <w:sz w:val="16"/>
          <w:szCs w:val="16"/>
          <w:lang w:val="ro-MD"/>
        </w:rPr>
        <w:t>i, Tomai.</w:t>
      </w:r>
    </w:p>
  </w:footnote>
  <w:footnote w:id="103">
    <w:p w14:paraId="0A2F875D" w14:textId="514D1C10"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  Avdarma, Baurci, Beșalma, Carbalia, Cazaclia, Chiriet-Lunga, Chirsova, Chioselia Rusă, Congaz, Cotovscoe, Dezghingea, Svetl</w:t>
      </w:r>
      <w:r>
        <w:rPr>
          <w:rFonts w:asciiTheme="majorHAnsi" w:hAnsiTheme="majorHAnsi" w:cstheme="majorHAnsi"/>
          <w:sz w:val="16"/>
          <w:szCs w:val="16"/>
          <w:lang w:val="ro-MD"/>
        </w:rPr>
        <w:t>â</w:t>
      </w:r>
      <w:r w:rsidRPr="00C12753">
        <w:rPr>
          <w:rFonts w:asciiTheme="majorHAnsi" w:hAnsiTheme="majorHAnsi" w:cstheme="majorHAnsi"/>
          <w:sz w:val="16"/>
          <w:szCs w:val="16"/>
          <w:lang w:val="ro-MD"/>
        </w:rPr>
        <w:t>i</w:t>
      </w:r>
      <w:r>
        <w:rPr>
          <w:rFonts w:asciiTheme="majorHAnsi" w:hAnsiTheme="majorHAnsi" w:cstheme="majorHAnsi"/>
          <w:sz w:val="16"/>
          <w:szCs w:val="16"/>
          <w:lang w:val="ro-MD"/>
        </w:rPr>
        <w:t>,</w:t>
      </w:r>
      <w:r w:rsidRPr="00C12753">
        <w:rPr>
          <w:rFonts w:asciiTheme="majorHAnsi" w:hAnsiTheme="majorHAnsi" w:cstheme="majorHAnsi"/>
          <w:sz w:val="16"/>
          <w:szCs w:val="16"/>
          <w:lang w:val="ro-MD"/>
        </w:rPr>
        <w:t xml:space="preserve"> Cioc-Maidan</w:t>
      </w:r>
      <w:r>
        <w:rPr>
          <w:rFonts w:asciiTheme="majorHAnsi" w:hAnsiTheme="majorHAnsi" w:cstheme="majorHAnsi"/>
          <w:sz w:val="16"/>
          <w:szCs w:val="16"/>
          <w:lang w:val="ro-MD"/>
        </w:rPr>
        <w:t>.</w:t>
      </w:r>
    </w:p>
  </w:footnote>
  <w:footnote w:id="104">
    <w:p w14:paraId="5C68BEF8"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 Comrat, Bugeac, Congazcicul de Sus, Copceac, Etulia, Ferapontievca, Gaidar.</w:t>
      </w:r>
    </w:p>
  </w:footnote>
  <w:footnote w:id="105">
    <w:p w14:paraId="3973152C" w14:textId="77777777"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 </w:t>
      </w:r>
      <w:r w:rsidRPr="00C12753">
        <w:rPr>
          <w:rFonts w:asciiTheme="majorHAnsi" w:hAnsiTheme="majorHAnsi" w:cstheme="majorHAnsi"/>
          <w:color w:val="000000" w:themeColor="text1"/>
          <w:sz w:val="16"/>
          <w:szCs w:val="16"/>
          <w:lang w:val="ro-MD"/>
        </w:rPr>
        <w:t>Ceadâr-Lunga, Vulcănești, Beșghioz, Cișmichioi, Joltai, Tomai.</w:t>
      </w:r>
    </w:p>
  </w:footnote>
  <w:footnote w:id="106">
    <w:p w14:paraId="0F00141A"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 Comrat, Ceadâr-Lunga, Vulcănești și Bugeac.</w:t>
      </w:r>
    </w:p>
  </w:footnote>
  <w:footnote w:id="107">
    <w:p w14:paraId="110FD821" w14:textId="77777777" w:rsidR="00497136" w:rsidRPr="00C12753" w:rsidRDefault="00497136" w:rsidP="00C12753">
      <w:pPr>
        <w:pStyle w:val="FootnoteText"/>
        <w:jc w:val="both"/>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 Baurci, Beșghioz, Cazaclia și Tomai.</w:t>
      </w:r>
    </w:p>
  </w:footnote>
  <w:footnote w:id="108">
    <w:p w14:paraId="27E323AF" w14:textId="163A6C07"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w:t>
      </w:r>
      <w:r w:rsidRPr="00C12753">
        <w:rPr>
          <w:rFonts w:asciiTheme="majorHAnsi" w:hAnsiTheme="majorHAnsi" w:cstheme="majorHAnsi"/>
          <w:color w:val="FF0000"/>
          <w:sz w:val="16"/>
          <w:szCs w:val="16"/>
          <w:lang w:val="ro-MD"/>
        </w:rPr>
        <w:t xml:space="preserve"> </w:t>
      </w:r>
      <w:r w:rsidRPr="00C12753">
        <w:rPr>
          <w:rFonts w:asciiTheme="majorHAnsi" w:hAnsiTheme="majorHAnsi" w:cstheme="majorHAnsi"/>
          <w:sz w:val="16"/>
          <w:szCs w:val="16"/>
          <w:lang w:val="ro-MD"/>
        </w:rPr>
        <w:t>Vulcănești, Beșghioz, Cișmichioi, Chioselia Rusă, Congaz</w:t>
      </w:r>
      <w:r w:rsidRPr="00C12753">
        <w:rPr>
          <w:rFonts w:asciiTheme="majorHAnsi" w:hAnsiTheme="majorHAnsi" w:cstheme="majorHAnsi"/>
          <w:color w:val="00B050"/>
          <w:sz w:val="16"/>
          <w:szCs w:val="16"/>
          <w:lang w:val="ro-MD"/>
        </w:rPr>
        <w:t xml:space="preserve">, </w:t>
      </w:r>
      <w:r w:rsidRPr="00C12753">
        <w:rPr>
          <w:rFonts w:asciiTheme="majorHAnsi" w:hAnsiTheme="majorHAnsi" w:cstheme="majorHAnsi"/>
          <w:sz w:val="16"/>
          <w:szCs w:val="16"/>
          <w:lang w:val="ro-MD"/>
        </w:rPr>
        <w:t>Etulia, Gaidar, Svetl</w:t>
      </w:r>
      <w:r>
        <w:rPr>
          <w:rFonts w:asciiTheme="majorHAnsi" w:hAnsiTheme="majorHAnsi" w:cstheme="majorHAnsi"/>
          <w:sz w:val="16"/>
          <w:szCs w:val="16"/>
          <w:lang w:val="ro-MD"/>
        </w:rPr>
        <w:t>â</w:t>
      </w:r>
      <w:r w:rsidRPr="00C12753">
        <w:rPr>
          <w:rFonts w:asciiTheme="majorHAnsi" w:hAnsiTheme="majorHAnsi" w:cstheme="majorHAnsi"/>
          <w:sz w:val="16"/>
          <w:szCs w:val="16"/>
          <w:lang w:val="ro-MD"/>
        </w:rPr>
        <w:t>i.</w:t>
      </w:r>
    </w:p>
  </w:footnote>
  <w:footnote w:id="109">
    <w:p w14:paraId="4FDCC52B" w14:textId="77777777" w:rsidR="00497136" w:rsidRPr="00C12753" w:rsidRDefault="00497136" w:rsidP="00C12753">
      <w:pPr>
        <w:pStyle w:val="FootnoteText"/>
        <w:rPr>
          <w:rFonts w:asciiTheme="majorHAnsi" w:hAnsiTheme="majorHAnsi" w:cstheme="majorHAnsi"/>
          <w:color w:val="000000" w:themeColor="text1"/>
          <w:sz w:val="16"/>
          <w:szCs w:val="16"/>
          <w:lang w:val="ro-MD"/>
        </w:rPr>
      </w:pPr>
      <w:r w:rsidRPr="00C12753">
        <w:rPr>
          <w:rStyle w:val="FootnoteReference"/>
          <w:rFonts w:asciiTheme="majorHAnsi" w:hAnsiTheme="majorHAnsi" w:cstheme="majorHAnsi"/>
          <w:sz w:val="16"/>
          <w:szCs w:val="16"/>
          <w:lang w:val="ro-MD"/>
        </w:rPr>
        <w:footnoteRef/>
      </w:r>
      <w:r w:rsidRPr="00C12753">
        <w:rPr>
          <w:rFonts w:asciiTheme="majorHAnsi" w:hAnsiTheme="majorHAnsi" w:cstheme="majorHAnsi"/>
          <w:sz w:val="16"/>
          <w:szCs w:val="16"/>
          <w:lang w:val="ro-MD"/>
        </w:rPr>
        <w:t xml:space="preserve"> UAT: </w:t>
      </w:r>
      <w:r w:rsidRPr="00C12753">
        <w:rPr>
          <w:rFonts w:asciiTheme="majorHAnsi" w:hAnsiTheme="majorHAnsi" w:cstheme="majorHAnsi"/>
          <w:color w:val="000000" w:themeColor="text1"/>
          <w:sz w:val="16"/>
          <w:szCs w:val="16"/>
          <w:lang w:val="ro-MD"/>
        </w:rPr>
        <w:t>Baurci, Chirsova, Congazcicul de Sus, Copceac, Tomai.</w:t>
      </w:r>
    </w:p>
  </w:footnote>
  <w:footnote w:id="110">
    <w:p w14:paraId="6384DF3B" w14:textId="77777777" w:rsidR="00497136" w:rsidRPr="00C12753" w:rsidRDefault="00497136" w:rsidP="00C12753">
      <w:pPr>
        <w:pStyle w:val="FootnoteText"/>
        <w:rPr>
          <w:rFonts w:asciiTheme="majorHAnsi" w:hAnsiTheme="majorHAnsi" w:cstheme="majorHAnsi"/>
          <w:sz w:val="16"/>
          <w:szCs w:val="16"/>
          <w:lang w:val="ro-MD"/>
        </w:rPr>
      </w:pPr>
      <w:r w:rsidRPr="00C12753">
        <w:rPr>
          <w:rStyle w:val="FootnoteReference"/>
          <w:rFonts w:asciiTheme="majorHAnsi" w:hAnsiTheme="majorHAnsi" w:cstheme="majorHAnsi"/>
          <w:color w:val="000000" w:themeColor="text1"/>
          <w:sz w:val="16"/>
          <w:szCs w:val="16"/>
          <w:lang w:val="ro-MD"/>
        </w:rPr>
        <w:footnoteRef/>
      </w:r>
      <w:r w:rsidRPr="00C12753">
        <w:rPr>
          <w:rFonts w:asciiTheme="majorHAnsi" w:hAnsiTheme="majorHAnsi" w:cstheme="majorHAnsi"/>
          <w:color w:val="000000" w:themeColor="text1"/>
          <w:sz w:val="16"/>
          <w:szCs w:val="16"/>
          <w:lang w:val="ro-MD"/>
        </w:rPr>
        <w:t xml:space="preserve"> UAT: Comrat, Ceadâr-Lunga, Avdarma, Beșalma, Bugeac, Carbalia, Cazaclia, Chiriet-Lunga, Cioc-Maidan, Cotovscoe, Dezghingea, Joltai.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BE02"/>
      </v:shape>
    </w:pict>
  </w:numPicBullet>
  <w:abstractNum w:abstractNumId="0" w15:restartNumberingAfterBreak="0">
    <w:nsid w:val="009F7745"/>
    <w:multiLevelType w:val="hybridMultilevel"/>
    <w:tmpl w:val="DB606F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7907"/>
    <w:multiLevelType w:val="hybridMultilevel"/>
    <w:tmpl w:val="839461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4C4E72"/>
    <w:multiLevelType w:val="hybridMultilevel"/>
    <w:tmpl w:val="6C1497AC"/>
    <w:lvl w:ilvl="0" w:tplc="04090001">
      <w:start w:val="1"/>
      <w:numFmt w:val="bullet"/>
      <w:lvlText w:val=""/>
      <w:lvlJc w:val="left"/>
      <w:pPr>
        <w:ind w:left="8015" w:hanging="360"/>
      </w:pPr>
      <w:rPr>
        <w:rFonts w:ascii="Symbol" w:hAnsi="Symbol" w:hint="default"/>
      </w:rPr>
    </w:lvl>
    <w:lvl w:ilvl="1" w:tplc="04090003" w:tentative="1">
      <w:start w:val="1"/>
      <w:numFmt w:val="bullet"/>
      <w:lvlText w:val="o"/>
      <w:lvlJc w:val="left"/>
      <w:pPr>
        <w:ind w:left="8102" w:hanging="360"/>
      </w:pPr>
      <w:rPr>
        <w:rFonts w:ascii="Courier New" w:hAnsi="Courier New" w:cs="Courier New" w:hint="default"/>
      </w:rPr>
    </w:lvl>
    <w:lvl w:ilvl="2" w:tplc="04090005" w:tentative="1">
      <w:start w:val="1"/>
      <w:numFmt w:val="bullet"/>
      <w:lvlText w:val=""/>
      <w:lvlJc w:val="left"/>
      <w:pPr>
        <w:ind w:left="8822" w:hanging="360"/>
      </w:pPr>
      <w:rPr>
        <w:rFonts w:ascii="Wingdings" w:hAnsi="Wingdings" w:hint="default"/>
      </w:rPr>
    </w:lvl>
    <w:lvl w:ilvl="3" w:tplc="04090001" w:tentative="1">
      <w:start w:val="1"/>
      <w:numFmt w:val="bullet"/>
      <w:lvlText w:val=""/>
      <w:lvlJc w:val="left"/>
      <w:pPr>
        <w:ind w:left="9542" w:hanging="360"/>
      </w:pPr>
      <w:rPr>
        <w:rFonts w:ascii="Symbol" w:hAnsi="Symbol" w:hint="default"/>
      </w:rPr>
    </w:lvl>
    <w:lvl w:ilvl="4" w:tplc="04090003" w:tentative="1">
      <w:start w:val="1"/>
      <w:numFmt w:val="bullet"/>
      <w:lvlText w:val="o"/>
      <w:lvlJc w:val="left"/>
      <w:pPr>
        <w:ind w:left="10262" w:hanging="360"/>
      </w:pPr>
      <w:rPr>
        <w:rFonts w:ascii="Courier New" w:hAnsi="Courier New" w:cs="Courier New" w:hint="default"/>
      </w:rPr>
    </w:lvl>
    <w:lvl w:ilvl="5" w:tplc="04090005" w:tentative="1">
      <w:start w:val="1"/>
      <w:numFmt w:val="bullet"/>
      <w:lvlText w:val=""/>
      <w:lvlJc w:val="left"/>
      <w:pPr>
        <w:ind w:left="10982" w:hanging="360"/>
      </w:pPr>
      <w:rPr>
        <w:rFonts w:ascii="Wingdings" w:hAnsi="Wingdings" w:hint="default"/>
      </w:rPr>
    </w:lvl>
    <w:lvl w:ilvl="6" w:tplc="04090001" w:tentative="1">
      <w:start w:val="1"/>
      <w:numFmt w:val="bullet"/>
      <w:lvlText w:val=""/>
      <w:lvlJc w:val="left"/>
      <w:pPr>
        <w:ind w:left="11702" w:hanging="360"/>
      </w:pPr>
      <w:rPr>
        <w:rFonts w:ascii="Symbol" w:hAnsi="Symbol" w:hint="default"/>
      </w:rPr>
    </w:lvl>
    <w:lvl w:ilvl="7" w:tplc="04090003" w:tentative="1">
      <w:start w:val="1"/>
      <w:numFmt w:val="bullet"/>
      <w:lvlText w:val="o"/>
      <w:lvlJc w:val="left"/>
      <w:pPr>
        <w:ind w:left="12422" w:hanging="360"/>
      </w:pPr>
      <w:rPr>
        <w:rFonts w:ascii="Courier New" w:hAnsi="Courier New" w:cs="Courier New" w:hint="default"/>
      </w:rPr>
    </w:lvl>
    <w:lvl w:ilvl="8" w:tplc="04090005" w:tentative="1">
      <w:start w:val="1"/>
      <w:numFmt w:val="bullet"/>
      <w:lvlText w:val=""/>
      <w:lvlJc w:val="left"/>
      <w:pPr>
        <w:ind w:left="13142" w:hanging="360"/>
      </w:pPr>
      <w:rPr>
        <w:rFonts w:ascii="Wingdings" w:hAnsi="Wingdings" w:hint="default"/>
      </w:rPr>
    </w:lvl>
  </w:abstractNum>
  <w:abstractNum w:abstractNumId="3" w15:restartNumberingAfterBreak="0">
    <w:nsid w:val="0DF34D98"/>
    <w:multiLevelType w:val="hybridMultilevel"/>
    <w:tmpl w:val="A1FEF98E"/>
    <w:lvl w:ilvl="0" w:tplc="817E24A8">
      <w:start w:val="1"/>
      <w:numFmt w:val="bullet"/>
      <w:lvlText w:val=""/>
      <w:lvlJc w:val="left"/>
      <w:pPr>
        <w:ind w:left="927" w:hanging="360"/>
      </w:pPr>
      <w:rPr>
        <w:rFonts w:ascii="Symbol" w:hAnsi="Symbol"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01523A7"/>
    <w:multiLevelType w:val="hybridMultilevel"/>
    <w:tmpl w:val="78888040"/>
    <w:lvl w:ilvl="0" w:tplc="FD0418A2">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5F9363F"/>
    <w:multiLevelType w:val="hybridMultilevel"/>
    <w:tmpl w:val="9E548838"/>
    <w:lvl w:ilvl="0" w:tplc="9A9CF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A86C36"/>
    <w:multiLevelType w:val="hybridMultilevel"/>
    <w:tmpl w:val="DFCE6B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1213"/>
    <w:multiLevelType w:val="hybridMultilevel"/>
    <w:tmpl w:val="BF465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F4F71"/>
    <w:multiLevelType w:val="hybridMultilevel"/>
    <w:tmpl w:val="D80CD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6F66"/>
    <w:multiLevelType w:val="hybridMultilevel"/>
    <w:tmpl w:val="9E548838"/>
    <w:lvl w:ilvl="0" w:tplc="9A9CF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F9D2099"/>
    <w:multiLevelType w:val="hybridMultilevel"/>
    <w:tmpl w:val="2D5C8A3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6D93AFC"/>
    <w:multiLevelType w:val="hybridMultilevel"/>
    <w:tmpl w:val="F86CD9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C562A"/>
    <w:multiLevelType w:val="hybridMultilevel"/>
    <w:tmpl w:val="6596B62C"/>
    <w:lvl w:ilvl="0" w:tplc="20C44174">
      <w:start w:val="7"/>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61997522"/>
    <w:multiLevelType w:val="hybridMultilevel"/>
    <w:tmpl w:val="BA48121A"/>
    <w:lvl w:ilvl="0" w:tplc="037C1486">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E1AFA"/>
    <w:multiLevelType w:val="hybridMultilevel"/>
    <w:tmpl w:val="624EA578"/>
    <w:lvl w:ilvl="0" w:tplc="4B184F2E">
      <w:start w:val="7"/>
      <w:numFmt w:val="bullet"/>
      <w:lvlText w:val="-"/>
      <w:lvlJc w:val="left"/>
      <w:pPr>
        <w:ind w:left="1146" w:hanging="360"/>
      </w:pPr>
      <w:rPr>
        <w:rFonts w:ascii="Calibri Light" w:eastAsiaTheme="minorHAnsi" w:hAnsi="Calibri Light" w:cs="Calibri Light"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7504432"/>
    <w:multiLevelType w:val="hybridMultilevel"/>
    <w:tmpl w:val="EC727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AB97E50"/>
    <w:multiLevelType w:val="hybridMultilevel"/>
    <w:tmpl w:val="EA82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97316"/>
    <w:multiLevelType w:val="hybridMultilevel"/>
    <w:tmpl w:val="5530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E6991"/>
    <w:multiLevelType w:val="hybridMultilevel"/>
    <w:tmpl w:val="30BCFF54"/>
    <w:lvl w:ilvl="0" w:tplc="4B184F2E">
      <w:start w:val="7"/>
      <w:numFmt w:val="bullet"/>
      <w:lvlText w:val="-"/>
      <w:lvlJc w:val="left"/>
      <w:pPr>
        <w:ind w:left="644"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D2ED7"/>
    <w:multiLevelType w:val="hybridMultilevel"/>
    <w:tmpl w:val="C450EAD2"/>
    <w:lvl w:ilvl="0" w:tplc="FA2A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67F69"/>
    <w:multiLevelType w:val="hybridMultilevel"/>
    <w:tmpl w:val="662C30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A6B3B3E"/>
    <w:multiLevelType w:val="hybridMultilevel"/>
    <w:tmpl w:val="1714AF5A"/>
    <w:lvl w:ilvl="0" w:tplc="AE6ACE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1F1619"/>
    <w:multiLevelType w:val="hybridMultilevel"/>
    <w:tmpl w:val="8B2A3B86"/>
    <w:lvl w:ilvl="0" w:tplc="545E041A">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4" w15:restartNumberingAfterBreak="0">
    <w:nsid w:val="7E94596F"/>
    <w:multiLevelType w:val="hybridMultilevel"/>
    <w:tmpl w:val="2698E2BE"/>
    <w:lvl w:ilvl="0" w:tplc="E40C46A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19"/>
  </w:num>
  <w:num w:numId="3">
    <w:abstractNumId w:val="17"/>
  </w:num>
  <w:num w:numId="4">
    <w:abstractNumId w:val="4"/>
  </w:num>
  <w:num w:numId="5">
    <w:abstractNumId w:val="12"/>
  </w:num>
  <w:num w:numId="6">
    <w:abstractNumId w:val="20"/>
  </w:num>
  <w:num w:numId="7">
    <w:abstractNumId w:val="13"/>
  </w:num>
  <w:num w:numId="8">
    <w:abstractNumId w:val="3"/>
  </w:num>
  <w:num w:numId="9">
    <w:abstractNumId w:val="10"/>
  </w:num>
  <w:num w:numId="10">
    <w:abstractNumId w:val="11"/>
  </w:num>
  <w:num w:numId="11">
    <w:abstractNumId w:val="24"/>
  </w:num>
  <w:num w:numId="12">
    <w:abstractNumId w:val="1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21"/>
  </w:num>
  <w:num w:numId="17">
    <w:abstractNumId w:val="6"/>
  </w:num>
  <w:num w:numId="18">
    <w:abstractNumId w:val="9"/>
  </w:num>
  <w:num w:numId="19">
    <w:abstractNumId w:val="5"/>
  </w:num>
  <w:num w:numId="20">
    <w:abstractNumId w:val="1"/>
  </w:num>
  <w:num w:numId="21">
    <w:abstractNumId w:val="14"/>
  </w:num>
  <w:num w:numId="22">
    <w:abstractNumId w:val="0"/>
  </w:num>
  <w:num w:numId="23">
    <w:abstractNumId w:val="2"/>
  </w:num>
  <w:num w:numId="24">
    <w:abstractNumId w:val="7"/>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AC"/>
    <w:rsid w:val="0000213F"/>
    <w:rsid w:val="00016077"/>
    <w:rsid w:val="00021868"/>
    <w:rsid w:val="00032A79"/>
    <w:rsid w:val="00036751"/>
    <w:rsid w:val="00040A69"/>
    <w:rsid w:val="00042681"/>
    <w:rsid w:val="00043910"/>
    <w:rsid w:val="000448D6"/>
    <w:rsid w:val="0004504C"/>
    <w:rsid w:val="000464B4"/>
    <w:rsid w:val="000476D4"/>
    <w:rsid w:val="00047822"/>
    <w:rsid w:val="00051F84"/>
    <w:rsid w:val="00052D01"/>
    <w:rsid w:val="00053B45"/>
    <w:rsid w:val="000706F2"/>
    <w:rsid w:val="0007098F"/>
    <w:rsid w:val="000726AC"/>
    <w:rsid w:val="000760B3"/>
    <w:rsid w:val="000777A8"/>
    <w:rsid w:val="000831DE"/>
    <w:rsid w:val="00086B5D"/>
    <w:rsid w:val="00090B7C"/>
    <w:rsid w:val="00090E3D"/>
    <w:rsid w:val="000A24CE"/>
    <w:rsid w:val="000A4B57"/>
    <w:rsid w:val="000A618A"/>
    <w:rsid w:val="000A6ABB"/>
    <w:rsid w:val="000B2038"/>
    <w:rsid w:val="000B2EA4"/>
    <w:rsid w:val="000B3D55"/>
    <w:rsid w:val="000B6415"/>
    <w:rsid w:val="000D0FCA"/>
    <w:rsid w:val="000D17E6"/>
    <w:rsid w:val="000D710E"/>
    <w:rsid w:val="000E5D43"/>
    <w:rsid w:val="000E79E5"/>
    <w:rsid w:val="001103E7"/>
    <w:rsid w:val="00111079"/>
    <w:rsid w:val="00113F5E"/>
    <w:rsid w:val="001142A1"/>
    <w:rsid w:val="0011569A"/>
    <w:rsid w:val="00121F68"/>
    <w:rsid w:val="00124FAE"/>
    <w:rsid w:val="00126ED2"/>
    <w:rsid w:val="00135011"/>
    <w:rsid w:val="00135E44"/>
    <w:rsid w:val="001367E0"/>
    <w:rsid w:val="00140DDC"/>
    <w:rsid w:val="00143A84"/>
    <w:rsid w:val="00143E2C"/>
    <w:rsid w:val="0014733C"/>
    <w:rsid w:val="00162D69"/>
    <w:rsid w:val="00170011"/>
    <w:rsid w:val="00171AE9"/>
    <w:rsid w:val="00174032"/>
    <w:rsid w:val="00180E88"/>
    <w:rsid w:val="00181318"/>
    <w:rsid w:val="00183FA5"/>
    <w:rsid w:val="00184503"/>
    <w:rsid w:val="00194D9E"/>
    <w:rsid w:val="001A2561"/>
    <w:rsid w:val="001A338B"/>
    <w:rsid w:val="001A43F4"/>
    <w:rsid w:val="001A6387"/>
    <w:rsid w:val="001C0869"/>
    <w:rsid w:val="001C470F"/>
    <w:rsid w:val="001D0B03"/>
    <w:rsid w:val="001D3ABC"/>
    <w:rsid w:val="001D3CBC"/>
    <w:rsid w:val="001D6FF7"/>
    <w:rsid w:val="001E054B"/>
    <w:rsid w:val="001E33BF"/>
    <w:rsid w:val="001E5841"/>
    <w:rsid w:val="001E69CA"/>
    <w:rsid w:val="001F2488"/>
    <w:rsid w:val="001F31FA"/>
    <w:rsid w:val="001F5DFA"/>
    <w:rsid w:val="002030F9"/>
    <w:rsid w:val="0020363E"/>
    <w:rsid w:val="00203D43"/>
    <w:rsid w:val="00204BAE"/>
    <w:rsid w:val="0020562B"/>
    <w:rsid w:val="00206104"/>
    <w:rsid w:val="0021534E"/>
    <w:rsid w:val="00216968"/>
    <w:rsid w:val="00224198"/>
    <w:rsid w:val="0023312A"/>
    <w:rsid w:val="002335B8"/>
    <w:rsid w:val="00234B9F"/>
    <w:rsid w:val="00237E36"/>
    <w:rsid w:val="00241448"/>
    <w:rsid w:val="00241575"/>
    <w:rsid w:val="00243355"/>
    <w:rsid w:val="00243F6F"/>
    <w:rsid w:val="00246C7B"/>
    <w:rsid w:val="00250636"/>
    <w:rsid w:val="00251D1B"/>
    <w:rsid w:val="00254B09"/>
    <w:rsid w:val="0025516D"/>
    <w:rsid w:val="00257A45"/>
    <w:rsid w:val="0026118C"/>
    <w:rsid w:val="00261C73"/>
    <w:rsid w:val="002626D5"/>
    <w:rsid w:val="0026370A"/>
    <w:rsid w:val="00271006"/>
    <w:rsid w:val="00271AAD"/>
    <w:rsid w:val="00282020"/>
    <w:rsid w:val="00282A54"/>
    <w:rsid w:val="002A2F4D"/>
    <w:rsid w:val="002A3788"/>
    <w:rsid w:val="002A60AE"/>
    <w:rsid w:val="002B2A1F"/>
    <w:rsid w:val="002B3116"/>
    <w:rsid w:val="002C0468"/>
    <w:rsid w:val="002D3450"/>
    <w:rsid w:val="002E2D9C"/>
    <w:rsid w:val="002E482C"/>
    <w:rsid w:val="002E5D6B"/>
    <w:rsid w:val="002F2030"/>
    <w:rsid w:val="00302D28"/>
    <w:rsid w:val="00305A8F"/>
    <w:rsid w:val="003105D7"/>
    <w:rsid w:val="003117D4"/>
    <w:rsid w:val="003153D7"/>
    <w:rsid w:val="00323330"/>
    <w:rsid w:val="003246A7"/>
    <w:rsid w:val="003268D9"/>
    <w:rsid w:val="00332594"/>
    <w:rsid w:val="00335A17"/>
    <w:rsid w:val="00340174"/>
    <w:rsid w:val="00341ED8"/>
    <w:rsid w:val="00343BC6"/>
    <w:rsid w:val="00347935"/>
    <w:rsid w:val="003500F9"/>
    <w:rsid w:val="003535E5"/>
    <w:rsid w:val="00357830"/>
    <w:rsid w:val="00363CFA"/>
    <w:rsid w:val="003651A7"/>
    <w:rsid w:val="00366237"/>
    <w:rsid w:val="003732AA"/>
    <w:rsid w:val="003738A5"/>
    <w:rsid w:val="00374684"/>
    <w:rsid w:val="00383141"/>
    <w:rsid w:val="00383216"/>
    <w:rsid w:val="00385D15"/>
    <w:rsid w:val="00392591"/>
    <w:rsid w:val="00394D01"/>
    <w:rsid w:val="003A48D2"/>
    <w:rsid w:val="003A5DF5"/>
    <w:rsid w:val="003A7928"/>
    <w:rsid w:val="003B0DCB"/>
    <w:rsid w:val="003C285D"/>
    <w:rsid w:val="003C2D6D"/>
    <w:rsid w:val="003C4FC7"/>
    <w:rsid w:val="003C5764"/>
    <w:rsid w:val="003C7C1A"/>
    <w:rsid w:val="003D4BEF"/>
    <w:rsid w:val="003E01FB"/>
    <w:rsid w:val="003E2C21"/>
    <w:rsid w:val="003E4F48"/>
    <w:rsid w:val="003F0CD3"/>
    <w:rsid w:val="003F23FD"/>
    <w:rsid w:val="003F5DA5"/>
    <w:rsid w:val="003F67BB"/>
    <w:rsid w:val="00402A97"/>
    <w:rsid w:val="00402B25"/>
    <w:rsid w:val="00403F34"/>
    <w:rsid w:val="00404042"/>
    <w:rsid w:val="00405658"/>
    <w:rsid w:val="00407007"/>
    <w:rsid w:val="00415AC9"/>
    <w:rsid w:val="00420561"/>
    <w:rsid w:val="00422850"/>
    <w:rsid w:val="00424F06"/>
    <w:rsid w:val="004308C4"/>
    <w:rsid w:val="00437C6C"/>
    <w:rsid w:val="00440B46"/>
    <w:rsid w:val="00440C4E"/>
    <w:rsid w:val="0044372A"/>
    <w:rsid w:val="00461A33"/>
    <w:rsid w:val="00465335"/>
    <w:rsid w:val="00472D4D"/>
    <w:rsid w:val="004807DA"/>
    <w:rsid w:val="00480B11"/>
    <w:rsid w:val="0048212B"/>
    <w:rsid w:val="004829FF"/>
    <w:rsid w:val="00483306"/>
    <w:rsid w:val="00484B01"/>
    <w:rsid w:val="004859BA"/>
    <w:rsid w:val="00490792"/>
    <w:rsid w:val="00493452"/>
    <w:rsid w:val="00494296"/>
    <w:rsid w:val="00497136"/>
    <w:rsid w:val="00497ECF"/>
    <w:rsid w:val="004A02E0"/>
    <w:rsid w:val="004A208A"/>
    <w:rsid w:val="004A66A4"/>
    <w:rsid w:val="004C389D"/>
    <w:rsid w:val="004C399F"/>
    <w:rsid w:val="004C3FF9"/>
    <w:rsid w:val="004C5D4C"/>
    <w:rsid w:val="004D0BD4"/>
    <w:rsid w:val="004D1820"/>
    <w:rsid w:val="004D217B"/>
    <w:rsid w:val="004D66B9"/>
    <w:rsid w:val="004E0946"/>
    <w:rsid w:val="004E6426"/>
    <w:rsid w:val="004F645B"/>
    <w:rsid w:val="00500C6E"/>
    <w:rsid w:val="005010D4"/>
    <w:rsid w:val="005023C5"/>
    <w:rsid w:val="00505C50"/>
    <w:rsid w:val="0050637E"/>
    <w:rsid w:val="0051722A"/>
    <w:rsid w:val="0052128E"/>
    <w:rsid w:val="005219C9"/>
    <w:rsid w:val="00532699"/>
    <w:rsid w:val="00533FFF"/>
    <w:rsid w:val="00536420"/>
    <w:rsid w:val="00537B92"/>
    <w:rsid w:val="0054286F"/>
    <w:rsid w:val="005444A1"/>
    <w:rsid w:val="005452EF"/>
    <w:rsid w:val="00545A0A"/>
    <w:rsid w:val="00554748"/>
    <w:rsid w:val="00560424"/>
    <w:rsid w:val="00562F18"/>
    <w:rsid w:val="00566325"/>
    <w:rsid w:val="00572546"/>
    <w:rsid w:val="0057307F"/>
    <w:rsid w:val="00573E55"/>
    <w:rsid w:val="00576558"/>
    <w:rsid w:val="0058569D"/>
    <w:rsid w:val="005A45F2"/>
    <w:rsid w:val="005A6446"/>
    <w:rsid w:val="005A6B5A"/>
    <w:rsid w:val="005A7429"/>
    <w:rsid w:val="005A7D56"/>
    <w:rsid w:val="005B167B"/>
    <w:rsid w:val="005B179D"/>
    <w:rsid w:val="005C3CE2"/>
    <w:rsid w:val="005C3DE9"/>
    <w:rsid w:val="005C40A1"/>
    <w:rsid w:val="005D2EDD"/>
    <w:rsid w:val="005D6F2E"/>
    <w:rsid w:val="005E1F71"/>
    <w:rsid w:val="005F3274"/>
    <w:rsid w:val="005F6473"/>
    <w:rsid w:val="0060087F"/>
    <w:rsid w:val="00600926"/>
    <w:rsid w:val="00604A3A"/>
    <w:rsid w:val="0062206E"/>
    <w:rsid w:val="00630458"/>
    <w:rsid w:val="0063256E"/>
    <w:rsid w:val="0063592B"/>
    <w:rsid w:val="00636DFA"/>
    <w:rsid w:val="00644603"/>
    <w:rsid w:val="0064649E"/>
    <w:rsid w:val="0065063C"/>
    <w:rsid w:val="0065077C"/>
    <w:rsid w:val="0065196B"/>
    <w:rsid w:val="006550CC"/>
    <w:rsid w:val="0066104F"/>
    <w:rsid w:val="00661824"/>
    <w:rsid w:val="00664A87"/>
    <w:rsid w:val="0067113E"/>
    <w:rsid w:val="006763A0"/>
    <w:rsid w:val="00687AED"/>
    <w:rsid w:val="00691459"/>
    <w:rsid w:val="0069374B"/>
    <w:rsid w:val="00694530"/>
    <w:rsid w:val="0069590E"/>
    <w:rsid w:val="006A26CB"/>
    <w:rsid w:val="006A3E6C"/>
    <w:rsid w:val="006A529D"/>
    <w:rsid w:val="006A6579"/>
    <w:rsid w:val="006A79E8"/>
    <w:rsid w:val="006B024F"/>
    <w:rsid w:val="006B4D76"/>
    <w:rsid w:val="006B5319"/>
    <w:rsid w:val="006C1404"/>
    <w:rsid w:val="006C4DFA"/>
    <w:rsid w:val="006C7380"/>
    <w:rsid w:val="006E19C5"/>
    <w:rsid w:val="006E2C32"/>
    <w:rsid w:val="006E7D09"/>
    <w:rsid w:val="006F1BA3"/>
    <w:rsid w:val="00701E83"/>
    <w:rsid w:val="00711475"/>
    <w:rsid w:val="00712FF7"/>
    <w:rsid w:val="00723A17"/>
    <w:rsid w:val="00725AD4"/>
    <w:rsid w:val="0072622E"/>
    <w:rsid w:val="00733B65"/>
    <w:rsid w:val="007361E4"/>
    <w:rsid w:val="00737010"/>
    <w:rsid w:val="00737C34"/>
    <w:rsid w:val="00744189"/>
    <w:rsid w:val="0074694F"/>
    <w:rsid w:val="00747BAB"/>
    <w:rsid w:val="007566ED"/>
    <w:rsid w:val="0075711C"/>
    <w:rsid w:val="007647EB"/>
    <w:rsid w:val="00767ED8"/>
    <w:rsid w:val="00771A2D"/>
    <w:rsid w:val="00773CA1"/>
    <w:rsid w:val="00791A6F"/>
    <w:rsid w:val="00793F81"/>
    <w:rsid w:val="007A29FE"/>
    <w:rsid w:val="007A2A0A"/>
    <w:rsid w:val="007B0970"/>
    <w:rsid w:val="007B23C0"/>
    <w:rsid w:val="007B243D"/>
    <w:rsid w:val="007B48F6"/>
    <w:rsid w:val="007B4B6B"/>
    <w:rsid w:val="007B66AB"/>
    <w:rsid w:val="007C0689"/>
    <w:rsid w:val="007C40E8"/>
    <w:rsid w:val="007C55DB"/>
    <w:rsid w:val="007C6DA9"/>
    <w:rsid w:val="007D2D99"/>
    <w:rsid w:val="007D2E2E"/>
    <w:rsid w:val="007D6F33"/>
    <w:rsid w:val="007E2E1B"/>
    <w:rsid w:val="007E64D5"/>
    <w:rsid w:val="007F470E"/>
    <w:rsid w:val="007F4964"/>
    <w:rsid w:val="00802898"/>
    <w:rsid w:val="00807C88"/>
    <w:rsid w:val="00813CFD"/>
    <w:rsid w:val="00822973"/>
    <w:rsid w:val="00825951"/>
    <w:rsid w:val="00825D39"/>
    <w:rsid w:val="00826C4E"/>
    <w:rsid w:val="00830E04"/>
    <w:rsid w:val="0083384C"/>
    <w:rsid w:val="00833C70"/>
    <w:rsid w:val="00836A4F"/>
    <w:rsid w:val="00841AE2"/>
    <w:rsid w:val="00853618"/>
    <w:rsid w:val="0085419B"/>
    <w:rsid w:val="008549F5"/>
    <w:rsid w:val="00854E4A"/>
    <w:rsid w:val="00857BC3"/>
    <w:rsid w:val="008630FE"/>
    <w:rsid w:val="008648A2"/>
    <w:rsid w:val="00864DBB"/>
    <w:rsid w:val="00870B63"/>
    <w:rsid w:val="00872C37"/>
    <w:rsid w:val="00881022"/>
    <w:rsid w:val="008831AE"/>
    <w:rsid w:val="00886FF5"/>
    <w:rsid w:val="00892FF5"/>
    <w:rsid w:val="008954BC"/>
    <w:rsid w:val="008A1E68"/>
    <w:rsid w:val="008A338C"/>
    <w:rsid w:val="008A5C5D"/>
    <w:rsid w:val="008B2E55"/>
    <w:rsid w:val="008B6FF7"/>
    <w:rsid w:val="008C003A"/>
    <w:rsid w:val="008C1AE3"/>
    <w:rsid w:val="008C2D9E"/>
    <w:rsid w:val="008C3818"/>
    <w:rsid w:val="008C4D17"/>
    <w:rsid w:val="008C6D54"/>
    <w:rsid w:val="008C7C5A"/>
    <w:rsid w:val="008E4F00"/>
    <w:rsid w:val="008E571E"/>
    <w:rsid w:val="008F3397"/>
    <w:rsid w:val="008F5233"/>
    <w:rsid w:val="008F637A"/>
    <w:rsid w:val="008F69E7"/>
    <w:rsid w:val="008F7042"/>
    <w:rsid w:val="008F772C"/>
    <w:rsid w:val="00904C3A"/>
    <w:rsid w:val="00906251"/>
    <w:rsid w:val="00906620"/>
    <w:rsid w:val="00915F33"/>
    <w:rsid w:val="00922693"/>
    <w:rsid w:val="009314F1"/>
    <w:rsid w:val="00936631"/>
    <w:rsid w:val="00944156"/>
    <w:rsid w:val="00944631"/>
    <w:rsid w:val="00950B8F"/>
    <w:rsid w:val="009555D3"/>
    <w:rsid w:val="009557CB"/>
    <w:rsid w:val="009574FE"/>
    <w:rsid w:val="0096016D"/>
    <w:rsid w:val="00962842"/>
    <w:rsid w:val="009669CF"/>
    <w:rsid w:val="009716AA"/>
    <w:rsid w:val="00973407"/>
    <w:rsid w:val="009738A4"/>
    <w:rsid w:val="00980E14"/>
    <w:rsid w:val="00982493"/>
    <w:rsid w:val="00982B1B"/>
    <w:rsid w:val="00983EE5"/>
    <w:rsid w:val="009867CB"/>
    <w:rsid w:val="00987EAF"/>
    <w:rsid w:val="009914D7"/>
    <w:rsid w:val="009954A3"/>
    <w:rsid w:val="009966E4"/>
    <w:rsid w:val="009A1D20"/>
    <w:rsid w:val="009A1DF2"/>
    <w:rsid w:val="009A3EE1"/>
    <w:rsid w:val="009A6D63"/>
    <w:rsid w:val="009B6A9C"/>
    <w:rsid w:val="009C065B"/>
    <w:rsid w:val="009C5B56"/>
    <w:rsid w:val="009D0744"/>
    <w:rsid w:val="009D231E"/>
    <w:rsid w:val="009D69FD"/>
    <w:rsid w:val="009E096A"/>
    <w:rsid w:val="009F1C60"/>
    <w:rsid w:val="009F4A58"/>
    <w:rsid w:val="009F5325"/>
    <w:rsid w:val="009F5C74"/>
    <w:rsid w:val="009F5F46"/>
    <w:rsid w:val="00A053B0"/>
    <w:rsid w:val="00A062AB"/>
    <w:rsid w:val="00A06BD6"/>
    <w:rsid w:val="00A12BA0"/>
    <w:rsid w:val="00A141D3"/>
    <w:rsid w:val="00A17BBE"/>
    <w:rsid w:val="00A17FD6"/>
    <w:rsid w:val="00A23037"/>
    <w:rsid w:val="00A23AA2"/>
    <w:rsid w:val="00A24504"/>
    <w:rsid w:val="00A30B95"/>
    <w:rsid w:val="00A33768"/>
    <w:rsid w:val="00A405CD"/>
    <w:rsid w:val="00A41E19"/>
    <w:rsid w:val="00A51691"/>
    <w:rsid w:val="00A52B16"/>
    <w:rsid w:val="00A60814"/>
    <w:rsid w:val="00A63243"/>
    <w:rsid w:val="00A63A2E"/>
    <w:rsid w:val="00A6406E"/>
    <w:rsid w:val="00A6417B"/>
    <w:rsid w:val="00A825B8"/>
    <w:rsid w:val="00A82EB8"/>
    <w:rsid w:val="00A8724D"/>
    <w:rsid w:val="00A878BB"/>
    <w:rsid w:val="00A87C8B"/>
    <w:rsid w:val="00A95528"/>
    <w:rsid w:val="00AA4983"/>
    <w:rsid w:val="00AA660F"/>
    <w:rsid w:val="00AC68B3"/>
    <w:rsid w:val="00AC6CE5"/>
    <w:rsid w:val="00AD4268"/>
    <w:rsid w:val="00AD7056"/>
    <w:rsid w:val="00AD70AE"/>
    <w:rsid w:val="00AE0489"/>
    <w:rsid w:val="00B01722"/>
    <w:rsid w:val="00B024C4"/>
    <w:rsid w:val="00B068D0"/>
    <w:rsid w:val="00B11168"/>
    <w:rsid w:val="00B1128B"/>
    <w:rsid w:val="00B14828"/>
    <w:rsid w:val="00B16B32"/>
    <w:rsid w:val="00B272E1"/>
    <w:rsid w:val="00B30E10"/>
    <w:rsid w:val="00B33208"/>
    <w:rsid w:val="00B37D81"/>
    <w:rsid w:val="00B436D1"/>
    <w:rsid w:val="00B44D9B"/>
    <w:rsid w:val="00B56FE5"/>
    <w:rsid w:val="00B57AF5"/>
    <w:rsid w:val="00B612BA"/>
    <w:rsid w:val="00B633CC"/>
    <w:rsid w:val="00B65941"/>
    <w:rsid w:val="00B674EB"/>
    <w:rsid w:val="00B70D37"/>
    <w:rsid w:val="00B740B6"/>
    <w:rsid w:val="00B912F1"/>
    <w:rsid w:val="00B916F1"/>
    <w:rsid w:val="00B94CD4"/>
    <w:rsid w:val="00BB1308"/>
    <w:rsid w:val="00BB5980"/>
    <w:rsid w:val="00BB6F93"/>
    <w:rsid w:val="00BC3271"/>
    <w:rsid w:val="00BC725A"/>
    <w:rsid w:val="00BD1246"/>
    <w:rsid w:val="00BD2E31"/>
    <w:rsid w:val="00BE040C"/>
    <w:rsid w:val="00BE2D53"/>
    <w:rsid w:val="00BE3161"/>
    <w:rsid w:val="00BE69B3"/>
    <w:rsid w:val="00BE701F"/>
    <w:rsid w:val="00BE72CD"/>
    <w:rsid w:val="00BF2AF9"/>
    <w:rsid w:val="00BF559F"/>
    <w:rsid w:val="00BF5699"/>
    <w:rsid w:val="00BF620C"/>
    <w:rsid w:val="00C0137F"/>
    <w:rsid w:val="00C01BA8"/>
    <w:rsid w:val="00C12753"/>
    <w:rsid w:val="00C13AD0"/>
    <w:rsid w:val="00C13FCD"/>
    <w:rsid w:val="00C16428"/>
    <w:rsid w:val="00C20583"/>
    <w:rsid w:val="00C209A0"/>
    <w:rsid w:val="00C23D69"/>
    <w:rsid w:val="00C23DCE"/>
    <w:rsid w:val="00C31304"/>
    <w:rsid w:val="00C36352"/>
    <w:rsid w:val="00C46A1C"/>
    <w:rsid w:val="00C46F5B"/>
    <w:rsid w:val="00C47034"/>
    <w:rsid w:val="00C53A99"/>
    <w:rsid w:val="00C549ED"/>
    <w:rsid w:val="00C56437"/>
    <w:rsid w:val="00C570D2"/>
    <w:rsid w:val="00C61CF6"/>
    <w:rsid w:val="00C66353"/>
    <w:rsid w:val="00C66FF3"/>
    <w:rsid w:val="00C6708F"/>
    <w:rsid w:val="00C67D9D"/>
    <w:rsid w:val="00C74406"/>
    <w:rsid w:val="00C82BA7"/>
    <w:rsid w:val="00C8586E"/>
    <w:rsid w:val="00C9090F"/>
    <w:rsid w:val="00C91E9C"/>
    <w:rsid w:val="00C92542"/>
    <w:rsid w:val="00C9418C"/>
    <w:rsid w:val="00C95B21"/>
    <w:rsid w:val="00C960EE"/>
    <w:rsid w:val="00C96FF3"/>
    <w:rsid w:val="00C971E1"/>
    <w:rsid w:val="00C97336"/>
    <w:rsid w:val="00CB533C"/>
    <w:rsid w:val="00CC5B35"/>
    <w:rsid w:val="00CD1D21"/>
    <w:rsid w:val="00CD41D2"/>
    <w:rsid w:val="00CD4F8C"/>
    <w:rsid w:val="00CD636A"/>
    <w:rsid w:val="00CD6E29"/>
    <w:rsid w:val="00CD7912"/>
    <w:rsid w:val="00CE6136"/>
    <w:rsid w:val="00CF1587"/>
    <w:rsid w:val="00CF724E"/>
    <w:rsid w:val="00D02B18"/>
    <w:rsid w:val="00D05110"/>
    <w:rsid w:val="00D05CE0"/>
    <w:rsid w:val="00D13A21"/>
    <w:rsid w:val="00D152CF"/>
    <w:rsid w:val="00D17DC3"/>
    <w:rsid w:val="00D2151A"/>
    <w:rsid w:val="00D22614"/>
    <w:rsid w:val="00D259DF"/>
    <w:rsid w:val="00D263A9"/>
    <w:rsid w:val="00D26F23"/>
    <w:rsid w:val="00D30C83"/>
    <w:rsid w:val="00D342C9"/>
    <w:rsid w:val="00D35C49"/>
    <w:rsid w:val="00D367EA"/>
    <w:rsid w:val="00D43008"/>
    <w:rsid w:val="00D4426D"/>
    <w:rsid w:val="00D453D1"/>
    <w:rsid w:val="00D55E09"/>
    <w:rsid w:val="00D74420"/>
    <w:rsid w:val="00D764B3"/>
    <w:rsid w:val="00D850C6"/>
    <w:rsid w:val="00D90DE6"/>
    <w:rsid w:val="00DA330E"/>
    <w:rsid w:val="00DA4E9A"/>
    <w:rsid w:val="00DB146B"/>
    <w:rsid w:val="00DB4B19"/>
    <w:rsid w:val="00DB75E8"/>
    <w:rsid w:val="00DC4029"/>
    <w:rsid w:val="00DC431E"/>
    <w:rsid w:val="00DC4F14"/>
    <w:rsid w:val="00DC671B"/>
    <w:rsid w:val="00DD40C5"/>
    <w:rsid w:val="00DD67E7"/>
    <w:rsid w:val="00DE25D3"/>
    <w:rsid w:val="00DE2C3D"/>
    <w:rsid w:val="00DE3EAB"/>
    <w:rsid w:val="00DE4DFF"/>
    <w:rsid w:val="00DF730E"/>
    <w:rsid w:val="00E03481"/>
    <w:rsid w:val="00E11758"/>
    <w:rsid w:val="00E11F7C"/>
    <w:rsid w:val="00E13257"/>
    <w:rsid w:val="00E14B44"/>
    <w:rsid w:val="00E15CA9"/>
    <w:rsid w:val="00E16521"/>
    <w:rsid w:val="00E20665"/>
    <w:rsid w:val="00E37F5D"/>
    <w:rsid w:val="00E41124"/>
    <w:rsid w:val="00E514E3"/>
    <w:rsid w:val="00E605D0"/>
    <w:rsid w:val="00E63D77"/>
    <w:rsid w:val="00E67CAD"/>
    <w:rsid w:val="00E7186A"/>
    <w:rsid w:val="00E72406"/>
    <w:rsid w:val="00E758C1"/>
    <w:rsid w:val="00E76115"/>
    <w:rsid w:val="00E815C5"/>
    <w:rsid w:val="00E84092"/>
    <w:rsid w:val="00E85C3E"/>
    <w:rsid w:val="00E8706D"/>
    <w:rsid w:val="00E96AAA"/>
    <w:rsid w:val="00EA008C"/>
    <w:rsid w:val="00EA1535"/>
    <w:rsid w:val="00EA5D7E"/>
    <w:rsid w:val="00EA745B"/>
    <w:rsid w:val="00EC1585"/>
    <w:rsid w:val="00EC28C1"/>
    <w:rsid w:val="00EC2BCC"/>
    <w:rsid w:val="00EC310E"/>
    <w:rsid w:val="00EC362A"/>
    <w:rsid w:val="00EC409D"/>
    <w:rsid w:val="00EC7396"/>
    <w:rsid w:val="00ED768D"/>
    <w:rsid w:val="00EE23C8"/>
    <w:rsid w:val="00EE3D5A"/>
    <w:rsid w:val="00EE476F"/>
    <w:rsid w:val="00EE527C"/>
    <w:rsid w:val="00EE5B8C"/>
    <w:rsid w:val="00EE777E"/>
    <w:rsid w:val="00EF52DF"/>
    <w:rsid w:val="00F00358"/>
    <w:rsid w:val="00F01337"/>
    <w:rsid w:val="00F02A5F"/>
    <w:rsid w:val="00F0652D"/>
    <w:rsid w:val="00F1071E"/>
    <w:rsid w:val="00F129DD"/>
    <w:rsid w:val="00F12B2E"/>
    <w:rsid w:val="00F13429"/>
    <w:rsid w:val="00F15C7B"/>
    <w:rsid w:val="00F17637"/>
    <w:rsid w:val="00F234D0"/>
    <w:rsid w:val="00F267BB"/>
    <w:rsid w:val="00F30888"/>
    <w:rsid w:val="00F41C14"/>
    <w:rsid w:val="00F4211E"/>
    <w:rsid w:val="00F42A9F"/>
    <w:rsid w:val="00F444D6"/>
    <w:rsid w:val="00F46E48"/>
    <w:rsid w:val="00F50F8B"/>
    <w:rsid w:val="00F51F58"/>
    <w:rsid w:val="00F53341"/>
    <w:rsid w:val="00F53443"/>
    <w:rsid w:val="00F53BFD"/>
    <w:rsid w:val="00F54188"/>
    <w:rsid w:val="00F54F60"/>
    <w:rsid w:val="00F62AF2"/>
    <w:rsid w:val="00F63694"/>
    <w:rsid w:val="00F66837"/>
    <w:rsid w:val="00F70BAB"/>
    <w:rsid w:val="00F70CC5"/>
    <w:rsid w:val="00F713B0"/>
    <w:rsid w:val="00F736B1"/>
    <w:rsid w:val="00F82B61"/>
    <w:rsid w:val="00F82D7C"/>
    <w:rsid w:val="00F83D65"/>
    <w:rsid w:val="00F857BD"/>
    <w:rsid w:val="00F857E7"/>
    <w:rsid w:val="00F86D09"/>
    <w:rsid w:val="00F873E4"/>
    <w:rsid w:val="00F878E2"/>
    <w:rsid w:val="00F92C35"/>
    <w:rsid w:val="00F96B56"/>
    <w:rsid w:val="00FA2F03"/>
    <w:rsid w:val="00FA5AC0"/>
    <w:rsid w:val="00FB1270"/>
    <w:rsid w:val="00FB1851"/>
    <w:rsid w:val="00FB345C"/>
    <w:rsid w:val="00FB35E7"/>
    <w:rsid w:val="00FB7B57"/>
    <w:rsid w:val="00FC1704"/>
    <w:rsid w:val="00FD0863"/>
    <w:rsid w:val="00FE057D"/>
    <w:rsid w:val="00FE082D"/>
    <w:rsid w:val="00FE2292"/>
    <w:rsid w:val="00FE7324"/>
    <w:rsid w:val="00FF0E14"/>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518F"/>
  <w15:docId w15:val="{20EEC7D3-A52A-42B8-B737-2663846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3D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D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3D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3D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DCE"/>
    <w:rPr>
      <w:color w:val="0563C1" w:themeColor="hyperlink"/>
      <w:u w:val="single"/>
    </w:rPr>
  </w:style>
  <w:style w:type="paragraph" w:styleId="TOCHeading">
    <w:name w:val="TOC Heading"/>
    <w:basedOn w:val="Heading1"/>
    <w:next w:val="Normal"/>
    <w:uiPriority w:val="39"/>
    <w:unhideWhenUsed/>
    <w:qFormat/>
    <w:rsid w:val="00C23DCE"/>
    <w:pPr>
      <w:outlineLvl w:val="9"/>
    </w:pPr>
  </w:style>
  <w:style w:type="paragraph" w:styleId="TOC1">
    <w:name w:val="toc 1"/>
    <w:basedOn w:val="Normal"/>
    <w:next w:val="Normal"/>
    <w:autoRedefine/>
    <w:uiPriority w:val="39"/>
    <w:unhideWhenUsed/>
    <w:rsid w:val="00C23DCE"/>
    <w:pPr>
      <w:tabs>
        <w:tab w:val="right" w:leader="dot" w:pos="9347"/>
      </w:tabs>
      <w:spacing w:after="100"/>
    </w:pPr>
    <w:rPr>
      <w:noProof/>
    </w:r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Normal"/>
    <w:link w:val="FootnoteTextChar"/>
    <w:uiPriority w:val="99"/>
    <w:unhideWhenUsed/>
    <w:qFormat/>
    <w:rsid w:val="00C23DCE"/>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C23DCE"/>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FR"/>
    <w:basedOn w:val="DefaultParagraphFont"/>
    <w:link w:val="FNRefeCharChar"/>
    <w:uiPriority w:val="99"/>
    <w:unhideWhenUsed/>
    <w:rsid w:val="00C23DCE"/>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C23DCE"/>
    <w:pPr>
      <w:ind w:left="720"/>
      <w:contextualSpacing/>
    </w:pPr>
  </w:style>
  <w:style w:type="paragraph" w:styleId="TOC2">
    <w:name w:val="toc 2"/>
    <w:basedOn w:val="Normal"/>
    <w:next w:val="Normal"/>
    <w:autoRedefine/>
    <w:uiPriority w:val="39"/>
    <w:unhideWhenUsed/>
    <w:rsid w:val="00C23DCE"/>
    <w:pPr>
      <w:spacing w:after="100"/>
      <w:ind w:left="220"/>
    </w:pPr>
  </w:style>
  <w:style w:type="paragraph" w:styleId="Header">
    <w:name w:val="header"/>
    <w:basedOn w:val="Normal"/>
    <w:link w:val="HeaderChar"/>
    <w:uiPriority w:val="99"/>
    <w:unhideWhenUsed/>
    <w:rsid w:val="00C23DCE"/>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3DCE"/>
  </w:style>
  <w:style w:type="paragraph" w:styleId="Footer">
    <w:name w:val="footer"/>
    <w:basedOn w:val="Normal"/>
    <w:link w:val="FooterChar"/>
    <w:uiPriority w:val="99"/>
    <w:unhideWhenUsed/>
    <w:rsid w:val="00C23DCE"/>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3DCE"/>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C23DCE"/>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C23DCE"/>
    <w:pPr>
      <w:tabs>
        <w:tab w:val="right" w:leader="dot" w:pos="9347"/>
      </w:tabs>
      <w:spacing w:after="100"/>
    </w:pPr>
  </w:style>
  <w:style w:type="paragraph" w:styleId="BalloonText">
    <w:name w:val="Balloon Text"/>
    <w:basedOn w:val="Normal"/>
    <w:link w:val="BalloonTextChar"/>
    <w:uiPriority w:val="99"/>
    <w:semiHidden/>
    <w:unhideWhenUsed/>
    <w:rsid w:val="00C2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CE"/>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C23DCE"/>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23DCE"/>
    <w:pPr>
      <w:spacing w:line="240" w:lineRule="exact"/>
    </w:pPr>
    <w:rPr>
      <w:vertAlign w:val="superscript"/>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C23DCE"/>
  </w:style>
  <w:style w:type="character" w:styleId="CommentReference">
    <w:name w:val="annotation reference"/>
    <w:basedOn w:val="DefaultParagraphFont"/>
    <w:uiPriority w:val="99"/>
    <w:semiHidden/>
    <w:unhideWhenUsed/>
    <w:rsid w:val="00C23DCE"/>
    <w:rPr>
      <w:sz w:val="16"/>
      <w:szCs w:val="16"/>
    </w:rPr>
  </w:style>
  <w:style w:type="paragraph" w:styleId="CommentText">
    <w:name w:val="annotation text"/>
    <w:basedOn w:val="Normal"/>
    <w:link w:val="CommentTextChar"/>
    <w:uiPriority w:val="99"/>
    <w:semiHidden/>
    <w:unhideWhenUsed/>
    <w:rsid w:val="00C23DCE"/>
    <w:pPr>
      <w:spacing w:line="240" w:lineRule="auto"/>
    </w:pPr>
    <w:rPr>
      <w:sz w:val="20"/>
      <w:szCs w:val="20"/>
    </w:rPr>
  </w:style>
  <w:style w:type="character" w:customStyle="1" w:styleId="CommentTextChar">
    <w:name w:val="Comment Text Char"/>
    <w:basedOn w:val="DefaultParagraphFont"/>
    <w:link w:val="CommentText"/>
    <w:uiPriority w:val="99"/>
    <w:semiHidden/>
    <w:rsid w:val="00C23DCE"/>
    <w:rPr>
      <w:sz w:val="20"/>
      <w:szCs w:val="20"/>
    </w:rPr>
  </w:style>
  <w:style w:type="paragraph" w:styleId="CommentSubject">
    <w:name w:val="annotation subject"/>
    <w:basedOn w:val="CommentText"/>
    <w:next w:val="CommentText"/>
    <w:link w:val="CommentSubjectChar"/>
    <w:uiPriority w:val="99"/>
    <w:semiHidden/>
    <w:unhideWhenUsed/>
    <w:rsid w:val="00C23DCE"/>
    <w:rPr>
      <w:b/>
      <w:bCs/>
    </w:rPr>
  </w:style>
  <w:style w:type="character" w:customStyle="1" w:styleId="CommentSubjectChar">
    <w:name w:val="Comment Subject Char"/>
    <w:basedOn w:val="CommentTextChar"/>
    <w:link w:val="CommentSubject"/>
    <w:uiPriority w:val="99"/>
    <w:semiHidden/>
    <w:rsid w:val="00C23DCE"/>
    <w:rPr>
      <w:b/>
      <w:bCs/>
      <w:sz w:val="20"/>
      <w:szCs w:val="20"/>
    </w:rPr>
  </w:style>
  <w:style w:type="numbering" w:customStyle="1" w:styleId="NoList1">
    <w:name w:val="No List1"/>
    <w:next w:val="NoList"/>
    <w:uiPriority w:val="99"/>
    <w:semiHidden/>
    <w:unhideWhenUsed/>
    <w:rsid w:val="00C23DCE"/>
  </w:style>
  <w:style w:type="character" w:styleId="FollowedHyperlink">
    <w:name w:val="FollowedHyperlink"/>
    <w:basedOn w:val="DefaultParagraphFont"/>
    <w:uiPriority w:val="99"/>
    <w:semiHidden/>
    <w:unhideWhenUsed/>
    <w:rsid w:val="00C23DCE"/>
    <w:rPr>
      <w:color w:val="800080"/>
      <w:u w:val="single"/>
    </w:rPr>
  </w:style>
  <w:style w:type="paragraph" w:customStyle="1" w:styleId="msonormal0">
    <w:name w:val="msonormal"/>
    <w:basedOn w:val="Normal"/>
    <w:rsid w:val="00C23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23DC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C23DCE"/>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C23DCE"/>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C23DCE"/>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C23DCE"/>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C23DCE"/>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C23DCE"/>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C23DCE"/>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C23DCE"/>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C23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
    <w:name w:val="Нет списка1"/>
    <w:next w:val="NoList"/>
    <w:uiPriority w:val="99"/>
    <w:semiHidden/>
    <w:unhideWhenUsed/>
    <w:rsid w:val="00C23DCE"/>
  </w:style>
  <w:style w:type="paragraph" w:customStyle="1" w:styleId="10">
    <w:name w:val="Стиль1"/>
    <w:basedOn w:val="NormalWeb"/>
    <w:link w:val="11"/>
    <w:autoRedefine/>
    <w:qFormat/>
    <w:rsid w:val="00C23DCE"/>
    <w:pPr>
      <w:spacing w:before="0" w:beforeAutospacing="0" w:after="0" w:afterAutospacing="0"/>
      <w:ind w:left="180" w:hanging="180"/>
      <w:jc w:val="both"/>
    </w:pPr>
    <w:rPr>
      <w:rFonts w:ascii="Calibri Light" w:hAnsi="Calibri Light"/>
      <w:sz w:val="16"/>
      <w:szCs w:val="16"/>
      <w:lang w:bidi="ar-SA"/>
    </w:rPr>
  </w:style>
  <w:style w:type="character" w:customStyle="1" w:styleId="11">
    <w:name w:val="Стиль1 Знак"/>
    <w:basedOn w:val="DefaultParagraphFont"/>
    <w:link w:val="10"/>
    <w:rsid w:val="00C23DCE"/>
    <w:rPr>
      <w:rFonts w:ascii="Calibri Light" w:eastAsia="Times New Roman" w:hAnsi="Calibri Light" w:cs="Times New Roman"/>
      <w:sz w:val="16"/>
      <w:szCs w:val="16"/>
    </w:rPr>
  </w:style>
  <w:style w:type="paragraph" w:styleId="Revision">
    <w:name w:val="Revision"/>
    <w:hidden/>
    <w:uiPriority w:val="99"/>
    <w:semiHidden/>
    <w:rsid w:val="00C23DCE"/>
    <w:pPr>
      <w:spacing w:after="0" w:line="240" w:lineRule="auto"/>
    </w:pPr>
  </w:style>
  <w:style w:type="paragraph" w:styleId="BodyText">
    <w:name w:val="Body Text"/>
    <w:basedOn w:val="Normal"/>
    <w:link w:val="BodyTextChar"/>
    <w:unhideWhenUsed/>
    <w:rsid w:val="00C23DCE"/>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C23DCE"/>
    <w:rPr>
      <w:rFonts w:asciiTheme="majorHAnsi" w:eastAsia="Times New Roman" w:hAnsiTheme="majorHAnsi" w:cs="Times New Roman"/>
      <w:b/>
      <w:bCs/>
      <w:sz w:val="24"/>
      <w:szCs w:val="24"/>
      <w:lang w:val="ro-RO" w:eastAsia="ru-RU"/>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C23DCE"/>
    <w:rPr>
      <w:rFonts w:ascii="Times New Roman" w:eastAsia="Times New Roman" w:hAnsi="Times New Roman" w:cs="Times New Roman"/>
      <w:sz w:val="20"/>
      <w:szCs w:val="20"/>
      <w:lang w:val="ro-RO" w:eastAsia="ro-RO"/>
    </w:rPr>
  </w:style>
  <w:style w:type="paragraph" w:customStyle="1" w:styleId="xl102">
    <w:name w:val="xl102"/>
    <w:basedOn w:val="Normal"/>
    <w:rsid w:val="00C23DCE"/>
    <w:pPr>
      <w:pBdr>
        <w:left w:val="single" w:sz="8"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3">
    <w:name w:val="xl103"/>
    <w:basedOn w:val="Normal"/>
    <w:rsid w:val="00C23DCE"/>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4">
    <w:name w:val="xl104"/>
    <w:basedOn w:val="Normal"/>
    <w:rsid w:val="00C23DCE"/>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5">
    <w:name w:val="xl105"/>
    <w:basedOn w:val="Normal"/>
    <w:rsid w:val="00C23DCE"/>
    <w:pPr>
      <w:pBdr>
        <w:left w:val="single" w:sz="4" w:space="0" w:color="auto"/>
        <w:right w:val="single" w:sz="8"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tt">
    <w:name w:val="tt"/>
    <w:basedOn w:val="Normal"/>
    <w:uiPriority w:val="99"/>
    <w:rsid w:val="00C23DCE"/>
    <w:pPr>
      <w:spacing w:after="0"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94D01"/>
    <w:pPr>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character" w:styleId="Emphasis">
    <w:name w:val="Emphasis"/>
    <w:basedOn w:val="DefaultParagraphFont"/>
    <w:uiPriority w:val="20"/>
    <w:qFormat/>
    <w:rsid w:val="00DE3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1542">
      <w:bodyDiv w:val="1"/>
      <w:marLeft w:val="0"/>
      <w:marRight w:val="0"/>
      <w:marTop w:val="0"/>
      <w:marBottom w:val="0"/>
      <w:divBdr>
        <w:top w:val="none" w:sz="0" w:space="0" w:color="auto"/>
        <w:left w:val="none" w:sz="0" w:space="0" w:color="auto"/>
        <w:bottom w:val="none" w:sz="0" w:space="0" w:color="auto"/>
        <w:right w:val="none" w:sz="0" w:space="0" w:color="auto"/>
      </w:divBdr>
    </w:div>
    <w:div w:id="568350563">
      <w:bodyDiv w:val="1"/>
      <w:marLeft w:val="0"/>
      <w:marRight w:val="0"/>
      <w:marTop w:val="0"/>
      <w:marBottom w:val="0"/>
      <w:divBdr>
        <w:top w:val="none" w:sz="0" w:space="0" w:color="auto"/>
        <w:left w:val="none" w:sz="0" w:space="0" w:color="auto"/>
        <w:bottom w:val="none" w:sz="0" w:space="0" w:color="auto"/>
        <w:right w:val="none" w:sz="0" w:space="0" w:color="auto"/>
      </w:divBdr>
    </w:div>
    <w:div w:id="1647665003">
      <w:bodyDiv w:val="1"/>
      <w:marLeft w:val="0"/>
      <w:marRight w:val="0"/>
      <w:marTop w:val="0"/>
      <w:marBottom w:val="0"/>
      <w:divBdr>
        <w:top w:val="none" w:sz="0" w:space="0" w:color="auto"/>
        <w:left w:val="none" w:sz="0" w:space="0" w:color="auto"/>
        <w:bottom w:val="none" w:sz="0" w:space="0" w:color="auto"/>
        <w:right w:val="none" w:sz="0" w:space="0" w:color="auto"/>
      </w:divBdr>
    </w:div>
    <w:div w:id="1696881586">
      <w:bodyDiv w:val="1"/>
      <w:marLeft w:val="0"/>
      <w:marRight w:val="0"/>
      <w:marTop w:val="0"/>
      <w:marBottom w:val="0"/>
      <w:divBdr>
        <w:top w:val="none" w:sz="0" w:space="0" w:color="auto"/>
        <w:left w:val="none" w:sz="0" w:space="0" w:color="auto"/>
        <w:bottom w:val="none" w:sz="0" w:space="0" w:color="auto"/>
        <w:right w:val="none" w:sz="0" w:space="0" w:color="auto"/>
      </w:divBdr>
    </w:div>
    <w:div w:id="1975678771">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ccrm@ccrm.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F86A6-94AF-44B7-A5C2-E63A43AE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14285</Words>
  <Characters>81428</Characters>
  <Application>Microsoft Office Word</Application>
  <DocSecurity>0</DocSecurity>
  <Lines>678</Lines>
  <Paragraphs>191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Paiu Eugenia</cp:lastModifiedBy>
  <cp:revision>2</cp:revision>
  <cp:lastPrinted>2021-10-20T05:53:00Z</cp:lastPrinted>
  <dcterms:created xsi:type="dcterms:W3CDTF">2021-10-21T06:54:00Z</dcterms:created>
  <dcterms:modified xsi:type="dcterms:W3CDTF">2021-10-21T06:54:00Z</dcterms:modified>
</cp:coreProperties>
</file>