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073F3" w14:textId="77777777" w:rsidR="00DF563B" w:rsidRPr="00C94998" w:rsidRDefault="00DF563B" w:rsidP="00DF563B">
      <w:pPr>
        <w:pStyle w:val="cp"/>
        <w:spacing w:line="276" w:lineRule="auto"/>
        <w:ind w:right="55"/>
        <w:jc w:val="right"/>
        <w:rPr>
          <w:rStyle w:val="HTMLSample"/>
          <w:rFonts w:asciiTheme="majorHAnsi" w:eastAsiaTheme="majorEastAsia" w:hAnsiTheme="majorHAnsi" w:cstheme="majorHAnsi"/>
          <w:iCs/>
          <w:u w:val="single"/>
        </w:rPr>
      </w:pPr>
      <w:bookmarkStart w:id="0" w:name="_GoBack"/>
      <w:bookmarkEnd w:id="0"/>
      <w:r>
        <w:rPr>
          <w:rStyle w:val="HTMLSample"/>
          <w:rFonts w:asciiTheme="majorHAnsi" w:eastAsiaTheme="majorEastAsia" w:hAnsiTheme="majorHAnsi" w:cstheme="majorHAnsi"/>
          <w:iCs/>
          <w:u w:val="single"/>
        </w:rPr>
        <w:t>ПЕРЕВОД</w:t>
      </w:r>
    </w:p>
    <w:p w14:paraId="094D12EA" w14:textId="77777777" w:rsidR="00DF563B" w:rsidRPr="00872F4C" w:rsidRDefault="00DF563B" w:rsidP="00DF563B">
      <w:pPr>
        <w:pStyle w:val="cp"/>
        <w:spacing w:line="276" w:lineRule="auto"/>
        <w:ind w:right="55"/>
        <w:jc w:val="right"/>
        <w:rPr>
          <w:rFonts w:asciiTheme="majorHAnsi" w:hAnsiTheme="majorHAnsi" w:cstheme="majorHAnsi"/>
          <w:i/>
          <w:lang w:val="ro-MD"/>
        </w:rPr>
      </w:pPr>
      <w:r>
        <w:rPr>
          <w:rStyle w:val="HTMLSample"/>
          <w:rFonts w:asciiTheme="majorHAnsi" w:eastAsiaTheme="majorEastAsia" w:hAnsiTheme="majorHAnsi" w:cstheme="majorHAnsi"/>
          <w:i/>
          <w:iCs/>
        </w:rPr>
        <w:t>Приложение</w:t>
      </w:r>
      <w:r w:rsidRPr="00872F4C">
        <w:rPr>
          <w:rStyle w:val="HTMLSample"/>
          <w:rFonts w:asciiTheme="majorHAnsi" w:eastAsiaTheme="majorEastAsia" w:hAnsiTheme="majorHAnsi" w:cstheme="majorHAnsi"/>
          <w:i/>
          <w:iCs/>
          <w:lang w:val="ro-MD"/>
        </w:rPr>
        <w:t xml:space="preserve"> </w:t>
      </w:r>
    </w:p>
    <w:p w14:paraId="6CDB421E" w14:textId="77777777" w:rsidR="00DF563B" w:rsidRPr="00872F4C" w:rsidRDefault="00DF563B" w:rsidP="00DF563B">
      <w:pPr>
        <w:spacing w:after="0"/>
        <w:jc w:val="right"/>
        <w:rPr>
          <w:rStyle w:val="HTMLSample"/>
          <w:rFonts w:asciiTheme="majorHAnsi" w:eastAsiaTheme="majorEastAsia" w:hAnsiTheme="majorHAnsi" w:cstheme="majorHAnsi"/>
          <w:i/>
          <w:iCs/>
          <w:sz w:val="24"/>
          <w:szCs w:val="24"/>
          <w:lang w:val="ro-MD"/>
        </w:rPr>
      </w:pPr>
      <w:r>
        <w:rPr>
          <w:rStyle w:val="HTMLSample"/>
          <w:rFonts w:asciiTheme="majorHAnsi" w:eastAsiaTheme="majorEastAsia" w:hAnsiTheme="majorHAnsi" w:cstheme="majorHAnsi"/>
          <w:i/>
          <w:iCs/>
          <w:sz w:val="24"/>
          <w:szCs w:val="24"/>
        </w:rPr>
        <w:t>к Постановлению Счетной палаты</w:t>
      </w:r>
      <w:r w:rsidRPr="00872F4C">
        <w:rPr>
          <w:rStyle w:val="HTMLSample"/>
          <w:rFonts w:asciiTheme="majorHAnsi" w:eastAsiaTheme="majorEastAsia" w:hAnsiTheme="majorHAnsi" w:cstheme="majorHAnsi"/>
          <w:i/>
          <w:iCs/>
          <w:sz w:val="24"/>
          <w:szCs w:val="24"/>
          <w:lang w:val="ro-MD"/>
        </w:rPr>
        <w:t xml:space="preserve"> </w:t>
      </w:r>
    </w:p>
    <w:p w14:paraId="3284720F" w14:textId="17E5B6A7" w:rsidR="00DF563B" w:rsidRPr="00872F4C" w:rsidRDefault="00DF563B" w:rsidP="00DF563B">
      <w:pPr>
        <w:spacing w:after="0"/>
        <w:jc w:val="right"/>
        <w:rPr>
          <w:rFonts w:asciiTheme="majorHAnsi" w:hAnsiTheme="majorHAnsi" w:cstheme="majorHAnsi"/>
          <w:i/>
          <w:sz w:val="24"/>
          <w:szCs w:val="24"/>
          <w:lang w:val="ro-MD"/>
        </w:rPr>
      </w:pPr>
      <w:r>
        <w:rPr>
          <w:rStyle w:val="HTMLSample"/>
          <w:rFonts w:asciiTheme="majorHAnsi" w:hAnsiTheme="majorHAnsi" w:cstheme="majorHAnsi"/>
          <w:i/>
          <w:iCs/>
          <w:sz w:val="24"/>
          <w:szCs w:val="24"/>
        </w:rPr>
        <w:t>№</w:t>
      </w:r>
      <w:r>
        <w:rPr>
          <w:rStyle w:val="HTMLSample"/>
          <w:rFonts w:asciiTheme="majorHAnsi" w:hAnsiTheme="majorHAnsi" w:cstheme="majorHAnsi"/>
          <w:i/>
          <w:iCs/>
          <w:sz w:val="24"/>
          <w:szCs w:val="24"/>
          <w:lang w:val="ro-MD"/>
        </w:rPr>
        <w:t>4</w:t>
      </w:r>
      <w:r>
        <w:rPr>
          <w:rStyle w:val="HTMLSample"/>
          <w:rFonts w:asciiTheme="majorHAnsi" w:hAnsiTheme="majorHAnsi" w:cstheme="majorHAnsi"/>
          <w:i/>
          <w:iCs/>
          <w:sz w:val="24"/>
          <w:szCs w:val="24"/>
        </w:rPr>
        <w:t>8</w:t>
      </w:r>
      <w:r w:rsidRPr="00872F4C">
        <w:rPr>
          <w:rStyle w:val="HTMLSample"/>
          <w:rFonts w:asciiTheme="majorHAnsi" w:hAnsiTheme="majorHAnsi" w:cstheme="majorHAnsi"/>
          <w:i/>
          <w:iCs/>
          <w:sz w:val="24"/>
          <w:szCs w:val="24"/>
          <w:lang w:val="ro-MD"/>
        </w:rPr>
        <w:t xml:space="preserve"> </w:t>
      </w:r>
      <w:r>
        <w:rPr>
          <w:rStyle w:val="HTMLSample"/>
          <w:rFonts w:asciiTheme="majorHAnsi" w:hAnsiTheme="majorHAnsi" w:cstheme="majorHAnsi"/>
          <w:i/>
          <w:iCs/>
          <w:sz w:val="24"/>
          <w:szCs w:val="24"/>
        </w:rPr>
        <w:t>от</w:t>
      </w:r>
      <w:r w:rsidRPr="00872F4C">
        <w:rPr>
          <w:rStyle w:val="HTMLSample"/>
          <w:rFonts w:asciiTheme="majorHAnsi" w:hAnsiTheme="majorHAnsi" w:cstheme="majorHAnsi"/>
          <w:i/>
          <w:iCs/>
          <w:sz w:val="24"/>
          <w:szCs w:val="24"/>
          <w:lang w:val="ro-MD"/>
        </w:rPr>
        <w:t xml:space="preserve"> </w:t>
      </w:r>
      <w:r w:rsidR="00577CB5">
        <w:rPr>
          <w:rStyle w:val="HTMLSample"/>
          <w:rFonts w:asciiTheme="majorHAnsi" w:hAnsiTheme="majorHAnsi" w:cstheme="majorHAnsi"/>
          <w:i/>
          <w:iCs/>
          <w:sz w:val="24"/>
          <w:szCs w:val="24"/>
        </w:rPr>
        <w:t>0</w:t>
      </w:r>
      <w:r w:rsidR="00577CB5">
        <w:rPr>
          <w:rStyle w:val="HTMLSample"/>
          <w:rFonts w:asciiTheme="majorHAnsi" w:hAnsiTheme="majorHAnsi" w:cstheme="majorHAnsi"/>
          <w:i/>
          <w:iCs/>
          <w:sz w:val="24"/>
          <w:szCs w:val="24"/>
          <w:lang w:val="ro-MD"/>
        </w:rPr>
        <w:t>2</w:t>
      </w:r>
      <w:r w:rsidRPr="00872F4C">
        <w:rPr>
          <w:rStyle w:val="HTMLSample"/>
          <w:rFonts w:asciiTheme="majorHAnsi" w:hAnsiTheme="majorHAnsi" w:cstheme="majorHAnsi"/>
          <w:i/>
          <w:iCs/>
          <w:sz w:val="24"/>
          <w:szCs w:val="24"/>
          <w:lang w:val="ro-MD"/>
        </w:rPr>
        <w:t xml:space="preserve"> </w:t>
      </w:r>
      <w:r w:rsidR="00577CB5">
        <w:rPr>
          <w:rStyle w:val="HTMLSample"/>
          <w:rFonts w:asciiTheme="majorHAnsi" w:hAnsiTheme="majorHAnsi" w:cstheme="majorHAnsi"/>
          <w:i/>
          <w:iCs/>
          <w:sz w:val="24"/>
          <w:szCs w:val="24"/>
        </w:rPr>
        <w:t>сентября</w:t>
      </w:r>
      <w:r w:rsidRPr="00872F4C">
        <w:rPr>
          <w:rStyle w:val="HTMLSample"/>
          <w:rFonts w:asciiTheme="majorHAnsi" w:hAnsiTheme="majorHAnsi" w:cstheme="majorHAnsi"/>
          <w:i/>
          <w:iCs/>
          <w:sz w:val="24"/>
          <w:szCs w:val="24"/>
          <w:lang w:val="ro-MD"/>
        </w:rPr>
        <w:t xml:space="preserve"> 202</w:t>
      </w:r>
      <w:r w:rsidR="00577CB5">
        <w:rPr>
          <w:rStyle w:val="HTMLSample"/>
          <w:rFonts w:asciiTheme="majorHAnsi" w:hAnsiTheme="majorHAnsi" w:cstheme="majorHAnsi"/>
          <w:i/>
          <w:iCs/>
          <w:sz w:val="24"/>
          <w:szCs w:val="24"/>
        </w:rPr>
        <w:t>2</w:t>
      </w:r>
      <w:r>
        <w:rPr>
          <w:rStyle w:val="HTMLSample"/>
          <w:rFonts w:asciiTheme="majorHAnsi" w:hAnsiTheme="majorHAnsi" w:cstheme="majorHAnsi"/>
          <w:i/>
          <w:iCs/>
          <w:sz w:val="24"/>
          <w:szCs w:val="24"/>
        </w:rPr>
        <w:t xml:space="preserve"> года</w:t>
      </w:r>
      <w:r w:rsidRPr="00872F4C">
        <w:rPr>
          <w:rFonts w:asciiTheme="majorHAnsi" w:hAnsiTheme="majorHAnsi" w:cstheme="majorHAnsi"/>
          <w:i/>
          <w:sz w:val="24"/>
          <w:szCs w:val="24"/>
          <w:lang w:val="ro-MD"/>
        </w:rPr>
        <w:t xml:space="preserve"> </w:t>
      </w:r>
    </w:p>
    <w:p w14:paraId="039B56DB" w14:textId="77777777" w:rsidR="003236D5" w:rsidRPr="00B20FBD" w:rsidRDefault="003236D5" w:rsidP="00521CCF">
      <w:pPr>
        <w:spacing w:after="0"/>
        <w:jc w:val="right"/>
        <w:rPr>
          <w:rFonts w:asciiTheme="majorHAnsi" w:hAnsiTheme="majorHAnsi" w:cstheme="majorHAnsi"/>
          <w:i/>
          <w:sz w:val="24"/>
          <w:szCs w:val="24"/>
          <w:lang w:val="ro-RO"/>
        </w:rPr>
      </w:pPr>
    </w:p>
    <w:p w14:paraId="795FC521" w14:textId="77777777" w:rsidR="003236D5" w:rsidRPr="00B20FBD" w:rsidRDefault="003236D5" w:rsidP="00521CCF">
      <w:pPr>
        <w:spacing w:after="0"/>
        <w:jc w:val="center"/>
        <w:rPr>
          <w:rFonts w:asciiTheme="majorHAnsi" w:hAnsiTheme="majorHAnsi" w:cstheme="majorHAnsi"/>
          <w:b/>
          <w:sz w:val="24"/>
          <w:szCs w:val="24"/>
          <w:lang w:val="ro-RO"/>
        </w:rPr>
      </w:pPr>
      <w:r w:rsidRPr="00B20FBD">
        <w:rPr>
          <w:rFonts w:asciiTheme="majorHAnsi" w:hAnsiTheme="majorHAnsi" w:cstheme="majorHAnsi"/>
          <w:noProof/>
          <w:sz w:val="24"/>
          <w:szCs w:val="24"/>
          <w:lang w:val="en-US"/>
        </w:rPr>
        <w:drawing>
          <wp:inline distT="0" distB="0" distL="0" distR="0" wp14:anchorId="03B1B3F4" wp14:editId="53515648">
            <wp:extent cx="1028700" cy="1021080"/>
            <wp:effectExtent l="0" t="0" r="0" b="7620"/>
            <wp:docPr id="4" name="Picture 2" descr="embl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6A1A7E51" w14:textId="77777777" w:rsidR="003236D5" w:rsidRPr="00B20FBD" w:rsidRDefault="003236D5" w:rsidP="00521CCF">
      <w:pPr>
        <w:spacing w:after="0"/>
        <w:jc w:val="center"/>
        <w:rPr>
          <w:rFonts w:asciiTheme="majorHAnsi" w:hAnsiTheme="majorHAnsi" w:cstheme="majorHAnsi"/>
          <w:b/>
          <w:sz w:val="24"/>
          <w:szCs w:val="24"/>
          <w:lang w:val="ro-RO"/>
        </w:rPr>
      </w:pPr>
    </w:p>
    <w:p w14:paraId="0E349833" w14:textId="770A7463" w:rsidR="003236D5" w:rsidRPr="00B20FBD" w:rsidRDefault="00B8177D" w:rsidP="00B8177D">
      <w:pPr>
        <w:spacing w:after="0"/>
        <w:jc w:val="center"/>
        <w:rPr>
          <w:rFonts w:asciiTheme="majorHAnsi" w:hAnsiTheme="majorHAnsi" w:cstheme="majorHAnsi"/>
          <w:sz w:val="24"/>
          <w:szCs w:val="24"/>
          <w:lang w:val="ro-RO"/>
        </w:rPr>
      </w:pPr>
      <w:r w:rsidRPr="00B8177D">
        <w:rPr>
          <w:rFonts w:asciiTheme="majorHAnsi" w:hAnsiTheme="majorHAnsi" w:cstheme="majorHAnsi"/>
          <w:b/>
          <w:sz w:val="28"/>
          <w:szCs w:val="28"/>
        </w:rPr>
        <w:t>СЧЕТНАЯ ПАЛАТА РЕСПУБЛИКИ МОЛДОВА</w:t>
      </w:r>
    </w:p>
    <w:p w14:paraId="12BF8A29" w14:textId="77777777" w:rsidR="003236D5" w:rsidRPr="00B20FBD" w:rsidRDefault="003236D5" w:rsidP="00521CCF">
      <w:pPr>
        <w:tabs>
          <w:tab w:val="left" w:pos="720"/>
        </w:tabs>
        <w:spacing w:after="0"/>
        <w:jc w:val="right"/>
        <w:rPr>
          <w:rFonts w:asciiTheme="majorHAnsi" w:eastAsia="Times New Roman" w:hAnsiTheme="majorHAnsi" w:cstheme="majorHAnsi"/>
          <w:b/>
          <w:bCs/>
          <w:sz w:val="24"/>
          <w:szCs w:val="24"/>
          <w:lang w:val="ro-RO"/>
        </w:rPr>
      </w:pPr>
    </w:p>
    <w:p w14:paraId="5924121F" w14:textId="77777777" w:rsidR="003236D5" w:rsidRPr="00B20FBD" w:rsidRDefault="003236D5" w:rsidP="00521CCF">
      <w:pPr>
        <w:tabs>
          <w:tab w:val="left" w:pos="720"/>
        </w:tabs>
        <w:spacing w:after="0"/>
        <w:jc w:val="right"/>
        <w:rPr>
          <w:rFonts w:asciiTheme="majorHAnsi" w:eastAsia="Times New Roman" w:hAnsiTheme="majorHAnsi" w:cstheme="majorHAnsi"/>
          <w:b/>
          <w:bCs/>
          <w:sz w:val="24"/>
          <w:szCs w:val="24"/>
          <w:lang w:val="ro-RO"/>
        </w:rPr>
      </w:pPr>
    </w:p>
    <w:tbl>
      <w:tblPr>
        <w:tblStyle w:val="TableGrid"/>
        <w:tblW w:w="0" w:type="auto"/>
        <w:jc w:val="center"/>
        <w:tblBorders>
          <w:top w:val="thinThickSmallGap" w:sz="12" w:space="0" w:color="auto"/>
          <w:left w:val="none" w:sz="0" w:space="0" w:color="auto"/>
          <w:bottom w:val="thickThin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236D5" w:rsidRPr="00F85718" w14:paraId="17FE63CF" w14:textId="77777777" w:rsidTr="001A5059">
        <w:trPr>
          <w:trHeight w:val="435"/>
          <w:jc w:val="center"/>
        </w:trPr>
        <w:tc>
          <w:tcPr>
            <w:tcW w:w="9350" w:type="dxa"/>
          </w:tcPr>
          <w:p w14:paraId="57D81730" w14:textId="5AEEA5F4" w:rsidR="003236D5" w:rsidRPr="00FA69C7" w:rsidRDefault="003236D5" w:rsidP="00DB51CE">
            <w:pPr>
              <w:tabs>
                <w:tab w:val="left" w:pos="720"/>
              </w:tabs>
              <w:jc w:val="center"/>
              <w:rPr>
                <w:rFonts w:asciiTheme="majorHAnsi" w:hAnsiTheme="majorHAnsi" w:cstheme="majorHAnsi"/>
                <w:color w:val="0563C1" w:themeColor="hyperlink"/>
                <w:u w:val="single"/>
                <w:lang w:val="ro-RO"/>
              </w:rPr>
            </w:pPr>
            <w:r w:rsidRPr="00FA69C7">
              <w:rPr>
                <w:rFonts w:asciiTheme="majorHAnsi" w:hAnsiTheme="majorHAnsi" w:cstheme="majorHAnsi"/>
                <w:lang w:val="ro-RO"/>
              </w:rPr>
              <w:t xml:space="preserve">MD-2001, mun. Chișinău, bd. Ștefan cel Mare și Sfânt </w:t>
            </w:r>
            <w:r w:rsidR="00DB51CE">
              <w:rPr>
                <w:rFonts w:asciiTheme="majorHAnsi" w:hAnsiTheme="majorHAnsi" w:cstheme="majorHAnsi"/>
                <w:lang w:val="ro-RO"/>
              </w:rPr>
              <w:t>nr. 69, tel.: (+373-22) 266-002, fax: (+373-22) 266-100</w:t>
            </w:r>
            <w:r w:rsidRPr="00FA69C7">
              <w:rPr>
                <w:rFonts w:asciiTheme="majorHAnsi" w:hAnsiTheme="majorHAnsi" w:cstheme="majorHAnsi"/>
                <w:lang w:val="ro-RO"/>
              </w:rPr>
              <w:t xml:space="preserve"> </w:t>
            </w:r>
            <w:hyperlink r:id="rId10" w:history="1">
              <w:r w:rsidR="007E20B6" w:rsidRPr="00FA69C7">
                <w:rPr>
                  <w:rStyle w:val="Hyperlink"/>
                  <w:rFonts w:asciiTheme="majorHAnsi" w:hAnsiTheme="majorHAnsi" w:cstheme="majorHAnsi"/>
                  <w:b/>
                  <w:lang w:val="ro-RO"/>
                </w:rPr>
                <w:t>www.ccrm.md</w:t>
              </w:r>
            </w:hyperlink>
            <w:r w:rsidR="007E20B6" w:rsidRPr="00FA69C7">
              <w:rPr>
                <w:rStyle w:val="Hyperlink"/>
                <w:rFonts w:asciiTheme="majorHAnsi" w:hAnsiTheme="majorHAnsi" w:cstheme="majorHAnsi"/>
                <w:lang w:val="ro-RO"/>
              </w:rPr>
              <w:t xml:space="preserve">; </w:t>
            </w:r>
            <w:r w:rsidRPr="00FA69C7">
              <w:rPr>
                <w:rFonts w:asciiTheme="majorHAnsi" w:hAnsiTheme="majorHAnsi" w:cstheme="majorHAnsi"/>
                <w:lang w:val="ro-RO"/>
              </w:rPr>
              <w:t xml:space="preserve">e-mail: </w:t>
            </w:r>
            <w:hyperlink r:id="rId11" w:history="1">
              <w:r w:rsidRPr="00FA69C7">
                <w:rPr>
                  <w:rStyle w:val="Hyperlink"/>
                  <w:rFonts w:asciiTheme="majorHAnsi" w:hAnsiTheme="majorHAnsi" w:cstheme="majorHAnsi"/>
                  <w:b/>
                  <w:lang w:val="ro-RO"/>
                </w:rPr>
                <w:t>ccrm@ccrm.md</w:t>
              </w:r>
            </w:hyperlink>
          </w:p>
        </w:tc>
      </w:tr>
    </w:tbl>
    <w:p w14:paraId="1547A7BC" w14:textId="77777777" w:rsidR="003236D5" w:rsidRPr="00A54DA4" w:rsidRDefault="003236D5" w:rsidP="00521CCF">
      <w:pPr>
        <w:spacing w:after="0"/>
        <w:jc w:val="center"/>
        <w:rPr>
          <w:rFonts w:asciiTheme="majorHAnsi" w:hAnsiTheme="majorHAnsi" w:cstheme="majorHAnsi"/>
          <w:i/>
          <w:sz w:val="24"/>
          <w:szCs w:val="24"/>
          <w:lang w:val="ro-RO"/>
        </w:rPr>
      </w:pPr>
    </w:p>
    <w:p w14:paraId="78FA9F3A" w14:textId="77777777" w:rsidR="003236D5" w:rsidRPr="00B20FBD" w:rsidRDefault="003236D5" w:rsidP="00521CCF">
      <w:pPr>
        <w:spacing w:after="0"/>
        <w:jc w:val="center"/>
        <w:rPr>
          <w:rFonts w:asciiTheme="majorHAnsi" w:hAnsiTheme="majorHAnsi" w:cstheme="majorHAnsi"/>
          <w:i/>
          <w:sz w:val="24"/>
          <w:szCs w:val="24"/>
          <w:lang w:val="ro-RO"/>
        </w:rPr>
      </w:pPr>
    </w:p>
    <w:p w14:paraId="41BB5C4C" w14:textId="77777777" w:rsidR="007872E7" w:rsidRPr="00B20FBD" w:rsidRDefault="007872E7" w:rsidP="00521CCF">
      <w:pPr>
        <w:tabs>
          <w:tab w:val="left" w:pos="720"/>
        </w:tabs>
        <w:spacing w:after="0"/>
        <w:jc w:val="right"/>
        <w:rPr>
          <w:rFonts w:asciiTheme="majorHAnsi" w:eastAsia="Times New Roman" w:hAnsiTheme="majorHAnsi" w:cstheme="majorHAnsi"/>
          <w:b/>
          <w:bCs/>
          <w:sz w:val="24"/>
          <w:szCs w:val="24"/>
          <w:lang w:val="ro-RO"/>
        </w:rPr>
      </w:pPr>
    </w:p>
    <w:p w14:paraId="4BD09C8F" w14:textId="77777777" w:rsidR="007872E7" w:rsidRPr="00B20FBD" w:rsidRDefault="007872E7" w:rsidP="00521CCF">
      <w:pPr>
        <w:tabs>
          <w:tab w:val="left" w:pos="720"/>
        </w:tabs>
        <w:spacing w:after="0"/>
        <w:jc w:val="right"/>
        <w:rPr>
          <w:rFonts w:asciiTheme="majorHAnsi" w:eastAsia="Times New Roman" w:hAnsiTheme="majorHAnsi" w:cstheme="majorHAnsi"/>
          <w:b/>
          <w:bCs/>
          <w:sz w:val="24"/>
          <w:szCs w:val="24"/>
          <w:lang w:val="ro-RO"/>
        </w:rPr>
      </w:pPr>
    </w:p>
    <w:p w14:paraId="550B48DE" w14:textId="77777777" w:rsidR="00B8177D" w:rsidRPr="00251A05" w:rsidRDefault="00B8177D" w:rsidP="00B8177D">
      <w:pPr>
        <w:tabs>
          <w:tab w:val="left" w:pos="720"/>
        </w:tabs>
        <w:spacing w:after="0"/>
        <w:jc w:val="center"/>
        <w:rPr>
          <w:rFonts w:asciiTheme="majorHAnsi" w:eastAsia="Times New Roman" w:hAnsiTheme="majorHAnsi" w:cstheme="majorHAnsi"/>
          <w:b/>
          <w:bCs/>
          <w:sz w:val="28"/>
          <w:szCs w:val="28"/>
          <w:lang w:val="ru-MD"/>
        </w:rPr>
      </w:pPr>
      <w:r w:rsidRPr="00251A05">
        <w:rPr>
          <w:rFonts w:asciiTheme="majorHAnsi" w:eastAsia="Times New Roman" w:hAnsiTheme="majorHAnsi" w:cstheme="majorHAnsi"/>
          <w:b/>
          <w:bCs/>
          <w:sz w:val="28"/>
          <w:szCs w:val="28"/>
          <w:lang w:val="ru-MD"/>
        </w:rPr>
        <w:t xml:space="preserve">ОТЧЕТ </w:t>
      </w:r>
    </w:p>
    <w:p w14:paraId="2C257FF9" w14:textId="633F6DA7" w:rsidR="00467EAC" w:rsidRPr="00251A05" w:rsidRDefault="00B8177D" w:rsidP="00467EAC">
      <w:pPr>
        <w:tabs>
          <w:tab w:val="left" w:pos="450"/>
          <w:tab w:val="left" w:pos="720"/>
        </w:tabs>
        <w:spacing w:after="0"/>
        <w:ind w:right="9"/>
        <w:jc w:val="center"/>
        <w:rPr>
          <w:rFonts w:asciiTheme="majorHAnsi" w:eastAsia="Times New Roman" w:hAnsiTheme="majorHAnsi" w:cstheme="majorHAnsi"/>
          <w:b/>
          <w:bCs/>
          <w:sz w:val="28"/>
          <w:szCs w:val="28"/>
          <w:lang w:val="ru-MD"/>
        </w:rPr>
      </w:pPr>
      <w:r w:rsidRPr="00251A05">
        <w:rPr>
          <w:rFonts w:asciiTheme="majorHAnsi" w:hAnsiTheme="majorHAnsi"/>
          <w:b/>
          <w:sz w:val="28"/>
          <w:szCs w:val="28"/>
          <w:lang w:val="ru-MD"/>
        </w:rPr>
        <w:t xml:space="preserve">аудита соответствия администрирования доходов государственного бюджета Таможенной службой за  </w:t>
      </w:r>
      <w:r w:rsidR="00D9187F" w:rsidRPr="00251A05">
        <w:rPr>
          <w:rFonts w:asciiTheme="majorHAnsi" w:eastAsia="Times New Roman" w:hAnsiTheme="majorHAnsi" w:cstheme="majorHAnsi"/>
          <w:b/>
          <w:bCs/>
          <w:sz w:val="28"/>
          <w:szCs w:val="28"/>
          <w:lang w:val="ru-MD"/>
        </w:rPr>
        <w:t>2020-2021</w:t>
      </w:r>
      <w:r w:rsidRPr="00251A05">
        <w:rPr>
          <w:rFonts w:asciiTheme="majorHAnsi" w:eastAsia="Times New Roman" w:hAnsiTheme="majorHAnsi" w:cstheme="majorHAnsi"/>
          <w:b/>
          <w:bCs/>
          <w:sz w:val="28"/>
          <w:szCs w:val="28"/>
          <w:lang w:val="ru-MD"/>
        </w:rPr>
        <w:t xml:space="preserve"> годы</w:t>
      </w:r>
    </w:p>
    <w:p w14:paraId="35AB371E" w14:textId="77777777" w:rsidR="007872E7" w:rsidRPr="00B20FBD" w:rsidRDefault="007872E7" w:rsidP="00521CCF">
      <w:pPr>
        <w:tabs>
          <w:tab w:val="left" w:pos="720"/>
        </w:tabs>
        <w:spacing w:after="0"/>
        <w:jc w:val="right"/>
        <w:rPr>
          <w:rFonts w:asciiTheme="majorHAnsi" w:eastAsia="Times New Roman" w:hAnsiTheme="majorHAnsi" w:cstheme="majorHAnsi"/>
          <w:b/>
          <w:bCs/>
          <w:sz w:val="28"/>
          <w:szCs w:val="28"/>
          <w:lang w:val="ro-RO"/>
        </w:rPr>
      </w:pPr>
    </w:p>
    <w:p w14:paraId="046E5491" w14:textId="77777777" w:rsidR="007872E7" w:rsidRPr="00B20FBD" w:rsidRDefault="007872E7" w:rsidP="00521CCF">
      <w:pPr>
        <w:tabs>
          <w:tab w:val="left" w:pos="720"/>
        </w:tabs>
        <w:spacing w:after="0"/>
        <w:jc w:val="right"/>
        <w:rPr>
          <w:rFonts w:asciiTheme="majorHAnsi" w:eastAsia="Times New Roman" w:hAnsiTheme="majorHAnsi" w:cstheme="majorHAnsi"/>
          <w:b/>
          <w:bCs/>
          <w:sz w:val="24"/>
          <w:szCs w:val="24"/>
          <w:lang w:val="ro-RO"/>
        </w:rPr>
      </w:pPr>
    </w:p>
    <w:p w14:paraId="17AEE9EA" w14:textId="77777777" w:rsidR="006A511B" w:rsidRPr="00B20FBD" w:rsidRDefault="006A511B" w:rsidP="00521CCF">
      <w:pPr>
        <w:spacing w:after="0"/>
        <w:jc w:val="center"/>
        <w:rPr>
          <w:rFonts w:asciiTheme="majorHAnsi" w:hAnsiTheme="majorHAnsi" w:cstheme="majorHAnsi"/>
          <w:b/>
          <w:sz w:val="24"/>
          <w:szCs w:val="24"/>
          <w:lang w:val="ro-RO"/>
        </w:rPr>
      </w:pPr>
    </w:p>
    <w:p w14:paraId="2C506211" w14:textId="77777777" w:rsidR="006A511B" w:rsidRPr="00B20FBD" w:rsidRDefault="00777BF5" w:rsidP="00521CCF">
      <w:pPr>
        <w:spacing w:after="0"/>
        <w:jc w:val="center"/>
        <w:rPr>
          <w:rFonts w:asciiTheme="majorHAnsi" w:hAnsiTheme="majorHAnsi" w:cstheme="majorHAnsi"/>
          <w:b/>
          <w:sz w:val="24"/>
          <w:szCs w:val="24"/>
          <w:lang w:val="ro-RO"/>
        </w:rPr>
      </w:pPr>
      <w:r w:rsidRPr="00B20FBD">
        <w:rPr>
          <w:rFonts w:asciiTheme="majorHAnsi" w:eastAsia="Times New Roman" w:hAnsiTheme="majorHAnsi" w:cstheme="majorHAnsi"/>
          <w:noProof/>
          <w:color w:val="333333"/>
          <w:sz w:val="21"/>
          <w:szCs w:val="21"/>
          <w:lang w:val="en-US"/>
        </w:rPr>
        <w:drawing>
          <wp:inline distT="0" distB="0" distL="0" distR="0" wp14:anchorId="7267DC4C" wp14:editId="157B4F24">
            <wp:extent cx="3962400" cy="2249805"/>
            <wp:effectExtent l="0" t="0" r="0" b="0"/>
            <wp:docPr id="5" name="Рисунок 5" descr="https://cdn.digita.media/unimedia/media/2021-11-15/criza-1636962635-s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digita.media/unimedia/media/2021-11-15/criza-1636962635-sf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99009" cy="2270591"/>
                    </a:xfrm>
                    <a:prstGeom prst="rect">
                      <a:avLst/>
                    </a:prstGeom>
                    <a:noFill/>
                    <a:ln>
                      <a:noFill/>
                    </a:ln>
                  </pic:spPr>
                </pic:pic>
              </a:graphicData>
            </a:graphic>
          </wp:inline>
        </w:drawing>
      </w:r>
    </w:p>
    <w:p w14:paraId="22CEF886" w14:textId="77777777" w:rsidR="006A511B" w:rsidRPr="00B20FBD" w:rsidRDefault="006A511B" w:rsidP="00521CCF">
      <w:pPr>
        <w:spacing w:after="0"/>
        <w:jc w:val="center"/>
        <w:rPr>
          <w:rFonts w:asciiTheme="majorHAnsi" w:hAnsiTheme="majorHAnsi" w:cstheme="majorHAnsi"/>
          <w:b/>
          <w:sz w:val="24"/>
          <w:szCs w:val="24"/>
          <w:lang w:val="ro-RO"/>
        </w:rPr>
      </w:pPr>
    </w:p>
    <w:p w14:paraId="00D926F4" w14:textId="2C8002D3" w:rsidR="00F44512" w:rsidRPr="00D371C0" w:rsidRDefault="000738B1" w:rsidP="003C3424">
      <w:pPr>
        <w:keepNext/>
        <w:keepLines/>
        <w:tabs>
          <w:tab w:val="left" w:pos="1344"/>
          <w:tab w:val="center" w:pos="5083"/>
        </w:tabs>
        <w:spacing w:before="240" w:after="0" w:line="259" w:lineRule="auto"/>
        <w:jc w:val="center"/>
        <w:rPr>
          <w:rFonts w:asciiTheme="majorHAnsi" w:eastAsiaTheme="minorEastAsia" w:hAnsiTheme="majorHAnsi" w:cstheme="majorHAnsi"/>
          <w:b/>
          <w:noProof/>
          <w:sz w:val="28"/>
          <w:szCs w:val="28"/>
          <w:lang w:val="ro-RO"/>
        </w:rPr>
      </w:pPr>
      <w:r>
        <w:rPr>
          <w:rFonts w:asciiTheme="majorHAnsi" w:eastAsiaTheme="minorEastAsia" w:hAnsiTheme="majorHAnsi" w:cstheme="majorHAnsi"/>
          <w:b/>
          <w:noProof/>
          <w:sz w:val="28"/>
          <w:szCs w:val="28"/>
        </w:rPr>
        <w:lastRenderedPageBreak/>
        <w:t>СОДЕРЖАНИЕ</w:t>
      </w:r>
      <w:r w:rsidR="00FA69C7" w:rsidRPr="00D371C0">
        <w:rPr>
          <w:rFonts w:asciiTheme="majorHAnsi" w:eastAsiaTheme="minorEastAsia" w:hAnsiTheme="majorHAnsi" w:cstheme="majorHAnsi"/>
          <w:b/>
          <w:noProof/>
          <w:sz w:val="28"/>
          <w:szCs w:val="28"/>
          <w:lang w:val="ro-RO"/>
        </w:rPr>
        <w:t xml:space="preserve"> </w:t>
      </w:r>
    </w:p>
    <w:sdt>
      <w:sdtPr>
        <w:rPr>
          <w:rFonts w:ascii="Calibri Light" w:eastAsiaTheme="minorEastAsia" w:hAnsi="Calibri Light" w:cs="Calibri Light"/>
          <w:noProof/>
          <w:lang w:val="ro-RO"/>
        </w:rPr>
        <w:id w:val="-224536889"/>
        <w:docPartObj>
          <w:docPartGallery w:val="Table of Contents"/>
          <w:docPartUnique/>
        </w:docPartObj>
      </w:sdtPr>
      <w:sdtEndPr>
        <w:rPr>
          <w:rFonts w:asciiTheme="majorHAnsi" w:eastAsiaTheme="minorHAnsi" w:hAnsiTheme="majorHAnsi" w:cstheme="majorHAnsi"/>
        </w:rPr>
      </w:sdtEndPr>
      <w:sdtContent>
        <w:p w14:paraId="25B8077A" w14:textId="77777777" w:rsidR="00F44512" w:rsidRPr="00144318" w:rsidRDefault="00F44512" w:rsidP="00F44512">
          <w:pPr>
            <w:keepNext/>
            <w:keepLines/>
            <w:spacing w:before="240" w:after="0" w:line="259" w:lineRule="auto"/>
            <w:jc w:val="center"/>
            <w:outlineLvl w:val="0"/>
            <w:rPr>
              <w:rFonts w:ascii="Calibri Light" w:eastAsiaTheme="majorEastAsia" w:hAnsi="Calibri Light" w:cs="Calibri Light"/>
              <w:noProof/>
              <w:color w:val="2E74B5" w:themeColor="accent1" w:themeShade="BF"/>
              <w:lang w:val="ro-RO"/>
            </w:rPr>
          </w:pPr>
        </w:p>
        <w:p w14:paraId="0A54E569" w14:textId="5833A645" w:rsidR="00D8466D" w:rsidRPr="00D8466D" w:rsidRDefault="00F44512">
          <w:pPr>
            <w:pStyle w:val="TOC1"/>
            <w:rPr>
              <w:rFonts w:asciiTheme="majorHAnsi" w:eastAsiaTheme="minorEastAsia" w:hAnsiTheme="majorHAnsi" w:cstheme="majorHAnsi"/>
              <w:b w:val="0"/>
              <w:lang w:val="ru-RU" w:eastAsia="ru-RU"/>
            </w:rPr>
          </w:pPr>
          <w:r w:rsidRPr="00D8466D">
            <w:rPr>
              <w:rFonts w:asciiTheme="majorHAnsi" w:eastAsiaTheme="minorEastAsia" w:hAnsiTheme="majorHAnsi" w:cstheme="majorHAnsi"/>
              <w:lang w:val="ro-RO"/>
            </w:rPr>
            <w:fldChar w:fldCharType="begin"/>
          </w:r>
          <w:r w:rsidRPr="00D8466D">
            <w:rPr>
              <w:rFonts w:asciiTheme="majorHAnsi" w:eastAsiaTheme="minorEastAsia" w:hAnsiTheme="majorHAnsi" w:cstheme="majorHAnsi"/>
              <w:lang w:val="ro-RO"/>
            </w:rPr>
            <w:instrText xml:space="preserve"> TOC \o "1-3" \h \z \u </w:instrText>
          </w:r>
          <w:r w:rsidRPr="00D8466D">
            <w:rPr>
              <w:rFonts w:asciiTheme="majorHAnsi" w:eastAsiaTheme="minorEastAsia" w:hAnsiTheme="majorHAnsi" w:cstheme="majorHAnsi"/>
              <w:lang w:val="ro-RO"/>
            </w:rPr>
            <w:fldChar w:fldCharType="separate"/>
          </w:r>
          <w:hyperlink w:anchor="_Toc127129396" w:history="1">
            <w:r w:rsidR="00D8466D" w:rsidRPr="00D8466D">
              <w:rPr>
                <w:rStyle w:val="Hyperlink"/>
                <w:rFonts w:asciiTheme="majorHAnsi" w:hAnsiTheme="majorHAnsi" w:cstheme="majorHAnsi"/>
              </w:rPr>
              <w:t>I.</w:t>
            </w:r>
            <w:r w:rsidR="00D8466D" w:rsidRPr="00D8466D">
              <w:rPr>
                <w:rFonts w:asciiTheme="majorHAnsi" w:eastAsiaTheme="minorEastAsia" w:hAnsiTheme="majorHAnsi" w:cstheme="majorHAnsi"/>
                <w:b w:val="0"/>
                <w:lang w:val="ru-RU" w:eastAsia="ru-RU"/>
              </w:rPr>
              <w:tab/>
            </w:r>
            <w:r w:rsidR="00D8466D" w:rsidRPr="00D8466D">
              <w:rPr>
                <w:rStyle w:val="Hyperlink"/>
                <w:rFonts w:asciiTheme="majorHAnsi" w:hAnsiTheme="majorHAnsi" w:cstheme="majorHAnsi"/>
                <w:lang w:val="ru-RU"/>
              </w:rPr>
              <w:t>СИНТЕЗ</w:t>
            </w:r>
            <w:r w:rsidR="00D8466D" w:rsidRPr="00D8466D">
              <w:rPr>
                <w:rFonts w:asciiTheme="majorHAnsi" w:hAnsiTheme="majorHAnsi" w:cstheme="majorHAnsi"/>
                <w:webHidden/>
              </w:rPr>
              <w:tab/>
            </w:r>
            <w:r w:rsidR="00D8466D" w:rsidRPr="00D8466D">
              <w:rPr>
                <w:rFonts w:asciiTheme="majorHAnsi" w:hAnsiTheme="majorHAnsi" w:cstheme="majorHAnsi"/>
                <w:webHidden/>
              </w:rPr>
              <w:fldChar w:fldCharType="begin"/>
            </w:r>
            <w:r w:rsidR="00D8466D" w:rsidRPr="00D8466D">
              <w:rPr>
                <w:rFonts w:asciiTheme="majorHAnsi" w:hAnsiTheme="majorHAnsi" w:cstheme="majorHAnsi"/>
                <w:webHidden/>
              </w:rPr>
              <w:instrText xml:space="preserve"> PAGEREF _Toc127129396 \h </w:instrText>
            </w:r>
            <w:r w:rsidR="00D8466D" w:rsidRPr="00D8466D">
              <w:rPr>
                <w:rFonts w:asciiTheme="majorHAnsi" w:hAnsiTheme="majorHAnsi" w:cstheme="majorHAnsi"/>
                <w:webHidden/>
              </w:rPr>
            </w:r>
            <w:r w:rsidR="00D8466D" w:rsidRPr="00D8466D">
              <w:rPr>
                <w:rFonts w:asciiTheme="majorHAnsi" w:hAnsiTheme="majorHAnsi" w:cstheme="majorHAnsi"/>
                <w:webHidden/>
              </w:rPr>
              <w:fldChar w:fldCharType="separate"/>
            </w:r>
            <w:r w:rsidR="00D8466D" w:rsidRPr="00D8466D">
              <w:rPr>
                <w:rFonts w:asciiTheme="majorHAnsi" w:hAnsiTheme="majorHAnsi" w:cstheme="majorHAnsi"/>
                <w:webHidden/>
              </w:rPr>
              <w:t>6</w:t>
            </w:r>
            <w:r w:rsidR="00D8466D" w:rsidRPr="00D8466D">
              <w:rPr>
                <w:rFonts w:asciiTheme="majorHAnsi" w:hAnsiTheme="majorHAnsi" w:cstheme="majorHAnsi"/>
                <w:webHidden/>
              </w:rPr>
              <w:fldChar w:fldCharType="end"/>
            </w:r>
          </w:hyperlink>
        </w:p>
        <w:p w14:paraId="75F1A124" w14:textId="46979F55" w:rsidR="00D8466D" w:rsidRPr="00D8466D" w:rsidRDefault="00531D5D">
          <w:pPr>
            <w:pStyle w:val="TOC1"/>
            <w:rPr>
              <w:rFonts w:asciiTheme="majorHAnsi" w:eastAsiaTheme="minorEastAsia" w:hAnsiTheme="majorHAnsi" w:cstheme="majorHAnsi"/>
              <w:b w:val="0"/>
              <w:lang w:val="ru-RU" w:eastAsia="ru-RU"/>
            </w:rPr>
          </w:pPr>
          <w:hyperlink w:anchor="_Toc127129397" w:history="1">
            <w:r w:rsidR="00D8466D" w:rsidRPr="00D8466D">
              <w:rPr>
                <w:rStyle w:val="Hyperlink"/>
                <w:rFonts w:asciiTheme="majorHAnsi" w:hAnsiTheme="majorHAnsi" w:cstheme="majorHAnsi"/>
              </w:rPr>
              <w:t>II.</w:t>
            </w:r>
            <w:r w:rsidR="00D8466D" w:rsidRPr="00D8466D">
              <w:rPr>
                <w:rFonts w:asciiTheme="majorHAnsi" w:eastAsiaTheme="minorEastAsia" w:hAnsiTheme="majorHAnsi" w:cstheme="majorHAnsi"/>
                <w:b w:val="0"/>
                <w:lang w:val="ru-RU" w:eastAsia="ru-RU"/>
              </w:rPr>
              <w:tab/>
            </w:r>
            <w:r w:rsidR="00D8466D" w:rsidRPr="00D8466D">
              <w:rPr>
                <w:rStyle w:val="Hyperlink"/>
                <w:rFonts w:asciiTheme="majorHAnsi" w:hAnsiTheme="majorHAnsi" w:cstheme="majorHAnsi"/>
              </w:rPr>
              <w:t>ОБЩЕЕ ПРЕДСТАВЛЕНИЕ</w:t>
            </w:r>
            <w:r w:rsidR="00D8466D" w:rsidRPr="00D8466D">
              <w:rPr>
                <w:rFonts w:asciiTheme="majorHAnsi" w:hAnsiTheme="majorHAnsi" w:cstheme="majorHAnsi"/>
                <w:webHidden/>
              </w:rPr>
              <w:tab/>
            </w:r>
            <w:r w:rsidR="00D8466D" w:rsidRPr="00D8466D">
              <w:rPr>
                <w:rFonts w:asciiTheme="majorHAnsi" w:hAnsiTheme="majorHAnsi" w:cstheme="majorHAnsi"/>
                <w:webHidden/>
              </w:rPr>
              <w:fldChar w:fldCharType="begin"/>
            </w:r>
            <w:r w:rsidR="00D8466D" w:rsidRPr="00D8466D">
              <w:rPr>
                <w:rFonts w:asciiTheme="majorHAnsi" w:hAnsiTheme="majorHAnsi" w:cstheme="majorHAnsi"/>
                <w:webHidden/>
              </w:rPr>
              <w:instrText xml:space="preserve"> PAGEREF _Toc127129397 \h </w:instrText>
            </w:r>
            <w:r w:rsidR="00D8466D" w:rsidRPr="00D8466D">
              <w:rPr>
                <w:rFonts w:asciiTheme="majorHAnsi" w:hAnsiTheme="majorHAnsi" w:cstheme="majorHAnsi"/>
                <w:webHidden/>
              </w:rPr>
            </w:r>
            <w:r w:rsidR="00D8466D" w:rsidRPr="00D8466D">
              <w:rPr>
                <w:rFonts w:asciiTheme="majorHAnsi" w:hAnsiTheme="majorHAnsi" w:cstheme="majorHAnsi"/>
                <w:webHidden/>
              </w:rPr>
              <w:fldChar w:fldCharType="separate"/>
            </w:r>
            <w:r w:rsidR="00D8466D" w:rsidRPr="00D8466D">
              <w:rPr>
                <w:rFonts w:asciiTheme="majorHAnsi" w:hAnsiTheme="majorHAnsi" w:cstheme="majorHAnsi"/>
                <w:webHidden/>
              </w:rPr>
              <w:t>10</w:t>
            </w:r>
            <w:r w:rsidR="00D8466D" w:rsidRPr="00D8466D">
              <w:rPr>
                <w:rFonts w:asciiTheme="majorHAnsi" w:hAnsiTheme="majorHAnsi" w:cstheme="majorHAnsi"/>
                <w:webHidden/>
              </w:rPr>
              <w:fldChar w:fldCharType="end"/>
            </w:r>
          </w:hyperlink>
        </w:p>
        <w:p w14:paraId="51BFE487" w14:textId="1D8BEBE9" w:rsidR="00D8466D" w:rsidRPr="00D8466D" w:rsidRDefault="00531D5D">
          <w:pPr>
            <w:pStyle w:val="TOC1"/>
            <w:rPr>
              <w:rFonts w:asciiTheme="majorHAnsi" w:eastAsiaTheme="minorEastAsia" w:hAnsiTheme="majorHAnsi" w:cstheme="majorHAnsi"/>
              <w:b w:val="0"/>
              <w:lang w:val="ru-RU" w:eastAsia="ru-RU"/>
            </w:rPr>
          </w:pPr>
          <w:hyperlink w:anchor="_Toc127129398" w:history="1">
            <w:r w:rsidR="00D8466D" w:rsidRPr="00D8466D">
              <w:rPr>
                <w:rStyle w:val="Hyperlink"/>
                <w:rFonts w:asciiTheme="majorHAnsi" w:hAnsiTheme="majorHAnsi" w:cstheme="majorHAnsi"/>
                <w:lang w:val="ro-RO"/>
              </w:rPr>
              <w:t>III.</w:t>
            </w:r>
            <w:r w:rsidR="00D8466D" w:rsidRPr="00D8466D">
              <w:rPr>
                <w:rFonts w:asciiTheme="majorHAnsi" w:eastAsiaTheme="minorEastAsia" w:hAnsiTheme="majorHAnsi" w:cstheme="majorHAnsi"/>
                <w:b w:val="0"/>
                <w:lang w:val="ru-RU" w:eastAsia="ru-RU"/>
              </w:rPr>
              <w:tab/>
            </w:r>
            <w:r w:rsidR="00D8466D" w:rsidRPr="00D8466D">
              <w:rPr>
                <w:rStyle w:val="Hyperlink"/>
                <w:rFonts w:asciiTheme="majorHAnsi" w:hAnsiTheme="majorHAnsi" w:cstheme="majorHAnsi"/>
              </w:rPr>
              <w:t>СФЕРА И ПОДХОД К АУДИТУ</w:t>
            </w:r>
            <w:r w:rsidR="00D8466D" w:rsidRPr="00D8466D">
              <w:rPr>
                <w:rFonts w:asciiTheme="majorHAnsi" w:hAnsiTheme="majorHAnsi" w:cstheme="majorHAnsi"/>
                <w:webHidden/>
              </w:rPr>
              <w:tab/>
            </w:r>
            <w:r w:rsidR="00D8466D" w:rsidRPr="00D8466D">
              <w:rPr>
                <w:rFonts w:asciiTheme="majorHAnsi" w:hAnsiTheme="majorHAnsi" w:cstheme="majorHAnsi"/>
                <w:webHidden/>
              </w:rPr>
              <w:fldChar w:fldCharType="begin"/>
            </w:r>
            <w:r w:rsidR="00D8466D" w:rsidRPr="00D8466D">
              <w:rPr>
                <w:rFonts w:asciiTheme="majorHAnsi" w:hAnsiTheme="majorHAnsi" w:cstheme="majorHAnsi"/>
                <w:webHidden/>
              </w:rPr>
              <w:instrText xml:space="preserve"> PAGEREF _Toc127129398 \h </w:instrText>
            </w:r>
            <w:r w:rsidR="00D8466D" w:rsidRPr="00D8466D">
              <w:rPr>
                <w:rFonts w:asciiTheme="majorHAnsi" w:hAnsiTheme="majorHAnsi" w:cstheme="majorHAnsi"/>
                <w:webHidden/>
              </w:rPr>
            </w:r>
            <w:r w:rsidR="00D8466D" w:rsidRPr="00D8466D">
              <w:rPr>
                <w:rFonts w:asciiTheme="majorHAnsi" w:hAnsiTheme="majorHAnsi" w:cstheme="majorHAnsi"/>
                <w:webHidden/>
              </w:rPr>
              <w:fldChar w:fldCharType="separate"/>
            </w:r>
            <w:r w:rsidR="00D8466D" w:rsidRPr="00D8466D">
              <w:rPr>
                <w:rFonts w:asciiTheme="majorHAnsi" w:hAnsiTheme="majorHAnsi" w:cstheme="majorHAnsi"/>
                <w:webHidden/>
              </w:rPr>
              <w:t>11</w:t>
            </w:r>
            <w:r w:rsidR="00D8466D" w:rsidRPr="00D8466D">
              <w:rPr>
                <w:rFonts w:asciiTheme="majorHAnsi" w:hAnsiTheme="majorHAnsi" w:cstheme="majorHAnsi"/>
                <w:webHidden/>
              </w:rPr>
              <w:fldChar w:fldCharType="end"/>
            </w:r>
          </w:hyperlink>
        </w:p>
        <w:p w14:paraId="49AEF206" w14:textId="675D9363" w:rsidR="00D8466D" w:rsidRPr="00D8466D" w:rsidRDefault="00531D5D">
          <w:pPr>
            <w:pStyle w:val="TOC1"/>
            <w:rPr>
              <w:rFonts w:asciiTheme="majorHAnsi" w:eastAsiaTheme="minorEastAsia" w:hAnsiTheme="majorHAnsi" w:cstheme="majorHAnsi"/>
              <w:b w:val="0"/>
              <w:lang w:val="ru-RU" w:eastAsia="ru-RU"/>
            </w:rPr>
          </w:pPr>
          <w:hyperlink w:anchor="_Toc127129399" w:history="1">
            <w:r w:rsidR="00D8466D" w:rsidRPr="00D8466D">
              <w:rPr>
                <w:rStyle w:val="Hyperlink"/>
                <w:rFonts w:asciiTheme="majorHAnsi" w:hAnsiTheme="majorHAnsi" w:cstheme="majorHAnsi"/>
                <w:lang w:eastAsia="ru-RU"/>
              </w:rPr>
              <w:t>IV.</w:t>
            </w:r>
            <w:r w:rsidR="00D8466D" w:rsidRPr="00D8466D">
              <w:rPr>
                <w:rFonts w:asciiTheme="majorHAnsi" w:eastAsiaTheme="minorEastAsia" w:hAnsiTheme="majorHAnsi" w:cstheme="majorHAnsi"/>
                <w:b w:val="0"/>
                <w:lang w:val="ru-RU" w:eastAsia="ru-RU"/>
              </w:rPr>
              <w:tab/>
            </w:r>
            <w:r w:rsidR="00D8466D" w:rsidRPr="00D8466D">
              <w:rPr>
                <w:rStyle w:val="Hyperlink"/>
                <w:rFonts w:asciiTheme="majorHAnsi" w:hAnsiTheme="majorHAnsi" w:cstheme="majorHAnsi"/>
                <w:lang w:val="ru-RU" w:eastAsia="ru-RU"/>
              </w:rPr>
              <w:t>КОНСТАТАЦИИ</w:t>
            </w:r>
            <w:r w:rsidR="00D8466D" w:rsidRPr="00D8466D">
              <w:rPr>
                <w:rFonts w:asciiTheme="majorHAnsi" w:hAnsiTheme="majorHAnsi" w:cstheme="majorHAnsi"/>
                <w:webHidden/>
              </w:rPr>
              <w:tab/>
            </w:r>
            <w:r w:rsidR="00D8466D" w:rsidRPr="00D8466D">
              <w:rPr>
                <w:rFonts w:asciiTheme="majorHAnsi" w:hAnsiTheme="majorHAnsi" w:cstheme="majorHAnsi"/>
                <w:webHidden/>
              </w:rPr>
              <w:fldChar w:fldCharType="begin"/>
            </w:r>
            <w:r w:rsidR="00D8466D" w:rsidRPr="00D8466D">
              <w:rPr>
                <w:rFonts w:asciiTheme="majorHAnsi" w:hAnsiTheme="majorHAnsi" w:cstheme="majorHAnsi"/>
                <w:webHidden/>
              </w:rPr>
              <w:instrText xml:space="preserve"> PAGEREF _Toc127129399 \h </w:instrText>
            </w:r>
            <w:r w:rsidR="00D8466D" w:rsidRPr="00D8466D">
              <w:rPr>
                <w:rFonts w:asciiTheme="majorHAnsi" w:hAnsiTheme="majorHAnsi" w:cstheme="majorHAnsi"/>
                <w:webHidden/>
              </w:rPr>
            </w:r>
            <w:r w:rsidR="00D8466D" w:rsidRPr="00D8466D">
              <w:rPr>
                <w:rFonts w:asciiTheme="majorHAnsi" w:hAnsiTheme="majorHAnsi" w:cstheme="majorHAnsi"/>
                <w:webHidden/>
              </w:rPr>
              <w:fldChar w:fldCharType="separate"/>
            </w:r>
            <w:r w:rsidR="00D8466D" w:rsidRPr="00D8466D">
              <w:rPr>
                <w:rFonts w:asciiTheme="majorHAnsi" w:hAnsiTheme="majorHAnsi" w:cstheme="majorHAnsi"/>
                <w:webHidden/>
              </w:rPr>
              <w:t>12</w:t>
            </w:r>
            <w:r w:rsidR="00D8466D" w:rsidRPr="00D8466D">
              <w:rPr>
                <w:rFonts w:asciiTheme="majorHAnsi" w:hAnsiTheme="majorHAnsi" w:cstheme="majorHAnsi"/>
                <w:webHidden/>
              </w:rPr>
              <w:fldChar w:fldCharType="end"/>
            </w:r>
          </w:hyperlink>
        </w:p>
        <w:p w14:paraId="5787A7FF" w14:textId="79078B17" w:rsidR="00D8466D" w:rsidRPr="00D8466D" w:rsidRDefault="00531D5D">
          <w:pPr>
            <w:pStyle w:val="TOC2"/>
            <w:rPr>
              <w:rFonts w:asciiTheme="majorHAnsi" w:eastAsiaTheme="minorEastAsia" w:hAnsiTheme="majorHAnsi" w:cstheme="majorHAnsi"/>
              <w:noProof/>
              <w:lang w:eastAsia="ru-RU"/>
            </w:rPr>
          </w:pPr>
          <w:hyperlink w:anchor="_Toc127129400" w:history="1">
            <w:r w:rsidR="00D8466D" w:rsidRPr="00D8466D">
              <w:rPr>
                <w:rStyle w:val="Hyperlink"/>
                <w:rFonts w:asciiTheme="majorHAnsi" w:eastAsia="Times New Roman" w:hAnsiTheme="majorHAnsi" w:cstheme="majorHAnsi"/>
                <w:b/>
                <w:noProof/>
              </w:rPr>
              <w:t>4.1.</w:t>
            </w:r>
            <w:r w:rsidR="00D8466D" w:rsidRPr="00D8466D">
              <w:rPr>
                <w:rFonts w:asciiTheme="majorHAnsi" w:eastAsiaTheme="minorEastAsia" w:hAnsiTheme="majorHAnsi" w:cstheme="majorHAnsi"/>
                <w:noProof/>
                <w:lang w:eastAsia="ru-RU"/>
              </w:rPr>
              <w:tab/>
            </w:r>
            <w:r w:rsidR="00D8466D" w:rsidRPr="00D8466D">
              <w:rPr>
                <w:rStyle w:val="Hyperlink"/>
                <w:rFonts w:asciiTheme="majorHAnsi" w:hAnsiTheme="majorHAnsi" w:cstheme="majorHAnsi"/>
                <w:b/>
                <w:i/>
                <w:noProof/>
                <w:lang w:val="ru-MD"/>
              </w:rPr>
              <w:t xml:space="preserve">Конкретная задача №1. </w:t>
            </w:r>
            <w:r w:rsidR="00D8466D" w:rsidRPr="00D8466D">
              <w:rPr>
                <w:rStyle w:val="Hyperlink"/>
                <w:rFonts w:asciiTheme="majorHAnsi" w:hAnsiTheme="majorHAnsi" w:cstheme="majorHAnsi"/>
                <w:b/>
                <w:noProof/>
                <w:lang w:val="ru-MD"/>
              </w:rPr>
              <w:t>Обеспечила ли Таможенная служба надлежащее планирование, исполнение и отчетность доходов государственного бюджета, в соответствии с применяемыми процедурными/методологическими нормами</w:t>
            </w:r>
            <w:r w:rsidR="00D8466D" w:rsidRPr="00D8466D">
              <w:rPr>
                <w:rStyle w:val="Hyperlink"/>
                <w:rFonts w:asciiTheme="majorHAnsi" w:eastAsia="Times New Roman" w:hAnsiTheme="majorHAnsi" w:cstheme="majorHAnsi"/>
                <w:b/>
                <w:noProof/>
                <w:lang w:val="ru-MD"/>
              </w:rPr>
              <w:t>?</w:t>
            </w:r>
            <w:r w:rsidR="00D8466D" w:rsidRPr="00D8466D">
              <w:rPr>
                <w:rFonts w:asciiTheme="majorHAnsi" w:hAnsiTheme="majorHAnsi" w:cstheme="majorHAnsi"/>
                <w:noProof/>
                <w:webHidden/>
              </w:rPr>
              <w:tab/>
            </w:r>
            <w:r w:rsidR="00D8466D" w:rsidRPr="00D8466D">
              <w:rPr>
                <w:rFonts w:asciiTheme="majorHAnsi" w:hAnsiTheme="majorHAnsi" w:cstheme="majorHAnsi"/>
                <w:noProof/>
                <w:webHidden/>
              </w:rPr>
              <w:fldChar w:fldCharType="begin"/>
            </w:r>
            <w:r w:rsidR="00D8466D" w:rsidRPr="00D8466D">
              <w:rPr>
                <w:rFonts w:asciiTheme="majorHAnsi" w:hAnsiTheme="majorHAnsi" w:cstheme="majorHAnsi"/>
                <w:noProof/>
                <w:webHidden/>
              </w:rPr>
              <w:instrText xml:space="preserve"> PAGEREF _Toc127129400 \h </w:instrText>
            </w:r>
            <w:r w:rsidR="00D8466D" w:rsidRPr="00D8466D">
              <w:rPr>
                <w:rFonts w:asciiTheme="majorHAnsi" w:hAnsiTheme="majorHAnsi" w:cstheme="majorHAnsi"/>
                <w:noProof/>
                <w:webHidden/>
              </w:rPr>
            </w:r>
            <w:r w:rsidR="00D8466D" w:rsidRPr="00D8466D">
              <w:rPr>
                <w:rFonts w:asciiTheme="majorHAnsi" w:hAnsiTheme="majorHAnsi" w:cstheme="majorHAnsi"/>
                <w:noProof/>
                <w:webHidden/>
              </w:rPr>
              <w:fldChar w:fldCharType="separate"/>
            </w:r>
            <w:r w:rsidR="00D8466D" w:rsidRPr="00D8466D">
              <w:rPr>
                <w:rFonts w:asciiTheme="majorHAnsi" w:hAnsiTheme="majorHAnsi" w:cstheme="majorHAnsi"/>
                <w:noProof/>
                <w:webHidden/>
              </w:rPr>
              <w:t>12</w:t>
            </w:r>
            <w:r w:rsidR="00D8466D" w:rsidRPr="00D8466D">
              <w:rPr>
                <w:rFonts w:asciiTheme="majorHAnsi" w:hAnsiTheme="majorHAnsi" w:cstheme="majorHAnsi"/>
                <w:noProof/>
                <w:webHidden/>
              </w:rPr>
              <w:fldChar w:fldCharType="end"/>
            </w:r>
          </w:hyperlink>
        </w:p>
        <w:p w14:paraId="0A44B6FC" w14:textId="73D56D9A" w:rsidR="00D8466D" w:rsidRPr="00D8466D" w:rsidRDefault="00531D5D">
          <w:pPr>
            <w:pStyle w:val="TOC3"/>
            <w:rPr>
              <w:rFonts w:asciiTheme="majorHAnsi" w:eastAsiaTheme="minorEastAsia" w:hAnsiTheme="majorHAnsi" w:cstheme="majorHAnsi"/>
              <w:noProof/>
              <w:lang w:eastAsia="ru-RU"/>
            </w:rPr>
          </w:pPr>
          <w:hyperlink w:anchor="_Toc127129401" w:history="1">
            <w:r w:rsidR="00D8466D" w:rsidRPr="00D8466D">
              <w:rPr>
                <w:rStyle w:val="Hyperlink"/>
                <w:rFonts w:asciiTheme="majorHAnsi" w:hAnsiTheme="majorHAnsi" w:cstheme="majorHAnsi"/>
                <w:b/>
                <w:noProof/>
                <w:lang w:val="ru-MD" w:eastAsia="ru-RU"/>
              </w:rPr>
              <w:t>4.1.1.</w:t>
            </w:r>
            <w:r w:rsidR="00D8466D" w:rsidRPr="00D8466D">
              <w:rPr>
                <w:rFonts w:asciiTheme="majorHAnsi" w:eastAsiaTheme="minorEastAsia" w:hAnsiTheme="majorHAnsi" w:cstheme="majorHAnsi"/>
                <w:noProof/>
                <w:lang w:eastAsia="ru-RU"/>
              </w:rPr>
              <w:tab/>
            </w:r>
            <w:r w:rsidR="00D8466D" w:rsidRPr="00D8466D">
              <w:rPr>
                <w:rStyle w:val="Hyperlink"/>
                <w:rFonts w:asciiTheme="majorHAnsi" w:hAnsiTheme="majorHAnsi" w:cstheme="majorHAnsi"/>
                <w:b/>
                <w:noProof/>
                <w:lang w:val="ru-MD"/>
              </w:rPr>
              <w:t>Бюджетное планирование доходов, администрируемых ТС, регистрирует некоторые резервы.</w:t>
            </w:r>
            <w:r w:rsidR="00D8466D" w:rsidRPr="00D8466D">
              <w:rPr>
                <w:rFonts w:asciiTheme="majorHAnsi" w:hAnsiTheme="majorHAnsi" w:cstheme="majorHAnsi"/>
                <w:noProof/>
                <w:webHidden/>
              </w:rPr>
              <w:tab/>
            </w:r>
            <w:r w:rsidR="00D8466D" w:rsidRPr="00D8466D">
              <w:rPr>
                <w:rFonts w:asciiTheme="majorHAnsi" w:hAnsiTheme="majorHAnsi" w:cstheme="majorHAnsi"/>
                <w:noProof/>
                <w:webHidden/>
              </w:rPr>
              <w:fldChar w:fldCharType="begin"/>
            </w:r>
            <w:r w:rsidR="00D8466D" w:rsidRPr="00D8466D">
              <w:rPr>
                <w:rFonts w:asciiTheme="majorHAnsi" w:hAnsiTheme="majorHAnsi" w:cstheme="majorHAnsi"/>
                <w:noProof/>
                <w:webHidden/>
              </w:rPr>
              <w:instrText xml:space="preserve"> PAGEREF _Toc127129401 \h </w:instrText>
            </w:r>
            <w:r w:rsidR="00D8466D" w:rsidRPr="00D8466D">
              <w:rPr>
                <w:rFonts w:asciiTheme="majorHAnsi" w:hAnsiTheme="majorHAnsi" w:cstheme="majorHAnsi"/>
                <w:noProof/>
                <w:webHidden/>
              </w:rPr>
            </w:r>
            <w:r w:rsidR="00D8466D" w:rsidRPr="00D8466D">
              <w:rPr>
                <w:rFonts w:asciiTheme="majorHAnsi" w:hAnsiTheme="majorHAnsi" w:cstheme="majorHAnsi"/>
                <w:noProof/>
                <w:webHidden/>
              </w:rPr>
              <w:fldChar w:fldCharType="separate"/>
            </w:r>
            <w:r w:rsidR="00D8466D" w:rsidRPr="00D8466D">
              <w:rPr>
                <w:rFonts w:asciiTheme="majorHAnsi" w:hAnsiTheme="majorHAnsi" w:cstheme="majorHAnsi"/>
                <w:noProof/>
                <w:webHidden/>
              </w:rPr>
              <w:t>12</w:t>
            </w:r>
            <w:r w:rsidR="00D8466D" w:rsidRPr="00D8466D">
              <w:rPr>
                <w:rFonts w:asciiTheme="majorHAnsi" w:hAnsiTheme="majorHAnsi" w:cstheme="majorHAnsi"/>
                <w:noProof/>
                <w:webHidden/>
              </w:rPr>
              <w:fldChar w:fldCharType="end"/>
            </w:r>
          </w:hyperlink>
        </w:p>
        <w:p w14:paraId="092C90C1" w14:textId="14398F6B" w:rsidR="00D8466D" w:rsidRPr="00D8466D" w:rsidRDefault="00531D5D">
          <w:pPr>
            <w:pStyle w:val="TOC3"/>
            <w:rPr>
              <w:rFonts w:asciiTheme="majorHAnsi" w:eastAsiaTheme="minorEastAsia" w:hAnsiTheme="majorHAnsi" w:cstheme="majorHAnsi"/>
              <w:noProof/>
              <w:lang w:eastAsia="ru-RU"/>
            </w:rPr>
          </w:pPr>
          <w:hyperlink w:anchor="_Toc127129402" w:history="1">
            <w:r w:rsidR="00D8466D" w:rsidRPr="00D8466D">
              <w:rPr>
                <w:rStyle w:val="Hyperlink"/>
                <w:rFonts w:asciiTheme="majorHAnsi" w:hAnsiTheme="majorHAnsi" w:cstheme="majorHAnsi"/>
                <w:b/>
                <w:noProof/>
                <w:lang w:val="ru-MD" w:eastAsia="ru-RU"/>
              </w:rPr>
              <w:t>4.1.2.</w:t>
            </w:r>
            <w:r w:rsidR="00D8466D" w:rsidRPr="00D8466D">
              <w:rPr>
                <w:rFonts w:asciiTheme="majorHAnsi" w:eastAsiaTheme="minorEastAsia" w:hAnsiTheme="majorHAnsi" w:cstheme="majorHAnsi"/>
                <w:noProof/>
                <w:lang w:eastAsia="ru-RU"/>
              </w:rPr>
              <w:tab/>
            </w:r>
            <w:r w:rsidR="00D8466D" w:rsidRPr="00D8466D">
              <w:rPr>
                <w:rStyle w:val="Hyperlink"/>
                <w:rFonts w:asciiTheme="majorHAnsi" w:hAnsiTheme="majorHAnsi" w:cstheme="majorHAnsi"/>
                <w:b/>
                <w:noProof/>
                <w:lang w:val="ru-MD" w:eastAsia="ru-RU"/>
              </w:rPr>
              <w:t>Уточненный контрольный показатель по сбору таможенных доходов в государственный бюджет был реализован, однако тенденции зарегистрировали колебания, обусловленные несколькими факторами.</w:t>
            </w:r>
            <w:r w:rsidR="00D8466D" w:rsidRPr="00D8466D">
              <w:rPr>
                <w:rFonts w:asciiTheme="majorHAnsi" w:hAnsiTheme="majorHAnsi" w:cstheme="majorHAnsi"/>
                <w:noProof/>
                <w:webHidden/>
              </w:rPr>
              <w:tab/>
            </w:r>
            <w:r w:rsidR="00D8466D" w:rsidRPr="00D8466D">
              <w:rPr>
                <w:rFonts w:asciiTheme="majorHAnsi" w:hAnsiTheme="majorHAnsi" w:cstheme="majorHAnsi"/>
                <w:noProof/>
                <w:webHidden/>
              </w:rPr>
              <w:fldChar w:fldCharType="begin"/>
            </w:r>
            <w:r w:rsidR="00D8466D" w:rsidRPr="00D8466D">
              <w:rPr>
                <w:rFonts w:asciiTheme="majorHAnsi" w:hAnsiTheme="majorHAnsi" w:cstheme="majorHAnsi"/>
                <w:noProof/>
                <w:webHidden/>
              </w:rPr>
              <w:instrText xml:space="preserve"> PAGEREF _Toc127129402 \h </w:instrText>
            </w:r>
            <w:r w:rsidR="00D8466D" w:rsidRPr="00D8466D">
              <w:rPr>
                <w:rFonts w:asciiTheme="majorHAnsi" w:hAnsiTheme="majorHAnsi" w:cstheme="majorHAnsi"/>
                <w:noProof/>
                <w:webHidden/>
              </w:rPr>
            </w:r>
            <w:r w:rsidR="00D8466D" w:rsidRPr="00D8466D">
              <w:rPr>
                <w:rFonts w:asciiTheme="majorHAnsi" w:hAnsiTheme="majorHAnsi" w:cstheme="majorHAnsi"/>
                <w:noProof/>
                <w:webHidden/>
              </w:rPr>
              <w:fldChar w:fldCharType="separate"/>
            </w:r>
            <w:r w:rsidR="00D8466D" w:rsidRPr="00D8466D">
              <w:rPr>
                <w:rFonts w:asciiTheme="majorHAnsi" w:hAnsiTheme="majorHAnsi" w:cstheme="majorHAnsi"/>
                <w:noProof/>
                <w:webHidden/>
              </w:rPr>
              <w:t>14</w:t>
            </w:r>
            <w:r w:rsidR="00D8466D" w:rsidRPr="00D8466D">
              <w:rPr>
                <w:rFonts w:asciiTheme="majorHAnsi" w:hAnsiTheme="majorHAnsi" w:cstheme="majorHAnsi"/>
                <w:noProof/>
                <w:webHidden/>
              </w:rPr>
              <w:fldChar w:fldCharType="end"/>
            </w:r>
          </w:hyperlink>
        </w:p>
        <w:p w14:paraId="0DBA003A" w14:textId="710E3A21" w:rsidR="00D8466D" w:rsidRPr="00D8466D" w:rsidRDefault="00531D5D">
          <w:pPr>
            <w:pStyle w:val="TOC2"/>
            <w:tabs>
              <w:tab w:val="left" w:pos="1320"/>
            </w:tabs>
            <w:rPr>
              <w:rFonts w:asciiTheme="majorHAnsi" w:eastAsiaTheme="minorEastAsia" w:hAnsiTheme="majorHAnsi" w:cstheme="majorHAnsi"/>
              <w:noProof/>
              <w:lang w:eastAsia="ru-RU"/>
            </w:rPr>
          </w:pPr>
          <w:hyperlink w:anchor="_Toc127129403" w:history="1">
            <w:r w:rsidR="00D8466D" w:rsidRPr="00D8466D">
              <w:rPr>
                <w:rStyle w:val="Hyperlink"/>
                <w:rFonts w:asciiTheme="majorHAnsi" w:hAnsiTheme="majorHAnsi" w:cstheme="majorHAnsi"/>
                <w:b/>
                <w:noProof/>
                <w:lang w:val="ru-MD"/>
              </w:rPr>
              <w:t>4.1.3.</w:t>
            </w:r>
            <w:r w:rsidR="00D8466D" w:rsidRPr="00D8466D">
              <w:rPr>
                <w:rFonts w:asciiTheme="majorHAnsi" w:eastAsiaTheme="minorEastAsia" w:hAnsiTheme="majorHAnsi" w:cstheme="majorHAnsi"/>
                <w:noProof/>
                <w:lang w:eastAsia="ru-RU"/>
              </w:rPr>
              <w:tab/>
            </w:r>
            <w:r w:rsidR="00D8466D" w:rsidRPr="00D8466D">
              <w:rPr>
                <w:rStyle w:val="Hyperlink"/>
                <w:rFonts w:asciiTheme="majorHAnsi" w:hAnsiTheme="majorHAnsi" w:cstheme="majorHAnsi"/>
                <w:b/>
                <w:noProof/>
                <w:lang w:val="ru-MD"/>
              </w:rPr>
              <w:t>Нормативная база, регулирующая исполнение и отчетность о государственных доходах, администрируемых Таможенной службой, устарела и не соответствует современным требованиям.</w:t>
            </w:r>
            <w:r w:rsidR="00D8466D" w:rsidRPr="00D8466D">
              <w:rPr>
                <w:rFonts w:asciiTheme="majorHAnsi" w:hAnsiTheme="majorHAnsi" w:cstheme="majorHAnsi"/>
                <w:noProof/>
                <w:webHidden/>
              </w:rPr>
              <w:tab/>
            </w:r>
            <w:r w:rsidR="00D8466D" w:rsidRPr="00D8466D">
              <w:rPr>
                <w:rFonts w:asciiTheme="majorHAnsi" w:hAnsiTheme="majorHAnsi" w:cstheme="majorHAnsi"/>
                <w:noProof/>
                <w:webHidden/>
              </w:rPr>
              <w:fldChar w:fldCharType="begin"/>
            </w:r>
            <w:r w:rsidR="00D8466D" w:rsidRPr="00D8466D">
              <w:rPr>
                <w:rFonts w:asciiTheme="majorHAnsi" w:hAnsiTheme="majorHAnsi" w:cstheme="majorHAnsi"/>
                <w:noProof/>
                <w:webHidden/>
              </w:rPr>
              <w:instrText xml:space="preserve"> PAGEREF _Toc127129403 \h </w:instrText>
            </w:r>
            <w:r w:rsidR="00D8466D" w:rsidRPr="00D8466D">
              <w:rPr>
                <w:rFonts w:asciiTheme="majorHAnsi" w:hAnsiTheme="majorHAnsi" w:cstheme="majorHAnsi"/>
                <w:noProof/>
                <w:webHidden/>
              </w:rPr>
            </w:r>
            <w:r w:rsidR="00D8466D" w:rsidRPr="00D8466D">
              <w:rPr>
                <w:rFonts w:asciiTheme="majorHAnsi" w:hAnsiTheme="majorHAnsi" w:cstheme="majorHAnsi"/>
                <w:noProof/>
                <w:webHidden/>
              </w:rPr>
              <w:fldChar w:fldCharType="separate"/>
            </w:r>
            <w:r w:rsidR="00D8466D" w:rsidRPr="00D8466D">
              <w:rPr>
                <w:rFonts w:asciiTheme="majorHAnsi" w:hAnsiTheme="majorHAnsi" w:cstheme="majorHAnsi"/>
                <w:noProof/>
                <w:webHidden/>
              </w:rPr>
              <w:t>17</w:t>
            </w:r>
            <w:r w:rsidR="00D8466D" w:rsidRPr="00D8466D">
              <w:rPr>
                <w:rFonts w:asciiTheme="majorHAnsi" w:hAnsiTheme="majorHAnsi" w:cstheme="majorHAnsi"/>
                <w:noProof/>
                <w:webHidden/>
              </w:rPr>
              <w:fldChar w:fldCharType="end"/>
            </w:r>
          </w:hyperlink>
        </w:p>
        <w:p w14:paraId="33A768D1" w14:textId="7C0A6FBA" w:rsidR="00D8466D" w:rsidRPr="00D8466D" w:rsidRDefault="00531D5D">
          <w:pPr>
            <w:pStyle w:val="TOC3"/>
            <w:rPr>
              <w:rFonts w:asciiTheme="majorHAnsi" w:eastAsiaTheme="minorEastAsia" w:hAnsiTheme="majorHAnsi" w:cstheme="majorHAnsi"/>
              <w:noProof/>
              <w:lang w:eastAsia="ru-RU"/>
            </w:rPr>
          </w:pPr>
          <w:hyperlink w:anchor="_Toc127129404" w:history="1">
            <w:r w:rsidR="00D8466D" w:rsidRPr="00D8466D">
              <w:rPr>
                <w:rStyle w:val="Hyperlink"/>
                <w:rFonts w:asciiTheme="majorHAnsi" w:eastAsia="Times New Roman" w:hAnsiTheme="majorHAnsi" w:cstheme="majorHAnsi"/>
                <w:b/>
                <w:bCs/>
                <w:noProof/>
                <w:lang w:val="ru-MD"/>
              </w:rPr>
              <w:t>4.1.4.</w:t>
            </w:r>
            <w:r w:rsidR="00D8466D" w:rsidRPr="00D8466D">
              <w:rPr>
                <w:rFonts w:asciiTheme="majorHAnsi" w:eastAsiaTheme="minorEastAsia" w:hAnsiTheme="majorHAnsi" w:cstheme="majorHAnsi"/>
                <w:noProof/>
                <w:lang w:eastAsia="ru-RU"/>
              </w:rPr>
              <w:tab/>
            </w:r>
            <w:r w:rsidR="00D8466D" w:rsidRPr="00D8466D">
              <w:rPr>
                <w:rStyle w:val="Hyperlink"/>
                <w:rFonts w:asciiTheme="majorHAnsi" w:hAnsiTheme="majorHAnsi" w:cstheme="majorHAnsi"/>
                <w:b/>
                <w:noProof/>
                <w:lang w:val="ru-MD"/>
              </w:rPr>
              <w:t>Выявленные расхождения между официальными статистическими данными о внешней торговле Республики Молдова, с официальными статистическими данными других государств, указывают на неустановление автоматизированного обмена данными таможенной статистической отчетности/показателей/информации с другими государствами, и на наличие рисков возможного уклонения от уплаты таможенных пошлин и/или мошенничества</w:t>
            </w:r>
            <w:r w:rsidR="00D8466D" w:rsidRPr="00D8466D">
              <w:rPr>
                <w:rStyle w:val="Hyperlink"/>
                <w:rFonts w:asciiTheme="majorHAnsi" w:eastAsia="Times New Roman" w:hAnsiTheme="majorHAnsi" w:cstheme="majorHAnsi"/>
                <w:b/>
                <w:noProof/>
                <w:lang w:val="ru-MD"/>
              </w:rPr>
              <w:t>.</w:t>
            </w:r>
            <w:r w:rsidR="00D8466D" w:rsidRPr="00D8466D">
              <w:rPr>
                <w:rFonts w:asciiTheme="majorHAnsi" w:hAnsiTheme="majorHAnsi" w:cstheme="majorHAnsi"/>
                <w:noProof/>
                <w:webHidden/>
              </w:rPr>
              <w:tab/>
            </w:r>
            <w:r w:rsidR="00D8466D" w:rsidRPr="00D8466D">
              <w:rPr>
                <w:rFonts w:asciiTheme="majorHAnsi" w:hAnsiTheme="majorHAnsi" w:cstheme="majorHAnsi"/>
                <w:noProof/>
                <w:webHidden/>
              </w:rPr>
              <w:fldChar w:fldCharType="begin"/>
            </w:r>
            <w:r w:rsidR="00D8466D" w:rsidRPr="00D8466D">
              <w:rPr>
                <w:rFonts w:asciiTheme="majorHAnsi" w:hAnsiTheme="majorHAnsi" w:cstheme="majorHAnsi"/>
                <w:noProof/>
                <w:webHidden/>
              </w:rPr>
              <w:instrText xml:space="preserve"> PAGEREF _Toc127129404 \h </w:instrText>
            </w:r>
            <w:r w:rsidR="00D8466D" w:rsidRPr="00D8466D">
              <w:rPr>
                <w:rFonts w:asciiTheme="majorHAnsi" w:hAnsiTheme="majorHAnsi" w:cstheme="majorHAnsi"/>
                <w:noProof/>
                <w:webHidden/>
              </w:rPr>
            </w:r>
            <w:r w:rsidR="00D8466D" w:rsidRPr="00D8466D">
              <w:rPr>
                <w:rFonts w:asciiTheme="majorHAnsi" w:hAnsiTheme="majorHAnsi" w:cstheme="majorHAnsi"/>
                <w:noProof/>
                <w:webHidden/>
              </w:rPr>
              <w:fldChar w:fldCharType="separate"/>
            </w:r>
            <w:r w:rsidR="00D8466D" w:rsidRPr="00D8466D">
              <w:rPr>
                <w:rFonts w:asciiTheme="majorHAnsi" w:hAnsiTheme="majorHAnsi" w:cstheme="majorHAnsi"/>
                <w:noProof/>
                <w:webHidden/>
              </w:rPr>
              <w:t>18</w:t>
            </w:r>
            <w:r w:rsidR="00D8466D" w:rsidRPr="00D8466D">
              <w:rPr>
                <w:rFonts w:asciiTheme="majorHAnsi" w:hAnsiTheme="majorHAnsi" w:cstheme="majorHAnsi"/>
                <w:noProof/>
                <w:webHidden/>
              </w:rPr>
              <w:fldChar w:fldCharType="end"/>
            </w:r>
          </w:hyperlink>
        </w:p>
        <w:p w14:paraId="386CF929" w14:textId="3629529A" w:rsidR="00D8466D" w:rsidRPr="00D8466D" w:rsidRDefault="00531D5D">
          <w:pPr>
            <w:pStyle w:val="TOC2"/>
            <w:rPr>
              <w:rFonts w:asciiTheme="majorHAnsi" w:eastAsiaTheme="minorEastAsia" w:hAnsiTheme="majorHAnsi" w:cstheme="majorHAnsi"/>
              <w:noProof/>
              <w:lang w:eastAsia="ru-RU"/>
            </w:rPr>
          </w:pPr>
          <w:hyperlink w:anchor="_Toc127129405" w:history="1">
            <w:r w:rsidR="00D8466D" w:rsidRPr="00D8466D">
              <w:rPr>
                <w:rStyle w:val="Hyperlink"/>
                <w:rFonts w:asciiTheme="majorHAnsi" w:hAnsiTheme="majorHAnsi" w:cstheme="majorHAnsi"/>
                <w:b/>
                <w:noProof/>
              </w:rPr>
              <w:t>4.2.</w:t>
            </w:r>
            <w:r w:rsidR="00D8466D" w:rsidRPr="00D8466D">
              <w:rPr>
                <w:rFonts w:asciiTheme="majorHAnsi" w:eastAsiaTheme="minorEastAsia" w:hAnsiTheme="majorHAnsi" w:cstheme="majorHAnsi"/>
                <w:noProof/>
                <w:lang w:eastAsia="ru-RU"/>
              </w:rPr>
              <w:tab/>
            </w:r>
            <w:r w:rsidR="00D8466D" w:rsidRPr="00D8466D">
              <w:rPr>
                <w:rStyle w:val="Hyperlink"/>
                <w:rFonts w:asciiTheme="majorHAnsi" w:hAnsiTheme="majorHAnsi" w:cstheme="majorHAnsi"/>
                <w:b/>
                <w:i/>
                <w:noProof/>
                <w:lang w:val="ru-MD"/>
              </w:rPr>
              <w:t>Конкретная задача</w:t>
            </w:r>
            <w:r w:rsidR="00D8466D" w:rsidRPr="00D8466D">
              <w:rPr>
                <w:rStyle w:val="Hyperlink"/>
                <w:rFonts w:asciiTheme="majorHAnsi" w:hAnsiTheme="majorHAnsi" w:cstheme="majorHAnsi"/>
                <w:b/>
                <w:i/>
                <w:noProof/>
              </w:rPr>
              <w:t xml:space="preserve"> №2. </w:t>
            </w:r>
            <w:r w:rsidR="00D8466D" w:rsidRPr="00D8466D">
              <w:rPr>
                <w:rStyle w:val="Hyperlink"/>
                <w:rFonts w:asciiTheme="majorHAnsi" w:hAnsiTheme="majorHAnsi" w:cstheme="majorHAnsi"/>
                <w:b/>
                <w:noProof/>
                <w:lang w:val="ru-MD"/>
              </w:rPr>
              <w:t>Обеспечил ли таможенный орган соответствие и полноту поступления в государственный бюджет задолженности по таможенным обязательствам, в том числе путем применения мер по принудительному взысканию</w:t>
            </w:r>
            <w:r w:rsidR="00D8466D" w:rsidRPr="00D8466D">
              <w:rPr>
                <w:rStyle w:val="Hyperlink"/>
                <w:rFonts w:asciiTheme="majorHAnsi" w:hAnsiTheme="majorHAnsi" w:cstheme="majorHAnsi"/>
                <w:b/>
                <w:noProof/>
              </w:rPr>
              <w:t>?</w:t>
            </w:r>
            <w:r w:rsidR="00D8466D" w:rsidRPr="00D8466D">
              <w:rPr>
                <w:rFonts w:asciiTheme="majorHAnsi" w:hAnsiTheme="majorHAnsi" w:cstheme="majorHAnsi"/>
                <w:noProof/>
                <w:webHidden/>
              </w:rPr>
              <w:tab/>
            </w:r>
            <w:r w:rsidR="00D8466D" w:rsidRPr="00D8466D">
              <w:rPr>
                <w:rFonts w:asciiTheme="majorHAnsi" w:hAnsiTheme="majorHAnsi" w:cstheme="majorHAnsi"/>
                <w:noProof/>
                <w:webHidden/>
              </w:rPr>
              <w:fldChar w:fldCharType="begin"/>
            </w:r>
            <w:r w:rsidR="00D8466D" w:rsidRPr="00D8466D">
              <w:rPr>
                <w:rFonts w:asciiTheme="majorHAnsi" w:hAnsiTheme="majorHAnsi" w:cstheme="majorHAnsi"/>
                <w:noProof/>
                <w:webHidden/>
              </w:rPr>
              <w:instrText xml:space="preserve"> PAGEREF _Toc127129405 \h </w:instrText>
            </w:r>
            <w:r w:rsidR="00D8466D" w:rsidRPr="00D8466D">
              <w:rPr>
                <w:rFonts w:asciiTheme="majorHAnsi" w:hAnsiTheme="majorHAnsi" w:cstheme="majorHAnsi"/>
                <w:noProof/>
                <w:webHidden/>
              </w:rPr>
            </w:r>
            <w:r w:rsidR="00D8466D" w:rsidRPr="00D8466D">
              <w:rPr>
                <w:rFonts w:asciiTheme="majorHAnsi" w:hAnsiTheme="majorHAnsi" w:cstheme="majorHAnsi"/>
                <w:noProof/>
                <w:webHidden/>
              </w:rPr>
              <w:fldChar w:fldCharType="separate"/>
            </w:r>
            <w:r w:rsidR="00D8466D" w:rsidRPr="00D8466D">
              <w:rPr>
                <w:rFonts w:asciiTheme="majorHAnsi" w:hAnsiTheme="majorHAnsi" w:cstheme="majorHAnsi"/>
                <w:noProof/>
                <w:webHidden/>
              </w:rPr>
              <w:t>22</w:t>
            </w:r>
            <w:r w:rsidR="00D8466D" w:rsidRPr="00D8466D">
              <w:rPr>
                <w:rFonts w:asciiTheme="majorHAnsi" w:hAnsiTheme="majorHAnsi" w:cstheme="majorHAnsi"/>
                <w:noProof/>
                <w:webHidden/>
              </w:rPr>
              <w:fldChar w:fldCharType="end"/>
            </w:r>
          </w:hyperlink>
        </w:p>
        <w:p w14:paraId="479F6E90" w14:textId="000E6F0F" w:rsidR="00D8466D" w:rsidRPr="00D8466D" w:rsidRDefault="00531D5D">
          <w:pPr>
            <w:pStyle w:val="TOC3"/>
            <w:rPr>
              <w:rFonts w:asciiTheme="majorHAnsi" w:eastAsiaTheme="minorEastAsia" w:hAnsiTheme="majorHAnsi" w:cstheme="majorHAnsi"/>
              <w:noProof/>
              <w:lang w:eastAsia="ru-RU"/>
            </w:rPr>
          </w:pPr>
          <w:hyperlink w:anchor="_Toc127129406" w:history="1">
            <w:r w:rsidR="00D8466D" w:rsidRPr="00D8466D">
              <w:rPr>
                <w:rStyle w:val="Hyperlink"/>
                <w:rFonts w:asciiTheme="majorHAnsi" w:hAnsiTheme="majorHAnsi" w:cstheme="majorHAnsi"/>
                <w:b/>
                <w:noProof/>
                <w:lang w:val="ro-RO"/>
              </w:rPr>
              <w:t xml:space="preserve">4.2.1. </w:t>
            </w:r>
            <w:r w:rsidR="00D8466D" w:rsidRPr="00D8466D">
              <w:rPr>
                <w:rStyle w:val="Hyperlink"/>
                <w:rFonts w:asciiTheme="majorHAnsi" w:hAnsiTheme="majorHAnsi" w:cstheme="majorHAnsi"/>
                <w:b/>
                <w:noProof/>
                <w:lang w:val="ru-MD"/>
              </w:rPr>
              <w:t>Процесс взыскания задолженности по таможенным обязательствам, в том числе посредством мер принудительного исполнения, является уязвимым и требует укрепления.</w:t>
            </w:r>
            <w:r w:rsidR="00D8466D" w:rsidRPr="00D8466D">
              <w:rPr>
                <w:rFonts w:asciiTheme="majorHAnsi" w:hAnsiTheme="majorHAnsi" w:cstheme="majorHAnsi"/>
                <w:noProof/>
                <w:webHidden/>
              </w:rPr>
              <w:tab/>
            </w:r>
            <w:r w:rsidR="00D8466D" w:rsidRPr="00D8466D">
              <w:rPr>
                <w:rFonts w:asciiTheme="majorHAnsi" w:hAnsiTheme="majorHAnsi" w:cstheme="majorHAnsi"/>
                <w:noProof/>
                <w:webHidden/>
              </w:rPr>
              <w:fldChar w:fldCharType="begin"/>
            </w:r>
            <w:r w:rsidR="00D8466D" w:rsidRPr="00D8466D">
              <w:rPr>
                <w:rFonts w:asciiTheme="majorHAnsi" w:hAnsiTheme="majorHAnsi" w:cstheme="majorHAnsi"/>
                <w:noProof/>
                <w:webHidden/>
              </w:rPr>
              <w:instrText xml:space="preserve"> PAGEREF _Toc127129406 \h </w:instrText>
            </w:r>
            <w:r w:rsidR="00D8466D" w:rsidRPr="00D8466D">
              <w:rPr>
                <w:rFonts w:asciiTheme="majorHAnsi" w:hAnsiTheme="majorHAnsi" w:cstheme="majorHAnsi"/>
                <w:noProof/>
                <w:webHidden/>
              </w:rPr>
            </w:r>
            <w:r w:rsidR="00D8466D" w:rsidRPr="00D8466D">
              <w:rPr>
                <w:rFonts w:asciiTheme="majorHAnsi" w:hAnsiTheme="majorHAnsi" w:cstheme="majorHAnsi"/>
                <w:noProof/>
                <w:webHidden/>
              </w:rPr>
              <w:fldChar w:fldCharType="separate"/>
            </w:r>
            <w:r w:rsidR="00D8466D" w:rsidRPr="00D8466D">
              <w:rPr>
                <w:rFonts w:asciiTheme="majorHAnsi" w:hAnsiTheme="majorHAnsi" w:cstheme="majorHAnsi"/>
                <w:noProof/>
                <w:webHidden/>
              </w:rPr>
              <w:t>22</w:t>
            </w:r>
            <w:r w:rsidR="00D8466D" w:rsidRPr="00D8466D">
              <w:rPr>
                <w:rFonts w:asciiTheme="majorHAnsi" w:hAnsiTheme="majorHAnsi" w:cstheme="majorHAnsi"/>
                <w:noProof/>
                <w:webHidden/>
              </w:rPr>
              <w:fldChar w:fldCharType="end"/>
            </w:r>
          </w:hyperlink>
        </w:p>
        <w:p w14:paraId="4A616DE4" w14:textId="3832C2BF" w:rsidR="00D8466D" w:rsidRPr="00D8466D" w:rsidRDefault="00531D5D">
          <w:pPr>
            <w:pStyle w:val="TOC3"/>
            <w:rPr>
              <w:rFonts w:asciiTheme="majorHAnsi" w:eastAsiaTheme="minorEastAsia" w:hAnsiTheme="majorHAnsi" w:cstheme="majorHAnsi"/>
              <w:noProof/>
              <w:lang w:eastAsia="ru-RU"/>
            </w:rPr>
          </w:pPr>
          <w:hyperlink w:anchor="_Toc127129407" w:history="1">
            <w:r w:rsidR="00D8466D" w:rsidRPr="00D8466D">
              <w:rPr>
                <w:rStyle w:val="Hyperlink"/>
                <w:rFonts w:asciiTheme="majorHAnsi" w:hAnsiTheme="majorHAnsi" w:cstheme="majorHAnsi"/>
                <w:b/>
                <w:noProof/>
                <w:lang w:val="ro-MD"/>
              </w:rPr>
              <w:t xml:space="preserve">4.2.2. </w:t>
            </w:r>
            <w:r w:rsidR="00D8466D" w:rsidRPr="00D8466D">
              <w:rPr>
                <w:rStyle w:val="Hyperlink"/>
                <w:rFonts w:asciiTheme="majorHAnsi" w:hAnsiTheme="majorHAnsi" w:cstheme="majorHAnsi"/>
                <w:b/>
                <w:noProof/>
                <w:lang w:val="ru-MD"/>
              </w:rPr>
              <w:t>На соответствие процесса по ведению учета и отчетности задолженностей влияет неначисление увеличения за просрочку основных платежей за неисполнение таможенных обязательств</w:t>
            </w:r>
            <w:r w:rsidR="00D8466D" w:rsidRPr="00D8466D">
              <w:rPr>
                <w:rStyle w:val="Hyperlink"/>
                <w:rFonts w:asciiTheme="majorHAnsi" w:hAnsiTheme="majorHAnsi" w:cstheme="majorHAnsi"/>
                <w:b/>
                <w:noProof/>
                <w:lang w:val="ro-MD"/>
              </w:rPr>
              <w:t>.</w:t>
            </w:r>
            <w:r w:rsidR="00D8466D" w:rsidRPr="00D8466D">
              <w:rPr>
                <w:rFonts w:asciiTheme="majorHAnsi" w:hAnsiTheme="majorHAnsi" w:cstheme="majorHAnsi"/>
                <w:noProof/>
                <w:webHidden/>
              </w:rPr>
              <w:tab/>
            </w:r>
            <w:r w:rsidR="00D8466D" w:rsidRPr="00D8466D">
              <w:rPr>
                <w:rFonts w:asciiTheme="majorHAnsi" w:hAnsiTheme="majorHAnsi" w:cstheme="majorHAnsi"/>
                <w:noProof/>
                <w:webHidden/>
              </w:rPr>
              <w:fldChar w:fldCharType="begin"/>
            </w:r>
            <w:r w:rsidR="00D8466D" w:rsidRPr="00D8466D">
              <w:rPr>
                <w:rFonts w:asciiTheme="majorHAnsi" w:hAnsiTheme="majorHAnsi" w:cstheme="majorHAnsi"/>
                <w:noProof/>
                <w:webHidden/>
              </w:rPr>
              <w:instrText xml:space="preserve"> PAGEREF _Toc127129407 \h </w:instrText>
            </w:r>
            <w:r w:rsidR="00D8466D" w:rsidRPr="00D8466D">
              <w:rPr>
                <w:rFonts w:asciiTheme="majorHAnsi" w:hAnsiTheme="majorHAnsi" w:cstheme="majorHAnsi"/>
                <w:noProof/>
                <w:webHidden/>
              </w:rPr>
            </w:r>
            <w:r w:rsidR="00D8466D" w:rsidRPr="00D8466D">
              <w:rPr>
                <w:rFonts w:asciiTheme="majorHAnsi" w:hAnsiTheme="majorHAnsi" w:cstheme="majorHAnsi"/>
                <w:noProof/>
                <w:webHidden/>
              </w:rPr>
              <w:fldChar w:fldCharType="separate"/>
            </w:r>
            <w:r w:rsidR="00D8466D" w:rsidRPr="00D8466D">
              <w:rPr>
                <w:rFonts w:asciiTheme="majorHAnsi" w:hAnsiTheme="majorHAnsi" w:cstheme="majorHAnsi"/>
                <w:noProof/>
                <w:webHidden/>
              </w:rPr>
              <w:t>25</w:t>
            </w:r>
            <w:r w:rsidR="00D8466D" w:rsidRPr="00D8466D">
              <w:rPr>
                <w:rFonts w:asciiTheme="majorHAnsi" w:hAnsiTheme="majorHAnsi" w:cstheme="majorHAnsi"/>
                <w:noProof/>
                <w:webHidden/>
              </w:rPr>
              <w:fldChar w:fldCharType="end"/>
            </w:r>
          </w:hyperlink>
        </w:p>
        <w:p w14:paraId="16C1AD08" w14:textId="22B3E14F" w:rsidR="00D8466D" w:rsidRPr="00D8466D" w:rsidRDefault="00531D5D">
          <w:pPr>
            <w:pStyle w:val="TOC2"/>
            <w:rPr>
              <w:rFonts w:asciiTheme="majorHAnsi" w:eastAsiaTheme="minorEastAsia" w:hAnsiTheme="majorHAnsi" w:cstheme="majorHAnsi"/>
              <w:noProof/>
              <w:lang w:eastAsia="ru-RU"/>
            </w:rPr>
          </w:pPr>
          <w:hyperlink w:anchor="_Toc127129408" w:history="1">
            <w:r w:rsidR="00D8466D" w:rsidRPr="00D8466D">
              <w:rPr>
                <w:rStyle w:val="Hyperlink"/>
                <w:rFonts w:asciiTheme="majorHAnsi" w:eastAsia="Times New Roman" w:hAnsiTheme="majorHAnsi" w:cstheme="majorHAnsi"/>
                <w:b/>
                <w:noProof/>
              </w:rPr>
              <w:t>4.3.</w:t>
            </w:r>
            <w:r w:rsidR="00D8466D" w:rsidRPr="00D8466D">
              <w:rPr>
                <w:rFonts w:asciiTheme="majorHAnsi" w:eastAsiaTheme="minorEastAsia" w:hAnsiTheme="majorHAnsi" w:cstheme="majorHAnsi"/>
                <w:noProof/>
                <w:lang w:eastAsia="ru-RU"/>
              </w:rPr>
              <w:tab/>
            </w:r>
            <w:r w:rsidR="00D8466D" w:rsidRPr="00D8466D">
              <w:rPr>
                <w:rStyle w:val="Hyperlink"/>
                <w:rFonts w:asciiTheme="majorHAnsi" w:hAnsiTheme="majorHAnsi" w:cstheme="majorHAnsi"/>
                <w:b/>
                <w:i/>
                <w:noProof/>
              </w:rPr>
              <w:t xml:space="preserve">Конкретная задача №3. </w:t>
            </w:r>
            <w:r w:rsidR="00D8466D" w:rsidRPr="00D8466D">
              <w:rPr>
                <w:rStyle w:val="Hyperlink"/>
                <w:rFonts w:asciiTheme="majorHAnsi" w:hAnsiTheme="majorHAnsi" w:cstheme="majorHAnsi"/>
                <w:b/>
                <w:noProof/>
                <w:lang w:val="ru-MD"/>
              </w:rPr>
              <w:t>Обеспечил ли таможенный орган организацию таможенного контроля и соответствие процесса определения таможенной стоимости товаров, ввозимых на таможенную территорию Республики</w:t>
            </w:r>
            <w:r w:rsidR="00D8466D" w:rsidRPr="00D8466D">
              <w:rPr>
                <w:rStyle w:val="Hyperlink"/>
                <w:rFonts w:asciiTheme="majorHAnsi" w:hAnsiTheme="majorHAnsi" w:cstheme="majorHAnsi"/>
                <w:b/>
                <w:noProof/>
                <w:lang w:val="en-US"/>
              </w:rPr>
              <w:t xml:space="preserve"> </w:t>
            </w:r>
            <w:r w:rsidR="00D8466D" w:rsidRPr="00D8466D">
              <w:rPr>
                <w:rStyle w:val="Hyperlink"/>
                <w:rFonts w:asciiTheme="majorHAnsi" w:hAnsiTheme="majorHAnsi" w:cstheme="majorHAnsi"/>
                <w:b/>
                <w:noProof/>
                <w:lang w:val="ru-MD"/>
              </w:rPr>
              <w:t>Молдова</w:t>
            </w:r>
            <w:r w:rsidR="00D8466D" w:rsidRPr="00D8466D">
              <w:rPr>
                <w:rStyle w:val="Hyperlink"/>
                <w:rFonts w:asciiTheme="majorHAnsi" w:eastAsia="Times New Roman" w:hAnsiTheme="majorHAnsi" w:cstheme="majorHAnsi"/>
                <w:b/>
                <w:noProof/>
              </w:rPr>
              <w:t>?</w:t>
            </w:r>
            <w:r w:rsidR="00D8466D" w:rsidRPr="00D8466D">
              <w:rPr>
                <w:rFonts w:asciiTheme="majorHAnsi" w:hAnsiTheme="majorHAnsi" w:cstheme="majorHAnsi"/>
                <w:noProof/>
                <w:webHidden/>
              </w:rPr>
              <w:tab/>
            </w:r>
            <w:r w:rsidR="00D8466D" w:rsidRPr="00D8466D">
              <w:rPr>
                <w:rFonts w:asciiTheme="majorHAnsi" w:hAnsiTheme="majorHAnsi" w:cstheme="majorHAnsi"/>
                <w:noProof/>
                <w:webHidden/>
              </w:rPr>
              <w:fldChar w:fldCharType="begin"/>
            </w:r>
            <w:r w:rsidR="00D8466D" w:rsidRPr="00D8466D">
              <w:rPr>
                <w:rFonts w:asciiTheme="majorHAnsi" w:hAnsiTheme="majorHAnsi" w:cstheme="majorHAnsi"/>
                <w:noProof/>
                <w:webHidden/>
              </w:rPr>
              <w:instrText xml:space="preserve"> PAGEREF _Toc127129408 \h </w:instrText>
            </w:r>
            <w:r w:rsidR="00D8466D" w:rsidRPr="00D8466D">
              <w:rPr>
                <w:rFonts w:asciiTheme="majorHAnsi" w:hAnsiTheme="majorHAnsi" w:cstheme="majorHAnsi"/>
                <w:noProof/>
                <w:webHidden/>
              </w:rPr>
            </w:r>
            <w:r w:rsidR="00D8466D" w:rsidRPr="00D8466D">
              <w:rPr>
                <w:rFonts w:asciiTheme="majorHAnsi" w:hAnsiTheme="majorHAnsi" w:cstheme="majorHAnsi"/>
                <w:noProof/>
                <w:webHidden/>
              </w:rPr>
              <w:fldChar w:fldCharType="separate"/>
            </w:r>
            <w:r w:rsidR="00D8466D" w:rsidRPr="00D8466D">
              <w:rPr>
                <w:rFonts w:asciiTheme="majorHAnsi" w:hAnsiTheme="majorHAnsi" w:cstheme="majorHAnsi"/>
                <w:noProof/>
                <w:webHidden/>
              </w:rPr>
              <w:t>27</w:t>
            </w:r>
            <w:r w:rsidR="00D8466D" w:rsidRPr="00D8466D">
              <w:rPr>
                <w:rFonts w:asciiTheme="majorHAnsi" w:hAnsiTheme="majorHAnsi" w:cstheme="majorHAnsi"/>
                <w:noProof/>
                <w:webHidden/>
              </w:rPr>
              <w:fldChar w:fldCharType="end"/>
            </w:r>
          </w:hyperlink>
        </w:p>
        <w:p w14:paraId="1F17C049" w14:textId="5227C115" w:rsidR="00D8466D" w:rsidRPr="00D8466D" w:rsidRDefault="00531D5D">
          <w:pPr>
            <w:pStyle w:val="TOC3"/>
            <w:rPr>
              <w:rFonts w:asciiTheme="majorHAnsi" w:eastAsiaTheme="minorEastAsia" w:hAnsiTheme="majorHAnsi" w:cstheme="majorHAnsi"/>
              <w:noProof/>
              <w:lang w:eastAsia="ru-RU"/>
            </w:rPr>
          </w:pPr>
          <w:hyperlink w:anchor="_Toc127129409" w:history="1">
            <w:r w:rsidR="00D8466D" w:rsidRPr="00D8466D">
              <w:rPr>
                <w:rStyle w:val="Hyperlink"/>
                <w:rFonts w:asciiTheme="majorHAnsi" w:eastAsia="Times New Roman" w:hAnsiTheme="majorHAnsi" w:cstheme="majorHAnsi"/>
                <w:b/>
                <w:noProof/>
                <w:lang w:val="ru-MD"/>
              </w:rPr>
              <w:t>4.3.1.  Процесс определения таможенной стоимости и последовательность применения методов таможенного оформления осуществлялся с некоторыми отклонениями</w:t>
            </w:r>
            <w:r w:rsidR="00D8466D" w:rsidRPr="00D8466D">
              <w:rPr>
                <w:rStyle w:val="Hyperlink"/>
                <w:rFonts w:asciiTheme="majorHAnsi" w:hAnsiTheme="majorHAnsi" w:cstheme="majorHAnsi"/>
                <w:b/>
                <w:noProof/>
                <w:lang w:val="ru-MD"/>
              </w:rPr>
              <w:t>.</w:t>
            </w:r>
            <w:r w:rsidR="00D8466D" w:rsidRPr="00D8466D">
              <w:rPr>
                <w:rFonts w:asciiTheme="majorHAnsi" w:hAnsiTheme="majorHAnsi" w:cstheme="majorHAnsi"/>
                <w:noProof/>
                <w:webHidden/>
              </w:rPr>
              <w:tab/>
            </w:r>
            <w:r w:rsidR="00D8466D" w:rsidRPr="00D8466D">
              <w:rPr>
                <w:rFonts w:asciiTheme="majorHAnsi" w:hAnsiTheme="majorHAnsi" w:cstheme="majorHAnsi"/>
                <w:noProof/>
                <w:webHidden/>
              </w:rPr>
              <w:fldChar w:fldCharType="begin"/>
            </w:r>
            <w:r w:rsidR="00D8466D" w:rsidRPr="00D8466D">
              <w:rPr>
                <w:rFonts w:asciiTheme="majorHAnsi" w:hAnsiTheme="majorHAnsi" w:cstheme="majorHAnsi"/>
                <w:noProof/>
                <w:webHidden/>
              </w:rPr>
              <w:instrText xml:space="preserve"> PAGEREF _Toc127129409 \h </w:instrText>
            </w:r>
            <w:r w:rsidR="00D8466D" w:rsidRPr="00D8466D">
              <w:rPr>
                <w:rFonts w:asciiTheme="majorHAnsi" w:hAnsiTheme="majorHAnsi" w:cstheme="majorHAnsi"/>
                <w:noProof/>
                <w:webHidden/>
              </w:rPr>
            </w:r>
            <w:r w:rsidR="00D8466D" w:rsidRPr="00D8466D">
              <w:rPr>
                <w:rFonts w:asciiTheme="majorHAnsi" w:hAnsiTheme="majorHAnsi" w:cstheme="majorHAnsi"/>
                <w:noProof/>
                <w:webHidden/>
              </w:rPr>
              <w:fldChar w:fldCharType="separate"/>
            </w:r>
            <w:r w:rsidR="00D8466D" w:rsidRPr="00D8466D">
              <w:rPr>
                <w:rFonts w:asciiTheme="majorHAnsi" w:hAnsiTheme="majorHAnsi" w:cstheme="majorHAnsi"/>
                <w:noProof/>
                <w:webHidden/>
              </w:rPr>
              <w:t>27</w:t>
            </w:r>
            <w:r w:rsidR="00D8466D" w:rsidRPr="00D8466D">
              <w:rPr>
                <w:rFonts w:asciiTheme="majorHAnsi" w:hAnsiTheme="majorHAnsi" w:cstheme="majorHAnsi"/>
                <w:noProof/>
                <w:webHidden/>
              </w:rPr>
              <w:fldChar w:fldCharType="end"/>
            </w:r>
          </w:hyperlink>
        </w:p>
        <w:p w14:paraId="6D3862B8" w14:textId="7C446A7B" w:rsidR="00D8466D" w:rsidRPr="00D8466D" w:rsidRDefault="00531D5D">
          <w:pPr>
            <w:pStyle w:val="TOC3"/>
            <w:rPr>
              <w:rFonts w:asciiTheme="majorHAnsi" w:eastAsiaTheme="minorEastAsia" w:hAnsiTheme="majorHAnsi" w:cstheme="majorHAnsi"/>
              <w:noProof/>
              <w:lang w:eastAsia="ru-RU"/>
            </w:rPr>
          </w:pPr>
          <w:hyperlink w:anchor="_Toc127129410" w:history="1">
            <w:r w:rsidR="00D8466D" w:rsidRPr="00D8466D">
              <w:rPr>
                <w:rStyle w:val="Hyperlink"/>
                <w:rFonts w:asciiTheme="majorHAnsi" w:hAnsiTheme="majorHAnsi" w:cstheme="majorHAnsi"/>
                <w:b/>
                <w:noProof/>
                <w:lang w:val="ro-RO"/>
              </w:rPr>
              <w:t xml:space="preserve">4.3.2. </w:t>
            </w:r>
            <w:r w:rsidR="00D8466D" w:rsidRPr="00D8466D">
              <w:rPr>
                <w:rStyle w:val="Hyperlink"/>
                <w:rFonts w:asciiTheme="majorHAnsi" w:hAnsiTheme="majorHAnsi" w:cstheme="majorHAnsi"/>
                <w:b/>
                <w:noProof/>
                <w:lang w:val="ru-MD"/>
              </w:rPr>
              <w:t>Управление рисками в области таможенной стоимости, классификации и происхождения импортируемых товаров должно быть усилено путем применения современных таможенных инструментов для анализа рисков.</w:t>
            </w:r>
            <w:r w:rsidR="00D8466D" w:rsidRPr="00D8466D">
              <w:rPr>
                <w:rFonts w:asciiTheme="majorHAnsi" w:hAnsiTheme="majorHAnsi" w:cstheme="majorHAnsi"/>
                <w:noProof/>
                <w:webHidden/>
              </w:rPr>
              <w:tab/>
            </w:r>
            <w:r w:rsidR="00D8466D" w:rsidRPr="00D8466D">
              <w:rPr>
                <w:rFonts w:asciiTheme="majorHAnsi" w:hAnsiTheme="majorHAnsi" w:cstheme="majorHAnsi"/>
                <w:noProof/>
                <w:webHidden/>
              </w:rPr>
              <w:fldChar w:fldCharType="begin"/>
            </w:r>
            <w:r w:rsidR="00D8466D" w:rsidRPr="00D8466D">
              <w:rPr>
                <w:rFonts w:asciiTheme="majorHAnsi" w:hAnsiTheme="majorHAnsi" w:cstheme="majorHAnsi"/>
                <w:noProof/>
                <w:webHidden/>
              </w:rPr>
              <w:instrText xml:space="preserve"> PAGEREF _Toc127129410 \h </w:instrText>
            </w:r>
            <w:r w:rsidR="00D8466D" w:rsidRPr="00D8466D">
              <w:rPr>
                <w:rFonts w:asciiTheme="majorHAnsi" w:hAnsiTheme="majorHAnsi" w:cstheme="majorHAnsi"/>
                <w:noProof/>
                <w:webHidden/>
              </w:rPr>
            </w:r>
            <w:r w:rsidR="00D8466D" w:rsidRPr="00D8466D">
              <w:rPr>
                <w:rFonts w:asciiTheme="majorHAnsi" w:hAnsiTheme="majorHAnsi" w:cstheme="majorHAnsi"/>
                <w:noProof/>
                <w:webHidden/>
              </w:rPr>
              <w:fldChar w:fldCharType="separate"/>
            </w:r>
            <w:r w:rsidR="00D8466D" w:rsidRPr="00D8466D">
              <w:rPr>
                <w:rFonts w:asciiTheme="majorHAnsi" w:hAnsiTheme="majorHAnsi" w:cstheme="majorHAnsi"/>
                <w:noProof/>
                <w:webHidden/>
              </w:rPr>
              <w:t>30</w:t>
            </w:r>
            <w:r w:rsidR="00D8466D" w:rsidRPr="00D8466D">
              <w:rPr>
                <w:rFonts w:asciiTheme="majorHAnsi" w:hAnsiTheme="majorHAnsi" w:cstheme="majorHAnsi"/>
                <w:noProof/>
                <w:webHidden/>
              </w:rPr>
              <w:fldChar w:fldCharType="end"/>
            </w:r>
          </w:hyperlink>
        </w:p>
        <w:p w14:paraId="27302182" w14:textId="346F0230" w:rsidR="00D8466D" w:rsidRPr="00D8466D" w:rsidRDefault="00531D5D">
          <w:pPr>
            <w:pStyle w:val="TOC2"/>
            <w:rPr>
              <w:rFonts w:asciiTheme="majorHAnsi" w:eastAsiaTheme="minorEastAsia" w:hAnsiTheme="majorHAnsi" w:cstheme="majorHAnsi"/>
              <w:noProof/>
              <w:lang w:eastAsia="ru-RU"/>
            </w:rPr>
          </w:pPr>
          <w:hyperlink w:anchor="_Toc127129411" w:history="1">
            <w:r w:rsidR="00D8466D" w:rsidRPr="00D8466D">
              <w:rPr>
                <w:rStyle w:val="Hyperlink"/>
                <w:rFonts w:asciiTheme="majorHAnsi" w:hAnsiTheme="majorHAnsi" w:cstheme="majorHAnsi"/>
                <w:b/>
                <w:noProof/>
                <w:lang w:val="ro-RO"/>
              </w:rPr>
              <w:t xml:space="preserve">4.3.3. </w:t>
            </w:r>
            <w:r w:rsidR="00D8466D" w:rsidRPr="00D8466D">
              <w:rPr>
                <w:rStyle w:val="Hyperlink"/>
                <w:rFonts w:asciiTheme="majorHAnsi" w:hAnsiTheme="majorHAnsi" w:cstheme="majorHAnsi"/>
                <w:b/>
                <w:noProof/>
                <w:lang w:val="ru-MD"/>
              </w:rPr>
              <w:t>Некоторые сделки с нефтепродуктами не прозрачны, таможенная стоимость задекларированного товара варьирует в зависимости от страны сделки, а импорт монополизирован тремя экономическими агентами-резидентами.</w:t>
            </w:r>
            <w:r w:rsidR="00D8466D" w:rsidRPr="00D8466D">
              <w:rPr>
                <w:rFonts w:asciiTheme="majorHAnsi" w:hAnsiTheme="majorHAnsi" w:cstheme="majorHAnsi"/>
                <w:noProof/>
                <w:webHidden/>
              </w:rPr>
              <w:tab/>
            </w:r>
            <w:r w:rsidR="00D8466D" w:rsidRPr="00D8466D">
              <w:rPr>
                <w:rFonts w:asciiTheme="majorHAnsi" w:hAnsiTheme="majorHAnsi" w:cstheme="majorHAnsi"/>
                <w:noProof/>
                <w:webHidden/>
              </w:rPr>
              <w:fldChar w:fldCharType="begin"/>
            </w:r>
            <w:r w:rsidR="00D8466D" w:rsidRPr="00D8466D">
              <w:rPr>
                <w:rFonts w:asciiTheme="majorHAnsi" w:hAnsiTheme="majorHAnsi" w:cstheme="majorHAnsi"/>
                <w:noProof/>
                <w:webHidden/>
              </w:rPr>
              <w:instrText xml:space="preserve"> PAGEREF _Toc127129411 \h </w:instrText>
            </w:r>
            <w:r w:rsidR="00D8466D" w:rsidRPr="00D8466D">
              <w:rPr>
                <w:rFonts w:asciiTheme="majorHAnsi" w:hAnsiTheme="majorHAnsi" w:cstheme="majorHAnsi"/>
                <w:noProof/>
                <w:webHidden/>
              </w:rPr>
            </w:r>
            <w:r w:rsidR="00D8466D" w:rsidRPr="00D8466D">
              <w:rPr>
                <w:rFonts w:asciiTheme="majorHAnsi" w:hAnsiTheme="majorHAnsi" w:cstheme="majorHAnsi"/>
                <w:noProof/>
                <w:webHidden/>
              </w:rPr>
              <w:fldChar w:fldCharType="separate"/>
            </w:r>
            <w:r w:rsidR="00D8466D" w:rsidRPr="00D8466D">
              <w:rPr>
                <w:rFonts w:asciiTheme="majorHAnsi" w:hAnsiTheme="majorHAnsi" w:cstheme="majorHAnsi"/>
                <w:noProof/>
                <w:webHidden/>
              </w:rPr>
              <w:t>32</w:t>
            </w:r>
            <w:r w:rsidR="00D8466D" w:rsidRPr="00D8466D">
              <w:rPr>
                <w:rFonts w:asciiTheme="majorHAnsi" w:hAnsiTheme="majorHAnsi" w:cstheme="majorHAnsi"/>
                <w:noProof/>
                <w:webHidden/>
              </w:rPr>
              <w:fldChar w:fldCharType="end"/>
            </w:r>
          </w:hyperlink>
        </w:p>
        <w:p w14:paraId="7C824B05" w14:textId="16F9D540" w:rsidR="00D8466D" w:rsidRPr="00D8466D" w:rsidRDefault="00531D5D">
          <w:pPr>
            <w:pStyle w:val="TOC3"/>
            <w:rPr>
              <w:rFonts w:asciiTheme="majorHAnsi" w:eastAsiaTheme="minorEastAsia" w:hAnsiTheme="majorHAnsi" w:cstheme="majorHAnsi"/>
              <w:noProof/>
              <w:lang w:eastAsia="ru-RU"/>
            </w:rPr>
          </w:pPr>
          <w:hyperlink w:anchor="_Toc127129412" w:history="1">
            <w:r w:rsidR="00D8466D" w:rsidRPr="00D8466D">
              <w:rPr>
                <w:rStyle w:val="Hyperlink"/>
                <w:rFonts w:asciiTheme="majorHAnsi" w:hAnsiTheme="majorHAnsi" w:cstheme="majorHAnsi"/>
                <w:b/>
                <w:noProof/>
                <w:lang w:val="ro-RO"/>
              </w:rPr>
              <w:t xml:space="preserve">4.3.4.  </w:t>
            </w:r>
            <w:r w:rsidR="00D8466D" w:rsidRPr="00D8466D">
              <w:rPr>
                <w:rStyle w:val="Hyperlink"/>
                <w:rFonts w:asciiTheme="majorHAnsi" w:hAnsiTheme="majorHAnsi" w:cstheme="majorHAnsi"/>
                <w:b/>
                <w:noProof/>
                <w:lang w:val="ru-MD"/>
              </w:rPr>
              <w:t>Нормативная база, регулирующая деятельность по таможенному оформлению товаров, происходящих от внешнеэкономических операций, и содействию торговле требует улучшения</w:t>
            </w:r>
            <w:r w:rsidR="00D8466D" w:rsidRPr="00D8466D">
              <w:rPr>
                <w:rStyle w:val="Hyperlink"/>
                <w:rFonts w:asciiTheme="majorHAnsi" w:hAnsiTheme="majorHAnsi" w:cstheme="majorHAnsi"/>
                <w:b/>
                <w:noProof/>
                <w:lang w:val="ro-RO"/>
              </w:rPr>
              <w:t>.</w:t>
            </w:r>
            <w:r w:rsidR="00D8466D" w:rsidRPr="00D8466D">
              <w:rPr>
                <w:rFonts w:asciiTheme="majorHAnsi" w:hAnsiTheme="majorHAnsi" w:cstheme="majorHAnsi"/>
                <w:noProof/>
                <w:webHidden/>
              </w:rPr>
              <w:tab/>
            </w:r>
            <w:r w:rsidR="00D8466D" w:rsidRPr="00D8466D">
              <w:rPr>
                <w:rFonts w:asciiTheme="majorHAnsi" w:hAnsiTheme="majorHAnsi" w:cstheme="majorHAnsi"/>
                <w:noProof/>
                <w:webHidden/>
              </w:rPr>
              <w:fldChar w:fldCharType="begin"/>
            </w:r>
            <w:r w:rsidR="00D8466D" w:rsidRPr="00D8466D">
              <w:rPr>
                <w:rFonts w:asciiTheme="majorHAnsi" w:hAnsiTheme="majorHAnsi" w:cstheme="majorHAnsi"/>
                <w:noProof/>
                <w:webHidden/>
              </w:rPr>
              <w:instrText xml:space="preserve"> PAGEREF _Toc127129412 \h </w:instrText>
            </w:r>
            <w:r w:rsidR="00D8466D" w:rsidRPr="00D8466D">
              <w:rPr>
                <w:rFonts w:asciiTheme="majorHAnsi" w:hAnsiTheme="majorHAnsi" w:cstheme="majorHAnsi"/>
                <w:noProof/>
                <w:webHidden/>
              </w:rPr>
            </w:r>
            <w:r w:rsidR="00D8466D" w:rsidRPr="00D8466D">
              <w:rPr>
                <w:rFonts w:asciiTheme="majorHAnsi" w:hAnsiTheme="majorHAnsi" w:cstheme="majorHAnsi"/>
                <w:noProof/>
                <w:webHidden/>
              </w:rPr>
              <w:fldChar w:fldCharType="separate"/>
            </w:r>
            <w:r w:rsidR="00D8466D" w:rsidRPr="00D8466D">
              <w:rPr>
                <w:rFonts w:asciiTheme="majorHAnsi" w:hAnsiTheme="majorHAnsi" w:cstheme="majorHAnsi"/>
                <w:noProof/>
                <w:webHidden/>
              </w:rPr>
              <w:t>34</w:t>
            </w:r>
            <w:r w:rsidR="00D8466D" w:rsidRPr="00D8466D">
              <w:rPr>
                <w:rFonts w:asciiTheme="majorHAnsi" w:hAnsiTheme="majorHAnsi" w:cstheme="majorHAnsi"/>
                <w:noProof/>
                <w:webHidden/>
              </w:rPr>
              <w:fldChar w:fldCharType="end"/>
            </w:r>
          </w:hyperlink>
        </w:p>
        <w:p w14:paraId="2D84F401" w14:textId="2A4ACA35" w:rsidR="00D8466D" w:rsidRPr="00D8466D" w:rsidRDefault="00531D5D">
          <w:pPr>
            <w:pStyle w:val="TOC2"/>
            <w:rPr>
              <w:rFonts w:asciiTheme="majorHAnsi" w:eastAsiaTheme="minorEastAsia" w:hAnsiTheme="majorHAnsi" w:cstheme="majorHAnsi"/>
              <w:noProof/>
              <w:lang w:eastAsia="ru-RU"/>
            </w:rPr>
          </w:pPr>
          <w:hyperlink w:anchor="_Toc127129413" w:history="1">
            <w:r w:rsidR="00D8466D" w:rsidRPr="00D8466D">
              <w:rPr>
                <w:rStyle w:val="Hyperlink"/>
                <w:rFonts w:asciiTheme="majorHAnsi" w:eastAsia="Times New Roman" w:hAnsiTheme="majorHAnsi" w:cstheme="majorHAnsi"/>
                <w:b/>
                <w:noProof/>
              </w:rPr>
              <w:t>4.4.</w:t>
            </w:r>
            <w:r w:rsidR="00D8466D" w:rsidRPr="00D8466D">
              <w:rPr>
                <w:rFonts w:asciiTheme="majorHAnsi" w:eastAsiaTheme="minorEastAsia" w:hAnsiTheme="majorHAnsi" w:cstheme="majorHAnsi"/>
                <w:noProof/>
                <w:lang w:eastAsia="ru-RU"/>
              </w:rPr>
              <w:tab/>
            </w:r>
            <w:r w:rsidR="00D8466D" w:rsidRPr="00D8466D">
              <w:rPr>
                <w:rStyle w:val="Hyperlink"/>
                <w:rFonts w:asciiTheme="majorHAnsi" w:hAnsiTheme="majorHAnsi" w:cstheme="majorHAnsi"/>
                <w:b/>
                <w:i/>
                <w:noProof/>
                <w:lang w:val="ru-MD"/>
              </w:rPr>
              <w:t xml:space="preserve">Конкретная задача №4. </w:t>
            </w:r>
            <w:r w:rsidR="00D8466D" w:rsidRPr="00D8466D">
              <w:rPr>
                <w:rStyle w:val="Hyperlink"/>
                <w:rFonts w:asciiTheme="majorHAnsi" w:hAnsiTheme="majorHAnsi" w:cstheme="majorHAnsi"/>
                <w:b/>
                <w:noProof/>
                <w:lang w:val="ru-MD"/>
              </w:rPr>
              <w:t>Соблюдалась ли нормативная база при помещении товаров под суспензивные таможенные режимы, авторизованные таможенным органом, следствием которых является полное или частичное освобождение от уплаты ввозных</w:t>
            </w:r>
            <w:r w:rsidR="00D8466D" w:rsidRPr="00D8466D">
              <w:rPr>
                <w:rStyle w:val="Hyperlink"/>
                <w:rFonts w:asciiTheme="majorHAnsi" w:eastAsia="Times New Roman" w:hAnsiTheme="majorHAnsi" w:cstheme="majorHAnsi"/>
                <w:b/>
                <w:noProof/>
                <w:lang w:val="ru-MD"/>
              </w:rPr>
              <w:t>?</w:t>
            </w:r>
            <w:r w:rsidR="00D8466D" w:rsidRPr="00D8466D">
              <w:rPr>
                <w:rFonts w:asciiTheme="majorHAnsi" w:hAnsiTheme="majorHAnsi" w:cstheme="majorHAnsi"/>
                <w:noProof/>
                <w:webHidden/>
              </w:rPr>
              <w:tab/>
            </w:r>
            <w:r w:rsidR="00D8466D" w:rsidRPr="00D8466D">
              <w:rPr>
                <w:rFonts w:asciiTheme="majorHAnsi" w:hAnsiTheme="majorHAnsi" w:cstheme="majorHAnsi"/>
                <w:noProof/>
                <w:webHidden/>
              </w:rPr>
              <w:fldChar w:fldCharType="begin"/>
            </w:r>
            <w:r w:rsidR="00D8466D" w:rsidRPr="00D8466D">
              <w:rPr>
                <w:rFonts w:asciiTheme="majorHAnsi" w:hAnsiTheme="majorHAnsi" w:cstheme="majorHAnsi"/>
                <w:noProof/>
                <w:webHidden/>
              </w:rPr>
              <w:instrText xml:space="preserve"> PAGEREF _Toc127129413 \h </w:instrText>
            </w:r>
            <w:r w:rsidR="00D8466D" w:rsidRPr="00D8466D">
              <w:rPr>
                <w:rFonts w:asciiTheme="majorHAnsi" w:hAnsiTheme="majorHAnsi" w:cstheme="majorHAnsi"/>
                <w:noProof/>
                <w:webHidden/>
              </w:rPr>
            </w:r>
            <w:r w:rsidR="00D8466D" w:rsidRPr="00D8466D">
              <w:rPr>
                <w:rFonts w:asciiTheme="majorHAnsi" w:hAnsiTheme="majorHAnsi" w:cstheme="majorHAnsi"/>
                <w:noProof/>
                <w:webHidden/>
              </w:rPr>
              <w:fldChar w:fldCharType="separate"/>
            </w:r>
            <w:r w:rsidR="00D8466D" w:rsidRPr="00D8466D">
              <w:rPr>
                <w:rFonts w:asciiTheme="majorHAnsi" w:hAnsiTheme="majorHAnsi" w:cstheme="majorHAnsi"/>
                <w:noProof/>
                <w:webHidden/>
              </w:rPr>
              <w:t>40</w:t>
            </w:r>
            <w:r w:rsidR="00D8466D" w:rsidRPr="00D8466D">
              <w:rPr>
                <w:rFonts w:asciiTheme="majorHAnsi" w:hAnsiTheme="majorHAnsi" w:cstheme="majorHAnsi"/>
                <w:noProof/>
                <w:webHidden/>
              </w:rPr>
              <w:fldChar w:fldCharType="end"/>
            </w:r>
          </w:hyperlink>
        </w:p>
        <w:p w14:paraId="6091A77F" w14:textId="39D788FD" w:rsidR="00D8466D" w:rsidRPr="00D8466D" w:rsidRDefault="00531D5D">
          <w:pPr>
            <w:pStyle w:val="TOC2"/>
            <w:rPr>
              <w:rFonts w:asciiTheme="majorHAnsi" w:eastAsiaTheme="minorEastAsia" w:hAnsiTheme="majorHAnsi" w:cstheme="majorHAnsi"/>
              <w:noProof/>
              <w:lang w:eastAsia="ru-RU"/>
            </w:rPr>
          </w:pPr>
          <w:hyperlink w:anchor="_Toc127129414" w:history="1">
            <w:r w:rsidR="00D8466D" w:rsidRPr="00D8466D">
              <w:rPr>
                <w:rStyle w:val="Hyperlink"/>
                <w:rFonts w:asciiTheme="majorHAnsi" w:hAnsiTheme="majorHAnsi" w:cstheme="majorHAnsi"/>
                <w:b/>
                <w:noProof/>
                <w:lang w:val="ro-MD"/>
              </w:rPr>
              <w:t>4.5.</w:t>
            </w:r>
            <w:r w:rsidR="00D8466D" w:rsidRPr="00D8466D">
              <w:rPr>
                <w:rFonts w:asciiTheme="majorHAnsi" w:eastAsiaTheme="minorEastAsia" w:hAnsiTheme="majorHAnsi" w:cstheme="majorHAnsi"/>
                <w:noProof/>
                <w:lang w:eastAsia="ru-RU"/>
              </w:rPr>
              <w:tab/>
            </w:r>
            <w:r w:rsidR="00D8466D" w:rsidRPr="00D8466D">
              <w:rPr>
                <w:rStyle w:val="Hyperlink"/>
                <w:rFonts w:asciiTheme="majorHAnsi" w:hAnsiTheme="majorHAnsi" w:cstheme="majorHAnsi"/>
                <w:b/>
                <w:noProof/>
              </w:rPr>
              <w:t>Другие констатации аудита</w:t>
            </w:r>
            <w:r w:rsidR="00D8466D" w:rsidRPr="00D8466D">
              <w:rPr>
                <w:rFonts w:asciiTheme="majorHAnsi" w:hAnsiTheme="majorHAnsi" w:cstheme="majorHAnsi"/>
                <w:noProof/>
                <w:webHidden/>
              </w:rPr>
              <w:tab/>
            </w:r>
            <w:r w:rsidR="00D8466D" w:rsidRPr="00D8466D">
              <w:rPr>
                <w:rFonts w:asciiTheme="majorHAnsi" w:hAnsiTheme="majorHAnsi" w:cstheme="majorHAnsi"/>
                <w:noProof/>
                <w:webHidden/>
              </w:rPr>
              <w:fldChar w:fldCharType="begin"/>
            </w:r>
            <w:r w:rsidR="00D8466D" w:rsidRPr="00D8466D">
              <w:rPr>
                <w:rFonts w:asciiTheme="majorHAnsi" w:hAnsiTheme="majorHAnsi" w:cstheme="majorHAnsi"/>
                <w:noProof/>
                <w:webHidden/>
              </w:rPr>
              <w:instrText xml:space="preserve"> PAGEREF _Toc127129414 \h </w:instrText>
            </w:r>
            <w:r w:rsidR="00D8466D" w:rsidRPr="00D8466D">
              <w:rPr>
                <w:rFonts w:asciiTheme="majorHAnsi" w:hAnsiTheme="majorHAnsi" w:cstheme="majorHAnsi"/>
                <w:noProof/>
                <w:webHidden/>
              </w:rPr>
            </w:r>
            <w:r w:rsidR="00D8466D" w:rsidRPr="00D8466D">
              <w:rPr>
                <w:rFonts w:asciiTheme="majorHAnsi" w:hAnsiTheme="majorHAnsi" w:cstheme="majorHAnsi"/>
                <w:noProof/>
                <w:webHidden/>
              </w:rPr>
              <w:fldChar w:fldCharType="separate"/>
            </w:r>
            <w:r w:rsidR="00D8466D" w:rsidRPr="00D8466D">
              <w:rPr>
                <w:rFonts w:asciiTheme="majorHAnsi" w:hAnsiTheme="majorHAnsi" w:cstheme="majorHAnsi"/>
                <w:noProof/>
                <w:webHidden/>
              </w:rPr>
              <w:t>43</w:t>
            </w:r>
            <w:r w:rsidR="00D8466D" w:rsidRPr="00D8466D">
              <w:rPr>
                <w:rFonts w:asciiTheme="majorHAnsi" w:hAnsiTheme="majorHAnsi" w:cstheme="majorHAnsi"/>
                <w:noProof/>
                <w:webHidden/>
              </w:rPr>
              <w:fldChar w:fldCharType="end"/>
            </w:r>
          </w:hyperlink>
        </w:p>
        <w:p w14:paraId="4ED3AADF" w14:textId="17180961" w:rsidR="00D8466D" w:rsidRPr="00D8466D" w:rsidRDefault="00531D5D">
          <w:pPr>
            <w:pStyle w:val="TOC3"/>
            <w:rPr>
              <w:rFonts w:asciiTheme="majorHAnsi" w:eastAsiaTheme="minorEastAsia" w:hAnsiTheme="majorHAnsi" w:cstheme="majorHAnsi"/>
              <w:noProof/>
              <w:lang w:eastAsia="ru-RU"/>
            </w:rPr>
          </w:pPr>
          <w:hyperlink w:anchor="_Toc127129415" w:history="1">
            <w:r w:rsidR="00D8466D" w:rsidRPr="00D8466D">
              <w:rPr>
                <w:rStyle w:val="Hyperlink"/>
                <w:rFonts w:asciiTheme="majorHAnsi" w:hAnsiTheme="majorHAnsi" w:cstheme="majorHAnsi"/>
                <w:b/>
                <w:noProof/>
                <w:lang w:val="ru-MD"/>
              </w:rPr>
              <w:t>4.5.1.</w:t>
            </w:r>
            <w:r w:rsidR="00D8466D" w:rsidRPr="00D8466D">
              <w:rPr>
                <w:rFonts w:asciiTheme="majorHAnsi" w:eastAsiaTheme="minorEastAsia" w:hAnsiTheme="majorHAnsi" w:cstheme="majorHAnsi"/>
                <w:noProof/>
                <w:lang w:eastAsia="ru-RU"/>
              </w:rPr>
              <w:tab/>
            </w:r>
            <w:r w:rsidR="00D8466D" w:rsidRPr="00D8466D">
              <w:rPr>
                <w:rStyle w:val="Hyperlink"/>
                <w:rFonts w:asciiTheme="majorHAnsi" w:hAnsiTheme="majorHAnsi" w:cstheme="majorHAnsi"/>
                <w:b/>
                <w:noProof/>
                <w:lang w:val="ru-MD"/>
              </w:rPr>
              <w:t>Систему внутреннего управленческого контроля необходимо усовершенствовать</w:t>
            </w:r>
            <w:r w:rsidR="00D8466D" w:rsidRPr="00D8466D">
              <w:rPr>
                <w:rFonts w:asciiTheme="majorHAnsi" w:hAnsiTheme="majorHAnsi" w:cstheme="majorHAnsi"/>
                <w:noProof/>
                <w:webHidden/>
              </w:rPr>
              <w:tab/>
            </w:r>
            <w:r w:rsidR="00D8466D" w:rsidRPr="00D8466D">
              <w:rPr>
                <w:rFonts w:asciiTheme="majorHAnsi" w:hAnsiTheme="majorHAnsi" w:cstheme="majorHAnsi"/>
                <w:noProof/>
                <w:webHidden/>
              </w:rPr>
              <w:fldChar w:fldCharType="begin"/>
            </w:r>
            <w:r w:rsidR="00D8466D" w:rsidRPr="00D8466D">
              <w:rPr>
                <w:rFonts w:asciiTheme="majorHAnsi" w:hAnsiTheme="majorHAnsi" w:cstheme="majorHAnsi"/>
                <w:noProof/>
                <w:webHidden/>
              </w:rPr>
              <w:instrText xml:space="preserve"> PAGEREF _Toc127129415 \h </w:instrText>
            </w:r>
            <w:r w:rsidR="00D8466D" w:rsidRPr="00D8466D">
              <w:rPr>
                <w:rFonts w:asciiTheme="majorHAnsi" w:hAnsiTheme="majorHAnsi" w:cstheme="majorHAnsi"/>
                <w:noProof/>
                <w:webHidden/>
              </w:rPr>
            </w:r>
            <w:r w:rsidR="00D8466D" w:rsidRPr="00D8466D">
              <w:rPr>
                <w:rFonts w:asciiTheme="majorHAnsi" w:hAnsiTheme="majorHAnsi" w:cstheme="majorHAnsi"/>
                <w:noProof/>
                <w:webHidden/>
              </w:rPr>
              <w:fldChar w:fldCharType="separate"/>
            </w:r>
            <w:r w:rsidR="00D8466D" w:rsidRPr="00D8466D">
              <w:rPr>
                <w:rFonts w:asciiTheme="majorHAnsi" w:hAnsiTheme="majorHAnsi" w:cstheme="majorHAnsi"/>
                <w:noProof/>
                <w:webHidden/>
              </w:rPr>
              <w:t>43</w:t>
            </w:r>
            <w:r w:rsidR="00D8466D" w:rsidRPr="00D8466D">
              <w:rPr>
                <w:rFonts w:asciiTheme="majorHAnsi" w:hAnsiTheme="majorHAnsi" w:cstheme="majorHAnsi"/>
                <w:noProof/>
                <w:webHidden/>
              </w:rPr>
              <w:fldChar w:fldCharType="end"/>
            </w:r>
          </w:hyperlink>
        </w:p>
        <w:p w14:paraId="294F10E5" w14:textId="75BF9288" w:rsidR="00D8466D" w:rsidRPr="00D8466D" w:rsidRDefault="00531D5D">
          <w:pPr>
            <w:pStyle w:val="TOC3"/>
            <w:rPr>
              <w:rFonts w:asciiTheme="majorHAnsi" w:eastAsiaTheme="minorEastAsia" w:hAnsiTheme="majorHAnsi" w:cstheme="majorHAnsi"/>
              <w:noProof/>
              <w:lang w:eastAsia="ru-RU"/>
            </w:rPr>
          </w:pPr>
          <w:hyperlink w:anchor="_Toc127129416" w:history="1">
            <w:r w:rsidR="00D8466D" w:rsidRPr="00D8466D">
              <w:rPr>
                <w:rStyle w:val="Hyperlink"/>
                <w:rFonts w:asciiTheme="majorHAnsi" w:hAnsiTheme="majorHAnsi" w:cstheme="majorHAnsi"/>
                <w:b/>
                <w:noProof/>
                <w:lang w:val="ro-MD"/>
              </w:rPr>
              <w:t xml:space="preserve">4.5.2. </w:t>
            </w:r>
            <w:r w:rsidR="00D8466D" w:rsidRPr="00D8466D">
              <w:rPr>
                <w:rStyle w:val="Hyperlink"/>
                <w:rFonts w:asciiTheme="majorHAnsi" w:hAnsiTheme="majorHAnsi" w:cstheme="majorHAnsi"/>
                <w:b/>
                <w:noProof/>
                <w:lang w:val="ru-MD"/>
              </w:rPr>
              <w:t>Деятельность внутреннего аудита в рамках Таможенной службы</w:t>
            </w:r>
            <w:r w:rsidR="00D8466D" w:rsidRPr="00D8466D">
              <w:rPr>
                <w:rFonts w:asciiTheme="majorHAnsi" w:hAnsiTheme="majorHAnsi" w:cstheme="majorHAnsi"/>
                <w:noProof/>
                <w:webHidden/>
              </w:rPr>
              <w:tab/>
            </w:r>
            <w:r w:rsidR="00D8466D" w:rsidRPr="00D8466D">
              <w:rPr>
                <w:rFonts w:asciiTheme="majorHAnsi" w:hAnsiTheme="majorHAnsi" w:cstheme="majorHAnsi"/>
                <w:noProof/>
                <w:webHidden/>
              </w:rPr>
              <w:fldChar w:fldCharType="begin"/>
            </w:r>
            <w:r w:rsidR="00D8466D" w:rsidRPr="00D8466D">
              <w:rPr>
                <w:rFonts w:asciiTheme="majorHAnsi" w:hAnsiTheme="majorHAnsi" w:cstheme="majorHAnsi"/>
                <w:noProof/>
                <w:webHidden/>
              </w:rPr>
              <w:instrText xml:space="preserve"> PAGEREF _Toc127129416 \h </w:instrText>
            </w:r>
            <w:r w:rsidR="00D8466D" w:rsidRPr="00D8466D">
              <w:rPr>
                <w:rFonts w:asciiTheme="majorHAnsi" w:hAnsiTheme="majorHAnsi" w:cstheme="majorHAnsi"/>
                <w:noProof/>
                <w:webHidden/>
              </w:rPr>
            </w:r>
            <w:r w:rsidR="00D8466D" w:rsidRPr="00D8466D">
              <w:rPr>
                <w:rFonts w:asciiTheme="majorHAnsi" w:hAnsiTheme="majorHAnsi" w:cstheme="majorHAnsi"/>
                <w:noProof/>
                <w:webHidden/>
              </w:rPr>
              <w:fldChar w:fldCharType="separate"/>
            </w:r>
            <w:r w:rsidR="00D8466D" w:rsidRPr="00D8466D">
              <w:rPr>
                <w:rFonts w:asciiTheme="majorHAnsi" w:hAnsiTheme="majorHAnsi" w:cstheme="majorHAnsi"/>
                <w:noProof/>
                <w:webHidden/>
              </w:rPr>
              <w:t>44</w:t>
            </w:r>
            <w:r w:rsidR="00D8466D" w:rsidRPr="00D8466D">
              <w:rPr>
                <w:rFonts w:asciiTheme="majorHAnsi" w:hAnsiTheme="majorHAnsi" w:cstheme="majorHAnsi"/>
                <w:noProof/>
                <w:webHidden/>
              </w:rPr>
              <w:fldChar w:fldCharType="end"/>
            </w:r>
          </w:hyperlink>
        </w:p>
        <w:p w14:paraId="5947D989" w14:textId="2D65A28B" w:rsidR="00D8466D" w:rsidRPr="00D8466D" w:rsidRDefault="00531D5D">
          <w:pPr>
            <w:pStyle w:val="TOC3"/>
            <w:rPr>
              <w:rFonts w:asciiTheme="majorHAnsi" w:eastAsiaTheme="minorEastAsia" w:hAnsiTheme="majorHAnsi" w:cstheme="majorHAnsi"/>
              <w:noProof/>
              <w:lang w:eastAsia="ru-RU"/>
            </w:rPr>
          </w:pPr>
          <w:hyperlink w:anchor="_Toc127129417" w:history="1">
            <w:r w:rsidR="00D8466D" w:rsidRPr="00D8466D">
              <w:rPr>
                <w:rStyle w:val="Hyperlink"/>
                <w:rFonts w:asciiTheme="majorHAnsi" w:hAnsiTheme="majorHAnsi" w:cstheme="majorHAnsi"/>
                <w:b/>
                <w:noProof/>
                <w:lang w:val="ru-MD"/>
              </w:rPr>
              <w:t>4.5.3.</w:t>
            </w:r>
            <w:r w:rsidR="00D8466D" w:rsidRPr="00D8466D">
              <w:rPr>
                <w:rFonts w:asciiTheme="majorHAnsi" w:eastAsiaTheme="minorEastAsia" w:hAnsiTheme="majorHAnsi" w:cstheme="majorHAnsi"/>
                <w:noProof/>
                <w:lang w:eastAsia="ru-RU"/>
              </w:rPr>
              <w:tab/>
            </w:r>
            <w:r w:rsidR="00D8466D" w:rsidRPr="00D8466D">
              <w:rPr>
                <w:rStyle w:val="Hyperlink"/>
                <w:rFonts w:asciiTheme="majorHAnsi" w:hAnsiTheme="majorHAnsi" w:cstheme="majorHAnsi"/>
                <w:b/>
                <w:noProof/>
                <w:lang w:val="ru-MD"/>
              </w:rPr>
              <w:t>Деятельность Управления посттаможенного контроля ТС по проведению аудита после таможенного оформления и перепроверке таможенных деклараций</w:t>
            </w:r>
            <w:r w:rsidR="00D8466D" w:rsidRPr="00D8466D">
              <w:rPr>
                <w:rFonts w:asciiTheme="majorHAnsi" w:hAnsiTheme="majorHAnsi" w:cstheme="majorHAnsi"/>
                <w:noProof/>
                <w:webHidden/>
              </w:rPr>
              <w:tab/>
            </w:r>
            <w:r w:rsidR="00D8466D" w:rsidRPr="00D8466D">
              <w:rPr>
                <w:rFonts w:asciiTheme="majorHAnsi" w:hAnsiTheme="majorHAnsi" w:cstheme="majorHAnsi"/>
                <w:noProof/>
                <w:webHidden/>
              </w:rPr>
              <w:fldChar w:fldCharType="begin"/>
            </w:r>
            <w:r w:rsidR="00D8466D" w:rsidRPr="00D8466D">
              <w:rPr>
                <w:rFonts w:asciiTheme="majorHAnsi" w:hAnsiTheme="majorHAnsi" w:cstheme="majorHAnsi"/>
                <w:noProof/>
                <w:webHidden/>
              </w:rPr>
              <w:instrText xml:space="preserve"> PAGEREF _Toc127129417 \h </w:instrText>
            </w:r>
            <w:r w:rsidR="00D8466D" w:rsidRPr="00D8466D">
              <w:rPr>
                <w:rFonts w:asciiTheme="majorHAnsi" w:hAnsiTheme="majorHAnsi" w:cstheme="majorHAnsi"/>
                <w:noProof/>
                <w:webHidden/>
              </w:rPr>
            </w:r>
            <w:r w:rsidR="00D8466D" w:rsidRPr="00D8466D">
              <w:rPr>
                <w:rFonts w:asciiTheme="majorHAnsi" w:hAnsiTheme="majorHAnsi" w:cstheme="majorHAnsi"/>
                <w:noProof/>
                <w:webHidden/>
              </w:rPr>
              <w:fldChar w:fldCharType="separate"/>
            </w:r>
            <w:r w:rsidR="00D8466D" w:rsidRPr="00D8466D">
              <w:rPr>
                <w:rFonts w:asciiTheme="majorHAnsi" w:hAnsiTheme="majorHAnsi" w:cstheme="majorHAnsi"/>
                <w:noProof/>
                <w:webHidden/>
              </w:rPr>
              <w:t>44</w:t>
            </w:r>
            <w:r w:rsidR="00D8466D" w:rsidRPr="00D8466D">
              <w:rPr>
                <w:rFonts w:asciiTheme="majorHAnsi" w:hAnsiTheme="majorHAnsi" w:cstheme="majorHAnsi"/>
                <w:noProof/>
                <w:webHidden/>
              </w:rPr>
              <w:fldChar w:fldCharType="end"/>
            </w:r>
          </w:hyperlink>
        </w:p>
        <w:p w14:paraId="34714D63" w14:textId="0AE204DA" w:rsidR="00D8466D" w:rsidRPr="00D8466D" w:rsidRDefault="00531D5D">
          <w:pPr>
            <w:pStyle w:val="TOC3"/>
            <w:rPr>
              <w:rFonts w:asciiTheme="majorHAnsi" w:eastAsiaTheme="minorEastAsia" w:hAnsiTheme="majorHAnsi" w:cstheme="majorHAnsi"/>
              <w:noProof/>
              <w:lang w:eastAsia="ru-RU"/>
            </w:rPr>
          </w:pPr>
          <w:hyperlink w:anchor="_Toc127129418" w:history="1">
            <w:r w:rsidR="00D8466D" w:rsidRPr="00D8466D">
              <w:rPr>
                <w:rStyle w:val="Hyperlink"/>
                <w:rFonts w:asciiTheme="majorHAnsi" w:hAnsiTheme="majorHAnsi" w:cstheme="majorHAnsi"/>
                <w:b/>
                <w:noProof/>
              </w:rPr>
              <w:t>4.5.4.</w:t>
            </w:r>
            <w:r w:rsidR="00D8466D" w:rsidRPr="00D8466D">
              <w:rPr>
                <w:rFonts w:asciiTheme="majorHAnsi" w:eastAsiaTheme="minorEastAsia" w:hAnsiTheme="majorHAnsi" w:cstheme="majorHAnsi"/>
                <w:noProof/>
                <w:lang w:eastAsia="ru-RU"/>
              </w:rPr>
              <w:tab/>
            </w:r>
            <w:r w:rsidR="00D8466D" w:rsidRPr="00D8466D">
              <w:rPr>
                <w:rStyle w:val="Hyperlink"/>
                <w:rFonts w:asciiTheme="majorHAnsi" w:hAnsiTheme="majorHAnsi" w:cstheme="majorHAnsi"/>
                <w:b/>
                <w:noProof/>
              </w:rPr>
              <w:t>Выполнение предыдущих рекомендаций Счетной палаты</w:t>
            </w:r>
            <w:r w:rsidR="00D8466D" w:rsidRPr="00D8466D">
              <w:rPr>
                <w:rFonts w:asciiTheme="majorHAnsi" w:hAnsiTheme="majorHAnsi" w:cstheme="majorHAnsi"/>
                <w:noProof/>
                <w:webHidden/>
              </w:rPr>
              <w:tab/>
            </w:r>
            <w:r w:rsidR="00D8466D" w:rsidRPr="00D8466D">
              <w:rPr>
                <w:rFonts w:asciiTheme="majorHAnsi" w:hAnsiTheme="majorHAnsi" w:cstheme="majorHAnsi"/>
                <w:noProof/>
                <w:webHidden/>
              </w:rPr>
              <w:fldChar w:fldCharType="begin"/>
            </w:r>
            <w:r w:rsidR="00D8466D" w:rsidRPr="00D8466D">
              <w:rPr>
                <w:rFonts w:asciiTheme="majorHAnsi" w:hAnsiTheme="majorHAnsi" w:cstheme="majorHAnsi"/>
                <w:noProof/>
                <w:webHidden/>
              </w:rPr>
              <w:instrText xml:space="preserve"> PAGEREF _Toc127129418 \h </w:instrText>
            </w:r>
            <w:r w:rsidR="00D8466D" w:rsidRPr="00D8466D">
              <w:rPr>
                <w:rFonts w:asciiTheme="majorHAnsi" w:hAnsiTheme="majorHAnsi" w:cstheme="majorHAnsi"/>
                <w:noProof/>
                <w:webHidden/>
              </w:rPr>
            </w:r>
            <w:r w:rsidR="00D8466D" w:rsidRPr="00D8466D">
              <w:rPr>
                <w:rFonts w:asciiTheme="majorHAnsi" w:hAnsiTheme="majorHAnsi" w:cstheme="majorHAnsi"/>
                <w:noProof/>
                <w:webHidden/>
              </w:rPr>
              <w:fldChar w:fldCharType="separate"/>
            </w:r>
            <w:r w:rsidR="00D8466D" w:rsidRPr="00D8466D">
              <w:rPr>
                <w:rFonts w:asciiTheme="majorHAnsi" w:hAnsiTheme="majorHAnsi" w:cstheme="majorHAnsi"/>
                <w:noProof/>
                <w:webHidden/>
              </w:rPr>
              <w:t>45</w:t>
            </w:r>
            <w:r w:rsidR="00D8466D" w:rsidRPr="00D8466D">
              <w:rPr>
                <w:rFonts w:asciiTheme="majorHAnsi" w:hAnsiTheme="majorHAnsi" w:cstheme="majorHAnsi"/>
                <w:noProof/>
                <w:webHidden/>
              </w:rPr>
              <w:fldChar w:fldCharType="end"/>
            </w:r>
          </w:hyperlink>
        </w:p>
        <w:p w14:paraId="79B2A907" w14:textId="2055DB59" w:rsidR="00D8466D" w:rsidRPr="00D8466D" w:rsidRDefault="00531D5D">
          <w:pPr>
            <w:pStyle w:val="TOC1"/>
            <w:rPr>
              <w:rFonts w:asciiTheme="majorHAnsi" w:eastAsiaTheme="minorEastAsia" w:hAnsiTheme="majorHAnsi" w:cstheme="majorHAnsi"/>
              <w:b w:val="0"/>
              <w:lang w:val="ru-RU" w:eastAsia="ru-RU"/>
            </w:rPr>
          </w:pPr>
          <w:hyperlink w:anchor="_Toc127129419" w:history="1">
            <w:r w:rsidR="00D8466D" w:rsidRPr="00D8466D">
              <w:rPr>
                <w:rStyle w:val="Hyperlink"/>
                <w:rFonts w:asciiTheme="majorHAnsi" w:hAnsiTheme="majorHAnsi" w:cstheme="majorHAnsi"/>
                <w:lang w:bidi="en-US"/>
              </w:rPr>
              <w:t>V.</w:t>
            </w:r>
            <w:r w:rsidR="00D8466D" w:rsidRPr="00D8466D">
              <w:rPr>
                <w:rFonts w:asciiTheme="majorHAnsi" w:eastAsiaTheme="minorEastAsia" w:hAnsiTheme="majorHAnsi" w:cstheme="majorHAnsi"/>
                <w:b w:val="0"/>
                <w:lang w:val="ru-RU" w:eastAsia="ru-RU"/>
              </w:rPr>
              <w:tab/>
            </w:r>
            <w:r w:rsidR="00D8466D" w:rsidRPr="00D8466D">
              <w:rPr>
                <w:rStyle w:val="Hyperlink"/>
                <w:rFonts w:asciiTheme="majorHAnsi" w:hAnsiTheme="majorHAnsi" w:cstheme="majorHAnsi"/>
                <w:lang w:val="ru-RU"/>
              </w:rPr>
              <w:t>ОБЩИЙ ВЫВОД</w:t>
            </w:r>
            <w:r w:rsidR="00D8466D" w:rsidRPr="00D8466D">
              <w:rPr>
                <w:rFonts w:asciiTheme="majorHAnsi" w:hAnsiTheme="majorHAnsi" w:cstheme="majorHAnsi"/>
                <w:webHidden/>
              </w:rPr>
              <w:tab/>
            </w:r>
            <w:r w:rsidR="00D8466D" w:rsidRPr="00D8466D">
              <w:rPr>
                <w:rFonts w:asciiTheme="majorHAnsi" w:hAnsiTheme="majorHAnsi" w:cstheme="majorHAnsi"/>
                <w:webHidden/>
              </w:rPr>
              <w:fldChar w:fldCharType="begin"/>
            </w:r>
            <w:r w:rsidR="00D8466D" w:rsidRPr="00D8466D">
              <w:rPr>
                <w:rFonts w:asciiTheme="majorHAnsi" w:hAnsiTheme="majorHAnsi" w:cstheme="majorHAnsi"/>
                <w:webHidden/>
              </w:rPr>
              <w:instrText xml:space="preserve"> PAGEREF _Toc127129419 \h </w:instrText>
            </w:r>
            <w:r w:rsidR="00D8466D" w:rsidRPr="00D8466D">
              <w:rPr>
                <w:rFonts w:asciiTheme="majorHAnsi" w:hAnsiTheme="majorHAnsi" w:cstheme="majorHAnsi"/>
                <w:webHidden/>
              </w:rPr>
            </w:r>
            <w:r w:rsidR="00D8466D" w:rsidRPr="00D8466D">
              <w:rPr>
                <w:rFonts w:asciiTheme="majorHAnsi" w:hAnsiTheme="majorHAnsi" w:cstheme="majorHAnsi"/>
                <w:webHidden/>
              </w:rPr>
              <w:fldChar w:fldCharType="separate"/>
            </w:r>
            <w:r w:rsidR="00D8466D" w:rsidRPr="00D8466D">
              <w:rPr>
                <w:rFonts w:asciiTheme="majorHAnsi" w:hAnsiTheme="majorHAnsi" w:cstheme="majorHAnsi"/>
                <w:webHidden/>
              </w:rPr>
              <w:t>45</w:t>
            </w:r>
            <w:r w:rsidR="00D8466D" w:rsidRPr="00D8466D">
              <w:rPr>
                <w:rFonts w:asciiTheme="majorHAnsi" w:hAnsiTheme="majorHAnsi" w:cstheme="majorHAnsi"/>
                <w:webHidden/>
              </w:rPr>
              <w:fldChar w:fldCharType="end"/>
            </w:r>
          </w:hyperlink>
        </w:p>
        <w:p w14:paraId="560B581E" w14:textId="5B058A5B" w:rsidR="00D8466D" w:rsidRPr="00D8466D" w:rsidRDefault="00531D5D">
          <w:pPr>
            <w:pStyle w:val="TOC1"/>
            <w:rPr>
              <w:rFonts w:asciiTheme="majorHAnsi" w:eastAsiaTheme="minorEastAsia" w:hAnsiTheme="majorHAnsi" w:cstheme="majorHAnsi"/>
              <w:b w:val="0"/>
              <w:lang w:val="ru-RU" w:eastAsia="ru-RU"/>
            </w:rPr>
          </w:pPr>
          <w:hyperlink w:anchor="_Toc127129420" w:history="1">
            <w:r w:rsidR="00D8466D" w:rsidRPr="00D8466D">
              <w:rPr>
                <w:rStyle w:val="Hyperlink"/>
                <w:rFonts w:asciiTheme="majorHAnsi" w:hAnsiTheme="majorHAnsi" w:cstheme="majorHAnsi"/>
              </w:rPr>
              <w:t>VI.</w:t>
            </w:r>
            <w:r w:rsidR="00D8466D" w:rsidRPr="00D8466D">
              <w:rPr>
                <w:rFonts w:asciiTheme="majorHAnsi" w:eastAsiaTheme="minorEastAsia" w:hAnsiTheme="majorHAnsi" w:cstheme="majorHAnsi"/>
                <w:b w:val="0"/>
                <w:lang w:val="ru-RU" w:eastAsia="ru-RU"/>
              </w:rPr>
              <w:tab/>
            </w:r>
            <w:r w:rsidR="00D8466D" w:rsidRPr="00D8466D">
              <w:rPr>
                <w:rStyle w:val="Hyperlink"/>
                <w:rFonts w:asciiTheme="majorHAnsi" w:hAnsiTheme="majorHAnsi" w:cstheme="majorHAnsi"/>
                <w:lang w:val="ru-RU"/>
              </w:rPr>
              <w:t>РЕКОМЕНДАЦИИ</w:t>
            </w:r>
            <w:r w:rsidR="00D8466D" w:rsidRPr="00D8466D">
              <w:rPr>
                <w:rFonts w:asciiTheme="majorHAnsi" w:hAnsiTheme="majorHAnsi" w:cstheme="majorHAnsi"/>
                <w:webHidden/>
              </w:rPr>
              <w:tab/>
            </w:r>
            <w:r w:rsidR="00D8466D" w:rsidRPr="00D8466D">
              <w:rPr>
                <w:rFonts w:asciiTheme="majorHAnsi" w:hAnsiTheme="majorHAnsi" w:cstheme="majorHAnsi"/>
                <w:webHidden/>
              </w:rPr>
              <w:fldChar w:fldCharType="begin"/>
            </w:r>
            <w:r w:rsidR="00D8466D" w:rsidRPr="00D8466D">
              <w:rPr>
                <w:rFonts w:asciiTheme="majorHAnsi" w:hAnsiTheme="majorHAnsi" w:cstheme="majorHAnsi"/>
                <w:webHidden/>
              </w:rPr>
              <w:instrText xml:space="preserve"> PAGEREF _Toc127129420 \h </w:instrText>
            </w:r>
            <w:r w:rsidR="00D8466D" w:rsidRPr="00D8466D">
              <w:rPr>
                <w:rFonts w:asciiTheme="majorHAnsi" w:hAnsiTheme="majorHAnsi" w:cstheme="majorHAnsi"/>
                <w:webHidden/>
              </w:rPr>
            </w:r>
            <w:r w:rsidR="00D8466D" w:rsidRPr="00D8466D">
              <w:rPr>
                <w:rFonts w:asciiTheme="majorHAnsi" w:hAnsiTheme="majorHAnsi" w:cstheme="majorHAnsi"/>
                <w:webHidden/>
              </w:rPr>
              <w:fldChar w:fldCharType="separate"/>
            </w:r>
            <w:r w:rsidR="00D8466D" w:rsidRPr="00D8466D">
              <w:rPr>
                <w:rFonts w:asciiTheme="majorHAnsi" w:hAnsiTheme="majorHAnsi" w:cstheme="majorHAnsi"/>
                <w:webHidden/>
              </w:rPr>
              <w:t>46</w:t>
            </w:r>
            <w:r w:rsidR="00D8466D" w:rsidRPr="00D8466D">
              <w:rPr>
                <w:rFonts w:asciiTheme="majorHAnsi" w:hAnsiTheme="majorHAnsi" w:cstheme="majorHAnsi"/>
                <w:webHidden/>
              </w:rPr>
              <w:fldChar w:fldCharType="end"/>
            </w:r>
          </w:hyperlink>
        </w:p>
        <w:p w14:paraId="0C406A5E" w14:textId="7BAFCF7E" w:rsidR="00D8466D" w:rsidRPr="00D8466D" w:rsidRDefault="00531D5D">
          <w:pPr>
            <w:pStyle w:val="TOC1"/>
            <w:rPr>
              <w:rFonts w:asciiTheme="majorHAnsi" w:eastAsiaTheme="minorEastAsia" w:hAnsiTheme="majorHAnsi" w:cstheme="majorHAnsi"/>
              <w:b w:val="0"/>
              <w:lang w:val="ru-RU" w:eastAsia="ru-RU"/>
            </w:rPr>
          </w:pPr>
          <w:hyperlink w:anchor="_Toc127129421" w:history="1">
            <w:r w:rsidR="00D8466D" w:rsidRPr="00D8466D">
              <w:rPr>
                <w:rStyle w:val="Hyperlink"/>
                <w:rFonts w:asciiTheme="majorHAnsi" w:hAnsiTheme="majorHAnsi" w:cstheme="majorHAnsi"/>
                <w:lang w:val="ro-RO"/>
              </w:rPr>
              <w:t xml:space="preserve">VII. </w:t>
            </w:r>
            <w:r w:rsidR="00D8466D" w:rsidRPr="00D8466D">
              <w:rPr>
                <w:rStyle w:val="Hyperlink"/>
                <w:rFonts w:asciiTheme="majorHAnsi" w:hAnsiTheme="majorHAnsi" w:cstheme="majorHAnsi"/>
              </w:rPr>
              <w:t>ПРИЛОЖЕНИЯ</w:t>
            </w:r>
            <w:r w:rsidR="00D8466D" w:rsidRPr="00D8466D">
              <w:rPr>
                <w:rFonts w:asciiTheme="majorHAnsi" w:hAnsiTheme="majorHAnsi" w:cstheme="majorHAnsi"/>
                <w:webHidden/>
              </w:rPr>
              <w:tab/>
            </w:r>
            <w:r w:rsidR="00D8466D" w:rsidRPr="00D8466D">
              <w:rPr>
                <w:rFonts w:asciiTheme="majorHAnsi" w:hAnsiTheme="majorHAnsi" w:cstheme="majorHAnsi"/>
                <w:webHidden/>
              </w:rPr>
              <w:fldChar w:fldCharType="begin"/>
            </w:r>
            <w:r w:rsidR="00D8466D" w:rsidRPr="00D8466D">
              <w:rPr>
                <w:rFonts w:asciiTheme="majorHAnsi" w:hAnsiTheme="majorHAnsi" w:cstheme="majorHAnsi"/>
                <w:webHidden/>
              </w:rPr>
              <w:instrText xml:space="preserve"> PAGEREF _Toc127129421 \h </w:instrText>
            </w:r>
            <w:r w:rsidR="00D8466D" w:rsidRPr="00D8466D">
              <w:rPr>
                <w:rFonts w:asciiTheme="majorHAnsi" w:hAnsiTheme="majorHAnsi" w:cstheme="majorHAnsi"/>
                <w:webHidden/>
              </w:rPr>
            </w:r>
            <w:r w:rsidR="00D8466D" w:rsidRPr="00D8466D">
              <w:rPr>
                <w:rFonts w:asciiTheme="majorHAnsi" w:hAnsiTheme="majorHAnsi" w:cstheme="majorHAnsi"/>
                <w:webHidden/>
              </w:rPr>
              <w:fldChar w:fldCharType="separate"/>
            </w:r>
            <w:r w:rsidR="00D8466D" w:rsidRPr="00D8466D">
              <w:rPr>
                <w:rFonts w:asciiTheme="majorHAnsi" w:hAnsiTheme="majorHAnsi" w:cstheme="majorHAnsi"/>
                <w:webHidden/>
              </w:rPr>
              <w:t>48</w:t>
            </w:r>
            <w:r w:rsidR="00D8466D" w:rsidRPr="00D8466D">
              <w:rPr>
                <w:rFonts w:asciiTheme="majorHAnsi" w:hAnsiTheme="majorHAnsi" w:cstheme="majorHAnsi"/>
                <w:webHidden/>
              </w:rPr>
              <w:fldChar w:fldCharType="end"/>
            </w:r>
          </w:hyperlink>
        </w:p>
        <w:p w14:paraId="2606970D" w14:textId="4E616B0E" w:rsidR="00F44512" w:rsidRPr="00D8466D" w:rsidRDefault="00F44512" w:rsidP="00B64435">
          <w:pPr>
            <w:pStyle w:val="TOC2"/>
            <w:rPr>
              <w:rFonts w:asciiTheme="majorHAnsi" w:hAnsiTheme="majorHAnsi" w:cstheme="majorHAnsi"/>
              <w:noProof/>
              <w:lang w:val="ro-RO"/>
            </w:rPr>
          </w:pPr>
          <w:r w:rsidRPr="00D8466D">
            <w:rPr>
              <w:rFonts w:asciiTheme="majorHAnsi" w:hAnsiTheme="majorHAnsi" w:cstheme="majorHAnsi"/>
              <w:noProof/>
              <w:lang w:val="ro-RO"/>
            </w:rPr>
            <w:fldChar w:fldCharType="end"/>
          </w:r>
        </w:p>
      </w:sdtContent>
    </w:sdt>
    <w:p w14:paraId="725B69FA" w14:textId="77777777" w:rsidR="00B90D3C" w:rsidRPr="002D0FD1" w:rsidRDefault="00B90D3C" w:rsidP="00845444">
      <w:pPr>
        <w:jc w:val="center"/>
        <w:rPr>
          <w:rFonts w:asciiTheme="majorHAnsi" w:hAnsiTheme="majorHAnsi" w:cstheme="majorHAnsi"/>
          <w:b/>
          <w:noProof/>
          <w:sz w:val="28"/>
          <w:szCs w:val="28"/>
          <w:lang w:val="ru-MD"/>
        </w:rPr>
      </w:pPr>
    </w:p>
    <w:p w14:paraId="0183A73C" w14:textId="0767120B" w:rsidR="00A86EE1" w:rsidRPr="002D0FD1" w:rsidRDefault="000738B1" w:rsidP="00845444">
      <w:pPr>
        <w:jc w:val="center"/>
        <w:rPr>
          <w:rFonts w:asciiTheme="majorHAnsi" w:hAnsiTheme="majorHAnsi" w:cstheme="majorHAnsi"/>
          <w:b/>
          <w:noProof/>
          <w:sz w:val="28"/>
          <w:szCs w:val="28"/>
          <w:lang w:val="ru-MD"/>
        </w:rPr>
      </w:pPr>
      <w:bookmarkStart w:id="1" w:name="_Toc27128879"/>
      <w:bookmarkStart w:id="2" w:name="_Toc57308257"/>
      <w:r w:rsidRPr="002D0FD1">
        <w:rPr>
          <w:rFonts w:asciiTheme="majorHAnsi" w:hAnsiTheme="majorHAnsi" w:cstheme="majorHAnsi"/>
          <w:b/>
          <w:noProof/>
          <w:sz w:val="28"/>
          <w:szCs w:val="28"/>
          <w:lang w:val="ru-MD"/>
        </w:rPr>
        <w:t>СПИСОК АКРОНИМОВ</w:t>
      </w:r>
      <w:bookmarkEnd w:id="1"/>
      <w:bookmarkEnd w:id="2"/>
      <w:r w:rsidRPr="002D0FD1">
        <w:rPr>
          <w:rFonts w:asciiTheme="majorHAnsi" w:hAnsiTheme="majorHAnsi" w:cstheme="majorHAnsi"/>
          <w:b/>
          <w:noProof/>
          <w:sz w:val="28"/>
          <w:szCs w:val="28"/>
          <w:lang w:val="ru-MD"/>
        </w:rPr>
        <w:t xml:space="preserve"> </w:t>
      </w:r>
    </w:p>
    <w:tbl>
      <w:tblPr>
        <w:tblStyle w:val="TableGrid"/>
        <w:tblW w:w="9360" w:type="dxa"/>
        <w:jc w:val="center"/>
        <w:tblLook w:val="04A0" w:firstRow="1" w:lastRow="0" w:firstColumn="1" w:lastColumn="0" w:noHBand="0" w:noVBand="1"/>
      </w:tblPr>
      <w:tblGrid>
        <w:gridCol w:w="2790"/>
        <w:gridCol w:w="6570"/>
      </w:tblGrid>
      <w:tr w:rsidR="00A86EE1" w:rsidRPr="002D0FD1" w14:paraId="3EA4634C" w14:textId="77777777" w:rsidTr="00D06392">
        <w:trPr>
          <w:trHeight w:val="20"/>
          <w:jc w:val="center"/>
        </w:trPr>
        <w:tc>
          <w:tcPr>
            <w:tcW w:w="2790" w:type="dxa"/>
          </w:tcPr>
          <w:p w14:paraId="32B347BE" w14:textId="175FDAED" w:rsidR="00A86EE1" w:rsidRPr="002D0FD1" w:rsidRDefault="000738B1" w:rsidP="00E157EC">
            <w:pPr>
              <w:spacing w:after="0" w:line="240" w:lineRule="auto"/>
              <w:rPr>
                <w:rFonts w:asciiTheme="majorHAnsi" w:eastAsia="Times New Roman" w:hAnsiTheme="majorHAnsi" w:cstheme="majorHAnsi"/>
                <w:b/>
                <w:noProof/>
                <w:color w:val="000000"/>
                <w:sz w:val="24"/>
                <w:szCs w:val="24"/>
                <w:lang w:val="ru-MD"/>
              </w:rPr>
            </w:pPr>
            <w:r w:rsidRPr="002D0FD1">
              <w:rPr>
                <w:rFonts w:asciiTheme="majorHAnsi" w:eastAsia="Times New Roman" w:hAnsiTheme="majorHAnsi" w:cstheme="majorHAnsi"/>
                <w:b/>
                <w:noProof/>
                <w:color w:val="000000"/>
                <w:sz w:val="24"/>
                <w:szCs w:val="24"/>
                <w:lang w:val="ru-MD"/>
              </w:rPr>
              <w:t>МФ</w:t>
            </w:r>
          </w:p>
        </w:tc>
        <w:tc>
          <w:tcPr>
            <w:tcW w:w="6570" w:type="dxa"/>
          </w:tcPr>
          <w:p w14:paraId="22D41E8A" w14:textId="24971056" w:rsidR="00A86EE1" w:rsidRPr="002D0FD1" w:rsidRDefault="000738B1" w:rsidP="00E157EC">
            <w:pPr>
              <w:spacing w:after="0" w:line="240" w:lineRule="auto"/>
              <w:rPr>
                <w:rFonts w:asciiTheme="majorHAnsi" w:eastAsia="Times New Roman" w:hAnsiTheme="majorHAnsi" w:cstheme="majorHAnsi"/>
                <w:noProof/>
                <w:color w:val="000000"/>
                <w:sz w:val="24"/>
                <w:szCs w:val="24"/>
                <w:lang w:val="ru-MD"/>
              </w:rPr>
            </w:pPr>
            <w:r w:rsidRPr="002D0FD1">
              <w:rPr>
                <w:rFonts w:asciiTheme="majorHAnsi" w:hAnsiTheme="majorHAnsi" w:cstheme="majorHAnsi"/>
                <w:sz w:val="24"/>
                <w:szCs w:val="24"/>
                <w:lang w:val="ru-MD"/>
              </w:rPr>
              <w:t>Министерство финансов</w:t>
            </w:r>
          </w:p>
        </w:tc>
      </w:tr>
      <w:tr w:rsidR="00A86EE1" w:rsidRPr="002D0FD1" w14:paraId="3F8CD4A2" w14:textId="77777777" w:rsidTr="00D06392">
        <w:trPr>
          <w:trHeight w:val="20"/>
          <w:jc w:val="center"/>
        </w:trPr>
        <w:tc>
          <w:tcPr>
            <w:tcW w:w="2790" w:type="dxa"/>
          </w:tcPr>
          <w:p w14:paraId="43821D8F" w14:textId="241F651D" w:rsidR="00A86EE1" w:rsidRPr="002D0FD1" w:rsidRDefault="00FC0C16" w:rsidP="00FC0C16">
            <w:pPr>
              <w:spacing w:after="0" w:line="240" w:lineRule="auto"/>
              <w:rPr>
                <w:rFonts w:asciiTheme="majorHAnsi" w:eastAsia="Times New Roman" w:hAnsiTheme="majorHAnsi" w:cstheme="majorHAnsi"/>
                <w:b/>
                <w:noProof/>
                <w:color w:val="000000"/>
                <w:sz w:val="24"/>
                <w:szCs w:val="24"/>
                <w:lang w:val="ru-MD"/>
              </w:rPr>
            </w:pPr>
            <w:r w:rsidRPr="002D0FD1">
              <w:rPr>
                <w:rFonts w:asciiTheme="majorHAnsi" w:eastAsia="Times New Roman" w:hAnsiTheme="majorHAnsi" w:cstheme="majorHAnsi"/>
                <w:b/>
                <w:noProof/>
                <w:color w:val="000000"/>
                <w:sz w:val="24"/>
                <w:szCs w:val="24"/>
                <w:lang w:val="ru-MD"/>
              </w:rPr>
              <w:t>МЭИ</w:t>
            </w:r>
          </w:p>
        </w:tc>
        <w:tc>
          <w:tcPr>
            <w:tcW w:w="6570" w:type="dxa"/>
          </w:tcPr>
          <w:p w14:paraId="71B4C8EB" w14:textId="21B1D143" w:rsidR="00A86EE1" w:rsidRPr="002D0FD1" w:rsidRDefault="00FC0C16" w:rsidP="00E157EC">
            <w:pPr>
              <w:spacing w:after="0" w:line="240" w:lineRule="auto"/>
              <w:rPr>
                <w:rFonts w:asciiTheme="majorHAnsi" w:eastAsia="Times New Roman" w:hAnsiTheme="majorHAnsi" w:cstheme="majorHAnsi"/>
                <w:noProof/>
                <w:color w:val="000000"/>
                <w:sz w:val="24"/>
                <w:szCs w:val="24"/>
                <w:lang w:val="ru-MD"/>
              </w:rPr>
            </w:pPr>
            <w:r w:rsidRPr="002D0FD1">
              <w:rPr>
                <w:rFonts w:asciiTheme="majorHAnsi" w:eastAsia="Times New Roman" w:hAnsiTheme="majorHAnsi" w:cstheme="majorHAnsi"/>
                <w:noProof/>
                <w:color w:val="000000"/>
                <w:sz w:val="24"/>
                <w:szCs w:val="24"/>
                <w:lang w:val="ru-MD"/>
              </w:rPr>
              <w:t>Министерство экономики и инфраструктуры</w:t>
            </w:r>
          </w:p>
        </w:tc>
      </w:tr>
      <w:tr w:rsidR="00A86EE1" w:rsidRPr="002D0FD1" w14:paraId="59821DC2" w14:textId="77777777" w:rsidTr="00D06392">
        <w:trPr>
          <w:jc w:val="center"/>
        </w:trPr>
        <w:tc>
          <w:tcPr>
            <w:tcW w:w="2790" w:type="dxa"/>
          </w:tcPr>
          <w:p w14:paraId="18C62F09" w14:textId="2ECAE992" w:rsidR="00A86EE1" w:rsidRPr="002D0FD1" w:rsidRDefault="00FC0C16" w:rsidP="00FC0C16">
            <w:pPr>
              <w:tabs>
                <w:tab w:val="left" w:pos="450"/>
                <w:tab w:val="left" w:pos="3600"/>
              </w:tabs>
              <w:spacing w:after="0"/>
              <w:ind w:right="9"/>
              <w:rPr>
                <w:rFonts w:asciiTheme="majorHAnsi" w:eastAsia="Times New Roman" w:hAnsiTheme="majorHAnsi" w:cstheme="majorHAnsi"/>
                <w:b/>
                <w:sz w:val="24"/>
                <w:szCs w:val="24"/>
                <w:lang w:val="ru-MD"/>
              </w:rPr>
            </w:pPr>
            <w:r w:rsidRPr="002D0FD1">
              <w:rPr>
                <w:rFonts w:asciiTheme="majorHAnsi" w:eastAsia="Times New Roman" w:hAnsiTheme="majorHAnsi" w:cstheme="majorHAnsi"/>
                <w:b/>
                <w:sz w:val="24"/>
                <w:szCs w:val="24"/>
                <w:lang w:val="ru-MD"/>
              </w:rPr>
              <w:t>ТС</w:t>
            </w:r>
          </w:p>
        </w:tc>
        <w:tc>
          <w:tcPr>
            <w:tcW w:w="6570" w:type="dxa"/>
          </w:tcPr>
          <w:p w14:paraId="06071A21" w14:textId="74E5AC5B" w:rsidR="00A86EE1" w:rsidRPr="002D0FD1" w:rsidRDefault="000738B1" w:rsidP="00A86EE1">
            <w:pPr>
              <w:spacing w:after="0"/>
              <w:rPr>
                <w:rFonts w:asciiTheme="majorHAnsi" w:hAnsiTheme="majorHAnsi" w:cstheme="majorHAnsi"/>
                <w:sz w:val="24"/>
                <w:szCs w:val="24"/>
                <w:lang w:val="ru-MD"/>
              </w:rPr>
            </w:pPr>
            <w:r w:rsidRPr="002D0FD1">
              <w:rPr>
                <w:rFonts w:asciiTheme="majorHAnsi" w:hAnsiTheme="majorHAnsi" w:cstheme="majorHAnsi"/>
                <w:sz w:val="24"/>
                <w:szCs w:val="24"/>
                <w:lang w:val="ru-MD"/>
              </w:rPr>
              <w:t>Таможенная служба</w:t>
            </w:r>
          </w:p>
        </w:tc>
      </w:tr>
      <w:tr w:rsidR="00A86EE1" w:rsidRPr="002D0FD1" w14:paraId="382BFA08" w14:textId="77777777" w:rsidTr="00D06392">
        <w:trPr>
          <w:jc w:val="center"/>
        </w:trPr>
        <w:tc>
          <w:tcPr>
            <w:tcW w:w="2790" w:type="dxa"/>
          </w:tcPr>
          <w:p w14:paraId="6FBC7709" w14:textId="78CC15D6" w:rsidR="00A86EE1" w:rsidRPr="002D0FD1" w:rsidRDefault="00A86EE1" w:rsidP="00FC0C16">
            <w:pPr>
              <w:tabs>
                <w:tab w:val="left" w:pos="450"/>
                <w:tab w:val="left" w:pos="3600"/>
              </w:tabs>
              <w:spacing w:after="0"/>
              <w:ind w:right="9"/>
              <w:rPr>
                <w:rFonts w:asciiTheme="majorHAnsi" w:eastAsia="Times New Roman" w:hAnsiTheme="majorHAnsi" w:cstheme="majorHAnsi"/>
                <w:b/>
                <w:sz w:val="24"/>
                <w:szCs w:val="24"/>
                <w:lang w:val="ru-MD"/>
              </w:rPr>
            </w:pPr>
            <w:r w:rsidRPr="002D0FD1">
              <w:rPr>
                <w:rFonts w:asciiTheme="majorHAnsi" w:eastAsia="Times New Roman" w:hAnsiTheme="majorHAnsi" w:cstheme="majorHAnsi"/>
                <w:b/>
                <w:sz w:val="24"/>
                <w:szCs w:val="24"/>
                <w:lang w:val="ru-MD"/>
              </w:rPr>
              <w:t>B</w:t>
            </w:r>
            <w:r w:rsidR="00FC0C16" w:rsidRPr="002D0FD1">
              <w:rPr>
                <w:rFonts w:asciiTheme="majorHAnsi" w:eastAsia="Times New Roman" w:hAnsiTheme="majorHAnsi" w:cstheme="majorHAnsi"/>
                <w:b/>
                <w:sz w:val="24"/>
                <w:szCs w:val="24"/>
                <w:lang w:val="ru-MD"/>
              </w:rPr>
              <w:t>ТБ</w:t>
            </w:r>
          </w:p>
        </w:tc>
        <w:tc>
          <w:tcPr>
            <w:tcW w:w="6570" w:type="dxa"/>
          </w:tcPr>
          <w:p w14:paraId="2C2F9320" w14:textId="04B8372C" w:rsidR="00A86EE1" w:rsidRPr="002D0FD1" w:rsidRDefault="000738B1" w:rsidP="00A86EE1">
            <w:pPr>
              <w:spacing w:after="0"/>
              <w:rPr>
                <w:rFonts w:asciiTheme="majorHAnsi" w:hAnsiTheme="majorHAnsi" w:cstheme="majorHAnsi"/>
                <w:sz w:val="24"/>
                <w:szCs w:val="24"/>
                <w:lang w:val="ru-MD"/>
              </w:rPr>
            </w:pPr>
            <w:r w:rsidRPr="002D0FD1">
              <w:rPr>
                <w:rFonts w:asciiTheme="majorHAnsi" w:hAnsiTheme="majorHAnsi" w:cstheme="majorHAnsi"/>
                <w:sz w:val="24"/>
                <w:szCs w:val="24"/>
                <w:lang w:val="ru-MD"/>
              </w:rPr>
              <w:t>Таможенное бюро</w:t>
            </w:r>
          </w:p>
        </w:tc>
      </w:tr>
      <w:tr w:rsidR="009F0CA0" w:rsidRPr="002D0FD1" w14:paraId="0786600C" w14:textId="77777777" w:rsidTr="00D06392">
        <w:trPr>
          <w:jc w:val="center"/>
        </w:trPr>
        <w:tc>
          <w:tcPr>
            <w:tcW w:w="2790" w:type="dxa"/>
          </w:tcPr>
          <w:p w14:paraId="0A23E2B8" w14:textId="4E218503" w:rsidR="009F0CA0" w:rsidRPr="002D0FD1" w:rsidRDefault="00FC0C16" w:rsidP="00A86EE1">
            <w:pPr>
              <w:tabs>
                <w:tab w:val="left" w:pos="450"/>
                <w:tab w:val="left" w:pos="3600"/>
              </w:tabs>
              <w:spacing w:after="0"/>
              <w:ind w:right="9"/>
              <w:rPr>
                <w:rFonts w:asciiTheme="majorHAnsi" w:eastAsia="Times New Roman" w:hAnsiTheme="majorHAnsi" w:cstheme="majorHAnsi"/>
                <w:b/>
                <w:sz w:val="24"/>
                <w:szCs w:val="24"/>
                <w:lang w:val="ru-MD"/>
              </w:rPr>
            </w:pPr>
            <w:r w:rsidRPr="002D0FD1">
              <w:rPr>
                <w:rFonts w:asciiTheme="majorHAnsi" w:eastAsia="Times New Roman" w:hAnsiTheme="majorHAnsi" w:cstheme="majorHAnsi"/>
                <w:b/>
                <w:sz w:val="24"/>
                <w:szCs w:val="24"/>
                <w:lang w:val="ru-MD"/>
              </w:rPr>
              <w:t>ВТП</w:t>
            </w:r>
          </w:p>
        </w:tc>
        <w:tc>
          <w:tcPr>
            <w:tcW w:w="6570" w:type="dxa"/>
          </w:tcPr>
          <w:p w14:paraId="1DBD7035" w14:textId="6A9F9D63" w:rsidR="009F0CA0" w:rsidRPr="002D0FD1" w:rsidRDefault="000738B1" w:rsidP="00A86EE1">
            <w:pPr>
              <w:spacing w:after="0"/>
              <w:rPr>
                <w:rFonts w:asciiTheme="majorHAnsi" w:hAnsiTheme="majorHAnsi" w:cstheme="majorHAnsi"/>
                <w:sz w:val="24"/>
                <w:szCs w:val="24"/>
                <w:lang w:val="ru-MD"/>
              </w:rPr>
            </w:pPr>
            <w:r w:rsidRPr="002D0FD1">
              <w:rPr>
                <w:rFonts w:asciiTheme="majorHAnsi" w:hAnsiTheme="majorHAnsi" w:cstheme="majorHAnsi"/>
                <w:sz w:val="24"/>
                <w:szCs w:val="24"/>
                <w:lang w:val="ru-MD"/>
              </w:rPr>
              <w:t>Внутренний таможенный пост</w:t>
            </w:r>
          </w:p>
        </w:tc>
      </w:tr>
      <w:tr w:rsidR="00A86EE1" w:rsidRPr="002D0FD1" w14:paraId="7A2349DE" w14:textId="77777777" w:rsidTr="00D06392">
        <w:trPr>
          <w:jc w:val="center"/>
        </w:trPr>
        <w:tc>
          <w:tcPr>
            <w:tcW w:w="2790" w:type="dxa"/>
          </w:tcPr>
          <w:p w14:paraId="491F6814" w14:textId="28EB23E3" w:rsidR="00A86EE1" w:rsidRPr="002D0FD1" w:rsidRDefault="00FC0C16" w:rsidP="00FC0C16">
            <w:pPr>
              <w:tabs>
                <w:tab w:val="left" w:pos="450"/>
                <w:tab w:val="left" w:pos="3600"/>
              </w:tabs>
              <w:spacing w:after="0"/>
              <w:ind w:right="9"/>
              <w:rPr>
                <w:rFonts w:asciiTheme="majorHAnsi" w:eastAsia="Times New Roman" w:hAnsiTheme="majorHAnsi" w:cstheme="majorHAnsi"/>
                <w:b/>
                <w:sz w:val="24"/>
                <w:szCs w:val="24"/>
                <w:lang w:val="ru-MD"/>
              </w:rPr>
            </w:pPr>
            <w:r w:rsidRPr="002D0FD1">
              <w:rPr>
                <w:rFonts w:asciiTheme="majorHAnsi" w:eastAsia="Times New Roman" w:hAnsiTheme="majorHAnsi" w:cstheme="majorHAnsi"/>
                <w:b/>
                <w:sz w:val="24"/>
                <w:szCs w:val="24"/>
                <w:lang w:val="ru-MD"/>
              </w:rPr>
              <w:t>СПРМ</w:t>
            </w:r>
          </w:p>
        </w:tc>
        <w:tc>
          <w:tcPr>
            <w:tcW w:w="6570" w:type="dxa"/>
          </w:tcPr>
          <w:p w14:paraId="54E89830" w14:textId="47158FBA" w:rsidR="00A86EE1" w:rsidRPr="002D0FD1" w:rsidRDefault="000738B1" w:rsidP="00A86EE1">
            <w:pPr>
              <w:spacing w:after="0"/>
              <w:rPr>
                <w:rFonts w:asciiTheme="majorHAnsi" w:hAnsiTheme="majorHAnsi" w:cstheme="majorHAnsi"/>
                <w:sz w:val="24"/>
                <w:szCs w:val="24"/>
                <w:lang w:val="ru-MD"/>
              </w:rPr>
            </w:pPr>
            <w:r w:rsidRPr="002D0FD1">
              <w:rPr>
                <w:rFonts w:asciiTheme="majorHAnsi" w:hAnsiTheme="majorHAnsi" w:cstheme="majorHAnsi"/>
                <w:sz w:val="24"/>
                <w:szCs w:val="24"/>
                <w:lang w:val="ru-MD"/>
              </w:rPr>
              <w:t>Счетная палата Республики Молдова</w:t>
            </w:r>
          </w:p>
        </w:tc>
      </w:tr>
      <w:tr w:rsidR="00A86EE1" w:rsidRPr="002D0FD1" w14:paraId="2F335593" w14:textId="77777777" w:rsidTr="00D06392">
        <w:trPr>
          <w:jc w:val="center"/>
        </w:trPr>
        <w:tc>
          <w:tcPr>
            <w:tcW w:w="2790" w:type="dxa"/>
          </w:tcPr>
          <w:p w14:paraId="36D5C116" w14:textId="08493777" w:rsidR="00A86EE1" w:rsidRPr="002D0FD1" w:rsidRDefault="00FC0C16" w:rsidP="00A86EE1">
            <w:pPr>
              <w:tabs>
                <w:tab w:val="left" w:pos="450"/>
                <w:tab w:val="left" w:pos="3600"/>
              </w:tabs>
              <w:spacing w:after="0"/>
              <w:ind w:right="9"/>
              <w:rPr>
                <w:rFonts w:asciiTheme="majorHAnsi" w:eastAsia="Times New Roman" w:hAnsiTheme="majorHAnsi" w:cstheme="majorHAnsi"/>
                <w:b/>
                <w:sz w:val="24"/>
                <w:szCs w:val="24"/>
                <w:lang w:val="ru-MD"/>
              </w:rPr>
            </w:pPr>
            <w:r w:rsidRPr="002D0FD1">
              <w:rPr>
                <w:rFonts w:asciiTheme="majorHAnsi" w:eastAsia="Times New Roman" w:hAnsiTheme="majorHAnsi" w:cstheme="majorHAnsi"/>
                <w:b/>
                <w:sz w:val="24"/>
                <w:szCs w:val="24"/>
                <w:lang w:val="ru-MD"/>
              </w:rPr>
              <w:t>НК</w:t>
            </w:r>
          </w:p>
        </w:tc>
        <w:tc>
          <w:tcPr>
            <w:tcW w:w="6570" w:type="dxa"/>
          </w:tcPr>
          <w:p w14:paraId="415D3126" w14:textId="1CA1B2F2" w:rsidR="00A86EE1" w:rsidRPr="002D0FD1" w:rsidRDefault="000738B1" w:rsidP="00A86EE1">
            <w:pPr>
              <w:spacing w:after="0"/>
              <w:rPr>
                <w:rFonts w:asciiTheme="majorHAnsi" w:hAnsiTheme="majorHAnsi" w:cstheme="majorHAnsi"/>
                <w:sz w:val="24"/>
                <w:szCs w:val="24"/>
                <w:lang w:val="ru-MD"/>
              </w:rPr>
            </w:pPr>
            <w:r w:rsidRPr="002D0FD1">
              <w:rPr>
                <w:rFonts w:asciiTheme="majorHAnsi" w:hAnsiTheme="majorHAnsi" w:cstheme="majorHAnsi"/>
                <w:sz w:val="24"/>
                <w:szCs w:val="24"/>
                <w:lang w:val="ru-MD"/>
              </w:rPr>
              <w:t>Налоговый кодекс</w:t>
            </w:r>
          </w:p>
        </w:tc>
      </w:tr>
      <w:tr w:rsidR="00A86EE1" w:rsidRPr="002D0FD1" w14:paraId="24350683" w14:textId="77777777" w:rsidTr="00D06392">
        <w:trPr>
          <w:jc w:val="center"/>
        </w:trPr>
        <w:tc>
          <w:tcPr>
            <w:tcW w:w="2790" w:type="dxa"/>
          </w:tcPr>
          <w:p w14:paraId="5F66A8EA" w14:textId="1482FCD8" w:rsidR="00A86EE1" w:rsidRPr="002D0FD1" w:rsidRDefault="00FC0C16" w:rsidP="00A86EE1">
            <w:pPr>
              <w:tabs>
                <w:tab w:val="left" w:pos="450"/>
                <w:tab w:val="left" w:pos="3600"/>
              </w:tabs>
              <w:spacing w:after="0"/>
              <w:ind w:right="9"/>
              <w:rPr>
                <w:rFonts w:asciiTheme="majorHAnsi" w:eastAsia="Times New Roman" w:hAnsiTheme="majorHAnsi" w:cstheme="majorHAnsi"/>
                <w:b/>
                <w:sz w:val="24"/>
                <w:szCs w:val="24"/>
                <w:lang w:val="ru-MD"/>
              </w:rPr>
            </w:pPr>
            <w:r w:rsidRPr="002D0FD1">
              <w:rPr>
                <w:rFonts w:asciiTheme="majorHAnsi" w:eastAsia="Times New Roman" w:hAnsiTheme="majorHAnsi" w:cstheme="majorHAnsi"/>
                <w:b/>
                <w:sz w:val="24"/>
                <w:szCs w:val="24"/>
                <w:lang w:val="ru-MD"/>
              </w:rPr>
              <w:t>ГБ</w:t>
            </w:r>
          </w:p>
        </w:tc>
        <w:tc>
          <w:tcPr>
            <w:tcW w:w="6570" w:type="dxa"/>
          </w:tcPr>
          <w:p w14:paraId="006B01E9" w14:textId="2AA812FA" w:rsidR="00A86EE1" w:rsidRPr="002D0FD1" w:rsidRDefault="000738B1" w:rsidP="00A86EE1">
            <w:pPr>
              <w:spacing w:after="0"/>
              <w:rPr>
                <w:rFonts w:asciiTheme="majorHAnsi" w:hAnsiTheme="majorHAnsi" w:cstheme="majorHAnsi"/>
                <w:sz w:val="24"/>
                <w:szCs w:val="24"/>
                <w:lang w:val="ru-MD"/>
              </w:rPr>
            </w:pPr>
            <w:r w:rsidRPr="002D0FD1">
              <w:rPr>
                <w:rFonts w:asciiTheme="majorHAnsi" w:hAnsiTheme="majorHAnsi" w:cstheme="majorHAnsi"/>
                <w:sz w:val="24"/>
                <w:szCs w:val="24"/>
                <w:lang w:val="ru-MD"/>
              </w:rPr>
              <w:t>Государственный бюджет</w:t>
            </w:r>
          </w:p>
        </w:tc>
      </w:tr>
      <w:tr w:rsidR="00A86EE1" w:rsidRPr="002D0FD1" w14:paraId="54FC362C" w14:textId="77777777" w:rsidTr="00D06392">
        <w:trPr>
          <w:jc w:val="center"/>
        </w:trPr>
        <w:tc>
          <w:tcPr>
            <w:tcW w:w="2790" w:type="dxa"/>
          </w:tcPr>
          <w:p w14:paraId="21479248" w14:textId="672E08A8" w:rsidR="00A86EE1" w:rsidRPr="002D0FD1" w:rsidRDefault="00FC0C16" w:rsidP="00A86EE1">
            <w:pPr>
              <w:tabs>
                <w:tab w:val="left" w:pos="450"/>
                <w:tab w:val="left" w:pos="3600"/>
              </w:tabs>
              <w:spacing w:after="0"/>
              <w:ind w:right="9"/>
              <w:rPr>
                <w:rFonts w:asciiTheme="majorHAnsi" w:eastAsia="Times New Roman" w:hAnsiTheme="majorHAnsi" w:cstheme="majorHAnsi"/>
                <w:b/>
                <w:sz w:val="24"/>
                <w:szCs w:val="24"/>
                <w:lang w:val="ru-MD"/>
              </w:rPr>
            </w:pPr>
            <w:r w:rsidRPr="002D0FD1">
              <w:rPr>
                <w:rFonts w:asciiTheme="majorHAnsi" w:eastAsia="Times New Roman" w:hAnsiTheme="majorHAnsi" w:cstheme="majorHAnsi"/>
                <w:b/>
                <w:sz w:val="24"/>
                <w:szCs w:val="24"/>
                <w:lang w:val="ru-MD"/>
              </w:rPr>
              <w:t>ТК</w:t>
            </w:r>
          </w:p>
        </w:tc>
        <w:tc>
          <w:tcPr>
            <w:tcW w:w="6570" w:type="dxa"/>
          </w:tcPr>
          <w:p w14:paraId="51C38618" w14:textId="243209DE" w:rsidR="00A86EE1" w:rsidRPr="002D0FD1" w:rsidRDefault="000738B1" w:rsidP="00A86EE1">
            <w:pPr>
              <w:spacing w:after="0"/>
              <w:rPr>
                <w:rFonts w:asciiTheme="majorHAnsi" w:hAnsiTheme="majorHAnsi" w:cstheme="majorHAnsi"/>
                <w:sz w:val="24"/>
                <w:szCs w:val="24"/>
                <w:lang w:val="ru-MD"/>
              </w:rPr>
            </w:pPr>
            <w:r w:rsidRPr="002D0FD1">
              <w:rPr>
                <w:rFonts w:asciiTheme="majorHAnsi" w:hAnsiTheme="majorHAnsi" w:cstheme="majorHAnsi"/>
                <w:sz w:val="24"/>
                <w:szCs w:val="24"/>
                <w:lang w:val="ru-MD"/>
              </w:rPr>
              <w:t>Таможенный кодекс</w:t>
            </w:r>
          </w:p>
        </w:tc>
      </w:tr>
      <w:tr w:rsidR="00A86EE1" w:rsidRPr="002D0FD1" w14:paraId="42C3C3F2" w14:textId="77777777" w:rsidTr="00D06392">
        <w:trPr>
          <w:jc w:val="center"/>
        </w:trPr>
        <w:tc>
          <w:tcPr>
            <w:tcW w:w="2790" w:type="dxa"/>
          </w:tcPr>
          <w:p w14:paraId="6AB72A45" w14:textId="1F51A327" w:rsidR="00A86EE1" w:rsidRPr="002D0FD1" w:rsidRDefault="00FC0C16" w:rsidP="00A86EE1">
            <w:pPr>
              <w:tabs>
                <w:tab w:val="left" w:pos="450"/>
                <w:tab w:val="left" w:pos="3600"/>
              </w:tabs>
              <w:spacing w:after="0"/>
              <w:ind w:right="9"/>
              <w:rPr>
                <w:rFonts w:asciiTheme="majorHAnsi" w:eastAsia="Times New Roman" w:hAnsiTheme="majorHAnsi" w:cstheme="majorHAnsi"/>
                <w:b/>
                <w:sz w:val="24"/>
                <w:szCs w:val="24"/>
                <w:lang w:val="ru-MD"/>
              </w:rPr>
            </w:pPr>
            <w:r w:rsidRPr="002D0FD1">
              <w:rPr>
                <w:rFonts w:asciiTheme="majorHAnsi" w:eastAsia="Times New Roman" w:hAnsiTheme="majorHAnsi" w:cstheme="majorHAnsi"/>
                <w:b/>
                <w:sz w:val="24"/>
                <w:szCs w:val="24"/>
                <w:lang w:val="ru-MD"/>
              </w:rPr>
              <w:t>ВВП</w:t>
            </w:r>
          </w:p>
        </w:tc>
        <w:tc>
          <w:tcPr>
            <w:tcW w:w="6570" w:type="dxa"/>
          </w:tcPr>
          <w:p w14:paraId="0FDD95AD" w14:textId="3F87EB6F" w:rsidR="00A86EE1" w:rsidRPr="002D0FD1" w:rsidRDefault="000738B1" w:rsidP="00A86EE1">
            <w:pPr>
              <w:spacing w:after="0"/>
              <w:rPr>
                <w:rFonts w:asciiTheme="majorHAnsi" w:hAnsiTheme="majorHAnsi" w:cstheme="majorHAnsi"/>
                <w:sz w:val="24"/>
                <w:szCs w:val="24"/>
                <w:lang w:val="ru-MD"/>
              </w:rPr>
            </w:pPr>
            <w:r w:rsidRPr="002D0FD1">
              <w:rPr>
                <w:rFonts w:asciiTheme="majorHAnsi" w:hAnsiTheme="majorHAnsi" w:cstheme="majorHAnsi"/>
                <w:sz w:val="24"/>
                <w:szCs w:val="24"/>
                <w:lang w:val="ru-MD"/>
              </w:rPr>
              <w:t>Валовой внутренний продукт</w:t>
            </w:r>
          </w:p>
        </w:tc>
      </w:tr>
      <w:tr w:rsidR="00A86EE1" w:rsidRPr="002D0FD1" w14:paraId="41E0D151" w14:textId="77777777" w:rsidTr="00D06392">
        <w:trPr>
          <w:jc w:val="center"/>
        </w:trPr>
        <w:tc>
          <w:tcPr>
            <w:tcW w:w="2790" w:type="dxa"/>
          </w:tcPr>
          <w:p w14:paraId="6B40FA4C" w14:textId="1E84E7F9" w:rsidR="00A86EE1" w:rsidRPr="002D0FD1" w:rsidRDefault="00FC0C16" w:rsidP="00A86EE1">
            <w:pPr>
              <w:tabs>
                <w:tab w:val="left" w:pos="450"/>
                <w:tab w:val="left" w:pos="3600"/>
              </w:tabs>
              <w:spacing w:after="0"/>
              <w:ind w:right="9"/>
              <w:rPr>
                <w:rFonts w:asciiTheme="majorHAnsi" w:eastAsia="Times New Roman" w:hAnsiTheme="majorHAnsi" w:cstheme="majorHAnsi"/>
                <w:b/>
                <w:sz w:val="24"/>
                <w:szCs w:val="24"/>
                <w:lang w:val="ru-MD"/>
              </w:rPr>
            </w:pPr>
            <w:r w:rsidRPr="002D0FD1">
              <w:rPr>
                <w:rFonts w:asciiTheme="majorHAnsi" w:eastAsia="Times New Roman" w:hAnsiTheme="majorHAnsi" w:cstheme="majorHAnsi"/>
                <w:b/>
                <w:sz w:val="24"/>
                <w:szCs w:val="24"/>
                <w:lang w:val="ru-MD"/>
              </w:rPr>
              <w:t>ВУК</w:t>
            </w:r>
          </w:p>
        </w:tc>
        <w:tc>
          <w:tcPr>
            <w:tcW w:w="6570" w:type="dxa"/>
          </w:tcPr>
          <w:p w14:paraId="36CF1837" w14:textId="0EF1B454" w:rsidR="00A86EE1" w:rsidRPr="002D0FD1" w:rsidRDefault="000738B1" w:rsidP="00A86EE1">
            <w:pPr>
              <w:spacing w:after="0"/>
              <w:rPr>
                <w:rFonts w:asciiTheme="majorHAnsi" w:hAnsiTheme="majorHAnsi" w:cstheme="majorHAnsi"/>
                <w:sz w:val="24"/>
                <w:szCs w:val="24"/>
                <w:lang w:val="ru-MD"/>
              </w:rPr>
            </w:pPr>
            <w:r w:rsidRPr="002D0FD1">
              <w:rPr>
                <w:rFonts w:asciiTheme="majorHAnsi" w:hAnsiTheme="majorHAnsi" w:cstheme="majorHAnsi"/>
                <w:sz w:val="24"/>
                <w:szCs w:val="24"/>
                <w:lang w:val="ru-MD"/>
              </w:rPr>
              <w:t>Внутренний управленческий контроль</w:t>
            </w:r>
          </w:p>
        </w:tc>
      </w:tr>
      <w:tr w:rsidR="00A86EE1" w:rsidRPr="002D0FD1" w14:paraId="25F99EC2" w14:textId="77777777" w:rsidTr="00D06392">
        <w:trPr>
          <w:jc w:val="center"/>
        </w:trPr>
        <w:tc>
          <w:tcPr>
            <w:tcW w:w="2790" w:type="dxa"/>
          </w:tcPr>
          <w:p w14:paraId="68CAFA5F" w14:textId="3661E198" w:rsidR="00A86EE1" w:rsidRPr="002D0FD1" w:rsidRDefault="00FC0C16" w:rsidP="00FC0C16">
            <w:pPr>
              <w:tabs>
                <w:tab w:val="left" w:pos="450"/>
                <w:tab w:val="left" w:pos="3600"/>
              </w:tabs>
              <w:spacing w:after="0"/>
              <w:ind w:right="9"/>
              <w:rPr>
                <w:rFonts w:asciiTheme="majorHAnsi" w:eastAsia="Times New Roman" w:hAnsiTheme="majorHAnsi" w:cstheme="majorHAnsi"/>
                <w:b/>
                <w:sz w:val="24"/>
                <w:szCs w:val="24"/>
                <w:lang w:val="ru-MD"/>
              </w:rPr>
            </w:pPr>
            <w:r w:rsidRPr="002D0FD1">
              <w:rPr>
                <w:rFonts w:asciiTheme="majorHAnsi" w:eastAsia="Times New Roman" w:hAnsiTheme="majorHAnsi" w:cstheme="majorHAnsi"/>
                <w:b/>
                <w:sz w:val="24"/>
                <w:szCs w:val="24"/>
                <w:lang w:val="ru-MD"/>
              </w:rPr>
              <w:t>ГНС</w:t>
            </w:r>
          </w:p>
        </w:tc>
        <w:tc>
          <w:tcPr>
            <w:tcW w:w="6570" w:type="dxa"/>
          </w:tcPr>
          <w:p w14:paraId="4DF40892" w14:textId="4B041F24" w:rsidR="00A86EE1" w:rsidRPr="002D0FD1" w:rsidRDefault="000738B1" w:rsidP="00A86EE1">
            <w:pPr>
              <w:spacing w:after="0"/>
              <w:rPr>
                <w:rFonts w:asciiTheme="majorHAnsi" w:hAnsiTheme="majorHAnsi" w:cstheme="majorHAnsi"/>
                <w:sz w:val="24"/>
                <w:szCs w:val="24"/>
                <w:lang w:val="ru-MD"/>
              </w:rPr>
            </w:pPr>
            <w:r w:rsidRPr="002D0FD1">
              <w:rPr>
                <w:rFonts w:asciiTheme="majorHAnsi" w:hAnsiTheme="majorHAnsi" w:cstheme="majorHAnsi"/>
                <w:sz w:val="24"/>
                <w:szCs w:val="24"/>
                <w:lang w:val="ru-MD"/>
              </w:rPr>
              <w:t>Государственная налоговая служба</w:t>
            </w:r>
          </w:p>
        </w:tc>
      </w:tr>
      <w:tr w:rsidR="00A86EE1" w:rsidRPr="002D0FD1" w14:paraId="315AF6FE" w14:textId="77777777" w:rsidTr="00D06392">
        <w:trPr>
          <w:jc w:val="center"/>
        </w:trPr>
        <w:tc>
          <w:tcPr>
            <w:tcW w:w="2790" w:type="dxa"/>
          </w:tcPr>
          <w:p w14:paraId="744C4A85" w14:textId="1AB87686" w:rsidR="00A86EE1" w:rsidRPr="002D0FD1" w:rsidRDefault="00FC0C16" w:rsidP="00FC0C16">
            <w:pPr>
              <w:tabs>
                <w:tab w:val="left" w:pos="450"/>
                <w:tab w:val="left" w:pos="3600"/>
              </w:tabs>
              <w:spacing w:after="0"/>
              <w:ind w:right="9"/>
              <w:rPr>
                <w:rFonts w:asciiTheme="majorHAnsi" w:eastAsia="Times New Roman" w:hAnsiTheme="majorHAnsi" w:cstheme="majorHAnsi"/>
                <w:b/>
                <w:sz w:val="24"/>
                <w:szCs w:val="24"/>
                <w:lang w:val="ru-MD"/>
              </w:rPr>
            </w:pPr>
            <w:r w:rsidRPr="002D0FD1">
              <w:rPr>
                <w:rFonts w:asciiTheme="majorHAnsi" w:eastAsia="Times New Roman" w:hAnsiTheme="majorHAnsi" w:cstheme="majorHAnsi"/>
                <w:b/>
                <w:sz w:val="24"/>
                <w:szCs w:val="24"/>
                <w:lang w:val="ru-MD"/>
              </w:rPr>
              <w:t>ТИИС</w:t>
            </w:r>
          </w:p>
        </w:tc>
        <w:tc>
          <w:tcPr>
            <w:tcW w:w="6570" w:type="dxa"/>
          </w:tcPr>
          <w:p w14:paraId="2DD3CC8D" w14:textId="56004A8A" w:rsidR="00A86EE1" w:rsidRPr="002D0FD1" w:rsidRDefault="00801F47" w:rsidP="00FC0C16">
            <w:pPr>
              <w:spacing w:after="0"/>
              <w:rPr>
                <w:rFonts w:asciiTheme="majorHAnsi" w:hAnsiTheme="majorHAnsi" w:cstheme="majorHAnsi"/>
                <w:sz w:val="24"/>
                <w:szCs w:val="24"/>
                <w:lang w:val="ru-MD"/>
              </w:rPr>
            </w:pPr>
            <w:r w:rsidRPr="002D0FD1">
              <w:rPr>
                <w:rFonts w:asciiTheme="majorHAnsi" w:hAnsiTheme="majorHAnsi" w:cstheme="majorHAnsi"/>
                <w:sz w:val="24"/>
                <w:szCs w:val="24"/>
                <w:lang w:val="ru-MD"/>
              </w:rPr>
              <w:t>Таможенная интегрированная</w:t>
            </w:r>
            <w:r w:rsidR="000738B1" w:rsidRPr="002D0FD1">
              <w:rPr>
                <w:rFonts w:asciiTheme="majorHAnsi" w:hAnsiTheme="majorHAnsi" w:cstheme="majorHAnsi"/>
                <w:sz w:val="24"/>
                <w:szCs w:val="24"/>
                <w:lang w:val="ru-MD"/>
              </w:rPr>
              <w:t xml:space="preserve"> информационная система </w:t>
            </w:r>
          </w:p>
        </w:tc>
      </w:tr>
      <w:tr w:rsidR="00A86EE1" w:rsidRPr="002D0FD1" w14:paraId="35931821" w14:textId="77777777" w:rsidTr="00D06392">
        <w:trPr>
          <w:jc w:val="center"/>
        </w:trPr>
        <w:tc>
          <w:tcPr>
            <w:tcW w:w="2790" w:type="dxa"/>
          </w:tcPr>
          <w:p w14:paraId="09C249D7" w14:textId="0C679F5E" w:rsidR="00A86EE1" w:rsidRPr="002D0FD1" w:rsidRDefault="00FC0C16" w:rsidP="00FC0C16">
            <w:pPr>
              <w:tabs>
                <w:tab w:val="left" w:pos="450"/>
                <w:tab w:val="left" w:pos="3600"/>
              </w:tabs>
              <w:spacing w:after="0"/>
              <w:ind w:right="9"/>
              <w:rPr>
                <w:rFonts w:asciiTheme="majorHAnsi" w:eastAsia="Times New Roman" w:hAnsiTheme="majorHAnsi" w:cstheme="majorHAnsi"/>
                <w:b/>
                <w:sz w:val="24"/>
                <w:szCs w:val="24"/>
                <w:lang w:val="ru-MD"/>
              </w:rPr>
            </w:pPr>
            <w:r w:rsidRPr="002D0FD1">
              <w:rPr>
                <w:rFonts w:asciiTheme="majorHAnsi" w:eastAsia="Times New Roman" w:hAnsiTheme="majorHAnsi" w:cstheme="majorHAnsi"/>
                <w:b/>
                <w:sz w:val="24"/>
                <w:szCs w:val="24"/>
                <w:lang w:val="ru-MD"/>
              </w:rPr>
              <w:t>НДС</w:t>
            </w:r>
          </w:p>
        </w:tc>
        <w:tc>
          <w:tcPr>
            <w:tcW w:w="6570" w:type="dxa"/>
          </w:tcPr>
          <w:p w14:paraId="7D976F3B" w14:textId="0D5209E6" w:rsidR="00A86EE1" w:rsidRPr="002D0FD1" w:rsidRDefault="000738B1" w:rsidP="00A86EE1">
            <w:pPr>
              <w:spacing w:after="0"/>
              <w:rPr>
                <w:rFonts w:asciiTheme="majorHAnsi" w:hAnsiTheme="majorHAnsi" w:cstheme="majorHAnsi"/>
                <w:sz w:val="24"/>
                <w:szCs w:val="24"/>
                <w:lang w:val="ru-MD"/>
              </w:rPr>
            </w:pPr>
            <w:r w:rsidRPr="002D0FD1">
              <w:rPr>
                <w:rFonts w:asciiTheme="majorHAnsi" w:hAnsiTheme="majorHAnsi" w:cstheme="majorHAnsi"/>
                <w:sz w:val="24"/>
                <w:szCs w:val="24"/>
                <w:lang w:val="ru-MD"/>
              </w:rPr>
              <w:t>Налог на добавленную стоимость</w:t>
            </w:r>
          </w:p>
        </w:tc>
      </w:tr>
      <w:tr w:rsidR="00AA756A" w:rsidRPr="002D0FD1" w14:paraId="751406B3" w14:textId="77777777" w:rsidTr="00D06392">
        <w:trPr>
          <w:jc w:val="center"/>
        </w:trPr>
        <w:tc>
          <w:tcPr>
            <w:tcW w:w="2790" w:type="dxa"/>
          </w:tcPr>
          <w:p w14:paraId="671180D4" w14:textId="01A15D59" w:rsidR="00AA756A" w:rsidRPr="002D0FD1" w:rsidRDefault="00FC0C16" w:rsidP="00FC0C16">
            <w:pPr>
              <w:tabs>
                <w:tab w:val="left" w:pos="450"/>
                <w:tab w:val="left" w:pos="3600"/>
              </w:tabs>
              <w:spacing w:after="0"/>
              <w:ind w:right="9"/>
              <w:rPr>
                <w:rFonts w:asciiTheme="majorHAnsi" w:eastAsia="Times New Roman" w:hAnsiTheme="majorHAnsi" w:cstheme="majorHAnsi"/>
                <w:b/>
                <w:sz w:val="24"/>
                <w:szCs w:val="24"/>
                <w:lang w:val="ru-MD"/>
              </w:rPr>
            </w:pPr>
            <w:r w:rsidRPr="002D0FD1">
              <w:rPr>
                <w:rFonts w:asciiTheme="majorHAnsi" w:eastAsia="Times New Roman" w:hAnsiTheme="majorHAnsi" w:cstheme="majorHAnsi"/>
                <w:b/>
                <w:sz w:val="24"/>
                <w:szCs w:val="24"/>
                <w:lang w:val="ru-MD"/>
              </w:rPr>
              <w:t>ТП</w:t>
            </w:r>
          </w:p>
        </w:tc>
        <w:tc>
          <w:tcPr>
            <w:tcW w:w="6570" w:type="dxa"/>
          </w:tcPr>
          <w:p w14:paraId="258832DD" w14:textId="14F79085" w:rsidR="00AA756A" w:rsidRPr="002D0FD1" w:rsidRDefault="00801F47" w:rsidP="00801F47">
            <w:pPr>
              <w:spacing w:after="0"/>
              <w:rPr>
                <w:rFonts w:asciiTheme="majorHAnsi" w:hAnsiTheme="majorHAnsi" w:cstheme="majorHAnsi"/>
                <w:sz w:val="24"/>
                <w:szCs w:val="24"/>
                <w:lang w:val="ru-MD"/>
              </w:rPr>
            </w:pPr>
            <w:r w:rsidRPr="002D0FD1">
              <w:rPr>
                <w:rFonts w:asciiTheme="majorHAnsi" w:hAnsiTheme="majorHAnsi" w:cstheme="majorHAnsi"/>
                <w:sz w:val="24"/>
                <w:szCs w:val="24"/>
                <w:lang w:val="ru-MD"/>
              </w:rPr>
              <w:t>Таможенные пошлины</w:t>
            </w:r>
          </w:p>
        </w:tc>
      </w:tr>
      <w:tr w:rsidR="00AA756A" w:rsidRPr="002D0FD1" w14:paraId="43803C03" w14:textId="77777777" w:rsidTr="00D06392">
        <w:trPr>
          <w:jc w:val="center"/>
        </w:trPr>
        <w:tc>
          <w:tcPr>
            <w:tcW w:w="2790" w:type="dxa"/>
          </w:tcPr>
          <w:p w14:paraId="1C51E6A2" w14:textId="53575732" w:rsidR="00AA756A" w:rsidRPr="002D0FD1" w:rsidRDefault="00FC0C16" w:rsidP="00FC0C16">
            <w:pPr>
              <w:tabs>
                <w:tab w:val="left" w:pos="450"/>
                <w:tab w:val="left" w:pos="3600"/>
              </w:tabs>
              <w:spacing w:after="0"/>
              <w:ind w:right="9"/>
              <w:rPr>
                <w:rFonts w:asciiTheme="majorHAnsi" w:eastAsia="Times New Roman" w:hAnsiTheme="majorHAnsi" w:cstheme="majorHAnsi"/>
                <w:b/>
                <w:sz w:val="24"/>
                <w:szCs w:val="24"/>
                <w:lang w:val="ru-MD"/>
              </w:rPr>
            </w:pPr>
            <w:r w:rsidRPr="002D0FD1">
              <w:rPr>
                <w:rFonts w:asciiTheme="majorHAnsi" w:eastAsia="Times New Roman" w:hAnsiTheme="majorHAnsi" w:cstheme="majorHAnsi"/>
                <w:b/>
                <w:sz w:val="24"/>
                <w:szCs w:val="24"/>
                <w:lang w:val="ru-MD"/>
              </w:rPr>
              <w:t>СТП</w:t>
            </w:r>
          </w:p>
        </w:tc>
        <w:tc>
          <w:tcPr>
            <w:tcW w:w="6570" w:type="dxa"/>
          </w:tcPr>
          <w:p w14:paraId="0D099405" w14:textId="7B691D7B" w:rsidR="00AA756A" w:rsidRPr="002D0FD1" w:rsidRDefault="00801F47" w:rsidP="00801F47">
            <w:pPr>
              <w:spacing w:after="0"/>
              <w:rPr>
                <w:rFonts w:asciiTheme="majorHAnsi" w:hAnsiTheme="majorHAnsi" w:cstheme="majorHAnsi"/>
                <w:sz w:val="24"/>
                <w:szCs w:val="24"/>
                <w:lang w:val="ru-MD"/>
              </w:rPr>
            </w:pPr>
            <w:r w:rsidRPr="002D0FD1">
              <w:rPr>
                <w:rFonts w:asciiTheme="majorHAnsi" w:hAnsiTheme="majorHAnsi" w:cstheme="majorHAnsi"/>
                <w:sz w:val="24"/>
                <w:szCs w:val="24"/>
                <w:lang w:val="ru-MD"/>
              </w:rPr>
              <w:t>Сбор за осуществление таможенных процедур</w:t>
            </w:r>
          </w:p>
        </w:tc>
      </w:tr>
      <w:tr w:rsidR="00A86EE1" w:rsidRPr="002D0FD1" w14:paraId="3979A4D7" w14:textId="77777777" w:rsidTr="00D06392">
        <w:trPr>
          <w:jc w:val="center"/>
        </w:trPr>
        <w:tc>
          <w:tcPr>
            <w:tcW w:w="2790" w:type="dxa"/>
          </w:tcPr>
          <w:p w14:paraId="298B21C6" w14:textId="3473ED57" w:rsidR="00A86EE1" w:rsidRPr="002D0FD1" w:rsidRDefault="00FC0C16" w:rsidP="00A86EE1">
            <w:pPr>
              <w:tabs>
                <w:tab w:val="left" w:pos="450"/>
                <w:tab w:val="left" w:pos="3600"/>
              </w:tabs>
              <w:spacing w:after="0"/>
              <w:ind w:right="9"/>
              <w:rPr>
                <w:rFonts w:asciiTheme="majorHAnsi" w:eastAsia="Times New Roman" w:hAnsiTheme="majorHAnsi" w:cstheme="majorHAnsi"/>
                <w:b/>
                <w:sz w:val="24"/>
                <w:szCs w:val="24"/>
                <w:lang w:val="ru-MD"/>
              </w:rPr>
            </w:pPr>
            <w:r w:rsidRPr="002D0FD1">
              <w:rPr>
                <w:rFonts w:asciiTheme="majorHAnsi" w:eastAsia="Times New Roman" w:hAnsiTheme="majorHAnsi" w:cstheme="majorHAnsi"/>
                <w:b/>
                <w:sz w:val="24"/>
                <w:szCs w:val="24"/>
                <w:lang w:val="ru-MD"/>
              </w:rPr>
              <w:lastRenderedPageBreak/>
              <w:t>НБС</w:t>
            </w:r>
          </w:p>
        </w:tc>
        <w:tc>
          <w:tcPr>
            <w:tcW w:w="6570" w:type="dxa"/>
          </w:tcPr>
          <w:p w14:paraId="599B64DF" w14:textId="1E0ABF91" w:rsidR="00A86EE1" w:rsidRPr="002D0FD1" w:rsidRDefault="000738B1" w:rsidP="00A86EE1">
            <w:pPr>
              <w:spacing w:after="0"/>
              <w:rPr>
                <w:rFonts w:asciiTheme="majorHAnsi" w:hAnsiTheme="majorHAnsi" w:cstheme="majorHAnsi"/>
                <w:sz w:val="24"/>
                <w:szCs w:val="24"/>
                <w:lang w:val="ru-MD"/>
              </w:rPr>
            </w:pPr>
            <w:r w:rsidRPr="002D0FD1">
              <w:rPr>
                <w:rFonts w:asciiTheme="majorHAnsi" w:hAnsiTheme="majorHAnsi" w:cstheme="majorHAnsi"/>
                <w:sz w:val="24"/>
                <w:szCs w:val="24"/>
                <w:lang w:val="ru-MD"/>
              </w:rPr>
              <w:t>Национальное бюро статистики</w:t>
            </w:r>
          </w:p>
        </w:tc>
      </w:tr>
      <w:tr w:rsidR="00244DDE" w:rsidRPr="002D0FD1" w14:paraId="3857A84D" w14:textId="77777777" w:rsidTr="00D06392">
        <w:trPr>
          <w:jc w:val="center"/>
        </w:trPr>
        <w:tc>
          <w:tcPr>
            <w:tcW w:w="2790" w:type="dxa"/>
          </w:tcPr>
          <w:p w14:paraId="0AB5A02E" w14:textId="6079ED46" w:rsidR="00244DDE" w:rsidRPr="002D0FD1" w:rsidRDefault="00FC0C16" w:rsidP="00A86EE1">
            <w:pPr>
              <w:tabs>
                <w:tab w:val="left" w:pos="450"/>
                <w:tab w:val="left" w:pos="3600"/>
              </w:tabs>
              <w:spacing w:after="0"/>
              <w:ind w:right="9"/>
              <w:rPr>
                <w:rFonts w:asciiTheme="majorHAnsi" w:eastAsia="Times New Roman" w:hAnsiTheme="majorHAnsi" w:cstheme="majorHAnsi"/>
                <w:b/>
                <w:sz w:val="24"/>
                <w:szCs w:val="24"/>
                <w:lang w:val="ru-MD"/>
              </w:rPr>
            </w:pPr>
            <w:r w:rsidRPr="002D0FD1">
              <w:rPr>
                <w:rFonts w:asciiTheme="majorHAnsi" w:hAnsiTheme="majorHAnsi" w:cstheme="majorHAnsi"/>
                <w:b/>
                <w:sz w:val="24"/>
                <w:szCs w:val="24"/>
                <w:lang w:val="ru-MD"/>
              </w:rPr>
              <w:t>ЦИТФ</w:t>
            </w:r>
          </w:p>
        </w:tc>
        <w:tc>
          <w:tcPr>
            <w:tcW w:w="6570" w:type="dxa"/>
          </w:tcPr>
          <w:p w14:paraId="74CEB08B" w14:textId="2F3DD3B1" w:rsidR="00244DDE" w:rsidRPr="002D0FD1" w:rsidRDefault="00801F47" w:rsidP="00A86EE1">
            <w:pPr>
              <w:spacing w:after="0"/>
              <w:rPr>
                <w:rFonts w:asciiTheme="majorHAnsi" w:hAnsiTheme="majorHAnsi" w:cstheme="majorHAnsi"/>
                <w:sz w:val="24"/>
                <w:szCs w:val="24"/>
                <w:lang w:val="ru-MD"/>
              </w:rPr>
            </w:pPr>
            <w:r w:rsidRPr="002D0FD1">
              <w:rPr>
                <w:rFonts w:asciiTheme="majorHAnsi" w:hAnsiTheme="majorHAnsi" w:cstheme="majorHAnsi"/>
                <w:sz w:val="24"/>
                <w:szCs w:val="24"/>
                <w:lang w:val="ru-MD"/>
              </w:rPr>
              <w:t>Центр информационных технологий в финансах</w:t>
            </w:r>
          </w:p>
        </w:tc>
      </w:tr>
      <w:tr w:rsidR="00244DDE" w:rsidRPr="002D0FD1" w14:paraId="231E2E40" w14:textId="77777777" w:rsidTr="00D06392">
        <w:trPr>
          <w:jc w:val="center"/>
        </w:trPr>
        <w:tc>
          <w:tcPr>
            <w:tcW w:w="2790" w:type="dxa"/>
          </w:tcPr>
          <w:p w14:paraId="15E069B7" w14:textId="16A79B6B" w:rsidR="00244DDE" w:rsidRPr="002D0FD1" w:rsidRDefault="00FC0C16" w:rsidP="00A86EE1">
            <w:pPr>
              <w:tabs>
                <w:tab w:val="left" w:pos="450"/>
                <w:tab w:val="left" w:pos="3600"/>
              </w:tabs>
              <w:spacing w:after="0"/>
              <w:ind w:right="9"/>
              <w:rPr>
                <w:rFonts w:asciiTheme="majorHAnsi" w:eastAsia="Times New Roman" w:hAnsiTheme="majorHAnsi" w:cstheme="majorHAnsi"/>
                <w:b/>
                <w:sz w:val="24"/>
                <w:szCs w:val="24"/>
                <w:lang w:val="ru-MD"/>
              </w:rPr>
            </w:pPr>
            <w:r w:rsidRPr="002D0FD1">
              <w:rPr>
                <w:rFonts w:asciiTheme="majorHAnsi" w:eastAsia="Times New Roman" w:hAnsiTheme="majorHAnsi" w:cstheme="majorHAnsi"/>
                <w:b/>
                <w:sz w:val="24"/>
                <w:szCs w:val="24"/>
                <w:lang w:val="ru-MD"/>
              </w:rPr>
              <w:t>УВА</w:t>
            </w:r>
          </w:p>
        </w:tc>
        <w:tc>
          <w:tcPr>
            <w:tcW w:w="6570" w:type="dxa"/>
          </w:tcPr>
          <w:p w14:paraId="5D445FDB" w14:textId="557A32F6" w:rsidR="00244DDE" w:rsidRPr="002D0FD1" w:rsidRDefault="00801F47" w:rsidP="00A86EE1">
            <w:pPr>
              <w:spacing w:after="0"/>
              <w:rPr>
                <w:rFonts w:asciiTheme="majorHAnsi" w:hAnsiTheme="majorHAnsi" w:cstheme="majorHAnsi"/>
                <w:sz w:val="24"/>
                <w:szCs w:val="24"/>
                <w:lang w:val="ru-MD"/>
              </w:rPr>
            </w:pPr>
            <w:r w:rsidRPr="002D0FD1">
              <w:rPr>
                <w:rFonts w:asciiTheme="majorHAnsi" w:hAnsiTheme="majorHAnsi" w:cstheme="majorHAnsi"/>
                <w:sz w:val="24"/>
                <w:szCs w:val="24"/>
                <w:lang w:val="ru-MD"/>
              </w:rPr>
              <w:t>Управление внутреннего аудита</w:t>
            </w:r>
          </w:p>
        </w:tc>
      </w:tr>
      <w:tr w:rsidR="00244DDE" w:rsidRPr="002D0FD1" w14:paraId="197D3331" w14:textId="77777777" w:rsidTr="00D06392">
        <w:trPr>
          <w:jc w:val="center"/>
        </w:trPr>
        <w:tc>
          <w:tcPr>
            <w:tcW w:w="2790" w:type="dxa"/>
          </w:tcPr>
          <w:p w14:paraId="57E110FC" w14:textId="3F14EB8B" w:rsidR="00244DDE" w:rsidRPr="002D0FD1" w:rsidRDefault="00FC0C16" w:rsidP="00A86EE1">
            <w:pPr>
              <w:tabs>
                <w:tab w:val="left" w:pos="450"/>
                <w:tab w:val="left" w:pos="3600"/>
              </w:tabs>
              <w:spacing w:after="0"/>
              <w:ind w:right="9"/>
              <w:rPr>
                <w:rFonts w:asciiTheme="majorHAnsi" w:eastAsia="Times New Roman" w:hAnsiTheme="majorHAnsi" w:cstheme="majorHAnsi"/>
                <w:b/>
                <w:sz w:val="24"/>
                <w:szCs w:val="24"/>
                <w:lang w:val="ru-MD"/>
              </w:rPr>
            </w:pPr>
            <w:r w:rsidRPr="002D0FD1">
              <w:rPr>
                <w:rFonts w:asciiTheme="majorHAnsi" w:eastAsia="Times New Roman" w:hAnsiTheme="majorHAnsi" w:cstheme="majorHAnsi"/>
                <w:b/>
                <w:sz w:val="24"/>
                <w:szCs w:val="24"/>
                <w:lang w:val="ru-MD"/>
              </w:rPr>
              <w:t>ДПК</w:t>
            </w:r>
          </w:p>
        </w:tc>
        <w:tc>
          <w:tcPr>
            <w:tcW w:w="6570" w:type="dxa"/>
          </w:tcPr>
          <w:p w14:paraId="7055752D" w14:textId="59A64761" w:rsidR="00244DDE" w:rsidRPr="002D0FD1" w:rsidRDefault="00801F47" w:rsidP="00EE3409">
            <w:pPr>
              <w:spacing w:after="0"/>
              <w:rPr>
                <w:rFonts w:asciiTheme="majorHAnsi" w:hAnsiTheme="majorHAnsi" w:cstheme="majorHAnsi"/>
                <w:sz w:val="24"/>
                <w:szCs w:val="24"/>
                <w:lang w:val="ru-MD"/>
              </w:rPr>
            </w:pPr>
            <w:r w:rsidRPr="002D0FD1">
              <w:rPr>
                <w:rFonts w:asciiTheme="majorHAnsi" w:hAnsiTheme="majorHAnsi" w:cstheme="majorHAnsi"/>
                <w:sz w:val="24"/>
                <w:szCs w:val="24"/>
                <w:lang w:val="ru-MD"/>
              </w:rPr>
              <w:t>Департамент пос</w:t>
            </w:r>
            <w:r w:rsidR="00EE3409" w:rsidRPr="002D0FD1">
              <w:rPr>
                <w:rFonts w:asciiTheme="majorHAnsi" w:hAnsiTheme="majorHAnsi" w:cstheme="majorHAnsi"/>
                <w:sz w:val="24"/>
                <w:szCs w:val="24"/>
                <w:lang w:val="ru-MD"/>
              </w:rPr>
              <w:t>ттаможенно</w:t>
            </w:r>
            <w:r w:rsidRPr="002D0FD1">
              <w:rPr>
                <w:rFonts w:asciiTheme="majorHAnsi" w:hAnsiTheme="majorHAnsi" w:cstheme="majorHAnsi"/>
                <w:sz w:val="24"/>
                <w:szCs w:val="24"/>
                <w:lang w:val="ru-MD"/>
              </w:rPr>
              <w:t>го контроля</w:t>
            </w:r>
          </w:p>
        </w:tc>
      </w:tr>
      <w:tr w:rsidR="00244DDE" w:rsidRPr="002D0FD1" w14:paraId="68D9C3D4" w14:textId="77777777" w:rsidTr="00D06392">
        <w:trPr>
          <w:jc w:val="center"/>
        </w:trPr>
        <w:tc>
          <w:tcPr>
            <w:tcW w:w="2790" w:type="dxa"/>
          </w:tcPr>
          <w:p w14:paraId="73218B61" w14:textId="10BC07A6" w:rsidR="00244DDE" w:rsidRPr="002D0FD1" w:rsidRDefault="00FC0C16" w:rsidP="00A86EE1">
            <w:pPr>
              <w:tabs>
                <w:tab w:val="left" w:pos="450"/>
                <w:tab w:val="left" w:pos="3600"/>
              </w:tabs>
              <w:spacing w:after="0"/>
              <w:ind w:right="9"/>
              <w:rPr>
                <w:rFonts w:asciiTheme="majorHAnsi" w:eastAsia="Times New Roman" w:hAnsiTheme="majorHAnsi" w:cstheme="majorHAnsi"/>
                <w:b/>
                <w:sz w:val="24"/>
                <w:szCs w:val="24"/>
                <w:lang w:val="ru-MD"/>
              </w:rPr>
            </w:pPr>
            <w:r w:rsidRPr="002D0FD1">
              <w:rPr>
                <w:rFonts w:asciiTheme="majorHAnsi" w:eastAsia="Times New Roman" w:hAnsiTheme="majorHAnsi" w:cstheme="majorHAnsi"/>
                <w:b/>
                <w:sz w:val="24"/>
                <w:szCs w:val="24"/>
                <w:lang w:val="ru-MD"/>
              </w:rPr>
              <w:t>СНГ</w:t>
            </w:r>
          </w:p>
        </w:tc>
        <w:tc>
          <w:tcPr>
            <w:tcW w:w="6570" w:type="dxa"/>
          </w:tcPr>
          <w:p w14:paraId="68ED0B5C" w14:textId="0E22A563" w:rsidR="00244DDE" w:rsidRPr="002D0FD1" w:rsidRDefault="00801F47" w:rsidP="00A86EE1">
            <w:pPr>
              <w:spacing w:after="0"/>
              <w:rPr>
                <w:rFonts w:asciiTheme="majorHAnsi" w:hAnsiTheme="majorHAnsi" w:cstheme="majorHAnsi"/>
                <w:sz w:val="24"/>
                <w:szCs w:val="24"/>
                <w:lang w:val="ru-MD"/>
              </w:rPr>
            </w:pPr>
            <w:r w:rsidRPr="002D0FD1">
              <w:rPr>
                <w:rFonts w:asciiTheme="majorHAnsi" w:hAnsiTheme="majorHAnsi" w:cstheme="majorHAnsi"/>
                <w:sz w:val="24"/>
                <w:szCs w:val="24"/>
                <w:lang w:val="ru-MD"/>
              </w:rPr>
              <w:t>Содружество Независимых Государств</w:t>
            </w:r>
          </w:p>
        </w:tc>
      </w:tr>
      <w:tr w:rsidR="00244DDE" w:rsidRPr="002D0FD1" w14:paraId="0FF719C0" w14:textId="77777777" w:rsidTr="00D06392">
        <w:trPr>
          <w:jc w:val="center"/>
        </w:trPr>
        <w:tc>
          <w:tcPr>
            <w:tcW w:w="2790" w:type="dxa"/>
          </w:tcPr>
          <w:p w14:paraId="053A7C14" w14:textId="65746A01" w:rsidR="00244DDE" w:rsidRPr="002D0FD1" w:rsidRDefault="00FC0C16" w:rsidP="00A86EE1">
            <w:pPr>
              <w:tabs>
                <w:tab w:val="left" w:pos="450"/>
                <w:tab w:val="left" w:pos="3600"/>
              </w:tabs>
              <w:spacing w:after="0"/>
              <w:ind w:right="9"/>
              <w:rPr>
                <w:rFonts w:asciiTheme="majorHAnsi" w:eastAsia="Times New Roman" w:hAnsiTheme="majorHAnsi" w:cstheme="majorHAnsi"/>
                <w:b/>
                <w:sz w:val="24"/>
                <w:szCs w:val="24"/>
                <w:lang w:val="ru-MD"/>
              </w:rPr>
            </w:pPr>
            <w:r w:rsidRPr="002D0FD1">
              <w:rPr>
                <w:rFonts w:asciiTheme="majorHAnsi" w:eastAsia="Times New Roman" w:hAnsiTheme="majorHAnsi" w:cstheme="majorHAnsi"/>
                <w:b/>
                <w:sz w:val="24"/>
                <w:szCs w:val="24"/>
                <w:lang w:val="ru-MD"/>
              </w:rPr>
              <w:t>ЕС</w:t>
            </w:r>
          </w:p>
        </w:tc>
        <w:tc>
          <w:tcPr>
            <w:tcW w:w="6570" w:type="dxa"/>
          </w:tcPr>
          <w:p w14:paraId="2FB6B97F" w14:textId="62F55071" w:rsidR="00244DDE" w:rsidRPr="002D0FD1" w:rsidRDefault="00801F47" w:rsidP="00A86EE1">
            <w:pPr>
              <w:spacing w:after="0"/>
              <w:rPr>
                <w:rFonts w:asciiTheme="majorHAnsi" w:hAnsiTheme="majorHAnsi" w:cstheme="majorHAnsi"/>
                <w:sz w:val="24"/>
                <w:szCs w:val="24"/>
                <w:lang w:val="ru-MD"/>
              </w:rPr>
            </w:pPr>
            <w:r w:rsidRPr="002D0FD1">
              <w:rPr>
                <w:rFonts w:asciiTheme="majorHAnsi" w:hAnsiTheme="majorHAnsi" w:cstheme="majorHAnsi"/>
                <w:sz w:val="24"/>
                <w:szCs w:val="24"/>
                <w:lang w:val="ru-MD"/>
              </w:rPr>
              <w:t>Европейский Союз</w:t>
            </w:r>
          </w:p>
        </w:tc>
      </w:tr>
      <w:tr w:rsidR="00A75852" w:rsidRPr="002D0FD1" w14:paraId="520995FC" w14:textId="77777777" w:rsidTr="00D06392">
        <w:trPr>
          <w:jc w:val="center"/>
        </w:trPr>
        <w:tc>
          <w:tcPr>
            <w:tcW w:w="2790" w:type="dxa"/>
          </w:tcPr>
          <w:p w14:paraId="15A3A1B6" w14:textId="43394361" w:rsidR="00A75852" w:rsidRPr="002D0FD1" w:rsidRDefault="00FC0C16" w:rsidP="00F00C1A">
            <w:pPr>
              <w:tabs>
                <w:tab w:val="left" w:pos="450"/>
                <w:tab w:val="left" w:pos="3600"/>
              </w:tabs>
              <w:spacing w:after="0"/>
              <w:ind w:right="9"/>
              <w:rPr>
                <w:rFonts w:asciiTheme="majorHAnsi" w:eastAsia="Times New Roman" w:hAnsiTheme="majorHAnsi" w:cstheme="majorHAnsi"/>
                <w:b/>
                <w:sz w:val="24"/>
                <w:szCs w:val="24"/>
                <w:lang w:val="ru-MD"/>
              </w:rPr>
            </w:pPr>
            <w:r w:rsidRPr="002D0FD1">
              <w:rPr>
                <w:rFonts w:asciiTheme="majorHAnsi" w:hAnsiTheme="majorHAnsi" w:cstheme="majorHAnsi"/>
                <w:b/>
                <w:sz w:val="24"/>
                <w:szCs w:val="24"/>
                <w:lang w:val="ru-MD"/>
              </w:rPr>
              <w:t>ТИИС</w:t>
            </w:r>
            <w:r w:rsidR="00F00C1A" w:rsidRPr="002D0FD1">
              <w:rPr>
                <w:rFonts w:asciiTheme="majorHAnsi" w:hAnsiTheme="majorHAnsi" w:cstheme="majorHAnsi"/>
                <w:b/>
                <w:sz w:val="24"/>
                <w:szCs w:val="24"/>
                <w:lang w:val="ru-MD"/>
              </w:rPr>
              <w:t xml:space="preserve"> „</w:t>
            </w:r>
            <w:r w:rsidR="00A75852" w:rsidRPr="002D0FD1">
              <w:rPr>
                <w:rFonts w:asciiTheme="majorHAnsi" w:hAnsiTheme="majorHAnsi" w:cstheme="majorHAnsi"/>
                <w:b/>
                <w:sz w:val="24"/>
                <w:szCs w:val="24"/>
                <w:lang w:val="ru-MD"/>
              </w:rPr>
              <w:t xml:space="preserve">Asycuda </w:t>
            </w:r>
            <w:r w:rsidR="00A75852" w:rsidRPr="002D0FD1">
              <w:rPr>
                <w:rFonts w:asciiTheme="majorHAnsi" w:hAnsiTheme="majorHAnsi" w:cstheme="majorHAnsi"/>
                <w:b/>
                <w:iCs/>
                <w:color w:val="000000" w:themeColor="text1"/>
                <w:sz w:val="24"/>
                <w:szCs w:val="24"/>
                <w:lang w:val="ru-MD"/>
              </w:rPr>
              <w:t>World”</w:t>
            </w:r>
          </w:p>
        </w:tc>
        <w:tc>
          <w:tcPr>
            <w:tcW w:w="6570" w:type="dxa"/>
          </w:tcPr>
          <w:p w14:paraId="417F771E" w14:textId="13A3452E" w:rsidR="00A75852" w:rsidRPr="002D0FD1" w:rsidRDefault="00801F47" w:rsidP="00801F47">
            <w:pPr>
              <w:spacing w:after="0"/>
              <w:rPr>
                <w:rFonts w:asciiTheme="majorHAnsi" w:hAnsiTheme="majorHAnsi" w:cstheme="majorHAnsi"/>
                <w:sz w:val="24"/>
                <w:szCs w:val="24"/>
                <w:lang w:val="ru-MD"/>
              </w:rPr>
            </w:pPr>
            <w:r w:rsidRPr="002D0FD1">
              <w:rPr>
                <w:rFonts w:asciiTheme="majorHAnsi" w:hAnsiTheme="majorHAnsi" w:cstheme="majorHAnsi"/>
                <w:sz w:val="24"/>
                <w:szCs w:val="24"/>
                <w:lang w:val="ru-MD"/>
              </w:rPr>
              <w:t xml:space="preserve">Таможенная интегрированная информационная система </w:t>
            </w:r>
            <w:r w:rsidR="00FA69C7" w:rsidRPr="002D0FD1">
              <w:rPr>
                <w:rFonts w:asciiTheme="majorHAnsi" w:hAnsiTheme="majorHAnsi" w:cstheme="majorHAnsi"/>
                <w:sz w:val="24"/>
                <w:szCs w:val="24"/>
                <w:lang w:val="ru-MD"/>
              </w:rPr>
              <w:t>„</w:t>
            </w:r>
            <w:r w:rsidR="00A75852" w:rsidRPr="002D0FD1">
              <w:rPr>
                <w:rFonts w:asciiTheme="majorHAnsi" w:hAnsiTheme="majorHAnsi" w:cstheme="majorHAnsi"/>
                <w:sz w:val="24"/>
                <w:szCs w:val="24"/>
                <w:lang w:val="ru-MD"/>
              </w:rPr>
              <w:t xml:space="preserve">Asycuda </w:t>
            </w:r>
            <w:r w:rsidR="00A75852" w:rsidRPr="002D0FD1">
              <w:rPr>
                <w:rFonts w:asciiTheme="majorHAnsi" w:hAnsiTheme="majorHAnsi" w:cstheme="majorHAnsi"/>
                <w:iCs/>
                <w:color w:val="000000" w:themeColor="text1"/>
                <w:sz w:val="24"/>
                <w:szCs w:val="24"/>
                <w:lang w:val="ru-MD"/>
              </w:rPr>
              <w:t>World”</w:t>
            </w:r>
          </w:p>
        </w:tc>
      </w:tr>
      <w:tr w:rsidR="002B4A8D" w:rsidRPr="002D0FD1" w14:paraId="6F812C5F" w14:textId="77777777" w:rsidTr="00D06392">
        <w:trPr>
          <w:jc w:val="center"/>
        </w:trPr>
        <w:tc>
          <w:tcPr>
            <w:tcW w:w="2790" w:type="dxa"/>
          </w:tcPr>
          <w:p w14:paraId="54CBC774" w14:textId="71DB737E" w:rsidR="002B4A8D" w:rsidRPr="002D0FD1" w:rsidRDefault="00DD276C" w:rsidP="00DD276C">
            <w:pPr>
              <w:spacing w:after="0"/>
              <w:jc w:val="both"/>
              <w:rPr>
                <w:rFonts w:asciiTheme="majorHAnsi" w:hAnsiTheme="majorHAnsi" w:cstheme="majorHAnsi"/>
                <w:b/>
                <w:sz w:val="24"/>
                <w:szCs w:val="24"/>
                <w:lang w:val="ru-MD"/>
              </w:rPr>
            </w:pPr>
            <w:r w:rsidRPr="002D0FD1">
              <w:rPr>
                <w:rFonts w:asciiTheme="majorHAnsi" w:eastAsia="Times New Roman" w:hAnsiTheme="majorHAnsi" w:cstheme="majorHAnsi"/>
                <w:b/>
                <w:bCs/>
                <w:sz w:val="24"/>
                <w:szCs w:val="24"/>
                <w:lang w:val="ru-MD" w:eastAsia="ro-RO"/>
              </w:rPr>
              <w:t>СУВСТ</w:t>
            </w:r>
          </w:p>
        </w:tc>
        <w:tc>
          <w:tcPr>
            <w:tcW w:w="6570" w:type="dxa"/>
          </w:tcPr>
          <w:p w14:paraId="28AF7DFD" w14:textId="38A07F24" w:rsidR="002B4A8D" w:rsidRPr="002D0FD1" w:rsidRDefault="00DD276C" w:rsidP="00DD276C">
            <w:pPr>
              <w:spacing w:after="0"/>
              <w:rPr>
                <w:rFonts w:asciiTheme="majorHAnsi" w:hAnsiTheme="majorHAnsi" w:cstheme="majorHAnsi"/>
                <w:sz w:val="24"/>
                <w:szCs w:val="24"/>
                <w:lang w:val="ru-MD"/>
              </w:rPr>
            </w:pPr>
            <w:r w:rsidRPr="002D0FD1">
              <w:rPr>
                <w:rFonts w:asciiTheme="majorHAnsi" w:hAnsiTheme="majorHAnsi" w:cstheme="majorHAnsi"/>
                <w:sz w:val="24"/>
                <w:szCs w:val="24"/>
                <w:lang w:val="ru-MD"/>
              </w:rPr>
              <w:t xml:space="preserve">Соглашение об углубленной и всеобъемлющей свободной торговле между Европейским Союзом и Республикой Молдова </w:t>
            </w:r>
          </w:p>
        </w:tc>
      </w:tr>
      <w:tr w:rsidR="00D8676A" w:rsidRPr="002D0FD1" w14:paraId="406E6A35" w14:textId="77777777" w:rsidTr="00D06392">
        <w:trPr>
          <w:jc w:val="center"/>
        </w:trPr>
        <w:tc>
          <w:tcPr>
            <w:tcW w:w="2790" w:type="dxa"/>
          </w:tcPr>
          <w:p w14:paraId="49903411" w14:textId="55C78D82" w:rsidR="00D8676A" w:rsidRPr="002D0FD1" w:rsidRDefault="00DD276C" w:rsidP="00DD276C">
            <w:pPr>
              <w:spacing w:after="0"/>
              <w:jc w:val="both"/>
              <w:rPr>
                <w:rFonts w:asciiTheme="majorHAnsi" w:eastAsia="Times New Roman" w:hAnsiTheme="majorHAnsi" w:cstheme="majorHAnsi"/>
                <w:b/>
                <w:bCs/>
                <w:sz w:val="24"/>
                <w:szCs w:val="24"/>
                <w:lang w:val="ru-MD" w:eastAsia="ro-RO"/>
              </w:rPr>
            </w:pPr>
            <w:r w:rsidRPr="002D0FD1">
              <w:rPr>
                <w:rFonts w:asciiTheme="majorHAnsi" w:eastAsia="Times New Roman" w:hAnsiTheme="majorHAnsi" w:cstheme="majorHAnsi"/>
                <w:b/>
                <w:sz w:val="24"/>
                <w:szCs w:val="24"/>
                <w:lang w:val="ru-MD"/>
              </w:rPr>
              <w:t>КИСТ</w:t>
            </w:r>
          </w:p>
        </w:tc>
        <w:tc>
          <w:tcPr>
            <w:tcW w:w="6570" w:type="dxa"/>
          </w:tcPr>
          <w:p w14:paraId="3C2A5E3F" w14:textId="5E52D4DF" w:rsidR="00D8676A" w:rsidRPr="002D0FD1" w:rsidRDefault="00DD276C" w:rsidP="002B4A8D">
            <w:pPr>
              <w:spacing w:after="0"/>
              <w:rPr>
                <w:rFonts w:asciiTheme="majorHAnsi" w:hAnsiTheme="majorHAnsi" w:cstheme="majorHAnsi"/>
                <w:sz w:val="24"/>
                <w:szCs w:val="24"/>
                <w:lang w:val="ru-MD"/>
              </w:rPr>
            </w:pPr>
            <w:r w:rsidRPr="002D0FD1">
              <w:rPr>
                <w:rFonts w:asciiTheme="majorHAnsi" w:hAnsiTheme="majorHAnsi" w:cstheme="majorHAnsi"/>
                <w:sz w:val="24"/>
                <w:szCs w:val="24"/>
                <w:lang w:val="ru-MD"/>
              </w:rPr>
              <w:t>Компьютеризированная информационная система транзита</w:t>
            </w:r>
          </w:p>
        </w:tc>
      </w:tr>
      <w:tr w:rsidR="00AE05A9" w:rsidRPr="002D0FD1" w14:paraId="068ED750" w14:textId="77777777" w:rsidTr="00D06392">
        <w:trPr>
          <w:jc w:val="center"/>
        </w:trPr>
        <w:tc>
          <w:tcPr>
            <w:tcW w:w="2790" w:type="dxa"/>
          </w:tcPr>
          <w:p w14:paraId="49FED67C" w14:textId="57BAD800" w:rsidR="00AE05A9" w:rsidRPr="002D0FD1" w:rsidRDefault="00DD276C" w:rsidP="002B4A8D">
            <w:pPr>
              <w:spacing w:after="0"/>
              <w:jc w:val="both"/>
              <w:rPr>
                <w:rFonts w:asciiTheme="majorHAnsi" w:eastAsia="Times New Roman" w:hAnsiTheme="majorHAnsi" w:cstheme="majorHAnsi"/>
                <w:b/>
                <w:sz w:val="24"/>
                <w:szCs w:val="24"/>
                <w:lang w:val="ru-MD"/>
              </w:rPr>
            </w:pPr>
            <w:r w:rsidRPr="002D0FD1">
              <w:rPr>
                <w:rFonts w:asciiTheme="majorHAnsi" w:eastAsia="Times New Roman" w:hAnsiTheme="majorHAnsi" w:cstheme="majorHAnsi"/>
                <w:b/>
                <w:sz w:val="24"/>
                <w:szCs w:val="24"/>
                <w:lang w:val="ru-MD"/>
              </w:rPr>
              <w:t>ТД</w:t>
            </w:r>
          </w:p>
        </w:tc>
        <w:tc>
          <w:tcPr>
            <w:tcW w:w="6570" w:type="dxa"/>
          </w:tcPr>
          <w:p w14:paraId="507729E3" w14:textId="5D496171" w:rsidR="00AE05A9" w:rsidRPr="002D0FD1" w:rsidRDefault="00DD276C" w:rsidP="00DD276C">
            <w:pPr>
              <w:spacing w:after="0"/>
              <w:rPr>
                <w:rFonts w:asciiTheme="majorHAnsi" w:hAnsiTheme="majorHAnsi" w:cstheme="majorHAnsi"/>
                <w:sz w:val="24"/>
                <w:szCs w:val="24"/>
                <w:lang w:val="ru-MD"/>
              </w:rPr>
            </w:pPr>
            <w:r w:rsidRPr="002D0FD1">
              <w:rPr>
                <w:rFonts w:asciiTheme="majorHAnsi" w:hAnsiTheme="majorHAnsi" w:cstheme="majorHAnsi"/>
                <w:sz w:val="24"/>
                <w:szCs w:val="24"/>
                <w:lang w:val="ru-MD"/>
              </w:rPr>
              <w:t>Таможенная декларация</w:t>
            </w:r>
          </w:p>
        </w:tc>
      </w:tr>
      <w:tr w:rsidR="00486601" w:rsidRPr="002D0FD1" w14:paraId="7D52530B" w14:textId="77777777" w:rsidTr="00D06392">
        <w:trPr>
          <w:jc w:val="center"/>
        </w:trPr>
        <w:tc>
          <w:tcPr>
            <w:tcW w:w="2790" w:type="dxa"/>
          </w:tcPr>
          <w:p w14:paraId="76F111CC" w14:textId="07C3BA86" w:rsidR="00486601" w:rsidRPr="002D0FD1" w:rsidRDefault="00DD276C" w:rsidP="002B4A8D">
            <w:pPr>
              <w:spacing w:after="0"/>
              <w:jc w:val="both"/>
              <w:rPr>
                <w:rFonts w:asciiTheme="majorHAnsi" w:eastAsia="Times New Roman" w:hAnsiTheme="majorHAnsi" w:cstheme="majorHAnsi"/>
                <w:b/>
                <w:sz w:val="24"/>
                <w:szCs w:val="24"/>
                <w:lang w:val="ru-MD"/>
              </w:rPr>
            </w:pPr>
            <w:r w:rsidRPr="002D0FD1">
              <w:rPr>
                <w:rFonts w:asciiTheme="majorHAnsi" w:eastAsia="Times New Roman" w:hAnsiTheme="majorHAnsi" w:cstheme="majorHAnsi"/>
                <w:b/>
                <w:sz w:val="24"/>
                <w:szCs w:val="24"/>
                <w:lang w:val="ru-MD"/>
              </w:rPr>
              <w:t>МСПД</w:t>
            </w:r>
          </w:p>
        </w:tc>
        <w:tc>
          <w:tcPr>
            <w:tcW w:w="6570" w:type="dxa"/>
          </w:tcPr>
          <w:p w14:paraId="1944BEA4" w14:textId="484C4218" w:rsidR="00486601" w:rsidRPr="002D0FD1" w:rsidRDefault="00DD276C" w:rsidP="00DD276C">
            <w:pPr>
              <w:spacing w:after="0"/>
              <w:rPr>
                <w:rFonts w:asciiTheme="majorHAnsi" w:hAnsiTheme="majorHAnsi" w:cstheme="majorHAnsi"/>
                <w:sz w:val="24"/>
                <w:szCs w:val="24"/>
                <w:lang w:val="ru-MD"/>
              </w:rPr>
            </w:pPr>
            <w:r w:rsidRPr="002D0FD1">
              <w:rPr>
                <w:rFonts w:asciiTheme="majorHAnsi" w:hAnsiTheme="majorHAnsi" w:cstheme="majorHAnsi"/>
                <w:sz w:val="24"/>
                <w:szCs w:val="24"/>
                <w:lang w:val="ru-MD"/>
              </w:rPr>
              <w:t>Международный свободный порт Джурджулешть</w:t>
            </w:r>
          </w:p>
        </w:tc>
      </w:tr>
    </w:tbl>
    <w:p w14:paraId="6D745069" w14:textId="77777777" w:rsidR="00AE05A9" w:rsidRPr="002D0FD1" w:rsidRDefault="00AE05A9" w:rsidP="00F310E9">
      <w:pPr>
        <w:jc w:val="center"/>
        <w:rPr>
          <w:rFonts w:asciiTheme="majorHAnsi" w:hAnsiTheme="majorHAnsi" w:cstheme="majorHAnsi"/>
          <w:b/>
          <w:sz w:val="28"/>
          <w:szCs w:val="28"/>
          <w:lang w:val="ru-MD"/>
        </w:rPr>
      </w:pPr>
      <w:bookmarkStart w:id="3" w:name="_Toc97104723"/>
      <w:bookmarkStart w:id="4" w:name="_Toc475691464"/>
      <w:bookmarkStart w:id="5" w:name="_Toc27128880"/>
    </w:p>
    <w:p w14:paraId="389C646D" w14:textId="0FE2AB49" w:rsidR="00F310E9" w:rsidRPr="002D0FD1" w:rsidRDefault="007156A1" w:rsidP="00F310E9">
      <w:pPr>
        <w:jc w:val="center"/>
        <w:rPr>
          <w:rFonts w:asciiTheme="majorHAnsi" w:hAnsiTheme="majorHAnsi" w:cstheme="majorHAnsi"/>
          <w:b/>
          <w:sz w:val="28"/>
          <w:szCs w:val="28"/>
          <w:lang w:val="ru-MD"/>
        </w:rPr>
      </w:pPr>
      <w:bookmarkStart w:id="6" w:name="_Toc57308258"/>
      <w:r w:rsidRPr="002D0FD1">
        <w:rPr>
          <w:rFonts w:asciiTheme="majorHAnsi" w:hAnsiTheme="majorHAnsi" w:cstheme="majorHAnsi"/>
          <w:b/>
          <w:sz w:val="28"/>
          <w:szCs w:val="28"/>
          <w:lang w:val="ru-MD"/>
        </w:rPr>
        <w:t>ГЛОССАРИЙ</w:t>
      </w:r>
      <w:bookmarkEnd w:id="6"/>
      <w:r w:rsidRPr="002D0FD1">
        <w:rPr>
          <w:rFonts w:asciiTheme="majorHAnsi" w:hAnsiTheme="majorHAnsi" w:cstheme="majorHAnsi"/>
          <w:b/>
          <w:sz w:val="28"/>
          <w:szCs w:val="28"/>
          <w:lang w:val="ru-MD"/>
        </w:rPr>
        <w:t xml:space="preserve"> </w:t>
      </w:r>
    </w:p>
    <w:p w14:paraId="62C57D97" w14:textId="285EA515" w:rsidR="00F310E9" w:rsidRPr="002D0FD1" w:rsidRDefault="007156A1" w:rsidP="00F310E9">
      <w:pPr>
        <w:spacing w:after="0"/>
        <w:rPr>
          <w:rFonts w:asciiTheme="majorHAnsi" w:eastAsia="Times New Roman" w:hAnsiTheme="majorHAnsi" w:cstheme="majorHAnsi"/>
          <w:sz w:val="24"/>
          <w:szCs w:val="24"/>
          <w:lang w:val="ru-MD"/>
        </w:rPr>
      </w:pPr>
      <w:r w:rsidRPr="002D0FD1">
        <w:rPr>
          <w:rFonts w:asciiTheme="majorHAnsi" w:eastAsia="Times New Roman" w:hAnsiTheme="majorHAnsi" w:cstheme="majorHAnsi"/>
          <w:b/>
          <w:iCs/>
          <w:sz w:val="24"/>
          <w:szCs w:val="24"/>
          <w:lang w:val="ru-MD"/>
        </w:rPr>
        <w:t>Таможенный плательщик</w:t>
      </w:r>
      <w:r w:rsidR="00F310E9" w:rsidRPr="002D0FD1">
        <w:rPr>
          <w:rFonts w:asciiTheme="majorHAnsi" w:hAnsiTheme="majorHAnsi" w:cstheme="majorHAnsi"/>
          <w:b/>
          <w:sz w:val="24"/>
          <w:szCs w:val="24"/>
          <w:lang w:val="ru-MD"/>
        </w:rPr>
        <w:t xml:space="preserve"> </w:t>
      </w:r>
      <w:r w:rsidR="004F1801" w:rsidRPr="002D0FD1">
        <w:rPr>
          <w:rFonts w:asciiTheme="majorHAnsi" w:eastAsia="Times New Roman" w:hAnsiTheme="majorHAnsi" w:cstheme="majorHAnsi"/>
          <w:iCs/>
          <w:sz w:val="24"/>
          <w:szCs w:val="24"/>
          <w:lang w:val="ru-MD"/>
        </w:rPr>
        <w:t>-</w:t>
      </w:r>
      <w:r w:rsidR="004F1801" w:rsidRPr="002D0FD1">
        <w:rPr>
          <w:rFonts w:asciiTheme="majorHAnsi" w:eastAsia="Times New Roman" w:hAnsiTheme="majorHAnsi" w:cstheme="majorHAnsi"/>
          <w:b/>
          <w:sz w:val="24"/>
          <w:szCs w:val="24"/>
          <w:lang w:val="ru-MD"/>
        </w:rPr>
        <w:t> </w:t>
      </w:r>
      <w:r w:rsidR="008767B9" w:rsidRPr="002D0FD1">
        <w:rPr>
          <w:rFonts w:asciiTheme="majorHAnsi" w:eastAsia="Times New Roman" w:hAnsiTheme="majorHAnsi" w:cstheme="majorHAnsi"/>
          <w:sz w:val="24"/>
          <w:szCs w:val="24"/>
          <w:lang w:val="ru-MD"/>
        </w:rPr>
        <w:t>лицо, обязанное погасить таможенное обязательство</w:t>
      </w:r>
      <w:bookmarkStart w:id="7" w:name="_Toc97104724"/>
      <w:bookmarkEnd w:id="3"/>
      <w:r w:rsidR="008767B9" w:rsidRPr="002D0FD1">
        <w:rPr>
          <w:rFonts w:asciiTheme="majorHAnsi" w:eastAsia="Times New Roman" w:hAnsiTheme="majorHAnsi" w:cstheme="majorHAnsi"/>
          <w:sz w:val="24"/>
          <w:szCs w:val="24"/>
          <w:lang w:val="ru-MD"/>
        </w:rPr>
        <w:t>;</w:t>
      </w:r>
    </w:p>
    <w:bookmarkEnd w:id="7"/>
    <w:p w14:paraId="5C0E2C57" w14:textId="2ADBE286" w:rsidR="004F1801" w:rsidRPr="002D0FD1" w:rsidRDefault="007156A1" w:rsidP="00BC7BFC">
      <w:pPr>
        <w:spacing w:after="0"/>
        <w:jc w:val="both"/>
        <w:rPr>
          <w:rFonts w:asciiTheme="majorHAnsi" w:hAnsiTheme="majorHAnsi" w:cstheme="majorHAnsi"/>
          <w:sz w:val="24"/>
          <w:szCs w:val="24"/>
          <w:lang w:val="ru-MD"/>
        </w:rPr>
      </w:pPr>
      <w:r w:rsidRPr="002D0FD1">
        <w:rPr>
          <w:rFonts w:asciiTheme="majorHAnsi" w:eastAsia="Times New Roman" w:hAnsiTheme="majorHAnsi" w:cstheme="majorHAnsi"/>
          <w:b/>
          <w:iCs/>
          <w:sz w:val="24"/>
          <w:szCs w:val="24"/>
          <w:lang w:val="ru-MD"/>
        </w:rPr>
        <w:t xml:space="preserve">Таможенные платежи </w:t>
      </w:r>
      <w:r w:rsidR="0003677B" w:rsidRPr="002D0FD1">
        <w:rPr>
          <w:rFonts w:asciiTheme="majorHAnsi" w:eastAsia="Times New Roman" w:hAnsiTheme="majorHAnsi" w:cstheme="majorHAnsi"/>
          <w:b/>
          <w:iCs/>
          <w:sz w:val="24"/>
          <w:szCs w:val="24"/>
          <w:lang w:val="ru-MD"/>
        </w:rPr>
        <w:t>-</w:t>
      </w:r>
      <w:r w:rsidR="004F1801" w:rsidRPr="002D0FD1">
        <w:rPr>
          <w:rFonts w:asciiTheme="majorHAnsi" w:eastAsia="Times New Roman" w:hAnsiTheme="majorHAnsi" w:cstheme="majorHAnsi"/>
          <w:b/>
          <w:sz w:val="24"/>
          <w:szCs w:val="24"/>
          <w:lang w:val="ru-MD"/>
        </w:rPr>
        <w:t xml:space="preserve"> </w:t>
      </w:r>
      <w:r w:rsidRPr="002D0FD1">
        <w:rPr>
          <w:rFonts w:asciiTheme="majorHAnsi" w:eastAsia="Times New Roman" w:hAnsiTheme="majorHAnsi" w:cstheme="majorHAnsi"/>
          <w:sz w:val="24"/>
          <w:szCs w:val="24"/>
          <w:lang w:val="ru-MD"/>
        </w:rPr>
        <w:t>таможенн</w:t>
      </w:r>
      <w:r w:rsidR="000E6E81" w:rsidRPr="002D0FD1">
        <w:rPr>
          <w:rFonts w:asciiTheme="majorHAnsi" w:eastAsia="Times New Roman" w:hAnsiTheme="majorHAnsi" w:cstheme="majorHAnsi"/>
          <w:sz w:val="24"/>
          <w:szCs w:val="24"/>
          <w:lang w:val="ru-MD"/>
        </w:rPr>
        <w:t>ые</w:t>
      </w:r>
      <w:r w:rsidRPr="002D0FD1">
        <w:rPr>
          <w:rFonts w:asciiTheme="majorHAnsi" w:eastAsia="Times New Roman" w:hAnsiTheme="majorHAnsi" w:cstheme="majorHAnsi"/>
          <w:sz w:val="24"/>
          <w:szCs w:val="24"/>
          <w:lang w:val="ru-MD"/>
        </w:rPr>
        <w:t xml:space="preserve"> п</w:t>
      </w:r>
      <w:r w:rsidR="000E6E81" w:rsidRPr="002D0FD1">
        <w:rPr>
          <w:rFonts w:asciiTheme="majorHAnsi" w:eastAsia="Times New Roman" w:hAnsiTheme="majorHAnsi" w:cstheme="majorHAnsi"/>
          <w:sz w:val="24"/>
          <w:szCs w:val="24"/>
          <w:lang w:val="ru-MD"/>
        </w:rPr>
        <w:t>латежи</w:t>
      </w:r>
      <w:r w:rsidRPr="002D0FD1">
        <w:rPr>
          <w:rFonts w:asciiTheme="majorHAnsi" w:eastAsia="Times New Roman" w:hAnsiTheme="majorHAnsi" w:cstheme="majorHAnsi"/>
          <w:sz w:val="24"/>
          <w:szCs w:val="24"/>
          <w:lang w:val="ru-MD"/>
        </w:rPr>
        <w:t>, сбор за осуществление таможенных процедур, налог на добавленную стоимость, акцизы и любые другие платежи, подлежащие уплате государству при ввозе товаров, взимаемые таможенным органом в соответствии с законодательством, сбор за осуществление таможенных процедур, любые другие платежи, подлежащие уплате государству при вывозе товаров, взимаемые таможенным органом в соответствии с законодательством</w:t>
      </w:r>
      <w:r w:rsidR="000E6E81" w:rsidRPr="002D0FD1">
        <w:rPr>
          <w:rFonts w:asciiTheme="majorHAnsi" w:eastAsia="Times New Roman" w:hAnsiTheme="majorHAnsi" w:cstheme="majorHAnsi"/>
          <w:sz w:val="24"/>
          <w:szCs w:val="24"/>
          <w:lang w:val="ru-MD"/>
        </w:rPr>
        <w:t>;</w:t>
      </w:r>
    </w:p>
    <w:p w14:paraId="26C7DCF9" w14:textId="456B6A51" w:rsidR="004F1801" w:rsidRPr="002D0FD1" w:rsidRDefault="007156A1" w:rsidP="00BC7BFC">
      <w:pPr>
        <w:spacing w:after="0"/>
        <w:jc w:val="both"/>
        <w:rPr>
          <w:rFonts w:asciiTheme="majorHAnsi" w:hAnsiTheme="majorHAnsi" w:cstheme="majorHAnsi"/>
          <w:b/>
          <w:sz w:val="24"/>
          <w:szCs w:val="24"/>
          <w:lang w:val="ru-MD"/>
        </w:rPr>
      </w:pPr>
      <w:r w:rsidRPr="002D0FD1">
        <w:rPr>
          <w:rFonts w:asciiTheme="majorHAnsi" w:eastAsia="Times New Roman" w:hAnsiTheme="majorHAnsi" w:cstheme="majorHAnsi"/>
          <w:b/>
          <w:iCs/>
          <w:sz w:val="24"/>
          <w:szCs w:val="24"/>
          <w:lang w:val="ru-MD"/>
        </w:rPr>
        <w:t xml:space="preserve">Таможенная пошлина </w:t>
      </w:r>
      <w:r w:rsidR="0003677B" w:rsidRPr="002D0FD1">
        <w:rPr>
          <w:rFonts w:asciiTheme="majorHAnsi" w:eastAsia="Times New Roman" w:hAnsiTheme="majorHAnsi" w:cstheme="majorHAnsi"/>
          <w:b/>
          <w:iCs/>
          <w:sz w:val="24"/>
          <w:szCs w:val="24"/>
          <w:lang w:val="ru-MD"/>
        </w:rPr>
        <w:t>-</w:t>
      </w:r>
      <w:r w:rsidR="004F1801" w:rsidRPr="002D0FD1">
        <w:rPr>
          <w:rFonts w:asciiTheme="majorHAnsi" w:eastAsia="Times New Roman" w:hAnsiTheme="majorHAnsi" w:cstheme="majorHAnsi"/>
          <w:b/>
          <w:iCs/>
          <w:sz w:val="24"/>
          <w:szCs w:val="24"/>
          <w:lang w:val="ru-MD"/>
        </w:rPr>
        <w:t xml:space="preserve"> </w:t>
      </w:r>
      <w:r w:rsidRPr="002D0FD1">
        <w:rPr>
          <w:rFonts w:asciiTheme="majorHAnsi" w:eastAsia="Times New Roman" w:hAnsiTheme="majorHAnsi" w:cstheme="majorHAnsi"/>
          <w:sz w:val="24"/>
          <w:szCs w:val="24"/>
          <w:lang w:val="ru-MD"/>
        </w:rPr>
        <w:t>плата, взимаемая таможенным орган</w:t>
      </w:r>
      <w:r w:rsidR="000E6E81" w:rsidRPr="002D0FD1">
        <w:rPr>
          <w:rFonts w:asciiTheme="majorHAnsi" w:eastAsia="Times New Roman" w:hAnsiTheme="majorHAnsi" w:cstheme="majorHAnsi"/>
          <w:sz w:val="24"/>
          <w:szCs w:val="24"/>
          <w:lang w:val="ru-MD"/>
        </w:rPr>
        <w:t>ом</w:t>
      </w:r>
      <w:r w:rsidRPr="002D0FD1">
        <w:rPr>
          <w:rFonts w:asciiTheme="majorHAnsi" w:eastAsia="Times New Roman" w:hAnsiTheme="majorHAnsi" w:cstheme="majorHAnsi"/>
          <w:sz w:val="24"/>
          <w:szCs w:val="24"/>
          <w:lang w:val="ru-MD"/>
        </w:rPr>
        <w:t xml:space="preserve"> в соответствии с тарифом на импортируемые товары</w:t>
      </w:r>
      <w:r w:rsidR="000E6E81" w:rsidRPr="002D0FD1">
        <w:rPr>
          <w:rFonts w:asciiTheme="majorHAnsi" w:eastAsia="Times New Roman" w:hAnsiTheme="majorHAnsi" w:cstheme="majorHAnsi"/>
          <w:sz w:val="24"/>
          <w:szCs w:val="24"/>
          <w:lang w:val="ru-MD"/>
        </w:rPr>
        <w:t>;</w:t>
      </w:r>
    </w:p>
    <w:p w14:paraId="5C750E5A" w14:textId="26D3DB92" w:rsidR="00E46579" w:rsidRPr="002D0FD1" w:rsidRDefault="007156A1" w:rsidP="00BC7BFC">
      <w:pPr>
        <w:spacing w:after="0"/>
        <w:jc w:val="both"/>
        <w:rPr>
          <w:rFonts w:asciiTheme="majorHAnsi" w:eastAsia="Times New Roman" w:hAnsiTheme="majorHAnsi" w:cstheme="majorHAnsi"/>
          <w:sz w:val="24"/>
          <w:szCs w:val="24"/>
          <w:lang w:val="ru-MD"/>
        </w:rPr>
      </w:pPr>
      <w:r w:rsidRPr="002D0FD1">
        <w:rPr>
          <w:rFonts w:asciiTheme="majorHAnsi" w:eastAsia="Times New Roman" w:hAnsiTheme="majorHAnsi" w:cstheme="majorHAnsi"/>
          <w:b/>
          <w:iCs/>
          <w:sz w:val="24"/>
          <w:szCs w:val="24"/>
          <w:lang w:val="ru-MD"/>
        </w:rPr>
        <w:t>Сбор за осуществление таможенных процедур</w:t>
      </w:r>
      <w:r w:rsidRPr="002D0FD1">
        <w:rPr>
          <w:rFonts w:asciiTheme="majorHAnsi" w:eastAsia="Times New Roman" w:hAnsiTheme="majorHAnsi" w:cstheme="majorHAnsi"/>
          <w:b/>
          <w:sz w:val="24"/>
          <w:szCs w:val="24"/>
          <w:lang w:val="ru-MD"/>
        </w:rPr>
        <w:t> </w:t>
      </w:r>
      <w:r w:rsidR="0003677B" w:rsidRPr="002D0FD1">
        <w:rPr>
          <w:rFonts w:asciiTheme="majorHAnsi" w:eastAsia="Times New Roman" w:hAnsiTheme="majorHAnsi" w:cstheme="majorHAnsi"/>
          <w:b/>
          <w:iCs/>
          <w:sz w:val="24"/>
          <w:szCs w:val="24"/>
          <w:lang w:val="ru-MD"/>
        </w:rPr>
        <w:t xml:space="preserve"> - </w:t>
      </w:r>
      <w:r w:rsidRPr="002D0FD1">
        <w:rPr>
          <w:rFonts w:asciiTheme="majorHAnsi" w:eastAsia="Times New Roman" w:hAnsiTheme="majorHAnsi" w:cstheme="majorHAnsi"/>
          <w:sz w:val="24"/>
          <w:szCs w:val="24"/>
          <w:lang w:val="ru-MD"/>
        </w:rPr>
        <w:t>плата за услуги, предоставленные таможенными органами; перечень таких услуг и размер платы за них предусмотрены законодательством</w:t>
      </w:r>
      <w:r w:rsidR="000E6E81" w:rsidRPr="002D0FD1">
        <w:rPr>
          <w:rFonts w:asciiTheme="majorHAnsi" w:eastAsia="Times New Roman" w:hAnsiTheme="majorHAnsi" w:cstheme="majorHAnsi"/>
          <w:sz w:val="24"/>
          <w:szCs w:val="24"/>
          <w:lang w:val="ru-MD"/>
        </w:rPr>
        <w:t>;</w:t>
      </w:r>
    </w:p>
    <w:p w14:paraId="11B480FE" w14:textId="5DBC5757" w:rsidR="00E46579" w:rsidRPr="002D0FD1" w:rsidRDefault="007156A1" w:rsidP="00BC7BFC">
      <w:pPr>
        <w:spacing w:after="0"/>
        <w:jc w:val="both"/>
        <w:rPr>
          <w:rFonts w:asciiTheme="majorHAnsi" w:hAnsiTheme="majorHAnsi" w:cstheme="majorHAnsi"/>
          <w:sz w:val="24"/>
          <w:szCs w:val="24"/>
          <w:lang w:val="ru-MD"/>
        </w:rPr>
      </w:pPr>
      <w:r w:rsidRPr="002D0FD1">
        <w:rPr>
          <w:rFonts w:asciiTheme="majorHAnsi" w:hAnsiTheme="majorHAnsi" w:cstheme="majorHAnsi"/>
          <w:b/>
          <w:iCs/>
          <w:sz w:val="24"/>
          <w:szCs w:val="24"/>
          <w:lang w:val="ru-MD"/>
        </w:rPr>
        <w:t>Таможенное оформление</w:t>
      </w:r>
      <w:r w:rsidR="00376956" w:rsidRPr="002D0FD1">
        <w:rPr>
          <w:rFonts w:asciiTheme="majorHAnsi" w:hAnsiTheme="majorHAnsi" w:cstheme="majorHAnsi"/>
          <w:b/>
          <w:iCs/>
          <w:sz w:val="24"/>
          <w:szCs w:val="24"/>
          <w:lang w:val="ru-MD"/>
        </w:rPr>
        <w:t xml:space="preserve"> -</w:t>
      </w:r>
      <w:r w:rsidR="00376956" w:rsidRPr="002D0FD1">
        <w:rPr>
          <w:rFonts w:asciiTheme="majorHAnsi" w:hAnsiTheme="majorHAnsi" w:cstheme="majorHAnsi"/>
          <w:sz w:val="24"/>
          <w:szCs w:val="24"/>
          <w:lang w:val="ru-MD"/>
        </w:rPr>
        <w:t xml:space="preserve"> </w:t>
      </w:r>
      <w:r w:rsidRPr="002D0FD1">
        <w:rPr>
          <w:rFonts w:asciiTheme="majorHAnsi" w:hAnsiTheme="majorHAnsi" w:cstheme="majorHAnsi"/>
          <w:sz w:val="24"/>
          <w:szCs w:val="24"/>
          <w:lang w:val="ru-MD"/>
        </w:rPr>
        <w:t>процедура помещения товаров и транспортных средств под определенный таможенный режим и завершение действия этого режима в соответствии с положениями Таможенного кодекса</w:t>
      </w:r>
      <w:bookmarkEnd w:id="4"/>
      <w:bookmarkEnd w:id="5"/>
      <w:r w:rsidR="000E6E81" w:rsidRPr="002D0FD1">
        <w:rPr>
          <w:rFonts w:asciiTheme="majorHAnsi" w:hAnsiTheme="majorHAnsi" w:cstheme="majorHAnsi"/>
          <w:sz w:val="24"/>
          <w:szCs w:val="24"/>
          <w:lang w:val="ru-MD"/>
        </w:rPr>
        <w:t>;</w:t>
      </w:r>
    </w:p>
    <w:p w14:paraId="4052CA14" w14:textId="23054F8E" w:rsidR="00672E03" w:rsidRPr="002D0FD1" w:rsidRDefault="000E6E81" w:rsidP="00672E03">
      <w:pPr>
        <w:spacing w:after="0" w:line="240" w:lineRule="auto"/>
        <w:jc w:val="both"/>
        <w:rPr>
          <w:rFonts w:asciiTheme="majorHAnsi" w:eastAsia="Times New Roman" w:hAnsiTheme="majorHAnsi" w:cstheme="majorHAnsi"/>
          <w:sz w:val="24"/>
          <w:szCs w:val="24"/>
          <w:lang w:val="ru-MD"/>
        </w:rPr>
      </w:pPr>
      <w:r w:rsidRPr="002D0FD1">
        <w:rPr>
          <w:rFonts w:asciiTheme="majorHAnsi" w:eastAsia="Times New Roman" w:hAnsiTheme="majorHAnsi" w:cstheme="majorHAnsi"/>
          <w:b/>
          <w:iCs/>
          <w:sz w:val="24"/>
          <w:szCs w:val="24"/>
          <w:lang w:val="ru-MD"/>
        </w:rPr>
        <w:t>Таможенный контроль</w:t>
      </w:r>
      <w:r w:rsidR="00672E03" w:rsidRPr="002D0FD1">
        <w:rPr>
          <w:rFonts w:asciiTheme="majorHAnsi" w:eastAsia="Times New Roman" w:hAnsiTheme="majorHAnsi" w:cstheme="majorHAnsi"/>
          <w:sz w:val="24"/>
          <w:szCs w:val="24"/>
          <w:lang w:val="ru-MD"/>
        </w:rPr>
        <w:t xml:space="preserve"> – </w:t>
      </w:r>
      <w:r w:rsidRPr="002D0FD1">
        <w:rPr>
          <w:rFonts w:asciiTheme="majorHAnsi" w:eastAsia="Times New Roman" w:hAnsiTheme="majorHAnsi" w:cstheme="majorHAnsi"/>
          <w:sz w:val="24"/>
          <w:szCs w:val="24"/>
          <w:lang w:val="ru-MD"/>
        </w:rPr>
        <w:t>совокупность действий, предпринятых таможенными органами для обеспечения применения и соблюдения законов и нормативных актов, которые таможенные органы должны применять;</w:t>
      </w:r>
    </w:p>
    <w:p w14:paraId="54C55222" w14:textId="32CE03DF" w:rsidR="00C9265D" w:rsidRPr="002D0FD1" w:rsidRDefault="007156A1" w:rsidP="00BC7BFC">
      <w:pPr>
        <w:spacing w:after="0"/>
        <w:jc w:val="both"/>
        <w:rPr>
          <w:rFonts w:asciiTheme="majorHAnsi" w:hAnsiTheme="majorHAnsi" w:cstheme="majorHAnsi"/>
          <w:b/>
          <w:lang w:val="ru-MD"/>
        </w:rPr>
      </w:pPr>
      <w:r w:rsidRPr="002D0FD1">
        <w:rPr>
          <w:rFonts w:asciiTheme="majorHAnsi" w:hAnsiTheme="majorHAnsi" w:cstheme="majorHAnsi"/>
          <w:b/>
          <w:sz w:val="24"/>
          <w:szCs w:val="24"/>
          <w:lang w:val="ru-MD"/>
        </w:rPr>
        <w:t>Пост</w:t>
      </w:r>
      <w:r w:rsidRPr="002D0FD1">
        <w:rPr>
          <w:rFonts w:asciiTheme="majorHAnsi" w:hAnsiTheme="majorHAnsi" w:cstheme="majorHAnsi"/>
          <w:b/>
          <w:iCs/>
          <w:sz w:val="24"/>
          <w:szCs w:val="24"/>
          <w:lang w:val="ru-MD"/>
        </w:rPr>
        <w:t>таможенный контроль</w:t>
      </w:r>
      <w:r w:rsidRPr="002D0FD1">
        <w:rPr>
          <w:rFonts w:asciiTheme="majorHAnsi" w:hAnsiTheme="majorHAnsi" w:cstheme="majorHAnsi"/>
          <w:b/>
          <w:iCs/>
          <w:color w:val="000000"/>
          <w:sz w:val="24"/>
          <w:szCs w:val="24"/>
          <w:lang w:val="ru-MD"/>
        </w:rPr>
        <w:t xml:space="preserve"> </w:t>
      </w:r>
      <w:r w:rsidR="0006401B" w:rsidRPr="002D0FD1">
        <w:rPr>
          <w:rFonts w:asciiTheme="majorHAnsi" w:hAnsiTheme="majorHAnsi" w:cstheme="majorHAnsi"/>
          <w:b/>
          <w:iCs/>
          <w:color w:val="000000"/>
          <w:sz w:val="24"/>
          <w:szCs w:val="24"/>
          <w:lang w:val="ru-MD"/>
        </w:rPr>
        <w:t>-</w:t>
      </w:r>
      <w:r w:rsidR="00376956" w:rsidRPr="002D0FD1">
        <w:rPr>
          <w:rFonts w:asciiTheme="majorHAnsi" w:hAnsiTheme="majorHAnsi" w:cstheme="majorHAnsi"/>
          <w:color w:val="000000"/>
          <w:sz w:val="24"/>
          <w:szCs w:val="24"/>
          <w:lang w:val="ru-MD"/>
        </w:rPr>
        <w:t> </w:t>
      </w:r>
      <w:r w:rsidRPr="002D0FD1">
        <w:rPr>
          <w:rFonts w:asciiTheme="majorHAnsi" w:hAnsiTheme="majorHAnsi" w:cstheme="majorHAnsi"/>
          <w:color w:val="000000"/>
          <w:sz w:val="24"/>
          <w:szCs w:val="24"/>
          <w:lang w:val="ru-MD"/>
        </w:rPr>
        <w:t>проверка информации из таможенной декларации и сопроводительных документов, проверка наличия и соответствия документов, предусмотренных для осуществления таможенного назначения или таможенного режима, проверка системы учета и всех документов и данных в любой форме, включая компьютеризированные, относящиеся к операциям по товарам, полученным от международной торговли, или к другим предыдущим или последующим торговым операциям с участием этих товаров, проверка товаров, в случае, если они могут быть идентифицированы, транспортных средств, осмотр территорий и складских помещений</w:t>
      </w:r>
      <w:r w:rsidR="004F0428" w:rsidRPr="002D0FD1">
        <w:rPr>
          <w:rFonts w:asciiTheme="majorHAnsi" w:hAnsiTheme="majorHAnsi" w:cstheme="majorHAnsi"/>
          <w:color w:val="000000"/>
          <w:sz w:val="24"/>
          <w:szCs w:val="24"/>
          <w:lang w:val="ru-MD"/>
        </w:rPr>
        <w:t>;</w:t>
      </w:r>
    </w:p>
    <w:p w14:paraId="08CAE9A3" w14:textId="03A667E3" w:rsidR="00E46579" w:rsidRPr="002D0FD1" w:rsidRDefault="007156A1" w:rsidP="00A86EE1">
      <w:pPr>
        <w:spacing w:after="0"/>
        <w:jc w:val="both"/>
        <w:rPr>
          <w:rFonts w:asciiTheme="majorHAnsi" w:hAnsiTheme="majorHAnsi" w:cstheme="majorHAnsi"/>
          <w:sz w:val="24"/>
          <w:szCs w:val="24"/>
          <w:lang w:val="ru-MD"/>
        </w:rPr>
      </w:pPr>
      <w:r w:rsidRPr="002D0FD1">
        <w:rPr>
          <w:rFonts w:asciiTheme="majorHAnsi" w:hAnsiTheme="majorHAnsi" w:cstheme="majorHAnsi"/>
          <w:b/>
          <w:iCs/>
          <w:sz w:val="24"/>
          <w:szCs w:val="24"/>
          <w:lang w:val="ru-MD"/>
        </w:rPr>
        <w:lastRenderedPageBreak/>
        <w:t>Декларирование действием</w:t>
      </w:r>
      <w:r w:rsidR="00495D4E" w:rsidRPr="002D0FD1">
        <w:rPr>
          <w:rFonts w:asciiTheme="majorHAnsi" w:hAnsiTheme="majorHAnsi" w:cstheme="majorHAnsi"/>
          <w:b/>
          <w:iCs/>
          <w:sz w:val="24"/>
          <w:szCs w:val="24"/>
          <w:lang w:val="ru-MD"/>
        </w:rPr>
        <w:t xml:space="preserve"> </w:t>
      </w:r>
      <w:r w:rsidR="00E46579" w:rsidRPr="002D0FD1">
        <w:rPr>
          <w:rFonts w:asciiTheme="majorHAnsi" w:hAnsiTheme="majorHAnsi" w:cstheme="majorHAnsi"/>
          <w:b/>
          <w:sz w:val="24"/>
          <w:szCs w:val="24"/>
          <w:lang w:val="ru-MD"/>
        </w:rPr>
        <w:t>-</w:t>
      </w:r>
      <w:r w:rsidR="00495D4E" w:rsidRPr="002D0FD1">
        <w:rPr>
          <w:rFonts w:asciiTheme="majorHAnsi" w:hAnsiTheme="majorHAnsi" w:cstheme="majorHAnsi"/>
          <w:b/>
          <w:sz w:val="24"/>
          <w:szCs w:val="24"/>
          <w:lang w:val="ru-MD"/>
        </w:rPr>
        <w:t xml:space="preserve"> </w:t>
      </w:r>
      <w:r w:rsidRPr="002D0FD1">
        <w:rPr>
          <w:rFonts w:asciiTheme="majorHAnsi" w:hAnsiTheme="majorHAnsi" w:cstheme="majorHAnsi"/>
          <w:sz w:val="24"/>
          <w:szCs w:val="24"/>
          <w:lang w:val="ru-MD"/>
        </w:rPr>
        <w:t>форма явного (очевидного) декларирования автотранспортного  средства, при которой физическое лицо освобождается от заполнения каких-либо таможенных документов при условии представления таможенным органам, расположенным в пунктах перехода через  государственную  границу, документов о  регистрации автотранспортного средства, с последующей его  регистрацией в информационной системе Таможенной службы</w:t>
      </w:r>
      <w:r w:rsidR="00495D4E" w:rsidRPr="002D0FD1">
        <w:rPr>
          <w:rFonts w:asciiTheme="majorHAnsi" w:hAnsiTheme="majorHAnsi" w:cstheme="majorHAnsi"/>
          <w:sz w:val="24"/>
          <w:szCs w:val="24"/>
          <w:lang w:val="ru-MD"/>
        </w:rPr>
        <w:t>;</w:t>
      </w:r>
    </w:p>
    <w:p w14:paraId="6B71B547" w14:textId="32AF2BD6" w:rsidR="00E46579" w:rsidRPr="002D0FD1" w:rsidRDefault="007156A1" w:rsidP="00BC7BFC">
      <w:pPr>
        <w:spacing w:after="0"/>
        <w:jc w:val="both"/>
        <w:rPr>
          <w:rFonts w:asciiTheme="majorHAnsi" w:hAnsiTheme="majorHAnsi" w:cstheme="majorHAnsi"/>
          <w:sz w:val="24"/>
          <w:szCs w:val="24"/>
          <w:lang w:val="ru-MD"/>
        </w:rPr>
      </w:pPr>
      <w:r w:rsidRPr="002D0FD1">
        <w:rPr>
          <w:rFonts w:asciiTheme="majorHAnsi" w:eastAsia="Times New Roman" w:hAnsiTheme="majorHAnsi" w:cstheme="majorHAnsi"/>
          <w:b/>
          <w:bCs/>
          <w:sz w:val="24"/>
          <w:szCs w:val="24"/>
          <w:lang w:val="ru-MD"/>
        </w:rPr>
        <w:t>Коридор таможенного оформления </w:t>
      </w:r>
      <w:r w:rsidRPr="002D0FD1">
        <w:rPr>
          <w:rFonts w:asciiTheme="majorHAnsi" w:eastAsia="Times New Roman" w:hAnsiTheme="majorHAnsi" w:cstheme="majorHAnsi"/>
          <w:b/>
          <w:bCs/>
          <w:color w:val="333333"/>
          <w:sz w:val="24"/>
          <w:szCs w:val="24"/>
          <w:lang w:val="ru-MD"/>
        </w:rPr>
        <w:t xml:space="preserve">  </w:t>
      </w:r>
      <w:r w:rsidR="00E46579" w:rsidRPr="002D0FD1">
        <w:rPr>
          <w:rFonts w:asciiTheme="majorHAnsi" w:eastAsia="Times New Roman" w:hAnsiTheme="majorHAnsi" w:cstheme="majorHAnsi"/>
          <w:b/>
          <w:bCs/>
          <w:color w:val="333333"/>
          <w:sz w:val="24"/>
          <w:szCs w:val="24"/>
          <w:lang w:val="ru-MD"/>
        </w:rPr>
        <w:t>-</w:t>
      </w:r>
      <w:r w:rsidR="00E46579" w:rsidRPr="002D0FD1">
        <w:rPr>
          <w:rFonts w:asciiTheme="majorHAnsi" w:eastAsia="Times New Roman" w:hAnsiTheme="majorHAnsi" w:cstheme="majorHAnsi"/>
          <w:color w:val="333333"/>
          <w:sz w:val="24"/>
          <w:szCs w:val="24"/>
          <w:lang w:val="ru-MD"/>
        </w:rPr>
        <w:t> </w:t>
      </w:r>
      <w:r w:rsidRPr="002D0FD1">
        <w:rPr>
          <w:rFonts w:asciiTheme="majorHAnsi" w:eastAsia="Times New Roman" w:hAnsiTheme="majorHAnsi" w:cstheme="majorHAnsi"/>
          <w:sz w:val="24"/>
          <w:szCs w:val="24"/>
          <w:lang w:val="ru-MD"/>
        </w:rPr>
        <w:t>группировка на основе предопределенных избирательных критериев, обуславливающая применение различных видов таможенного контроля в процессе таможенного оформления товаров</w:t>
      </w:r>
      <w:r w:rsidR="00495D4E" w:rsidRPr="002D0FD1">
        <w:rPr>
          <w:rFonts w:asciiTheme="majorHAnsi" w:eastAsia="Times New Roman" w:hAnsiTheme="majorHAnsi" w:cstheme="majorHAnsi"/>
          <w:sz w:val="24"/>
          <w:szCs w:val="24"/>
          <w:lang w:val="ru-MD"/>
        </w:rPr>
        <w:t>;</w:t>
      </w:r>
    </w:p>
    <w:p w14:paraId="0444654D" w14:textId="63C5FEAF" w:rsidR="00E46579" w:rsidRPr="00AE74CD" w:rsidRDefault="007156A1" w:rsidP="00BC7BFC">
      <w:pPr>
        <w:spacing w:after="0"/>
        <w:jc w:val="both"/>
        <w:rPr>
          <w:rFonts w:asciiTheme="majorHAnsi" w:eastAsia="Times New Roman" w:hAnsiTheme="majorHAnsi" w:cstheme="majorHAnsi"/>
          <w:color w:val="333333"/>
          <w:sz w:val="24"/>
          <w:szCs w:val="24"/>
          <w:lang w:val="ru-MD"/>
        </w:rPr>
      </w:pPr>
      <w:r w:rsidRPr="002D0FD1">
        <w:rPr>
          <w:rFonts w:asciiTheme="majorHAnsi" w:eastAsia="Times New Roman" w:hAnsiTheme="majorHAnsi" w:cstheme="majorHAnsi"/>
          <w:b/>
          <w:bCs/>
          <w:sz w:val="24"/>
          <w:szCs w:val="24"/>
          <w:lang w:val="ru-MD"/>
        </w:rPr>
        <w:t>Зеленый коридор</w:t>
      </w:r>
      <w:r w:rsidRPr="002D0FD1">
        <w:rPr>
          <w:rFonts w:asciiTheme="majorHAnsi" w:eastAsia="Times New Roman" w:hAnsiTheme="majorHAnsi" w:cstheme="majorHAnsi"/>
          <w:b/>
          <w:bCs/>
          <w:color w:val="333333"/>
          <w:sz w:val="24"/>
          <w:szCs w:val="24"/>
          <w:lang w:val="ru-MD"/>
        </w:rPr>
        <w:t xml:space="preserve"> </w:t>
      </w:r>
      <w:r w:rsidR="00E46579" w:rsidRPr="002D0FD1">
        <w:rPr>
          <w:rFonts w:asciiTheme="majorHAnsi" w:eastAsia="Times New Roman" w:hAnsiTheme="majorHAnsi" w:cstheme="majorHAnsi"/>
          <w:b/>
          <w:bCs/>
          <w:color w:val="333333"/>
          <w:sz w:val="24"/>
          <w:szCs w:val="24"/>
          <w:lang w:val="ru-MD"/>
        </w:rPr>
        <w:t>-</w:t>
      </w:r>
      <w:r w:rsidR="00E46579" w:rsidRPr="002D0FD1">
        <w:rPr>
          <w:rFonts w:asciiTheme="majorHAnsi" w:eastAsia="Times New Roman" w:hAnsiTheme="majorHAnsi" w:cstheme="majorHAnsi"/>
          <w:color w:val="333333"/>
          <w:sz w:val="24"/>
          <w:szCs w:val="24"/>
          <w:lang w:val="ru-MD"/>
        </w:rPr>
        <w:t xml:space="preserve"> </w:t>
      </w:r>
      <w:r w:rsidRPr="002D0FD1">
        <w:rPr>
          <w:rFonts w:asciiTheme="majorHAnsi" w:eastAsia="Times New Roman" w:hAnsiTheme="majorHAnsi" w:cstheme="majorHAnsi"/>
          <w:sz w:val="24"/>
          <w:szCs w:val="24"/>
          <w:lang w:val="ru-MD"/>
        </w:rPr>
        <w:t>ко</w:t>
      </w:r>
      <w:r w:rsidRPr="00AE74CD">
        <w:rPr>
          <w:rFonts w:asciiTheme="majorHAnsi" w:eastAsia="Times New Roman" w:hAnsiTheme="majorHAnsi" w:cstheme="majorHAnsi"/>
          <w:sz w:val="24"/>
          <w:szCs w:val="24"/>
          <w:lang w:val="ru-MD"/>
        </w:rPr>
        <w:t>ридор таможенного оформления, предусматривающий выпуск товара без осуществления документального контроля и физического досмотра</w:t>
      </w:r>
      <w:r w:rsidR="00495D4E" w:rsidRPr="00AE74CD">
        <w:rPr>
          <w:rFonts w:asciiTheme="majorHAnsi" w:eastAsia="Times New Roman" w:hAnsiTheme="majorHAnsi" w:cstheme="majorHAnsi"/>
          <w:sz w:val="24"/>
          <w:szCs w:val="24"/>
          <w:lang w:val="ru-MD"/>
        </w:rPr>
        <w:t>;</w:t>
      </w:r>
    </w:p>
    <w:p w14:paraId="4EEEDBDE" w14:textId="641DCBFB" w:rsidR="00E46579" w:rsidRPr="00AE74CD" w:rsidRDefault="007156A1" w:rsidP="00BC7BFC">
      <w:pPr>
        <w:spacing w:after="0"/>
        <w:jc w:val="both"/>
        <w:rPr>
          <w:rFonts w:asciiTheme="majorHAnsi" w:eastAsia="Times New Roman" w:hAnsiTheme="majorHAnsi" w:cstheme="majorHAnsi"/>
          <w:color w:val="333333"/>
          <w:sz w:val="24"/>
          <w:szCs w:val="24"/>
          <w:lang w:val="ru-MD"/>
        </w:rPr>
      </w:pPr>
      <w:r w:rsidRPr="00AE74CD">
        <w:rPr>
          <w:rFonts w:asciiTheme="majorHAnsi" w:eastAsia="Times New Roman" w:hAnsiTheme="majorHAnsi" w:cstheme="majorHAnsi"/>
          <w:b/>
          <w:bCs/>
          <w:color w:val="333333"/>
          <w:sz w:val="24"/>
          <w:szCs w:val="24"/>
          <w:lang w:val="ru-MD"/>
        </w:rPr>
        <w:t xml:space="preserve">Желтый коридор </w:t>
      </w:r>
      <w:r w:rsidR="00E46579" w:rsidRPr="00AE74CD">
        <w:rPr>
          <w:rFonts w:asciiTheme="majorHAnsi" w:eastAsia="Times New Roman" w:hAnsiTheme="majorHAnsi" w:cstheme="majorHAnsi"/>
          <w:color w:val="333333"/>
          <w:sz w:val="24"/>
          <w:szCs w:val="24"/>
          <w:lang w:val="ru-MD"/>
        </w:rPr>
        <w:t xml:space="preserve">- </w:t>
      </w:r>
      <w:r w:rsidRPr="00AE74CD">
        <w:rPr>
          <w:rFonts w:asciiTheme="majorHAnsi" w:eastAsia="Times New Roman" w:hAnsiTheme="majorHAnsi" w:cstheme="majorHAnsi"/>
          <w:sz w:val="24"/>
          <w:szCs w:val="24"/>
          <w:lang w:val="ru-MD"/>
        </w:rPr>
        <w:t>коридор таможенного оформления, предусматривающий выпуск товара после обязательного документального контроля</w:t>
      </w:r>
      <w:r w:rsidR="00495D4E" w:rsidRPr="00AE74CD">
        <w:rPr>
          <w:rFonts w:asciiTheme="majorHAnsi" w:eastAsia="Times New Roman" w:hAnsiTheme="majorHAnsi" w:cstheme="majorHAnsi"/>
          <w:sz w:val="24"/>
          <w:szCs w:val="24"/>
          <w:lang w:val="ru-MD"/>
        </w:rPr>
        <w:t>;</w:t>
      </w:r>
    </w:p>
    <w:p w14:paraId="080F1749" w14:textId="631370E4" w:rsidR="00BC7BFC" w:rsidRPr="00AE74CD" w:rsidRDefault="007156A1" w:rsidP="00BC7BFC">
      <w:pPr>
        <w:spacing w:after="0"/>
        <w:jc w:val="both"/>
        <w:rPr>
          <w:rFonts w:asciiTheme="majorHAnsi" w:eastAsia="Times New Roman" w:hAnsiTheme="majorHAnsi" w:cstheme="majorHAnsi"/>
          <w:color w:val="333333"/>
          <w:sz w:val="24"/>
          <w:szCs w:val="24"/>
          <w:lang w:val="ru-MD"/>
        </w:rPr>
      </w:pPr>
      <w:r w:rsidRPr="00AE74CD">
        <w:rPr>
          <w:rFonts w:asciiTheme="majorHAnsi" w:eastAsia="Times New Roman" w:hAnsiTheme="majorHAnsi" w:cstheme="majorHAnsi"/>
          <w:b/>
          <w:bCs/>
          <w:sz w:val="24"/>
          <w:szCs w:val="24"/>
          <w:lang w:val="ru-MD"/>
        </w:rPr>
        <w:t xml:space="preserve">Красный коридор </w:t>
      </w:r>
      <w:r w:rsidR="00BC7BFC" w:rsidRPr="00AE74CD">
        <w:rPr>
          <w:rFonts w:asciiTheme="majorHAnsi" w:eastAsia="Times New Roman" w:hAnsiTheme="majorHAnsi" w:cstheme="majorHAnsi"/>
          <w:color w:val="333333"/>
          <w:sz w:val="24"/>
          <w:szCs w:val="24"/>
          <w:lang w:val="ru-MD"/>
        </w:rPr>
        <w:t xml:space="preserve">- </w:t>
      </w:r>
      <w:r w:rsidRPr="00AE74CD">
        <w:rPr>
          <w:rFonts w:asciiTheme="majorHAnsi" w:eastAsia="Times New Roman" w:hAnsiTheme="majorHAnsi" w:cstheme="majorHAnsi"/>
          <w:sz w:val="24"/>
          <w:szCs w:val="24"/>
          <w:lang w:val="ru-MD"/>
        </w:rPr>
        <w:t>коридор таможенного оформления, предусматривающий выпуск товара после обязательного документального контроля и физического досмотра</w:t>
      </w:r>
      <w:r w:rsidR="00495D4E" w:rsidRPr="00AE74CD">
        <w:rPr>
          <w:rFonts w:asciiTheme="majorHAnsi" w:eastAsia="Times New Roman" w:hAnsiTheme="majorHAnsi" w:cstheme="majorHAnsi"/>
          <w:sz w:val="24"/>
          <w:szCs w:val="24"/>
          <w:lang w:val="ru-MD"/>
        </w:rPr>
        <w:t>;</w:t>
      </w:r>
    </w:p>
    <w:p w14:paraId="45FD098F" w14:textId="3C4DC77D" w:rsidR="00BC7BFC" w:rsidRPr="00AE74CD" w:rsidRDefault="007156A1" w:rsidP="00495D4E">
      <w:pPr>
        <w:shd w:val="clear" w:color="auto" w:fill="FFFFFF"/>
        <w:spacing w:after="0"/>
        <w:jc w:val="both"/>
        <w:rPr>
          <w:rFonts w:asciiTheme="majorHAnsi" w:eastAsia="Times New Roman" w:hAnsiTheme="majorHAnsi" w:cstheme="majorHAnsi"/>
          <w:sz w:val="24"/>
          <w:szCs w:val="24"/>
          <w:lang w:val="ru-MD"/>
        </w:rPr>
      </w:pPr>
      <w:r w:rsidRPr="00AE74CD">
        <w:rPr>
          <w:rFonts w:asciiTheme="majorHAnsi" w:eastAsia="Times New Roman" w:hAnsiTheme="majorHAnsi" w:cstheme="majorHAnsi"/>
          <w:b/>
          <w:bCs/>
          <w:sz w:val="24"/>
          <w:szCs w:val="24"/>
          <w:lang w:val="ru-MD"/>
        </w:rPr>
        <w:t>Синий коридор</w:t>
      </w:r>
      <w:r w:rsidRPr="00AE74CD">
        <w:rPr>
          <w:rFonts w:asciiTheme="majorHAnsi" w:eastAsia="Times New Roman" w:hAnsiTheme="majorHAnsi" w:cstheme="majorHAnsi"/>
          <w:b/>
          <w:bCs/>
          <w:color w:val="333333"/>
          <w:sz w:val="24"/>
          <w:szCs w:val="24"/>
          <w:lang w:val="ru-MD"/>
        </w:rPr>
        <w:t xml:space="preserve"> </w:t>
      </w:r>
      <w:r w:rsidR="00BC7BFC" w:rsidRPr="00AE74CD">
        <w:rPr>
          <w:rFonts w:asciiTheme="majorHAnsi" w:eastAsia="Times New Roman" w:hAnsiTheme="majorHAnsi" w:cstheme="majorHAnsi"/>
          <w:color w:val="333333"/>
          <w:sz w:val="24"/>
          <w:szCs w:val="24"/>
          <w:lang w:val="ru-MD"/>
        </w:rPr>
        <w:t xml:space="preserve">- </w:t>
      </w:r>
      <w:r w:rsidRPr="00AE74CD">
        <w:rPr>
          <w:rFonts w:asciiTheme="majorHAnsi" w:eastAsia="Times New Roman" w:hAnsiTheme="majorHAnsi" w:cstheme="majorHAnsi"/>
          <w:sz w:val="24"/>
          <w:szCs w:val="24"/>
          <w:lang w:val="ru-MD"/>
        </w:rPr>
        <w:t>коридор таможенного </w:t>
      </w:r>
      <w:r w:rsidRPr="00AE74CD">
        <w:rPr>
          <w:rFonts w:asciiTheme="majorHAnsi" w:eastAsia="Times New Roman" w:hAnsiTheme="majorHAnsi" w:cstheme="majorHAnsi"/>
          <w:bCs/>
          <w:sz w:val="24"/>
          <w:szCs w:val="24"/>
          <w:lang w:val="ru-MD"/>
        </w:rPr>
        <w:t>оформления,</w:t>
      </w:r>
      <w:r w:rsidRPr="00AE74CD">
        <w:rPr>
          <w:rFonts w:asciiTheme="majorHAnsi" w:eastAsia="Times New Roman" w:hAnsiTheme="majorHAnsi" w:cstheme="majorHAnsi"/>
          <w:sz w:val="24"/>
          <w:szCs w:val="24"/>
          <w:lang w:val="ru-MD"/>
        </w:rPr>
        <w:t xml:space="preserve"> предусматривающий выпуск товара без осуществления документального контроля и физического досмотра, при котором таможенные декларации утверждаются автоматически, но подлежат последующей проверке, на основе случайно отобранной выборки таможенных деклараций; </w:t>
      </w:r>
    </w:p>
    <w:p w14:paraId="17649C14" w14:textId="6F36DA59" w:rsidR="00E46579" w:rsidRPr="00AE74CD" w:rsidRDefault="008767B9" w:rsidP="00BC7BFC">
      <w:pPr>
        <w:spacing w:after="0"/>
        <w:jc w:val="both"/>
        <w:rPr>
          <w:rFonts w:asciiTheme="majorHAnsi" w:hAnsiTheme="majorHAnsi" w:cstheme="majorHAnsi"/>
          <w:sz w:val="24"/>
          <w:szCs w:val="24"/>
          <w:lang w:val="ru-MD"/>
        </w:rPr>
      </w:pPr>
      <w:r w:rsidRPr="00AE74CD">
        <w:rPr>
          <w:rFonts w:asciiTheme="majorHAnsi" w:hAnsiTheme="majorHAnsi" w:cstheme="majorHAnsi"/>
          <w:b/>
          <w:iCs/>
          <w:sz w:val="24"/>
          <w:szCs w:val="24"/>
          <w:lang w:val="ru-MD"/>
        </w:rPr>
        <w:t xml:space="preserve">Недоимка </w:t>
      </w:r>
      <w:r w:rsidR="00BC7BFC" w:rsidRPr="00AE74CD">
        <w:rPr>
          <w:rFonts w:asciiTheme="majorHAnsi" w:hAnsiTheme="majorHAnsi" w:cstheme="majorHAnsi"/>
          <w:sz w:val="24"/>
          <w:szCs w:val="24"/>
          <w:lang w:val="ru-MD"/>
        </w:rPr>
        <w:t xml:space="preserve">- </w:t>
      </w:r>
      <w:r w:rsidRPr="00AE74CD">
        <w:rPr>
          <w:rFonts w:asciiTheme="majorHAnsi" w:hAnsiTheme="majorHAnsi" w:cstheme="majorHAnsi"/>
          <w:sz w:val="24"/>
          <w:szCs w:val="24"/>
          <w:lang w:val="ru-MD"/>
        </w:rPr>
        <w:t>сумма, которую налогоплательщик/таможенный плательщик был обязан уплатить в бюджет в качестве налога, сбора или другой платы, но которую не уплатил в срок, а также сумма пени за просрочку и/или штрафа</w:t>
      </w:r>
      <w:r w:rsidR="00495D4E" w:rsidRPr="00AE74CD">
        <w:rPr>
          <w:rFonts w:asciiTheme="majorHAnsi" w:hAnsiTheme="majorHAnsi" w:cstheme="majorHAnsi"/>
          <w:sz w:val="24"/>
          <w:szCs w:val="24"/>
          <w:lang w:val="ru-MD"/>
        </w:rPr>
        <w:t>;</w:t>
      </w:r>
    </w:p>
    <w:p w14:paraId="4C8A9B2C" w14:textId="5CF1B818" w:rsidR="00BC7BFC" w:rsidRPr="00AE74CD" w:rsidRDefault="008767B9" w:rsidP="00BC7BFC">
      <w:pPr>
        <w:spacing w:after="0"/>
        <w:jc w:val="both"/>
        <w:rPr>
          <w:rFonts w:asciiTheme="majorHAnsi" w:eastAsia="Times New Roman" w:hAnsiTheme="majorHAnsi" w:cstheme="majorHAnsi"/>
          <w:color w:val="333333"/>
          <w:sz w:val="24"/>
          <w:szCs w:val="24"/>
          <w:lang w:val="ru-MD"/>
        </w:rPr>
      </w:pPr>
      <w:r w:rsidRPr="00AE74CD">
        <w:rPr>
          <w:rFonts w:asciiTheme="majorHAnsi" w:eastAsia="Times New Roman" w:hAnsiTheme="majorHAnsi" w:cstheme="majorHAnsi"/>
          <w:b/>
          <w:iCs/>
          <w:sz w:val="24"/>
          <w:szCs w:val="24"/>
          <w:lang w:val="ru-MD" w:eastAsia="x-none"/>
        </w:rPr>
        <w:t>Принудительное исполнение налогового и таможенного обязательства</w:t>
      </w:r>
      <w:r w:rsidRPr="00AE74CD">
        <w:rPr>
          <w:rFonts w:asciiTheme="majorHAnsi" w:eastAsia="Times New Roman" w:hAnsiTheme="majorHAnsi" w:cstheme="majorHAnsi"/>
          <w:sz w:val="24"/>
          <w:szCs w:val="24"/>
          <w:lang w:val="ru-MD" w:eastAsia="x-none"/>
        </w:rPr>
        <w:t xml:space="preserve"> </w:t>
      </w:r>
      <w:r w:rsidR="00BC7BFC" w:rsidRPr="00AE74CD">
        <w:rPr>
          <w:rFonts w:asciiTheme="majorHAnsi" w:eastAsia="Times New Roman" w:hAnsiTheme="majorHAnsi" w:cstheme="majorHAnsi"/>
          <w:sz w:val="24"/>
          <w:szCs w:val="24"/>
          <w:lang w:val="ru-MD" w:eastAsia="x-none"/>
        </w:rPr>
        <w:t xml:space="preserve">- </w:t>
      </w:r>
      <w:r w:rsidRPr="00AE74CD">
        <w:rPr>
          <w:rFonts w:asciiTheme="majorHAnsi" w:eastAsia="Times New Roman" w:hAnsiTheme="majorHAnsi" w:cstheme="majorHAnsi"/>
          <w:sz w:val="24"/>
          <w:szCs w:val="24"/>
          <w:lang w:val="ru-MD" w:eastAsia="x-none"/>
        </w:rPr>
        <w:t>действия, предпринятые Таможенной службой по принудительному взысканию недоимки/таможенного обязательства, требу</w:t>
      </w:r>
      <w:r w:rsidR="002807B7" w:rsidRPr="00AE74CD">
        <w:rPr>
          <w:rFonts w:asciiTheme="majorHAnsi" w:eastAsia="Times New Roman" w:hAnsiTheme="majorHAnsi" w:cstheme="majorHAnsi"/>
          <w:sz w:val="24"/>
          <w:szCs w:val="24"/>
          <w:lang w:val="ru-MD" w:eastAsia="x-none"/>
        </w:rPr>
        <w:t>юще</w:t>
      </w:r>
      <w:r w:rsidRPr="00AE74CD">
        <w:rPr>
          <w:rFonts w:asciiTheme="majorHAnsi" w:eastAsia="Times New Roman" w:hAnsiTheme="majorHAnsi" w:cstheme="majorHAnsi"/>
          <w:sz w:val="24"/>
          <w:szCs w:val="24"/>
          <w:lang w:val="ru-MD" w:eastAsia="x-none"/>
        </w:rPr>
        <w:t>го погашения</w:t>
      </w:r>
      <w:r w:rsidR="00BD0C08" w:rsidRPr="00AE74CD">
        <w:rPr>
          <w:rFonts w:asciiTheme="majorHAnsi" w:eastAsia="Times New Roman" w:hAnsiTheme="majorHAnsi" w:cstheme="majorHAnsi"/>
          <w:sz w:val="24"/>
          <w:szCs w:val="24"/>
          <w:lang w:val="ru-MD" w:eastAsia="x-none"/>
        </w:rPr>
        <w:t>;</w:t>
      </w:r>
    </w:p>
    <w:p w14:paraId="7C6FB4E8" w14:textId="076A1708" w:rsidR="00E46579" w:rsidRPr="00AE74CD" w:rsidRDefault="008767B9" w:rsidP="00BC7BFC">
      <w:pPr>
        <w:spacing w:after="0"/>
        <w:jc w:val="both"/>
        <w:rPr>
          <w:rFonts w:asciiTheme="majorHAnsi" w:eastAsia="Times New Roman" w:hAnsiTheme="majorHAnsi" w:cstheme="majorHAnsi"/>
          <w:color w:val="333333"/>
          <w:sz w:val="24"/>
          <w:szCs w:val="24"/>
          <w:lang w:val="ru-MD"/>
        </w:rPr>
      </w:pPr>
      <w:r w:rsidRPr="00AE74CD">
        <w:rPr>
          <w:rFonts w:asciiTheme="majorHAnsi" w:eastAsia="Times New Roman" w:hAnsiTheme="majorHAnsi" w:cstheme="majorHAnsi"/>
          <w:b/>
          <w:iCs/>
          <w:sz w:val="24"/>
          <w:szCs w:val="24"/>
          <w:lang w:val="ru-MD" w:eastAsia="x-none"/>
        </w:rPr>
        <w:t xml:space="preserve">Таможенный режим транзита </w:t>
      </w:r>
      <w:r w:rsidR="00BC7BFC" w:rsidRPr="00AE74CD">
        <w:rPr>
          <w:rFonts w:asciiTheme="majorHAnsi" w:eastAsia="Times New Roman" w:hAnsiTheme="majorHAnsi" w:cstheme="majorHAnsi"/>
          <w:b/>
          <w:iCs/>
          <w:sz w:val="24"/>
          <w:szCs w:val="24"/>
          <w:lang w:val="ru-MD" w:eastAsia="x-none"/>
        </w:rPr>
        <w:t>-</w:t>
      </w:r>
      <w:r w:rsidR="00BC7BFC" w:rsidRPr="00AE74CD">
        <w:rPr>
          <w:rFonts w:asciiTheme="majorHAnsi" w:eastAsia="Times New Roman" w:hAnsiTheme="majorHAnsi" w:cstheme="majorHAnsi"/>
          <w:sz w:val="24"/>
          <w:szCs w:val="24"/>
          <w:lang w:val="ru-MD" w:eastAsia="x-none"/>
        </w:rPr>
        <w:t xml:space="preserve"> </w:t>
      </w:r>
      <w:r w:rsidRPr="00AE74CD">
        <w:rPr>
          <w:rFonts w:asciiTheme="majorHAnsi" w:eastAsia="Times New Roman" w:hAnsiTheme="majorHAnsi" w:cstheme="majorHAnsi"/>
          <w:sz w:val="24"/>
          <w:szCs w:val="24"/>
          <w:lang w:val="ru-MD" w:eastAsia="x-none"/>
        </w:rPr>
        <w:t>таможенный режим, при котором товары перемещаются по таможенной территории под таможенным надзором от одного таможенного органа к другому, без оплаты таможенных платежей на импорт и экспорт и без применения мер политической экономики, если законодательством не предусмотрено иное</w:t>
      </w:r>
      <w:r w:rsidR="00BD0C08" w:rsidRPr="00AE74CD">
        <w:rPr>
          <w:rFonts w:asciiTheme="majorHAnsi" w:eastAsia="Times New Roman" w:hAnsiTheme="majorHAnsi" w:cstheme="majorHAnsi"/>
          <w:sz w:val="24"/>
          <w:szCs w:val="24"/>
          <w:lang w:val="ru-MD" w:eastAsia="x-none"/>
        </w:rPr>
        <w:t>;</w:t>
      </w:r>
    </w:p>
    <w:p w14:paraId="647C24E3" w14:textId="187A05DD" w:rsidR="00BC7BFC" w:rsidRPr="00AE74CD" w:rsidRDefault="008767B9" w:rsidP="00BC7BFC">
      <w:pPr>
        <w:spacing w:after="0"/>
        <w:jc w:val="both"/>
        <w:rPr>
          <w:rFonts w:asciiTheme="majorHAnsi" w:eastAsia="Times New Roman" w:hAnsiTheme="majorHAnsi" w:cstheme="majorHAnsi"/>
          <w:b/>
          <w:iCs/>
          <w:sz w:val="24"/>
          <w:szCs w:val="24"/>
          <w:lang w:val="ru-MD" w:eastAsia="x-none"/>
        </w:rPr>
      </w:pPr>
      <w:r w:rsidRPr="00AE74CD">
        <w:rPr>
          <w:rFonts w:asciiTheme="majorHAnsi" w:eastAsia="Times New Roman" w:hAnsiTheme="majorHAnsi" w:cstheme="majorHAnsi"/>
          <w:b/>
          <w:bCs/>
          <w:iCs/>
          <w:sz w:val="24"/>
          <w:szCs w:val="24"/>
          <w:lang w:val="ru-MD" w:eastAsia="ru-RU"/>
        </w:rPr>
        <w:t>ИС</w:t>
      </w:r>
      <w:r w:rsidR="00BC7BFC" w:rsidRPr="00AE74CD">
        <w:rPr>
          <w:rFonts w:asciiTheme="majorHAnsi" w:eastAsia="Times New Roman" w:hAnsiTheme="majorHAnsi" w:cstheme="majorHAnsi"/>
          <w:b/>
          <w:bCs/>
          <w:iCs/>
          <w:sz w:val="24"/>
          <w:szCs w:val="24"/>
          <w:lang w:val="ru-MD" w:eastAsia="ru-RU"/>
        </w:rPr>
        <w:t xml:space="preserve"> „</w:t>
      </w:r>
      <w:r w:rsidR="00A3715E" w:rsidRPr="00AE74CD">
        <w:rPr>
          <w:rFonts w:asciiTheme="majorHAnsi" w:hAnsiTheme="majorHAnsi" w:cstheme="majorHAnsi"/>
          <w:b/>
          <w:iCs/>
          <w:color w:val="000000" w:themeColor="text1"/>
          <w:sz w:val="24"/>
          <w:szCs w:val="24"/>
          <w:lang w:val="ru-MD"/>
        </w:rPr>
        <w:t>Asycuda</w:t>
      </w:r>
      <w:r w:rsidR="00A3715E" w:rsidRPr="00AE74CD">
        <w:rPr>
          <w:rFonts w:asciiTheme="majorHAnsi" w:hAnsiTheme="majorHAnsi" w:cstheme="majorHAnsi"/>
          <w:i/>
          <w:iCs/>
          <w:color w:val="000000" w:themeColor="text1"/>
          <w:sz w:val="24"/>
          <w:szCs w:val="24"/>
          <w:lang w:val="ru-MD"/>
        </w:rPr>
        <w:t xml:space="preserve"> </w:t>
      </w:r>
      <w:r w:rsidR="00BC7BFC" w:rsidRPr="00AE74CD">
        <w:rPr>
          <w:rFonts w:asciiTheme="majorHAnsi" w:eastAsia="Times New Roman" w:hAnsiTheme="majorHAnsi" w:cstheme="majorHAnsi"/>
          <w:b/>
          <w:bCs/>
          <w:iCs/>
          <w:sz w:val="24"/>
          <w:szCs w:val="24"/>
          <w:lang w:val="ru-MD" w:eastAsia="ru-RU"/>
        </w:rPr>
        <w:t>World” -</w:t>
      </w:r>
      <w:r w:rsidR="00BC7BFC" w:rsidRPr="00AE74CD">
        <w:rPr>
          <w:rFonts w:asciiTheme="majorHAnsi" w:hAnsiTheme="majorHAnsi" w:cstheme="majorHAnsi"/>
          <w:color w:val="000000"/>
          <w:sz w:val="24"/>
          <w:szCs w:val="24"/>
          <w:shd w:val="clear" w:color="auto" w:fill="FAFAFA"/>
          <w:lang w:val="ru-MD"/>
        </w:rPr>
        <w:t xml:space="preserve"> </w:t>
      </w:r>
      <w:r w:rsidRPr="00AE74CD">
        <w:rPr>
          <w:rFonts w:asciiTheme="majorHAnsi" w:hAnsiTheme="majorHAnsi" w:cstheme="majorHAnsi"/>
          <w:color w:val="000000"/>
          <w:sz w:val="24"/>
          <w:szCs w:val="24"/>
          <w:shd w:val="clear" w:color="auto" w:fill="FAFAFA"/>
          <w:lang w:val="ru-MD"/>
        </w:rPr>
        <w:t>программный продукт, разработанный Конференцией Организации объединенных наций по торговле и развитию в целях поддержки реформ в таможенных органах и оказания содействия в упрощении торговли и таможенного контроля</w:t>
      </w:r>
      <w:r w:rsidR="00BC7BFC" w:rsidRPr="00AE74CD">
        <w:rPr>
          <w:rFonts w:asciiTheme="majorHAnsi" w:hAnsiTheme="majorHAnsi" w:cstheme="majorHAnsi"/>
          <w:color w:val="000000"/>
          <w:sz w:val="24"/>
          <w:szCs w:val="24"/>
          <w:shd w:val="clear" w:color="auto" w:fill="FAFAFA"/>
          <w:lang w:val="ru-MD"/>
        </w:rPr>
        <w:t>.</w:t>
      </w:r>
    </w:p>
    <w:p w14:paraId="4A66462E" w14:textId="782B653C" w:rsidR="00A86EE1" w:rsidRPr="00AE74CD" w:rsidRDefault="002D0FD1" w:rsidP="00BA4B7D">
      <w:pPr>
        <w:spacing w:after="120"/>
        <w:rPr>
          <w:rFonts w:asciiTheme="majorHAnsi" w:hAnsiTheme="majorHAnsi" w:cstheme="majorHAnsi"/>
          <w:sz w:val="24"/>
          <w:szCs w:val="24"/>
          <w:lang w:val="ru-MD"/>
        </w:rPr>
      </w:pPr>
      <w:r w:rsidRPr="00AE74CD">
        <w:rPr>
          <w:rFonts w:asciiTheme="majorHAnsi" w:eastAsia="Times New Roman" w:hAnsiTheme="majorHAnsi" w:cstheme="majorHAnsi"/>
          <w:b/>
          <w:sz w:val="24"/>
          <w:szCs w:val="24"/>
          <w:lang w:val="ru-MD"/>
        </w:rPr>
        <w:t>Примечание</w:t>
      </w:r>
      <w:r w:rsidR="00A86EE1" w:rsidRPr="00AE74CD">
        <w:rPr>
          <w:rFonts w:asciiTheme="majorHAnsi" w:eastAsia="Times New Roman" w:hAnsiTheme="majorHAnsi" w:cstheme="majorHAnsi"/>
          <w:b/>
          <w:sz w:val="24"/>
          <w:szCs w:val="24"/>
          <w:lang w:val="ru-MD"/>
        </w:rPr>
        <w:t>:</w:t>
      </w:r>
      <w:r w:rsidR="00A86EE1" w:rsidRPr="00AE74CD">
        <w:rPr>
          <w:rFonts w:asciiTheme="majorHAnsi" w:eastAsia="Times New Roman" w:hAnsiTheme="majorHAnsi" w:cstheme="majorHAnsi"/>
          <w:sz w:val="24"/>
          <w:szCs w:val="24"/>
          <w:lang w:val="ru-MD"/>
        </w:rPr>
        <w:t xml:space="preserve"> </w:t>
      </w:r>
      <w:r w:rsidRPr="00AE74CD">
        <w:rPr>
          <w:rFonts w:asciiTheme="majorHAnsi" w:eastAsia="Times New Roman" w:hAnsiTheme="majorHAnsi" w:cstheme="majorHAnsi"/>
          <w:sz w:val="24"/>
          <w:szCs w:val="24"/>
          <w:lang w:val="ru-MD"/>
        </w:rPr>
        <w:t xml:space="preserve">Представленный Глоссарий терминов </w:t>
      </w:r>
      <w:r w:rsidR="00571092" w:rsidRPr="00AE74CD">
        <w:rPr>
          <w:rFonts w:asciiTheme="majorHAnsi" w:eastAsia="Times New Roman" w:hAnsiTheme="majorHAnsi" w:cstheme="majorHAnsi"/>
          <w:sz w:val="24"/>
          <w:szCs w:val="24"/>
          <w:lang w:val="ru-MD"/>
        </w:rPr>
        <w:t>носит</w:t>
      </w:r>
      <w:r w:rsidRPr="00AE74CD">
        <w:rPr>
          <w:rFonts w:asciiTheme="majorHAnsi" w:eastAsia="Times New Roman" w:hAnsiTheme="majorHAnsi" w:cstheme="majorHAnsi"/>
          <w:sz w:val="24"/>
          <w:szCs w:val="24"/>
          <w:lang w:val="ru-MD"/>
        </w:rPr>
        <w:t xml:space="preserve"> информативн</w:t>
      </w:r>
      <w:r w:rsidR="00571092" w:rsidRPr="00AE74CD">
        <w:rPr>
          <w:rFonts w:asciiTheme="majorHAnsi" w:eastAsia="Times New Roman" w:hAnsiTheme="majorHAnsi" w:cstheme="majorHAnsi"/>
          <w:sz w:val="24"/>
          <w:szCs w:val="24"/>
          <w:lang w:val="ru-MD"/>
        </w:rPr>
        <w:t>ый характер</w:t>
      </w:r>
      <w:r w:rsidRPr="00AE74CD">
        <w:rPr>
          <w:rFonts w:asciiTheme="majorHAnsi" w:eastAsia="Times New Roman" w:hAnsiTheme="majorHAnsi" w:cstheme="majorHAnsi"/>
          <w:sz w:val="24"/>
          <w:szCs w:val="24"/>
          <w:lang w:val="ru-MD"/>
        </w:rPr>
        <w:t xml:space="preserve"> и не имеет юридических последствий</w:t>
      </w:r>
      <w:r w:rsidR="00A86EE1" w:rsidRPr="00AE74CD">
        <w:rPr>
          <w:rFonts w:asciiTheme="majorHAnsi" w:eastAsia="Times New Roman" w:hAnsiTheme="majorHAnsi" w:cstheme="majorHAnsi"/>
          <w:sz w:val="24"/>
          <w:szCs w:val="24"/>
          <w:lang w:val="ru-MD"/>
        </w:rPr>
        <w:t>.</w:t>
      </w:r>
    </w:p>
    <w:p w14:paraId="509F2E6C" w14:textId="64BD3641" w:rsidR="002D7176" w:rsidRPr="00AE74CD" w:rsidRDefault="00096EF5" w:rsidP="002D7176">
      <w:pPr>
        <w:pStyle w:val="TOCHeading"/>
        <w:jc w:val="both"/>
        <w:rPr>
          <w:rFonts w:cstheme="majorHAnsi"/>
          <w:color w:val="auto"/>
          <w:sz w:val="24"/>
          <w:szCs w:val="24"/>
          <w:lang w:val="ru-MD"/>
        </w:rPr>
      </w:pPr>
      <w:r w:rsidRPr="00AE74CD">
        <w:rPr>
          <w:rFonts w:cstheme="majorHAnsi"/>
          <w:bCs/>
          <w:color w:val="auto"/>
          <w:sz w:val="24"/>
          <w:szCs w:val="24"/>
          <w:lang w:val="ru-MD"/>
        </w:rPr>
        <w:t>Отчет аудита предназначен для</w:t>
      </w:r>
      <w:r w:rsidR="002D7176" w:rsidRPr="00AE74CD">
        <w:rPr>
          <w:rFonts w:cstheme="majorHAnsi"/>
          <w:color w:val="auto"/>
          <w:sz w:val="24"/>
          <w:szCs w:val="24"/>
          <w:lang w:val="ru-MD"/>
        </w:rPr>
        <w:t>:</w:t>
      </w:r>
    </w:p>
    <w:p w14:paraId="05C4CBAA" w14:textId="737D4864" w:rsidR="002D7176" w:rsidRPr="00AE74CD" w:rsidRDefault="00096EF5" w:rsidP="003937C7">
      <w:pPr>
        <w:pStyle w:val="ListParagraph"/>
        <w:numPr>
          <w:ilvl w:val="0"/>
          <w:numId w:val="4"/>
        </w:numPr>
        <w:spacing w:line="276" w:lineRule="auto"/>
        <w:ind w:left="0" w:right="223" w:firstLine="283"/>
        <w:jc w:val="both"/>
        <w:rPr>
          <w:rFonts w:asciiTheme="majorHAnsi" w:hAnsiTheme="majorHAnsi" w:cstheme="majorHAnsi"/>
          <w:sz w:val="24"/>
          <w:szCs w:val="24"/>
          <w:lang w:val="ru-MD"/>
        </w:rPr>
      </w:pPr>
      <w:r w:rsidRPr="00AE74CD">
        <w:rPr>
          <w:rFonts w:asciiTheme="majorHAnsi" w:eastAsia="Times New Roman" w:hAnsiTheme="majorHAnsi" w:cstheme="majorHAnsi"/>
          <w:b/>
          <w:bCs/>
          <w:sz w:val="24"/>
          <w:szCs w:val="24"/>
          <w:lang w:val="ru-MD"/>
        </w:rPr>
        <w:t xml:space="preserve">Парламента и Правительства Республики Молдова - </w:t>
      </w:r>
      <w:r w:rsidRPr="00AE74CD">
        <w:rPr>
          <w:rFonts w:asciiTheme="majorHAnsi" w:eastAsia="Times New Roman" w:hAnsiTheme="majorHAnsi" w:cstheme="majorHAnsi"/>
          <w:bCs/>
          <w:sz w:val="24"/>
          <w:szCs w:val="24"/>
          <w:lang w:val="ru-MD"/>
        </w:rPr>
        <w:t xml:space="preserve">для информирования, принятия мер </w:t>
      </w:r>
      <w:r w:rsidR="006E7715" w:rsidRPr="00AE74CD">
        <w:rPr>
          <w:rFonts w:asciiTheme="majorHAnsi" w:eastAsia="Times New Roman" w:hAnsiTheme="majorHAnsi" w:cstheme="majorHAnsi"/>
          <w:bCs/>
          <w:sz w:val="24"/>
          <w:szCs w:val="24"/>
          <w:lang w:val="ru-MD"/>
        </w:rPr>
        <w:t>и</w:t>
      </w:r>
      <w:r w:rsidRPr="00AE74CD">
        <w:rPr>
          <w:rFonts w:asciiTheme="majorHAnsi" w:eastAsia="Times New Roman" w:hAnsiTheme="majorHAnsi" w:cstheme="majorHAnsi"/>
          <w:bCs/>
          <w:sz w:val="24"/>
          <w:szCs w:val="24"/>
          <w:lang w:val="ru-MD"/>
        </w:rPr>
        <w:t xml:space="preserve"> использования информации при принятии решений/инициатив, связанных с продвижением государственной политики в области администрирования </w:t>
      </w:r>
      <w:r w:rsidR="006E7715" w:rsidRPr="00AE74CD">
        <w:rPr>
          <w:rFonts w:asciiTheme="majorHAnsi" w:eastAsia="Times New Roman" w:hAnsiTheme="majorHAnsi" w:cstheme="majorHAnsi"/>
          <w:sz w:val="24"/>
          <w:szCs w:val="24"/>
          <w:lang w:val="ru-MD"/>
        </w:rPr>
        <w:t>государственных доходов</w:t>
      </w:r>
      <w:r w:rsidR="002D7176" w:rsidRPr="00AE74CD">
        <w:rPr>
          <w:rFonts w:asciiTheme="majorHAnsi" w:hAnsiTheme="majorHAnsi" w:cstheme="majorHAnsi"/>
          <w:sz w:val="24"/>
          <w:szCs w:val="24"/>
          <w:lang w:val="ru-MD"/>
        </w:rPr>
        <w:t>;</w:t>
      </w:r>
    </w:p>
    <w:p w14:paraId="69C5F7D8" w14:textId="057CCB42" w:rsidR="00025A3E" w:rsidRPr="00AE74CD" w:rsidRDefault="00096EF5" w:rsidP="00C55BFF">
      <w:pPr>
        <w:pStyle w:val="ListParagraph"/>
        <w:numPr>
          <w:ilvl w:val="0"/>
          <w:numId w:val="4"/>
        </w:numPr>
        <w:spacing w:line="276" w:lineRule="auto"/>
        <w:ind w:left="0" w:right="223" w:firstLine="360"/>
        <w:jc w:val="both"/>
        <w:rPr>
          <w:rFonts w:asciiTheme="majorHAnsi" w:hAnsiTheme="majorHAnsi" w:cstheme="majorHAnsi"/>
          <w:sz w:val="24"/>
          <w:szCs w:val="24"/>
          <w:lang w:val="ru-MD"/>
        </w:rPr>
      </w:pPr>
      <w:r w:rsidRPr="00AE74CD">
        <w:rPr>
          <w:rFonts w:asciiTheme="majorHAnsi" w:eastAsia="Times New Roman" w:hAnsiTheme="majorHAnsi" w:cstheme="majorHAnsi"/>
          <w:b/>
          <w:sz w:val="24"/>
          <w:szCs w:val="24"/>
          <w:lang w:val="ru-MD"/>
        </w:rPr>
        <w:t>Министерства финансов</w:t>
      </w:r>
      <w:r w:rsidR="00666995" w:rsidRPr="00AE74CD">
        <w:rPr>
          <w:rFonts w:asciiTheme="majorHAnsi" w:eastAsia="Times New Roman" w:hAnsiTheme="majorHAnsi" w:cstheme="majorHAnsi"/>
          <w:b/>
          <w:sz w:val="24"/>
          <w:szCs w:val="24"/>
          <w:lang w:val="ru-MD"/>
        </w:rPr>
        <w:t xml:space="preserve"> -</w:t>
      </w:r>
      <w:r w:rsidR="00666995" w:rsidRPr="00AE74CD">
        <w:rPr>
          <w:rFonts w:asciiTheme="majorHAnsi" w:hAnsiTheme="majorHAnsi" w:cstheme="majorHAnsi"/>
          <w:sz w:val="24"/>
          <w:szCs w:val="24"/>
          <w:lang w:val="ru-MD"/>
        </w:rPr>
        <w:t xml:space="preserve"> </w:t>
      </w:r>
      <w:r w:rsidR="00C55BFF" w:rsidRPr="00AE74CD">
        <w:rPr>
          <w:rFonts w:asciiTheme="majorHAnsi" w:hAnsiTheme="majorHAnsi" w:cstheme="majorHAnsi"/>
          <w:sz w:val="24"/>
          <w:szCs w:val="24"/>
          <w:lang w:val="ru-MD"/>
        </w:rPr>
        <w:t xml:space="preserve">для информирования и принятия </w:t>
      </w:r>
      <w:r w:rsidR="006E7715" w:rsidRPr="00AE74CD">
        <w:rPr>
          <w:rFonts w:asciiTheme="majorHAnsi" w:hAnsiTheme="majorHAnsi" w:cstheme="majorHAnsi"/>
          <w:sz w:val="24"/>
          <w:szCs w:val="24"/>
          <w:lang w:val="ru-MD"/>
        </w:rPr>
        <w:t>мер по</w:t>
      </w:r>
      <w:r w:rsidR="00C55BFF" w:rsidRPr="00AE74CD">
        <w:rPr>
          <w:rFonts w:asciiTheme="majorHAnsi" w:hAnsiTheme="majorHAnsi" w:cstheme="majorHAnsi"/>
          <w:sz w:val="24"/>
          <w:szCs w:val="24"/>
          <w:lang w:val="ru-MD"/>
        </w:rPr>
        <w:t xml:space="preserve"> разработке и продвижению таможенной политики государства, а также </w:t>
      </w:r>
      <w:r w:rsidR="006E7715" w:rsidRPr="00AE74CD">
        <w:rPr>
          <w:rFonts w:asciiTheme="majorHAnsi" w:hAnsiTheme="majorHAnsi" w:cstheme="majorHAnsi"/>
          <w:sz w:val="24"/>
          <w:szCs w:val="24"/>
          <w:lang w:val="ru-MD"/>
        </w:rPr>
        <w:t>по</w:t>
      </w:r>
      <w:r w:rsidR="00C55BFF" w:rsidRPr="00AE74CD">
        <w:rPr>
          <w:rFonts w:asciiTheme="majorHAnsi" w:hAnsiTheme="majorHAnsi" w:cstheme="majorHAnsi"/>
          <w:sz w:val="24"/>
          <w:szCs w:val="24"/>
          <w:lang w:val="ru-MD"/>
        </w:rPr>
        <w:t xml:space="preserve"> установлению целей и показателей </w:t>
      </w:r>
      <w:r w:rsidR="00C55BFF" w:rsidRPr="00AE74CD">
        <w:rPr>
          <w:rFonts w:asciiTheme="majorHAnsi" w:hAnsiTheme="majorHAnsi" w:cstheme="majorHAnsi"/>
          <w:sz w:val="24"/>
          <w:szCs w:val="24"/>
          <w:lang w:val="ru-MD"/>
        </w:rPr>
        <w:lastRenderedPageBreak/>
        <w:t xml:space="preserve">эффективности </w:t>
      </w:r>
      <w:r w:rsidR="006E7715" w:rsidRPr="00AE74CD">
        <w:rPr>
          <w:rFonts w:asciiTheme="majorHAnsi" w:hAnsiTheme="majorHAnsi" w:cstheme="majorHAnsi"/>
          <w:sz w:val="24"/>
          <w:szCs w:val="24"/>
          <w:lang w:val="ru-MD"/>
        </w:rPr>
        <w:t>Т</w:t>
      </w:r>
      <w:r w:rsidR="00C55BFF" w:rsidRPr="00AE74CD">
        <w:rPr>
          <w:rFonts w:asciiTheme="majorHAnsi" w:hAnsiTheme="majorHAnsi" w:cstheme="majorHAnsi"/>
          <w:sz w:val="24"/>
          <w:szCs w:val="24"/>
          <w:lang w:val="ru-MD"/>
        </w:rPr>
        <w:t>аможенной службы в отношении управления доходами государственного бюджета</w:t>
      </w:r>
      <w:r w:rsidR="00025A3E" w:rsidRPr="00AE74CD">
        <w:rPr>
          <w:rFonts w:asciiTheme="majorHAnsi" w:hAnsiTheme="majorHAnsi" w:cstheme="majorHAnsi"/>
          <w:sz w:val="24"/>
          <w:szCs w:val="24"/>
          <w:lang w:val="ru-MD"/>
        </w:rPr>
        <w:t>;</w:t>
      </w:r>
    </w:p>
    <w:p w14:paraId="6AC2176C" w14:textId="10A7C624" w:rsidR="002D7176" w:rsidRPr="00AE74CD" w:rsidRDefault="00C55BFF" w:rsidP="00C55BFF">
      <w:pPr>
        <w:pStyle w:val="ListParagraph"/>
        <w:numPr>
          <w:ilvl w:val="0"/>
          <w:numId w:val="4"/>
        </w:numPr>
        <w:spacing w:line="276" w:lineRule="auto"/>
        <w:ind w:left="0" w:right="223" w:firstLine="360"/>
        <w:jc w:val="both"/>
        <w:rPr>
          <w:rFonts w:asciiTheme="majorHAnsi" w:hAnsiTheme="majorHAnsi" w:cstheme="majorHAnsi"/>
          <w:sz w:val="24"/>
          <w:szCs w:val="24"/>
          <w:lang w:val="ru-MD"/>
        </w:rPr>
      </w:pPr>
      <w:r w:rsidRPr="00AE74CD">
        <w:rPr>
          <w:rFonts w:asciiTheme="majorHAnsi" w:eastAsia="Times New Roman" w:hAnsiTheme="majorHAnsi" w:cstheme="majorHAnsi"/>
          <w:b/>
          <w:sz w:val="24"/>
          <w:szCs w:val="24"/>
          <w:lang w:val="ru-MD"/>
        </w:rPr>
        <w:t>Таможенной службы</w:t>
      </w:r>
      <w:r w:rsidR="002D7176" w:rsidRPr="00AE74CD">
        <w:rPr>
          <w:rFonts w:asciiTheme="majorHAnsi" w:eastAsia="Times New Roman" w:hAnsiTheme="majorHAnsi" w:cstheme="majorHAnsi"/>
          <w:b/>
          <w:sz w:val="24"/>
          <w:szCs w:val="24"/>
          <w:lang w:val="ru-MD"/>
        </w:rPr>
        <w:t xml:space="preserve">, </w:t>
      </w:r>
      <w:r w:rsidRPr="00AE74CD">
        <w:rPr>
          <w:rFonts w:asciiTheme="majorHAnsi" w:eastAsia="Times New Roman" w:hAnsiTheme="majorHAnsi" w:cstheme="majorHAnsi"/>
          <w:sz w:val="24"/>
          <w:szCs w:val="24"/>
          <w:lang w:val="ru-MD"/>
        </w:rPr>
        <w:t xml:space="preserve">в качестве административного органа, находящегося в ведении Министерства финансов, осуществляющего таможенную политику государства посредством единообразного и беспристрастного применения законодательства в таможенной сфере </w:t>
      </w:r>
      <w:r w:rsidR="00013CEA" w:rsidRPr="00AE74CD">
        <w:rPr>
          <w:rFonts w:asciiTheme="majorHAnsi" w:eastAsia="Times New Roman" w:hAnsiTheme="majorHAnsi" w:cstheme="majorHAnsi"/>
          <w:sz w:val="24"/>
          <w:szCs w:val="24"/>
          <w:lang w:val="ru-MD"/>
        </w:rPr>
        <w:t>в</w:t>
      </w:r>
      <w:r w:rsidRPr="00AE74CD">
        <w:rPr>
          <w:rFonts w:asciiTheme="majorHAnsi" w:eastAsia="Times New Roman" w:hAnsiTheme="majorHAnsi" w:cstheme="majorHAnsi"/>
          <w:sz w:val="24"/>
          <w:szCs w:val="24"/>
          <w:lang w:val="ru-MD"/>
        </w:rPr>
        <w:t xml:space="preserve"> цел</w:t>
      </w:r>
      <w:r w:rsidR="00013CEA" w:rsidRPr="00AE74CD">
        <w:rPr>
          <w:rFonts w:asciiTheme="majorHAnsi" w:eastAsia="Times New Roman" w:hAnsiTheme="majorHAnsi" w:cstheme="majorHAnsi"/>
          <w:sz w:val="24"/>
          <w:szCs w:val="24"/>
          <w:lang w:val="ru-MD"/>
        </w:rPr>
        <w:t>ях</w:t>
      </w:r>
      <w:r w:rsidRPr="00AE74CD">
        <w:rPr>
          <w:rFonts w:asciiTheme="majorHAnsi" w:eastAsia="Times New Roman" w:hAnsiTheme="majorHAnsi" w:cstheme="majorHAnsi"/>
          <w:sz w:val="24"/>
          <w:szCs w:val="24"/>
          <w:lang w:val="ru-MD"/>
        </w:rPr>
        <w:t xml:space="preserve"> обеспечения экономической безопасности государства - для использования информации </w:t>
      </w:r>
      <w:r w:rsidR="00013CEA" w:rsidRPr="00AE74CD">
        <w:rPr>
          <w:rFonts w:asciiTheme="majorHAnsi" w:eastAsia="Times New Roman" w:hAnsiTheme="majorHAnsi" w:cstheme="majorHAnsi"/>
          <w:sz w:val="24"/>
          <w:szCs w:val="24"/>
          <w:lang w:val="ru-MD"/>
        </w:rPr>
        <w:t>с целью</w:t>
      </w:r>
      <w:r w:rsidRPr="00AE74CD">
        <w:rPr>
          <w:rFonts w:asciiTheme="majorHAnsi" w:eastAsia="Times New Roman" w:hAnsiTheme="majorHAnsi" w:cstheme="majorHAnsi"/>
          <w:sz w:val="24"/>
          <w:szCs w:val="24"/>
          <w:lang w:val="ru-MD"/>
        </w:rPr>
        <w:t xml:space="preserve"> надлежащего </w:t>
      </w:r>
      <w:r w:rsidR="00013CEA" w:rsidRPr="00AE74CD">
        <w:rPr>
          <w:rFonts w:asciiTheme="majorHAnsi" w:eastAsia="Times New Roman" w:hAnsiTheme="majorHAnsi" w:cstheme="majorHAnsi"/>
          <w:sz w:val="24"/>
          <w:szCs w:val="24"/>
          <w:lang w:val="ru-MD"/>
        </w:rPr>
        <w:t>администрирова</w:t>
      </w:r>
      <w:r w:rsidRPr="00AE74CD">
        <w:rPr>
          <w:rFonts w:asciiTheme="majorHAnsi" w:eastAsia="Times New Roman" w:hAnsiTheme="majorHAnsi" w:cstheme="majorHAnsi"/>
          <w:sz w:val="24"/>
          <w:szCs w:val="24"/>
          <w:lang w:val="ru-MD"/>
        </w:rPr>
        <w:t>ния государственны</w:t>
      </w:r>
      <w:r w:rsidR="00013CEA" w:rsidRPr="00AE74CD">
        <w:rPr>
          <w:rFonts w:asciiTheme="majorHAnsi" w:eastAsia="Times New Roman" w:hAnsiTheme="majorHAnsi" w:cstheme="majorHAnsi"/>
          <w:sz w:val="24"/>
          <w:szCs w:val="24"/>
          <w:lang w:val="ru-MD"/>
        </w:rPr>
        <w:t>х</w:t>
      </w:r>
      <w:r w:rsidRPr="00AE74CD">
        <w:rPr>
          <w:rFonts w:asciiTheme="majorHAnsi" w:eastAsia="Times New Roman" w:hAnsiTheme="majorHAnsi" w:cstheme="majorHAnsi"/>
          <w:sz w:val="24"/>
          <w:szCs w:val="24"/>
          <w:lang w:val="ru-MD"/>
        </w:rPr>
        <w:t xml:space="preserve"> доход</w:t>
      </w:r>
      <w:r w:rsidR="00013CEA" w:rsidRPr="00AE74CD">
        <w:rPr>
          <w:rFonts w:asciiTheme="majorHAnsi" w:eastAsia="Times New Roman" w:hAnsiTheme="majorHAnsi" w:cstheme="majorHAnsi"/>
          <w:sz w:val="24"/>
          <w:szCs w:val="24"/>
          <w:lang w:val="ru-MD"/>
        </w:rPr>
        <w:t>ов</w:t>
      </w:r>
      <w:r w:rsidR="002D7176" w:rsidRPr="00AE74CD">
        <w:rPr>
          <w:rFonts w:asciiTheme="majorHAnsi" w:hAnsiTheme="majorHAnsi" w:cstheme="majorHAnsi"/>
          <w:sz w:val="24"/>
          <w:szCs w:val="24"/>
          <w:lang w:val="ru-MD"/>
        </w:rPr>
        <w:t>;</w:t>
      </w:r>
    </w:p>
    <w:p w14:paraId="1D929585" w14:textId="08CA685D" w:rsidR="002D7176" w:rsidRPr="00AE74CD" w:rsidRDefault="00C55BFF" w:rsidP="006E7715">
      <w:pPr>
        <w:pStyle w:val="ListParagraph"/>
        <w:numPr>
          <w:ilvl w:val="0"/>
          <w:numId w:val="4"/>
        </w:numPr>
        <w:spacing w:after="60" w:line="276" w:lineRule="auto"/>
        <w:ind w:left="567" w:right="223" w:hanging="284"/>
        <w:jc w:val="both"/>
        <w:rPr>
          <w:rFonts w:asciiTheme="majorHAnsi" w:eastAsia="Times New Roman" w:hAnsiTheme="majorHAnsi" w:cstheme="majorHAnsi"/>
          <w:b/>
          <w:sz w:val="24"/>
          <w:szCs w:val="24"/>
          <w:lang w:val="ru-MD"/>
        </w:rPr>
      </w:pPr>
      <w:r w:rsidRPr="00AE74CD">
        <w:rPr>
          <w:rFonts w:asciiTheme="majorHAnsi" w:eastAsia="Times New Roman" w:hAnsiTheme="majorHAnsi" w:cstheme="majorHAnsi"/>
          <w:b/>
          <w:sz w:val="24"/>
          <w:szCs w:val="24"/>
          <w:lang w:val="ru-MD"/>
        </w:rPr>
        <w:t>гражданского общества, других заинтересованных сторон</w:t>
      </w:r>
      <w:r w:rsidR="002D7176" w:rsidRPr="00AE74CD">
        <w:rPr>
          <w:rFonts w:asciiTheme="majorHAnsi" w:eastAsia="Times New Roman" w:hAnsiTheme="majorHAnsi" w:cstheme="majorHAnsi"/>
          <w:b/>
          <w:sz w:val="24"/>
          <w:szCs w:val="24"/>
          <w:lang w:val="ru-MD"/>
        </w:rPr>
        <w:t>.</w:t>
      </w:r>
    </w:p>
    <w:p w14:paraId="0C424834" w14:textId="77777777" w:rsidR="00A130C2" w:rsidRDefault="00A130C2" w:rsidP="00A130C2">
      <w:pPr>
        <w:pStyle w:val="ListParagraph"/>
        <w:spacing w:after="60" w:line="276" w:lineRule="auto"/>
        <w:ind w:left="567" w:right="223"/>
        <w:jc w:val="both"/>
        <w:rPr>
          <w:rFonts w:asciiTheme="majorHAnsi" w:hAnsiTheme="majorHAnsi" w:cstheme="majorHAnsi"/>
        </w:rPr>
      </w:pPr>
    </w:p>
    <w:p w14:paraId="45C63B0D" w14:textId="443E1159" w:rsidR="00F310E9" w:rsidRPr="00B20FBD" w:rsidRDefault="00571092" w:rsidP="003937C7">
      <w:pPr>
        <w:pStyle w:val="ListParagraph"/>
        <w:numPr>
          <w:ilvl w:val="0"/>
          <w:numId w:val="3"/>
        </w:numPr>
        <w:ind w:left="709" w:hanging="352"/>
        <w:outlineLvl w:val="0"/>
        <w:rPr>
          <w:rFonts w:asciiTheme="majorHAnsi" w:hAnsiTheme="majorHAnsi" w:cstheme="majorHAnsi"/>
          <w:b/>
        </w:rPr>
      </w:pPr>
      <w:bookmarkStart w:id="8" w:name="_Toc127129396"/>
      <w:r>
        <w:rPr>
          <w:rFonts w:asciiTheme="majorHAnsi" w:hAnsiTheme="majorHAnsi" w:cstheme="majorHAnsi"/>
          <w:b/>
          <w:lang w:val="ru-RU"/>
        </w:rPr>
        <w:t>СИНТЕЗ</w:t>
      </w:r>
      <w:bookmarkEnd w:id="8"/>
    </w:p>
    <w:p w14:paraId="60D4320B" w14:textId="77777777" w:rsidR="00F310E9" w:rsidRPr="00B20FBD" w:rsidRDefault="00F310E9" w:rsidP="00F310E9">
      <w:pPr>
        <w:pStyle w:val="ListParagraph"/>
        <w:ind w:left="1077"/>
        <w:jc w:val="center"/>
        <w:outlineLvl w:val="0"/>
        <w:rPr>
          <w:rFonts w:asciiTheme="majorHAnsi" w:hAnsiTheme="majorHAnsi" w:cstheme="majorHAnsi"/>
        </w:rPr>
      </w:pPr>
    </w:p>
    <w:p w14:paraId="4790C569" w14:textId="1094CA49" w:rsidR="00102D7F" w:rsidRPr="007C4C39" w:rsidRDefault="00571092" w:rsidP="00102D7F">
      <w:pPr>
        <w:spacing w:after="120" w:line="257" w:lineRule="auto"/>
        <w:ind w:firstLine="706"/>
        <w:jc w:val="both"/>
        <w:rPr>
          <w:rFonts w:asciiTheme="majorHAnsi" w:eastAsia="Times New Roman" w:hAnsiTheme="majorHAnsi" w:cstheme="majorHAnsi"/>
          <w:sz w:val="24"/>
          <w:szCs w:val="24"/>
          <w:lang w:val="ru-MD"/>
        </w:rPr>
      </w:pPr>
      <w:r w:rsidRPr="007C4C39">
        <w:rPr>
          <w:rFonts w:asciiTheme="majorHAnsi" w:hAnsiTheme="majorHAnsi" w:cstheme="majorHAnsi"/>
          <w:sz w:val="24"/>
          <w:szCs w:val="24"/>
          <w:lang w:val="ru-MD"/>
        </w:rPr>
        <w:t>Эффективное администрирование государственны</w:t>
      </w:r>
      <w:r w:rsidR="006E7715" w:rsidRPr="007C4C39">
        <w:rPr>
          <w:rFonts w:asciiTheme="majorHAnsi" w:hAnsiTheme="majorHAnsi" w:cstheme="majorHAnsi"/>
          <w:sz w:val="24"/>
          <w:szCs w:val="24"/>
          <w:lang w:val="ru-MD"/>
        </w:rPr>
        <w:t>х</w:t>
      </w:r>
      <w:r w:rsidRPr="007C4C39">
        <w:rPr>
          <w:rFonts w:asciiTheme="majorHAnsi" w:hAnsiTheme="majorHAnsi" w:cstheme="majorHAnsi"/>
          <w:sz w:val="24"/>
          <w:szCs w:val="24"/>
          <w:lang w:val="ru-MD"/>
        </w:rPr>
        <w:t xml:space="preserve"> доход</w:t>
      </w:r>
      <w:r w:rsidR="006E7715" w:rsidRPr="007C4C39">
        <w:rPr>
          <w:rFonts w:asciiTheme="majorHAnsi" w:hAnsiTheme="majorHAnsi" w:cstheme="majorHAnsi"/>
          <w:sz w:val="24"/>
          <w:szCs w:val="24"/>
          <w:lang w:val="ru-MD"/>
        </w:rPr>
        <w:t>ов</w:t>
      </w:r>
      <w:r w:rsidRPr="007C4C39">
        <w:rPr>
          <w:rFonts w:asciiTheme="majorHAnsi" w:hAnsiTheme="majorHAnsi" w:cstheme="majorHAnsi"/>
          <w:sz w:val="24"/>
          <w:szCs w:val="24"/>
          <w:lang w:val="ru-MD"/>
        </w:rPr>
        <w:t xml:space="preserve"> </w:t>
      </w:r>
      <w:r w:rsidR="00AE74CD" w:rsidRPr="007C4C39">
        <w:rPr>
          <w:rFonts w:asciiTheme="majorHAnsi" w:hAnsiTheme="majorHAnsi" w:cstheme="majorHAnsi"/>
          <w:sz w:val="24"/>
          <w:szCs w:val="24"/>
          <w:lang w:val="ru-MD"/>
        </w:rPr>
        <w:t>содейству</w:t>
      </w:r>
      <w:r w:rsidRPr="007C4C39">
        <w:rPr>
          <w:rFonts w:asciiTheme="majorHAnsi" w:hAnsiTheme="majorHAnsi" w:cstheme="majorHAnsi"/>
          <w:sz w:val="24"/>
          <w:szCs w:val="24"/>
          <w:lang w:val="ru-MD"/>
        </w:rPr>
        <w:t>ет реализ</w:t>
      </w:r>
      <w:r w:rsidR="00AE74CD" w:rsidRPr="007C4C39">
        <w:rPr>
          <w:rFonts w:asciiTheme="majorHAnsi" w:hAnsiTheme="majorHAnsi" w:cstheme="majorHAnsi"/>
          <w:sz w:val="24"/>
          <w:szCs w:val="24"/>
          <w:lang w:val="ru-MD"/>
        </w:rPr>
        <w:t>ации</w:t>
      </w:r>
      <w:r w:rsidRPr="007C4C39">
        <w:rPr>
          <w:rFonts w:asciiTheme="majorHAnsi" w:hAnsiTheme="majorHAnsi" w:cstheme="majorHAnsi"/>
          <w:sz w:val="24"/>
          <w:szCs w:val="24"/>
          <w:lang w:val="ru-MD"/>
        </w:rPr>
        <w:t xml:space="preserve"> доходн</w:t>
      </w:r>
      <w:r w:rsidR="00AE74CD" w:rsidRPr="007C4C39">
        <w:rPr>
          <w:rFonts w:asciiTheme="majorHAnsi" w:hAnsiTheme="majorHAnsi" w:cstheme="majorHAnsi"/>
          <w:sz w:val="24"/>
          <w:szCs w:val="24"/>
          <w:lang w:val="ru-MD"/>
        </w:rPr>
        <w:t>ой</w:t>
      </w:r>
      <w:r w:rsidRPr="007C4C39">
        <w:rPr>
          <w:rFonts w:asciiTheme="majorHAnsi" w:hAnsiTheme="majorHAnsi" w:cstheme="majorHAnsi"/>
          <w:sz w:val="24"/>
          <w:szCs w:val="24"/>
          <w:lang w:val="ru-MD"/>
        </w:rPr>
        <w:t xml:space="preserve"> часть ГБ, составляющ</w:t>
      </w:r>
      <w:r w:rsidR="00AE74CD" w:rsidRPr="007C4C39">
        <w:rPr>
          <w:rFonts w:asciiTheme="majorHAnsi" w:hAnsiTheme="majorHAnsi" w:cstheme="majorHAnsi"/>
          <w:sz w:val="24"/>
          <w:szCs w:val="24"/>
          <w:lang w:val="ru-MD"/>
        </w:rPr>
        <w:t>ей</w:t>
      </w:r>
      <w:r w:rsidRPr="007C4C39">
        <w:rPr>
          <w:rFonts w:asciiTheme="majorHAnsi" w:hAnsiTheme="majorHAnsi" w:cstheme="majorHAnsi"/>
          <w:sz w:val="24"/>
          <w:szCs w:val="24"/>
          <w:lang w:val="ru-MD"/>
        </w:rPr>
        <w:t xml:space="preserve"> НПБ, обеспечивая устойчивость государственных финансов/бюджетных расходов. Выбор аудиторской миссии зависит от важности и значимости доходов, собранных Таможенной службой в ГБ, составной части НПБ. Так, Счетная палата, в соответствии с Программой аудиторской деятельности на 2022 год</w:t>
      </w:r>
      <w:r w:rsidRPr="007C4C39">
        <w:rPr>
          <w:rFonts w:asciiTheme="majorHAnsi" w:eastAsiaTheme="minorEastAsia" w:hAnsiTheme="majorHAnsi" w:cstheme="majorHAnsi"/>
          <w:sz w:val="24"/>
          <w:szCs w:val="24"/>
          <w:vertAlign w:val="superscript"/>
          <w:lang w:val="ru-MD" w:bidi="en-US"/>
        </w:rPr>
        <w:footnoteReference w:id="1"/>
      </w:r>
      <w:r w:rsidRPr="007C4C39">
        <w:rPr>
          <w:rFonts w:asciiTheme="majorHAnsi" w:hAnsiTheme="majorHAnsi" w:cstheme="majorHAnsi"/>
          <w:sz w:val="24"/>
          <w:szCs w:val="24"/>
          <w:lang w:val="ru-MD"/>
        </w:rPr>
        <w:t>, провела аудит соответствия администрирования доходов государственного бюджета Таможенной службой за 2020-2021 годы</w:t>
      </w:r>
      <w:r w:rsidR="00102D7F" w:rsidRPr="007C4C39">
        <w:rPr>
          <w:rFonts w:asciiTheme="majorHAnsi" w:hAnsiTheme="majorHAnsi" w:cstheme="majorHAnsi"/>
          <w:sz w:val="24"/>
          <w:szCs w:val="24"/>
          <w:lang w:val="ru-MD"/>
        </w:rPr>
        <w:t>.</w:t>
      </w:r>
    </w:p>
    <w:p w14:paraId="17F218D3" w14:textId="3A787AFA" w:rsidR="006E6B4B" w:rsidRPr="007C4C39" w:rsidRDefault="00083454" w:rsidP="006E6B4B">
      <w:pPr>
        <w:spacing w:after="120"/>
        <w:jc w:val="both"/>
        <w:rPr>
          <w:rFonts w:asciiTheme="majorHAnsi" w:hAnsiTheme="majorHAnsi" w:cstheme="majorHAnsi"/>
          <w:sz w:val="24"/>
          <w:szCs w:val="24"/>
          <w:lang w:val="ru-MD"/>
        </w:rPr>
      </w:pPr>
      <w:r w:rsidRPr="007C4C39">
        <w:rPr>
          <w:rFonts w:asciiTheme="majorHAnsi" w:hAnsiTheme="majorHAnsi" w:cstheme="majorHAnsi"/>
          <w:sz w:val="24"/>
          <w:szCs w:val="24"/>
          <w:lang w:val="ru-MD" w:bidi="en-US"/>
        </w:rPr>
        <w:t>Выявленные проблемы и уязвимости были сформулированы на основе констатаций аудита, которые показали следующее</w:t>
      </w:r>
      <w:r w:rsidR="00040085" w:rsidRPr="007C4C39">
        <w:rPr>
          <w:rFonts w:asciiTheme="majorHAnsi" w:hAnsiTheme="majorHAnsi" w:cstheme="majorHAnsi"/>
          <w:sz w:val="24"/>
          <w:szCs w:val="24"/>
          <w:lang w:val="ru-MD" w:bidi="en-US"/>
        </w:rPr>
        <w:t>:</w:t>
      </w:r>
    </w:p>
    <w:p w14:paraId="01C50767" w14:textId="3519E51F" w:rsidR="00E2291B" w:rsidRPr="00E01195" w:rsidRDefault="00571092" w:rsidP="00D45027">
      <w:pPr>
        <w:pStyle w:val="ListParagraph"/>
        <w:numPr>
          <w:ilvl w:val="0"/>
          <w:numId w:val="6"/>
        </w:numPr>
        <w:autoSpaceDE w:val="0"/>
        <w:autoSpaceDN w:val="0"/>
        <w:adjustRightInd w:val="0"/>
        <w:spacing w:after="120" w:line="276" w:lineRule="auto"/>
        <w:ind w:left="0" w:firstLine="360"/>
        <w:jc w:val="both"/>
        <w:rPr>
          <w:rFonts w:asciiTheme="majorHAnsi" w:hAnsiTheme="majorHAnsi" w:cstheme="majorHAnsi"/>
          <w:i/>
          <w:sz w:val="24"/>
          <w:szCs w:val="24"/>
          <w:lang w:val="ru-MD"/>
        </w:rPr>
      </w:pPr>
      <w:r w:rsidRPr="00E01195">
        <w:rPr>
          <w:rFonts w:asciiTheme="majorHAnsi" w:hAnsiTheme="majorHAnsi" w:cstheme="majorHAnsi"/>
          <w:i/>
          <w:iCs/>
          <w:sz w:val="24"/>
          <w:szCs w:val="24"/>
          <w:lang w:val="ru-MD"/>
        </w:rPr>
        <w:t xml:space="preserve">обладая полномочиями по </w:t>
      </w:r>
      <w:r w:rsidRPr="00E01195">
        <w:rPr>
          <w:rFonts w:asciiTheme="majorHAnsi" w:hAnsiTheme="majorHAnsi" w:cstheme="majorHAnsi"/>
          <w:i/>
          <w:sz w:val="24"/>
          <w:szCs w:val="24"/>
          <w:lang w:val="ru-MD"/>
        </w:rPr>
        <w:t>администрировани</w:t>
      </w:r>
      <w:r w:rsidRPr="00E01195">
        <w:rPr>
          <w:rFonts w:asciiTheme="majorHAnsi" w:hAnsiTheme="majorHAnsi" w:cstheme="majorHAnsi"/>
          <w:i/>
          <w:iCs/>
          <w:sz w:val="24"/>
          <w:szCs w:val="24"/>
          <w:lang w:val="ru-MD"/>
        </w:rPr>
        <w:t>ю доходов, Таможенная служба собрала в 2021 году в государственный бюджет 28.553</w:t>
      </w:r>
      <w:r w:rsidR="00C92679" w:rsidRPr="00E01195">
        <w:rPr>
          <w:rFonts w:asciiTheme="majorHAnsi" w:hAnsiTheme="majorHAnsi" w:cstheme="majorHAnsi"/>
          <w:i/>
          <w:iCs/>
          <w:sz w:val="24"/>
          <w:szCs w:val="24"/>
          <w:lang w:val="ru-MD"/>
        </w:rPr>
        <w:t>,</w:t>
      </w:r>
      <w:r w:rsidRPr="00E01195">
        <w:rPr>
          <w:rFonts w:asciiTheme="majorHAnsi" w:hAnsiTheme="majorHAnsi" w:cstheme="majorHAnsi"/>
          <w:i/>
          <w:iCs/>
          <w:sz w:val="24"/>
          <w:szCs w:val="24"/>
          <w:lang w:val="ru-MD"/>
        </w:rPr>
        <w:t xml:space="preserve"> 7 млн. леев, что составляет 62,2% от общих доходов государственного бюджета, и 14,0% (205,4 млрд. леев) от Валового внутреннего продукта</w:t>
      </w:r>
      <w:r w:rsidR="00C66B31" w:rsidRPr="00E01195">
        <w:rPr>
          <w:rFonts w:asciiTheme="majorHAnsi" w:hAnsiTheme="majorHAnsi" w:cstheme="majorHAnsi"/>
          <w:i/>
          <w:iCs/>
          <w:sz w:val="24"/>
          <w:szCs w:val="24"/>
          <w:lang w:val="ru-MD"/>
        </w:rPr>
        <w:t xml:space="preserve"> </w:t>
      </w:r>
      <w:r w:rsidR="008B33BE" w:rsidRPr="00E01195">
        <w:rPr>
          <w:rFonts w:asciiTheme="majorHAnsi" w:hAnsiTheme="majorHAnsi" w:cstheme="majorHAnsi"/>
          <w:i/>
          <w:sz w:val="24"/>
          <w:szCs w:val="24"/>
          <w:lang w:val="ru-MD"/>
        </w:rPr>
        <w:t>(</w:t>
      </w:r>
      <w:r w:rsidR="00C92679" w:rsidRPr="00E01195">
        <w:rPr>
          <w:rFonts w:asciiTheme="majorHAnsi" w:hAnsiTheme="majorHAnsi" w:cstheme="majorHAnsi"/>
          <w:i/>
          <w:sz w:val="24"/>
          <w:szCs w:val="24"/>
          <w:lang w:val="ru-MD"/>
        </w:rPr>
        <w:t>п</w:t>
      </w:r>
      <w:r w:rsidR="008B33BE" w:rsidRPr="00E01195">
        <w:rPr>
          <w:rFonts w:asciiTheme="majorHAnsi" w:hAnsiTheme="majorHAnsi" w:cstheme="majorHAnsi"/>
          <w:i/>
          <w:sz w:val="24"/>
          <w:szCs w:val="24"/>
          <w:lang w:val="ru-MD"/>
        </w:rPr>
        <w:t>.</w:t>
      </w:r>
      <w:r w:rsidR="0021675C" w:rsidRPr="00E01195">
        <w:rPr>
          <w:rFonts w:asciiTheme="majorHAnsi" w:hAnsiTheme="majorHAnsi" w:cstheme="majorHAnsi"/>
          <w:i/>
          <w:sz w:val="24"/>
          <w:szCs w:val="24"/>
          <w:lang w:val="ru-MD"/>
        </w:rPr>
        <w:t>4.</w:t>
      </w:r>
      <w:r w:rsidR="006170D7" w:rsidRPr="00E01195">
        <w:rPr>
          <w:rFonts w:asciiTheme="majorHAnsi" w:hAnsiTheme="majorHAnsi" w:cstheme="majorHAnsi"/>
          <w:i/>
          <w:sz w:val="24"/>
          <w:szCs w:val="24"/>
          <w:lang w:val="ru-MD"/>
        </w:rPr>
        <w:t>1.</w:t>
      </w:r>
      <w:r w:rsidR="0021675C" w:rsidRPr="00E01195">
        <w:rPr>
          <w:rFonts w:asciiTheme="majorHAnsi" w:hAnsiTheme="majorHAnsi" w:cstheme="majorHAnsi"/>
          <w:i/>
          <w:sz w:val="24"/>
          <w:szCs w:val="24"/>
          <w:lang w:val="ru-MD"/>
        </w:rPr>
        <w:t>2</w:t>
      </w:r>
      <w:r w:rsidR="008B33BE" w:rsidRPr="00E01195">
        <w:rPr>
          <w:rFonts w:asciiTheme="majorHAnsi" w:hAnsiTheme="majorHAnsi" w:cstheme="majorHAnsi"/>
          <w:i/>
          <w:sz w:val="24"/>
          <w:szCs w:val="24"/>
          <w:lang w:val="ru-MD"/>
        </w:rPr>
        <w:t>)</w:t>
      </w:r>
      <w:r w:rsidR="007C4C39" w:rsidRPr="00E01195">
        <w:rPr>
          <w:rFonts w:asciiTheme="majorHAnsi" w:hAnsiTheme="majorHAnsi" w:cstheme="majorHAnsi"/>
          <w:i/>
          <w:sz w:val="24"/>
          <w:szCs w:val="24"/>
          <w:lang w:val="ru-MD"/>
        </w:rPr>
        <w:t>;</w:t>
      </w:r>
    </w:p>
    <w:p w14:paraId="7EB9A832" w14:textId="0C039927" w:rsidR="0004158F" w:rsidRPr="00E01195" w:rsidRDefault="00571092" w:rsidP="003937C7">
      <w:pPr>
        <w:pStyle w:val="ListParagraph"/>
        <w:numPr>
          <w:ilvl w:val="0"/>
          <w:numId w:val="6"/>
        </w:numPr>
        <w:spacing w:after="120" w:line="276" w:lineRule="auto"/>
        <w:ind w:left="0" w:firstLine="357"/>
        <w:jc w:val="both"/>
        <w:rPr>
          <w:rFonts w:asciiTheme="majorHAnsi" w:hAnsiTheme="majorHAnsi" w:cstheme="majorHAnsi"/>
          <w:i/>
          <w:sz w:val="24"/>
          <w:szCs w:val="24"/>
          <w:lang w:val="ru-MD"/>
        </w:rPr>
      </w:pPr>
      <w:r w:rsidRPr="00E01195">
        <w:rPr>
          <w:rFonts w:asciiTheme="majorHAnsi" w:hAnsiTheme="majorHAnsi" w:cstheme="majorHAnsi"/>
          <w:i/>
          <w:sz w:val="24"/>
          <w:szCs w:val="24"/>
          <w:lang w:val="ru-MD"/>
        </w:rPr>
        <w:t xml:space="preserve">хотя </w:t>
      </w:r>
      <w:r w:rsidR="007C4C39" w:rsidRPr="00E01195">
        <w:rPr>
          <w:rFonts w:asciiTheme="majorHAnsi" w:hAnsiTheme="majorHAnsi" w:cstheme="majorHAnsi"/>
          <w:i/>
          <w:sz w:val="24"/>
          <w:szCs w:val="24"/>
          <w:lang w:val="ru-MD"/>
        </w:rPr>
        <w:t>утвержденные контрольные показатели</w:t>
      </w:r>
      <w:r w:rsidRPr="00E01195">
        <w:rPr>
          <w:rFonts w:asciiTheme="majorHAnsi" w:hAnsiTheme="majorHAnsi" w:cstheme="majorHAnsi"/>
          <w:i/>
          <w:sz w:val="24"/>
          <w:szCs w:val="24"/>
          <w:lang w:val="ru-MD"/>
        </w:rPr>
        <w:t xml:space="preserve"> в 2020 году были исполнены, в эволюции, по сравнению с аналогичным периодом прошлого года, </w:t>
      </w:r>
      <w:r w:rsidR="007C4C39" w:rsidRPr="00E01195">
        <w:rPr>
          <w:rFonts w:asciiTheme="majorHAnsi" w:hAnsiTheme="majorHAnsi" w:cstheme="majorHAnsi"/>
          <w:i/>
          <w:sz w:val="24"/>
          <w:szCs w:val="24"/>
          <w:lang w:val="ru-MD"/>
        </w:rPr>
        <w:t xml:space="preserve">доходы, администрируемые ТС, </w:t>
      </w:r>
      <w:r w:rsidRPr="00E01195">
        <w:rPr>
          <w:rFonts w:asciiTheme="majorHAnsi" w:hAnsiTheme="majorHAnsi" w:cstheme="majorHAnsi"/>
          <w:i/>
          <w:sz w:val="24"/>
          <w:szCs w:val="24"/>
          <w:lang w:val="ru-MD"/>
        </w:rPr>
        <w:t xml:space="preserve">сократились на 369,8 млн. леев (1,6%), а в 2021 году, по сравнению с предыдущим годом, </w:t>
      </w:r>
      <w:r w:rsidR="007C4C39" w:rsidRPr="00E01195">
        <w:rPr>
          <w:rFonts w:asciiTheme="majorHAnsi" w:hAnsiTheme="majorHAnsi" w:cstheme="majorHAnsi"/>
          <w:i/>
          <w:sz w:val="24"/>
          <w:szCs w:val="24"/>
          <w:lang w:val="ru-MD"/>
        </w:rPr>
        <w:t>таможенные доходы</w:t>
      </w:r>
      <w:r w:rsidRPr="00E01195">
        <w:rPr>
          <w:rFonts w:asciiTheme="majorHAnsi" w:hAnsiTheme="majorHAnsi" w:cstheme="majorHAnsi"/>
          <w:i/>
          <w:sz w:val="24"/>
          <w:szCs w:val="24"/>
          <w:lang w:val="ru-MD"/>
        </w:rPr>
        <w:t xml:space="preserve"> увеличились на 6 026,9 млн. леев, или на 26,8% </w:t>
      </w:r>
      <w:r w:rsidR="006170D7" w:rsidRPr="00E01195">
        <w:rPr>
          <w:rFonts w:asciiTheme="majorHAnsi" w:hAnsiTheme="majorHAnsi" w:cstheme="majorHAnsi"/>
          <w:i/>
          <w:sz w:val="24"/>
          <w:szCs w:val="24"/>
          <w:lang w:val="ru-MD"/>
        </w:rPr>
        <w:t>(</w:t>
      </w:r>
      <w:r w:rsidR="00C92679" w:rsidRPr="00E01195">
        <w:rPr>
          <w:rFonts w:asciiTheme="majorHAnsi" w:hAnsiTheme="majorHAnsi" w:cstheme="majorHAnsi"/>
          <w:i/>
          <w:sz w:val="24"/>
          <w:szCs w:val="24"/>
          <w:lang w:val="ru-MD"/>
        </w:rPr>
        <w:t>п</w:t>
      </w:r>
      <w:r w:rsidR="006170D7" w:rsidRPr="00E01195">
        <w:rPr>
          <w:rFonts w:asciiTheme="majorHAnsi" w:hAnsiTheme="majorHAnsi" w:cstheme="majorHAnsi"/>
          <w:i/>
          <w:sz w:val="24"/>
          <w:szCs w:val="24"/>
          <w:lang w:val="ru-MD"/>
        </w:rPr>
        <w:t>.</w:t>
      </w:r>
      <w:r w:rsidR="0021675C" w:rsidRPr="00E01195">
        <w:rPr>
          <w:rFonts w:asciiTheme="majorHAnsi" w:hAnsiTheme="majorHAnsi" w:cstheme="majorHAnsi"/>
          <w:i/>
          <w:sz w:val="24"/>
          <w:szCs w:val="24"/>
          <w:lang w:val="ru-MD"/>
        </w:rPr>
        <w:t>4.</w:t>
      </w:r>
      <w:r w:rsidR="006170D7" w:rsidRPr="00E01195">
        <w:rPr>
          <w:rFonts w:asciiTheme="majorHAnsi" w:hAnsiTheme="majorHAnsi" w:cstheme="majorHAnsi"/>
          <w:i/>
          <w:sz w:val="24"/>
          <w:szCs w:val="24"/>
          <w:lang w:val="ru-MD"/>
        </w:rPr>
        <w:t>1</w:t>
      </w:r>
      <w:r w:rsidR="00C23489" w:rsidRPr="00E01195">
        <w:rPr>
          <w:rFonts w:asciiTheme="majorHAnsi" w:hAnsiTheme="majorHAnsi" w:cstheme="majorHAnsi"/>
          <w:i/>
          <w:sz w:val="24"/>
          <w:szCs w:val="24"/>
          <w:lang w:val="ru-MD"/>
        </w:rPr>
        <w:t>.</w:t>
      </w:r>
      <w:r w:rsidR="0021675C" w:rsidRPr="00E01195">
        <w:rPr>
          <w:rFonts w:asciiTheme="majorHAnsi" w:hAnsiTheme="majorHAnsi" w:cstheme="majorHAnsi"/>
          <w:i/>
          <w:sz w:val="24"/>
          <w:szCs w:val="24"/>
          <w:lang w:val="ru-MD"/>
        </w:rPr>
        <w:t>2</w:t>
      </w:r>
      <w:r w:rsidR="007C4C39" w:rsidRPr="00E01195">
        <w:rPr>
          <w:rFonts w:asciiTheme="majorHAnsi" w:hAnsiTheme="majorHAnsi" w:cstheme="majorHAnsi"/>
          <w:i/>
          <w:sz w:val="24"/>
          <w:szCs w:val="24"/>
          <w:lang w:val="ru-MD"/>
        </w:rPr>
        <w:t>);</w:t>
      </w:r>
      <w:r w:rsidR="006170D7" w:rsidRPr="00E01195">
        <w:rPr>
          <w:rFonts w:asciiTheme="majorHAnsi" w:hAnsiTheme="majorHAnsi" w:cstheme="majorHAnsi"/>
          <w:i/>
          <w:sz w:val="24"/>
          <w:szCs w:val="24"/>
          <w:lang w:val="ru-MD"/>
        </w:rPr>
        <w:t xml:space="preserve"> </w:t>
      </w:r>
      <w:r w:rsidR="004B4F1D" w:rsidRPr="00E01195">
        <w:rPr>
          <w:rFonts w:asciiTheme="majorHAnsi" w:hAnsiTheme="majorHAnsi" w:cstheme="majorHAnsi"/>
          <w:i/>
          <w:sz w:val="24"/>
          <w:szCs w:val="24"/>
          <w:lang w:val="ru-MD"/>
        </w:rPr>
        <w:t xml:space="preserve"> </w:t>
      </w:r>
    </w:p>
    <w:p w14:paraId="337685B2" w14:textId="02364AD2" w:rsidR="00D315B1" w:rsidRPr="00574282" w:rsidRDefault="007C4C39" w:rsidP="007C4C39">
      <w:pPr>
        <w:pStyle w:val="ListParagraph"/>
        <w:numPr>
          <w:ilvl w:val="0"/>
          <w:numId w:val="6"/>
        </w:numPr>
        <w:spacing w:after="120" w:line="276" w:lineRule="auto"/>
        <w:ind w:left="0" w:firstLine="426"/>
        <w:jc w:val="both"/>
        <w:rPr>
          <w:rFonts w:asciiTheme="majorHAnsi" w:hAnsiTheme="majorHAnsi" w:cstheme="majorHAnsi"/>
          <w:i/>
          <w:sz w:val="24"/>
          <w:szCs w:val="24"/>
          <w:lang w:val="ru-MD"/>
        </w:rPr>
      </w:pPr>
      <w:r w:rsidRPr="00574282">
        <w:rPr>
          <w:rFonts w:asciiTheme="majorHAnsi" w:hAnsiTheme="majorHAnsi" w:cstheme="majorHAnsi"/>
          <w:i/>
          <w:sz w:val="24"/>
          <w:szCs w:val="24"/>
          <w:lang w:val="ru-MD"/>
        </w:rPr>
        <w:t>на снижение таможенных доходов в 2020 году повлияла пандемия Covid-19</w:t>
      </w:r>
      <w:r w:rsidR="00E01195" w:rsidRPr="00574282">
        <w:rPr>
          <w:rFonts w:asciiTheme="majorHAnsi" w:hAnsiTheme="majorHAnsi" w:cstheme="majorHAnsi"/>
          <w:i/>
          <w:sz w:val="24"/>
          <w:szCs w:val="24"/>
          <w:lang w:val="ru-MD"/>
        </w:rPr>
        <w:t>, а</w:t>
      </w:r>
      <w:r w:rsidRPr="00574282">
        <w:rPr>
          <w:rFonts w:asciiTheme="majorHAnsi" w:hAnsiTheme="majorHAnsi" w:cstheme="majorHAnsi"/>
          <w:i/>
          <w:sz w:val="24"/>
          <w:szCs w:val="24"/>
          <w:lang w:val="ru-MD"/>
        </w:rPr>
        <w:t xml:space="preserve"> </w:t>
      </w:r>
      <w:r w:rsidRPr="00237057">
        <w:rPr>
          <w:rFonts w:asciiTheme="majorHAnsi" w:hAnsiTheme="majorHAnsi" w:cstheme="majorHAnsi"/>
          <w:i/>
          <w:sz w:val="24"/>
          <w:szCs w:val="24"/>
          <w:lang w:val="ru-MD"/>
        </w:rPr>
        <w:t>Нац</w:t>
      </w:r>
      <w:r w:rsidR="00E01195" w:rsidRPr="00237057">
        <w:rPr>
          <w:rFonts w:asciiTheme="majorHAnsi" w:hAnsiTheme="majorHAnsi" w:cstheme="majorHAnsi"/>
          <w:i/>
          <w:sz w:val="24"/>
          <w:szCs w:val="24"/>
          <w:lang w:val="ru-MD"/>
        </w:rPr>
        <w:t>иональному банку</w:t>
      </w:r>
      <w:r w:rsidR="00E01195" w:rsidRPr="00574282">
        <w:rPr>
          <w:rStyle w:val="FootnoteReference"/>
          <w:rFonts w:asciiTheme="majorHAnsi" w:hAnsiTheme="majorHAnsi" w:cstheme="majorHAnsi"/>
          <w:i/>
          <w:sz w:val="24"/>
          <w:szCs w:val="24"/>
          <w:lang w:val="ru-MD"/>
        </w:rPr>
        <w:footnoteReference w:id="2"/>
      </w:r>
      <w:r w:rsidRPr="00574282">
        <w:rPr>
          <w:rFonts w:asciiTheme="majorHAnsi" w:hAnsiTheme="majorHAnsi" w:cstheme="majorHAnsi"/>
          <w:i/>
          <w:sz w:val="24"/>
          <w:szCs w:val="24"/>
          <w:lang w:val="ru-MD"/>
        </w:rPr>
        <w:t xml:space="preserve">, что повлияло на увеличение таможенной стоимости товаров и услуг, </w:t>
      </w:r>
      <w:r w:rsidR="00E01195" w:rsidRPr="00574282">
        <w:rPr>
          <w:rFonts w:asciiTheme="majorHAnsi" w:hAnsiTheme="majorHAnsi" w:cstheme="majorHAnsi"/>
          <w:i/>
          <w:sz w:val="24"/>
          <w:szCs w:val="24"/>
          <w:lang w:val="ru-MD"/>
        </w:rPr>
        <w:t>соответственно,</w:t>
      </w:r>
      <w:r w:rsidRPr="00574282">
        <w:rPr>
          <w:rFonts w:asciiTheme="majorHAnsi" w:hAnsiTheme="majorHAnsi" w:cstheme="majorHAnsi"/>
          <w:i/>
          <w:sz w:val="24"/>
          <w:szCs w:val="24"/>
          <w:lang w:val="ru-MD"/>
        </w:rPr>
        <w:t xml:space="preserve"> импортны</w:t>
      </w:r>
      <w:r w:rsidR="00E01195" w:rsidRPr="00574282">
        <w:rPr>
          <w:rFonts w:asciiTheme="majorHAnsi" w:hAnsiTheme="majorHAnsi" w:cstheme="majorHAnsi"/>
          <w:i/>
          <w:sz w:val="24"/>
          <w:szCs w:val="24"/>
          <w:lang w:val="ru-MD"/>
        </w:rPr>
        <w:t>х</w:t>
      </w:r>
      <w:r w:rsidRPr="00574282">
        <w:rPr>
          <w:rFonts w:asciiTheme="majorHAnsi" w:hAnsiTheme="majorHAnsi" w:cstheme="majorHAnsi"/>
          <w:i/>
          <w:sz w:val="24"/>
          <w:szCs w:val="24"/>
          <w:lang w:val="ru-MD"/>
        </w:rPr>
        <w:t>/экспортны</w:t>
      </w:r>
      <w:r w:rsidR="00E01195" w:rsidRPr="00574282">
        <w:rPr>
          <w:rFonts w:asciiTheme="majorHAnsi" w:hAnsiTheme="majorHAnsi" w:cstheme="majorHAnsi"/>
          <w:i/>
          <w:sz w:val="24"/>
          <w:szCs w:val="24"/>
          <w:lang w:val="ru-MD"/>
        </w:rPr>
        <w:t>х</w:t>
      </w:r>
      <w:r w:rsidRPr="00574282">
        <w:rPr>
          <w:rFonts w:asciiTheme="majorHAnsi" w:hAnsiTheme="majorHAnsi" w:cstheme="majorHAnsi"/>
          <w:i/>
          <w:sz w:val="24"/>
          <w:szCs w:val="24"/>
          <w:lang w:val="ru-MD"/>
        </w:rPr>
        <w:t xml:space="preserve"> п</w:t>
      </w:r>
      <w:r w:rsidR="00E01195" w:rsidRPr="00574282">
        <w:rPr>
          <w:rFonts w:asciiTheme="majorHAnsi" w:hAnsiTheme="majorHAnsi" w:cstheme="majorHAnsi"/>
          <w:i/>
          <w:sz w:val="24"/>
          <w:szCs w:val="24"/>
          <w:lang w:val="ru-MD"/>
        </w:rPr>
        <w:t>латежей</w:t>
      </w:r>
      <w:r w:rsidRPr="00574282">
        <w:rPr>
          <w:rFonts w:asciiTheme="majorHAnsi" w:hAnsiTheme="majorHAnsi" w:cstheme="majorHAnsi"/>
          <w:i/>
          <w:sz w:val="24"/>
          <w:szCs w:val="24"/>
          <w:lang w:val="ru-MD"/>
        </w:rPr>
        <w:t>, взимаемы</w:t>
      </w:r>
      <w:r w:rsidR="00E01195" w:rsidRPr="00574282">
        <w:rPr>
          <w:rFonts w:asciiTheme="majorHAnsi" w:hAnsiTheme="majorHAnsi" w:cstheme="majorHAnsi"/>
          <w:i/>
          <w:sz w:val="24"/>
          <w:szCs w:val="24"/>
          <w:lang w:val="ru-MD"/>
        </w:rPr>
        <w:t>х</w:t>
      </w:r>
      <w:r w:rsidRPr="00574282">
        <w:rPr>
          <w:rFonts w:asciiTheme="majorHAnsi" w:hAnsiTheme="majorHAnsi" w:cstheme="majorHAnsi"/>
          <w:i/>
          <w:sz w:val="24"/>
          <w:szCs w:val="24"/>
          <w:lang w:val="ru-MD"/>
        </w:rPr>
        <w:t xml:space="preserve"> </w:t>
      </w:r>
      <w:r w:rsidR="00E01195" w:rsidRPr="00574282">
        <w:rPr>
          <w:rFonts w:asciiTheme="majorHAnsi" w:hAnsiTheme="majorHAnsi" w:cstheme="majorHAnsi"/>
          <w:i/>
          <w:sz w:val="24"/>
          <w:szCs w:val="24"/>
          <w:lang w:val="ru-MD"/>
        </w:rPr>
        <w:t>в</w:t>
      </w:r>
      <w:r w:rsidRPr="00574282">
        <w:rPr>
          <w:rFonts w:asciiTheme="majorHAnsi" w:hAnsiTheme="majorHAnsi" w:cstheme="majorHAnsi"/>
          <w:i/>
          <w:sz w:val="24"/>
          <w:szCs w:val="24"/>
          <w:lang w:val="ru-MD"/>
        </w:rPr>
        <w:t xml:space="preserve"> государственн</w:t>
      </w:r>
      <w:r w:rsidR="00E01195" w:rsidRPr="00574282">
        <w:rPr>
          <w:rFonts w:asciiTheme="majorHAnsi" w:hAnsiTheme="majorHAnsi" w:cstheme="majorHAnsi"/>
          <w:i/>
          <w:sz w:val="24"/>
          <w:szCs w:val="24"/>
          <w:lang w:val="ru-MD"/>
        </w:rPr>
        <w:t>ый</w:t>
      </w:r>
      <w:r w:rsidRPr="00574282">
        <w:rPr>
          <w:rFonts w:asciiTheme="majorHAnsi" w:hAnsiTheme="majorHAnsi" w:cstheme="majorHAnsi"/>
          <w:i/>
          <w:sz w:val="24"/>
          <w:szCs w:val="24"/>
          <w:lang w:val="ru-MD"/>
        </w:rPr>
        <w:t xml:space="preserve"> бюджет </w:t>
      </w:r>
      <w:r w:rsidR="006170D7" w:rsidRPr="00574282">
        <w:rPr>
          <w:rFonts w:asciiTheme="majorHAnsi" w:hAnsiTheme="majorHAnsi" w:cstheme="majorHAnsi"/>
          <w:i/>
          <w:sz w:val="24"/>
          <w:szCs w:val="24"/>
          <w:lang w:val="ru-MD"/>
        </w:rPr>
        <w:t>(</w:t>
      </w:r>
      <w:r w:rsidR="00C92679" w:rsidRPr="00574282">
        <w:rPr>
          <w:rFonts w:asciiTheme="majorHAnsi" w:hAnsiTheme="majorHAnsi" w:cstheme="majorHAnsi"/>
          <w:i/>
          <w:sz w:val="24"/>
          <w:szCs w:val="24"/>
          <w:lang w:val="ru-MD"/>
        </w:rPr>
        <w:t>п</w:t>
      </w:r>
      <w:r w:rsidR="006170D7" w:rsidRPr="00574282">
        <w:rPr>
          <w:rFonts w:asciiTheme="majorHAnsi" w:hAnsiTheme="majorHAnsi" w:cstheme="majorHAnsi"/>
          <w:i/>
          <w:sz w:val="24"/>
          <w:szCs w:val="24"/>
          <w:lang w:val="ru-MD"/>
        </w:rPr>
        <w:t>.</w:t>
      </w:r>
      <w:r w:rsidR="0021675C" w:rsidRPr="00574282">
        <w:rPr>
          <w:rFonts w:asciiTheme="majorHAnsi" w:hAnsiTheme="majorHAnsi" w:cstheme="majorHAnsi"/>
          <w:i/>
          <w:sz w:val="24"/>
          <w:szCs w:val="24"/>
          <w:lang w:val="ru-MD"/>
        </w:rPr>
        <w:t>4.</w:t>
      </w:r>
      <w:r w:rsidR="006170D7" w:rsidRPr="00574282">
        <w:rPr>
          <w:rFonts w:asciiTheme="majorHAnsi" w:hAnsiTheme="majorHAnsi" w:cstheme="majorHAnsi"/>
          <w:i/>
          <w:sz w:val="24"/>
          <w:szCs w:val="24"/>
          <w:lang w:val="ru-MD"/>
        </w:rPr>
        <w:t>1</w:t>
      </w:r>
      <w:r w:rsidR="002A70BA" w:rsidRPr="00574282">
        <w:rPr>
          <w:rFonts w:asciiTheme="majorHAnsi" w:hAnsiTheme="majorHAnsi" w:cstheme="majorHAnsi"/>
          <w:i/>
          <w:sz w:val="24"/>
          <w:szCs w:val="24"/>
          <w:lang w:val="ru-MD"/>
        </w:rPr>
        <w:t>.</w:t>
      </w:r>
      <w:r w:rsidR="0021675C" w:rsidRPr="00574282">
        <w:rPr>
          <w:rFonts w:asciiTheme="majorHAnsi" w:hAnsiTheme="majorHAnsi" w:cstheme="majorHAnsi"/>
          <w:i/>
          <w:sz w:val="24"/>
          <w:szCs w:val="24"/>
          <w:lang w:val="ru-MD"/>
        </w:rPr>
        <w:t>2</w:t>
      </w:r>
      <w:r w:rsidR="006170D7" w:rsidRPr="00574282">
        <w:rPr>
          <w:rFonts w:asciiTheme="majorHAnsi" w:hAnsiTheme="majorHAnsi" w:cstheme="majorHAnsi"/>
          <w:i/>
          <w:sz w:val="24"/>
          <w:szCs w:val="24"/>
          <w:lang w:val="ru-MD"/>
        </w:rPr>
        <w:t>)</w:t>
      </w:r>
      <w:r w:rsidR="00E01195" w:rsidRPr="00574282">
        <w:rPr>
          <w:rFonts w:asciiTheme="majorHAnsi" w:hAnsiTheme="majorHAnsi" w:cstheme="majorHAnsi"/>
          <w:i/>
          <w:sz w:val="24"/>
          <w:szCs w:val="24"/>
          <w:lang w:val="ru-MD"/>
        </w:rPr>
        <w:t>;</w:t>
      </w:r>
      <w:r w:rsidR="006170D7" w:rsidRPr="00574282">
        <w:rPr>
          <w:rFonts w:asciiTheme="majorHAnsi" w:hAnsiTheme="majorHAnsi" w:cstheme="majorHAnsi"/>
          <w:i/>
          <w:sz w:val="24"/>
          <w:szCs w:val="24"/>
          <w:lang w:val="ru-MD"/>
        </w:rPr>
        <w:t xml:space="preserve"> </w:t>
      </w:r>
      <w:r w:rsidR="004B4F1D" w:rsidRPr="00574282">
        <w:rPr>
          <w:rFonts w:asciiTheme="majorHAnsi" w:eastAsia="Times New Roman" w:hAnsiTheme="majorHAnsi" w:cstheme="majorHAnsi"/>
          <w:bCs/>
          <w:i/>
          <w:iCs/>
          <w:sz w:val="24"/>
          <w:szCs w:val="24"/>
          <w:lang w:val="ru-MD" w:eastAsia="ro-RO"/>
        </w:rPr>
        <w:t xml:space="preserve">  </w:t>
      </w:r>
    </w:p>
    <w:p w14:paraId="4AF6D751" w14:textId="2CEE79A8" w:rsidR="00091866" w:rsidRPr="00574282" w:rsidRDefault="00E01195" w:rsidP="00E01195">
      <w:pPr>
        <w:pStyle w:val="ListParagraph"/>
        <w:numPr>
          <w:ilvl w:val="0"/>
          <w:numId w:val="6"/>
        </w:numPr>
        <w:spacing w:after="120" w:line="276" w:lineRule="auto"/>
        <w:ind w:left="0" w:firstLine="426"/>
        <w:jc w:val="both"/>
        <w:rPr>
          <w:rFonts w:asciiTheme="majorHAnsi" w:hAnsiTheme="majorHAnsi" w:cstheme="majorHAnsi"/>
          <w:i/>
          <w:sz w:val="24"/>
          <w:szCs w:val="24"/>
          <w:lang w:val="ru-MD"/>
        </w:rPr>
      </w:pPr>
      <w:r w:rsidRPr="00574282">
        <w:rPr>
          <w:rFonts w:asciiTheme="majorHAnsi" w:hAnsiTheme="majorHAnsi" w:cstheme="majorHAnsi"/>
          <w:i/>
          <w:sz w:val="24"/>
          <w:szCs w:val="24"/>
          <w:lang w:val="ru-MD"/>
        </w:rPr>
        <w:t xml:space="preserve">несмотря на уточнение в 2020-2021 годах контрольного показателя доходов, с одной стороны, некоторые уточненные доходы были перевыполнены, а другие не были исполнены, в частности, акцизы на импортируемые табачные изделия не были исполнены на 150,7 млн. леев, на импортируемы вина – на 3,6 млн. леев, и на импортируемый сжиженный газ - на 3,4 млн. леев, </w:t>
      </w:r>
      <w:r w:rsidRPr="00574282">
        <w:rPr>
          <w:rFonts w:asciiTheme="majorHAnsi" w:hAnsiTheme="majorHAnsi" w:cstheme="majorHAnsi"/>
          <w:i/>
          <w:sz w:val="24"/>
          <w:szCs w:val="24"/>
          <w:lang w:val="ru-MD"/>
        </w:rPr>
        <w:lastRenderedPageBreak/>
        <w:t xml:space="preserve">а акцизы в 2020 году на нефтепродукты не были исполнены на 7,9 млн. леев и 1,6 млн. леев - по сбору за проведение таможенных процедур </w:t>
      </w:r>
      <w:r w:rsidR="006170D7" w:rsidRPr="00574282">
        <w:rPr>
          <w:rFonts w:asciiTheme="majorHAnsi" w:hAnsiTheme="majorHAnsi" w:cstheme="majorHAnsi"/>
          <w:i/>
          <w:sz w:val="24"/>
          <w:szCs w:val="24"/>
          <w:lang w:val="ru-MD"/>
        </w:rPr>
        <w:t>(</w:t>
      </w:r>
      <w:r w:rsidR="00C92679" w:rsidRPr="00574282">
        <w:rPr>
          <w:rFonts w:asciiTheme="majorHAnsi" w:hAnsiTheme="majorHAnsi" w:cstheme="majorHAnsi"/>
          <w:i/>
          <w:sz w:val="24"/>
          <w:szCs w:val="24"/>
          <w:lang w:val="ru-MD"/>
        </w:rPr>
        <w:t>п</w:t>
      </w:r>
      <w:r w:rsidR="006170D7" w:rsidRPr="00574282">
        <w:rPr>
          <w:rFonts w:asciiTheme="majorHAnsi" w:hAnsiTheme="majorHAnsi" w:cstheme="majorHAnsi"/>
          <w:i/>
          <w:sz w:val="24"/>
          <w:szCs w:val="24"/>
          <w:lang w:val="ru-MD"/>
        </w:rPr>
        <w:t>.</w:t>
      </w:r>
      <w:r w:rsidR="0021675C" w:rsidRPr="00574282">
        <w:rPr>
          <w:rFonts w:asciiTheme="majorHAnsi" w:hAnsiTheme="majorHAnsi" w:cstheme="majorHAnsi"/>
          <w:i/>
          <w:sz w:val="24"/>
          <w:szCs w:val="24"/>
          <w:lang w:val="ru-MD"/>
        </w:rPr>
        <w:t>4.</w:t>
      </w:r>
      <w:r w:rsidR="006170D7" w:rsidRPr="00574282">
        <w:rPr>
          <w:rFonts w:asciiTheme="majorHAnsi" w:hAnsiTheme="majorHAnsi" w:cstheme="majorHAnsi"/>
          <w:i/>
          <w:sz w:val="24"/>
          <w:szCs w:val="24"/>
          <w:lang w:val="ru-MD"/>
        </w:rPr>
        <w:t xml:space="preserve">1.2). </w:t>
      </w:r>
    </w:p>
    <w:p w14:paraId="18941716" w14:textId="1BC3F107" w:rsidR="00091866" w:rsidRPr="00091866" w:rsidRDefault="00571092" w:rsidP="00091866">
      <w:pPr>
        <w:pStyle w:val="ListParagraph"/>
        <w:numPr>
          <w:ilvl w:val="0"/>
          <w:numId w:val="6"/>
        </w:numPr>
        <w:spacing w:after="120" w:line="276" w:lineRule="auto"/>
        <w:ind w:left="0" w:firstLine="360"/>
        <w:jc w:val="both"/>
        <w:rPr>
          <w:rFonts w:asciiTheme="majorHAnsi" w:hAnsiTheme="majorHAnsi" w:cstheme="majorHAnsi"/>
          <w:i/>
          <w:sz w:val="24"/>
          <w:szCs w:val="24"/>
        </w:rPr>
      </w:pPr>
      <w:r w:rsidRPr="003327F7">
        <w:rPr>
          <w:rFonts w:asciiTheme="majorHAnsi" w:hAnsiTheme="majorHAnsi" w:cstheme="majorHAnsi"/>
          <w:bCs/>
          <w:i/>
          <w:sz w:val="24"/>
          <w:szCs w:val="24"/>
          <w:lang w:val="ru-MD"/>
        </w:rPr>
        <w:t>отсутствие методологических норм учета и отчетности о фактически рассчитанных доходах от импортно-экспортных платежей, в том числе Требований при составлении Пояснительной записки к отчету об исполнении части доходов, администрируем</w:t>
      </w:r>
      <w:r w:rsidR="009D28B4" w:rsidRPr="003327F7">
        <w:rPr>
          <w:rFonts w:asciiTheme="majorHAnsi" w:hAnsiTheme="majorHAnsi" w:cstheme="majorHAnsi"/>
          <w:bCs/>
          <w:i/>
          <w:sz w:val="24"/>
          <w:szCs w:val="24"/>
          <w:lang w:val="ru-MD"/>
        </w:rPr>
        <w:t>ых</w:t>
      </w:r>
      <w:r w:rsidRPr="003327F7">
        <w:rPr>
          <w:rFonts w:asciiTheme="majorHAnsi" w:hAnsiTheme="majorHAnsi" w:cstheme="majorHAnsi"/>
          <w:bCs/>
          <w:i/>
          <w:sz w:val="24"/>
          <w:szCs w:val="24"/>
          <w:lang w:val="ru-MD"/>
        </w:rPr>
        <w:t xml:space="preserve"> Таможенной службой, обусловливает определенные несоответствия в отчетности по фактически начисленным доходам, поскольку отчетность по государственному бюджету осуществляется по кассовому методу. Обмен информацией между Таможенной службой и Министерством финансов осуществлялся на основании Регламента, утвержденного в 2005 году, который методологически и по времени устарел, и который, соответственно, претерпел изменения в аспекте структуры некоторых документов, однако первоначально утвержденный приказ не был изменен в установленном порядке</w:t>
      </w:r>
      <w:r>
        <w:rPr>
          <w:rFonts w:asciiTheme="majorHAnsi" w:hAnsiTheme="majorHAnsi" w:cstheme="majorHAnsi"/>
          <w:bCs/>
          <w:sz w:val="24"/>
          <w:szCs w:val="24"/>
          <w:lang w:val="ru-MD"/>
        </w:rPr>
        <w:t xml:space="preserve"> </w:t>
      </w:r>
      <w:r w:rsidR="00091866" w:rsidRPr="00EF093A">
        <w:rPr>
          <w:rFonts w:asciiTheme="majorHAnsi" w:hAnsiTheme="majorHAnsi" w:cstheme="majorHAnsi"/>
          <w:i/>
          <w:sz w:val="24"/>
          <w:szCs w:val="24"/>
          <w:lang w:val="ro-MD"/>
        </w:rPr>
        <w:t>(</w:t>
      </w:r>
      <w:r w:rsidR="00C92679">
        <w:rPr>
          <w:rFonts w:asciiTheme="majorHAnsi" w:hAnsiTheme="majorHAnsi" w:cstheme="majorHAnsi"/>
          <w:i/>
          <w:sz w:val="24"/>
          <w:szCs w:val="24"/>
          <w:lang w:val="ro-MD"/>
        </w:rPr>
        <w:t>п</w:t>
      </w:r>
      <w:r w:rsidR="00091866" w:rsidRPr="00EF093A">
        <w:rPr>
          <w:rFonts w:asciiTheme="majorHAnsi" w:hAnsiTheme="majorHAnsi" w:cstheme="majorHAnsi"/>
          <w:i/>
          <w:sz w:val="24"/>
          <w:szCs w:val="24"/>
          <w:lang w:val="ro-MD"/>
        </w:rPr>
        <w:t>.4.1.3)</w:t>
      </w:r>
      <w:r w:rsidR="003327F7">
        <w:rPr>
          <w:rFonts w:asciiTheme="majorHAnsi" w:hAnsiTheme="majorHAnsi" w:cstheme="majorHAnsi"/>
          <w:i/>
          <w:sz w:val="24"/>
          <w:szCs w:val="24"/>
          <w:lang w:val="ru-RU"/>
        </w:rPr>
        <w:t>;</w:t>
      </w:r>
    </w:p>
    <w:p w14:paraId="20247319" w14:textId="486D473C" w:rsidR="00091866" w:rsidRPr="00B20FBD" w:rsidRDefault="0003245A" w:rsidP="00091866">
      <w:pPr>
        <w:pStyle w:val="ListParagraph"/>
        <w:numPr>
          <w:ilvl w:val="0"/>
          <w:numId w:val="6"/>
        </w:numPr>
        <w:spacing w:after="120" w:line="276" w:lineRule="auto"/>
        <w:ind w:left="0" w:firstLine="360"/>
        <w:jc w:val="both"/>
        <w:rPr>
          <w:rFonts w:asciiTheme="majorHAnsi" w:hAnsiTheme="majorHAnsi" w:cstheme="majorHAnsi"/>
          <w:i/>
          <w:sz w:val="24"/>
          <w:szCs w:val="24"/>
          <w:lang w:val="ro-MD"/>
        </w:rPr>
      </w:pPr>
      <w:r w:rsidRPr="0003245A">
        <w:rPr>
          <w:rFonts w:asciiTheme="majorHAnsi" w:hAnsiTheme="majorHAnsi" w:cstheme="majorHAnsi"/>
          <w:i/>
          <w:sz w:val="24"/>
          <w:szCs w:val="24"/>
          <w:lang w:val="ru-MD"/>
        </w:rPr>
        <w:t>за</w:t>
      </w:r>
      <w:r w:rsidR="00BF6897" w:rsidRPr="0003245A">
        <w:rPr>
          <w:rFonts w:asciiTheme="majorHAnsi" w:hAnsiTheme="majorHAnsi" w:cstheme="majorHAnsi"/>
          <w:i/>
          <w:sz w:val="24"/>
          <w:szCs w:val="24"/>
          <w:lang w:val="ru-MD"/>
        </w:rPr>
        <w:t xml:space="preserve">долженности налогоплательщиков перед государственным бюджетом </w:t>
      </w:r>
      <w:r w:rsidR="00491FB0" w:rsidRPr="0003245A">
        <w:rPr>
          <w:rFonts w:asciiTheme="majorHAnsi" w:hAnsiTheme="majorHAnsi" w:cstheme="majorHAnsi"/>
          <w:i/>
          <w:sz w:val="24"/>
          <w:szCs w:val="24"/>
          <w:lang w:val="ru-MD"/>
        </w:rPr>
        <w:t>по состоянию на</w:t>
      </w:r>
      <w:r w:rsidR="00BF6897" w:rsidRPr="0003245A">
        <w:rPr>
          <w:rFonts w:asciiTheme="majorHAnsi" w:hAnsiTheme="majorHAnsi" w:cstheme="majorHAnsi"/>
          <w:i/>
          <w:sz w:val="24"/>
          <w:szCs w:val="24"/>
          <w:lang w:val="ru-MD"/>
        </w:rPr>
        <w:t xml:space="preserve"> 31.12.2021 составлял</w:t>
      </w:r>
      <w:r w:rsidRPr="0003245A">
        <w:rPr>
          <w:rFonts w:asciiTheme="majorHAnsi" w:hAnsiTheme="majorHAnsi" w:cstheme="majorHAnsi"/>
          <w:i/>
          <w:sz w:val="24"/>
          <w:szCs w:val="24"/>
          <w:lang w:val="ru-MD"/>
        </w:rPr>
        <w:t>и</w:t>
      </w:r>
      <w:r w:rsidR="00BF6897" w:rsidRPr="0003245A">
        <w:rPr>
          <w:rFonts w:asciiTheme="majorHAnsi" w:hAnsiTheme="majorHAnsi" w:cstheme="majorHAnsi"/>
          <w:i/>
          <w:sz w:val="24"/>
          <w:szCs w:val="24"/>
          <w:lang w:val="ru-MD"/>
        </w:rPr>
        <w:t xml:space="preserve"> 344,0 млн. леев</w:t>
      </w:r>
      <w:r w:rsidR="00BC7744" w:rsidRPr="0003245A">
        <w:rPr>
          <w:rFonts w:asciiTheme="majorHAnsi" w:hAnsiTheme="majorHAnsi" w:cstheme="majorHAnsi"/>
          <w:i/>
          <w:sz w:val="24"/>
          <w:szCs w:val="24"/>
          <w:lang w:val="ru-MD"/>
        </w:rPr>
        <w:t>.</w:t>
      </w:r>
      <w:r w:rsidR="00BF6897" w:rsidRPr="0003245A">
        <w:rPr>
          <w:rFonts w:asciiTheme="majorHAnsi" w:hAnsiTheme="majorHAnsi" w:cstheme="majorHAnsi"/>
          <w:i/>
          <w:sz w:val="24"/>
          <w:szCs w:val="24"/>
          <w:lang w:val="ru-MD"/>
        </w:rPr>
        <w:t xml:space="preserve"> </w:t>
      </w:r>
      <w:r w:rsidR="00BC7744" w:rsidRPr="0003245A">
        <w:rPr>
          <w:rFonts w:asciiTheme="majorHAnsi" w:hAnsiTheme="majorHAnsi" w:cstheme="majorHAnsi"/>
          <w:i/>
          <w:sz w:val="24"/>
          <w:szCs w:val="24"/>
          <w:lang w:val="ru-MD"/>
        </w:rPr>
        <w:t>Т</w:t>
      </w:r>
      <w:r w:rsidR="00BF6897" w:rsidRPr="0003245A">
        <w:rPr>
          <w:rFonts w:asciiTheme="majorHAnsi" w:hAnsiTheme="majorHAnsi" w:cstheme="majorHAnsi"/>
          <w:i/>
          <w:sz w:val="24"/>
          <w:szCs w:val="24"/>
          <w:lang w:val="ru-MD"/>
        </w:rPr>
        <w:t xml:space="preserve">акже </w:t>
      </w:r>
      <w:r w:rsidRPr="0003245A">
        <w:rPr>
          <w:rFonts w:asciiTheme="majorHAnsi" w:hAnsiTheme="majorHAnsi" w:cstheme="majorHAnsi"/>
          <w:i/>
          <w:sz w:val="24"/>
          <w:szCs w:val="24"/>
          <w:lang w:val="ru-MD"/>
        </w:rPr>
        <w:t xml:space="preserve">отмечается </w:t>
      </w:r>
      <w:r w:rsidR="00BF6897" w:rsidRPr="0003245A">
        <w:rPr>
          <w:rFonts w:asciiTheme="majorHAnsi" w:hAnsiTheme="majorHAnsi" w:cstheme="majorHAnsi"/>
          <w:i/>
          <w:sz w:val="24"/>
          <w:szCs w:val="24"/>
          <w:lang w:val="ru-MD"/>
        </w:rPr>
        <w:t xml:space="preserve">сохранение долгов с истекшим сроком исковой давности, в размере 105,7 млн. леев, образованных в 1995-2014 годах, </w:t>
      </w:r>
      <w:r w:rsidRPr="0003245A">
        <w:rPr>
          <w:rFonts w:asciiTheme="majorHAnsi" w:hAnsiTheme="majorHAnsi" w:cstheme="majorHAnsi"/>
          <w:i/>
          <w:sz w:val="24"/>
          <w:szCs w:val="24"/>
          <w:lang w:val="ru-MD"/>
        </w:rPr>
        <w:t xml:space="preserve">что </w:t>
      </w:r>
      <w:r w:rsidR="00BF6897" w:rsidRPr="0003245A">
        <w:rPr>
          <w:rFonts w:asciiTheme="majorHAnsi" w:hAnsiTheme="majorHAnsi" w:cstheme="majorHAnsi"/>
          <w:i/>
          <w:sz w:val="24"/>
          <w:szCs w:val="24"/>
          <w:lang w:val="ru-MD"/>
        </w:rPr>
        <w:t>указыва</w:t>
      </w:r>
      <w:r w:rsidRPr="0003245A">
        <w:rPr>
          <w:rFonts w:asciiTheme="majorHAnsi" w:hAnsiTheme="majorHAnsi" w:cstheme="majorHAnsi"/>
          <w:i/>
          <w:sz w:val="24"/>
          <w:szCs w:val="24"/>
          <w:lang w:val="ru-MD"/>
        </w:rPr>
        <w:t>е</w:t>
      </w:r>
      <w:r w:rsidR="00BF6897" w:rsidRPr="0003245A">
        <w:rPr>
          <w:rFonts w:asciiTheme="majorHAnsi" w:hAnsiTheme="majorHAnsi" w:cstheme="majorHAnsi"/>
          <w:i/>
          <w:sz w:val="24"/>
          <w:szCs w:val="24"/>
          <w:lang w:val="ru-MD"/>
        </w:rPr>
        <w:t>т на наличие резервов по платежной дисциплине в аспекте накопления задолженностей</w:t>
      </w:r>
      <w:r w:rsidR="00BF6897" w:rsidRPr="00BF6897">
        <w:rPr>
          <w:rFonts w:asciiTheme="majorHAnsi" w:hAnsiTheme="majorHAnsi" w:cstheme="majorHAnsi"/>
          <w:sz w:val="24"/>
          <w:szCs w:val="24"/>
        </w:rPr>
        <w:t xml:space="preserve"> </w:t>
      </w:r>
      <w:r w:rsidR="00091866" w:rsidRPr="00B20FBD">
        <w:rPr>
          <w:rFonts w:asciiTheme="majorHAnsi" w:hAnsiTheme="majorHAnsi" w:cstheme="majorHAnsi"/>
          <w:i/>
          <w:sz w:val="24"/>
          <w:szCs w:val="24"/>
          <w:lang w:val="ro-MD"/>
        </w:rPr>
        <w:t>(</w:t>
      </w:r>
      <w:r w:rsidR="00C92679">
        <w:rPr>
          <w:rFonts w:asciiTheme="majorHAnsi" w:hAnsiTheme="majorHAnsi" w:cstheme="majorHAnsi"/>
          <w:i/>
          <w:sz w:val="24"/>
          <w:szCs w:val="24"/>
          <w:lang w:val="ro-MD"/>
        </w:rPr>
        <w:t>п</w:t>
      </w:r>
      <w:r w:rsidR="00091866" w:rsidRPr="00B20FBD">
        <w:rPr>
          <w:rFonts w:asciiTheme="majorHAnsi" w:hAnsiTheme="majorHAnsi" w:cstheme="majorHAnsi"/>
          <w:i/>
          <w:sz w:val="24"/>
          <w:szCs w:val="24"/>
          <w:lang w:val="ro-MD"/>
        </w:rPr>
        <w:t>.4.2.1)</w:t>
      </w:r>
      <w:r w:rsidR="00586742">
        <w:rPr>
          <w:rFonts w:asciiTheme="majorHAnsi" w:hAnsiTheme="majorHAnsi" w:cstheme="majorHAnsi"/>
          <w:i/>
          <w:sz w:val="24"/>
          <w:szCs w:val="24"/>
          <w:lang w:val="ru-RU"/>
        </w:rPr>
        <w:t>;</w:t>
      </w:r>
      <w:r w:rsidR="00091866" w:rsidRPr="00B20FBD">
        <w:rPr>
          <w:rFonts w:asciiTheme="majorHAnsi" w:hAnsiTheme="majorHAnsi" w:cstheme="majorHAnsi"/>
          <w:i/>
          <w:sz w:val="24"/>
          <w:szCs w:val="24"/>
          <w:lang w:val="ro-MD"/>
        </w:rPr>
        <w:t xml:space="preserve"> </w:t>
      </w:r>
    </w:p>
    <w:p w14:paraId="31605356" w14:textId="6183DFBC" w:rsidR="00091866" w:rsidRPr="00B20FBD" w:rsidRDefault="00BF6897" w:rsidP="003276D6">
      <w:pPr>
        <w:pStyle w:val="ListParagraph"/>
        <w:numPr>
          <w:ilvl w:val="0"/>
          <w:numId w:val="6"/>
        </w:numPr>
        <w:tabs>
          <w:tab w:val="left" w:pos="709"/>
        </w:tabs>
        <w:spacing w:after="120" w:line="276" w:lineRule="auto"/>
        <w:ind w:left="0" w:firstLine="360"/>
        <w:jc w:val="both"/>
        <w:rPr>
          <w:rFonts w:asciiTheme="majorHAnsi" w:hAnsiTheme="majorHAnsi" w:cstheme="majorHAnsi"/>
          <w:i/>
          <w:sz w:val="24"/>
          <w:szCs w:val="24"/>
          <w:lang w:val="ro-MD"/>
        </w:rPr>
      </w:pPr>
      <w:r w:rsidRPr="0003245A">
        <w:rPr>
          <w:rFonts w:asciiTheme="majorHAnsi" w:hAnsiTheme="majorHAnsi" w:cstheme="majorHAnsi"/>
          <w:i/>
          <w:color w:val="000000"/>
          <w:sz w:val="24"/>
          <w:szCs w:val="24"/>
          <w:lang w:val="ru-MD"/>
        </w:rPr>
        <w:t>необеспечение полного и своевременного поступления таможенных обязательств в государственный бюджет привело в 2020-2021 годах к погашению</w:t>
      </w:r>
      <w:r w:rsidR="0003245A" w:rsidRPr="0003245A">
        <w:rPr>
          <w:rFonts w:asciiTheme="majorHAnsi" w:hAnsiTheme="majorHAnsi" w:cstheme="majorHAnsi"/>
          <w:i/>
          <w:color w:val="000000"/>
          <w:sz w:val="24"/>
          <w:szCs w:val="24"/>
          <w:lang w:val="ru-MD"/>
        </w:rPr>
        <w:t xml:space="preserve"> таможенных обязательств</w:t>
      </w:r>
      <w:r w:rsidRPr="0003245A">
        <w:rPr>
          <w:rFonts w:asciiTheme="majorHAnsi" w:hAnsiTheme="majorHAnsi" w:cstheme="majorHAnsi"/>
          <w:i/>
          <w:color w:val="000000"/>
          <w:sz w:val="24"/>
          <w:szCs w:val="24"/>
          <w:lang w:val="ru-MD"/>
        </w:rPr>
        <w:t xml:space="preserve"> путем аннулирования и в связи с истечением срока давности на общую сумму 172,5 млн. леев, в том числе 103,7 млн. леев, или 22,6% от общей задолженности (457,1 млн. леев), отраженной Т</w:t>
      </w:r>
      <w:r w:rsidR="0003245A" w:rsidRPr="0003245A">
        <w:rPr>
          <w:rFonts w:asciiTheme="majorHAnsi" w:hAnsiTheme="majorHAnsi" w:cstheme="majorHAnsi"/>
          <w:i/>
          <w:color w:val="000000"/>
          <w:sz w:val="24"/>
          <w:szCs w:val="24"/>
          <w:lang w:val="ru-MD"/>
        </w:rPr>
        <w:t>С</w:t>
      </w:r>
      <w:r w:rsidRPr="0003245A">
        <w:rPr>
          <w:rFonts w:asciiTheme="majorHAnsi" w:hAnsiTheme="majorHAnsi" w:cstheme="majorHAnsi"/>
          <w:i/>
          <w:color w:val="000000"/>
          <w:sz w:val="24"/>
          <w:szCs w:val="24"/>
          <w:lang w:val="ru-MD"/>
        </w:rPr>
        <w:t xml:space="preserve"> в отчетности по состоянию на 01.01.2020, и 68,8 млн. леев, или 17,2% от общей задолженности (399,2 млн. леев) отраженной по состоянию на 01.01.2021</w:t>
      </w:r>
      <w:r w:rsidRPr="00BF6897">
        <w:rPr>
          <w:rFonts w:asciiTheme="majorHAnsi" w:hAnsiTheme="majorHAnsi" w:cstheme="majorHAnsi"/>
          <w:color w:val="000000"/>
          <w:sz w:val="24"/>
          <w:szCs w:val="24"/>
          <w:lang w:val="ro-MD"/>
        </w:rPr>
        <w:t xml:space="preserve"> </w:t>
      </w:r>
      <w:r w:rsidR="00091866" w:rsidRPr="00B20FBD">
        <w:rPr>
          <w:rFonts w:asciiTheme="majorHAnsi" w:hAnsiTheme="majorHAnsi" w:cstheme="majorHAnsi"/>
          <w:i/>
          <w:sz w:val="24"/>
          <w:szCs w:val="24"/>
          <w:lang w:val="ro-MD"/>
        </w:rPr>
        <w:t>(</w:t>
      </w:r>
      <w:r w:rsidR="00C92679">
        <w:rPr>
          <w:rFonts w:asciiTheme="majorHAnsi" w:hAnsiTheme="majorHAnsi" w:cstheme="majorHAnsi"/>
          <w:i/>
          <w:sz w:val="24"/>
          <w:szCs w:val="24"/>
          <w:lang w:val="ro-MD"/>
        </w:rPr>
        <w:t>п</w:t>
      </w:r>
      <w:r w:rsidR="00091866" w:rsidRPr="00B20FBD">
        <w:rPr>
          <w:rFonts w:asciiTheme="majorHAnsi" w:hAnsiTheme="majorHAnsi" w:cstheme="majorHAnsi"/>
          <w:i/>
          <w:sz w:val="24"/>
          <w:szCs w:val="24"/>
          <w:lang w:val="ro-MD"/>
        </w:rPr>
        <w:t>.4.2.1)</w:t>
      </w:r>
      <w:r w:rsidR="00586742">
        <w:rPr>
          <w:rFonts w:asciiTheme="majorHAnsi" w:hAnsiTheme="majorHAnsi" w:cstheme="majorHAnsi"/>
          <w:i/>
          <w:sz w:val="24"/>
          <w:szCs w:val="24"/>
          <w:lang w:val="ru-RU"/>
        </w:rPr>
        <w:t>;</w:t>
      </w:r>
      <w:r w:rsidR="00091866" w:rsidRPr="00B20FBD">
        <w:rPr>
          <w:rFonts w:asciiTheme="majorHAnsi" w:hAnsiTheme="majorHAnsi" w:cstheme="majorHAnsi"/>
          <w:i/>
          <w:sz w:val="24"/>
          <w:szCs w:val="24"/>
          <w:lang w:val="ro-MD"/>
        </w:rPr>
        <w:t xml:space="preserve"> </w:t>
      </w:r>
    </w:p>
    <w:p w14:paraId="5769C822" w14:textId="025A3D2B" w:rsidR="00091866" w:rsidRPr="00B20FBD" w:rsidRDefault="0003245A" w:rsidP="00091866">
      <w:pPr>
        <w:pStyle w:val="ListParagraph"/>
        <w:numPr>
          <w:ilvl w:val="0"/>
          <w:numId w:val="6"/>
        </w:numPr>
        <w:spacing w:after="120" w:line="276" w:lineRule="auto"/>
        <w:ind w:left="0" w:firstLine="360"/>
        <w:jc w:val="both"/>
        <w:rPr>
          <w:rFonts w:asciiTheme="majorHAnsi" w:hAnsiTheme="majorHAnsi" w:cstheme="majorHAnsi"/>
          <w:i/>
          <w:sz w:val="24"/>
          <w:szCs w:val="24"/>
          <w:lang w:val="ro-MD"/>
        </w:rPr>
      </w:pPr>
      <w:r w:rsidRPr="003276D6">
        <w:rPr>
          <w:rFonts w:asciiTheme="majorHAnsi" w:hAnsiTheme="majorHAnsi" w:cstheme="majorHAnsi"/>
          <w:i/>
          <w:sz w:val="24"/>
          <w:szCs w:val="24"/>
          <w:lang w:val="ru-MD"/>
        </w:rPr>
        <w:t xml:space="preserve">были установлены </w:t>
      </w:r>
      <w:r w:rsidR="00BF6897" w:rsidRPr="003276D6">
        <w:rPr>
          <w:rFonts w:asciiTheme="majorHAnsi" w:hAnsiTheme="majorHAnsi" w:cstheme="majorHAnsi"/>
          <w:i/>
          <w:sz w:val="24"/>
          <w:szCs w:val="24"/>
          <w:lang w:val="ru-MD"/>
        </w:rPr>
        <w:t xml:space="preserve">расхождения по поступившим доходам на начало и на конец отчетного периода за 2021 год, в сумме 3,7 млн. леев и, соответственно, 5,9 млн. леев, между данными из </w:t>
      </w:r>
      <w:r w:rsidR="00BF6897" w:rsidRPr="003276D6">
        <w:rPr>
          <w:rFonts w:asciiTheme="majorHAnsi" w:eastAsia="Times New Roman" w:hAnsiTheme="majorHAnsi" w:cstheme="majorHAnsi"/>
          <w:i/>
          <w:sz w:val="24"/>
          <w:szCs w:val="24"/>
          <w:lang w:val="ru-MD"/>
        </w:rPr>
        <w:t>„</w:t>
      </w:r>
      <w:r w:rsidR="00BF6897" w:rsidRPr="003276D6">
        <w:rPr>
          <w:rFonts w:asciiTheme="majorHAnsi" w:hAnsiTheme="majorHAnsi" w:cstheme="majorHAnsi"/>
          <w:i/>
          <w:sz w:val="24"/>
          <w:szCs w:val="24"/>
          <w:lang w:val="ru-MD"/>
        </w:rPr>
        <w:t>Информации о расшифровке уплаченных авансом сумм импортных/экспортных платежей”, представленной Министерству финансов, и данными из ИС „Economist” Таможенной службы</w:t>
      </w:r>
      <w:r w:rsidR="00BF6897" w:rsidRPr="00BF6897">
        <w:rPr>
          <w:rFonts w:asciiTheme="majorHAnsi" w:hAnsiTheme="majorHAnsi" w:cstheme="majorHAnsi"/>
          <w:sz w:val="24"/>
          <w:szCs w:val="24"/>
          <w:lang w:val="ro-MD"/>
        </w:rPr>
        <w:t xml:space="preserve"> </w:t>
      </w:r>
      <w:r w:rsidR="00091866" w:rsidRPr="00B20FBD">
        <w:rPr>
          <w:rFonts w:asciiTheme="majorHAnsi" w:hAnsiTheme="majorHAnsi" w:cstheme="majorHAnsi"/>
          <w:i/>
          <w:sz w:val="24"/>
          <w:szCs w:val="24"/>
          <w:lang w:val="ro-MD"/>
        </w:rPr>
        <w:t>(</w:t>
      </w:r>
      <w:r w:rsidR="00C92679">
        <w:rPr>
          <w:rFonts w:asciiTheme="majorHAnsi" w:hAnsiTheme="majorHAnsi" w:cstheme="majorHAnsi"/>
          <w:i/>
          <w:sz w:val="24"/>
          <w:szCs w:val="24"/>
          <w:lang w:val="ro-MD"/>
        </w:rPr>
        <w:t>п</w:t>
      </w:r>
      <w:r w:rsidR="00091866" w:rsidRPr="00B20FBD">
        <w:rPr>
          <w:rFonts w:asciiTheme="majorHAnsi" w:hAnsiTheme="majorHAnsi" w:cstheme="majorHAnsi"/>
          <w:i/>
          <w:sz w:val="24"/>
          <w:szCs w:val="24"/>
          <w:lang w:val="ro-MD"/>
        </w:rPr>
        <w:t>.4.2.1)</w:t>
      </w:r>
      <w:r w:rsidR="00586742">
        <w:rPr>
          <w:rFonts w:asciiTheme="majorHAnsi" w:hAnsiTheme="majorHAnsi" w:cstheme="majorHAnsi"/>
          <w:i/>
          <w:sz w:val="24"/>
          <w:szCs w:val="24"/>
          <w:lang w:val="ru-RU"/>
        </w:rPr>
        <w:t>;</w:t>
      </w:r>
    </w:p>
    <w:p w14:paraId="102F9B8B" w14:textId="24D68ED0" w:rsidR="00091866" w:rsidRPr="00B20FBD" w:rsidRDefault="003276D6" w:rsidP="003276D6">
      <w:pPr>
        <w:pStyle w:val="ListParagraph"/>
        <w:numPr>
          <w:ilvl w:val="0"/>
          <w:numId w:val="6"/>
        </w:numPr>
        <w:spacing w:after="120" w:line="276" w:lineRule="auto"/>
        <w:ind w:left="0" w:firstLine="426"/>
        <w:jc w:val="both"/>
        <w:rPr>
          <w:rFonts w:asciiTheme="majorHAnsi" w:hAnsiTheme="majorHAnsi" w:cstheme="majorHAnsi"/>
          <w:i/>
          <w:sz w:val="24"/>
          <w:szCs w:val="24"/>
          <w:lang w:val="ro-MD"/>
        </w:rPr>
      </w:pPr>
      <w:r w:rsidRPr="003276D6">
        <w:rPr>
          <w:rFonts w:asciiTheme="majorHAnsi" w:hAnsiTheme="majorHAnsi" w:cstheme="majorHAnsi"/>
          <w:i/>
          <w:sz w:val="24"/>
          <w:szCs w:val="24"/>
          <w:lang w:val="ru-MD"/>
        </w:rPr>
        <w:t>на соответствие процесса учета и отчетности по задолженностям влияет неначисление увеличения за просрочку основных платежей за невыполнение таможенных обязательств. Полная нефункциональность на протяжении 6 лет модуля „Economist” обусловила неначисление штрафов таможенным плательщикам по основным платежам, а также ошибочную отчетность по некоторым задолженностям на 47,7 млн. леев</w:t>
      </w:r>
      <w:r w:rsidRPr="003276D6">
        <w:rPr>
          <w:rFonts w:asciiTheme="majorHAnsi" w:hAnsiTheme="majorHAnsi" w:cstheme="majorHAnsi"/>
          <w:i/>
          <w:sz w:val="24"/>
          <w:szCs w:val="24"/>
          <w:lang w:val="ro-MD"/>
        </w:rPr>
        <w:t xml:space="preserve"> </w:t>
      </w:r>
      <w:r w:rsidR="00091866" w:rsidRPr="00B20FBD">
        <w:rPr>
          <w:rFonts w:asciiTheme="majorHAnsi" w:hAnsiTheme="majorHAnsi" w:cstheme="majorHAnsi"/>
          <w:i/>
          <w:sz w:val="24"/>
          <w:szCs w:val="24"/>
          <w:lang w:val="ro-MD"/>
        </w:rPr>
        <w:t>(</w:t>
      </w:r>
      <w:r w:rsidR="00C92679">
        <w:rPr>
          <w:rFonts w:asciiTheme="majorHAnsi" w:hAnsiTheme="majorHAnsi" w:cstheme="majorHAnsi"/>
          <w:i/>
          <w:sz w:val="24"/>
          <w:szCs w:val="24"/>
          <w:lang w:val="ro-MD"/>
        </w:rPr>
        <w:t>п</w:t>
      </w:r>
      <w:r w:rsidR="00586742">
        <w:rPr>
          <w:rFonts w:asciiTheme="majorHAnsi" w:hAnsiTheme="majorHAnsi" w:cstheme="majorHAnsi"/>
          <w:i/>
          <w:sz w:val="24"/>
          <w:szCs w:val="24"/>
          <w:lang w:val="ro-MD"/>
        </w:rPr>
        <w:t>.4.2.2)</w:t>
      </w:r>
      <w:r w:rsidR="00586742">
        <w:rPr>
          <w:rFonts w:asciiTheme="majorHAnsi" w:hAnsiTheme="majorHAnsi" w:cstheme="majorHAnsi"/>
          <w:i/>
          <w:sz w:val="24"/>
          <w:szCs w:val="24"/>
          <w:lang w:val="ru-RU"/>
        </w:rPr>
        <w:t>;</w:t>
      </w:r>
    </w:p>
    <w:p w14:paraId="26F9DFF0" w14:textId="27D309F2" w:rsidR="00BF5B93" w:rsidRPr="00B20FBD" w:rsidRDefault="003276D6" w:rsidP="003276D6">
      <w:pPr>
        <w:pStyle w:val="ListParagraph"/>
        <w:numPr>
          <w:ilvl w:val="0"/>
          <w:numId w:val="6"/>
        </w:numPr>
        <w:tabs>
          <w:tab w:val="left" w:pos="709"/>
          <w:tab w:val="left" w:pos="851"/>
        </w:tabs>
        <w:spacing w:line="276" w:lineRule="auto"/>
        <w:ind w:left="0" w:firstLine="426"/>
        <w:jc w:val="both"/>
        <w:rPr>
          <w:rFonts w:asciiTheme="majorHAnsi" w:eastAsia="Times New Roman" w:hAnsiTheme="majorHAnsi" w:cstheme="majorHAnsi"/>
          <w:i/>
          <w:sz w:val="24"/>
          <w:szCs w:val="24"/>
        </w:rPr>
      </w:pPr>
      <w:r w:rsidRPr="00586742">
        <w:rPr>
          <w:rFonts w:asciiTheme="majorHAnsi" w:eastAsia="Times New Roman" w:hAnsiTheme="majorHAnsi" w:cstheme="majorHAnsi"/>
          <w:i/>
          <w:sz w:val="24"/>
          <w:szCs w:val="24"/>
          <w:lang w:val="ru-MD"/>
        </w:rPr>
        <w:t xml:space="preserve">стоимость внешнеэкономических операций в 2021 году составила 10 321,0 млн. долларов США, увеличившись на 2 437,9 млн. долларов США (23,6%) по сравнению с 2020 годом, и </w:t>
      </w:r>
      <w:r w:rsidR="00586742" w:rsidRPr="00586742">
        <w:rPr>
          <w:rFonts w:asciiTheme="majorHAnsi" w:eastAsia="Times New Roman" w:hAnsiTheme="majorHAnsi" w:cstheme="majorHAnsi"/>
          <w:i/>
          <w:sz w:val="24"/>
          <w:szCs w:val="24"/>
          <w:lang w:val="ru-MD"/>
        </w:rPr>
        <w:t xml:space="preserve">на </w:t>
      </w:r>
      <w:r w:rsidRPr="00586742">
        <w:rPr>
          <w:rFonts w:asciiTheme="majorHAnsi" w:eastAsia="Times New Roman" w:hAnsiTheme="majorHAnsi" w:cstheme="majorHAnsi"/>
          <w:i/>
          <w:sz w:val="24"/>
          <w:szCs w:val="24"/>
          <w:lang w:val="ru-MD"/>
        </w:rPr>
        <w:t xml:space="preserve">4 347,0 млн. долларов США (42,1%) по сравнению с </w:t>
      </w:r>
      <w:r w:rsidR="00586742" w:rsidRPr="00586742">
        <w:rPr>
          <w:rFonts w:asciiTheme="majorHAnsi" w:eastAsia="Times New Roman" w:hAnsiTheme="majorHAnsi" w:cstheme="majorHAnsi"/>
          <w:i/>
          <w:sz w:val="24"/>
          <w:szCs w:val="24"/>
          <w:lang w:val="ru-MD"/>
        </w:rPr>
        <w:t>показателя</w:t>
      </w:r>
      <w:r w:rsidRPr="00586742">
        <w:rPr>
          <w:rFonts w:asciiTheme="majorHAnsi" w:eastAsia="Times New Roman" w:hAnsiTheme="majorHAnsi" w:cstheme="majorHAnsi"/>
          <w:i/>
          <w:sz w:val="24"/>
          <w:szCs w:val="24"/>
          <w:lang w:val="ru-MD"/>
        </w:rPr>
        <w:t xml:space="preserve">ми 2019 года. </w:t>
      </w:r>
      <w:r w:rsidR="00586742" w:rsidRPr="00586742">
        <w:rPr>
          <w:rFonts w:asciiTheme="majorHAnsi" w:eastAsia="Times New Roman" w:hAnsiTheme="majorHAnsi" w:cstheme="majorHAnsi"/>
          <w:i/>
          <w:sz w:val="24"/>
          <w:szCs w:val="24"/>
          <w:lang w:val="ru-MD"/>
        </w:rPr>
        <w:t>У</w:t>
      </w:r>
      <w:r w:rsidRPr="00586742">
        <w:rPr>
          <w:rFonts w:asciiTheme="majorHAnsi" w:eastAsia="Times New Roman" w:hAnsiTheme="majorHAnsi" w:cstheme="majorHAnsi"/>
          <w:i/>
          <w:sz w:val="24"/>
          <w:szCs w:val="24"/>
          <w:lang w:val="ru-MD"/>
        </w:rPr>
        <w:t xml:space="preserve">становленный </w:t>
      </w:r>
      <w:r w:rsidR="00586742" w:rsidRPr="00586742">
        <w:rPr>
          <w:rFonts w:asciiTheme="majorHAnsi" w:eastAsia="Times New Roman" w:hAnsiTheme="majorHAnsi" w:cstheme="majorHAnsi"/>
          <w:i/>
          <w:sz w:val="24"/>
          <w:szCs w:val="24"/>
          <w:lang w:val="ru-MD"/>
        </w:rPr>
        <w:t xml:space="preserve">разрыв </w:t>
      </w:r>
      <w:r w:rsidRPr="00586742">
        <w:rPr>
          <w:rFonts w:asciiTheme="majorHAnsi" w:eastAsia="Times New Roman" w:hAnsiTheme="majorHAnsi" w:cstheme="majorHAnsi"/>
          <w:i/>
          <w:sz w:val="24"/>
          <w:szCs w:val="24"/>
          <w:lang w:val="ru-MD"/>
        </w:rPr>
        <w:t>в развитии экспорта и импорта</w:t>
      </w:r>
      <w:r w:rsidR="00586742" w:rsidRPr="00586742">
        <w:rPr>
          <w:rFonts w:asciiTheme="majorHAnsi" w:eastAsia="Times New Roman" w:hAnsiTheme="majorHAnsi" w:cstheme="majorHAnsi"/>
          <w:i/>
          <w:sz w:val="24"/>
          <w:szCs w:val="24"/>
          <w:lang w:val="ru-MD"/>
        </w:rPr>
        <w:t xml:space="preserve"> </w:t>
      </w:r>
      <w:r w:rsidRPr="00586742">
        <w:rPr>
          <w:rFonts w:asciiTheme="majorHAnsi" w:eastAsia="Times New Roman" w:hAnsiTheme="majorHAnsi" w:cstheme="majorHAnsi"/>
          <w:i/>
          <w:sz w:val="24"/>
          <w:szCs w:val="24"/>
          <w:lang w:val="ru-MD"/>
        </w:rPr>
        <w:t>привел к формированию в 2021 году дефицита торгового баланса в размере 4 042, 2 млн. долларов США, увеличившись на 37,0% (1 093,3 млн. долларов США) по сравнению с 20</w:t>
      </w:r>
      <w:r w:rsidR="00586742" w:rsidRPr="00586742">
        <w:rPr>
          <w:rFonts w:asciiTheme="majorHAnsi" w:eastAsia="Times New Roman" w:hAnsiTheme="majorHAnsi" w:cstheme="majorHAnsi"/>
          <w:i/>
          <w:sz w:val="24"/>
          <w:szCs w:val="24"/>
          <w:lang w:val="ru-MD"/>
        </w:rPr>
        <w:t>20</w:t>
      </w:r>
      <w:r w:rsidRPr="00586742">
        <w:rPr>
          <w:rFonts w:asciiTheme="majorHAnsi" w:eastAsia="Times New Roman" w:hAnsiTheme="majorHAnsi" w:cstheme="majorHAnsi"/>
          <w:i/>
          <w:sz w:val="24"/>
          <w:szCs w:val="24"/>
          <w:lang w:val="ru-MD"/>
        </w:rPr>
        <w:t xml:space="preserve"> годом </w:t>
      </w:r>
      <w:r w:rsidR="00BF5B93" w:rsidRPr="00586742">
        <w:rPr>
          <w:rFonts w:asciiTheme="majorHAnsi" w:eastAsia="Times New Roman" w:hAnsiTheme="majorHAnsi" w:cstheme="majorHAnsi"/>
          <w:i/>
          <w:sz w:val="24"/>
          <w:szCs w:val="24"/>
          <w:lang w:val="ru-MD"/>
        </w:rPr>
        <w:t>(</w:t>
      </w:r>
      <w:r w:rsidR="00C92679" w:rsidRPr="00586742">
        <w:rPr>
          <w:rFonts w:asciiTheme="majorHAnsi" w:hAnsiTheme="majorHAnsi" w:cstheme="majorHAnsi"/>
          <w:i/>
          <w:sz w:val="24"/>
          <w:szCs w:val="24"/>
          <w:lang w:val="ru-MD"/>
        </w:rPr>
        <w:t>п</w:t>
      </w:r>
      <w:r w:rsidR="00586742" w:rsidRPr="00586742">
        <w:rPr>
          <w:rFonts w:asciiTheme="majorHAnsi" w:hAnsiTheme="majorHAnsi" w:cstheme="majorHAnsi"/>
          <w:i/>
          <w:sz w:val="24"/>
          <w:szCs w:val="24"/>
          <w:lang w:val="ru-MD"/>
        </w:rPr>
        <w:t>.4.1.4</w:t>
      </w:r>
      <w:r w:rsidR="00586742">
        <w:rPr>
          <w:rFonts w:asciiTheme="majorHAnsi" w:hAnsiTheme="majorHAnsi" w:cstheme="majorHAnsi"/>
          <w:i/>
          <w:sz w:val="24"/>
          <w:szCs w:val="24"/>
          <w:lang w:val="ro-MD"/>
        </w:rPr>
        <w:t>)</w:t>
      </w:r>
      <w:r w:rsidR="00586742">
        <w:rPr>
          <w:rFonts w:asciiTheme="majorHAnsi" w:hAnsiTheme="majorHAnsi" w:cstheme="majorHAnsi"/>
          <w:i/>
          <w:sz w:val="24"/>
          <w:szCs w:val="24"/>
          <w:lang w:val="ru-RU"/>
        </w:rPr>
        <w:t>;</w:t>
      </w:r>
    </w:p>
    <w:p w14:paraId="5B10BFA5" w14:textId="03E05CA6" w:rsidR="00BF5B93" w:rsidRPr="004879A2" w:rsidRDefault="00586742" w:rsidP="00586742">
      <w:pPr>
        <w:pStyle w:val="ListParagraph"/>
        <w:numPr>
          <w:ilvl w:val="0"/>
          <w:numId w:val="6"/>
        </w:numPr>
        <w:tabs>
          <w:tab w:val="left" w:pos="851"/>
        </w:tabs>
        <w:spacing w:line="276" w:lineRule="auto"/>
        <w:ind w:left="0" w:firstLine="426"/>
        <w:jc w:val="both"/>
        <w:rPr>
          <w:rFonts w:asciiTheme="majorHAnsi" w:eastAsia="Times New Roman" w:hAnsiTheme="majorHAnsi" w:cstheme="majorHAnsi"/>
          <w:i/>
          <w:sz w:val="24"/>
          <w:szCs w:val="24"/>
        </w:rPr>
      </w:pPr>
      <w:r w:rsidRPr="00586742">
        <w:rPr>
          <w:rFonts w:asciiTheme="majorHAnsi" w:eastAsia="Times New Roman" w:hAnsiTheme="majorHAnsi" w:cstheme="majorHAnsi"/>
          <w:i/>
          <w:sz w:val="24"/>
          <w:szCs w:val="24"/>
          <w:lang w:val="ru-MD"/>
        </w:rPr>
        <w:lastRenderedPageBreak/>
        <w:t>в структуре внешней торговли импорт преобладает над экспортом в 2,3 раза, которые в 2021 году составили 7 176,6 млн. долларов США (69,5%), что на 1760,6 млн. долларов США (32,5%) больше по сравнению с 2020 годом, и на 1334,1 млн. долларов США (22,8%) больше по сравнению с 2019 годом. В общем объеме импорта по странам, доля в 43,8% (3 149,1 млн. долларов США) приходится на страны Европейского Союза, за ними следуют другие страны - 29,5% (2122,2 млн. долларов США) и страны Содружества Независимых Государств – 26,7% (1 905,3 млн. долларов США)</w:t>
      </w:r>
      <w:r w:rsidRPr="00586742">
        <w:rPr>
          <w:rFonts w:asciiTheme="majorHAnsi" w:eastAsia="Times New Roman" w:hAnsiTheme="majorHAnsi" w:cstheme="majorHAnsi"/>
          <w:i/>
          <w:sz w:val="24"/>
          <w:szCs w:val="24"/>
        </w:rPr>
        <w:t xml:space="preserve"> </w:t>
      </w:r>
      <w:r w:rsidR="00BF5B93" w:rsidRPr="004879A2">
        <w:rPr>
          <w:rFonts w:asciiTheme="majorHAnsi" w:eastAsia="Times New Roman" w:hAnsiTheme="majorHAnsi" w:cstheme="majorHAnsi"/>
          <w:i/>
          <w:sz w:val="24"/>
          <w:szCs w:val="24"/>
        </w:rPr>
        <w:t>(</w:t>
      </w:r>
      <w:r w:rsidR="00C92679">
        <w:rPr>
          <w:rFonts w:asciiTheme="majorHAnsi" w:hAnsiTheme="majorHAnsi" w:cstheme="majorHAnsi"/>
          <w:i/>
          <w:sz w:val="24"/>
          <w:szCs w:val="24"/>
          <w:lang w:val="ro-MD"/>
        </w:rPr>
        <w:t>п</w:t>
      </w:r>
      <w:r w:rsidR="00BF5B93" w:rsidRPr="004879A2">
        <w:rPr>
          <w:rFonts w:asciiTheme="majorHAnsi" w:hAnsiTheme="majorHAnsi" w:cstheme="majorHAnsi"/>
          <w:i/>
          <w:sz w:val="24"/>
          <w:szCs w:val="24"/>
          <w:lang w:val="ro-MD"/>
        </w:rPr>
        <w:t>.4.1.4)</w:t>
      </w:r>
      <w:r w:rsidR="008C2F76">
        <w:rPr>
          <w:rFonts w:asciiTheme="majorHAnsi" w:hAnsiTheme="majorHAnsi" w:cstheme="majorHAnsi"/>
          <w:i/>
          <w:sz w:val="24"/>
          <w:szCs w:val="24"/>
          <w:lang w:val="ru-RU"/>
        </w:rPr>
        <w:t>;</w:t>
      </w:r>
    </w:p>
    <w:p w14:paraId="2C950565" w14:textId="31A2A3C3" w:rsidR="00BF5B93" w:rsidRPr="00B20FBD" w:rsidRDefault="008C2F76" w:rsidP="00586742">
      <w:pPr>
        <w:pStyle w:val="tt"/>
        <w:numPr>
          <w:ilvl w:val="0"/>
          <w:numId w:val="6"/>
        </w:numPr>
        <w:spacing w:line="276" w:lineRule="auto"/>
        <w:ind w:left="0" w:firstLine="284"/>
        <w:jc w:val="both"/>
        <w:rPr>
          <w:rFonts w:asciiTheme="majorHAnsi" w:eastAsiaTheme="minorHAnsi" w:hAnsiTheme="majorHAnsi" w:cstheme="majorHAnsi"/>
          <w:b w:val="0"/>
          <w:i/>
        </w:rPr>
      </w:pPr>
      <w:r w:rsidRPr="002F6987">
        <w:rPr>
          <w:rFonts w:asciiTheme="majorHAnsi" w:hAnsiTheme="majorHAnsi" w:cstheme="majorHAnsi"/>
          <w:b w:val="0"/>
          <w:bCs w:val="0"/>
          <w:i/>
          <w:iCs/>
          <w:lang w:val="ru-MD"/>
        </w:rPr>
        <w:t>а</w:t>
      </w:r>
      <w:r w:rsidR="00586742" w:rsidRPr="002F6987">
        <w:rPr>
          <w:rFonts w:asciiTheme="majorHAnsi" w:hAnsiTheme="majorHAnsi" w:cstheme="majorHAnsi"/>
          <w:b w:val="0"/>
          <w:bCs w:val="0"/>
          <w:i/>
          <w:iCs/>
          <w:lang w:val="ru-MD"/>
        </w:rPr>
        <w:t xml:space="preserve">нализ данных официальной статистики Республики Молдова по импорту и экспорту </w:t>
      </w:r>
      <w:r w:rsidRPr="002F6987">
        <w:rPr>
          <w:rFonts w:asciiTheme="majorHAnsi" w:hAnsiTheme="majorHAnsi" w:cstheme="majorHAnsi"/>
          <w:b w:val="0"/>
          <w:bCs w:val="0"/>
          <w:i/>
          <w:iCs/>
          <w:lang w:val="ru-MD"/>
        </w:rPr>
        <w:t>за</w:t>
      </w:r>
      <w:r w:rsidR="00586742" w:rsidRPr="002F6987">
        <w:rPr>
          <w:rFonts w:asciiTheme="majorHAnsi" w:hAnsiTheme="majorHAnsi" w:cstheme="majorHAnsi"/>
          <w:b w:val="0"/>
          <w:bCs w:val="0"/>
          <w:i/>
          <w:iCs/>
          <w:lang w:val="ru-MD"/>
        </w:rPr>
        <w:t xml:space="preserve"> 2019-2021 г</w:t>
      </w:r>
      <w:r w:rsidRPr="002F6987">
        <w:rPr>
          <w:rFonts w:asciiTheme="majorHAnsi" w:hAnsiTheme="majorHAnsi" w:cstheme="majorHAnsi"/>
          <w:b w:val="0"/>
          <w:bCs w:val="0"/>
          <w:i/>
          <w:iCs/>
          <w:lang w:val="ru-MD"/>
        </w:rPr>
        <w:t>оды,</w:t>
      </w:r>
      <w:r w:rsidR="00586742" w:rsidRPr="002F6987">
        <w:rPr>
          <w:rFonts w:asciiTheme="majorHAnsi" w:hAnsiTheme="majorHAnsi" w:cstheme="majorHAnsi"/>
          <w:b w:val="0"/>
          <w:bCs w:val="0"/>
          <w:i/>
          <w:iCs/>
          <w:lang w:val="ru-MD"/>
        </w:rPr>
        <w:t xml:space="preserve"> в с</w:t>
      </w:r>
      <w:r w:rsidRPr="002F6987">
        <w:rPr>
          <w:rFonts w:asciiTheme="majorHAnsi" w:hAnsiTheme="majorHAnsi" w:cstheme="majorHAnsi"/>
          <w:b w:val="0"/>
          <w:bCs w:val="0"/>
          <w:i/>
          <w:iCs/>
          <w:lang w:val="ru-MD"/>
        </w:rPr>
        <w:t>равнение</w:t>
      </w:r>
      <w:r w:rsidR="00586742" w:rsidRPr="002F6987">
        <w:rPr>
          <w:rFonts w:asciiTheme="majorHAnsi" w:hAnsiTheme="majorHAnsi" w:cstheme="majorHAnsi"/>
          <w:b w:val="0"/>
          <w:bCs w:val="0"/>
          <w:i/>
          <w:iCs/>
          <w:lang w:val="ru-MD"/>
        </w:rPr>
        <w:t xml:space="preserve"> с официальными статистическими данными Российской Федерации, Румынии, Украины и Республики Беларусь</w:t>
      </w:r>
      <w:r w:rsidRPr="002F6987">
        <w:rPr>
          <w:rFonts w:asciiTheme="majorHAnsi" w:hAnsiTheme="majorHAnsi" w:cstheme="majorHAnsi"/>
          <w:b w:val="0"/>
          <w:bCs w:val="0"/>
          <w:i/>
          <w:iCs/>
          <w:lang w:val="ru-MD"/>
        </w:rPr>
        <w:t>,</w:t>
      </w:r>
      <w:r w:rsidR="00586742" w:rsidRPr="002F6987">
        <w:rPr>
          <w:rFonts w:asciiTheme="majorHAnsi" w:hAnsiTheme="majorHAnsi" w:cstheme="majorHAnsi"/>
          <w:b w:val="0"/>
          <w:bCs w:val="0"/>
          <w:i/>
          <w:iCs/>
          <w:lang w:val="ru-MD"/>
        </w:rPr>
        <w:t xml:space="preserve"> показывает сокращение на 3 988,8 млн. долларов США статистической стоимости импортируемых и декларированных товаров</w:t>
      </w:r>
      <w:r w:rsidRPr="002F6987">
        <w:rPr>
          <w:rFonts w:asciiTheme="majorHAnsi" w:hAnsiTheme="majorHAnsi" w:cstheme="majorHAnsi"/>
          <w:b w:val="0"/>
          <w:bCs w:val="0"/>
          <w:i/>
          <w:iCs/>
          <w:lang w:val="ru-MD"/>
        </w:rPr>
        <w:t>,</w:t>
      </w:r>
      <w:r w:rsidR="00586742" w:rsidRPr="002F6987">
        <w:rPr>
          <w:rFonts w:asciiTheme="majorHAnsi" w:hAnsiTheme="majorHAnsi" w:cstheme="majorHAnsi"/>
          <w:b w:val="0"/>
          <w:bCs w:val="0"/>
          <w:i/>
          <w:iCs/>
          <w:lang w:val="ru-MD"/>
        </w:rPr>
        <w:t xml:space="preserve"> и</w:t>
      </w:r>
      <w:r w:rsidRPr="002F6987">
        <w:rPr>
          <w:rFonts w:asciiTheme="majorHAnsi" w:hAnsiTheme="majorHAnsi" w:cstheme="majorHAnsi"/>
          <w:b w:val="0"/>
          <w:bCs w:val="0"/>
          <w:i/>
          <w:iCs/>
          <w:lang w:val="ru-MD"/>
        </w:rPr>
        <w:t>,</w:t>
      </w:r>
      <w:r w:rsidR="00586742" w:rsidRPr="002F6987">
        <w:rPr>
          <w:rFonts w:asciiTheme="majorHAnsi" w:hAnsiTheme="majorHAnsi" w:cstheme="majorHAnsi"/>
          <w:b w:val="0"/>
          <w:bCs w:val="0"/>
          <w:i/>
          <w:iCs/>
          <w:lang w:val="ru-MD"/>
        </w:rPr>
        <w:t xml:space="preserve"> </w:t>
      </w:r>
      <w:r w:rsidRPr="002F6987">
        <w:rPr>
          <w:rFonts w:asciiTheme="majorHAnsi" w:hAnsiTheme="majorHAnsi" w:cstheme="majorHAnsi"/>
          <w:b w:val="0"/>
          <w:bCs w:val="0"/>
          <w:i/>
          <w:iCs/>
          <w:lang w:val="ru-MD"/>
        </w:rPr>
        <w:t xml:space="preserve">соответственно, </w:t>
      </w:r>
      <w:r w:rsidR="00586742" w:rsidRPr="002F6987">
        <w:rPr>
          <w:rFonts w:asciiTheme="majorHAnsi" w:hAnsiTheme="majorHAnsi" w:cstheme="majorHAnsi"/>
          <w:b w:val="0"/>
          <w:bCs w:val="0"/>
          <w:i/>
          <w:iCs/>
          <w:lang w:val="ru-MD"/>
        </w:rPr>
        <w:t>снижени</w:t>
      </w:r>
      <w:r w:rsidRPr="002F6987">
        <w:rPr>
          <w:rFonts w:asciiTheme="majorHAnsi" w:hAnsiTheme="majorHAnsi" w:cstheme="majorHAnsi"/>
          <w:b w:val="0"/>
          <w:bCs w:val="0"/>
          <w:i/>
          <w:iCs/>
          <w:lang w:val="ru-MD"/>
        </w:rPr>
        <w:t>е</w:t>
      </w:r>
      <w:r w:rsidR="00586742" w:rsidRPr="002F6987">
        <w:rPr>
          <w:rFonts w:asciiTheme="majorHAnsi" w:hAnsiTheme="majorHAnsi" w:cstheme="majorHAnsi"/>
          <w:b w:val="0"/>
          <w:bCs w:val="0"/>
          <w:i/>
          <w:iCs/>
          <w:lang w:val="ru-MD"/>
        </w:rPr>
        <w:t xml:space="preserve"> на 618,7 млн. </w:t>
      </w:r>
      <w:r w:rsidRPr="002F6987">
        <w:rPr>
          <w:rFonts w:asciiTheme="majorHAnsi" w:hAnsiTheme="majorHAnsi" w:cstheme="majorHAnsi"/>
          <w:b w:val="0"/>
          <w:bCs w:val="0"/>
          <w:i/>
          <w:iCs/>
          <w:lang w:val="ru-MD"/>
        </w:rPr>
        <w:t xml:space="preserve">долларов </w:t>
      </w:r>
      <w:r w:rsidR="00586742" w:rsidRPr="002F6987">
        <w:rPr>
          <w:rFonts w:asciiTheme="majorHAnsi" w:hAnsiTheme="majorHAnsi" w:cstheme="majorHAnsi"/>
          <w:b w:val="0"/>
          <w:bCs w:val="0"/>
          <w:i/>
          <w:iCs/>
          <w:lang w:val="ru-MD"/>
        </w:rPr>
        <w:t>США статистической стоимости товаров, экспортируемых в указанные страны</w:t>
      </w:r>
      <w:r w:rsidRPr="002F6987">
        <w:rPr>
          <w:rFonts w:asciiTheme="majorHAnsi" w:hAnsiTheme="majorHAnsi" w:cstheme="majorHAnsi"/>
          <w:b w:val="0"/>
          <w:bCs w:val="0"/>
          <w:i/>
          <w:iCs/>
          <w:lang w:val="ru-MD"/>
        </w:rPr>
        <w:t>,</w:t>
      </w:r>
      <w:r w:rsidR="00586742" w:rsidRPr="002F6987">
        <w:rPr>
          <w:rFonts w:asciiTheme="majorHAnsi" w:hAnsiTheme="majorHAnsi" w:cstheme="majorHAnsi"/>
          <w:b w:val="0"/>
          <w:bCs w:val="0"/>
          <w:i/>
          <w:iCs/>
          <w:lang w:val="ru-MD"/>
        </w:rPr>
        <w:t xml:space="preserve"> по отношению к реальному импорту, зарегистрированному этими странами, что </w:t>
      </w:r>
      <w:r w:rsidRPr="002F6987">
        <w:rPr>
          <w:rFonts w:asciiTheme="majorHAnsi" w:hAnsiTheme="majorHAnsi" w:cstheme="majorHAnsi"/>
          <w:b w:val="0"/>
          <w:bCs w:val="0"/>
          <w:i/>
          <w:iCs/>
          <w:lang w:val="ru-MD"/>
        </w:rPr>
        <w:t>генериру</w:t>
      </w:r>
      <w:r w:rsidR="00586742" w:rsidRPr="002F6987">
        <w:rPr>
          <w:rFonts w:asciiTheme="majorHAnsi" w:hAnsiTheme="majorHAnsi" w:cstheme="majorHAnsi"/>
          <w:b w:val="0"/>
          <w:bCs w:val="0"/>
          <w:i/>
          <w:iCs/>
          <w:lang w:val="ru-MD"/>
        </w:rPr>
        <w:t>ет риски упущени</w:t>
      </w:r>
      <w:r w:rsidRPr="002F6987">
        <w:rPr>
          <w:rFonts w:asciiTheme="majorHAnsi" w:hAnsiTheme="majorHAnsi" w:cstheme="majorHAnsi"/>
          <w:b w:val="0"/>
          <w:bCs w:val="0"/>
          <w:i/>
          <w:iCs/>
          <w:lang w:val="ru-MD"/>
        </w:rPr>
        <w:t>я</w:t>
      </w:r>
      <w:r w:rsidR="00586742" w:rsidRPr="002F6987">
        <w:rPr>
          <w:rFonts w:asciiTheme="majorHAnsi" w:hAnsiTheme="majorHAnsi" w:cstheme="majorHAnsi"/>
          <w:b w:val="0"/>
          <w:bCs w:val="0"/>
          <w:i/>
          <w:iCs/>
          <w:lang w:val="ru-MD"/>
        </w:rPr>
        <w:t xml:space="preserve"> </w:t>
      </w:r>
      <w:r w:rsidRPr="002F6987">
        <w:rPr>
          <w:rFonts w:asciiTheme="majorHAnsi" w:hAnsiTheme="majorHAnsi" w:cstheme="majorHAnsi"/>
          <w:b w:val="0"/>
          <w:bCs w:val="0"/>
          <w:i/>
          <w:iCs/>
          <w:lang w:val="ru-MD"/>
        </w:rPr>
        <w:t>определенн</w:t>
      </w:r>
      <w:r w:rsidR="00586742" w:rsidRPr="002F6987">
        <w:rPr>
          <w:rFonts w:asciiTheme="majorHAnsi" w:hAnsiTheme="majorHAnsi" w:cstheme="majorHAnsi"/>
          <w:b w:val="0"/>
          <w:bCs w:val="0"/>
          <w:i/>
          <w:iCs/>
          <w:lang w:val="ru-MD"/>
        </w:rPr>
        <w:t xml:space="preserve">ых доходов </w:t>
      </w:r>
      <w:r w:rsidRPr="002F6987">
        <w:rPr>
          <w:rFonts w:asciiTheme="majorHAnsi" w:hAnsiTheme="majorHAnsi" w:cstheme="majorHAnsi"/>
          <w:b w:val="0"/>
          <w:bCs w:val="0"/>
          <w:i/>
          <w:iCs/>
          <w:lang w:val="ru-MD"/>
        </w:rPr>
        <w:t>в связи с</w:t>
      </w:r>
      <w:r w:rsidR="00586742" w:rsidRPr="002F6987">
        <w:rPr>
          <w:rFonts w:asciiTheme="majorHAnsi" w:hAnsiTheme="majorHAnsi" w:cstheme="majorHAnsi"/>
          <w:b w:val="0"/>
          <w:bCs w:val="0"/>
          <w:i/>
          <w:iCs/>
          <w:lang w:val="ru-MD"/>
        </w:rPr>
        <w:t xml:space="preserve"> неуплат</w:t>
      </w:r>
      <w:r w:rsidRPr="002F6987">
        <w:rPr>
          <w:rFonts w:asciiTheme="majorHAnsi" w:hAnsiTheme="majorHAnsi" w:cstheme="majorHAnsi"/>
          <w:b w:val="0"/>
          <w:bCs w:val="0"/>
          <w:i/>
          <w:iCs/>
          <w:lang w:val="ru-MD"/>
        </w:rPr>
        <w:t>ой</w:t>
      </w:r>
      <w:r w:rsidR="00586742" w:rsidRPr="002F6987">
        <w:rPr>
          <w:rFonts w:asciiTheme="majorHAnsi" w:hAnsiTheme="majorHAnsi" w:cstheme="majorHAnsi"/>
          <w:b w:val="0"/>
          <w:bCs w:val="0"/>
          <w:i/>
          <w:iCs/>
          <w:lang w:val="ru-MD"/>
        </w:rPr>
        <w:t xml:space="preserve"> импорт</w:t>
      </w:r>
      <w:r w:rsidRPr="002F6987">
        <w:rPr>
          <w:rFonts w:asciiTheme="majorHAnsi" w:hAnsiTheme="majorHAnsi" w:cstheme="majorHAnsi"/>
          <w:b w:val="0"/>
          <w:bCs w:val="0"/>
          <w:i/>
          <w:iCs/>
          <w:lang w:val="ru-MD"/>
        </w:rPr>
        <w:t>ных платежей</w:t>
      </w:r>
      <w:r w:rsidR="00586742" w:rsidRPr="002F6987">
        <w:rPr>
          <w:rFonts w:asciiTheme="majorHAnsi" w:hAnsiTheme="majorHAnsi" w:cstheme="majorHAnsi"/>
          <w:b w:val="0"/>
          <w:bCs w:val="0"/>
          <w:i/>
          <w:iCs/>
          <w:lang w:val="ru-MD"/>
        </w:rPr>
        <w:t xml:space="preserve">, подлежащих </w:t>
      </w:r>
      <w:r w:rsidRPr="002F6987">
        <w:rPr>
          <w:rFonts w:asciiTheme="majorHAnsi" w:hAnsiTheme="majorHAnsi" w:cstheme="majorHAnsi"/>
          <w:b w:val="0"/>
          <w:bCs w:val="0"/>
          <w:i/>
          <w:iCs/>
          <w:lang w:val="ru-MD"/>
        </w:rPr>
        <w:t>взиман</w:t>
      </w:r>
      <w:r w:rsidR="00586742" w:rsidRPr="002F6987">
        <w:rPr>
          <w:rFonts w:asciiTheme="majorHAnsi" w:hAnsiTheme="majorHAnsi" w:cstheme="majorHAnsi"/>
          <w:b w:val="0"/>
          <w:bCs w:val="0"/>
          <w:i/>
          <w:iCs/>
          <w:lang w:val="ru-MD"/>
        </w:rPr>
        <w:t>ию в государственный бюджет, и не</w:t>
      </w:r>
      <w:r w:rsidRPr="002F6987">
        <w:rPr>
          <w:rFonts w:asciiTheme="majorHAnsi" w:hAnsiTheme="majorHAnsi" w:cstheme="majorHAnsi"/>
          <w:b w:val="0"/>
          <w:bCs w:val="0"/>
          <w:i/>
          <w:iCs/>
          <w:lang w:val="ru-MD"/>
        </w:rPr>
        <w:t>репатриа</w:t>
      </w:r>
      <w:r w:rsidR="00586742" w:rsidRPr="002F6987">
        <w:rPr>
          <w:rFonts w:asciiTheme="majorHAnsi" w:hAnsiTheme="majorHAnsi" w:cstheme="majorHAnsi"/>
          <w:b w:val="0"/>
          <w:bCs w:val="0"/>
          <w:i/>
          <w:iCs/>
          <w:lang w:val="ru-MD"/>
        </w:rPr>
        <w:t xml:space="preserve">цией валюты </w:t>
      </w:r>
      <w:r w:rsidRPr="002F6987">
        <w:rPr>
          <w:rFonts w:asciiTheme="majorHAnsi" w:hAnsiTheme="majorHAnsi" w:cstheme="majorHAnsi"/>
          <w:b w:val="0"/>
          <w:bCs w:val="0"/>
          <w:i/>
          <w:iCs/>
          <w:lang w:val="ru-MD"/>
        </w:rPr>
        <w:t>от</w:t>
      </w:r>
      <w:r w:rsidR="00586742" w:rsidRPr="002F6987">
        <w:rPr>
          <w:rFonts w:asciiTheme="majorHAnsi" w:hAnsiTheme="majorHAnsi" w:cstheme="majorHAnsi"/>
          <w:b w:val="0"/>
          <w:bCs w:val="0"/>
          <w:i/>
          <w:iCs/>
          <w:lang w:val="ru-MD"/>
        </w:rPr>
        <w:t xml:space="preserve"> внешнеэкономических операций</w:t>
      </w:r>
      <w:r w:rsidR="00586742" w:rsidRPr="00586742">
        <w:rPr>
          <w:rFonts w:asciiTheme="majorHAnsi" w:hAnsiTheme="majorHAnsi" w:cstheme="majorHAnsi"/>
          <w:b w:val="0"/>
          <w:bCs w:val="0"/>
          <w:i/>
          <w:iCs/>
        </w:rPr>
        <w:t xml:space="preserve"> </w:t>
      </w:r>
      <w:r w:rsidR="00BF5B93" w:rsidRPr="00B20FBD">
        <w:rPr>
          <w:rFonts w:asciiTheme="majorHAnsi" w:hAnsiTheme="majorHAnsi" w:cstheme="majorHAnsi"/>
          <w:b w:val="0"/>
          <w:i/>
          <w:lang w:val="ro-MD"/>
        </w:rPr>
        <w:t>(</w:t>
      </w:r>
      <w:r w:rsidR="00C92679">
        <w:rPr>
          <w:rFonts w:asciiTheme="majorHAnsi" w:hAnsiTheme="majorHAnsi" w:cstheme="majorHAnsi"/>
          <w:b w:val="0"/>
          <w:i/>
          <w:lang w:val="ro-MD"/>
        </w:rPr>
        <w:t>п</w:t>
      </w:r>
      <w:r w:rsidR="00BF5B93" w:rsidRPr="00B20FBD">
        <w:rPr>
          <w:rFonts w:asciiTheme="majorHAnsi" w:hAnsiTheme="majorHAnsi" w:cstheme="majorHAnsi"/>
          <w:b w:val="0"/>
          <w:i/>
          <w:lang w:val="ro-MD"/>
        </w:rPr>
        <w:t>.4.1.4)</w:t>
      </w:r>
      <w:r>
        <w:rPr>
          <w:rFonts w:asciiTheme="majorHAnsi" w:hAnsiTheme="majorHAnsi" w:cstheme="majorHAnsi"/>
          <w:b w:val="0"/>
          <w:i/>
          <w:lang w:val="ru-RU"/>
        </w:rPr>
        <w:t>;</w:t>
      </w:r>
    </w:p>
    <w:p w14:paraId="325442EB" w14:textId="0AE29858" w:rsidR="004A314E" w:rsidRPr="00B20FBD" w:rsidRDefault="00BF6897" w:rsidP="00BF6897">
      <w:pPr>
        <w:pStyle w:val="ListParagraph"/>
        <w:numPr>
          <w:ilvl w:val="0"/>
          <w:numId w:val="6"/>
        </w:numPr>
        <w:spacing w:after="120" w:line="276" w:lineRule="auto"/>
        <w:ind w:left="0" w:firstLine="360"/>
        <w:jc w:val="both"/>
        <w:rPr>
          <w:rFonts w:asciiTheme="majorHAnsi" w:hAnsiTheme="majorHAnsi" w:cstheme="majorHAnsi"/>
          <w:i/>
          <w:sz w:val="24"/>
          <w:szCs w:val="24"/>
          <w:lang w:val="ro-MD"/>
        </w:rPr>
      </w:pPr>
      <w:r w:rsidRPr="0023798F">
        <w:rPr>
          <w:rFonts w:asciiTheme="majorHAnsi" w:hAnsiTheme="majorHAnsi" w:cstheme="majorHAnsi"/>
          <w:i/>
          <w:color w:val="000000" w:themeColor="text1"/>
          <w:sz w:val="24"/>
          <w:szCs w:val="24"/>
          <w:lang w:val="ru-MD"/>
        </w:rPr>
        <w:t xml:space="preserve">Оценки </w:t>
      </w:r>
      <w:r w:rsidR="002F6987" w:rsidRPr="0023798F">
        <w:rPr>
          <w:rFonts w:asciiTheme="majorHAnsi" w:hAnsiTheme="majorHAnsi" w:cstheme="majorHAnsi"/>
          <w:i/>
          <w:color w:val="000000" w:themeColor="text1"/>
          <w:sz w:val="24"/>
          <w:szCs w:val="24"/>
          <w:lang w:val="ru-MD"/>
        </w:rPr>
        <w:t>относительно порядка</w:t>
      </w:r>
      <w:r w:rsidRPr="0023798F">
        <w:rPr>
          <w:rFonts w:asciiTheme="majorHAnsi" w:hAnsiTheme="majorHAnsi" w:cstheme="majorHAnsi"/>
          <w:i/>
          <w:color w:val="000000" w:themeColor="text1"/>
          <w:sz w:val="24"/>
          <w:szCs w:val="24"/>
          <w:lang w:val="ru-MD"/>
        </w:rPr>
        <w:t xml:space="preserve"> определ</w:t>
      </w:r>
      <w:r w:rsidR="002F6987" w:rsidRPr="0023798F">
        <w:rPr>
          <w:rFonts w:asciiTheme="majorHAnsi" w:hAnsiTheme="majorHAnsi" w:cstheme="majorHAnsi"/>
          <w:i/>
          <w:color w:val="000000" w:themeColor="text1"/>
          <w:sz w:val="24"/>
          <w:szCs w:val="24"/>
          <w:lang w:val="ru-MD"/>
        </w:rPr>
        <w:t>ения</w:t>
      </w:r>
      <w:r w:rsidRPr="0023798F">
        <w:rPr>
          <w:rFonts w:asciiTheme="majorHAnsi" w:hAnsiTheme="majorHAnsi" w:cstheme="majorHAnsi"/>
          <w:i/>
          <w:color w:val="000000" w:themeColor="text1"/>
          <w:sz w:val="24"/>
          <w:szCs w:val="24"/>
          <w:lang w:val="ru-MD"/>
        </w:rPr>
        <w:t xml:space="preserve"> </w:t>
      </w:r>
      <w:r w:rsidR="002F6987" w:rsidRPr="0023798F">
        <w:rPr>
          <w:rFonts w:asciiTheme="majorHAnsi" w:hAnsiTheme="majorHAnsi" w:cstheme="majorHAnsi"/>
          <w:i/>
          <w:color w:val="000000" w:themeColor="text1"/>
          <w:sz w:val="24"/>
          <w:szCs w:val="24"/>
          <w:lang w:val="ru-MD"/>
        </w:rPr>
        <w:t xml:space="preserve">таможенной </w:t>
      </w:r>
      <w:r w:rsidRPr="0023798F">
        <w:rPr>
          <w:rFonts w:asciiTheme="majorHAnsi" w:hAnsiTheme="majorHAnsi" w:cstheme="majorHAnsi"/>
          <w:i/>
          <w:color w:val="000000" w:themeColor="text1"/>
          <w:sz w:val="24"/>
          <w:szCs w:val="24"/>
          <w:lang w:val="ru-MD"/>
        </w:rPr>
        <w:t>стоимост</w:t>
      </w:r>
      <w:r w:rsidR="002F6987" w:rsidRPr="0023798F">
        <w:rPr>
          <w:rFonts w:asciiTheme="majorHAnsi" w:hAnsiTheme="majorHAnsi" w:cstheme="majorHAnsi"/>
          <w:i/>
          <w:color w:val="000000" w:themeColor="text1"/>
          <w:sz w:val="24"/>
          <w:szCs w:val="24"/>
          <w:lang w:val="ru-MD"/>
        </w:rPr>
        <w:t>и</w:t>
      </w:r>
      <w:r w:rsidRPr="0023798F">
        <w:rPr>
          <w:rFonts w:asciiTheme="majorHAnsi" w:hAnsiTheme="majorHAnsi" w:cstheme="majorHAnsi"/>
          <w:i/>
          <w:color w:val="000000" w:themeColor="text1"/>
          <w:sz w:val="24"/>
          <w:szCs w:val="24"/>
          <w:lang w:val="ru-MD"/>
        </w:rPr>
        <w:t xml:space="preserve"> </w:t>
      </w:r>
      <w:r w:rsidR="002F6987" w:rsidRPr="0023798F">
        <w:rPr>
          <w:rFonts w:asciiTheme="majorHAnsi" w:hAnsiTheme="majorHAnsi" w:cstheme="majorHAnsi"/>
          <w:i/>
          <w:color w:val="000000" w:themeColor="text1"/>
          <w:sz w:val="24"/>
          <w:szCs w:val="24"/>
          <w:lang w:val="ru-MD"/>
        </w:rPr>
        <w:t>путем применения методов №</w:t>
      </w:r>
      <w:r w:rsidRPr="0023798F">
        <w:rPr>
          <w:rFonts w:asciiTheme="majorHAnsi" w:hAnsiTheme="majorHAnsi" w:cstheme="majorHAnsi"/>
          <w:i/>
          <w:color w:val="000000" w:themeColor="text1"/>
          <w:sz w:val="24"/>
          <w:szCs w:val="24"/>
          <w:lang w:val="ru-MD"/>
        </w:rPr>
        <w:t xml:space="preserve">2, </w:t>
      </w:r>
      <w:r w:rsidR="002F6987" w:rsidRPr="0023798F">
        <w:rPr>
          <w:rFonts w:asciiTheme="majorHAnsi" w:hAnsiTheme="majorHAnsi" w:cstheme="majorHAnsi"/>
          <w:i/>
          <w:color w:val="000000" w:themeColor="text1"/>
          <w:sz w:val="24"/>
          <w:szCs w:val="24"/>
          <w:lang w:val="ru-MD"/>
        </w:rPr>
        <w:t>№</w:t>
      </w:r>
      <w:r w:rsidRPr="0023798F">
        <w:rPr>
          <w:rFonts w:asciiTheme="majorHAnsi" w:hAnsiTheme="majorHAnsi" w:cstheme="majorHAnsi"/>
          <w:i/>
          <w:color w:val="000000" w:themeColor="text1"/>
          <w:sz w:val="24"/>
          <w:szCs w:val="24"/>
          <w:lang w:val="ru-MD"/>
        </w:rPr>
        <w:t xml:space="preserve">3, </w:t>
      </w:r>
      <w:r w:rsidR="002F6987" w:rsidRPr="0023798F">
        <w:rPr>
          <w:rFonts w:asciiTheme="majorHAnsi" w:hAnsiTheme="majorHAnsi" w:cstheme="majorHAnsi"/>
          <w:i/>
          <w:color w:val="000000" w:themeColor="text1"/>
          <w:sz w:val="24"/>
          <w:szCs w:val="24"/>
          <w:lang w:val="ru-MD"/>
        </w:rPr>
        <w:t>№</w:t>
      </w:r>
      <w:r w:rsidRPr="0023798F">
        <w:rPr>
          <w:rFonts w:asciiTheme="majorHAnsi" w:hAnsiTheme="majorHAnsi" w:cstheme="majorHAnsi"/>
          <w:i/>
          <w:color w:val="000000" w:themeColor="text1"/>
          <w:sz w:val="24"/>
          <w:szCs w:val="24"/>
          <w:lang w:val="ru-MD"/>
        </w:rPr>
        <w:t xml:space="preserve">4 и </w:t>
      </w:r>
      <w:r w:rsidR="002F6987" w:rsidRPr="0023798F">
        <w:rPr>
          <w:rFonts w:asciiTheme="majorHAnsi" w:hAnsiTheme="majorHAnsi" w:cstheme="majorHAnsi"/>
          <w:i/>
          <w:color w:val="000000" w:themeColor="text1"/>
          <w:sz w:val="24"/>
          <w:szCs w:val="24"/>
          <w:lang w:val="ru-MD"/>
        </w:rPr>
        <w:t>№</w:t>
      </w:r>
      <w:r w:rsidRPr="0023798F">
        <w:rPr>
          <w:rFonts w:asciiTheme="majorHAnsi" w:hAnsiTheme="majorHAnsi" w:cstheme="majorHAnsi"/>
          <w:i/>
          <w:color w:val="000000" w:themeColor="text1"/>
          <w:sz w:val="24"/>
          <w:szCs w:val="24"/>
          <w:lang w:val="ru-MD"/>
        </w:rPr>
        <w:t>5 указыва</w:t>
      </w:r>
      <w:r w:rsidR="002F6987" w:rsidRPr="0023798F">
        <w:rPr>
          <w:rFonts w:asciiTheme="majorHAnsi" w:hAnsiTheme="majorHAnsi" w:cstheme="majorHAnsi"/>
          <w:i/>
          <w:color w:val="000000" w:themeColor="text1"/>
          <w:sz w:val="24"/>
          <w:szCs w:val="24"/>
          <w:lang w:val="ru-MD"/>
        </w:rPr>
        <w:t>ю</w:t>
      </w:r>
      <w:r w:rsidRPr="0023798F">
        <w:rPr>
          <w:rFonts w:asciiTheme="majorHAnsi" w:hAnsiTheme="majorHAnsi" w:cstheme="majorHAnsi"/>
          <w:i/>
          <w:color w:val="000000" w:themeColor="text1"/>
          <w:sz w:val="24"/>
          <w:szCs w:val="24"/>
          <w:lang w:val="ru-MD"/>
        </w:rPr>
        <w:t xml:space="preserve">т на то, что сотрудники таможни не применяли </w:t>
      </w:r>
      <w:r w:rsidR="002F6987" w:rsidRPr="0023798F">
        <w:rPr>
          <w:rFonts w:asciiTheme="majorHAnsi" w:hAnsiTheme="majorHAnsi" w:cstheme="majorHAnsi"/>
          <w:i/>
          <w:color w:val="000000" w:themeColor="text1"/>
          <w:sz w:val="24"/>
          <w:szCs w:val="24"/>
          <w:lang w:val="ru-MD"/>
        </w:rPr>
        <w:t>все</w:t>
      </w:r>
      <w:r w:rsidRPr="0023798F">
        <w:rPr>
          <w:rFonts w:asciiTheme="majorHAnsi" w:hAnsiTheme="majorHAnsi" w:cstheme="majorHAnsi"/>
          <w:i/>
          <w:color w:val="000000" w:themeColor="text1"/>
          <w:sz w:val="24"/>
          <w:szCs w:val="24"/>
          <w:lang w:val="ru-MD"/>
        </w:rPr>
        <w:t xml:space="preserve"> методы, предусмотренные нормативной базой, а в случаях, когда таможенная стоимость определялась </w:t>
      </w:r>
      <w:r w:rsidR="002F6987" w:rsidRPr="0023798F">
        <w:rPr>
          <w:rFonts w:asciiTheme="majorHAnsi" w:hAnsiTheme="majorHAnsi" w:cstheme="majorHAnsi"/>
          <w:i/>
          <w:color w:val="000000" w:themeColor="text1"/>
          <w:sz w:val="24"/>
          <w:szCs w:val="24"/>
          <w:lang w:val="ru-MD"/>
        </w:rPr>
        <w:t xml:space="preserve">с </w:t>
      </w:r>
      <w:r w:rsidRPr="0023798F">
        <w:rPr>
          <w:rFonts w:asciiTheme="majorHAnsi" w:hAnsiTheme="majorHAnsi" w:cstheme="majorHAnsi"/>
          <w:i/>
          <w:color w:val="000000" w:themeColor="text1"/>
          <w:sz w:val="24"/>
          <w:szCs w:val="24"/>
          <w:lang w:val="ru-MD"/>
        </w:rPr>
        <w:t xml:space="preserve">применением </w:t>
      </w:r>
      <w:r w:rsidR="002F6987" w:rsidRPr="0023798F">
        <w:rPr>
          <w:rFonts w:asciiTheme="majorHAnsi" w:eastAsia="Times New Roman" w:hAnsiTheme="majorHAnsi" w:cstheme="majorHAnsi"/>
          <w:i/>
          <w:color w:val="000000"/>
          <w:sz w:val="24"/>
          <w:szCs w:val="24"/>
          <w:lang w:val="ru-MD" w:eastAsia="ru-RU"/>
        </w:rPr>
        <w:t xml:space="preserve">„резервного” </w:t>
      </w:r>
      <w:r w:rsidRPr="0023798F">
        <w:rPr>
          <w:rFonts w:asciiTheme="majorHAnsi" w:hAnsiTheme="majorHAnsi" w:cstheme="majorHAnsi"/>
          <w:i/>
          <w:color w:val="000000" w:themeColor="text1"/>
          <w:sz w:val="24"/>
          <w:szCs w:val="24"/>
          <w:lang w:val="ru-MD"/>
        </w:rPr>
        <w:t>метода №6”</w:t>
      </w:r>
      <w:r w:rsidR="0023798F" w:rsidRPr="0023798F">
        <w:rPr>
          <w:rFonts w:asciiTheme="majorHAnsi" w:hAnsiTheme="majorHAnsi" w:cstheme="majorHAnsi"/>
          <w:i/>
          <w:color w:val="000000" w:themeColor="text1"/>
          <w:sz w:val="24"/>
          <w:szCs w:val="24"/>
          <w:lang w:val="ru-MD"/>
        </w:rPr>
        <w:t>,</w:t>
      </w:r>
      <w:r w:rsidRPr="0023798F">
        <w:rPr>
          <w:rFonts w:asciiTheme="majorHAnsi" w:hAnsiTheme="majorHAnsi" w:cstheme="majorHAnsi"/>
          <w:i/>
          <w:color w:val="000000" w:themeColor="text1"/>
          <w:sz w:val="24"/>
          <w:szCs w:val="24"/>
          <w:lang w:val="ru-MD"/>
        </w:rPr>
        <w:t xml:space="preserve"> в акте проверки </w:t>
      </w:r>
      <w:r w:rsidR="0023798F" w:rsidRPr="0023798F">
        <w:rPr>
          <w:rFonts w:asciiTheme="majorHAnsi" w:hAnsiTheme="majorHAnsi" w:cstheme="majorHAnsi"/>
          <w:i/>
          <w:color w:val="000000" w:themeColor="text1"/>
          <w:sz w:val="24"/>
          <w:szCs w:val="24"/>
          <w:lang w:val="ru-MD"/>
        </w:rPr>
        <w:t xml:space="preserve">не документировалась </w:t>
      </w:r>
      <w:r w:rsidRPr="0023798F">
        <w:rPr>
          <w:rFonts w:asciiTheme="majorHAnsi" w:hAnsiTheme="majorHAnsi" w:cstheme="majorHAnsi"/>
          <w:i/>
          <w:color w:val="000000" w:themeColor="text1"/>
          <w:sz w:val="24"/>
          <w:szCs w:val="24"/>
          <w:lang w:val="ru-MD"/>
        </w:rPr>
        <w:t>причин</w:t>
      </w:r>
      <w:r w:rsidR="0023798F" w:rsidRPr="0023798F">
        <w:rPr>
          <w:rFonts w:asciiTheme="majorHAnsi" w:hAnsiTheme="majorHAnsi" w:cstheme="majorHAnsi"/>
          <w:i/>
          <w:color w:val="000000" w:themeColor="text1"/>
          <w:sz w:val="24"/>
          <w:szCs w:val="24"/>
          <w:lang w:val="ru-MD"/>
        </w:rPr>
        <w:t>а</w:t>
      </w:r>
      <w:r w:rsidRPr="0023798F">
        <w:rPr>
          <w:rFonts w:asciiTheme="majorHAnsi" w:hAnsiTheme="majorHAnsi" w:cstheme="majorHAnsi"/>
          <w:i/>
          <w:color w:val="000000" w:themeColor="text1"/>
          <w:sz w:val="24"/>
          <w:szCs w:val="24"/>
          <w:lang w:val="ru-MD"/>
        </w:rPr>
        <w:t xml:space="preserve"> неприменения пред</w:t>
      </w:r>
      <w:r w:rsidR="0023798F" w:rsidRPr="0023798F">
        <w:rPr>
          <w:rFonts w:asciiTheme="majorHAnsi" w:hAnsiTheme="majorHAnsi" w:cstheme="majorHAnsi"/>
          <w:i/>
          <w:color w:val="000000" w:themeColor="text1"/>
          <w:sz w:val="24"/>
          <w:szCs w:val="24"/>
          <w:lang w:val="ru-MD"/>
        </w:rPr>
        <w:t>ыду</w:t>
      </w:r>
      <w:r w:rsidRPr="0023798F">
        <w:rPr>
          <w:rFonts w:asciiTheme="majorHAnsi" w:hAnsiTheme="majorHAnsi" w:cstheme="majorHAnsi"/>
          <w:i/>
          <w:color w:val="000000" w:themeColor="text1"/>
          <w:sz w:val="24"/>
          <w:szCs w:val="24"/>
          <w:lang w:val="ru-MD"/>
        </w:rPr>
        <w:t xml:space="preserve">щих методов, что может привести к неправильной оценке декларантом метода таможенного оформления и </w:t>
      </w:r>
      <w:r w:rsidR="0023798F" w:rsidRPr="0023798F">
        <w:rPr>
          <w:rFonts w:asciiTheme="majorHAnsi" w:hAnsiTheme="majorHAnsi" w:cstheme="majorHAnsi"/>
          <w:i/>
          <w:color w:val="000000" w:themeColor="text1"/>
          <w:sz w:val="24"/>
          <w:szCs w:val="24"/>
          <w:lang w:val="ru-MD"/>
        </w:rPr>
        <w:t xml:space="preserve">невзиманию импортных платежей в </w:t>
      </w:r>
      <w:r w:rsidRPr="0023798F">
        <w:rPr>
          <w:rFonts w:asciiTheme="majorHAnsi" w:hAnsiTheme="majorHAnsi" w:cstheme="majorHAnsi"/>
          <w:i/>
          <w:color w:val="000000" w:themeColor="text1"/>
          <w:sz w:val="24"/>
          <w:szCs w:val="24"/>
          <w:lang w:val="ru-MD"/>
        </w:rPr>
        <w:t>полном</w:t>
      </w:r>
      <w:r w:rsidR="0023798F" w:rsidRPr="0023798F">
        <w:rPr>
          <w:rFonts w:asciiTheme="majorHAnsi" w:hAnsiTheme="majorHAnsi" w:cstheme="majorHAnsi"/>
          <w:i/>
          <w:color w:val="000000" w:themeColor="text1"/>
          <w:sz w:val="24"/>
          <w:szCs w:val="24"/>
          <w:lang w:val="ru-MD"/>
        </w:rPr>
        <w:t xml:space="preserve"> объеме</w:t>
      </w:r>
      <w:r w:rsidRPr="00BF6897">
        <w:rPr>
          <w:rFonts w:asciiTheme="majorHAnsi" w:hAnsiTheme="majorHAnsi" w:cstheme="majorHAnsi"/>
          <w:i/>
          <w:color w:val="000000" w:themeColor="text1"/>
          <w:sz w:val="24"/>
          <w:szCs w:val="24"/>
        </w:rPr>
        <w:t xml:space="preserve"> </w:t>
      </w:r>
      <w:r w:rsidR="00146F41" w:rsidRPr="00B20FBD">
        <w:rPr>
          <w:rFonts w:asciiTheme="majorHAnsi" w:hAnsiTheme="majorHAnsi" w:cstheme="majorHAnsi"/>
          <w:i/>
          <w:sz w:val="24"/>
          <w:szCs w:val="24"/>
          <w:lang w:val="ro-MD"/>
        </w:rPr>
        <w:t>(</w:t>
      </w:r>
      <w:r w:rsidR="00C92679">
        <w:rPr>
          <w:rFonts w:asciiTheme="majorHAnsi" w:hAnsiTheme="majorHAnsi" w:cstheme="majorHAnsi"/>
          <w:i/>
          <w:sz w:val="24"/>
          <w:szCs w:val="24"/>
          <w:lang w:val="ro-MD"/>
        </w:rPr>
        <w:t>п</w:t>
      </w:r>
      <w:r w:rsidR="00146F41" w:rsidRPr="00B20FBD">
        <w:rPr>
          <w:rFonts w:asciiTheme="majorHAnsi" w:hAnsiTheme="majorHAnsi" w:cstheme="majorHAnsi"/>
          <w:i/>
          <w:sz w:val="24"/>
          <w:szCs w:val="24"/>
          <w:lang w:val="ro-MD"/>
        </w:rPr>
        <w:t>.</w:t>
      </w:r>
      <w:r w:rsidR="004B3181" w:rsidRPr="00B20FBD">
        <w:rPr>
          <w:rFonts w:asciiTheme="majorHAnsi" w:hAnsiTheme="majorHAnsi" w:cstheme="majorHAnsi"/>
          <w:i/>
          <w:sz w:val="24"/>
          <w:szCs w:val="24"/>
          <w:lang w:val="ro-MD"/>
        </w:rPr>
        <w:t>4.3</w:t>
      </w:r>
      <w:r w:rsidR="0013157C" w:rsidRPr="00B20FBD">
        <w:rPr>
          <w:rFonts w:asciiTheme="majorHAnsi" w:hAnsiTheme="majorHAnsi" w:cstheme="majorHAnsi"/>
          <w:i/>
          <w:sz w:val="24"/>
          <w:szCs w:val="24"/>
          <w:lang w:val="ro-MD"/>
        </w:rPr>
        <w:t>.</w:t>
      </w:r>
      <w:r w:rsidR="00BF5B93" w:rsidRPr="00B20FBD">
        <w:rPr>
          <w:rFonts w:asciiTheme="majorHAnsi" w:hAnsiTheme="majorHAnsi" w:cstheme="majorHAnsi"/>
          <w:i/>
          <w:sz w:val="24"/>
          <w:szCs w:val="24"/>
          <w:lang w:val="ro-MD"/>
        </w:rPr>
        <w:t>1</w:t>
      </w:r>
      <w:r w:rsidR="00146F41" w:rsidRPr="00B20FBD">
        <w:rPr>
          <w:rFonts w:asciiTheme="majorHAnsi" w:hAnsiTheme="majorHAnsi" w:cstheme="majorHAnsi"/>
          <w:i/>
          <w:sz w:val="24"/>
          <w:szCs w:val="24"/>
          <w:lang w:val="ro-MD"/>
        </w:rPr>
        <w:t>)</w:t>
      </w:r>
      <w:r w:rsidR="0023798F">
        <w:rPr>
          <w:rFonts w:asciiTheme="majorHAnsi" w:hAnsiTheme="majorHAnsi" w:cstheme="majorHAnsi"/>
          <w:i/>
          <w:sz w:val="24"/>
          <w:szCs w:val="24"/>
          <w:lang w:val="ru-RU"/>
        </w:rPr>
        <w:t>;</w:t>
      </w:r>
    </w:p>
    <w:p w14:paraId="6597FFF8" w14:textId="700CE932" w:rsidR="00A06190" w:rsidRPr="00B20FBD" w:rsidRDefault="002F6987" w:rsidP="002F6987">
      <w:pPr>
        <w:pStyle w:val="ListParagraph"/>
        <w:numPr>
          <w:ilvl w:val="0"/>
          <w:numId w:val="6"/>
        </w:numPr>
        <w:tabs>
          <w:tab w:val="left" w:pos="851"/>
        </w:tabs>
        <w:spacing w:after="120" w:line="276" w:lineRule="auto"/>
        <w:ind w:left="0" w:firstLine="426"/>
        <w:jc w:val="both"/>
        <w:rPr>
          <w:rFonts w:asciiTheme="majorHAnsi" w:hAnsiTheme="majorHAnsi" w:cstheme="majorHAnsi"/>
          <w:i/>
          <w:sz w:val="24"/>
          <w:szCs w:val="24"/>
        </w:rPr>
      </w:pPr>
      <w:r w:rsidRPr="002F6987">
        <w:rPr>
          <w:rFonts w:asciiTheme="majorHAnsi" w:eastAsia="Times New Roman" w:hAnsiTheme="majorHAnsi" w:cstheme="majorHAnsi"/>
          <w:color w:val="000000"/>
          <w:sz w:val="24"/>
          <w:szCs w:val="24"/>
          <w:lang w:val="ru-MD" w:eastAsia="ru-RU"/>
        </w:rPr>
        <w:t xml:space="preserve">Было установлено </w:t>
      </w:r>
      <w:r w:rsidR="00BF6897" w:rsidRPr="002F6987">
        <w:rPr>
          <w:rFonts w:asciiTheme="majorHAnsi" w:eastAsia="Times New Roman" w:hAnsiTheme="majorHAnsi" w:cstheme="majorHAnsi"/>
          <w:color w:val="000000"/>
          <w:sz w:val="24"/>
          <w:szCs w:val="24"/>
          <w:lang w:val="ru-MD" w:eastAsia="ru-RU"/>
        </w:rPr>
        <w:t>13,9 тыс. таможенных деклараций, поданных экономическими операторами, по которым таможенная стоимость определялась путем применения „резервного</w:t>
      </w:r>
      <w:r w:rsidR="00BF6897" w:rsidRPr="002F6987">
        <w:rPr>
          <w:rFonts w:asciiTheme="majorHAnsi" w:hAnsiTheme="majorHAnsi" w:cstheme="majorHAnsi"/>
          <w:sz w:val="24"/>
          <w:szCs w:val="24"/>
          <w:lang w:val="ru-MD"/>
        </w:rPr>
        <w:t xml:space="preserve">” </w:t>
      </w:r>
      <w:r w:rsidR="00BF6897" w:rsidRPr="002F6987">
        <w:rPr>
          <w:rFonts w:asciiTheme="majorHAnsi" w:eastAsia="Times New Roman" w:hAnsiTheme="majorHAnsi" w:cstheme="majorHAnsi"/>
          <w:color w:val="000000"/>
          <w:sz w:val="24"/>
          <w:szCs w:val="24"/>
          <w:lang w:val="ru-MD" w:eastAsia="ru-RU"/>
        </w:rPr>
        <w:t xml:space="preserve">метода №6, с </w:t>
      </w:r>
      <w:r w:rsidRPr="002F6987">
        <w:rPr>
          <w:rFonts w:asciiTheme="majorHAnsi" w:eastAsia="Times New Roman" w:hAnsiTheme="majorHAnsi" w:cstheme="majorHAnsi"/>
          <w:color w:val="000000"/>
          <w:sz w:val="24"/>
          <w:szCs w:val="24"/>
          <w:lang w:val="ru-MD" w:eastAsia="ru-RU"/>
        </w:rPr>
        <w:t>несоблюдением процедуры последовательного применения методов определения таможенной стоимости товаров, предусмотренной нормативной базой.  По мнению аудита, для подтверждения или опровержения потенциального риска недооценки стоимости импортируемого товара по зеленому коридору таможенного оформления, необходимо рассмотреть целесообразность планирования посттаможенных контролей, в результате которых импортные платежи могли бы быть увеличены</w:t>
      </w:r>
      <w:r w:rsidRPr="002F6987">
        <w:rPr>
          <w:rFonts w:asciiTheme="majorHAnsi" w:eastAsia="Times New Roman" w:hAnsiTheme="majorHAnsi" w:cstheme="majorHAnsi"/>
          <w:color w:val="000000"/>
          <w:sz w:val="24"/>
          <w:szCs w:val="24"/>
          <w:lang w:val="ro-MD" w:eastAsia="ru-RU"/>
        </w:rPr>
        <w:t xml:space="preserve"> </w:t>
      </w:r>
      <w:r w:rsidR="00AB417F" w:rsidRPr="00B20FBD">
        <w:rPr>
          <w:rFonts w:asciiTheme="majorHAnsi" w:eastAsia="Times New Roman" w:hAnsiTheme="majorHAnsi" w:cstheme="majorHAnsi"/>
          <w:i/>
          <w:sz w:val="24"/>
          <w:szCs w:val="24"/>
          <w:lang w:eastAsia="ro-RO"/>
        </w:rPr>
        <w:t>(</w:t>
      </w:r>
      <w:r w:rsidR="00C92679">
        <w:rPr>
          <w:rFonts w:asciiTheme="majorHAnsi" w:eastAsia="Times New Roman" w:hAnsiTheme="majorHAnsi" w:cstheme="majorHAnsi"/>
          <w:i/>
          <w:sz w:val="24"/>
          <w:szCs w:val="24"/>
          <w:lang w:eastAsia="ro-RO"/>
        </w:rPr>
        <w:t>п</w:t>
      </w:r>
      <w:r w:rsidR="00AB417F" w:rsidRPr="00B20FBD">
        <w:rPr>
          <w:rFonts w:asciiTheme="majorHAnsi" w:eastAsia="Times New Roman" w:hAnsiTheme="majorHAnsi" w:cstheme="majorHAnsi"/>
          <w:i/>
          <w:sz w:val="24"/>
          <w:szCs w:val="24"/>
          <w:lang w:eastAsia="ro-RO"/>
        </w:rPr>
        <w:t>.</w:t>
      </w:r>
      <w:r w:rsidR="004B3181" w:rsidRPr="00B20FBD">
        <w:rPr>
          <w:rFonts w:asciiTheme="majorHAnsi" w:eastAsia="Times New Roman" w:hAnsiTheme="majorHAnsi" w:cstheme="majorHAnsi"/>
          <w:i/>
          <w:sz w:val="24"/>
          <w:szCs w:val="24"/>
          <w:lang w:eastAsia="ro-RO"/>
        </w:rPr>
        <w:t>4.</w:t>
      </w:r>
      <w:r w:rsidR="0013157C" w:rsidRPr="00B20FBD">
        <w:rPr>
          <w:rFonts w:asciiTheme="majorHAnsi" w:eastAsia="Times New Roman" w:hAnsiTheme="majorHAnsi" w:cstheme="majorHAnsi"/>
          <w:i/>
          <w:sz w:val="24"/>
          <w:szCs w:val="24"/>
          <w:lang w:eastAsia="ro-RO"/>
        </w:rPr>
        <w:t>3.2</w:t>
      </w:r>
      <w:r w:rsidR="00AB417F" w:rsidRPr="00B20FBD">
        <w:rPr>
          <w:rFonts w:asciiTheme="majorHAnsi" w:eastAsia="Times New Roman" w:hAnsiTheme="majorHAnsi" w:cstheme="majorHAnsi"/>
          <w:i/>
          <w:sz w:val="24"/>
          <w:szCs w:val="24"/>
          <w:lang w:eastAsia="ro-RO"/>
        </w:rPr>
        <w:t>)</w:t>
      </w:r>
      <w:r w:rsidR="00121A18" w:rsidRPr="00B20FBD">
        <w:rPr>
          <w:rFonts w:asciiTheme="majorHAnsi" w:eastAsia="Times New Roman" w:hAnsiTheme="majorHAnsi" w:cstheme="majorHAnsi"/>
          <w:i/>
          <w:sz w:val="24"/>
          <w:szCs w:val="24"/>
          <w:lang w:eastAsia="ro-RO"/>
        </w:rPr>
        <w:t>.</w:t>
      </w:r>
    </w:p>
    <w:p w14:paraId="1343BBB1" w14:textId="03F6F850" w:rsidR="00BF5B93" w:rsidRPr="00B20FBD" w:rsidRDefault="00BF6897" w:rsidP="00BF6897">
      <w:pPr>
        <w:pStyle w:val="ListParagraph"/>
        <w:numPr>
          <w:ilvl w:val="0"/>
          <w:numId w:val="6"/>
        </w:numPr>
        <w:spacing w:after="120" w:line="276" w:lineRule="auto"/>
        <w:ind w:left="0" w:firstLine="360"/>
        <w:jc w:val="both"/>
        <w:rPr>
          <w:rFonts w:asciiTheme="majorHAnsi" w:hAnsiTheme="majorHAnsi" w:cstheme="majorHAnsi"/>
          <w:i/>
          <w:sz w:val="24"/>
          <w:szCs w:val="24"/>
          <w:lang w:val="ro-MD"/>
        </w:rPr>
      </w:pPr>
      <w:r w:rsidRPr="002F6987">
        <w:rPr>
          <w:rFonts w:asciiTheme="majorHAnsi" w:hAnsiTheme="majorHAnsi" w:cstheme="majorHAnsi"/>
          <w:i/>
          <w:sz w:val="24"/>
          <w:szCs w:val="24"/>
          <w:lang w:val="ru-MD"/>
        </w:rPr>
        <w:t xml:space="preserve">Хотя </w:t>
      </w:r>
      <w:r w:rsidR="00AA4B8F" w:rsidRPr="002F6987">
        <w:rPr>
          <w:rFonts w:asciiTheme="majorHAnsi" w:hAnsiTheme="majorHAnsi" w:cstheme="majorHAnsi"/>
          <w:i/>
          <w:sz w:val="24"/>
          <w:szCs w:val="24"/>
          <w:lang w:val="ru-MD"/>
        </w:rPr>
        <w:t>ТС</w:t>
      </w:r>
      <w:r w:rsidRPr="002F6987">
        <w:rPr>
          <w:rFonts w:asciiTheme="majorHAnsi" w:hAnsiTheme="majorHAnsi" w:cstheme="majorHAnsi"/>
          <w:i/>
          <w:sz w:val="24"/>
          <w:szCs w:val="24"/>
          <w:lang w:val="ru-MD"/>
        </w:rPr>
        <w:t xml:space="preserve"> </w:t>
      </w:r>
      <w:r w:rsidR="00AA4B8F" w:rsidRPr="002F6987">
        <w:rPr>
          <w:rFonts w:asciiTheme="majorHAnsi" w:hAnsiTheme="majorHAnsi" w:cstheme="majorHAnsi"/>
          <w:i/>
          <w:sz w:val="24"/>
          <w:szCs w:val="24"/>
          <w:lang w:val="ru-MD"/>
        </w:rPr>
        <w:t>владеет</w:t>
      </w:r>
      <w:r w:rsidRPr="002F6987">
        <w:rPr>
          <w:rFonts w:asciiTheme="majorHAnsi" w:hAnsiTheme="majorHAnsi" w:cstheme="majorHAnsi"/>
          <w:i/>
          <w:sz w:val="24"/>
          <w:szCs w:val="24"/>
          <w:lang w:val="ru-MD"/>
        </w:rPr>
        <w:t xml:space="preserve"> модул</w:t>
      </w:r>
      <w:r w:rsidR="00AA4B8F" w:rsidRPr="002F6987">
        <w:rPr>
          <w:rFonts w:asciiTheme="majorHAnsi" w:hAnsiTheme="majorHAnsi" w:cstheme="majorHAnsi"/>
          <w:i/>
          <w:sz w:val="24"/>
          <w:szCs w:val="24"/>
          <w:lang w:val="ru-MD"/>
        </w:rPr>
        <w:t xml:space="preserve">ями </w:t>
      </w:r>
      <w:r w:rsidRPr="002F6987">
        <w:rPr>
          <w:rFonts w:asciiTheme="majorHAnsi" w:hAnsiTheme="majorHAnsi" w:cstheme="majorHAnsi"/>
          <w:i/>
          <w:sz w:val="24"/>
          <w:szCs w:val="24"/>
          <w:lang w:val="ru-MD"/>
        </w:rPr>
        <w:t xml:space="preserve"> „</w:t>
      </w:r>
      <w:r w:rsidR="00AA4B8F" w:rsidRPr="002F6987">
        <w:rPr>
          <w:rFonts w:asciiTheme="majorHAnsi" w:hAnsiTheme="majorHAnsi" w:cstheme="majorHAnsi"/>
          <w:i/>
          <w:sz w:val="24"/>
          <w:szCs w:val="24"/>
          <w:lang w:val="ru-MD"/>
        </w:rPr>
        <w:t xml:space="preserve">Таможенная стоимость </w:t>
      </w:r>
      <w:r w:rsidRPr="002F6987">
        <w:rPr>
          <w:rFonts w:asciiTheme="majorHAnsi" w:hAnsiTheme="majorHAnsi" w:cstheme="majorHAnsi"/>
          <w:i/>
          <w:sz w:val="24"/>
          <w:szCs w:val="24"/>
          <w:lang w:val="ru-MD"/>
        </w:rPr>
        <w:t xml:space="preserve">” </w:t>
      </w:r>
      <w:r w:rsidR="00AA4B8F" w:rsidRPr="002F6987">
        <w:rPr>
          <w:rFonts w:asciiTheme="majorHAnsi" w:hAnsiTheme="majorHAnsi" w:cstheme="majorHAnsi"/>
          <w:i/>
          <w:sz w:val="24"/>
          <w:szCs w:val="24"/>
          <w:lang w:val="ru-MD"/>
        </w:rPr>
        <w:t xml:space="preserve">и „SICOM” </w:t>
      </w:r>
      <w:r w:rsidRPr="002F6987">
        <w:rPr>
          <w:rFonts w:asciiTheme="majorHAnsi" w:hAnsiTheme="majorHAnsi" w:cstheme="majorHAnsi"/>
          <w:i/>
          <w:sz w:val="24"/>
          <w:szCs w:val="24"/>
          <w:lang w:val="ru-MD"/>
        </w:rPr>
        <w:t xml:space="preserve">в </w:t>
      </w:r>
      <w:r w:rsidR="00AA4B8F" w:rsidRPr="002F6987">
        <w:rPr>
          <w:rFonts w:asciiTheme="majorHAnsi" w:hAnsiTheme="majorHAnsi" w:cstheme="majorHAnsi"/>
          <w:i/>
          <w:sz w:val="24"/>
          <w:szCs w:val="24"/>
          <w:lang w:val="ru-MD"/>
        </w:rPr>
        <w:t>рамках ТИИС</w:t>
      </w:r>
      <w:r w:rsidRPr="002F6987">
        <w:rPr>
          <w:rFonts w:asciiTheme="majorHAnsi" w:hAnsiTheme="majorHAnsi" w:cstheme="majorHAnsi"/>
          <w:i/>
          <w:sz w:val="24"/>
          <w:szCs w:val="24"/>
          <w:lang w:val="ru-MD"/>
        </w:rPr>
        <w:t xml:space="preserve"> </w:t>
      </w:r>
      <w:r w:rsidR="00AA4B8F" w:rsidRPr="002F6987">
        <w:rPr>
          <w:rFonts w:asciiTheme="majorHAnsi" w:hAnsiTheme="majorHAnsi" w:cstheme="majorHAnsi"/>
          <w:i/>
          <w:sz w:val="24"/>
          <w:szCs w:val="24"/>
          <w:lang w:val="ru-MD"/>
        </w:rPr>
        <w:t>„</w:t>
      </w:r>
      <w:r w:rsidRPr="002F6987">
        <w:rPr>
          <w:rFonts w:asciiTheme="majorHAnsi" w:hAnsiTheme="majorHAnsi" w:cstheme="majorHAnsi"/>
          <w:i/>
          <w:sz w:val="24"/>
          <w:szCs w:val="24"/>
          <w:lang w:val="ru-MD"/>
        </w:rPr>
        <w:t>Asycuda World</w:t>
      </w:r>
      <w:r w:rsidR="00AA4B8F" w:rsidRPr="002F6987">
        <w:rPr>
          <w:rFonts w:asciiTheme="majorHAnsi" w:hAnsiTheme="majorHAnsi" w:cstheme="majorHAnsi"/>
          <w:i/>
          <w:sz w:val="24"/>
          <w:szCs w:val="24"/>
          <w:lang w:val="ru-MD"/>
        </w:rPr>
        <w:t>”</w:t>
      </w:r>
      <w:r w:rsidRPr="002F6987">
        <w:rPr>
          <w:rFonts w:asciiTheme="majorHAnsi" w:hAnsiTheme="majorHAnsi" w:cstheme="majorHAnsi"/>
          <w:i/>
          <w:sz w:val="24"/>
          <w:szCs w:val="24"/>
          <w:lang w:val="ru-MD"/>
        </w:rPr>
        <w:t>, на которые было потрачено 2,6 млн.</w:t>
      </w:r>
      <w:r w:rsidR="00AA4B8F" w:rsidRPr="002F6987">
        <w:rPr>
          <w:rFonts w:asciiTheme="majorHAnsi" w:hAnsiTheme="majorHAnsi" w:cstheme="majorHAnsi"/>
          <w:i/>
          <w:sz w:val="24"/>
          <w:szCs w:val="24"/>
          <w:lang w:val="ru-MD"/>
        </w:rPr>
        <w:t xml:space="preserve"> </w:t>
      </w:r>
      <w:r w:rsidRPr="002F6987">
        <w:rPr>
          <w:rFonts w:asciiTheme="majorHAnsi" w:hAnsiTheme="majorHAnsi" w:cstheme="majorHAnsi"/>
          <w:i/>
          <w:sz w:val="24"/>
          <w:szCs w:val="24"/>
          <w:lang w:val="ru-MD"/>
        </w:rPr>
        <w:t>ле</w:t>
      </w:r>
      <w:r w:rsidR="00AA4B8F" w:rsidRPr="002F6987">
        <w:rPr>
          <w:rFonts w:asciiTheme="majorHAnsi" w:hAnsiTheme="majorHAnsi" w:cstheme="majorHAnsi"/>
          <w:i/>
          <w:sz w:val="24"/>
          <w:szCs w:val="24"/>
          <w:lang w:val="ru-MD"/>
        </w:rPr>
        <w:t>ев</w:t>
      </w:r>
      <w:r w:rsidRPr="002F6987">
        <w:rPr>
          <w:rFonts w:asciiTheme="majorHAnsi" w:hAnsiTheme="majorHAnsi" w:cstheme="majorHAnsi"/>
          <w:i/>
          <w:sz w:val="24"/>
          <w:szCs w:val="24"/>
          <w:lang w:val="ru-MD"/>
        </w:rPr>
        <w:t xml:space="preserve">, </w:t>
      </w:r>
      <w:r w:rsidR="00AA4B8F" w:rsidRPr="002F6987">
        <w:rPr>
          <w:rFonts w:asciiTheme="majorHAnsi" w:hAnsiTheme="majorHAnsi" w:cstheme="majorHAnsi"/>
          <w:i/>
          <w:sz w:val="24"/>
          <w:szCs w:val="24"/>
          <w:lang w:val="ru-MD"/>
        </w:rPr>
        <w:t>Департамент</w:t>
      </w:r>
      <w:r w:rsidRPr="002F6987">
        <w:rPr>
          <w:rFonts w:asciiTheme="majorHAnsi" w:hAnsiTheme="majorHAnsi" w:cstheme="majorHAnsi"/>
          <w:i/>
          <w:sz w:val="24"/>
          <w:szCs w:val="24"/>
          <w:lang w:val="ru-MD"/>
        </w:rPr>
        <w:t xml:space="preserve"> развития и информационной безопасности таможенного органа </w:t>
      </w:r>
      <w:r w:rsidR="00AA4B8F" w:rsidRPr="002F6987">
        <w:rPr>
          <w:rFonts w:asciiTheme="majorHAnsi" w:hAnsiTheme="majorHAnsi" w:cstheme="majorHAnsi"/>
          <w:i/>
          <w:sz w:val="24"/>
          <w:szCs w:val="24"/>
          <w:lang w:val="ru-MD"/>
        </w:rPr>
        <w:t>на протяжении</w:t>
      </w:r>
      <w:r w:rsidRPr="002F6987">
        <w:rPr>
          <w:rFonts w:asciiTheme="majorHAnsi" w:hAnsiTheme="majorHAnsi" w:cstheme="majorHAnsi"/>
          <w:i/>
          <w:sz w:val="24"/>
          <w:szCs w:val="24"/>
          <w:lang w:val="ru-MD"/>
        </w:rPr>
        <w:t xml:space="preserve"> семи лет не обеспечил их развитие/модернизацию для у</w:t>
      </w:r>
      <w:r w:rsidR="00AA4B8F" w:rsidRPr="002F6987">
        <w:rPr>
          <w:rFonts w:asciiTheme="majorHAnsi" w:hAnsiTheme="majorHAnsi" w:cstheme="majorHAnsi"/>
          <w:i/>
          <w:sz w:val="24"/>
          <w:szCs w:val="24"/>
          <w:lang w:val="ru-MD"/>
        </w:rPr>
        <w:t>совершенствова</w:t>
      </w:r>
      <w:r w:rsidRPr="002F6987">
        <w:rPr>
          <w:rFonts w:asciiTheme="majorHAnsi" w:hAnsiTheme="majorHAnsi" w:cstheme="majorHAnsi"/>
          <w:i/>
          <w:sz w:val="24"/>
          <w:szCs w:val="24"/>
          <w:lang w:val="ru-MD"/>
        </w:rPr>
        <w:t xml:space="preserve">ния таможенной деятельности путем минимизации рисков декларирования импортных товаров, а также </w:t>
      </w:r>
      <w:r w:rsidR="00AA4B8F" w:rsidRPr="002F6987">
        <w:rPr>
          <w:rFonts w:asciiTheme="majorHAnsi" w:hAnsiTheme="majorHAnsi" w:cstheme="majorHAnsi"/>
          <w:i/>
          <w:sz w:val="24"/>
          <w:szCs w:val="24"/>
          <w:lang w:val="ru-MD"/>
        </w:rPr>
        <w:t xml:space="preserve">для </w:t>
      </w:r>
      <w:r w:rsidRPr="002F6987">
        <w:rPr>
          <w:rFonts w:asciiTheme="majorHAnsi" w:hAnsiTheme="majorHAnsi" w:cstheme="majorHAnsi"/>
          <w:i/>
          <w:sz w:val="24"/>
          <w:szCs w:val="24"/>
          <w:lang w:val="ru-MD"/>
        </w:rPr>
        <w:t>ведения автоматизированного учета сертификатов преимущественного происхождения экспорт</w:t>
      </w:r>
      <w:r w:rsidR="002F6987" w:rsidRPr="002F6987">
        <w:rPr>
          <w:rFonts w:asciiTheme="majorHAnsi" w:hAnsiTheme="majorHAnsi" w:cstheme="majorHAnsi"/>
          <w:i/>
          <w:sz w:val="24"/>
          <w:szCs w:val="24"/>
          <w:lang w:val="ru-MD"/>
        </w:rPr>
        <w:t>ируем</w:t>
      </w:r>
      <w:r w:rsidRPr="002F6987">
        <w:rPr>
          <w:rFonts w:asciiTheme="majorHAnsi" w:hAnsiTheme="majorHAnsi" w:cstheme="majorHAnsi"/>
          <w:i/>
          <w:sz w:val="24"/>
          <w:szCs w:val="24"/>
          <w:lang w:val="ru-MD"/>
        </w:rPr>
        <w:t xml:space="preserve">ых товаров </w:t>
      </w:r>
      <w:r w:rsidR="00BF5B93" w:rsidRPr="00B20FBD">
        <w:rPr>
          <w:rFonts w:asciiTheme="majorHAnsi" w:hAnsiTheme="majorHAnsi" w:cstheme="majorHAnsi"/>
          <w:i/>
          <w:sz w:val="24"/>
          <w:szCs w:val="24"/>
          <w:lang w:val="ro-MD"/>
        </w:rPr>
        <w:t>(</w:t>
      </w:r>
      <w:r w:rsidR="00C92679">
        <w:rPr>
          <w:rFonts w:asciiTheme="majorHAnsi" w:hAnsiTheme="majorHAnsi" w:cstheme="majorHAnsi"/>
          <w:i/>
          <w:sz w:val="24"/>
          <w:szCs w:val="24"/>
          <w:lang w:val="ro-MD"/>
        </w:rPr>
        <w:t>п</w:t>
      </w:r>
      <w:r w:rsidR="002F6987">
        <w:rPr>
          <w:rFonts w:asciiTheme="majorHAnsi" w:hAnsiTheme="majorHAnsi" w:cstheme="majorHAnsi"/>
          <w:i/>
          <w:sz w:val="24"/>
          <w:szCs w:val="24"/>
          <w:lang w:val="ro-MD"/>
        </w:rPr>
        <w:t>.4.3.3)</w:t>
      </w:r>
      <w:r w:rsidR="002F6987">
        <w:rPr>
          <w:rFonts w:asciiTheme="majorHAnsi" w:hAnsiTheme="majorHAnsi" w:cstheme="majorHAnsi"/>
          <w:i/>
          <w:sz w:val="24"/>
          <w:szCs w:val="24"/>
          <w:lang w:val="ru-RU"/>
        </w:rPr>
        <w:t>;</w:t>
      </w:r>
    </w:p>
    <w:p w14:paraId="28842CAD" w14:textId="7C3C3444" w:rsidR="00A06190" w:rsidRPr="00B20FBD" w:rsidRDefault="00BF6897" w:rsidP="00BF6897">
      <w:pPr>
        <w:pStyle w:val="ListParagraph"/>
        <w:numPr>
          <w:ilvl w:val="0"/>
          <w:numId w:val="6"/>
        </w:numPr>
        <w:spacing w:after="120" w:line="276" w:lineRule="auto"/>
        <w:ind w:left="0" w:firstLine="360"/>
        <w:jc w:val="both"/>
        <w:rPr>
          <w:rFonts w:asciiTheme="majorHAnsi" w:hAnsiTheme="majorHAnsi" w:cstheme="majorHAnsi"/>
          <w:i/>
          <w:sz w:val="24"/>
          <w:szCs w:val="24"/>
        </w:rPr>
      </w:pPr>
      <w:r w:rsidRPr="00AA4B8F">
        <w:rPr>
          <w:rFonts w:asciiTheme="majorHAnsi" w:hAnsiTheme="majorHAnsi" w:cstheme="majorHAnsi"/>
          <w:i/>
          <w:sz w:val="24"/>
          <w:szCs w:val="24"/>
          <w:lang w:val="ru-MD"/>
        </w:rPr>
        <w:t xml:space="preserve">Сохраняются </w:t>
      </w:r>
      <w:r w:rsidR="001F32E5" w:rsidRPr="00AA4B8F">
        <w:rPr>
          <w:rFonts w:asciiTheme="majorHAnsi" w:hAnsiTheme="majorHAnsi" w:cstheme="majorHAnsi"/>
          <w:i/>
          <w:sz w:val="24"/>
          <w:szCs w:val="24"/>
          <w:lang w:val="ru-MD"/>
        </w:rPr>
        <w:t>определенн</w:t>
      </w:r>
      <w:r w:rsidRPr="00AA4B8F">
        <w:rPr>
          <w:rFonts w:asciiTheme="majorHAnsi" w:hAnsiTheme="majorHAnsi" w:cstheme="majorHAnsi"/>
          <w:i/>
          <w:sz w:val="24"/>
          <w:szCs w:val="24"/>
          <w:lang w:val="ru-MD"/>
        </w:rPr>
        <w:t xml:space="preserve">ые риски мошенничества с преференциальным происхождением </w:t>
      </w:r>
      <w:r w:rsidR="001F32E5" w:rsidRPr="00AA4B8F">
        <w:rPr>
          <w:rFonts w:asciiTheme="majorHAnsi" w:hAnsiTheme="majorHAnsi" w:cstheme="majorHAnsi"/>
          <w:i/>
          <w:sz w:val="24"/>
          <w:szCs w:val="24"/>
          <w:lang w:val="ru-MD"/>
        </w:rPr>
        <w:t xml:space="preserve">ввозимых в страну </w:t>
      </w:r>
      <w:r w:rsidRPr="00AA4B8F">
        <w:rPr>
          <w:rFonts w:asciiTheme="majorHAnsi" w:hAnsiTheme="majorHAnsi" w:cstheme="majorHAnsi"/>
          <w:i/>
          <w:sz w:val="24"/>
          <w:szCs w:val="24"/>
          <w:lang w:val="ru-MD"/>
        </w:rPr>
        <w:t>товаров, выявленны</w:t>
      </w:r>
      <w:r w:rsidR="001F32E5" w:rsidRPr="00AA4B8F">
        <w:rPr>
          <w:rFonts w:asciiTheme="majorHAnsi" w:hAnsiTheme="majorHAnsi" w:cstheme="majorHAnsi"/>
          <w:i/>
          <w:sz w:val="24"/>
          <w:szCs w:val="24"/>
          <w:lang w:val="ru-MD"/>
        </w:rPr>
        <w:t>е</w:t>
      </w:r>
      <w:r w:rsidRPr="00AA4B8F">
        <w:rPr>
          <w:rFonts w:asciiTheme="majorHAnsi" w:hAnsiTheme="majorHAnsi" w:cstheme="majorHAnsi"/>
          <w:i/>
          <w:sz w:val="24"/>
          <w:szCs w:val="24"/>
          <w:lang w:val="ru-MD"/>
        </w:rPr>
        <w:t xml:space="preserve"> в 2020-2021 г</w:t>
      </w:r>
      <w:r w:rsidR="001F32E5" w:rsidRPr="00AA4B8F">
        <w:rPr>
          <w:rFonts w:asciiTheme="majorHAnsi" w:hAnsiTheme="majorHAnsi" w:cstheme="majorHAnsi"/>
          <w:i/>
          <w:sz w:val="24"/>
          <w:szCs w:val="24"/>
          <w:lang w:val="ru-MD"/>
        </w:rPr>
        <w:t>одах</w:t>
      </w:r>
      <w:r w:rsidRPr="00AA4B8F">
        <w:rPr>
          <w:rFonts w:asciiTheme="majorHAnsi" w:hAnsiTheme="majorHAnsi" w:cstheme="majorHAnsi"/>
          <w:i/>
          <w:sz w:val="24"/>
          <w:szCs w:val="24"/>
          <w:lang w:val="ru-MD"/>
        </w:rPr>
        <w:t>, исходя из того, что 31,6% и</w:t>
      </w:r>
      <w:r w:rsidR="001F32E5" w:rsidRPr="00AA4B8F">
        <w:rPr>
          <w:rFonts w:asciiTheme="majorHAnsi" w:hAnsiTheme="majorHAnsi" w:cstheme="majorHAnsi"/>
          <w:i/>
          <w:sz w:val="24"/>
          <w:szCs w:val="24"/>
          <w:lang w:val="ru-MD"/>
        </w:rPr>
        <w:t>,</w:t>
      </w:r>
      <w:r w:rsidRPr="00AA4B8F">
        <w:rPr>
          <w:rFonts w:asciiTheme="majorHAnsi" w:hAnsiTheme="majorHAnsi" w:cstheme="majorHAnsi"/>
          <w:i/>
          <w:sz w:val="24"/>
          <w:szCs w:val="24"/>
          <w:lang w:val="ru-MD"/>
        </w:rPr>
        <w:t xml:space="preserve"> </w:t>
      </w:r>
      <w:r w:rsidR="001F32E5" w:rsidRPr="00AA4B8F">
        <w:rPr>
          <w:rFonts w:asciiTheme="majorHAnsi" w:hAnsiTheme="majorHAnsi" w:cstheme="majorHAnsi"/>
          <w:i/>
          <w:sz w:val="24"/>
          <w:szCs w:val="24"/>
          <w:lang w:val="ru-MD"/>
        </w:rPr>
        <w:t xml:space="preserve">соответственно, </w:t>
      </w:r>
      <w:r w:rsidRPr="00AA4B8F">
        <w:rPr>
          <w:rFonts w:asciiTheme="majorHAnsi" w:hAnsiTheme="majorHAnsi" w:cstheme="majorHAnsi"/>
          <w:i/>
          <w:sz w:val="24"/>
          <w:szCs w:val="24"/>
          <w:lang w:val="ru-MD"/>
        </w:rPr>
        <w:t xml:space="preserve">34,6% </w:t>
      </w:r>
      <w:r w:rsidR="00AA4B8F" w:rsidRPr="00AA4B8F">
        <w:rPr>
          <w:rFonts w:asciiTheme="majorHAnsi" w:hAnsiTheme="majorHAnsi" w:cstheme="majorHAnsi"/>
          <w:i/>
          <w:sz w:val="24"/>
          <w:szCs w:val="24"/>
          <w:lang w:val="ru-MD"/>
        </w:rPr>
        <w:t>ежегодн</w:t>
      </w:r>
      <w:r w:rsidRPr="00AA4B8F">
        <w:rPr>
          <w:rFonts w:asciiTheme="majorHAnsi" w:hAnsiTheme="majorHAnsi" w:cstheme="majorHAnsi"/>
          <w:i/>
          <w:sz w:val="24"/>
          <w:szCs w:val="24"/>
          <w:lang w:val="ru-MD"/>
        </w:rPr>
        <w:t>ых запросов</w:t>
      </w:r>
      <w:r w:rsidR="00AA4B8F" w:rsidRPr="00AA4B8F">
        <w:rPr>
          <w:rFonts w:asciiTheme="majorHAnsi" w:hAnsiTheme="majorHAnsi" w:cstheme="majorHAnsi"/>
          <w:i/>
          <w:sz w:val="24"/>
          <w:szCs w:val="24"/>
          <w:lang w:val="ru-MD"/>
        </w:rPr>
        <w:t>, направленных</w:t>
      </w:r>
      <w:r w:rsidRPr="00AA4B8F">
        <w:rPr>
          <w:rFonts w:asciiTheme="majorHAnsi" w:hAnsiTheme="majorHAnsi" w:cstheme="majorHAnsi"/>
          <w:i/>
          <w:sz w:val="24"/>
          <w:szCs w:val="24"/>
          <w:lang w:val="ru-MD"/>
        </w:rPr>
        <w:t xml:space="preserve"> </w:t>
      </w:r>
      <w:r w:rsidR="00AA4B8F" w:rsidRPr="00AA4B8F">
        <w:rPr>
          <w:rFonts w:asciiTheme="majorHAnsi" w:hAnsiTheme="majorHAnsi" w:cstheme="majorHAnsi"/>
          <w:i/>
          <w:sz w:val="24"/>
          <w:szCs w:val="24"/>
          <w:lang w:val="ru-MD"/>
        </w:rPr>
        <w:t>Т</w:t>
      </w:r>
      <w:r w:rsidRPr="00AA4B8F">
        <w:rPr>
          <w:rFonts w:asciiTheme="majorHAnsi" w:hAnsiTheme="majorHAnsi" w:cstheme="majorHAnsi"/>
          <w:i/>
          <w:sz w:val="24"/>
          <w:szCs w:val="24"/>
          <w:lang w:val="ru-MD"/>
        </w:rPr>
        <w:t>аможенной службы таможенны</w:t>
      </w:r>
      <w:r w:rsidR="00AA4B8F" w:rsidRPr="00AA4B8F">
        <w:rPr>
          <w:rFonts w:asciiTheme="majorHAnsi" w:hAnsiTheme="majorHAnsi" w:cstheme="majorHAnsi"/>
          <w:i/>
          <w:sz w:val="24"/>
          <w:szCs w:val="24"/>
          <w:lang w:val="ru-MD"/>
        </w:rPr>
        <w:t xml:space="preserve">м </w:t>
      </w:r>
      <w:r w:rsidRPr="00AA4B8F">
        <w:rPr>
          <w:rFonts w:asciiTheme="majorHAnsi" w:hAnsiTheme="majorHAnsi" w:cstheme="majorHAnsi"/>
          <w:i/>
          <w:sz w:val="24"/>
          <w:szCs w:val="24"/>
          <w:lang w:val="ru-MD"/>
        </w:rPr>
        <w:t>орган</w:t>
      </w:r>
      <w:r w:rsidR="00AA4B8F" w:rsidRPr="00AA4B8F">
        <w:rPr>
          <w:rFonts w:asciiTheme="majorHAnsi" w:hAnsiTheme="majorHAnsi" w:cstheme="majorHAnsi"/>
          <w:i/>
          <w:sz w:val="24"/>
          <w:szCs w:val="24"/>
          <w:lang w:val="ru-MD"/>
        </w:rPr>
        <w:t>ам</w:t>
      </w:r>
      <w:r w:rsidRPr="00AA4B8F">
        <w:rPr>
          <w:rFonts w:asciiTheme="majorHAnsi" w:hAnsiTheme="majorHAnsi" w:cstheme="majorHAnsi"/>
          <w:i/>
          <w:sz w:val="24"/>
          <w:szCs w:val="24"/>
          <w:lang w:val="ru-MD"/>
        </w:rPr>
        <w:t xml:space="preserve"> других стран, происхождение импортируемых товаров не подтверждено или частично подтверждено, что </w:t>
      </w:r>
      <w:r w:rsidR="00AA4B8F" w:rsidRPr="00AA4B8F">
        <w:rPr>
          <w:rFonts w:asciiTheme="majorHAnsi" w:hAnsiTheme="majorHAnsi" w:cstheme="majorHAnsi"/>
          <w:i/>
          <w:sz w:val="24"/>
          <w:szCs w:val="24"/>
          <w:lang w:val="ru-MD"/>
        </w:rPr>
        <w:t>свидетельствует о том</w:t>
      </w:r>
      <w:r w:rsidRPr="00AA4B8F">
        <w:rPr>
          <w:rFonts w:asciiTheme="majorHAnsi" w:hAnsiTheme="majorHAnsi" w:cstheme="majorHAnsi"/>
          <w:i/>
          <w:sz w:val="24"/>
          <w:szCs w:val="24"/>
          <w:lang w:val="ru-MD"/>
        </w:rPr>
        <w:t>, что экономические агенты представляют таможенному органу сертификаты происхождения несоответствующих товаров на том основании, что экспортер не представил достаточно информации, подтверждающей преимущественное происхождение импортируемых товаров</w:t>
      </w:r>
      <w:r w:rsidR="001B2DED" w:rsidRPr="00AA4B8F">
        <w:rPr>
          <w:rFonts w:asciiTheme="majorHAnsi" w:hAnsiTheme="majorHAnsi" w:cstheme="majorHAnsi"/>
          <w:i/>
          <w:sz w:val="24"/>
          <w:szCs w:val="24"/>
          <w:lang w:val="ru-MD"/>
        </w:rPr>
        <w:t xml:space="preserve"> </w:t>
      </w:r>
      <w:r w:rsidR="00144FB2" w:rsidRPr="00B20FBD">
        <w:rPr>
          <w:rFonts w:asciiTheme="majorHAnsi" w:eastAsia="Times New Roman" w:hAnsiTheme="majorHAnsi" w:cstheme="majorHAnsi"/>
          <w:i/>
          <w:sz w:val="24"/>
          <w:szCs w:val="24"/>
          <w:lang w:eastAsia="ro-RO"/>
        </w:rPr>
        <w:t>(</w:t>
      </w:r>
      <w:r w:rsidR="00C92679">
        <w:rPr>
          <w:rFonts w:asciiTheme="majorHAnsi" w:eastAsia="Times New Roman" w:hAnsiTheme="majorHAnsi" w:cstheme="majorHAnsi"/>
          <w:i/>
          <w:sz w:val="24"/>
          <w:szCs w:val="24"/>
          <w:lang w:eastAsia="ro-RO"/>
        </w:rPr>
        <w:t>п</w:t>
      </w:r>
      <w:r w:rsidR="00144FB2" w:rsidRPr="00B20FBD">
        <w:rPr>
          <w:rFonts w:asciiTheme="majorHAnsi" w:eastAsia="Times New Roman" w:hAnsiTheme="majorHAnsi" w:cstheme="majorHAnsi"/>
          <w:i/>
          <w:sz w:val="24"/>
          <w:szCs w:val="24"/>
          <w:lang w:eastAsia="ro-RO"/>
        </w:rPr>
        <w:t>.</w:t>
      </w:r>
      <w:r w:rsidR="004B3181" w:rsidRPr="00B20FBD">
        <w:rPr>
          <w:rFonts w:asciiTheme="majorHAnsi" w:eastAsia="Times New Roman" w:hAnsiTheme="majorHAnsi" w:cstheme="majorHAnsi"/>
          <w:i/>
          <w:sz w:val="24"/>
          <w:szCs w:val="24"/>
          <w:lang w:eastAsia="ro-RO"/>
        </w:rPr>
        <w:t>4.</w:t>
      </w:r>
      <w:r w:rsidR="00144FB2" w:rsidRPr="00B20FBD">
        <w:rPr>
          <w:rFonts w:asciiTheme="majorHAnsi" w:eastAsia="Times New Roman" w:hAnsiTheme="majorHAnsi" w:cstheme="majorHAnsi"/>
          <w:i/>
          <w:sz w:val="24"/>
          <w:szCs w:val="24"/>
          <w:lang w:eastAsia="ro-RO"/>
        </w:rPr>
        <w:t>3.3)</w:t>
      </w:r>
      <w:r w:rsidR="00AA4B8F">
        <w:rPr>
          <w:rFonts w:asciiTheme="majorHAnsi" w:eastAsia="Times New Roman" w:hAnsiTheme="majorHAnsi" w:cstheme="majorHAnsi"/>
          <w:i/>
          <w:sz w:val="24"/>
          <w:szCs w:val="24"/>
          <w:lang w:val="ru-RU" w:eastAsia="ro-RO"/>
        </w:rPr>
        <w:t>;</w:t>
      </w:r>
      <w:r w:rsidR="00A06190" w:rsidRPr="00B20FBD">
        <w:rPr>
          <w:rFonts w:asciiTheme="majorHAnsi" w:eastAsia="Times New Roman" w:hAnsiTheme="majorHAnsi" w:cstheme="majorHAnsi"/>
          <w:i/>
          <w:sz w:val="24"/>
          <w:szCs w:val="24"/>
          <w:lang w:val="ro-MD"/>
        </w:rPr>
        <w:t xml:space="preserve"> </w:t>
      </w:r>
    </w:p>
    <w:p w14:paraId="71B2A53D" w14:textId="26921109" w:rsidR="00FD682E" w:rsidRPr="00B20FBD" w:rsidRDefault="001F32E5" w:rsidP="009A4358">
      <w:pPr>
        <w:pStyle w:val="ListParagraph"/>
        <w:numPr>
          <w:ilvl w:val="0"/>
          <w:numId w:val="6"/>
        </w:numPr>
        <w:spacing w:after="120" w:line="276" w:lineRule="auto"/>
        <w:ind w:left="0" w:firstLine="360"/>
        <w:jc w:val="both"/>
        <w:rPr>
          <w:rFonts w:asciiTheme="majorHAnsi" w:hAnsiTheme="majorHAnsi" w:cstheme="majorHAnsi"/>
          <w:i/>
          <w:sz w:val="24"/>
          <w:szCs w:val="24"/>
        </w:rPr>
      </w:pPr>
      <w:r w:rsidRPr="001F32E5">
        <w:rPr>
          <w:rFonts w:asciiTheme="majorHAnsi" w:hAnsiTheme="majorHAnsi" w:cstheme="majorHAnsi"/>
          <w:i/>
          <w:sz w:val="24"/>
          <w:szCs w:val="24"/>
          <w:lang w:val="ru-MD"/>
        </w:rPr>
        <w:t>необеспечение</w:t>
      </w:r>
      <w:r w:rsidR="00BF6897" w:rsidRPr="001F32E5">
        <w:rPr>
          <w:rFonts w:asciiTheme="majorHAnsi" w:hAnsiTheme="majorHAnsi" w:cstheme="majorHAnsi"/>
          <w:i/>
          <w:sz w:val="24"/>
          <w:szCs w:val="24"/>
          <w:lang w:val="ru-MD"/>
        </w:rPr>
        <w:t xml:space="preserve"> прозрачности некоторых сделок с нефтепродуктами </w:t>
      </w:r>
      <w:r w:rsidRPr="001F32E5">
        <w:rPr>
          <w:rFonts w:asciiTheme="majorHAnsi" w:hAnsiTheme="majorHAnsi" w:cstheme="majorHAnsi"/>
          <w:i/>
          <w:sz w:val="24"/>
          <w:szCs w:val="24"/>
          <w:lang w:val="ru-MD"/>
        </w:rPr>
        <w:t xml:space="preserve">на сумму </w:t>
      </w:r>
      <w:r w:rsidR="00BF6897" w:rsidRPr="001F32E5">
        <w:rPr>
          <w:rFonts w:asciiTheme="majorHAnsi" w:hAnsiTheme="majorHAnsi" w:cstheme="majorHAnsi"/>
          <w:i/>
          <w:sz w:val="24"/>
          <w:szCs w:val="24"/>
          <w:lang w:val="ru-MD"/>
        </w:rPr>
        <w:t xml:space="preserve">406,6 млн. леев, </w:t>
      </w:r>
      <w:r w:rsidRPr="001F32E5">
        <w:rPr>
          <w:rFonts w:asciiTheme="majorHAnsi" w:hAnsiTheme="majorHAnsi" w:cstheme="majorHAnsi"/>
          <w:i/>
          <w:sz w:val="24"/>
          <w:szCs w:val="24"/>
          <w:lang w:val="ru-MD"/>
        </w:rPr>
        <w:t xml:space="preserve">а </w:t>
      </w:r>
      <w:r w:rsidR="00BF6897" w:rsidRPr="001F32E5">
        <w:rPr>
          <w:rFonts w:asciiTheme="majorHAnsi" w:hAnsiTheme="majorHAnsi" w:cstheme="majorHAnsi"/>
          <w:i/>
          <w:sz w:val="24"/>
          <w:szCs w:val="24"/>
          <w:lang w:val="ru-MD"/>
        </w:rPr>
        <w:t xml:space="preserve">задекларированная таможенная стоимость товара варьирует в зависимости от страны сделки, в том числе через юрисдикции, не применяющие стандарты прозрачности, с вероятностью недополучения доходов в размере 46,4 млн. леев в качестве импортных платежей </w:t>
      </w:r>
      <w:r w:rsidRPr="001F32E5">
        <w:rPr>
          <w:rFonts w:asciiTheme="majorHAnsi" w:hAnsiTheme="majorHAnsi" w:cstheme="majorHAnsi"/>
          <w:i/>
          <w:sz w:val="24"/>
          <w:szCs w:val="24"/>
          <w:lang w:val="ru-MD"/>
        </w:rPr>
        <w:t>на</w:t>
      </w:r>
      <w:r w:rsidR="00BF6897" w:rsidRPr="001F32E5">
        <w:rPr>
          <w:rFonts w:asciiTheme="majorHAnsi" w:hAnsiTheme="majorHAnsi" w:cstheme="majorHAnsi"/>
          <w:i/>
          <w:sz w:val="24"/>
          <w:szCs w:val="24"/>
          <w:lang w:val="ru-MD"/>
        </w:rPr>
        <w:t xml:space="preserve"> разниц</w:t>
      </w:r>
      <w:r w:rsidRPr="001F32E5">
        <w:rPr>
          <w:rFonts w:asciiTheme="majorHAnsi" w:hAnsiTheme="majorHAnsi" w:cstheme="majorHAnsi"/>
          <w:i/>
          <w:sz w:val="24"/>
          <w:szCs w:val="24"/>
          <w:lang w:val="ru-MD"/>
        </w:rPr>
        <w:t>у</w:t>
      </w:r>
      <w:r w:rsidR="00BF6897" w:rsidRPr="001F32E5">
        <w:rPr>
          <w:rFonts w:asciiTheme="majorHAnsi" w:hAnsiTheme="majorHAnsi" w:cstheme="majorHAnsi"/>
          <w:i/>
          <w:sz w:val="24"/>
          <w:szCs w:val="24"/>
          <w:lang w:val="ru-MD"/>
        </w:rPr>
        <w:t xml:space="preserve"> в цене, импорт в основном осуществлялся тремя экономическими агентами-резидентами</w:t>
      </w:r>
      <w:r w:rsidR="00BF6897" w:rsidRPr="00BF6897">
        <w:rPr>
          <w:rFonts w:asciiTheme="majorHAnsi" w:hAnsiTheme="majorHAnsi" w:cstheme="majorHAnsi"/>
          <w:sz w:val="24"/>
          <w:szCs w:val="24"/>
        </w:rPr>
        <w:t xml:space="preserve"> </w:t>
      </w:r>
      <w:r w:rsidR="00FD682E" w:rsidRPr="00B20FBD">
        <w:rPr>
          <w:rFonts w:asciiTheme="majorHAnsi" w:hAnsiTheme="majorHAnsi" w:cstheme="majorHAnsi"/>
          <w:i/>
          <w:sz w:val="24"/>
          <w:szCs w:val="24"/>
          <w:lang w:val="ro-MD"/>
        </w:rPr>
        <w:t>(</w:t>
      </w:r>
      <w:r w:rsidR="00C92679">
        <w:rPr>
          <w:rFonts w:asciiTheme="majorHAnsi" w:hAnsiTheme="majorHAnsi" w:cstheme="majorHAnsi"/>
          <w:i/>
          <w:sz w:val="24"/>
          <w:szCs w:val="24"/>
          <w:lang w:val="ro-MD"/>
        </w:rPr>
        <w:t>п</w:t>
      </w:r>
      <w:r w:rsidR="00FD682E" w:rsidRPr="00B20FBD">
        <w:rPr>
          <w:rFonts w:asciiTheme="majorHAnsi" w:hAnsiTheme="majorHAnsi" w:cstheme="majorHAnsi"/>
          <w:i/>
          <w:sz w:val="24"/>
          <w:szCs w:val="24"/>
          <w:lang w:val="ro-MD"/>
        </w:rPr>
        <w:t>.</w:t>
      </w:r>
      <w:r w:rsidR="00785A96" w:rsidRPr="00B20FBD">
        <w:rPr>
          <w:rFonts w:asciiTheme="majorHAnsi" w:hAnsiTheme="majorHAnsi" w:cstheme="majorHAnsi"/>
          <w:i/>
          <w:sz w:val="24"/>
          <w:szCs w:val="24"/>
          <w:lang w:val="ro-MD"/>
        </w:rPr>
        <w:t>4.</w:t>
      </w:r>
      <w:r w:rsidR="00FD682E" w:rsidRPr="00B20FBD">
        <w:rPr>
          <w:rFonts w:asciiTheme="majorHAnsi" w:hAnsiTheme="majorHAnsi" w:cstheme="majorHAnsi"/>
          <w:i/>
          <w:sz w:val="24"/>
          <w:szCs w:val="24"/>
          <w:lang w:val="ro-MD"/>
        </w:rPr>
        <w:t>3.</w:t>
      </w:r>
      <w:r w:rsidR="00785A96" w:rsidRPr="00B20FBD">
        <w:rPr>
          <w:rFonts w:asciiTheme="majorHAnsi" w:hAnsiTheme="majorHAnsi" w:cstheme="majorHAnsi"/>
          <w:i/>
          <w:sz w:val="24"/>
          <w:szCs w:val="24"/>
          <w:lang w:val="ro-MD"/>
        </w:rPr>
        <w:t>3</w:t>
      </w:r>
      <w:r w:rsidR="00FD682E" w:rsidRPr="00B20FBD">
        <w:rPr>
          <w:rFonts w:asciiTheme="majorHAnsi" w:hAnsiTheme="majorHAnsi" w:cstheme="majorHAnsi"/>
          <w:i/>
          <w:sz w:val="24"/>
          <w:szCs w:val="24"/>
          <w:lang w:val="ro-MD"/>
        </w:rPr>
        <w:t>)</w:t>
      </w:r>
      <w:r>
        <w:rPr>
          <w:rFonts w:asciiTheme="majorHAnsi" w:hAnsiTheme="majorHAnsi" w:cstheme="majorHAnsi"/>
          <w:i/>
          <w:sz w:val="24"/>
          <w:szCs w:val="24"/>
          <w:lang w:val="ru-RU"/>
        </w:rPr>
        <w:t>;</w:t>
      </w:r>
    </w:p>
    <w:p w14:paraId="6D79FE6F" w14:textId="2CBD97C4" w:rsidR="002A5D19" w:rsidRPr="009E4E49" w:rsidRDefault="001B2DED" w:rsidP="001B2DED">
      <w:pPr>
        <w:pStyle w:val="ListParagraph"/>
        <w:numPr>
          <w:ilvl w:val="0"/>
          <w:numId w:val="6"/>
        </w:numPr>
        <w:spacing w:after="120" w:line="276" w:lineRule="auto"/>
        <w:ind w:left="0" w:firstLine="360"/>
        <w:jc w:val="both"/>
        <w:rPr>
          <w:rFonts w:asciiTheme="majorHAnsi" w:hAnsiTheme="majorHAnsi" w:cstheme="majorHAnsi"/>
          <w:i/>
          <w:sz w:val="24"/>
          <w:szCs w:val="24"/>
          <w:lang w:val="ru-MD"/>
        </w:rPr>
      </w:pPr>
      <w:r w:rsidRPr="009E4E49">
        <w:rPr>
          <w:rFonts w:asciiTheme="majorHAnsi" w:eastAsia="MinionPro-Regular" w:hAnsiTheme="majorHAnsi" w:cstheme="majorHAnsi"/>
          <w:i/>
          <w:sz w:val="24"/>
          <w:szCs w:val="24"/>
          <w:lang w:val="ru-MD"/>
        </w:rPr>
        <w:t xml:space="preserve">Нормативная база в области содействия торговле и администрированию таможенных доходов не была полностью скорректирована с учетом положений </w:t>
      </w:r>
      <w:r w:rsidR="009E4E49" w:rsidRPr="009E4E49">
        <w:rPr>
          <w:rFonts w:asciiTheme="majorHAnsi" w:eastAsia="MinionPro-Regular" w:hAnsiTheme="majorHAnsi" w:cstheme="majorHAnsi"/>
          <w:i/>
          <w:sz w:val="24"/>
          <w:szCs w:val="24"/>
          <w:lang w:val="ru-MD"/>
        </w:rPr>
        <w:t xml:space="preserve">принятых </w:t>
      </w:r>
      <w:r w:rsidRPr="009E4E49">
        <w:rPr>
          <w:rFonts w:asciiTheme="majorHAnsi" w:eastAsia="MinionPro-Regular" w:hAnsiTheme="majorHAnsi" w:cstheme="majorHAnsi"/>
          <w:i/>
          <w:sz w:val="24"/>
          <w:szCs w:val="24"/>
          <w:lang w:val="ru-MD"/>
        </w:rPr>
        <w:t xml:space="preserve">обязательств в </w:t>
      </w:r>
      <w:r w:rsidR="009E4E49" w:rsidRPr="009E4E49">
        <w:rPr>
          <w:rFonts w:asciiTheme="majorHAnsi" w:eastAsia="MinionPro-Regular" w:hAnsiTheme="majorHAnsi" w:cstheme="majorHAnsi"/>
          <w:i/>
          <w:sz w:val="24"/>
          <w:szCs w:val="24"/>
          <w:lang w:val="ru-MD"/>
        </w:rPr>
        <w:t xml:space="preserve">рамках </w:t>
      </w:r>
      <w:r w:rsidRPr="009E4E49">
        <w:rPr>
          <w:rFonts w:asciiTheme="majorHAnsi" w:eastAsia="MinionPro-Regular" w:hAnsiTheme="majorHAnsi" w:cstheme="majorHAnsi"/>
          <w:i/>
          <w:sz w:val="24"/>
          <w:szCs w:val="24"/>
          <w:lang w:val="ru-MD"/>
        </w:rPr>
        <w:t>Соглашени</w:t>
      </w:r>
      <w:r w:rsidR="009E4E49" w:rsidRPr="009E4E49">
        <w:rPr>
          <w:rFonts w:asciiTheme="majorHAnsi" w:eastAsia="MinionPro-Regular" w:hAnsiTheme="majorHAnsi" w:cstheme="majorHAnsi"/>
          <w:i/>
          <w:sz w:val="24"/>
          <w:szCs w:val="24"/>
          <w:lang w:val="ru-MD"/>
        </w:rPr>
        <w:t>я</w:t>
      </w:r>
      <w:r w:rsidRPr="009E4E49">
        <w:rPr>
          <w:rFonts w:asciiTheme="majorHAnsi" w:eastAsia="MinionPro-Regular" w:hAnsiTheme="majorHAnsi" w:cstheme="majorHAnsi"/>
          <w:i/>
          <w:sz w:val="24"/>
          <w:szCs w:val="24"/>
          <w:lang w:val="ru-MD"/>
        </w:rPr>
        <w:t xml:space="preserve"> об ассоциации РМ-ЕС и Протокола о внесении поправок в Марракешское соглашение о создании Всемирной торговой организации, </w:t>
      </w:r>
      <w:r w:rsidR="009E4E49" w:rsidRPr="009E4E49">
        <w:rPr>
          <w:rFonts w:asciiTheme="majorHAnsi" w:eastAsia="MinionPro-Regular" w:hAnsiTheme="majorHAnsi" w:cstheme="majorHAnsi"/>
          <w:i/>
          <w:sz w:val="24"/>
          <w:szCs w:val="24"/>
          <w:lang w:val="ru-MD"/>
        </w:rPr>
        <w:t>затягивалось</w:t>
      </w:r>
      <w:r w:rsidRPr="009E4E49">
        <w:rPr>
          <w:rFonts w:asciiTheme="majorHAnsi" w:eastAsia="MinionPro-Regular" w:hAnsiTheme="majorHAnsi" w:cstheme="majorHAnsi"/>
          <w:i/>
          <w:sz w:val="24"/>
          <w:szCs w:val="24"/>
          <w:lang w:val="ru-MD"/>
        </w:rPr>
        <w:t xml:space="preserve"> приняти</w:t>
      </w:r>
      <w:r w:rsidR="009E4E49" w:rsidRPr="009E4E49">
        <w:rPr>
          <w:rFonts w:asciiTheme="majorHAnsi" w:eastAsia="MinionPro-Regular" w:hAnsiTheme="majorHAnsi" w:cstheme="majorHAnsi"/>
          <w:i/>
          <w:sz w:val="24"/>
          <w:szCs w:val="24"/>
          <w:lang w:val="ru-MD"/>
        </w:rPr>
        <w:t>е</w:t>
      </w:r>
      <w:r w:rsidRPr="009E4E49">
        <w:rPr>
          <w:rFonts w:asciiTheme="majorHAnsi" w:eastAsia="MinionPro-Regular" w:hAnsiTheme="majorHAnsi" w:cstheme="majorHAnsi"/>
          <w:i/>
          <w:sz w:val="24"/>
          <w:szCs w:val="24"/>
          <w:lang w:val="ru-MD"/>
        </w:rPr>
        <w:t xml:space="preserve"> единой документации по импорту, экспорту и транзитным операциям, хотя стороны согласились с тем, что их законы в области торговли и таможни будут применяться равномерно и эффективно </w:t>
      </w:r>
      <w:r w:rsidR="002A5D19" w:rsidRPr="009E4E49">
        <w:rPr>
          <w:rFonts w:asciiTheme="majorHAnsi" w:eastAsia="Times New Roman" w:hAnsiTheme="majorHAnsi" w:cstheme="majorHAnsi"/>
          <w:i/>
          <w:sz w:val="24"/>
          <w:szCs w:val="24"/>
          <w:lang w:val="ru-MD" w:eastAsia="ro-RO"/>
        </w:rPr>
        <w:t>(</w:t>
      </w:r>
      <w:r w:rsidR="00C92679" w:rsidRPr="009E4E49">
        <w:rPr>
          <w:rFonts w:asciiTheme="majorHAnsi" w:eastAsia="Times New Roman" w:hAnsiTheme="majorHAnsi" w:cstheme="majorHAnsi"/>
          <w:i/>
          <w:sz w:val="24"/>
          <w:szCs w:val="24"/>
          <w:lang w:val="ru-MD" w:eastAsia="ro-RO"/>
        </w:rPr>
        <w:t>п</w:t>
      </w:r>
      <w:r w:rsidR="002A5D19" w:rsidRPr="009E4E49">
        <w:rPr>
          <w:rFonts w:asciiTheme="majorHAnsi" w:eastAsia="Times New Roman" w:hAnsiTheme="majorHAnsi" w:cstheme="majorHAnsi"/>
          <w:i/>
          <w:sz w:val="24"/>
          <w:szCs w:val="24"/>
          <w:lang w:val="ru-MD" w:eastAsia="ro-RO"/>
        </w:rPr>
        <w:t>.</w:t>
      </w:r>
      <w:r w:rsidR="007F2BC1" w:rsidRPr="009E4E49">
        <w:rPr>
          <w:rFonts w:asciiTheme="majorHAnsi" w:eastAsia="Times New Roman" w:hAnsiTheme="majorHAnsi" w:cstheme="majorHAnsi"/>
          <w:i/>
          <w:sz w:val="24"/>
          <w:szCs w:val="24"/>
          <w:lang w:val="ru-MD" w:eastAsia="ro-RO"/>
        </w:rPr>
        <w:t>4.</w:t>
      </w:r>
      <w:r w:rsidR="0013157C" w:rsidRPr="009E4E49">
        <w:rPr>
          <w:rFonts w:asciiTheme="majorHAnsi" w:eastAsia="Times New Roman" w:hAnsiTheme="majorHAnsi" w:cstheme="majorHAnsi"/>
          <w:i/>
          <w:sz w:val="24"/>
          <w:szCs w:val="24"/>
          <w:lang w:val="ru-MD" w:eastAsia="ro-RO"/>
        </w:rPr>
        <w:t>3.</w:t>
      </w:r>
      <w:r w:rsidR="007F2BC1" w:rsidRPr="009E4E49">
        <w:rPr>
          <w:rFonts w:asciiTheme="majorHAnsi" w:eastAsia="Times New Roman" w:hAnsiTheme="majorHAnsi" w:cstheme="majorHAnsi"/>
          <w:i/>
          <w:sz w:val="24"/>
          <w:szCs w:val="24"/>
          <w:lang w:val="ru-MD" w:eastAsia="ro-RO"/>
        </w:rPr>
        <w:t>4</w:t>
      </w:r>
      <w:r w:rsidR="002A5D19" w:rsidRPr="009E4E49">
        <w:rPr>
          <w:rFonts w:asciiTheme="majorHAnsi" w:eastAsia="Times New Roman" w:hAnsiTheme="majorHAnsi" w:cstheme="majorHAnsi"/>
          <w:i/>
          <w:sz w:val="24"/>
          <w:szCs w:val="24"/>
          <w:lang w:val="ru-MD" w:eastAsia="ro-RO"/>
        </w:rPr>
        <w:t>)</w:t>
      </w:r>
      <w:r w:rsidR="009E4E49" w:rsidRPr="009E4E49">
        <w:rPr>
          <w:rFonts w:asciiTheme="majorHAnsi" w:eastAsia="Times New Roman" w:hAnsiTheme="majorHAnsi" w:cstheme="majorHAnsi"/>
          <w:i/>
          <w:sz w:val="24"/>
          <w:szCs w:val="24"/>
          <w:lang w:val="ru-MD" w:eastAsia="ro-RO"/>
        </w:rPr>
        <w:t>;</w:t>
      </w:r>
    </w:p>
    <w:p w14:paraId="7C22CA1A" w14:textId="45B3382D" w:rsidR="00BE7453" w:rsidRPr="00B20FBD" w:rsidRDefault="001B2DED" w:rsidP="001B2DED">
      <w:pPr>
        <w:pStyle w:val="ListParagraph"/>
        <w:numPr>
          <w:ilvl w:val="0"/>
          <w:numId w:val="6"/>
        </w:numPr>
        <w:spacing w:after="120" w:line="276" w:lineRule="auto"/>
        <w:ind w:left="0" w:firstLine="360"/>
        <w:jc w:val="both"/>
        <w:rPr>
          <w:rFonts w:asciiTheme="majorHAnsi" w:hAnsiTheme="majorHAnsi" w:cstheme="majorHAnsi"/>
          <w:i/>
          <w:sz w:val="24"/>
          <w:szCs w:val="24"/>
          <w:lang w:val="ro-MD"/>
        </w:rPr>
      </w:pPr>
      <w:r w:rsidRPr="009E4E49">
        <w:rPr>
          <w:rFonts w:asciiTheme="majorHAnsi" w:hAnsiTheme="majorHAnsi" w:cstheme="majorHAnsi"/>
          <w:i/>
          <w:color w:val="000000" w:themeColor="text1"/>
          <w:sz w:val="24"/>
          <w:szCs w:val="24"/>
          <w:lang w:val="ru-MD"/>
        </w:rPr>
        <w:t xml:space="preserve">Таможенный орган </w:t>
      </w:r>
      <w:r w:rsidR="00FA0A37" w:rsidRPr="009E4E49">
        <w:rPr>
          <w:rFonts w:asciiTheme="majorHAnsi" w:hAnsiTheme="majorHAnsi" w:cstheme="majorHAnsi"/>
          <w:i/>
          <w:color w:val="000000" w:themeColor="text1"/>
          <w:sz w:val="24"/>
          <w:szCs w:val="24"/>
          <w:lang w:val="ru-MD"/>
        </w:rPr>
        <w:t>на протяже</w:t>
      </w:r>
      <w:r w:rsidR="009E4E49">
        <w:rPr>
          <w:rFonts w:asciiTheme="majorHAnsi" w:hAnsiTheme="majorHAnsi" w:cstheme="majorHAnsi"/>
          <w:i/>
          <w:color w:val="000000" w:themeColor="text1"/>
          <w:sz w:val="24"/>
          <w:szCs w:val="24"/>
          <w:lang w:val="ru-MD"/>
        </w:rPr>
        <w:t>н</w:t>
      </w:r>
      <w:r w:rsidR="00FA0A37" w:rsidRPr="009E4E49">
        <w:rPr>
          <w:rFonts w:asciiTheme="majorHAnsi" w:hAnsiTheme="majorHAnsi" w:cstheme="majorHAnsi"/>
          <w:i/>
          <w:color w:val="000000" w:themeColor="text1"/>
          <w:sz w:val="24"/>
          <w:szCs w:val="24"/>
          <w:lang w:val="ru-MD"/>
        </w:rPr>
        <w:t>ии восьми</w:t>
      </w:r>
      <w:r w:rsidRPr="009E4E49">
        <w:rPr>
          <w:rFonts w:asciiTheme="majorHAnsi" w:hAnsiTheme="majorHAnsi" w:cstheme="majorHAnsi"/>
          <w:i/>
          <w:color w:val="000000" w:themeColor="text1"/>
          <w:sz w:val="24"/>
          <w:szCs w:val="24"/>
          <w:lang w:val="ru-MD"/>
        </w:rPr>
        <w:t xml:space="preserve"> лет не внедрил </w:t>
      </w:r>
      <w:r w:rsidR="00FA0A37" w:rsidRPr="009E4E49">
        <w:rPr>
          <w:rFonts w:asciiTheme="majorHAnsi" w:hAnsiTheme="majorHAnsi" w:cstheme="majorHAnsi"/>
          <w:i/>
          <w:color w:val="000000" w:themeColor="text1"/>
          <w:sz w:val="24"/>
          <w:szCs w:val="24"/>
          <w:lang w:val="ru-MD"/>
        </w:rPr>
        <w:t>К</w:t>
      </w:r>
      <w:r w:rsidRPr="009E4E49">
        <w:rPr>
          <w:rFonts w:asciiTheme="majorHAnsi" w:hAnsiTheme="majorHAnsi" w:cstheme="majorHAnsi"/>
          <w:i/>
          <w:color w:val="000000" w:themeColor="text1"/>
          <w:sz w:val="24"/>
          <w:szCs w:val="24"/>
          <w:lang w:val="ru-MD"/>
        </w:rPr>
        <w:t>омпьютеризированную информационную систему транзита (NCTS), необходимую для электронного декларирования при транзите, и не присоединился к Конвенции о режиме совместного транзита с Европейским Союзом</w:t>
      </w:r>
      <w:r w:rsidR="009E4E49" w:rsidRPr="009E4E49">
        <w:rPr>
          <w:rFonts w:asciiTheme="majorHAnsi" w:hAnsiTheme="majorHAnsi" w:cstheme="majorHAnsi"/>
          <w:i/>
          <w:color w:val="000000" w:themeColor="text1"/>
          <w:sz w:val="24"/>
          <w:szCs w:val="24"/>
          <w:lang w:val="ru-MD"/>
        </w:rPr>
        <w:t>,</w:t>
      </w:r>
      <w:r w:rsidRPr="009E4E49">
        <w:rPr>
          <w:rFonts w:asciiTheme="majorHAnsi" w:hAnsiTheme="majorHAnsi" w:cstheme="majorHAnsi"/>
          <w:i/>
          <w:color w:val="000000" w:themeColor="text1"/>
          <w:sz w:val="24"/>
          <w:szCs w:val="24"/>
          <w:lang w:val="ru-MD"/>
        </w:rPr>
        <w:t xml:space="preserve"> в соответствии с требованиями Соглашения об ассоциации РМ-ЕС</w:t>
      </w:r>
      <w:r w:rsidRPr="001B2DED">
        <w:rPr>
          <w:rFonts w:asciiTheme="majorHAnsi" w:hAnsiTheme="majorHAnsi" w:cstheme="majorHAnsi"/>
          <w:i/>
          <w:color w:val="000000" w:themeColor="text1"/>
          <w:sz w:val="24"/>
          <w:szCs w:val="24"/>
          <w:lang w:val="ro-MD"/>
        </w:rPr>
        <w:t xml:space="preserve"> </w:t>
      </w:r>
      <w:r w:rsidR="004A314E" w:rsidRPr="00B20FBD">
        <w:rPr>
          <w:rFonts w:asciiTheme="majorHAnsi" w:hAnsiTheme="majorHAnsi" w:cstheme="majorHAnsi"/>
          <w:i/>
          <w:sz w:val="24"/>
          <w:szCs w:val="24"/>
          <w:lang w:val="ro-MD"/>
        </w:rPr>
        <w:t>(</w:t>
      </w:r>
      <w:r w:rsidR="00C92679">
        <w:rPr>
          <w:rFonts w:asciiTheme="majorHAnsi" w:hAnsiTheme="majorHAnsi" w:cstheme="majorHAnsi"/>
          <w:i/>
          <w:sz w:val="24"/>
          <w:szCs w:val="24"/>
          <w:lang w:val="ro-MD"/>
        </w:rPr>
        <w:t>п</w:t>
      </w:r>
      <w:r w:rsidR="004A314E" w:rsidRPr="00B20FBD">
        <w:rPr>
          <w:rFonts w:asciiTheme="majorHAnsi" w:hAnsiTheme="majorHAnsi" w:cstheme="majorHAnsi"/>
          <w:i/>
          <w:sz w:val="24"/>
          <w:szCs w:val="24"/>
          <w:lang w:val="ro-MD"/>
        </w:rPr>
        <w:t>.</w:t>
      </w:r>
      <w:r w:rsidR="007F2BC1" w:rsidRPr="00B20FBD">
        <w:rPr>
          <w:rFonts w:asciiTheme="majorHAnsi" w:hAnsiTheme="majorHAnsi" w:cstheme="majorHAnsi"/>
          <w:i/>
          <w:sz w:val="24"/>
          <w:szCs w:val="24"/>
          <w:lang w:val="ro-MD"/>
        </w:rPr>
        <w:t>4.</w:t>
      </w:r>
      <w:r w:rsidR="0013157C" w:rsidRPr="00B20FBD">
        <w:rPr>
          <w:rFonts w:asciiTheme="majorHAnsi" w:hAnsiTheme="majorHAnsi" w:cstheme="majorHAnsi"/>
          <w:i/>
          <w:sz w:val="24"/>
          <w:szCs w:val="24"/>
          <w:lang w:val="ro-MD"/>
        </w:rPr>
        <w:t>3.</w:t>
      </w:r>
      <w:r w:rsidR="007F2BC1" w:rsidRPr="00B20FBD">
        <w:rPr>
          <w:rFonts w:asciiTheme="majorHAnsi" w:hAnsiTheme="majorHAnsi" w:cstheme="majorHAnsi"/>
          <w:i/>
          <w:sz w:val="24"/>
          <w:szCs w:val="24"/>
          <w:lang w:val="ro-MD"/>
        </w:rPr>
        <w:t>4</w:t>
      </w:r>
      <w:r w:rsidR="004A314E" w:rsidRPr="00B20FBD">
        <w:rPr>
          <w:rFonts w:asciiTheme="majorHAnsi" w:hAnsiTheme="majorHAnsi" w:cstheme="majorHAnsi"/>
          <w:i/>
          <w:sz w:val="24"/>
          <w:szCs w:val="24"/>
          <w:lang w:val="ro-MD"/>
        </w:rPr>
        <w:t>)</w:t>
      </w:r>
      <w:r w:rsidR="009E4E49">
        <w:rPr>
          <w:rFonts w:asciiTheme="majorHAnsi" w:hAnsiTheme="majorHAnsi" w:cstheme="majorHAnsi"/>
          <w:i/>
          <w:sz w:val="24"/>
          <w:szCs w:val="24"/>
          <w:lang w:val="ru-RU"/>
        </w:rPr>
        <w:t>;</w:t>
      </w:r>
    </w:p>
    <w:p w14:paraId="5DB0494B" w14:textId="245A9D6C" w:rsidR="005A49A5" w:rsidRPr="00FA0A37" w:rsidRDefault="001B2DED" w:rsidP="001B2DED">
      <w:pPr>
        <w:pStyle w:val="ListParagraph"/>
        <w:numPr>
          <w:ilvl w:val="0"/>
          <w:numId w:val="6"/>
        </w:numPr>
        <w:spacing w:after="120" w:line="276" w:lineRule="auto"/>
        <w:ind w:left="0" w:firstLine="360"/>
        <w:jc w:val="both"/>
        <w:rPr>
          <w:rFonts w:asciiTheme="majorHAnsi" w:hAnsiTheme="majorHAnsi" w:cstheme="majorHAnsi"/>
          <w:i/>
          <w:sz w:val="24"/>
          <w:szCs w:val="24"/>
          <w:lang w:val="ru-MD"/>
        </w:rPr>
      </w:pPr>
      <w:r w:rsidRPr="00FA0A37">
        <w:rPr>
          <w:rFonts w:asciiTheme="majorHAnsi" w:eastAsia="Times New Roman" w:hAnsiTheme="majorHAnsi" w:cstheme="majorHAnsi"/>
          <w:i/>
          <w:sz w:val="24"/>
          <w:szCs w:val="24"/>
          <w:lang w:val="ru-MD"/>
        </w:rPr>
        <w:t xml:space="preserve">Не </w:t>
      </w:r>
      <w:r w:rsidR="00FA0A37" w:rsidRPr="00FA0A37">
        <w:rPr>
          <w:rFonts w:asciiTheme="majorHAnsi" w:eastAsia="Times New Roman" w:hAnsiTheme="majorHAnsi" w:cstheme="majorHAnsi"/>
          <w:i/>
          <w:sz w:val="24"/>
          <w:szCs w:val="24"/>
          <w:lang w:val="ru-MD"/>
        </w:rPr>
        <w:t xml:space="preserve">было </w:t>
      </w:r>
      <w:r w:rsidRPr="00FA0A37">
        <w:rPr>
          <w:rFonts w:asciiTheme="majorHAnsi" w:eastAsia="Times New Roman" w:hAnsiTheme="majorHAnsi" w:cstheme="majorHAnsi"/>
          <w:i/>
          <w:sz w:val="24"/>
          <w:szCs w:val="24"/>
          <w:lang w:val="ru-MD"/>
        </w:rPr>
        <w:t xml:space="preserve">подписано </w:t>
      </w:r>
      <w:r w:rsidR="00FA0A37" w:rsidRPr="00FA0A37">
        <w:rPr>
          <w:rFonts w:asciiTheme="majorHAnsi" w:eastAsia="Times New Roman" w:hAnsiTheme="majorHAnsi" w:cstheme="majorHAnsi"/>
          <w:i/>
          <w:sz w:val="24"/>
          <w:szCs w:val="24"/>
          <w:lang w:val="ru-MD"/>
        </w:rPr>
        <w:t>С</w:t>
      </w:r>
      <w:r w:rsidRPr="00FA0A37">
        <w:rPr>
          <w:rFonts w:asciiTheme="majorHAnsi" w:eastAsia="Times New Roman" w:hAnsiTheme="majorHAnsi" w:cstheme="majorHAnsi"/>
          <w:i/>
          <w:sz w:val="24"/>
          <w:szCs w:val="24"/>
          <w:lang w:val="ru-MD"/>
        </w:rPr>
        <w:t xml:space="preserve">оглашение о взаимном признании </w:t>
      </w:r>
      <w:r w:rsidR="00FA0A37" w:rsidRPr="00FA0A37">
        <w:rPr>
          <w:rFonts w:asciiTheme="majorHAnsi" w:eastAsia="Times New Roman" w:hAnsiTheme="majorHAnsi" w:cstheme="majorHAnsi"/>
          <w:i/>
          <w:sz w:val="24"/>
          <w:szCs w:val="24"/>
          <w:lang w:val="ru-MD"/>
        </w:rPr>
        <w:t>У</w:t>
      </w:r>
      <w:r w:rsidRPr="00FA0A37">
        <w:rPr>
          <w:rFonts w:asciiTheme="majorHAnsi" w:eastAsia="Times New Roman" w:hAnsiTheme="majorHAnsi" w:cstheme="majorHAnsi"/>
          <w:i/>
          <w:sz w:val="24"/>
          <w:szCs w:val="24"/>
          <w:lang w:val="ru-MD"/>
        </w:rPr>
        <w:t xml:space="preserve">полномоченного </w:t>
      </w:r>
      <w:r w:rsidR="00FA0A37" w:rsidRPr="00FA0A37">
        <w:rPr>
          <w:rFonts w:asciiTheme="majorHAnsi" w:eastAsia="Times New Roman" w:hAnsiTheme="majorHAnsi" w:cstheme="majorHAnsi"/>
          <w:i/>
          <w:sz w:val="24"/>
          <w:szCs w:val="24"/>
          <w:lang w:val="ru-MD"/>
        </w:rPr>
        <w:t>Э</w:t>
      </w:r>
      <w:r w:rsidRPr="00FA0A37">
        <w:rPr>
          <w:rFonts w:asciiTheme="majorHAnsi" w:eastAsia="Times New Roman" w:hAnsiTheme="majorHAnsi" w:cstheme="majorHAnsi"/>
          <w:i/>
          <w:sz w:val="24"/>
          <w:szCs w:val="24"/>
          <w:lang w:val="ru-MD"/>
        </w:rPr>
        <w:t xml:space="preserve">кономического </w:t>
      </w:r>
      <w:r w:rsidR="00FA0A37" w:rsidRPr="00FA0A37">
        <w:rPr>
          <w:rFonts w:asciiTheme="majorHAnsi" w:eastAsia="Times New Roman" w:hAnsiTheme="majorHAnsi" w:cstheme="majorHAnsi"/>
          <w:i/>
          <w:sz w:val="24"/>
          <w:szCs w:val="24"/>
          <w:lang w:val="ru-MD"/>
        </w:rPr>
        <w:t>А</w:t>
      </w:r>
      <w:r w:rsidRPr="00FA0A37">
        <w:rPr>
          <w:rFonts w:asciiTheme="majorHAnsi" w:eastAsia="Times New Roman" w:hAnsiTheme="majorHAnsi" w:cstheme="majorHAnsi"/>
          <w:i/>
          <w:sz w:val="24"/>
          <w:szCs w:val="24"/>
          <w:lang w:val="ru-MD"/>
        </w:rPr>
        <w:t>гента между Республикой Молдова и Европейским Союзом</w:t>
      </w:r>
      <w:r w:rsidR="00FA0A37" w:rsidRPr="00FA0A37">
        <w:rPr>
          <w:rFonts w:asciiTheme="majorHAnsi" w:eastAsia="Times New Roman" w:hAnsiTheme="majorHAnsi" w:cstheme="majorHAnsi"/>
          <w:i/>
          <w:sz w:val="24"/>
          <w:szCs w:val="24"/>
          <w:lang w:val="ru-MD"/>
        </w:rPr>
        <w:t>,</w:t>
      </w:r>
      <w:r w:rsidRPr="00FA0A37">
        <w:rPr>
          <w:rFonts w:asciiTheme="majorHAnsi" w:eastAsia="Times New Roman" w:hAnsiTheme="majorHAnsi" w:cstheme="majorHAnsi"/>
          <w:i/>
          <w:sz w:val="24"/>
          <w:szCs w:val="24"/>
          <w:lang w:val="ru-MD"/>
        </w:rPr>
        <w:t xml:space="preserve"> и не </w:t>
      </w:r>
      <w:r w:rsidR="00FA0A37" w:rsidRPr="00FA0A37">
        <w:rPr>
          <w:rFonts w:asciiTheme="majorHAnsi" w:eastAsia="Times New Roman" w:hAnsiTheme="majorHAnsi" w:cstheme="majorHAnsi"/>
          <w:i/>
          <w:sz w:val="24"/>
          <w:szCs w:val="24"/>
          <w:lang w:val="ru-MD"/>
        </w:rPr>
        <w:t xml:space="preserve">была </w:t>
      </w:r>
      <w:r w:rsidRPr="00FA0A37">
        <w:rPr>
          <w:rFonts w:asciiTheme="majorHAnsi" w:eastAsia="Times New Roman" w:hAnsiTheme="majorHAnsi" w:cstheme="majorHAnsi"/>
          <w:i/>
          <w:sz w:val="24"/>
          <w:szCs w:val="24"/>
          <w:lang w:val="ru-MD"/>
        </w:rPr>
        <w:t xml:space="preserve">внедрена </w:t>
      </w:r>
      <w:r w:rsidR="00FA0A37" w:rsidRPr="00FA0A37">
        <w:rPr>
          <w:rFonts w:asciiTheme="majorHAnsi" w:eastAsia="Times New Roman" w:hAnsiTheme="majorHAnsi" w:cstheme="majorHAnsi"/>
          <w:i/>
          <w:sz w:val="24"/>
          <w:szCs w:val="24"/>
          <w:lang w:val="ru-MD"/>
        </w:rPr>
        <w:t>И</w:t>
      </w:r>
      <w:r w:rsidRPr="00FA0A37">
        <w:rPr>
          <w:rFonts w:asciiTheme="majorHAnsi" w:eastAsia="Times New Roman" w:hAnsiTheme="majorHAnsi" w:cstheme="majorHAnsi"/>
          <w:i/>
          <w:sz w:val="24"/>
          <w:szCs w:val="24"/>
          <w:lang w:val="ru-MD"/>
        </w:rPr>
        <w:t xml:space="preserve">нформационная система признания уполномоченного экономического агента </w:t>
      </w:r>
      <w:r w:rsidR="00A7536E" w:rsidRPr="00FA0A37">
        <w:rPr>
          <w:rFonts w:asciiTheme="majorHAnsi" w:eastAsia="Times New Roman" w:hAnsiTheme="majorHAnsi" w:cstheme="majorHAnsi"/>
          <w:i/>
          <w:sz w:val="24"/>
          <w:szCs w:val="24"/>
          <w:lang w:val="ru-MD"/>
        </w:rPr>
        <w:t>(AEO)</w:t>
      </w:r>
      <w:r w:rsidR="006170D7" w:rsidRPr="00FA0A37">
        <w:rPr>
          <w:rFonts w:asciiTheme="majorHAnsi" w:eastAsia="Times New Roman" w:hAnsiTheme="majorHAnsi" w:cstheme="majorHAnsi"/>
          <w:i/>
          <w:sz w:val="24"/>
          <w:szCs w:val="24"/>
          <w:lang w:val="ru-MD"/>
        </w:rPr>
        <w:t xml:space="preserve"> </w:t>
      </w:r>
      <w:r w:rsidR="00292645" w:rsidRPr="00FA0A37">
        <w:rPr>
          <w:rFonts w:asciiTheme="majorHAnsi" w:hAnsiTheme="majorHAnsi" w:cstheme="majorHAnsi"/>
          <w:i/>
          <w:sz w:val="24"/>
          <w:szCs w:val="24"/>
          <w:lang w:val="ru-MD"/>
        </w:rPr>
        <w:t>(</w:t>
      </w:r>
      <w:r w:rsidR="00C92679" w:rsidRPr="00FA0A37">
        <w:rPr>
          <w:rFonts w:asciiTheme="majorHAnsi" w:hAnsiTheme="majorHAnsi" w:cstheme="majorHAnsi"/>
          <w:i/>
          <w:sz w:val="24"/>
          <w:szCs w:val="24"/>
          <w:lang w:val="ru-MD"/>
        </w:rPr>
        <w:t>п</w:t>
      </w:r>
      <w:r w:rsidR="00292645" w:rsidRPr="00FA0A37">
        <w:rPr>
          <w:rFonts w:asciiTheme="majorHAnsi" w:hAnsiTheme="majorHAnsi" w:cstheme="majorHAnsi"/>
          <w:i/>
          <w:sz w:val="24"/>
          <w:szCs w:val="24"/>
          <w:lang w:val="ru-MD"/>
        </w:rPr>
        <w:t>.</w:t>
      </w:r>
      <w:r w:rsidR="007F2BC1" w:rsidRPr="00FA0A37">
        <w:rPr>
          <w:rFonts w:asciiTheme="majorHAnsi" w:hAnsiTheme="majorHAnsi" w:cstheme="majorHAnsi"/>
          <w:i/>
          <w:sz w:val="24"/>
          <w:szCs w:val="24"/>
          <w:lang w:val="ru-MD"/>
        </w:rPr>
        <w:t>4.</w:t>
      </w:r>
      <w:r w:rsidR="0013157C" w:rsidRPr="00FA0A37">
        <w:rPr>
          <w:rFonts w:asciiTheme="majorHAnsi" w:hAnsiTheme="majorHAnsi" w:cstheme="majorHAnsi"/>
          <w:i/>
          <w:sz w:val="24"/>
          <w:szCs w:val="24"/>
          <w:lang w:val="ru-MD"/>
        </w:rPr>
        <w:t>3.</w:t>
      </w:r>
      <w:r w:rsidR="007F2BC1" w:rsidRPr="00FA0A37">
        <w:rPr>
          <w:rFonts w:asciiTheme="majorHAnsi" w:hAnsiTheme="majorHAnsi" w:cstheme="majorHAnsi"/>
          <w:i/>
          <w:sz w:val="24"/>
          <w:szCs w:val="24"/>
          <w:lang w:val="ru-MD"/>
        </w:rPr>
        <w:t>4</w:t>
      </w:r>
      <w:r w:rsidR="00292645" w:rsidRPr="00FA0A37">
        <w:rPr>
          <w:rFonts w:asciiTheme="majorHAnsi" w:hAnsiTheme="majorHAnsi" w:cstheme="majorHAnsi"/>
          <w:i/>
          <w:sz w:val="24"/>
          <w:szCs w:val="24"/>
          <w:lang w:val="ru-MD"/>
        </w:rPr>
        <w:t>)</w:t>
      </w:r>
      <w:r w:rsidR="00FA0A37" w:rsidRPr="00FA0A37">
        <w:rPr>
          <w:rFonts w:asciiTheme="majorHAnsi" w:eastAsia="Times New Roman" w:hAnsiTheme="majorHAnsi" w:cstheme="majorHAnsi"/>
          <w:i/>
          <w:sz w:val="24"/>
          <w:szCs w:val="24"/>
          <w:lang w:val="ru-MD"/>
        </w:rPr>
        <w:t>;</w:t>
      </w:r>
    </w:p>
    <w:p w14:paraId="4EF8BA35" w14:textId="38A90600" w:rsidR="004833CC" w:rsidRPr="00FA0A37" w:rsidRDefault="001B2DED" w:rsidP="001B2DED">
      <w:pPr>
        <w:pStyle w:val="ListParagraph"/>
        <w:numPr>
          <w:ilvl w:val="0"/>
          <w:numId w:val="6"/>
        </w:numPr>
        <w:spacing w:after="120" w:line="276" w:lineRule="auto"/>
        <w:ind w:left="0" w:firstLine="360"/>
        <w:jc w:val="both"/>
        <w:rPr>
          <w:rFonts w:asciiTheme="majorHAnsi" w:hAnsiTheme="majorHAnsi" w:cstheme="majorHAnsi"/>
          <w:i/>
          <w:sz w:val="24"/>
          <w:szCs w:val="24"/>
          <w:lang w:val="ru-MD"/>
        </w:rPr>
      </w:pPr>
      <w:r w:rsidRPr="00FA0A37">
        <w:rPr>
          <w:rFonts w:asciiTheme="majorHAnsi" w:eastAsia="Times New Roman" w:hAnsiTheme="majorHAnsi" w:cstheme="majorHAnsi"/>
          <w:i/>
          <w:sz w:val="24"/>
          <w:szCs w:val="24"/>
          <w:lang w:val="ru-MD"/>
        </w:rPr>
        <w:t>В конце 2021 года декларации, поданные в электронном виде при импорте, составили 52,3% от общего числа п</w:t>
      </w:r>
      <w:r w:rsidR="00FA0A37" w:rsidRPr="00FA0A37">
        <w:rPr>
          <w:rFonts w:asciiTheme="majorHAnsi" w:eastAsia="Times New Roman" w:hAnsiTheme="majorHAnsi" w:cstheme="majorHAnsi"/>
          <w:i/>
          <w:sz w:val="24"/>
          <w:szCs w:val="24"/>
          <w:lang w:val="ru-MD"/>
        </w:rPr>
        <w:t>ода</w:t>
      </w:r>
      <w:r w:rsidRPr="00FA0A37">
        <w:rPr>
          <w:rFonts w:asciiTheme="majorHAnsi" w:eastAsia="Times New Roman" w:hAnsiTheme="majorHAnsi" w:cstheme="majorHAnsi"/>
          <w:i/>
          <w:sz w:val="24"/>
          <w:szCs w:val="24"/>
          <w:lang w:val="ru-MD"/>
        </w:rPr>
        <w:t xml:space="preserve">нных деклараций, что </w:t>
      </w:r>
      <w:r w:rsidR="00FA0A37" w:rsidRPr="00FA0A37">
        <w:rPr>
          <w:rFonts w:asciiTheme="majorHAnsi" w:eastAsia="Times New Roman" w:hAnsiTheme="majorHAnsi" w:cstheme="majorHAnsi"/>
          <w:i/>
          <w:sz w:val="24"/>
          <w:szCs w:val="24"/>
          <w:lang w:val="ru-MD"/>
        </w:rPr>
        <w:t xml:space="preserve">лишь </w:t>
      </w:r>
      <w:r w:rsidRPr="00FA0A37">
        <w:rPr>
          <w:rFonts w:asciiTheme="majorHAnsi" w:eastAsia="Times New Roman" w:hAnsiTheme="majorHAnsi" w:cstheme="majorHAnsi"/>
          <w:i/>
          <w:sz w:val="24"/>
          <w:szCs w:val="24"/>
          <w:lang w:val="ru-MD"/>
        </w:rPr>
        <w:t xml:space="preserve">на 2,2% больше, чем в 2020 году, остальные декларации, или 47,7% от </w:t>
      </w:r>
      <w:r w:rsidR="00FA0A37" w:rsidRPr="00FA0A37">
        <w:rPr>
          <w:rFonts w:asciiTheme="majorHAnsi" w:eastAsia="Times New Roman" w:hAnsiTheme="majorHAnsi" w:cstheme="majorHAnsi"/>
          <w:i/>
          <w:sz w:val="24"/>
          <w:szCs w:val="24"/>
          <w:lang w:val="ru-MD"/>
        </w:rPr>
        <w:t xml:space="preserve">их </w:t>
      </w:r>
      <w:r w:rsidRPr="00FA0A37">
        <w:rPr>
          <w:rFonts w:asciiTheme="majorHAnsi" w:eastAsia="Times New Roman" w:hAnsiTheme="majorHAnsi" w:cstheme="majorHAnsi"/>
          <w:i/>
          <w:sz w:val="24"/>
          <w:szCs w:val="24"/>
          <w:lang w:val="ru-MD"/>
        </w:rPr>
        <w:t>общего числа, были поданы на бумажно</w:t>
      </w:r>
      <w:r w:rsidR="00FA0A37" w:rsidRPr="00FA0A37">
        <w:rPr>
          <w:rFonts w:asciiTheme="majorHAnsi" w:eastAsia="Times New Roman" w:hAnsiTheme="majorHAnsi" w:cstheme="majorHAnsi"/>
          <w:i/>
          <w:sz w:val="24"/>
          <w:szCs w:val="24"/>
          <w:lang w:val="ru-MD"/>
        </w:rPr>
        <w:t>м носителе</w:t>
      </w:r>
      <w:r w:rsidRPr="00FA0A37">
        <w:rPr>
          <w:rFonts w:asciiTheme="majorHAnsi" w:eastAsia="Times New Roman" w:hAnsiTheme="majorHAnsi" w:cstheme="majorHAnsi"/>
          <w:i/>
          <w:sz w:val="24"/>
          <w:szCs w:val="24"/>
          <w:lang w:val="ru-MD"/>
        </w:rPr>
        <w:t xml:space="preserve">, что не облегчает торговлю </w:t>
      </w:r>
      <w:r w:rsidR="00FA0A37" w:rsidRPr="00FA0A37">
        <w:rPr>
          <w:rFonts w:asciiTheme="majorHAnsi" w:eastAsia="Times New Roman" w:hAnsiTheme="majorHAnsi" w:cstheme="majorHAnsi"/>
          <w:i/>
          <w:sz w:val="24"/>
          <w:szCs w:val="24"/>
          <w:lang w:val="ru-MD"/>
        </w:rPr>
        <w:t>путем</w:t>
      </w:r>
      <w:r w:rsidRPr="00FA0A37">
        <w:rPr>
          <w:rFonts w:asciiTheme="majorHAnsi" w:eastAsia="Times New Roman" w:hAnsiTheme="majorHAnsi" w:cstheme="majorHAnsi"/>
          <w:i/>
          <w:sz w:val="24"/>
          <w:szCs w:val="24"/>
          <w:lang w:val="ru-MD"/>
        </w:rPr>
        <w:t xml:space="preserve"> оцифровки услуг в соответствии с положениями </w:t>
      </w:r>
      <w:r w:rsidR="00FA0A37" w:rsidRPr="00FA0A37">
        <w:rPr>
          <w:rFonts w:asciiTheme="majorHAnsi" w:eastAsia="Times New Roman" w:hAnsiTheme="majorHAnsi" w:cstheme="majorHAnsi"/>
          <w:i/>
          <w:sz w:val="24"/>
          <w:szCs w:val="24"/>
          <w:lang w:val="ru-MD"/>
        </w:rPr>
        <w:t>законодательн</w:t>
      </w:r>
      <w:r w:rsidRPr="00FA0A37">
        <w:rPr>
          <w:rFonts w:asciiTheme="majorHAnsi" w:eastAsia="Times New Roman" w:hAnsiTheme="majorHAnsi" w:cstheme="majorHAnsi"/>
          <w:i/>
          <w:sz w:val="24"/>
          <w:szCs w:val="24"/>
          <w:lang w:val="ru-MD"/>
        </w:rPr>
        <w:t xml:space="preserve">ой базы, </w:t>
      </w:r>
      <w:r w:rsidR="00FA0A37" w:rsidRPr="00FA0A37">
        <w:rPr>
          <w:rFonts w:asciiTheme="majorHAnsi" w:eastAsia="Times New Roman" w:hAnsiTheme="majorHAnsi" w:cstheme="majorHAnsi"/>
          <w:i/>
          <w:sz w:val="24"/>
          <w:szCs w:val="24"/>
          <w:lang w:val="ru-MD"/>
        </w:rPr>
        <w:t>а</w:t>
      </w:r>
      <w:r w:rsidRPr="00FA0A37">
        <w:rPr>
          <w:rFonts w:asciiTheme="majorHAnsi" w:eastAsia="Times New Roman" w:hAnsiTheme="majorHAnsi" w:cstheme="majorHAnsi"/>
          <w:i/>
          <w:sz w:val="24"/>
          <w:szCs w:val="24"/>
          <w:lang w:val="ru-MD"/>
        </w:rPr>
        <w:t xml:space="preserve"> </w:t>
      </w:r>
      <w:r w:rsidR="00FA0A37" w:rsidRPr="00FA0A37">
        <w:rPr>
          <w:rFonts w:asciiTheme="majorHAnsi" w:eastAsia="Times New Roman" w:hAnsiTheme="majorHAnsi" w:cstheme="majorHAnsi"/>
          <w:i/>
          <w:sz w:val="24"/>
          <w:szCs w:val="24"/>
          <w:lang w:val="ru-MD"/>
        </w:rPr>
        <w:t>генерируе</w:t>
      </w:r>
      <w:r w:rsidRPr="00FA0A37">
        <w:rPr>
          <w:rFonts w:asciiTheme="majorHAnsi" w:eastAsia="Times New Roman" w:hAnsiTheme="majorHAnsi" w:cstheme="majorHAnsi"/>
          <w:i/>
          <w:sz w:val="24"/>
          <w:szCs w:val="24"/>
          <w:lang w:val="ru-MD"/>
        </w:rPr>
        <w:t>т расход</w:t>
      </w:r>
      <w:r w:rsidR="00FA0A37" w:rsidRPr="00FA0A37">
        <w:rPr>
          <w:rFonts w:asciiTheme="majorHAnsi" w:eastAsia="Times New Roman" w:hAnsiTheme="majorHAnsi" w:cstheme="majorHAnsi"/>
          <w:i/>
          <w:sz w:val="24"/>
          <w:szCs w:val="24"/>
          <w:lang w:val="ru-MD"/>
        </w:rPr>
        <w:t>ы</w:t>
      </w:r>
      <w:r w:rsidRPr="00FA0A37">
        <w:rPr>
          <w:rFonts w:asciiTheme="majorHAnsi" w:eastAsia="Times New Roman" w:hAnsiTheme="majorHAnsi" w:cstheme="majorHAnsi"/>
          <w:i/>
          <w:sz w:val="24"/>
          <w:szCs w:val="24"/>
          <w:lang w:val="ru-MD"/>
        </w:rPr>
        <w:t xml:space="preserve"> на таможенное оформление и удержание  </w:t>
      </w:r>
      <w:r w:rsidR="005A49A5" w:rsidRPr="00FA0A37">
        <w:rPr>
          <w:rFonts w:asciiTheme="majorHAnsi" w:hAnsiTheme="majorHAnsi" w:cstheme="majorHAnsi"/>
          <w:i/>
          <w:sz w:val="24"/>
          <w:szCs w:val="24"/>
          <w:lang w:val="ru-MD"/>
        </w:rPr>
        <w:t>(</w:t>
      </w:r>
      <w:r w:rsidR="00C92679" w:rsidRPr="00FA0A37">
        <w:rPr>
          <w:rFonts w:asciiTheme="majorHAnsi" w:hAnsiTheme="majorHAnsi" w:cstheme="majorHAnsi"/>
          <w:i/>
          <w:sz w:val="24"/>
          <w:szCs w:val="24"/>
          <w:lang w:val="ru-MD"/>
        </w:rPr>
        <w:t>п</w:t>
      </w:r>
      <w:r w:rsidR="005A49A5" w:rsidRPr="00FA0A37">
        <w:rPr>
          <w:rFonts w:asciiTheme="majorHAnsi" w:hAnsiTheme="majorHAnsi" w:cstheme="majorHAnsi"/>
          <w:i/>
          <w:sz w:val="24"/>
          <w:szCs w:val="24"/>
          <w:lang w:val="ru-MD"/>
        </w:rPr>
        <w:t>.</w:t>
      </w:r>
      <w:r w:rsidR="007F2BC1" w:rsidRPr="00FA0A37">
        <w:rPr>
          <w:rFonts w:asciiTheme="majorHAnsi" w:hAnsiTheme="majorHAnsi" w:cstheme="majorHAnsi"/>
          <w:i/>
          <w:sz w:val="24"/>
          <w:szCs w:val="24"/>
          <w:lang w:val="ru-MD"/>
        </w:rPr>
        <w:t>4.</w:t>
      </w:r>
      <w:r w:rsidR="0013157C" w:rsidRPr="00FA0A37">
        <w:rPr>
          <w:rFonts w:asciiTheme="majorHAnsi" w:hAnsiTheme="majorHAnsi" w:cstheme="majorHAnsi"/>
          <w:i/>
          <w:sz w:val="24"/>
          <w:szCs w:val="24"/>
          <w:lang w:val="ru-MD"/>
        </w:rPr>
        <w:t>3.</w:t>
      </w:r>
      <w:r w:rsidR="007F2BC1" w:rsidRPr="00FA0A37">
        <w:rPr>
          <w:rFonts w:asciiTheme="majorHAnsi" w:hAnsiTheme="majorHAnsi" w:cstheme="majorHAnsi"/>
          <w:i/>
          <w:sz w:val="24"/>
          <w:szCs w:val="24"/>
          <w:lang w:val="ru-MD"/>
        </w:rPr>
        <w:t>4</w:t>
      </w:r>
      <w:r w:rsidR="005A49A5" w:rsidRPr="00FA0A37">
        <w:rPr>
          <w:rFonts w:asciiTheme="majorHAnsi" w:hAnsiTheme="majorHAnsi" w:cstheme="majorHAnsi"/>
          <w:i/>
          <w:sz w:val="24"/>
          <w:szCs w:val="24"/>
          <w:lang w:val="ru-MD"/>
        </w:rPr>
        <w:t>)</w:t>
      </w:r>
      <w:r w:rsidR="00FA0A37" w:rsidRPr="00FA0A37">
        <w:rPr>
          <w:rFonts w:asciiTheme="majorHAnsi" w:hAnsiTheme="majorHAnsi" w:cstheme="majorHAnsi"/>
          <w:i/>
          <w:sz w:val="24"/>
          <w:szCs w:val="24"/>
          <w:lang w:val="ru-MD"/>
        </w:rPr>
        <w:t>;</w:t>
      </w:r>
    </w:p>
    <w:p w14:paraId="370C55AD" w14:textId="72A6892B" w:rsidR="00A87F25" w:rsidRPr="00FA0A37" w:rsidRDefault="009E6CA2" w:rsidP="001B2DED">
      <w:pPr>
        <w:pStyle w:val="ListParagraph"/>
        <w:numPr>
          <w:ilvl w:val="0"/>
          <w:numId w:val="6"/>
        </w:numPr>
        <w:spacing w:after="120" w:line="276" w:lineRule="auto"/>
        <w:ind w:left="0" w:firstLine="360"/>
        <w:jc w:val="both"/>
        <w:rPr>
          <w:rFonts w:asciiTheme="majorHAnsi" w:hAnsiTheme="majorHAnsi" w:cstheme="majorHAnsi"/>
          <w:i/>
          <w:sz w:val="24"/>
          <w:szCs w:val="24"/>
          <w:lang w:val="ru-MD"/>
        </w:rPr>
      </w:pPr>
      <w:r w:rsidRPr="00FA0A37">
        <w:rPr>
          <w:rFonts w:asciiTheme="majorHAnsi" w:eastAsia="Times New Roman" w:hAnsiTheme="majorHAnsi" w:cstheme="majorHAnsi"/>
          <w:i/>
          <w:sz w:val="24"/>
          <w:szCs w:val="24"/>
          <w:lang w:val="ru-MD" w:eastAsia="ro-RO"/>
        </w:rPr>
        <w:t>С не</w:t>
      </w:r>
      <w:r w:rsidR="001B2DED" w:rsidRPr="00FA0A37">
        <w:rPr>
          <w:rFonts w:asciiTheme="majorHAnsi" w:eastAsia="Times New Roman" w:hAnsiTheme="majorHAnsi" w:cstheme="majorHAnsi"/>
          <w:i/>
          <w:sz w:val="24"/>
          <w:szCs w:val="24"/>
          <w:lang w:val="ru-MD" w:eastAsia="ro-RO"/>
        </w:rPr>
        <w:t>соблюд</w:t>
      </w:r>
      <w:r w:rsidRPr="00FA0A37">
        <w:rPr>
          <w:rFonts w:asciiTheme="majorHAnsi" w:eastAsia="Times New Roman" w:hAnsiTheme="majorHAnsi" w:cstheme="majorHAnsi"/>
          <w:i/>
          <w:sz w:val="24"/>
          <w:szCs w:val="24"/>
          <w:lang w:val="ru-MD" w:eastAsia="ro-RO"/>
        </w:rPr>
        <w:t>ением</w:t>
      </w:r>
      <w:r w:rsidR="001B2DED" w:rsidRPr="00FA0A37">
        <w:rPr>
          <w:rFonts w:asciiTheme="majorHAnsi" w:eastAsia="Times New Roman" w:hAnsiTheme="majorHAnsi" w:cstheme="majorHAnsi"/>
          <w:i/>
          <w:sz w:val="24"/>
          <w:szCs w:val="24"/>
          <w:lang w:val="ru-MD" w:eastAsia="ro-RO"/>
        </w:rPr>
        <w:t xml:space="preserve"> законодательных положений, некоторые </w:t>
      </w:r>
      <w:r w:rsidRPr="00FA0A37">
        <w:rPr>
          <w:rFonts w:asciiTheme="majorHAnsi" w:eastAsia="Times New Roman" w:hAnsiTheme="majorHAnsi" w:cstheme="majorHAnsi"/>
          <w:i/>
          <w:sz w:val="24"/>
          <w:szCs w:val="24"/>
          <w:lang w:val="ru-MD" w:eastAsia="ro-RO"/>
        </w:rPr>
        <w:t>владельцы</w:t>
      </w:r>
      <w:r w:rsidR="001B2DED" w:rsidRPr="00FA0A37">
        <w:rPr>
          <w:rFonts w:asciiTheme="majorHAnsi" w:eastAsia="Times New Roman" w:hAnsiTheme="majorHAnsi" w:cstheme="majorHAnsi"/>
          <w:i/>
          <w:sz w:val="24"/>
          <w:szCs w:val="24"/>
          <w:lang w:val="ru-MD" w:eastAsia="ro-RO"/>
        </w:rPr>
        <w:t xml:space="preserve"> таможенных складов не представили таможенному органу отчеты по учету товаров на складах, не обеспечили функциональность систем видеонаблюдения на складах, </w:t>
      </w:r>
      <w:r w:rsidR="00FA0A37" w:rsidRPr="00FA0A37">
        <w:rPr>
          <w:rFonts w:asciiTheme="majorHAnsi" w:eastAsia="Times New Roman" w:hAnsiTheme="majorHAnsi" w:cstheme="majorHAnsi"/>
          <w:i/>
          <w:sz w:val="24"/>
          <w:szCs w:val="24"/>
          <w:lang w:val="ru-MD" w:eastAsia="ro-RO"/>
        </w:rPr>
        <w:t>в связи с чем</w:t>
      </w:r>
      <w:r w:rsidR="001B2DED" w:rsidRPr="00FA0A37">
        <w:rPr>
          <w:rFonts w:asciiTheme="majorHAnsi" w:eastAsia="Times New Roman" w:hAnsiTheme="majorHAnsi" w:cstheme="majorHAnsi"/>
          <w:i/>
          <w:sz w:val="24"/>
          <w:szCs w:val="24"/>
          <w:lang w:val="ru-MD" w:eastAsia="ro-RO"/>
        </w:rPr>
        <w:t xml:space="preserve"> </w:t>
      </w:r>
      <w:r w:rsidR="00FA0A37" w:rsidRPr="00FA0A37">
        <w:rPr>
          <w:rFonts w:asciiTheme="majorHAnsi" w:eastAsia="Times New Roman" w:hAnsiTheme="majorHAnsi" w:cstheme="majorHAnsi"/>
          <w:i/>
          <w:sz w:val="24"/>
          <w:szCs w:val="24"/>
          <w:lang w:val="ru-MD" w:eastAsia="ro-RO"/>
        </w:rPr>
        <w:t>ТС</w:t>
      </w:r>
      <w:r w:rsidR="001B2DED" w:rsidRPr="00FA0A37">
        <w:rPr>
          <w:rFonts w:asciiTheme="majorHAnsi" w:eastAsia="Times New Roman" w:hAnsiTheme="majorHAnsi" w:cstheme="majorHAnsi"/>
          <w:i/>
          <w:sz w:val="24"/>
          <w:szCs w:val="24"/>
          <w:lang w:val="ru-MD" w:eastAsia="ro-RO"/>
        </w:rPr>
        <w:t xml:space="preserve"> отозвала 4 разрешения на складирование, в том числе </w:t>
      </w:r>
      <w:r w:rsidR="00FA0A37" w:rsidRPr="00FA0A37">
        <w:rPr>
          <w:rFonts w:asciiTheme="majorHAnsi" w:eastAsia="Times New Roman" w:hAnsiTheme="majorHAnsi" w:cstheme="majorHAnsi"/>
          <w:i/>
          <w:sz w:val="24"/>
          <w:szCs w:val="24"/>
          <w:lang w:val="ru-MD" w:eastAsia="ro-RO"/>
        </w:rPr>
        <w:t xml:space="preserve">одно </w:t>
      </w:r>
      <w:r w:rsidR="001B2DED" w:rsidRPr="00FA0A37">
        <w:rPr>
          <w:rFonts w:asciiTheme="majorHAnsi" w:eastAsia="Times New Roman" w:hAnsiTheme="majorHAnsi" w:cstheme="majorHAnsi"/>
          <w:i/>
          <w:sz w:val="24"/>
          <w:szCs w:val="24"/>
          <w:lang w:val="ru-MD" w:eastAsia="ro-RO"/>
        </w:rPr>
        <w:t xml:space="preserve">разрешение было отозвано из-за допущенных нарушений </w:t>
      </w:r>
      <w:r w:rsidR="00FA0A37" w:rsidRPr="00FA0A37">
        <w:rPr>
          <w:rFonts w:asciiTheme="majorHAnsi" w:eastAsia="Times New Roman" w:hAnsiTheme="majorHAnsi" w:cstheme="majorHAnsi"/>
          <w:i/>
          <w:sz w:val="24"/>
          <w:szCs w:val="24"/>
          <w:lang w:val="ru-MD" w:eastAsia="ro-RO"/>
        </w:rPr>
        <w:t>с</w:t>
      </w:r>
      <w:r w:rsidR="001B2DED" w:rsidRPr="00FA0A37">
        <w:rPr>
          <w:rFonts w:asciiTheme="majorHAnsi" w:eastAsia="Times New Roman" w:hAnsiTheme="majorHAnsi" w:cstheme="majorHAnsi"/>
          <w:i/>
          <w:sz w:val="24"/>
          <w:szCs w:val="24"/>
          <w:lang w:val="ru-MD" w:eastAsia="ro-RO"/>
        </w:rPr>
        <w:t xml:space="preserve"> оружи</w:t>
      </w:r>
      <w:r w:rsidR="00FA0A37" w:rsidRPr="00FA0A37">
        <w:rPr>
          <w:rFonts w:asciiTheme="majorHAnsi" w:eastAsia="Times New Roman" w:hAnsiTheme="majorHAnsi" w:cstheme="majorHAnsi"/>
          <w:i/>
          <w:sz w:val="24"/>
          <w:szCs w:val="24"/>
          <w:lang w:val="ru-MD" w:eastAsia="ro-RO"/>
        </w:rPr>
        <w:t>ем</w:t>
      </w:r>
      <w:r w:rsidR="001B2DED" w:rsidRPr="00FA0A37">
        <w:rPr>
          <w:rFonts w:asciiTheme="majorHAnsi" w:eastAsia="Times New Roman" w:hAnsiTheme="majorHAnsi" w:cstheme="majorHAnsi"/>
          <w:i/>
          <w:sz w:val="24"/>
          <w:szCs w:val="24"/>
          <w:lang w:val="ru-MD" w:eastAsia="ro-RO"/>
        </w:rPr>
        <w:t xml:space="preserve"> гражданского назначения и боеприпас</w:t>
      </w:r>
      <w:r w:rsidR="00FA0A37" w:rsidRPr="00FA0A37">
        <w:rPr>
          <w:rFonts w:asciiTheme="majorHAnsi" w:eastAsia="Times New Roman" w:hAnsiTheme="majorHAnsi" w:cstheme="majorHAnsi"/>
          <w:i/>
          <w:sz w:val="24"/>
          <w:szCs w:val="24"/>
          <w:lang w:val="ru-MD" w:eastAsia="ro-RO"/>
        </w:rPr>
        <w:t>ами</w:t>
      </w:r>
      <w:r w:rsidR="001B2DED" w:rsidRPr="00FA0A37">
        <w:rPr>
          <w:rFonts w:asciiTheme="majorHAnsi" w:eastAsia="Times New Roman" w:hAnsiTheme="majorHAnsi" w:cstheme="majorHAnsi"/>
          <w:i/>
          <w:sz w:val="24"/>
          <w:szCs w:val="24"/>
          <w:lang w:val="ru-MD" w:eastAsia="ro-RO"/>
        </w:rPr>
        <w:t xml:space="preserve">, а у 5 экономических операторов разрешения на складирование были приостановлены </w:t>
      </w:r>
      <w:r w:rsidR="006204E2" w:rsidRPr="00FA0A37">
        <w:rPr>
          <w:rFonts w:asciiTheme="majorHAnsi" w:hAnsiTheme="majorHAnsi" w:cstheme="majorHAnsi"/>
          <w:i/>
          <w:sz w:val="24"/>
          <w:szCs w:val="24"/>
          <w:lang w:val="ru-MD"/>
        </w:rPr>
        <w:t>(</w:t>
      </w:r>
      <w:r w:rsidR="00C92679" w:rsidRPr="00FA0A37">
        <w:rPr>
          <w:rFonts w:asciiTheme="majorHAnsi" w:hAnsiTheme="majorHAnsi" w:cstheme="majorHAnsi"/>
          <w:i/>
          <w:sz w:val="24"/>
          <w:szCs w:val="24"/>
          <w:lang w:val="ru-MD"/>
        </w:rPr>
        <w:t>п</w:t>
      </w:r>
      <w:r w:rsidR="006204E2" w:rsidRPr="00FA0A37">
        <w:rPr>
          <w:rFonts w:asciiTheme="majorHAnsi" w:hAnsiTheme="majorHAnsi" w:cstheme="majorHAnsi"/>
          <w:i/>
          <w:sz w:val="24"/>
          <w:szCs w:val="24"/>
          <w:lang w:val="ru-MD"/>
        </w:rPr>
        <w:t>.</w:t>
      </w:r>
      <w:r w:rsidR="00970F77" w:rsidRPr="00FA0A37">
        <w:rPr>
          <w:rFonts w:asciiTheme="majorHAnsi" w:hAnsiTheme="majorHAnsi" w:cstheme="majorHAnsi"/>
          <w:i/>
          <w:sz w:val="24"/>
          <w:szCs w:val="24"/>
          <w:lang w:val="ru-MD"/>
        </w:rPr>
        <w:t>4</w:t>
      </w:r>
      <w:r w:rsidR="006204E2" w:rsidRPr="00FA0A37">
        <w:rPr>
          <w:rFonts w:asciiTheme="majorHAnsi" w:hAnsiTheme="majorHAnsi" w:cstheme="majorHAnsi"/>
          <w:i/>
          <w:sz w:val="24"/>
          <w:szCs w:val="24"/>
          <w:lang w:val="ru-MD"/>
        </w:rPr>
        <w:t>.</w:t>
      </w:r>
      <w:r w:rsidR="00A7616D" w:rsidRPr="00FA0A37">
        <w:rPr>
          <w:rFonts w:asciiTheme="majorHAnsi" w:hAnsiTheme="majorHAnsi" w:cstheme="majorHAnsi"/>
          <w:i/>
          <w:sz w:val="24"/>
          <w:szCs w:val="24"/>
          <w:lang w:val="ru-MD"/>
        </w:rPr>
        <w:t>4.</w:t>
      </w:r>
      <w:r w:rsidR="00970F77" w:rsidRPr="00FA0A37">
        <w:rPr>
          <w:rFonts w:asciiTheme="majorHAnsi" w:hAnsiTheme="majorHAnsi" w:cstheme="majorHAnsi"/>
          <w:i/>
          <w:sz w:val="24"/>
          <w:szCs w:val="24"/>
          <w:lang w:val="ru-MD"/>
        </w:rPr>
        <w:t>1</w:t>
      </w:r>
      <w:r w:rsidR="006204E2" w:rsidRPr="00FA0A37">
        <w:rPr>
          <w:rFonts w:asciiTheme="majorHAnsi" w:hAnsiTheme="majorHAnsi" w:cstheme="majorHAnsi"/>
          <w:i/>
          <w:sz w:val="24"/>
          <w:szCs w:val="24"/>
          <w:lang w:val="ru-MD"/>
        </w:rPr>
        <w:t>)</w:t>
      </w:r>
      <w:r w:rsidR="00FA0A37" w:rsidRPr="00FA0A37">
        <w:rPr>
          <w:rFonts w:asciiTheme="majorHAnsi" w:hAnsiTheme="majorHAnsi" w:cstheme="majorHAnsi"/>
          <w:i/>
          <w:sz w:val="24"/>
          <w:szCs w:val="24"/>
          <w:lang w:val="ru-MD"/>
        </w:rPr>
        <w:t>;</w:t>
      </w:r>
      <w:r w:rsidR="00722A53" w:rsidRPr="00FA0A37">
        <w:rPr>
          <w:rFonts w:asciiTheme="majorHAnsi" w:eastAsia="Times New Roman" w:hAnsiTheme="majorHAnsi" w:cstheme="majorHAnsi"/>
          <w:bCs/>
          <w:sz w:val="24"/>
          <w:szCs w:val="24"/>
          <w:lang w:val="ru-MD"/>
        </w:rPr>
        <w:t xml:space="preserve"> </w:t>
      </w:r>
    </w:p>
    <w:p w14:paraId="6F3FA031" w14:textId="7C128D21" w:rsidR="00E43C5A" w:rsidRPr="00FA0A37" w:rsidRDefault="001B2DED" w:rsidP="001B2DED">
      <w:pPr>
        <w:pStyle w:val="ListParagraph"/>
        <w:numPr>
          <w:ilvl w:val="0"/>
          <w:numId w:val="6"/>
        </w:numPr>
        <w:spacing w:after="120" w:line="276" w:lineRule="auto"/>
        <w:ind w:left="0" w:firstLine="360"/>
        <w:jc w:val="both"/>
        <w:rPr>
          <w:rFonts w:asciiTheme="majorHAnsi" w:hAnsiTheme="majorHAnsi" w:cstheme="majorHAnsi"/>
          <w:i/>
          <w:sz w:val="24"/>
          <w:szCs w:val="24"/>
          <w:lang w:val="ru-MD"/>
        </w:rPr>
      </w:pPr>
      <w:r w:rsidRPr="00FA0A37">
        <w:rPr>
          <w:rFonts w:asciiTheme="majorHAnsi" w:eastAsia="Times New Roman" w:hAnsiTheme="majorHAnsi" w:cstheme="majorHAnsi"/>
          <w:i/>
          <w:sz w:val="24"/>
          <w:szCs w:val="24"/>
          <w:lang w:val="ru-MD" w:eastAsia="ro-RO"/>
        </w:rPr>
        <w:t xml:space="preserve">Из-за несовершенства </w:t>
      </w:r>
      <w:r w:rsidR="009E6CA2" w:rsidRPr="00FA0A37">
        <w:rPr>
          <w:rFonts w:asciiTheme="majorHAnsi" w:eastAsia="Times New Roman" w:hAnsiTheme="majorHAnsi" w:cstheme="majorHAnsi"/>
          <w:i/>
          <w:sz w:val="24"/>
          <w:szCs w:val="24"/>
          <w:lang w:val="ru-MD" w:eastAsia="ro-RO"/>
        </w:rPr>
        <w:t>законодательн</w:t>
      </w:r>
      <w:r w:rsidRPr="00FA0A37">
        <w:rPr>
          <w:rFonts w:asciiTheme="majorHAnsi" w:eastAsia="Times New Roman" w:hAnsiTheme="majorHAnsi" w:cstheme="majorHAnsi"/>
          <w:i/>
          <w:sz w:val="24"/>
          <w:szCs w:val="24"/>
          <w:lang w:val="ru-MD" w:eastAsia="ro-RO"/>
        </w:rPr>
        <w:t>ой базы, а именно</w:t>
      </w:r>
      <w:r w:rsidR="009E6CA2" w:rsidRPr="00FA0A37">
        <w:rPr>
          <w:rFonts w:asciiTheme="majorHAnsi" w:eastAsia="Times New Roman" w:hAnsiTheme="majorHAnsi" w:cstheme="majorHAnsi"/>
          <w:i/>
          <w:sz w:val="24"/>
          <w:szCs w:val="24"/>
          <w:lang w:val="ru-MD" w:eastAsia="ro-RO"/>
        </w:rPr>
        <w:t>,</w:t>
      </w:r>
      <w:r w:rsidRPr="00FA0A37">
        <w:rPr>
          <w:rFonts w:asciiTheme="majorHAnsi" w:eastAsia="Times New Roman" w:hAnsiTheme="majorHAnsi" w:cstheme="majorHAnsi"/>
          <w:i/>
          <w:sz w:val="24"/>
          <w:szCs w:val="24"/>
          <w:lang w:val="ru-MD" w:eastAsia="ro-RO"/>
        </w:rPr>
        <w:t xml:space="preserve"> некоторых положений Таможенного кодекса, которые </w:t>
      </w:r>
      <w:r w:rsidR="009E6CA2" w:rsidRPr="00FA0A37">
        <w:rPr>
          <w:rFonts w:asciiTheme="majorHAnsi" w:eastAsia="Times New Roman" w:hAnsiTheme="majorHAnsi" w:cstheme="majorHAnsi"/>
          <w:i/>
          <w:sz w:val="24"/>
          <w:szCs w:val="24"/>
          <w:lang w:val="ru-MD" w:eastAsia="ro-RO"/>
        </w:rPr>
        <w:t>расх</w:t>
      </w:r>
      <w:r w:rsidRPr="00FA0A37">
        <w:rPr>
          <w:rFonts w:asciiTheme="majorHAnsi" w:eastAsia="Times New Roman" w:hAnsiTheme="majorHAnsi" w:cstheme="majorHAnsi"/>
          <w:i/>
          <w:sz w:val="24"/>
          <w:szCs w:val="24"/>
          <w:lang w:val="ru-MD" w:eastAsia="ro-RO"/>
        </w:rPr>
        <w:t xml:space="preserve">одятся с </w:t>
      </w:r>
      <w:r w:rsidR="009E6CA2" w:rsidRPr="00FA0A37">
        <w:rPr>
          <w:rFonts w:asciiTheme="majorHAnsi" w:eastAsia="Times New Roman" w:hAnsiTheme="majorHAnsi" w:cstheme="majorHAnsi"/>
          <w:i/>
          <w:sz w:val="24"/>
          <w:szCs w:val="24"/>
          <w:lang w:val="ru-MD" w:eastAsia="ro-RO"/>
        </w:rPr>
        <w:t>З</w:t>
      </w:r>
      <w:r w:rsidRPr="00FA0A37">
        <w:rPr>
          <w:rFonts w:asciiTheme="majorHAnsi" w:eastAsia="Times New Roman" w:hAnsiTheme="majorHAnsi" w:cstheme="majorHAnsi"/>
          <w:i/>
          <w:sz w:val="24"/>
          <w:szCs w:val="24"/>
          <w:lang w:val="ru-MD" w:eastAsia="ro-RO"/>
        </w:rPr>
        <w:t xml:space="preserve">аконом </w:t>
      </w:r>
      <w:r w:rsidR="009E6CA2" w:rsidRPr="00FA0A37">
        <w:rPr>
          <w:rFonts w:asciiTheme="majorHAnsi" w:eastAsia="Times New Roman" w:hAnsiTheme="majorHAnsi" w:cstheme="majorHAnsi"/>
          <w:i/>
          <w:sz w:val="24"/>
          <w:szCs w:val="24"/>
          <w:lang w:val="ru-MD" w:eastAsia="ro-RO"/>
        </w:rPr>
        <w:t>о</w:t>
      </w:r>
      <w:r w:rsidRPr="00FA0A37">
        <w:rPr>
          <w:rFonts w:asciiTheme="majorHAnsi" w:eastAsia="Times New Roman" w:hAnsiTheme="majorHAnsi" w:cstheme="majorHAnsi"/>
          <w:i/>
          <w:sz w:val="24"/>
          <w:szCs w:val="24"/>
          <w:lang w:val="ru-MD" w:eastAsia="ro-RO"/>
        </w:rPr>
        <w:t xml:space="preserve"> регулировании предпринимательской деятельности</w:t>
      </w:r>
      <w:r w:rsidR="009E6CA2" w:rsidRPr="00FA0A37">
        <w:rPr>
          <w:rFonts w:asciiTheme="majorHAnsi" w:eastAsia="Times New Roman" w:hAnsiTheme="majorHAnsi" w:cstheme="majorHAnsi"/>
          <w:i/>
          <w:sz w:val="24"/>
          <w:szCs w:val="24"/>
          <w:lang w:val="ru-MD" w:eastAsia="ro-RO"/>
        </w:rPr>
        <w:t xml:space="preserve"> путем разрешения</w:t>
      </w:r>
      <w:r w:rsidRPr="00FA0A37">
        <w:rPr>
          <w:rFonts w:asciiTheme="majorHAnsi" w:eastAsia="Times New Roman" w:hAnsiTheme="majorHAnsi" w:cstheme="majorHAnsi"/>
          <w:i/>
          <w:sz w:val="24"/>
          <w:szCs w:val="24"/>
          <w:lang w:val="ru-MD" w:eastAsia="ro-RO"/>
        </w:rPr>
        <w:t xml:space="preserve">, судебные инстанции </w:t>
      </w:r>
      <w:r w:rsidR="009E6CA2" w:rsidRPr="00FA0A37">
        <w:rPr>
          <w:rFonts w:asciiTheme="majorHAnsi" w:eastAsia="Times New Roman" w:hAnsiTheme="majorHAnsi" w:cstheme="majorHAnsi"/>
          <w:i/>
          <w:sz w:val="24"/>
          <w:szCs w:val="24"/>
          <w:lang w:val="ru-MD" w:eastAsia="ro-RO"/>
        </w:rPr>
        <w:t>принимают решения в</w:t>
      </w:r>
      <w:r w:rsidRPr="00FA0A37">
        <w:rPr>
          <w:rFonts w:asciiTheme="majorHAnsi" w:eastAsia="Times New Roman" w:hAnsiTheme="majorHAnsi" w:cstheme="majorHAnsi"/>
          <w:i/>
          <w:sz w:val="24"/>
          <w:szCs w:val="24"/>
          <w:lang w:val="ru-MD" w:eastAsia="ro-RO"/>
        </w:rPr>
        <w:t xml:space="preserve"> пользу владельц</w:t>
      </w:r>
      <w:r w:rsidR="009E6CA2" w:rsidRPr="00FA0A37">
        <w:rPr>
          <w:rFonts w:asciiTheme="majorHAnsi" w:eastAsia="Times New Roman" w:hAnsiTheme="majorHAnsi" w:cstheme="majorHAnsi"/>
          <w:i/>
          <w:sz w:val="24"/>
          <w:szCs w:val="24"/>
          <w:lang w:val="ru-MD" w:eastAsia="ro-RO"/>
        </w:rPr>
        <w:t>ев</w:t>
      </w:r>
      <w:r w:rsidRPr="00FA0A37">
        <w:rPr>
          <w:rFonts w:asciiTheme="majorHAnsi" w:eastAsia="Times New Roman" w:hAnsiTheme="majorHAnsi" w:cstheme="majorHAnsi"/>
          <w:i/>
          <w:sz w:val="24"/>
          <w:szCs w:val="24"/>
          <w:lang w:val="ru-MD" w:eastAsia="ro-RO"/>
        </w:rPr>
        <w:t xml:space="preserve"> таможенных складов в случаях приостановления, </w:t>
      </w:r>
      <w:r w:rsidR="009E6CA2" w:rsidRPr="00FA0A37">
        <w:rPr>
          <w:rFonts w:asciiTheme="majorHAnsi" w:eastAsia="Times New Roman" w:hAnsiTheme="majorHAnsi" w:cstheme="majorHAnsi"/>
          <w:i/>
          <w:sz w:val="24"/>
          <w:szCs w:val="24"/>
          <w:lang w:val="ru-MD" w:eastAsia="ro-RO"/>
        </w:rPr>
        <w:t>отзыва</w:t>
      </w:r>
      <w:r w:rsidRPr="00FA0A37">
        <w:rPr>
          <w:rFonts w:asciiTheme="majorHAnsi" w:eastAsia="Times New Roman" w:hAnsiTheme="majorHAnsi" w:cstheme="majorHAnsi"/>
          <w:i/>
          <w:sz w:val="24"/>
          <w:szCs w:val="24"/>
          <w:lang w:val="ru-MD" w:eastAsia="ro-RO"/>
        </w:rPr>
        <w:t xml:space="preserve"> и возобновления действия разрешения на хранение</w:t>
      </w:r>
      <w:r w:rsidR="009E6CA2" w:rsidRPr="00FA0A37">
        <w:rPr>
          <w:rFonts w:asciiTheme="majorHAnsi" w:eastAsia="Times New Roman" w:hAnsiTheme="majorHAnsi" w:cstheme="majorHAnsi"/>
          <w:i/>
          <w:sz w:val="24"/>
          <w:szCs w:val="24"/>
          <w:lang w:val="ru-MD" w:eastAsia="ro-RO"/>
        </w:rPr>
        <w:t xml:space="preserve"> на складе</w:t>
      </w:r>
      <w:r w:rsidRPr="00FA0A37">
        <w:rPr>
          <w:rFonts w:asciiTheme="majorHAnsi" w:eastAsia="Times New Roman" w:hAnsiTheme="majorHAnsi" w:cstheme="majorHAnsi"/>
          <w:i/>
          <w:sz w:val="24"/>
          <w:szCs w:val="24"/>
          <w:lang w:val="ru-MD" w:eastAsia="ro-RO"/>
        </w:rPr>
        <w:t xml:space="preserve">, выданного таможенным органом </w:t>
      </w:r>
      <w:r w:rsidR="006204E2" w:rsidRPr="00FA0A37">
        <w:rPr>
          <w:rFonts w:asciiTheme="majorHAnsi" w:hAnsiTheme="majorHAnsi" w:cstheme="majorHAnsi"/>
          <w:i/>
          <w:sz w:val="24"/>
          <w:szCs w:val="24"/>
          <w:lang w:val="ru-MD"/>
        </w:rPr>
        <w:t>(</w:t>
      </w:r>
      <w:r w:rsidR="00C92679" w:rsidRPr="00FA0A37">
        <w:rPr>
          <w:rFonts w:asciiTheme="majorHAnsi" w:hAnsiTheme="majorHAnsi" w:cstheme="majorHAnsi"/>
          <w:i/>
          <w:sz w:val="24"/>
          <w:szCs w:val="24"/>
          <w:lang w:val="ru-MD"/>
        </w:rPr>
        <w:t>п</w:t>
      </w:r>
      <w:r w:rsidR="006204E2" w:rsidRPr="00FA0A37">
        <w:rPr>
          <w:rFonts w:asciiTheme="majorHAnsi" w:hAnsiTheme="majorHAnsi" w:cstheme="majorHAnsi"/>
          <w:i/>
          <w:sz w:val="24"/>
          <w:szCs w:val="24"/>
          <w:lang w:val="ru-MD"/>
        </w:rPr>
        <w:t>.</w:t>
      </w:r>
      <w:r w:rsidR="00A7616D" w:rsidRPr="00FA0A37">
        <w:rPr>
          <w:rFonts w:asciiTheme="majorHAnsi" w:hAnsiTheme="majorHAnsi" w:cstheme="majorHAnsi"/>
          <w:i/>
          <w:sz w:val="24"/>
          <w:szCs w:val="24"/>
          <w:lang w:val="ru-MD"/>
        </w:rPr>
        <w:t>4.</w:t>
      </w:r>
      <w:r w:rsidR="00970F77" w:rsidRPr="00FA0A37">
        <w:rPr>
          <w:rFonts w:asciiTheme="majorHAnsi" w:hAnsiTheme="majorHAnsi" w:cstheme="majorHAnsi"/>
          <w:i/>
          <w:sz w:val="24"/>
          <w:szCs w:val="24"/>
          <w:lang w:val="ru-MD"/>
        </w:rPr>
        <w:t>4</w:t>
      </w:r>
      <w:r w:rsidR="006204E2" w:rsidRPr="00FA0A37">
        <w:rPr>
          <w:rFonts w:asciiTheme="majorHAnsi" w:hAnsiTheme="majorHAnsi" w:cstheme="majorHAnsi"/>
          <w:i/>
          <w:sz w:val="24"/>
          <w:szCs w:val="24"/>
          <w:lang w:val="ru-MD"/>
        </w:rPr>
        <w:t>.</w:t>
      </w:r>
      <w:r w:rsidR="00970F77" w:rsidRPr="00FA0A37">
        <w:rPr>
          <w:rFonts w:asciiTheme="majorHAnsi" w:hAnsiTheme="majorHAnsi" w:cstheme="majorHAnsi"/>
          <w:i/>
          <w:sz w:val="24"/>
          <w:szCs w:val="24"/>
          <w:lang w:val="ru-MD"/>
        </w:rPr>
        <w:t>1</w:t>
      </w:r>
      <w:r w:rsidR="006204E2" w:rsidRPr="00FA0A37">
        <w:rPr>
          <w:rFonts w:asciiTheme="majorHAnsi" w:hAnsiTheme="majorHAnsi" w:cstheme="majorHAnsi"/>
          <w:i/>
          <w:sz w:val="24"/>
          <w:szCs w:val="24"/>
          <w:lang w:val="ru-MD"/>
        </w:rPr>
        <w:t>)</w:t>
      </w:r>
      <w:r w:rsidR="009E6CA2" w:rsidRPr="00FA0A37">
        <w:rPr>
          <w:rFonts w:asciiTheme="majorHAnsi" w:hAnsiTheme="majorHAnsi" w:cstheme="majorHAnsi"/>
          <w:i/>
          <w:sz w:val="24"/>
          <w:szCs w:val="24"/>
          <w:lang w:val="ru-MD"/>
        </w:rPr>
        <w:t>;</w:t>
      </w:r>
      <w:r w:rsidR="00A87F25" w:rsidRPr="00FA0A37">
        <w:rPr>
          <w:rFonts w:asciiTheme="majorHAnsi" w:eastAsia="Times New Roman" w:hAnsiTheme="majorHAnsi" w:cstheme="majorHAnsi"/>
          <w:i/>
          <w:sz w:val="24"/>
          <w:szCs w:val="24"/>
          <w:lang w:val="ru-MD"/>
        </w:rPr>
        <w:t xml:space="preserve">  </w:t>
      </w:r>
      <w:r w:rsidR="00722A53" w:rsidRPr="00FA0A37">
        <w:rPr>
          <w:rFonts w:asciiTheme="majorHAnsi" w:eastAsia="Times New Roman" w:hAnsiTheme="majorHAnsi" w:cstheme="majorHAnsi"/>
          <w:i/>
          <w:sz w:val="24"/>
          <w:szCs w:val="24"/>
          <w:lang w:val="ru-MD"/>
        </w:rPr>
        <w:t xml:space="preserve"> </w:t>
      </w:r>
    </w:p>
    <w:p w14:paraId="76F1698A" w14:textId="1610018A" w:rsidR="00A972F5" w:rsidRPr="00D36D2F" w:rsidRDefault="00282B3F" w:rsidP="00282B3F">
      <w:pPr>
        <w:pStyle w:val="ListParagraph"/>
        <w:numPr>
          <w:ilvl w:val="0"/>
          <w:numId w:val="6"/>
        </w:numPr>
        <w:spacing w:after="120" w:line="276" w:lineRule="auto"/>
        <w:ind w:left="0" w:firstLine="284"/>
        <w:jc w:val="both"/>
        <w:rPr>
          <w:rFonts w:asciiTheme="majorHAnsi" w:hAnsiTheme="majorHAnsi" w:cstheme="majorHAnsi"/>
          <w:i/>
          <w:sz w:val="24"/>
          <w:szCs w:val="24"/>
          <w:lang w:val="ru-MD"/>
        </w:rPr>
      </w:pPr>
      <w:r w:rsidRPr="00D36D2F">
        <w:rPr>
          <w:rFonts w:asciiTheme="majorHAnsi" w:hAnsiTheme="majorHAnsi" w:cstheme="majorHAnsi"/>
          <w:i/>
          <w:sz w:val="24"/>
          <w:szCs w:val="24"/>
          <w:lang w:val="ru-MD"/>
        </w:rPr>
        <w:t xml:space="preserve">Экономический субъект ввез 400 автомобилей класса люкс на сумму 692,6 млн леев, поместив их на „таможенный склад”, позже собственники сменились, а автомобили были размещенные в „свободной экономической зоне”,  с освобождением от ввозных пошлин, были </w:t>
      </w:r>
      <w:r w:rsidR="00D36D2F" w:rsidRPr="00D36D2F">
        <w:rPr>
          <w:rFonts w:asciiTheme="majorHAnsi" w:hAnsiTheme="majorHAnsi" w:cstheme="majorHAnsi"/>
          <w:i/>
          <w:sz w:val="24"/>
          <w:szCs w:val="24"/>
          <w:lang w:val="ru-MD"/>
        </w:rPr>
        <w:t xml:space="preserve">реэкспортированы </w:t>
      </w:r>
      <w:r w:rsidRPr="00D36D2F">
        <w:rPr>
          <w:rFonts w:asciiTheme="majorHAnsi" w:hAnsiTheme="majorHAnsi" w:cstheme="majorHAnsi"/>
          <w:i/>
          <w:sz w:val="24"/>
          <w:szCs w:val="24"/>
          <w:lang w:val="ru-MD"/>
        </w:rPr>
        <w:t xml:space="preserve">в другие страны, </w:t>
      </w:r>
      <w:r w:rsidR="00D36D2F" w:rsidRPr="00D36D2F">
        <w:rPr>
          <w:rFonts w:asciiTheme="majorHAnsi" w:hAnsiTheme="majorHAnsi" w:cstheme="majorHAnsi"/>
          <w:i/>
          <w:sz w:val="24"/>
          <w:szCs w:val="24"/>
          <w:lang w:val="ru-MD"/>
        </w:rPr>
        <w:t xml:space="preserve">со </w:t>
      </w:r>
      <w:r w:rsidRPr="00D36D2F">
        <w:rPr>
          <w:rFonts w:asciiTheme="majorHAnsi" w:hAnsiTheme="majorHAnsi" w:cstheme="majorHAnsi"/>
          <w:i/>
          <w:sz w:val="24"/>
          <w:szCs w:val="24"/>
          <w:lang w:val="ru-MD"/>
        </w:rPr>
        <w:t>стоимостью 846 млн леев, или на 153,0 млн</w:t>
      </w:r>
      <w:r w:rsidR="00D36D2F" w:rsidRPr="00D36D2F">
        <w:rPr>
          <w:rFonts w:asciiTheme="majorHAnsi" w:hAnsiTheme="majorHAnsi" w:cstheme="majorHAnsi"/>
          <w:i/>
          <w:sz w:val="24"/>
          <w:szCs w:val="24"/>
          <w:lang w:val="ru-MD"/>
        </w:rPr>
        <w:t>.</w:t>
      </w:r>
      <w:r w:rsidRPr="00D36D2F">
        <w:rPr>
          <w:rFonts w:asciiTheme="majorHAnsi" w:hAnsiTheme="majorHAnsi" w:cstheme="majorHAnsi"/>
          <w:i/>
          <w:sz w:val="24"/>
          <w:szCs w:val="24"/>
          <w:lang w:val="ru-MD"/>
        </w:rPr>
        <w:t xml:space="preserve"> леев больше статистической стоимости при поступлении на таможенный склад (для автомобилей класса люкс стоимостью 100,9 млн леев, страной сделки </w:t>
      </w:r>
      <w:r w:rsidR="00D36D2F" w:rsidRPr="00D36D2F">
        <w:rPr>
          <w:rFonts w:asciiTheme="majorHAnsi" w:hAnsiTheme="majorHAnsi" w:cstheme="majorHAnsi"/>
          <w:i/>
          <w:sz w:val="24"/>
          <w:szCs w:val="24"/>
          <w:lang w:val="ru-MD"/>
        </w:rPr>
        <w:t>были</w:t>
      </w:r>
      <w:r w:rsidRPr="00D36D2F">
        <w:rPr>
          <w:rFonts w:asciiTheme="majorHAnsi" w:hAnsiTheme="majorHAnsi" w:cstheme="majorHAnsi"/>
          <w:i/>
          <w:sz w:val="24"/>
          <w:szCs w:val="24"/>
          <w:lang w:val="ru-MD"/>
        </w:rPr>
        <w:t xml:space="preserve"> Объединенные Арабские Эмираты, страна, не реализующая международные стандарты прозрачности). </w:t>
      </w:r>
      <w:r w:rsidR="00D36D2F" w:rsidRPr="00D36D2F">
        <w:rPr>
          <w:rFonts w:asciiTheme="majorHAnsi" w:hAnsiTheme="majorHAnsi" w:cstheme="majorHAnsi"/>
          <w:i/>
          <w:sz w:val="24"/>
          <w:szCs w:val="24"/>
          <w:lang w:val="ru-MD"/>
        </w:rPr>
        <w:t>Через указанные таможенные режимы были ввезены и впоследствии реэкспортированы л</w:t>
      </w:r>
      <w:r w:rsidRPr="00D36D2F">
        <w:rPr>
          <w:rFonts w:asciiTheme="majorHAnsi" w:hAnsiTheme="majorHAnsi" w:cstheme="majorHAnsi"/>
          <w:i/>
          <w:sz w:val="24"/>
          <w:szCs w:val="24"/>
          <w:lang w:val="ru-MD"/>
        </w:rPr>
        <w:t xml:space="preserve">екарственные средства на сумму 837,0 млн. леев, в основном в Российскую Федерацию, </w:t>
      </w:r>
      <w:r w:rsidR="00D36D2F" w:rsidRPr="00D36D2F">
        <w:rPr>
          <w:rFonts w:asciiTheme="majorHAnsi" w:hAnsiTheme="majorHAnsi" w:cstheme="majorHAnsi"/>
          <w:i/>
          <w:sz w:val="24"/>
          <w:szCs w:val="24"/>
          <w:lang w:val="ru-MD"/>
        </w:rPr>
        <w:t xml:space="preserve">а </w:t>
      </w:r>
      <w:r w:rsidRPr="00D36D2F">
        <w:rPr>
          <w:rFonts w:asciiTheme="majorHAnsi" w:hAnsiTheme="majorHAnsi" w:cstheme="majorHAnsi"/>
          <w:i/>
          <w:sz w:val="24"/>
          <w:szCs w:val="24"/>
          <w:lang w:val="ru-MD"/>
        </w:rPr>
        <w:t>стран</w:t>
      </w:r>
      <w:r w:rsidR="00D36D2F" w:rsidRPr="00D36D2F">
        <w:rPr>
          <w:rFonts w:asciiTheme="majorHAnsi" w:hAnsiTheme="majorHAnsi" w:cstheme="majorHAnsi"/>
          <w:i/>
          <w:sz w:val="24"/>
          <w:szCs w:val="24"/>
          <w:lang w:val="ru-MD"/>
        </w:rPr>
        <w:t>ами</w:t>
      </w:r>
      <w:r w:rsidRPr="00D36D2F">
        <w:rPr>
          <w:rFonts w:asciiTheme="majorHAnsi" w:hAnsiTheme="majorHAnsi" w:cstheme="majorHAnsi"/>
          <w:i/>
          <w:sz w:val="24"/>
          <w:szCs w:val="24"/>
          <w:lang w:val="ru-MD"/>
        </w:rPr>
        <w:t xml:space="preserve"> сделки яв</w:t>
      </w:r>
      <w:r w:rsidR="00D36D2F" w:rsidRPr="00D36D2F">
        <w:rPr>
          <w:rFonts w:asciiTheme="majorHAnsi" w:hAnsiTheme="majorHAnsi" w:cstheme="majorHAnsi"/>
          <w:i/>
          <w:sz w:val="24"/>
          <w:szCs w:val="24"/>
          <w:lang w:val="ru-MD"/>
        </w:rPr>
        <w:t>ились</w:t>
      </w:r>
      <w:r w:rsidRPr="00D36D2F">
        <w:rPr>
          <w:rFonts w:asciiTheme="majorHAnsi" w:hAnsiTheme="majorHAnsi" w:cstheme="majorHAnsi"/>
          <w:i/>
          <w:sz w:val="24"/>
          <w:szCs w:val="24"/>
          <w:lang w:val="ru-MD"/>
        </w:rPr>
        <w:t xml:space="preserve"> Мальта </w:t>
      </w:r>
      <w:r w:rsidR="00D36D2F" w:rsidRPr="00D36D2F">
        <w:rPr>
          <w:rFonts w:asciiTheme="majorHAnsi" w:hAnsiTheme="majorHAnsi" w:cstheme="majorHAnsi"/>
          <w:i/>
          <w:sz w:val="24"/>
          <w:szCs w:val="24"/>
          <w:lang w:val="ru-MD"/>
        </w:rPr>
        <w:t xml:space="preserve">и Объединенные Арабские Эмираты </w:t>
      </w:r>
      <w:r w:rsidR="00E43C5A" w:rsidRPr="00D36D2F">
        <w:rPr>
          <w:rFonts w:asciiTheme="majorHAnsi" w:hAnsiTheme="majorHAnsi" w:cstheme="majorHAnsi"/>
          <w:i/>
          <w:sz w:val="24"/>
          <w:szCs w:val="24"/>
          <w:lang w:val="ru-MD"/>
        </w:rPr>
        <w:t>(</w:t>
      </w:r>
      <w:r w:rsidR="00C92679" w:rsidRPr="00D36D2F">
        <w:rPr>
          <w:rFonts w:asciiTheme="majorHAnsi" w:hAnsiTheme="majorHAnsi" w:cstheme="majorHAnsi"/>
          <w:i/>
          <w:sz w:val="24"/>
          <w:szCs w:val="24"/>
          <w:lang w:val="ru-MD"/>
        </w:rPr>
        <w:t>п</w:t>
      </w:r>
      <w:r w:rsidR="00E43C5A" w:rsidRPr="00D36D2F">
        <w:rPr>
          <w:rFonts w:asciiTheme="majorHAnsi" w:hAnsiTheme="majorHAnsi" w:cstheme="majorHAnsi"/>
          <w:i/>
          <w:sz w:val="24"/>
          <w:szCs w:val="24"/>
          <w:lang w:val="ru-MD"/>
        </w:rPr>
        <w:t>.</w:t>
      </w:r>
      <w:r w:rsidR="00A7616D" w:rsidRPr="00D36D2F">
        <w:rPr>
          <w:rFonts w:asciiTheme="majorHAnsi" w:hAnsiTheme="majorHAnsi" w:cstheme="majorHAnsi"/>
          <w:i/>
          <w:sz w:val="24"/>
          <w:szCs w:val="24"/>
          <w:lang w:val="ru-MD"/>
        </w:rPr>
        <w:t>4.</w:t>
      </w:r>
      <w:r w:rsidR="00E43C5A" w:rsidRPr="00D36D2F">
        <w:rPr>
          <w:rFonts w:asciiTheme="majorHAnsi" w:hAnsiTheme="majorHAnsi" w:cstheme="majorHAnsi"/>
          <w:i/>
          <w:sz w:val="24"/>
          <w:szCs w:val="24"/>
          <w:lang w:val="ru-MD"/>
        </w:rPr>
        <w:t>4.1)</w:t>
      </w:r>
      <w:r w:rsidR="00A972F5" w:rsidRPr="00D36D2F">
        <w:rPr>
          <w:rFonts w:asciiTheme="majorHAnsi" w:hAnsiTheme="majorHAnsi" w:cstheme="majorHAnsi"/>
          <w:i/>
          <w:sz w:val="24"/>
          <w:szCs w:val="24"/>
          <w:lang w:val="ru-MD"/>
        </w:rPr>
        <w:t xml:space="preserve">.  </w:t>
      </w:r>
    </w:p>
    <w:p w14:paraId="266AC926" w14:textId="4386A9DA" w:rsidR="00461D98" w:rsidRPr="00B20FBD" w:rsidRDefault="001B2DED" w:rsidP="00461D98">
      <w:pPr>
        <w:pStyle w:val="NormalWeb"/>
        <w:shd w:val="clear" w:color="auto" w:fill="FFFFFF"/>
        <w:spacing w:line="276" w:lineRule="auto"/>
        <w:ind w:firstLine="0"/>
        <w:textAlignment w:val="baseline"/>
        <w:rPr>
          <w:rFonts w:asciiTheme="majorHAnsi" w:hAnsiTheme="majorHAnsi" w:cstheme="majorHAnsi"/>
          <w:color w:val="000000"/>
          <w:lang w:val="ro-RO"/>
        </w:rPr>
      </w:pPr>
      <w:r w:rsidRPr="00D36D2F">
        <w:rPr>
          <w:rFonts w:asciiTheme="majorHAnsi" w:hAnsiTheme="majorHAnsi" w:cstheme="majorHAnsi"/>
          <w:color w:val="000000"/>
          <w:lang w:val="ru-MD"/>
        </w:rPr>
        <w:t xml:space="preserve">Подробные </w:t>
      </w:r>
      <w:r w:rsidR="008C2F76" w:rsidRPr="00D36D2F">
        <w:rPr>
          <w:rFonts w:asciiTheme="majorHAnsi" w:hAnsiTheme="majorHAnsi" w:cstheme="majorHAnsi"/>
          <w:color w:val="000000"/>
          <w:lang w:val="ru-MD"/>
        </w:rPr>
        <w:t>констатации</w:t>
      </w:r>
      <w:r w:rsidRPr="00D36D2F">
        <w:rPr>
          <w:rFonts w:asciiTheme="majorHAnsi" w:hAnsiTheme="majorHAnsi" w:cstheme="majorHAnsi"/>
          <w:color w:val="000000"/>
          <w:lang w:val="ru-MD"/>
        </w:rPr>
        <w:t xml:space="preserve"> и выводы по </w:t>
      </w:r>
      <w:r w:rsidR="008C2F76" w:rsidRPr="00D36D2F">
        <w:rPr>
          <w:rFonts w:asciiTheme="majorHAnsi" w:hAnsiTheme="majorHAnsi" w:cstheme="majorHAnsi"/>
          <w:color w:val="000000"/>
          <w:lang w:val="ru-MD"/>
        </w:rPr>
        <w:t>аспект</w:t>
      </w:r>
      <w:r w:rsidRPr="00D36D2F">
        <w:rPr>
          <w:rFonts w:asciiTheme="majorHAnsi" w:hAnsiTheme="majorHAnsi" w:cstheme="majorHAnsi"/>
          <w:color w:val="000000"/>
          <w:lang w:val="ru-MD"/>
        </w:rPr>
        <w:t xml:space="preserve">ам, </w:t>
      </w:r>
      <w:r w:rsidR="008C2F76" w:rsidRPr="00D36D2F">
        <w:rPr>
          <w:rFonts w:asciiTheme="majorHAnsi" w:hAnsiTheme="majorHAnsi" w:cstheme="majorHAnsi"/>
          <w:color w:val="000000"/>
          <w:lang w:val="ru-MD"/>
        </w:rPr>
        <w:t xml:space="preserve">подвергнутым аудиту </w:t>
      </w:r>
      <w:r w:rsidRPr="00D36D2F">
        <w:rPr>
          <w:rFonts w:asciiTheme="majorHAnsi" w:hAnsiTheme="majorHAnsi" w:cstheme="majorHAnsi"/>
          <w:color w:val="000000"/>
          <w:lang w:val="ru-MD"/>
        </w:rPr>
        <w:t xml:space="preserve">в рамках аудиторской миссии, представлены в соответствующих разделах настоящего </w:t>
      </w:r>
      <w:r w:rsidR="008C2F76" w:rsidRPr="00D36D2F">
        <w:rPr>
          <w:rFonts w:asciiTheme="majorHAnsi" w:hAnsiTheme="majorHAnsi" w:cstheme="majorHAnsi"/>
          <w:color w:val="000000"/>
          <w:lang w:val="ru-MD"/>
        </w:rPr>
        <w:t>Отчета аудита.</w:t>
      </w:r>
    </w:p>
    <w:p w14:paraId="69B36D93" w14:textId="77777777" w:rsidR="00264C15" w:rsidRPr="00B20FBD" w:rsidRDefault="00264C15" w:rsidP="00BC2FDB">
      <w:pPr>
        <w:pStyle w:val="ListParagraph"/>
        <w:tabs>
          <w:tab w:val="left" w:pos="990"/>
        </w:tabs>
        <w:spacing w:line="276" w:lineRule="auto"/>
        <w:jc w:val="both"/>
        <w:outlineLvl w:val="0"/>
        <w:rPr>
          <w:rFonts w:asciiTheme="majorHAnsi" w:eastAsia="Times New Roman" w:hAnsiTheme="majorHAnsi" w:cstheme="majorHAnsi"/>
          <w:sz w:val="24"/>
          <w:szCs w:val="24"/>
          <w:lang w:eastAsia="ro-RO"/>
        </w:rPr>
      </w:pPr>
    </w:p>
    <w:p w14:paraId="12BB9389" w14:textId="5F271CBC" w:rsidR="00BC6AE3" w:rsidRPr="00BC6AE3" w:rsidRDefault="00BC6AE3" w:rsidP="00BC6AE3">
      <w:pPr>
        <w:pStyle w:val="Heading1"/>
        <w:numPr>
          <w:ilvl w:val="0"/>
          <w:numId w:val="3"/>
        </w:numPr>
        <w:spacing w:before="0" w:after="120"/>
        <w:ind w:left="0" w:firstLine="993"/>
        <w:rPr>
          <w:rFonts w:cstheme="majorHAnsi"/>
          <w:b/>
          <w:color w:val="auto"/>
          <w:sz w:val="28"/>
          <w:szCs w:val="28"/>
          <w:lang w:val="ro-MD"/>
        </w:rPr>
      </w:pPr>
      <w:bookmarkStart w:id="9" w:name="_Toc57308260"/>
      <w:r w:rsidRPr="00BC6AE3">
        <w:rPr>
          <w:b/>
          <w:color w:val="auto"/>
        </w:rPr>
        <w:t xml:space="preserve"> </w:t>
      </w:r>
      <w:bookmarkStart w:id="10" w:name="_Toc127129397"/>
      <w:r w:rsidRPr="00BC6AE3">
        <w:rPr>
          <w:rFonts w:cstheme="majorHAnsi"/>
          <w:b/>
          <w:color w:val="auto"/>
          <w:sz w:val="28"/>
          <w:szCs w:val="28"/>
        </w:rPr>
        <w:t>ОБЩЕЕ ПРЕДСТАВЛЕНИЕ</w:t>
      </w:r>
      <w:bookmarkEnd w:id="9"/>
      <w:bookmarkEnd w:id="10"/>
    </w:p>
    <w:p w14:paraId="70FC5A97" w14:textId="769475D3" w:rsidR="006A642F" w:rsidRPr="00B20FBD" w:rsidRDefault="00354836" w:rsidP="004C7D7A">
      <w:pPr>
        <w:spacing w:after="120"/>
        <w:jc w:val="both"/>
        <w:rPr>
          <w:rFonts w:asciiTheme="majorHAnsi" w:eastAsia="Times New Roman" w:hAnsiTheme="majorHAnsi" w:cstheme="majorHAnsi"/>
          <w:sz w:val="24"/>
          <w:szCs w:val="24"/>
          <w:lang w:val="ro-RO"/>
        </w:rPr>
      </w:pPr>
      <w:r w:rsidRPr="003F407B">
        <w:rPr>
          <w:rFonts w:asciiTheme="majorHAnsi" w:hAnsiTheme="majorHAnsi" w:cstheme="majorHAnsi"/>
          <w:sz w:val="24"/>
          <w:szCs w:val="24"/>
          <w:lang w:val="ru-MD"/>
        </w:rPr>
        <w:t>Таможенная служба является подведомственным Министерству финансов административным органом, действуя как отдельная организационная структура в административной системе данного министерства, созданная для  предоставления административных публичных услуг таможенным плательщикам, осуществления и совершенствования таможенного контроля, в том числе законности ввоза/вывоза товаров на/с таможенной территории, выполнени</w:t>
      </w:r>
      <w:r w:rsidR="00BC6AE3">
        <w:rPr>
          <w:rFonts w:asciiTheme="majorHAnsi" w:hAnsiTheme="majorHAnsi" w:cstheme="majorHAnsi"/>
          <w:sz w:val="24"/>
          <w:szCs w:val="24"/>
          <w:lang w:val="ru-MD"/>
        </w:rPr>
        <w:t>я</w:t>
      </w:r>
      <w:r w:rsidRPr="003F407B">
        <w:rPr>
          <w:rFonts w:asciiTheme="majorHAnsi" w:hAnsiTheme="majorHAnsi" w:cstheme="majorHAnsi"/>
          <w:sz w:val="24"/>
          <w:szCs w:val="24"/>
          <w:lang w:val="ru-MD"/>
        </w:rPr>
        <w:t xml:space="preserve"> таможенных формальностей, создани</w:t>
      </w:r>
      <w:r w:rsidR="00BC6AE3">
        <w:rPr>
          <w:rFonts w:asciiTheme="majorHAnsi" w:hAnsiTheme="majorHAnsi" w:cstheme="majorHAnsi"/>
          <w:sz w:val="24"/>
          <w:szCs w:val="24"/>
          <w:lang w:val="ru-MD"/>
        </w:rPr>
        <w:t>я</w:t>
      </w:r>
      <w:r w:rsidRPr="003F407B">
        <w:rPr>
          <w:rFonts w:asciiTheme="majorHAnsi" w:hAnsiTheme="majorHAnsi" w:cstheme="majorHAnsi"/>
          <w:sz w:val="24"/>
          <w:szCs w:val="24"/>
          <w:lang w:val="ru-MD"/>
        </w:rPr>
        <w:t xml:space="preserve"> условий для ускорения товарооборота через таможенную границу.</w:t>
      </w:r>
      <w:r w:rsidR="007917F3" w:rsidRPr="00B20FBD">
        <w:rPr>
          <w:rFonts w:asciiTheme="majorHAnsi" w:eastAsia="Times New Roman" w:hAnsiTheme="majorHAnsi" w:cstheme="majorHAnsi"/>
          <w:sz w:val="24"/>
          <w:szCs w:val="24"/>
          <w:lang w:val="ro-RO"/>
        </w:rPr>
        <w:t xml:space="preserve"> </w:t>
      </w:r>
    </w:p>
    <w:p w14:paraId="1C2C57EE" w14:textId="0E2C6BCB" w:rsidR="006A642F" w:rsidRPr="007B5164" w:rsidRDefault="00BC6AE3" w:rsidP="00D418F4">
      <w:pPr>
        <w:spacing w:after="120"/>
        <w:jc w:val="both"/>
        <w:rPr>
          <w:rFonts w:asciiTheme="majorHAnsi" w:eastAsia="Times New Roman" w:hAnsiTheme="majorHAnsi" w:cstheme="majorHAnsi"/>
          <w:sz w:val="24"/>
          <w:szCs w:val="24"/>
          <w:lang w:val="ru-MD" w:eastAsia="ro-RO"/>
        </w:rPr>
      </w:pPr>
      <w:r w:rsidRPr="007B5164">
        <w:rPr>
          <w:rFonts w:asciiTheme="majorHAnsi" w:eastAsia="Times New Roman" w:hAnsiTheme="majorHAnsi" w:cstheme="majorHAnsi"/>
          <w:sz w:val="24"/>
          <w:szCs w:val="24"/>
          <w:lang w:val="ru-MD" w:eastAsia="ro-RO"/>
        </w:rPr>
        <w:t>В свою очередь, Министерство финансов разрабатывает и продвигает таможенную политику государства, утверждает бюджет Таможенной службы, устанавливает цели и показатели эффективности, запрашивает и рассматривает информацию и отчеты о деятельности Таможенной службы, осуществляет и другие полномочия, предусмотренные законом</w:t>
      </w:r>
      <w:r w:rsidR="001B6BB1" w:rsidRPr="007B5164">
        <w:rPr>
          <w:rFonts w:asciiTheme="majorHAnsi" w:eastAsia="Times New Roman" w:hAnsiTheme="majorHAnsi" w:cstheme="majorHAnsi"/>
          <w:sz w:val="24"/>
          <w:szCs w:val="24"/>
          <w:lang w:val="ru-MD"/>
        </w:rPr>
        <w:t>.</w:t>
      </w:r>
      <w:r w:rsidR="006A642F" w:rsidRPr="007B5164">
        <w:rPr>
          <w:rFonts w:asciiTheme="majorHAnsi" w:eastAsia="Times New Roman" w:hAnsiTheme="majorHAnsi" w:cstheme="majorHAnsi"/>
          <w:sz w:val="24"/>
          <w:szCs w:val="24"/>
          <w:lang w:val="ru-MD"/>
        </w:rPr>
        <w:t xml:space="preserve"> </w:t>
      </w:r>
      <w:r w:rsidR="0063542E" w:rsidRPr="007B5164">
        <w:rPr>
          <w:rFonts w:asciiTheme="majorHAnsi" w:eastAsia="Times New Roman" w:hAnsiTheme="majorHAnsi" w:cstheme="majorHAnsi"/>
          <w:sz w:val="24"/>
          <w:szCs w:val="24"/>
          <w:lang w:val="ru-MD"/>
        </w:rPr>
        <w:t xml:space="preserve">В своей деятельности </w:t>
      </w:r>
      <w:r w:rsidRPr="007B5164">
        <w:rPr>
          <w:rFonts w:asciiTheme="majorHAnsi" w:eastAsia="Times New Roman" w:hAnsiTheme="majorHAnsi" w:cstheme="majorHAnsi"/>
          <w:sz w:val="24"/>
          <w:szCs w:val="24"/>
          <w:lang w:val="ru-MD" w:eastAsia="ro-RO"/>
        </w:rPr>
        <w:t>Таможенная служба</w:t>
      </w:r>
      <w:r w:rsidR="0063542E" w:rsidRPr="007B5164">
        <w:rPr>
          <w:rFonts w:asciiTheme="majorHAnsi" w:eastAsia="Times New Roman" w:hAnsiTheme="majorHAnsi" w:cstheme="majorHAnsi"/>
          <w:sz w:val="24"/>
          <w:szCs w:val="24"/>
          <w:lang w:val="ru-MD"/>
        </w:rPr>
        <w:t xml:space="preserve"> руководствуется положениями Таможенного кодекса</w:t>
      </w:r>
      <w:r w:rsidR="0063542E" w:rsidRPr="007B5164">
        <w:rPr>
          <w:rFonts w:asciiTheme="majorHAnsi" w:eastAsia="Times New Roman" w:hAnsiTheme="majorHAnsi" w:cstheme="majorHAnsi"/>
          <w:sz w:val="24"/>
          <w:szCs w:val="24"/>
          <w:vertAlign w:val="superscript"/>
          <w:lang w:val="ru-MD"/>
        </w:rPr>
        <w:footnoteReference w:id="3"/>
      </w:r>
      <w:r w:rsidR="0063542E" w:rsidRPr="007B5164">
        <w:rPr>
          <w:rFonts w:asciiTheme="majorHAnsi" w:eastAsia="Times New Roman" w:hAnsiTheme="majorHAnsi" w:cstheme="majorHAnsi"/>
          <w:sz w:val="24"/>
          <w:szCs w:val="24"/>
          <w:lang w:val="ru-MD"/>
        </w:rPr>
        <w:t>, Налогового кодекса</w:t>
      </w:r>
      <w:r w:rsidR="0063542E" w:rsidRPr="007B5164">
        <w:rPr>
          <w:rFonts w:asciiTheme="majorHAnsi" w:eastAsia="Times New Roman" w:hAnsiTheme="majorHAnsi" w:cstheme="majorHAnsi"/>
          <w:sz w:val="24"/>
          <w:szCs w:val="24"/>
          <w:vertAlign w:val="superscript"/>
          <w:lang w:val="ru-MD"/>
        </w:rPr>
        <w:footnoteReference w:id="4"/>
      </w:r>
      <w:r w:rsidR="0063542E" w:rsidRPr="007B5164">
        <w:rPr>
          <w:rFonts w:asciiTheme="majorHAnsi" w:eastAsia="Times New Roman" w:hAnsiTheme="majorHAnsi" w:cstheme="majorHAnsi"/>
          <w:sz w:val="24"/>
          <w:szCs w:val="24"/>
          <w:lang w:val="ru-MD"/>
        </w:rPr>
        <w:t>, Законом о таможенном тарифе</w:t>
      </w:r>
      <w:r w:rsidR="0063542E" w:rsidRPr="007B5164">
        <w:rPr>
          <w:rFonts w:asciiTheme="majorHAnsi" w:eastAsia="Times New Roman" w:hAnsiTheme="majorHAnsi" w:cstheme="majorHAnsi"/>
          <w:sz w:val="24"/>
          <w:szCs w:val="24"/>
          <w:vertAlign w:val="superscript"/>
          <w:lang w:val="ru-MD"/>
        </w:rPr>
        <w:footnoteReference w:id="5"/>
      </w:r>
      <w:r w:rsidR="0063542E" w:rsidRPr="007B5164">
        <w:rPr>
          <w:rFonts w:asciiTheme="majorHAnsi" w:eastAsia="Times New Roman" w:hAnsiTheme="majorHAnsi" w:cstheme="majorHAnsi"/>
          <w:sz w:val="24"/>
          <w:szCs w:val="24"/>
          <w:lang w:val="ru-MD"/>
        </w:rPr>
        <w:t>, Законом о Таможенной службе</w:t>
      </w:r>
      <w:r w:rsidR="0063542E" w:rsidRPr="007B5164">
        <w:rPr>
          <w:rFonts w:asciiTheme="majorHAnsi" w:eastAsia="Times New Roman" w:hAnsiTheme="majorHAnsi" w:cstheme="majorHAnsi"/>
          <w:sz w:val="24"/>
          <w:szCs w:val="24"/>
          <w:vertAlign w:val="superscript"/>
          <w:lang w:val="ru-MD"/>
        </w:rPr>
        <w:footnoteReference w:id="6"/>
      </w:r>
      <w:r w:rsidR="0063542E" w:rsidRPr="007B5164">
        <w:rPr>
          <w:rFonts w:asciiTheme="majorHAnsi" w:eastAsia="Times New Roman" w:hAnsiTheme="majorHAnsi" w:cstheme="majorHAnsi"/>
          <w:sz w:val="24"/>
          <w:szCs w:val="24"/>
          <w:lang w:val="ru-MD"/>
        </w:rPr>
        <w:t>, других законодательных и нормативных актов, регулирующих таможенную деятельность.  Таможенн</w:t>
      </w:r>
      <w:r w:rsidR="00D37F94" w:rsidRPr="007B5164">
        <w:rPr>
          <w:rFonts w:asciiTheme="majorHAnsi" w:eastAsia="Times New Roman" w:hAnsiTheme="majorHAnsi" w:cstheme="majorHAnsi"/>
          <w:sz w:val="24"/>
          <w:szCs w:val="24"/>
          <w:lang w:val="ru-MD"/>
        </w:rPr>
        <w:t>ая</w:t>
      </w:r>
      <w:r w:rsidR="0063542E" w:rsidRPr="007B5164">
        <w:rPr>
          <w:rFonts w:asciiTheme="majorHAnsi" w:eastAsia="Times New Roman" w:hAnsiTheme="majorHAnsi" w:cstheme="majorHAnsi"/>
          <w:sz w:val="24"/>
          <w:szCs w:val="24"/>
          <w:lang w:val="ru-MD"/>
        </w:rPr>
        <w:t xml:space="preserve"> служб</w:t>
      </w:r>
      <w:r w:rsidR="00D37F94" w:rsidRPr="007B5164">
        <w:rPr>
          <w:rFonts w:asciiTheme="majorHAnsi" w:eastAsia="Times New Roman" w:hAnsiTheme="majorHAnsi" w:cstheme="majorHAnsi"/>
          <w:sz w:val="24"/>
          <w:szCs w:val="24"/>
          <w:lang w:val="ru-MD"/>
        </w:rPr>
        <w:t>а</w:t>
      </w:r>
      <w:r w:rsidR="0063542E" w:rsidRPr="007B5164">
        <w:rPr>
          <w:rFonts w:asciiTheme="majorHAnsi" w:eastAsia="Times New Roman" w:hAnsiTheme="majorHAnsi" w:cstheme="majorHAnsi"/>
          <w:sz w:val="24"/>
          <w:szCs w:val="24"/>
          <w:lang w:val="ru-MD"/>
        </w:rPr>
        <w:t xml:space="preserve"> включает</w:t>
      </w:r>
      <w:r w:rsidR="00D37F94" w:rsidRPr="007B5164">
        <w:rPr>
          <w:rFonts w:asciiTheme="majorHAnsi" w:eastAsia="Times New Roman" w:hAnsiTheme="majorHAnsi" w:cstheme="majorHAnsi"/>
          <w:sz w:val="24"/>
          <w:szCs w:val="24"/>
          <w:lang w:val="ru-MD"/>
        </w:rPr>
        <w:t>:</w:t>
      </w:r>
      <w:r w:rsidR="0063542E" w:rsidRPr="007B5164">
        <w:rPr>
          <w:rFonts w:asciiTheme="majorHAnsi" w:eastAsia="Times New Roman" w:hAnsiTheme="majorHAnsi" w:cstheme="majorHAnsi"/>
          <w:sz w:val="24"/>
          <w:szCs w:val="24"/>
          <w:lang w:val="ru-MD"/>
        </w:rPr>
        <w:t xml:space="preserve"> </w:t>
      </w:r>
      <w:r w:rsidR="00D37F94" w:rsidRPr="007B5164">
        <w:rPr>
          <w:rFonts w:asciiTheme="majorHAnsi" w:eastAsia="Times New Roman" w:hAnsiTheme="majorHAnsi" w:cstheme="majorHAnsi"/>
          <w:sz w:val="24"/>
          <w:szCs w:val="24"/>
          <w:lang w:val="ru-MD"/>
        </w:rPr>
        <w:t xml:space="preserve">Центральный аппарат, </w:t>
      </w:r>
      <w:r w:rsidR="0063542E" w:rsidRPr="007B5164">
        <w:rPr>
          <w:rFonts w:asciiTheme="majorHAnsi" w:eastAsia="Times New Roman" w:hAnsiTheme="majorHAnsi" w:cstheme="majorHAnsi"/>
          <w:sz w:val="24"/>
          <w:szCs w:val="24"/>
          <w:lang w:val="ru-MD"/>
        </w:rPr>
        <w:t>3 таможни</w:t>
      </w:r>
      <w:r w:rsidR="00D37F94" w:rsidRPr="007B5164">
        <w:rPr>
          <w:rFonts w:asciiTheme="majorHAnsi" w:eastAsia="Times New Roman" w:hAnsiTheme="majorHAnsi" w:cstheme="majorHAnsi"/>
          <w:sz w:val="24"/>
          <w:szCs w:val="24"/>
          <w:lang w:val="ru-MD"/>
        </w:rPr>
        <w:t>: Центр, Север и Юг,</w:t>
      </w:r>
      <w:r w:rsidR="0063542E" w:rsidRPr="007B5164">
        <w:rPr>
          <w:rFonts w:asciiTheme="majorHAnsi" w:eastAsia="Times New Roman" w:hAnsiTheme="majorHAnsi" w:cstheme="majorHAnsi"/>
          <w:sz w:val="24"/>
          <w:szCs w:val="24"/>
          <w:lang w:val="ru-MD"/>
        </w:rPr>
        <w:t xml:space="preserve"> </w:t>
      </w:r>
      <w:r w:rsidR="00D37F94" w:rsidRPr="007B5164">
        <w:rPr>
          <w:rFonts w:asciiTheme="majorHAnsi" w:eastAsia="Times New Roman" w:hAnsiTheme="majorHAnsi" w:cstheme="majorHAnsi"/>
          <w:sz w:val="24"/>
          <w:szCs w:val="24"/>
          <w:lang w:val="ru-MD"/>
        </w:rPr>
        <w:t xml:space="preserve">в качестве подведомственных территориальных подразделений Центральной аппарата, </w:t>
      </w:r>
      <w:r w:rsidR="0063542E" w:rsidRPr="007B5164">
        <w:rPr>
          <w:rFonts w:asciiTheme="majorHAnsi" w:eastAsia="Times New Roman" w:hAnsiTheme="majorHAnsi" w:cstheme="majorHAnsi"/>
          <w:sz w:val="24"/>
          <w:szCs w:val="24"/>
          <w:lang w:val="ru-MD"/>
        </w:rPr>
        <w:t xml:space="preserve">и 89 </w:t>
      </w:r>
      <w:r w:rsidR="00D37F94" w:rsidRPr="007B5164">
        <w:rPr>
          <w:rFonts w:asciiTheme="majorHAnsi" w:eastAsia="Times New Roman" w:hAnsiTheme="majorHAnsi" w:cstheme="majorHAnsi"/>
          <w:sz w:val="24"/>
          <w:szCs w:val="24"/>
          <w:lang w:val="ru-MD"/>
        </w:rPr>
        <w:t xml:space="preserve">внутренних </w:t>
      </w:r>
      <w:r w:rsidR="0063542E" w:rsidRPr="007B5164">
        <w:rPr>
          <w:rFonts w:asciiTheme="majorHAnsi" w:eastAsia="Times New Roman" w:hAnsiTheme="majorHAnsi" w:cstheme="majorHAnsi"/>
          <w:sz w:val="24"/>
          <w:szCs w:val="24"/>
          <w:lang w:val="ru-MD"/>
        </w:rPr>
        <w:t xml:space="preserve">таможенных постов, осуществляющих функции таможенного контроля, противодействия таможенному мошенничеству и другие обязанности. </w:t>
      </w:r>
    </w:p>
    <w:p w14:paraId="6C360FB6" w14:textId="1AB93B85" w:rsidR="00496A9A" w:rsidRPr="006C4FEE" w:rsidRDefault="00D37F94" w:rsidP="004C7D7A">
      <w:pPr>
        <w:spacing w:after="0"/>
        <w:jc w:val="both"/>
        <w:rPr>
          <w:rFonts w:asciiTheme="majorHAnsi" w:hAnsiTheme="majorHAnsi" w:cstheme="majorHAnsi"/>
          <w:sz w:val="24"/>
          <w:szCs w:val="24"/>
          <w:lang w:val="ru-MD"/>
        </w:rPr>
      </w:pPr>
      <w:r w:rsidRPr="006C4FEE">
        <w:rPr>
          <w:rFonts w:asciiTheme="majorHAnsi" w:eastAsia="Times New Roman" w:hAnsiTheme="majorHAnsi" w:cstheme="majorHAnsi"/>
          <w:sz w:val="24"/>
          <w:szCs w:val="24"/>
          <w:lang w:val="ru-MD" w:eastAsia="ro-RO"/>
        </w:rPr>
        <w:t>ТС является членом Всемирной таможенной организации</w:t>
      </w:r>
      <w:r w:rsidR="00147FEB" w:rsidRPr="006C4FEE">
        <w:rPr>
          <w:rFonts w:asciiTheme="majorHAnsi" w:eastAsia="Times New Roman" w:hAnsiTheme="majorHAnsi" w:cstheme="majorHAnsi"/>
          <w:sz w:val="24"/>
          <w:szCs w:val="24"/>
          <w:lang w:val="ru-MD" w:eastAsia="ro-RO"/>
        </w:rPr>
        <w:t xml:space="preserve">. </w:t>
      </w:r>
      <w:r w:rsidR="0063542E" w:rsidRPr="006C4FEE">
        <w:rPr>
          <w:rFonts w:asciiTheme="majorHAnsi" w:eastAsia="Times New Roman" w:hAnsiTheme="majorHAnsi" w:cstheme="majorHAnsi"/>
          <w:sz w:val="24"/>
          <w:szCs w:val="24"/>
          <w:lang w:val="ru-MD" w:eastAsia="ro-RO"/>
        </w:rPr>
        <w:t>Через призму основных полномочий</w:t>
      </w:r>
      <w:r w:rsidRPr="006C4FEE">
        <w:rPr>
          <w:rFonts w:asciiTheme="majorHAnsi" w:eastAsia="Times New Roman" w:hAnsiTheme="majorHAnsi" w:cstheme="majorHAnsi"/>
          <w:sz w:val="24"/>
          <w:szCs w:val="24"/>
          <w:lang w:val="ru-MD" w:eastAsia="ro-RO"/>
        </w:rPr>
        <w:t>,</w:t>
      </w:r>
      <w:r w:rsidR="0063542E" w:rsidRPr="006C4FEE">
        <w:rPr>
          <w:rFonts w:asciiTheme="majorHAnsi" w:eastAsia="Times New Roman" w:hAnsiTheme="majorHAnsi" w:cstheme="majorHAnsi"/>
          <w:sz w:val="24"/>
          <w:szCs w:val="24"/>
          <w:lang w:val="ru-MD" w:eastAsia="ro-RO"/>
        </w:rPr>
        <w:t xml:space="preserve"> ТС </w:t>
      </w:r>
      <w:r w:rsidRPr="006C4FEE">
        <w:rPr>
          <w:rFonts w:asciiTheme="majorHAnsi" w:eastAsia="Times New Roman" w:hAnsiTheme="majorHAnsi" w:cstheme="majorHAnsi"/>
          <w:sz w:val="24"/>
          <w:szCs w:val="24"/>
          <w:lang w:val="ru-MD" w:eastAsia="ro-RO"/>
        </w:rPr>
        <w:t>отвечает за</w:t>
      </w:r>
      <w:r w:rsidR="0063542E" w:rsidRPr="006C4FEE">
        <w:rPr>
          <w:rFonts w:asciiTheme="majorHAnsi" w:eastAsia="Times New Roman" w:hAnsiTheme="majorHAnsi" w:cstheme="majorHAnsi"/>
          <w:sz w:val="24"/>
          <w:szCs w:val="24"/>
          <w:lang w:val="ru-MD" w:eastAsia="ro-RO"/>
        </w:rPr>
        <w:t xml:space="preserve">: </w:t>
      </w:r>
      <w:r w:rsidRPr="006C4FEE">
        <w:rPr>
          <w:rFonts w:asciiTheme="majorHAnsi" w:eastAsia="Times New Roman" w:hAnsiTheme="majorHAnsi" w:cstheme="majorHAnsi"/>
          <w:sz w:val="24"/>
          <w:szCs w:val="24"/>
          <w:lang w:val="ru-MD" w:eastAsia="ro-RO"/>
        </w:rPr>
        <w:t>обеспечение</w:t>
      </w:r>
      <w:r w:rsidR="006C4FEE" w:rsidRPr="006C4FEE">
        <w:rPr>
          <w:rFonts w:asciiTheme="majorHAnsi" w:eastAsia="Times New Roman" w:hAnsiTheme="majorHAnsi" w:cstheme="majorHAnsi"/>
          <w:sz w:val="24"/>
          <w:szCs w:val="24"/>
          <w:lang w:val="ru-MD" w:eastAsia="ro-RO"/>
        </w:rPr>
        <w:t>,</w:t>
      </w:r>
      <w:r w:rsidRPr="006C4FEE">
        <w:rPr>
          <w:rFonts w:asciiTheme="majorHAnsi" w:eastAsia="Times New Roman" w:hAnsiTheme="majorHAnsi" w:cstheme="majorHAnsi"/>
          <w:sz w:val="24"/>
          <w:szCs w:val="24"/>
          <w:lang w:val="ru-MD" w:eastAsia="ro-RO"/>
        </w:rPr>
        <w:t xml:space="preserve"> в пределах своей компетенции</w:t>
      </w:r>
      <w:r w:rsidR="006C4FEE" w:rsidRPr="006C4FEE">
        <w:rPr>
          <w:rFonts w:asciiTheme="majorHAnsi" w:eastAsia="Times New Roman" w:hAnsiTheme="majorHAnsi" w:cstheme="majorHAnsi"/>
          <w:sz w:val="24"/>
          <w:szCs w:val="24"/>
          <w:lang w:val="ru-MD" w:eastAsia="ro-RO"/>
        </w:rPr>
        <w:t>,</w:t>
      </w:r>
      <w:r w:rsidRPr="006C4FEE">
        <w:rPr>
          <w:rFonts w:asciiTheme="majorHAnsi" w:eastAsia="Times New Roman" w:hAnsiTheme="majorHAnsi" w:cstheme="majorHAnsi"/>
          <w:sz w:val="24"/>
          <w:szCs w:val="24"/>
          <w:lang w:val="ru-MD" w:eastAsia="ro-RO"/>
        </w:rPr>
        <w:t xml:space="preserve"> экономической безопасности государства; </w:t>
      </w:r>
      <w:r w:rsidR="006C4FEE" w:rsidRPr="006C4FEE">
        <w:rPr>
          <w:rFonts w:asciiTheme="majorHAnsi" w:eastAsia="Times New Roman" w:hAnsiTheme="majorHAnsi" w:cstheme="majorHAnsi"/>
          <w:sz w:val="24"/>
          <w:szCs w:val="24"/>
          <w:lang w:val="ru-MD" w:eastAsia="ro-RO"/>
        </w:rPr>
        <w:t xml:space="preserve">взимание импортных/экспортных платежей с целью накопления доходов в государственном бюджете,  принятие мер по борьбе с таможенным мошенничеством и преступлениями в области таможенной деятельности, оказание содействия торговле, </w:t>
      </w:r>
      <w:r w:rsidR="0063542E" w:rsidRPr="006C4FEE">
        <w:rPr>
          <w:rFonts w:asciiTheme="majorHAnsi" w:eastAsia="Times New Roman" w:hAnsiTheme="majorHAnsi" w:cstheme="majorHAnsi"/>
          <w:sz w:val="24"/>
          <w:szCs w:val="24"/>
          <w:lang w:val="ru-MD" w:eastAsia="ro-RO"/>
        </w:rPr>
        <w:t>участие в разработке таможенной политики государства и др.</w:t>
      </w:r>
      <w:r w:rsidR="006C4FEE" w:rsidRPr="006C4FEE">
        <w:rPr>
          <w:rFonts w:asciiTheme="majorHAnsi" w:eastAsia="Times New Roman" w:hAnsiTheme="majorHAnsi" w:cstheme="majorHAnsi"/>
          <w:sz w:val="24"/>
          <w:szCs w:val="24"/>
          <w:lang w:val="ru-MD" w:eastAsia="ro-RO"/>
        </w:rPr>
        <w:t xml:space="preserve"> С</w:t>
      </w:r>
      <w:r w:rsidR="006C4FEE">
        <w:rPr>
          <w:rFonts w:asciiTheme="majorHAnsi" w:eastAsia="Times New Roman" w:hAnsiTheme="majorHAnsi" w:cstheme="majorHAnsi"/>
          <w:sz w:val="24"/>
          <w:szCs w:val="24"/>
          <w:lang w:val="ru-MD" w:eastAsia="ro-RO"/>
        </w:rPr>
        <w:t>ледователь</w:t>
      </w:r>
      <w:r w:rsidR="006C4FEE" w:rsidRPr="006C4FEE">
        <w:rPr>
          <w:rFonts w:asciiTheme="majorHAnsi" w:eastAsia="Times New Roman" w:hAnsiTheme="majorHAnsi" w:cstheme="majorHAnsi"/>
          <w:sz w:val="24"/>
          <w:szCs w:val="24"/>
          <w:lang w:val="ru-MD" w:eastAsia="ro-RO"/>
        </w:rPr>
        <w:t>но, Т</w:t>
      </w:r>
      <w:r w:rsidR="0063542E" w:rsidRPr="006C4FEE">
        <w:rPr>
          <w:rFonts w:asciiTheme="majorHAnsi" w:eastAsia="Times New Roman" w:hAnsiTheme="majorHAnsi" w:cstheme="majorHAnsi"/>
          <w:sz w:val="24"/>
          <w:szCs w:val="24"/>
          <w:lang w:val="ru-MD" w:eastAsia="ro-RO"/>
        </w:rPr>
        <w:t>аможенн</w:t>
      </w:r>
      <w:r w:rsidR="006C4FEE" w:rsidRPr="006C4FEE">
        <w:rPr>
          <w:rFonts w:asciiTheme="majorHAnsi" w:eastAsia="Times New Roman" w:hAnsiTheme="majorHAnsi" w:cstheme="majorHAnsi"/>
          <w:sz w:val="24"/>
          <w:szCs w:val="24"/>
          <w:lang w:val="ru-MD" w:eastAsia="ro-RO"/>
        </w:rPr>
        <w:t>ая</w:t>
      </w:r>
      <w:r w:rsidR="0063542E" w:rsidRPr="006C4FEE">
        <w:rPr>
          <w:rFonts w:asciiTheme="majorHAnsi" w:eastAsia="Times New Roman" w:hAnsiTheme="majorHAnsi" w:cstheme="majorHAnsi"/>
          <w:sz w:val="24"/>
          <w:szCs w:val="24"/>
          <w:lang w:val="ru-MD" w:eastAsia="ro-RO"/>
        </w:rPr>
        <w:t xml:space="preserve"> </w:t>
      </w:r>
      <w:r w:rsidR="006C4FEE" w:rsidRPr="006C4FEE">
        <w:rPr>
          <w:rFonts w:asciiTheme="majorHAnsi" w:eastAsia="Times New Roman" w:hAnsiTheme="majorHAnsi" w:cstheme="majorHAnsi"/>
          <w:sz w:val="24"/>
          <w:szCs w:val="24"/>
          <w:lang w:val="ru-MD" w:eastAsia="ro-RO"/>
        </w:rPr>
        <w:t>служба</w:t>
      </w:r>
      <w:r w:rsidR="0063542E" w:rsidRPr="006C4FEE">
        <w:rPr>
          <w:rFonts w:asciiTheme="majorHAnsi" w:eastAsia="Times New Roman" w:hAnsiTheme="majorHAnsi" w:cstheme="majorHAnsi"/>
          <w:sz w:val="24"/>
          <w:szCs w:val="24"/>
          <w:lang w:val="ru-MD" w:eastAsia="ro-RO"/>
        </w:rPr>
        <w:t xml:space="preserve"> должн</w:t>
      </w:r>
      <w:r w:rsidR="006C4FEE" w:rsidRPr="006C4FEE">
        <w:rPr>
          <w:rFonts w:asciiTheme="majorHAnsi" w:eastAsia="Times New Roman" w:hAnsiTheme="majorHAnsi" w:cstheme="majorHAnsi"/>
          <w:sz w:val="24"/>
          <w:szCs w:val="24"/>
          <w:lang w:val="ru-MD" w:eastAsia="ro-RO"/>
        </w:rPr>
        <w:t>а</w:t>
      </w:r>
      <w:r w:rsidR="003E399A" w:rsidRPr="006C4FEE">
        <w:rPr>
          <w:rFonts w:asciiTheme="majorHAnsi" w:hAnsiTheme="majorHAnsi" w:cstheme="majorHAnsi"/>
          <w:sz w:val="24"/>
          <w:szCs w:val="24"/>
          <w:lang w:val="ru-MD"/>
        </w:rPr>
        <w:t>:</w:t>
      </w:r>
      <w:r w:rsidR="00EA4223" w:rsidRPr="006C4FEE">
        <w:rPr>
          <w:rFonts w:asciiTheme="majorHAnsi" w:hAnsiTheme="majorHAnsi" w:cstheme="majorHAnsi"/>
          <w:sz w:val="24"/>
          <w:szCs w:val="24"/>
          <w:lang w:val="ru-MD"/>
        </w:rPr>
        <w:t xml:space="preserve"> </w:t>
      </w:r>
    </w:p>
    <w:p w14:paraId="7105B98B" w14:textId="600D9330" w:rsidR="00FA671E" w:rsidRPr="006C4FEE" w:rsidRDefault="0063542E" w:rsidP="003937C7">
      <w:pPr>
        <w:pStyle w:val="NormalWeb"/>
        <w:numPr>
          <w:ilvl w:val="0"/>
          <w:numId w:val="1"/>
        </w:numPr>
        <w:spacing w:line="276" w:lineRule="auto"/>
        <w:ind w:left="426"/>
        <w:rPr>
          <w:rFonts w:asciiTheme="majorHAnsi" w:hAnsiTheme="majorHAnsi" w:cstheme="majorHAnsi"/>
          <w:i/>
          <w:lang w:val="ru-MD"/>
        </w:rPr>
      </w:pPr>
      <w:r w:rsidRPr="006C4FEE">
        <w:rPr>
          <w:rFonts w:asciiTheme="majorHAnsi" w:hAnsiTheme="majorHAnsi" w:cstheme="majorHAnsi"/>
          <w:i/>
          <w:lang w:val="ru-MD"/>
        </w:rPr>
        <w:t>обеспечивать сбор таможенных доходов регулярно, в соответствии с годов</w:t>
      </w:r>
      <w:r w:rsidR="006C4FEE" w:rsidRPr="006C4FEE">
        <w:rPr>
          <w:rFonts w:asciiTheme="majorHAnsi" w:hAnsiTheme="majorHAnsi" w:cstheme="majorHAnsi"/>
          <w:i/>
          <w:lang w:val="ru-MD"/>
        </w:rPr>
        <w:t>ым контрольным показателем</w:t>
      </w:r>
      <w:r w:rsidR="00EA4223" w:rsidRPr="006C4FEE">
        <w:rPr>
          <w:rFonts w:asciiTheme="majorHAnsi" w:hAnsiTheme="majorHAnsi" w:cstheme="majorHAnsi"/>
          <w:i/>
          <w:lang w:val="ru-MD"/>
        </w:rPr>
        <w:t>;</w:t>
      </w:r>
    </w:p>
    <w:p w14:paraId="03ABF03A" w14:textId="32197D0F" w:rsidR="006A642F" w:rsidRPr="006C4FEE" w:rsidRDefault="005E2FF8" w:rsidP="005E2FF8">
      <w:pPr>
        <w:pStyle w:val="NormalWeb"/>
        <w:numPr>
          <w:ilvl w:val="0"/>
          <w:numId w:val="1"/>
        </w:numPr>
        <w:spacing w:line="276" w:lineRule="auto"/>
        <w:ind w:left="426" w:hanging="426"/>
        <w:rPr>
          <w:rFonts w:asciiTheme="majorHAnsi" w:hAnsiTheme="majorHAnsi" w:cstheme="majorHAnsi"/>
          <w:i/>
          <w:lang w:val="ru-MD"/>
        </w:rPr>
      </w:pPr>
      <w:r w:rsidRPr="006C4FEE">
        <w:rPr>
          <w:rFonts w:asciiTheme="majorHAnsi" w:eastAsia="Times New Roman" w:hAnsiTheme="majorHAnsi" w:cstheme="majorHAnsi"/>
          <w:i/>
          <w:lang w:val="ru-MD"/>
        </w:rPr>
        <w:t xml:space="preserve">применять действия по </w:t>
      </w:r>
      <w:r w:rsidR="006C4FEE" w:rsidRPr="006C4FEE">
        <w:rPr>
          <w:rFonts w:asciiTheme="majorHAnsi" w:eastAsia="Times New Roman" w:hAnsiTheme="majorHAnsi" w:cstheme="majorHAnsi"/>
          <w:i/>
          <w:lang w:val="ru-MD"/>
        </w:rPr>
        <w:t>принудительному исполнению</w:t>
      </w:r>
      <w:r w:rsidRPr="006C4FEE">
        <w:rPr>
          <w:rFonts w:asciiTheme="majorHAnsi" w:eastAsia="Times New Roman" w:hAnsiTheme="majorHAnsi" w:cstheme="majorHAnsi"/>
          <w:i/>
          <w:lang w:val="ru-MD"/>
        </w:rPr>
        <w:t xml:space="preserve"> таможенного обязательства</w:t>
      </w:r>
      <w:r w:rsidR="006A642F" w:rsidRPr="006C4FEE">
        <w:rPr>
          <w:rFonts w:asciiTheme="majorHAnsi" w:eastAsia="Times New Roman" w:hAnsiTheme="majorHAnsi" w:cstheme="majorHAnsi"/>
          <w:i/>
          <w:lang w:val="ru-MD"/>
        </w:rPr>
        <w:t>;</w:t>
      </w:r>
    </w:p>
    <w:p w14:paraId="762B95BE" w14:textId="62E34FF7" w:rsidR="006A642F" w:rsidRPr="006C4FEE" w:rsidRDefault="006C4FEE" w:rsidP="005E2FF8">
      <w:pPr>
        <w:pStyle w:val="NormalWeb"/>
        <w:numPr>
          <w:ilvl w:val="0"/>
          <w:numId w:val="1"/>
        </w:numPr>
        <w:spacing w:line="276" w:lineRule="auto"/>
        <w:ind w:left="426" w:hanging="426"/>
        <w:rPr>
          <w:rFonts w:asciiTheme="majorHAnsi" w:hAnsiTheme="majorHAnsi" w:cstheme="majorHAnsi"/>
          <w:i/>
          <w:lang w:val="ru-MD"/>
        </w:rPr>
      </w:pPr>
      <w:r w:rsidRPr="006C4FEE">
        <w:rPr>
          <w:rFonts w:asciiTheme="majorHAnsi" w:eastAsia="Times New Roman" w:hAnsiTheme="majorHAnsi" w:cstheme="majorHAnsi"/>
          <w:i/>
          <w:lang w:val="ru-MD"/>
        </w:rPr>
        <w:t>содействовать</w:t>
      </w:r>
      <w:r w:rsidR="005E2FF8" w:rsidRPr="006C4FEE">
        <w:rPr>
          <w:rFonts w:asciiTheme="majorHAnsi" w:eastAsia="Times New Roman" w:hAnsiTheme="majorHAnsi" w:cstheme="majorHAnsi"/>
          <w:i/>
          <w:lang w:val="ru-MD"/>
        </w:rPr>
        <w:t xml:space="preserve"> предотвра</w:t>
      </w:r>
      <w:r w:rsidRPr="006C4FEE">
        <w:rPr>
          <w:rFonts w:asciiTheme="majorHAnsi" w:eastAsia="Times New Roman" w:hAnsiTheme="majorHAnsi" w:cstheme="majorHAnsi"/>
          <w:i/>
          <w:lang w:val="ru-MD"/>
        </w:rPr>
        <w:t>щению</w:t>
      </w:r>
      <w:r w:rsidR="005E2FF8" w:rsidRPr="006C4FEE">
        <w:rPr>
          <w:rFonts w:asciiTheme="majorHAnsi" w:eastAsia="Times New Roman" w:hAnsiTheme="majorHAnsi" w:cstheme="majorHAnsi"/>
          <w:i/>
          <w:lang w:val="ru-MD"/>
        </w:rPr>
        <w:t xml:space="preserve"> и бор</w:t>
      </w:r>
      <w:r w:rsidRPr="006C4FEE">
        <w:rPr>
          <w:rFonts w:asciiTheme="majorHAnsi" w:eastAsia="Times New Roman" w:hAnsiTheme="majorHAnsi" w:cstheme="majorHAnsi"/>
          <w:i/>
          <w:lang w:val="ru-MD"/>
        </w:rPr>
        <w:t>ьбе</w:t>
      </w:r>
      <w:r w:rsidR="005E2FF8" w:rsidRPr="006C4FEE">
        <w:rPr>
          <w:rFonts w:asciiTheme="majorHAnsi" w:eastAsia="Times New Roman" w:hAnsiTheme="majorHAnsi" w:cstheme="majorHAnsi"/>
          <w:i/>
          <w:lang w:val="ru-MD"/>
        </w:rPr>
        <w:t xml:space="preserve"> с отмыванием денег</w:t>
      </w:r>
      <w:r w:rsidR="006A642F" w:rsidRPr="006C4FEE">
        <w:rPr>
          <w:rFonts w:asciiTheme="majorHAnsi" w:eastAsia="Times New Roman" w:hAnsiTheme="majorHAnsi" w:cstheme="majorHAnsi"/>
          <w:i/>
          <w:lang w:val="ru-MD"/>
        </w:rPr>
        <w:t>;</w:t>
      </w:r>
    </w:p>
    <w:p w14:paraId="011C8E77" w14:textId="0DFED518" w:rsidR="002D7808" w:rsidRPr="00590F3C" w:rsidRDefault="0063542E" w:rsidP="003937C7">
      <w:pPr>
        <w:pStyle w:val="NormalWeb"/>
        <w:numPr>
          <w:ilvl w:val="0"/>
          <w:numId w:val="1"/>
        </w:numPr>
        <w:spacing w:line="276" w:lineRule="auto"/>
        <w:ind w:left="426"/>
        <w:rPr>
          <w:rFonts w:asciiTheme="majorHAnsi" w:hAnsiTheme="majorHAnsi" w:cstheme="majorHAnsi"/>
          <w:i/>
          <w:lang w:val="ru-MD"/>
        </w:rPr>
      </w:pPr>
      <w:r w:rsidRPr="00590F3C">
        <w:rPr>
          <w:rFonts w:asciiTheme="majorHAnsi" w:hAnsiTheme="majorHAnsi" w:cstheme="majorHAnsi"/>
          <w:i/>
          <w:lang w:val="ru-MD"/>
        </w:rPr>
        <w:t xml:space="preserve">сотрудничать с другими </w:t>
      </w:r>
      <w:r w:rsidR="00590F3C" w:rsidRPr="00590F3C">
        <w:rPr>
          <w:rFonts w:asciiTheme="majorHAnsi" w:hAnsiTheme="majorHAnsi" w:cstheme="majorHAnsi"/>
          <w:i/>
          <w:lang w:val="ru-MD"/>
        </w:rPr>
        <w:t xml:space="preserve">местными и зарубежными </w:t>
      </w:r>
      <w:r w:rsidRPr="00590F3C">
        <w:rPr>
          <w:rFonts w:asciiTheme="majorHAnsi" w:hAnsiTheme="majorHAnsi" w:cstheme="majorHAnsi"/>
          <w:i/>
          <w:lang w:val="ru-MD"/>
        </w:rPr>
        <w:t xml:space="preserve">правоохранительными органами с целью </w:t>
      </w:r>
      <w:r w:rsidR="00590F3C" w:rsidRPr="00590F3C">
        <w:rPr>
          <w:rFonts w:asciiTheme="majorHAnsi" w:hAnsiTheme="majorHAnsi" w:cstheme="majorHAnsi"/>
          <w:i/>
          <w:lang w:val="ru-MD"/>
        </w:rPr>
        <w:t>консолидирова</w:t>
      </w:r>
      <w:r w:rsidRPr="00590F3C">
        <w:rPr>
          <w:rFonts w:asciiTheme="majorHAnsi" w:hAnsiTheme="majorHAnsi" w:cstheme="majorHAnsi"/>
          <w:i/>
          <w:lang w:val="ru-MD"/>
        </w:rPr>
        <w:t>ния усилий по борьбе с контрабандой</w:t>
      </w:r>
      <w:r w:rsidR="00590F3C" w:rsidRPr="00590F3C">
        <w:rPr>
          <w:rFonts w:asciiTheme="majorHAnsi" w:hAnsiTheme="majorHAnsi" w:cstheme="majorHAnsi"/>
          <w:i/>
          <w:lang w:val="ru-MD"/>
        </w:rPr>
        <w:t xml:space="preserve"> и</w:t>
      </w:r>
      <w:r w:rsidRPr="00590F3C">
        <w:rPr>
          <w:rFonts w:asciiTheme="majorHAnsi" w:hAnsiTheme="majorHAnsi" w:cstheme="majorHAnsi"/>
          <w:i/>
          <w:lang w:val="ru-MD"/>
        </w:rPr>
        <w:t xml:space="preserve"> таможенным мошенничеством</w:t>
      </w:r>
      <w:r w:rsidR="002D7808" w:rsidRPr="00590F3C">
        <w:rPr>
          <w:rFonts w:asciiTheme="majorHAnsi" w:hAnsiTheme="majorHAnsi" w:cstheme="majorHAnsi"/>
          <w:i/>
          <w:lang w:val="ru-MD"/>
        </w:rPr>
        <w:t>;</w:t>
      </w:r>
      <w:r w:rsidR="00EA4223" w:rsidRPr="00590F3C">
        <w:rPr>
          <w:rFonts w:asciiTheme="majorHAnsi" w:hAnsiTheme="majorHAnsi" w:cstheme="majorHAnsi"/>
          <w:i/>
          <w:lang w:val="ru-MD"/>
        </w:rPr>
        <w:t xml:space="preserve"> </w:t>
      </w:r>
    </w:p>
    <w:p w14:paraId="458F379D" w14:textId="77777777" w:rsidR="00B5366E" w:rsidRDefault="0063542E" w:rsidP="003937C7">
      <w:pPr>
        <w:pStyle w:val="NormalWeb"/>
        <w:numPr>
          <w:ilvl w:val="0"/>
          <w:numId w:val="1"/>
        </w:numPr>
        <w:spacing w:line="276" w:lineRule="auto"/>
        <w:ind w:left="426"/>
        <w:rPr>
          <w:rFonts w:asciiTheme="majorHAnsi" w:hAnsiTheme="majorHAnsi" w:cstheme="majorHAnsi"/>
          <w:i/>
          <w:lang w:val="ru-MD"/>
        </w:rPr>
      </w:pPr>
      <w:r w:rsidRPr="00590F3C">
        <w:rPr>
          <w:rFonts w:asciiTheme="majorHAnsi" w:hAnsiTheme="majorHAnsi" w:cstheme="majorHAnsi"/>
          <w:i/>
          <w:lang w:val="ru-MD"/>
        </w:rPr>
        <w:t xml:space="preserve">усилить свое влияние, сосредоточив внимание на сокращении случаев нарушения таможенного законодательства </w:t>
      </w:r>
      <w:r w:rsidR="00590F3C" w:rsidRPr="00590F3C">
        <w:rPr>
          <w:rFonts w:asciiTheme="majorHAnsi" w:hAnsiTheme="majorHAnsi" w:cstheme="majorHAnsi"/>
          <w:i/>
          <w:lang w:val="ru-MD"/>
        </w:rPr>
        <w:t>и т.д.</w:t>
      </w:r>
    </w:p>
    <w:p w14:paraId="3F922932" w14:textId="1FF643AE" w:rsidR="002D7808" w:rsidRPr="00590F3C" w:rsidRDefault="00590F3C" w:rsidP="00B5366E">
      <w:pPr>
        <w:pStyle w:val="NormalWeb"/>
        <w:spacing w:line="276" w:lineRule="auto"/>
        <w:ind w:left="426" w:firstLine="0"/>
        <w:rPr>
          <w:rFonts w:asciiTheme="majorHAnsi" w:hAnsiTheme="majorHAnsi" w:cstheme="majorHAnsi"/>
          <w:i/>
          <w:lang w:val="ru-MD"/>
        </w:rPr>
      </w:pPr>
      <w:r w:rsidRPr="00590F3C">
        <w:rPr>
          <w:rFonts w:asciiTheme="majorHAnsi" w:hAnsiTheme="majorHAnsi" w:cstheme="majorHAnsi"/>
          <w:i/>
          <w:lang w:val="ru-MD"/>
        </w:rPr>
        <w:t xml:space="preserve"> </w:t>
      </w:r>
    </w:p>
    <w:p w14:paraId="60C73E24" w14:textId="449843EC" w:rsidR="00EF16F0" w:rsidRDefault="0063542E" w:rsidP="00797F84">
      <w:pPr>
        <w:pStyle w:val="Heading1"/>
        <w:numPr>
          <w:ilvl w:val="0"/>
          <w:numId w:val="3"/>
        </w:numPr>
        <w:spacing w:before="0" w:after="120"/>
        <w:ind w:left="0" w:firstLine="851"/>
        <w:rPr>
          <w:rFonts w:cstheme="majorHAnsi"/>
          <w:b/>
          <w:color w:val="auto"/>
          <w:sz w:val="28"/>
          <w:szCs w:val="28"/>
          <w:lang w:val="ro-RO"/>
        </w:rPr>
      </w:pPr>
      <w:bookmarkStart w:id="11" w:name="_Toc57308261"/>
      <w:bookmarkStart w:id="12" w:name="_Toc127129398"/>
      <w:bookmarkStart w:id="13" w:name="_Toc47338767"/>
      <w:bookmarkStart w:id="14" w:name="_Toc97104727"/>
      <w:r w:rsidRPr="0063542E">
        <w:rPr>
          <w:rFonts w:cstheme="majorHAnsi"/>
          <w:b/>
          <w:color w:val="auto"/>
          <w:sz w:val="28"/>
          <w:szCs w:val="28"/>
        </w:rPr>
        <w:t>СФЕРА И ПОДХОД К АУДИТУ</w:t>
      </w:r>
      <w:bookmarkEnd w:id="11"/>
      <w:bookmarkEnd w:id="12"/>
      <w:r w:rsidRPr="0063542E">
        <w:rPr>
          <w:rFonts w:cstheme="majorHAnsi"/>
          <w:b/>
          <w:color w:val="auto"/>
          <w:sz w:val="28"/>
          <w:szCs w:val="28"/>
          <w:lang w:val="ro-RO"/>
        </w:rPr>
        <w:t xml:space="preserve"> </w:t>
      </w:r>
      <w:bookmarkEnd w:id="13"/>
      <w:bookmarkEnd w:id="14"/>
    </w:p>
    <w:p w14:paraId="02254467" w14:textId="68CB010C" w:rsidR="00E157EC" w:rsidRPr="006A174A" w:rsidRDefault="00676D92" w:rsidP="00797F84">
      <w:pPr>
        <w:pStyle w:val="ListParagraph"/>
        <w:numPr>
          <w:ilvl w:val="1"/>
          <w:numId w:val="3"/>
        </w:numPr>
        <w:tabs>
          <w:tab w:val="left" w:pos="851"/>
        </w:tabs>
        <w:spacing w:after="120"/>
        <w:ind w:left="0" w:firstLine="851"/>
        <w:jc w:val="both"/>
        <w:rPr>
          <w:rFonts w:asciiTheme="majorHAnsi" w:hAnsiTheme="majorHAnsi" w:cstheme="majorHAnsi"/>
          <w:b/>
          <w:sz w:val="24"/>
          <w:szCs w:val="24"/>
          <w:shd w:val="clear" w:color="auto" w:fill="FFFFFF"/>
          <w:lang w:val="ru-MD"/>
        </w:rPr>
      </w:pPr>
      <w:r w:rsidRPr="00B20FBD">
        <w:rPr>
          <w:rFonts w:asciiTheme="majorHAnsi" w:hAnsiTheme="majorHAnsi" w:cstheme="majorHAnsi"/>
          <w:b/>
          <w:sz w:val="24"/>
          <w:szCs w:val="24"/>
          <w:shd w:val="clear" w:color="auto" w:fill="FFFFFF"/>
        </w:rPr>
        <w:t xml:space="preserve"> </w:t>
      </w:r>
      <w:r w:rsidR="0052611F" w:rsidRPr="006A174A">
        <w:rPr>
          <w:rFonts w:asciiTheme="majorHAnsi" w:hAnsiTheme="majorHAnsi" w:cstheme="majorHAnsi"/>
          <w:b/>
          <w:sz w:val="24"/>
          <w:szCs w:val="24"/>
          <w:shd w:val="clear" w:color="auto" w:fill="FFFFFF"/>
          <w:lang w:val="ru-MD"/>
        </w:rPr>
        <w:t xml:space="preserve">Законный мандат и цель внешнего публичного аудита </w:t>
      </w:r>
    </w:p>
    <w:p w14:paraId="6ABDD47E" w14:textId="6F038792" w:rsidR="00E157EC" w:rsidRPr="006A174A" w:rsidRDefault="0052611F" w:rsidP="00F10AFF">
      <w:pPr>
        <w:spacing w:after="120"/>
        <w:jc w:val="both"/>
        <w:rPr>
          <w:rFonts w:asciiTheme="majorHAnsi" w:hAnsiTheme="majorHAnsi" w:cstheme="majorHAnsi"/>
          <w:color w:val="000000"/>
          <w:sz w:val="24"/>
          <w:szCs w:val="24"/>
          <w:shd w:val="clear" w:color="auto" w:fill="FFFFFF"/>
          <w:lang w:val="ru-MD"/>
        </w:rPr>
      </w:pPr>
      <w:r w:rsidRPr="006A174A">
        <w:rPr>
          <w:rFonts w:asciiTheme="majorHAnsi" w:hAnsiTheme="majorHAnsi" w:cstheme="majorHAnsi"/>
          <w:color w:val="000000"/>
          <w:sz w:val="24"/>
          <w:szCs w:val="24"/>
          <w:shd w:val="clear" w:color="auto" w:fill="FFFFFF"/>
          <w:lang w:val="ru-MD"/>
        </w:rPr>
        <w:t>Миссия внешнего публичного аудита была проведена на основании положений ст.3 (1), ст.5 (1) а) и ст.31 (1) b) Закона об организации и функционировании Счетной палаты и в соответствии с Программой аудиторской деятельности Счетной палаты на 202</w:t>
      </w:r>
      <w:r w:rsidR="00590F3C" w:rsidRPr="006A174A">
        <w:rPr>
          <w:rFonts w:asciiTheme="majorHAnsi" w:hAnsiTheme="majorHAnsi" w:cstheme="majorHAnsi"/>
          <w:color w:val="000000"/>
          <w:sz w:val="24"/>
          <w:szCs w:val="24"/>
          <w:shd w:val="clear" w:color="auto" w:fill="FFFFFF"/>
          <w:lang w:val="ru-MD"/>
        </w:rPr>
        <w:t>2</w:t>
      </w:r>
      <w:r w:rsidRPr="006A174A">
        <w:rPr>
          <w:rFonts w:asciiTheme="majorHAnsi" w:hAnsiTheme="majorHAnsi" w:cstheme="majorHAnsi"/>
          <w:color w:val="000000"/>
          <w:sz w:val="24"/>
          <w:szCs w:val="24"/>
          <w:shd w:val="clear" w:color="auto" w:fill="FFFFFF"/>
          <w:lang w:val="ru-MD"/>
        </w:rPr>
        <w:t xml:space="preserve"> год, с целью </w:t>
      </w:r>
      <w:r w:rsidR="00590F3C" w:rsidRPr="006A174A">
        <w:rPr>
          <w:rFonts w:asciiTheme="majorHAnsi" w:hAnsiTheme="majorHAnsi" w:cstheme="majorHAnsi"/>
          <w:color w:val="000000"/>
          <w:sz w:val="24"/>
          <w:szCs w:val="24"/>
          <w:shd w:val="clear" w:color="auto" w:fill="FFFFFF"/>
          <w:lang w:val="ru-MD"/>
        </w:rPr>
        <w:t>оценки</w:t>
      </w:r>
      <w:r w:rsidRPr="006A174A">
        <w:rPr>
          <w:rFonts w:asciiTheme="majorHAnsi" w:hAnsiTheme="majorHAnsi" w:cstheme="majorHAnsi"/>
          <w:color w:val="000000"/>
          <w:sz w:val="24"/>
          <w:szCs w:val="24"/>
          <w:shd w:val="clear" w:color="auto" w:fill="FFFFFF"/>
          <w:lang w:val="ru-MD"/>
        </w:rPr>
        <w:t xml:space="preserve"> соответстви</w:t>
      </w:r>
      <w:r w:rsidR="00590F3C" w:rsidRPr="006A174A">
        <w:rPr>
          <w:rFonts w:asciiTheme="majorHAnsi" w:hAnsiTheme="majorHAnsi" w:cstheme="majorHAnsi"/>
          <w:color w:val="000000"/>
          <w:sz w:val="24"/>
          <w:szCs w:val="24"/>
          <w:shd w:val="clear" w:color="auto" w:fill="FFFFFF"/>
          <w:lang w:val="ru-MD"/>
        </w:rPr>
        <w:t>я</w:t>
      </w:r>
      <w:r w:rsidRPr="006A174A">
        <w:rPr>
          <w:rFonts w:asciiTheme="majorHAnsi" w:hAnsiTheme="majorHAnsi" w:cstheme="majorHAnsi"/>
          <w:color w:val="000000"/>
          <w:sz w:val="24"/>
          <w:szCs w:val="24"/>
          <w:shd w:val="clear" w:color="auto" w:fill="FFFFFF"/>
          <w:lang w:val="ru-MD"/>
        </w:rPr>
        <w:t xml:space="preserve"> администрирования </w:t>
      </w:r>
      <w:r w:rsidR="00590F3C" w:rsidRPr="006A174A">
        <w:rPr>
          <w:rFonts w:asciiTheme="majorHAnsi" w:hAnsiTheme="majorHAnsi" w:cstheme="majorHAnsi"/>
          <w:color w:val="000000"/>
          <w:sz w:val="24"/>
          <w:szCs w:val="24"/>
          <w:shd w:val="clear" w:color="auto" w:fill="FFFFFF"/>
          <w:lang w:val="ru-MD"/>
        </w:rPr>
        <w:t xml:space="preserve">публичных </w:t>
      </w:r>
      <w:r w:rsidRPr="006A174A">
        <w:rPr>
          <w:rFonts w:asciiTheme="majorHAnsi" w:hAnsiTheme="majorHAnsi" w:cstheme="majorHAnsi"/>
          <w:color w:val="000000"/>
          <w:sz w:val="24"/>
          <w:szCs w:val="24"/>
          <w:shd w:val="clear" w:color="auto" w:fill="FFFFFF"/>
          <w:lang w:val="ru-MD"/>
        </w:rPr>
        <w:t xml:space="preserve">доходов Таможенной службой за </w:t>
      </w:r>
      <w:r w:rsidRPr="006A174A">
        <w:rPr>
          <w:rFonts w:asciiTheme="majorHAnsi" w:hAnsiTheme="majorHAnsi" w:cstheme="majorHAnsi"/>
          <w:sz w:val="24"/>
          <w:szCs w:val="24"/>
          <w:lang w:val="ru-MD"/>
        </w:rPr>
        <w:t>2020-2021</w:t>
      </w:r>
      <w:r w:rsidRPr="006A174A">
        <w:rPr>
          <w:rFonts w:asciiTheme="majorHAnsi" w:hAnsiTheme="majorHAnsi" w:cstheme="majorHAnsi"/>
          <w:color w:val="000000"/>
          <w:sz w:val="24"/>
          <w:szCs w:val="24"/>
          <w:shd w:val="clear" w:color="auto" w:fill="FFFFFF"/>
          <w:lang w:val="ru-MD"/>
        </w:rPr>
        <w:t xml:space="preserve"> годы</w:t>
      </w:r>
      <w:r w:rsidR="00026D70" w:rsidRPr="006A174A">
        <w:rPr>
          <w:rFonts w:asciiTheme="majorHAnsi" w:hAnsiTheme="majorHAnsi" w:cstheme="majorHAnsi"/>
          <w:sz w:val="24"/>
          <w:szCs w:val="24"/>
          <w:lang w:val="ru-MD"/>
        </w:rPr>
        <w:t xml:space="preserve">. </w:t>
      </w:r>
    </w:p>
    <w:p w14:paraId="0F8DE502" w14:textId="25EEE794" w:rsidR="00E157EC" w:rsidRPr="006A174A" w:rsidRDefault="0052611F" w:rsidP="00824EC7">
      <w:pPr>
        <w:spacing w:after="0"/>
        <w:jc w:val="both"/>
        <w:rPr>
          <w:rFonts w:asciiTheme="majorHAnsi" w:hAnsiTheme="majorHAnsi" w:cstheme="majorHAnsi"/>
          <w:color w:val="000000"/>
          <w:sz w:val="24"/>
          <w:szCs w:val="24"/>
          <w:shd w:val="clear" w:color="auto" w:fill="FFFFFF"/>
          <w:lang w:val="ru-MD"/>
        </w:rPr>
      </w:pPr>
      <w:r w:rsidRPr="006A174A">
        <w:rPr>
          <w:rFonts w:asciiTheme="majorHAnsi" w:hAnsiTheme="majorHAnsi" w:cstheme="majorHAnsi"/>
          <w:sz w:val="24"/>
          <w:szCs w:val="24"/>
          <w:lang w:val="ru-MD"/>
        </w:rPr>
        <w:t xml:space="preserve">В этой связи, были определены следующие конкретные </w:t>
      </w:r>
      <w:r w:rsidR="00590F3C" w:rsidRPr="006A174A">
        <w:rPr>
          <w:rFonts w:asciiTheme="majorHAnsi" w:hAnsiTheme="majorHAnsi" w:cstheme="majorHAnsi"/>
          <w:sz w:val="24"/>
          <w:szCs w:val="24"/>
          <w:lang w:val="ru-MD"/>
        </w:rPr>
        <w:t>задач</w:t>
      </w:r>
      <w:r w:rsidRPr="006A174A">
        <w:rPr>
          <w:rFonts w:asciiTheme="majorHAnsi" w:hAnsiTheme="majorHAnsi" w:cstheme="majorHAnsi"/>
          <w:sz w:val="24"/>
          <w:szCs w:val="24"/>
          <w:lang w:val="ru-MD"/>
        </w:rPr>
        <w:t>и</w:t>
      </w:r>
      <w:r w:rsidR="00E157EC" w:rsidRPr="006A174A">
        <w:rPr>
          <w:rFonts w:asciiTheme="majorHAnsi" w:hAnsiTheme="majorHAnsi" w:cstheme="majorHAnsi"/>
          <w:color w:val="000000"/>
          <w:sz w:val="24"/>
          <w:szCs w:val="24"/>
          <w:shd w:val="clear" w:color="auto" w:fill="FFFFFF"/>
          <w:lang w:val="ru-MD"/>
        </w:rPr>
        <w:t>:</w:t>
      </w:r>
    </w:p>
    <w:p w14:paraId="5197322D" w14:textId="07D93564" w:rsidR="00E157EC" w:rsidRPr="00776245" w:rsidRDefault="0052611F" w:rsidP="0052611F">
      <w:pPr>
        <w:pStyle w:val="ListParagraph"/>
        <w:numPr>
          <w:ilvl w:val="0"/>
          <w:numId w:val="5"/>
        </w:numPr>
        <w:spacing w:line="276" w:lineRule="auto"/>
        <w:ind w:left="0" w:firstLine="360"/>
        <w:jc w:val="both"/>
        <w:rPr>
          <w:rFonts w:asciiTheme="majorHAnsi" w:eastAsia="Times New Roman" w:hAnsiTheme="majorHAnsi" w:cstheme="majorHAnsi"/>
          <w:i/>
          <w:sz w:val="24"/>
          <w:szCs w:val="24"/>
          <w:lang w:val="ru-MD"/>
        </w:rPr>
      </w:pPr>
      <w:r w:rsidRPr="00776245">
        <w:rPr>
          <w:rFonts w:asciiTheme="majorHAnsi" w:eastAsia="Times New Roman" w:hAnsiTheme="majorHAnsi" w:cstheme="majorHAnsi"/>
          <w:i/>
          <w:sz w:val="24"/>
          <w:szCs w:val="24"/>
          <w:lang w:val="ru-MD"/>
        </w:rPr>
        <w:t xml:space="preserve">Обеспечила ли </w:t>
      </w:r>
      <w:r w:rsidR="006A174A" w:rsidRPr="00776245">
        <w:rPr>
          <w:rFonts w:asciiTheme="majorHAnsi" w:eastAsia="Times New Roman" w:hAnsiTheme="majorHAnsi" w:cstheme="majorHAnsi"/>
          <w:i/>
          <w:sz w:val="24"/>
          <w:szCs w:val="24"/>
          <w:lang w:val="ru-MD"/>
        </w:rPr>
        <w:t>Т</w:t>
      </w:r>
      <w:r w:rsidRPr="00776245">
        <w:rPr>
          <w:rFonts w:asciiTheme="majorHAnsi" w:eastAsia="Times New Roman" w:hAnsiTheme="majorHAnsi" w:cstheme="majorHAnsi"/>
          <w:i/>
          <w:sz w:val="24"/>
          <w:szCs w:val="24"/>
          <w:lang w:val="ru-MD"/>
        </w:rPr>
        <w:t>аможенная служба надлежащее планирование, исполнение и отчетность доход</w:t>
      </w:r>
      <w:r w:rsidR="006A174A" w:rsidRPr="00776245">
        <w:rPr>
          <w:rFonts w:asciiTheme="majorHAnsi" w:eastAsia="Times New Roman" w:hAnsiTheme="majorHAnsi" w:cstheme="majorHAnsi"/>
          <w:i/>
          <w:sz w:val="24"/>
          <w:szCs w:val="24"/>
          <w:lang w:val="ru-MD"/>
        </w:rPr>
        <w:t>ов</w:t>
      </w:r>
      <w:r w:rsidRPr="00776245">
        <w:rPr>
          <w:rFonts w:asciiTheme="majorHAnsi" w:eastAsia="Times New Roman" w:hAnsiTheme="majorHAnsi" w:cstheme="majorHAnsi"/>
          <w:i/>
          <w:sz w:val="24"/>
          <w:szCs w:val="24"/>
          <w:lang w:val="ru-MD"/>
        </w:rPr>
        <w:t xml:space="preserve"> государственного бюджета</w:t>
      </w:r>
      <w:r w:rsidR="006A174A" w:rsidRPr="00776245">
        <w:rPr>
          <w:rFonts w:asciiTheme="majorHAnsi" w:eastAsia="Times New Roman" w:hAnsiTheme="majorHAnsi" w:cstheme="majorHAnsi"/>
          <w:i/>
          <w:sz w:val="24"/>
          <w:szCs w:val="24"/>
          <w:lang w:val="ru-MD"/>
        </w:rPr>
        <w:t>,</w:t>
      </w:r>
      <w:r w:rsidRPr="00776245">
        <w:rPr>
          <w:rFonts w:asciiTheme="majorHAnsi" w:eastAsia="Times New Roman" w:hAnsiTheme="majorHAnsi" w:cstheme="majorHAnsi"/>
          <w:i/>
          <w:sz w:val="24"/>
          <w:szCs w:val="24"/>
          <w:lang w:val="ru-MD"/>
        </w:rPr>
        <w:t xml:space="preserve"> в соответствии с примен</w:t>
      </w:r>
      <w:r w:rsidR="006A174A" w:rsidRPr="00776245">
        <w:rPr>
          <w:rFonts w:asciiTheme="majorHAnsi" w:eastAsia="Times New Roman" w:hAnsiTheme="majorHAnsi" w:cstheme="majorHAnsi"/>
          <w:i/>
          <w:sz w:val="24"/>
          <w:szCs w:val="24"/>
          <w:lang w:val="ru-MD"/>
        </w:rPr>
        <w:t>яе</w:t>
      </w:r>
      <w:r w:rsidRPr="00776245">
        <w:rPr>
          <w:rFonts w:asciiTheme="majorHAnsi" w:eastAsia="Times New Roman" w:hAnsiTheme="majorHAnsi" w:cstheme="majorHAnsi"/>
          <w:i/>
          <w:sz w:val="24"/>
          <w:szCs w:val="24"/>
          <w:lang w:val="ru-MD"/>
        </w:rPr>
        <w:t xml:space="preserve">мыми процедурными/методологическими нормами? </w:t>
      </w:r>
    </w:p>
    <w:p w14:paraId="306CC7E2" w14:textId="06A4376B" w:rsidR="00E157EC" w:rsidRPr="00776245" w:rsidRDefault="0052611F" w:rsidP="0052611F">
      <w:pPr>
        <w:pStyle w:val="ListParagraph"/>
        <w:numPr>
          <w:ilvl w:val="0"/>
          <w:numId w:val="5"/>
        </w:numPr>
        <w:spacing w:line="276" w:lineRule="auto"/>
        <w:ind w:left="0" w:right="-279" w:firstLine="360"/>
        <w:jc w:val="both"/>
        <w:rPr>
          <w:rFonts w:asciiTheme="majorHAnsi" w:eastAsia="Times New Roman" w:hAnsiTheme="majorHAnsi" w:cstheme="majorHAnsi"/>
          <w:i/>
          <w:sz w:val="24"/>
          <w:szCs w:val="24"/>
          <w:lang w:val="ru-MD"/>
        </w:rPr>
      </w:pPr>
      <w:r w:rsidRPr="00776245">
        <w:rPr>
          <w:rFonts w:asciiTheme="majorHAnsi" w:eastAsia="Times New Roman" w:hAnsiTheme="majorHAnsi" w:cstheme="majorHAnsi"/>
          <w:i/>
          <w:sz w:val="24"/>
          <w:szCs w:val="24"/>
          <w:lang w:val="ru-MD"/>
        </w:rPr>
        <w:t>Обеспечил ли таможенный орган со</w:t>
      </w:r>
      <w:r w:rsidR="00B5366E" w:rsidRPr="00776245">
        <w:rPr>
          <w:rFonts w:asciiTheme="majorHAnsi" w:eastAsia="Times New Roman" w:hAnsiTheme="majorHAnsi" w:cstheme="majorHAnsi"/>
          <w:i/>
          <w:sz w:val="24"/>
          <w:szCs w:val="24"/>
          <w:lang w:val="ru-MD"/>
        </w:rPr>
        <w:t>ответств</w:t>
      </w:r>
      <w:r w:rsidRPr="00776245">
        <w:rPr>
          <w:rFonts w:asciiTheme="majorHAnsi" w:eastAsia="Times New Roman" w:hAnsiTheme="majorHAnsi" w:cstheme="majorHAnsi"/>
          <w:i/>
          <w:sz w:val="24"/>
          <w:szCs w:val="24"/>
          <w:lang w:val="ru-MD"/>
        </w:rPr>
        <w:t xml:space="preserve">ие полноты поступления в государственный бюджет задолженности по таможенным обязательствам, в том числе путем применения мер по </w:t>
      </w:r>
      <w:r w:rsidR="00B5366E" w:rsidRPr="00776245">
        <w:rPr>
          <w:rFonts w:asciiTheme="majorHAnsi" w:eastAsia="Times New Roman" w:hAnsiTheme="majorHAnsi" w:cstheme="majorHAnsi"/>
          <w:i/>
          <w:sz w:val="24"/>
          <w:szCs w:val="24"/>
          <w:lang w:val="ru-MD"/>
        </w:rPr>
        <w:t>принудительному взысканию</w:t>
      </w:r>
      <w:r w:rsidRPr="00776245">
        <w:rPr>
          <w:rFonts w:asciiTheme="majorHAnsi" w:eastAsia="Times New Roman" w:hAnsiTheme="majorHAnsi" w:cstheme="majorHAnsi"/>
          <w:i/>
          <w:sz w:val="24"/>
          <w:szCs w:val="24"/>
          <w:lang w:val="ru-MD"/>
        </w:rPr>
        <w:t xml:space="preserve">? </w:t>
      </w:r>
    </w:p>
    <w:p w14:paraId="583CF348" w14:textId="518EC257" w:rsidR="00E157EC" w:rsidRPr="00776245" w:rsidRDefault="00B5366E" w:rsidP="0052611F">
      <w:pPr>
        <w:pStyle w:val="ListParagraph"/>
        <w:numPr>
          <w:ilvl w:val="0"/>
          <w:numId w:val="5"/>
        </w:numPr>
        <w:spacing w:line="276" w:lineRule="auto"/>
        <w:ind w:left="0" w:right="-279" w:firstLine="360"/>
        <w:jc w:val="both"/>
        <w:rPr>
          <w:rFonts w:asciiTheme="majorHAnsi" w:eastAsia="Times New Roman" w:hAnsiTheme="majorHAnsi" w:cstheme="majorHAnsi"/>
          <w:i/>
          <w:sz w:val="24"/>
          <w:szCs w:val="24"/>
          <w:lang w:val="ru-MD"/>
        </w:rPr>
      </w:pPr>
      <w:r w:rsidRPr="00776245">
        <w:rPr>
          <w:rFonts w:asciiTheme="majorHAnsi" w:eastAsia="Times New Roman" w:hAnsiTheme="majorHAnsi" w:cstheme="majorHAnsi"/>
          <w:i/>
          <w:sz w:val="24"/>
          <w:szCs w:val="24"/>
          <w:lang w:val="ru-MD"/>
        </w:rPr>
        <w:t>Обеспечил ли т</w:t>
      </w:r>
      <w:r w:rsidR="0052611F" w:rsidRPr="00776245">
        <w:rPr>
          <w:rFonts w:asciiTheme="majorHAnsi" w:eastAsia="Times New Roman" w:hAnsiTheme="majorHAnsi" w:cstheme="majorHAnsi"/>
          <w:i/>
          <w:sz w:val="24"/>
          <w:szCs w:val="24"/>
          <w:lang w:val="ru-MD"/>
        </w:rPr>
        <w:t>аможенный орган организацию таможенного контроля и соответствие процесса определения таможенной стоимости товаров, в</w:t>
      </w:r>
      <w:r w:rsidRPr="00776245">
        <w:rPr>
          <w:rFonts w:asciiTheme="majorHAnsi" w:eastAsia="Times New Roman" w:hAnsiTheme="majorHAnsi" w:cstheme="majorHAnsi"/>
          <w:i/>
          <w:sz w:val="24"/>
          <w:szCs w:val="24"/>
          <w:lang w:val="ru-MD"/>
        </w:rPr>
        <w:t>возимы</w:t>
      </w:r>
      <w:r w:rsidR="0052611F" w:rsidRPr="00776245">
        <w:rPr>
          <w:rFonts w:asciiTheme="majorHAnsi" w:eastAsia="Times New Roman" w:hAnsiTheme="majorHAnsi" w:cstheme="majorHAnsi"/>
          <w:i/>
          <w:sz w:val="24"/>
          <w:szCs w:val="24"/>
          <w:lang w:val="ru-MD"/>
        </w:rPr>
        <w:t xml:space="preserve">х на таможенную территорию Республики Молдова? </w:t>
      </w:r>
    </w:p>
    <w:p w14:paraId="354DE441" w14:textId="4E848167" w:rsidR="00E157EC" w:rsidRPr="00776245" w:rsidRDefault="0052611F" w:rsidP="0052611F">
      <w:pPr>
        <w:pStyle w:val="ListParagraph"/>
        <w:numPr>
          <w:ilvl w:val="0"/>
          <w:numId w:val="5"/>
        </w:numPr>
        <w:spacing w:line="276" w:lineRule="auto"/>
        <w:ind w:left="0" w:right="-279" w:firstLine="360"/>
        <w:jc w:val="both"/>
        <w:rPr>
          <w:rFonts w:asciiTheme="majorHAnsi" w:eastAsia="Times New Roman" w:hAnsiTheme="majorHAnsi" w:cstheme="majorHAnsi"/>
          <w:i/>
          <w:sz w:val="24"/>
          <w:szCs w:val="24"/>
          <w:lang w:val="ru-MD"/>
        </w:rPr>
      </w:pPr>
      <w:r w:rsidRPr="00776245">
        <w:rPr>
          <w:rFonts w:asciiTheme="majorHAnsi" w:eastAsia="Times New Roman" w:hAnsiTheme="majorHAnsi" w:cstheme="majorHAnsi"/>
          <w:i/>
          <w:sz w:val="24"/>
          <w:szCs w:val="24"/>
          <w:lang w:val="ru-MD"/>
        </w:rPr>
        <w:t>Соблюдал</w:t>
      </w:r>
      <w:r w:rsidR="00B5366E" w:rsidRPr="00776245">
        <w:rPr>
          <w:rFonts w:asciiTheme="majorHAnsi" w:eastAsia="Times New Roman" w:hAnsiTheme="majorHAnsi" w:cstheme="majorHAnsi"/>
          <w:i/>
          <w:sz w:val="24"/>
          <w:szCs w:val="24"/>
          <w:lang w:val="ru-MD"/>
        </w:rPr>
        <w:t>а</w:t>
      </w:r>
      <w:r w:rsidRPr="00776245">
        <w:rPr>
          <w:rFonts w:asciiTheme="majorHAnsi" w:eastAsia="Times New Roman" w:hAnsiTheme="majorHAnsi" w:cstheme="majorHAnsi"/>
          <w:i/>
          <w:sz w:val="24"/>
          <w:szCs w:val="24"/>
          <w:lang w:val="ru-MD"/>
        </w:rPr>
        <w:t>сь ли нормативн</w:t>
      </w:r>
      <w:r w:rsidR="00B5366E" w:rsidRPr="00776245">
        <w:rPr>
          <w:rFonts w:asciiTheme="majorHAnsi" w:eastAsia="Times New Roman" w:hAnsiTheme="majorHAnsi" w:cstheme="majorHAnsi"/>
          <w:i/>
          <w:sz w:val="24"/>
          <w:szCs w:val="24"/>
          <w:lang w:val="ru-MD"/>
        </w:rPr>
        <w:t>ая</w:t>
      </w:r>
      <w:r w:rsidRPr="00776245">
        <w:rPr>
          <w:rFonts w:asciiTheme="majorHAnsi" w:eastAsia="Times New Roman" w:hAnsiTheme="majorHAnsi" w:cstheme="majorHAnsi"/>
          <w:i/>
          <w:sz w:val="24"/>
          <w:szCs w:val="24"/>
          <w:lang w:val="ru-MD"/>
        </w:rPr>
        <w:t xml:space="preserve"> </w:t>
      </w:r>
      <w:r w:rsidR="00B5366E" w:rsidRPr="00776245">
        <w:rPr>
          <w:rFonts w:asciiTheme="majorHAnsi" w:eastAsia="Times New Roman" w:hAnsiTheme="majorHAnsi" w:cstheme="majorHAnsi"/>
          <w:i/>
          <w:sz w:val="24"/>
          <w:szCs w:val="24"/>
          <w:lang w:val="ru-MD"/>
        </w:rPr>
        <w:t>база</w:t>
      </w:r>
      <w:r w:rsidRPr="00776245">
        <w:rPr>
          <w:rFonts w:asciiTheme="majorHAnsi" w:eastAsia="Times New Roman" w:hAnsiTheme="majorHAnsi" w:cstheme="majorHAnsi"/>
          <w:i/>
          <w:sz w:val="24"/>
          <w:szCs w:val="24"/>
          <w:lang w:val="ru-MD"/>
        </w:rPr>
        <w:t xml:space="preserve"> при помещении товаров </w:t>
      </w:r>
      <w:r w:rsidR="00B5366E" w:rsidRPr="00776245">
        <w:rPr>
          <w:rFonts w:asciiTheme="majorHAnsi" w:eastAsia="Times New Roman" w:hAnsiTheme="majorHAnsi" w:cstheme="majorHAnsi"/>
          <w:i/>
          <w:sz w:val="24"/>
          <w:szCs w:val="24"/>
          <w:lang w:val="ru-MD"/>
        </w:rPr>
        <w:t>под льготные таможенные режимы, авториз</w:t>
      </w:r>
      <w:r w:rsidRPr="00776245">
        <w:rPr>
          <w:rFonts w:asciiTheme="majorHAnsi" w:eastAsia="Times New Roman" w:hAnsiTheme="majorHAnsi" w:cstheme="majorHAnsi"/>
          <w:i/>
          <w:sz w:val="24"/>
          <w:szCs w:val="24"/>
          <w:lang w:val="ru-MD"/>
        </w:rPr>
        <w:t>ованные таможенным орган</w:t>
      </w:r>
      <w:r w:rsidR="00B5366E" w:rsidRPr="00776245">
        <w:rPr>
          <w:rFonts w:asciiTheme="majorHAnsi" w:eastAsia="Times New Roman" w:hAnsiTheme="majorHAnsi" w:cstheme="majorHAnsi"/>
          <w:i/>
          <w:sz w:val="24"/>
          <w:szCs w:val="24"/>
          <w:lang w:val="ru-MD"/>
        </w:rPr>
        <w:t>ом,</w:t>
      </w:r>
      <w:r w:rsidRPr="00776245">
        <w:rPr>
          <w:rFonts w:asciiTheme="majorHAnsi" w:eastAsia="Times New Roman" w:hAnsiTheme="majorHAnsi" w:cstheme="majorHAnsi"/>
          <w:i/>
          <w:sz w:val="24"/>
          <w:szCs w:val="24"/>
          <w:lang w:val="ru-MD"/>
        </w:rPr>
        <w:t xml:space="preserve"> </w:t>
      </w:r>
      <w:r w:rsidR="00B5366E" w:rsidRPr="00776245">
        <w:rPr>
          <w:rFonts w:asciiTheme="majorHAnsi" w:eastAsia="Times New Roman" w:hAnsiTheme="majorHAnsi" w:cstheme="majorHAnsi"/>
          <w:i/>
          <w:sz w:val="24"/>
          <w:szCs w:val="24"/>
          <w:lang w:val="ru-MD"/>
        </w:rPr>
        <w:t>следствием которых является полное или частичное освобождение от уплаты импортно-экспортных платежей</w:t>
      </w:r>
      <w:r w:rsidRPr="00776245">
        <w:rPr>
          <w:rFonts w:asciiTheme="majorHAnsi" w:eastAsia="Times New Roman" w:hAnsiTheme="majorHAnsi" w:cstheme="majorHAnsi"/>
          <w:i/>
          <w:sz w:val="24"/>
          <w:szCs w:val="24"/>
          <w:lang w:val="ru-MD"/>
        </w:rPr>
        <w:t xml:space="preserve">? </w:t>
      </w:r>
    </w:p>
    <w:p w14:paraId="083A55F4" w14:textId="77777777" w:rsidR="00E157EC" w:rsidRPr="00B20FBD" w:rsidRDefault="00E157EC" w:rsidP="001B3330">
      <w:pPr>
        <w:spacing w:after="0"/>
        <w:jc w:val="both"/>
        <w:rPr>
          <w:rFonts w:asciiTheme="majorHAnsi" w:hAnsiTheme="majorHAnsi" w:cstheme="majorHAnsi"/>
          <w:b/>
          <w:i/>
          <w:color w:val="1F4E79" w:themeColor="accent1" w:themeShade="80"/>
          <w:sz w:val="24"/>
          <w:szCs w:val="24"/>
          <w:shd w:val="clear" w:color="auto" w:fill="FFFFFF"/>
          <w:lang w:val="ro-RO"/>
        </w:rPr>
      </w:pPr>
    </w:p>
    <w:p w14:paraId="410017EE" w14:textId="3FA80AE4" w:rsidR="00E157EC" w:rsidRPr="00251EF1" w:rsidRDefault="00473FBA" w:rsidP="001B3330">
      <w:pPr>
        <w:pStyle w:val="ListParagraph"/>
        <w:numPr>
          <w:ilvl w:val="1"/>
          <w:numId w:val="3"/>
        </w:numPr>
        <w:tabs>
          <w:tab w:val="left" w:pos="993"/>
        </w:tabs>
        <w:ind w:left="567" w:firstLine="0"/>
        <w:jc w:val="both"/>
        <w:rPr>
          <w:rFonts w:asciiTheme="majorHAnsi" w:hAnsiTheme="majorHAnsi" w:cstheme="majorHAnsi"/>
          <w:b/>
          <w:sz w:val="24"/>
          <w:szCs w:val="24"/>
          <w:shd w:val="clear" w:color="auto" w:fill="FFFFFF"/>
          <w:lang w:val="ru-MD"/>
        </w:rPr>
      </w:pPr>
      <w:r w:rsidRPr="00B20FBD">
        <w:rPr>
          <w:rFonts w:asciiTheme="majorHAnsi" w:hAnsiTheme="majorHAnsi" w:cstheme="majorHAnsi"/>
          <w:b/>
          <w:sz w:val="24"/>
          <w:szCs w:val="24"/>
          <w:shd w:val="clear" w:color="auto" w:fill="FFFFFF"/>
        </w:rPr>
        <w:t xml:space="preserve"> </w:t>
      </w:r>
      <w:r w:rsidR="0052611F" w:rsidRPr="00251EF1">
        <w:rPr>
          <w:rFonts w:asciiTheme="majorHAnsi" w:hAnsiTheme="majorHAnsi" w:cstheme="majorHAnsi"/>
          <w:b/>
          <w:sz w:val="24"/>
          <w:szCs w:val="24"/>
          <w:shd w:val="clear" w:color="auto" w:fill="FFFFFF"/>
          <w:lang w:val="ru-MD"/>
        </w:rPr>
        <w:t xml:space="preserve">Подход к внешнему публичному аудиту </w:t>
      </w:r>
    </w:p>
    <w:p w14:paraId="2CB6B402" w14:textId="77777777" w:rsidR="00251EF1" w:rsidRPr="00251EF1" w:rsidRDefault="00251EF1" w:rsidP="00251EF1">
      <w:pPr>
        <w:pStyle w:val="ListParagraph"/>
        <w:tabs>
          <w:tab w:val="left" w:pos="993"/>
        </w:tabs>
        <w:ind w:left="567"/>
        <w:jc w:val="both"/>
        <w:rPr>
          <w:rFonts w:asciiTheme="majorHAnsi" w:hAnsiTheme="majorHAnsi" w:cstheme="majorHAnsi"/>
          <w:b/>
          <w:sz w:val="24"/>
          <w:szCs w:val="24"/>
          <w:shd w:val="clear" w:color="auto" w:fill="FFFFFF"/>
          <w:lang w:val="ru-MD"/>
        </w:rPr>
      </w:pPr>
    </w:p>
    <w:p w14:paraId="3BA2D855" w14:textId="08BA6FB3" w:rsidR="00E157EC" w:rsidRPr="00B20FBD" w:rsidRDefault="0052611F" w:rsidP="00F10AFF">
      <w:pPr>
        <w:spacing w:after="120"/>
        <w:jc w:val="both"/>
        <w:rPr>
          <w:rFonts w:asciiTheme="majorHAnsi" w:hAnsiTheme="majorHAnsi" w:cstheme="majorHAnsi"/>
          <w:b/>
          <w:color w:val="1F4E79" w:themeColor="accent1" w:themeShade="80"/>
          <w:sz w:val="24"/>
          <w:szCs w:val="24"/>
          <w:shd w:val="clear" w:color="auto" w:fill="FFFFFF"/>
          <w:lang w:val="ro-RO"/>
        </w:rPr>
      </w:pPr>
      <w:r w:rsidRPr="000B4273">
        <w:rPr>
          <w:rFonts w:asciiTheme="majorHAnsi" w:hAnsiTheme="majorHAnsi" w:cstheme="majorHAnsi"/>
          <w:sz w:val="24"/>
          <w:szCs w:val="24"/>
          <w:lang w:val="ru-MD"/>
        </w:rPr>
        <w:t xml:space="preserve">Аудиторские мероприятия проводились в соответствии с </w:t>
      </w:r>
      <w:r w:rsidR="00251EF1">
        <w:rPr>
          <w:rFonts w:asciiTheme="majorHAnsi" w:hAnsiTheme="majorHAnsi" w:cstheme="majorHAnsi"/>
          <w:sz w:val="24"/>
          <w:szCs w:val="24"/>
          <w:lang w:val="ru-MD"/>
        </w:rPr>
        <w:t xml:space="preserve">Международными стандартами аудита Высших органов аудита </w:t>
      </w:r>
      <w:r w:rsidR="00251EF1">
        <w:rPr>
          <w:rFonts w:asciiTheme="majorHAnsi" w:hAnsiTheme="majorHAnsi" w:cstheme="majorHAnsi"/>
          <w:color w:val="000000"/>
          <w:sz w:val="24"/>
          <w:szCs w:val="24"/>
          <w:shd w:val="clear" w:color="auto" w:fill="FFFFFF"/>
          <w:lang w:val="ro-RO"/>
        </w:rPr>
        <w:t>(</w:t>
      </w:r>
      <w:r w:rsidR="00251EF1" w:rsidRPr="00B20FBD">
        <w:rPr>
          <w:rFonts w:asciiTheme="majorHAnsi" w:hAnsiTheme="majorHAnsi" w:cstheme="majorHAnsi"/>
          <w:color w:val="000000"/>
          <w:sz w:val="24"/>
          <w:szCs w:val="24"/>
          <w:shd w:val="clear" w:color="auto" w:fill="FFFFFF"/>
          <w:lang w:val="ro-RO"/>
        </w:rPr>
        <w:t>ISSAI 100, ISSAI 400 și ISSAI 4000</w:t>
      </w:r>
      <w:r w:rsidR="00251EF1">
        <w:rPr>
          <w:rFonts w:asciiTheme="majorHAnsi" w:hAnsiTheme="majorHAnsi" w:cstheme="majorHAnsi"/>
          <w:color w:val="000000"/>
          <w:sz w:val="24"/>
          <w:szCs w:val="24"/>
          <w:shd w:val="clear" w:color="auto" w:fill="FFFFFF"/>
          <w:lang w:val="ro-RO"/>
        </w:rPr>
        <w:t>)</w:t>
      </w:r>
      <w:r w:rsidRPr="000B4273">
        <w:rPr>
          <w:rStyle w:val="FootnoteReference"/>
          <w:rFonts w:asciiTheme="majorHAnsi" w:hAnsiTheme="majorHAnsi" w:cstheme="majorHAnsi"/>
          <w:sz w:val="24"/>
          <w:szCs w:val="24"/>
          <w:lang w:val="ru-MD"/>
        </w:rPr>
        <w:footnoteReference w:id="7"/>
      </w:r>
      <w:r w:rsidRPr="000B4273">
        <w:rPr>
          <w:rFonts w:asciiTheme="majorHAnsi" w:hAnsiTheme="majorHAnsi" w:cstheme="majorHAnsi"/>
          <w:sz w:val="24"/>
          <w:szCs w:val="24"/>
          <w:lang w:val="ru-MD"/>
        </w:rPr>
        <w:t xml:space="preserve">, с </w:t>
      </w:r>
      <w:r w:rsidR="00251EF1">
        <w:rPr>
          <w:rFonts w:asciiTheme="majorHAnsi" w:hAnsiTheme="majorHAnsi" w:cstheme="majorHAnsi"/>
          <w:sz w:val="24"/>
          <w:szCs w:val="24"/>
          <w:lang w:val="ru-MD"/>
        </w:rPr>
        <w:t xml:space="preserve">применением </w:t>
      </w:r>
      <w:r w:rsidRPr="000B4273">
        <w:rPr>
          <w:rFonts w:asciiTheme="majorHAnsi" w:hAnsiTheme="majorHAnsi" w:cstheme="majorHAnsi"/>
          <w:sz w:val="24"/>
          <w:szCs w:val="24"/>
          <w:lang w:val="ru-MD"/>
        </w:rPr>
        <w:t>передовой практик</w:t>
      </w:r>
      <w:r w:rsidR="00251EF1">
        <w:rPr>
          <w:rFonts w:asciiTheme="majorHAnsi" w:hAnsiTheme="majorHAnsi" w:cstheme="majorHAnsi"/>
          <w:sz w:val="24"/>
          <w:szCs w:val="24"/>
          <w:lang w:val="ru-MD"/>
        </w:rPr>
        <w:t>и</w:t>
      </w:r>
      <w:r w:rsidRPr="000B4273">
        <w:rPr>
          <w:rFonts w:asciiTheme="majorHAnsi" w:hAnsiTheme="majorHAnsi" w:cstheme="majorHAnsi"/>
          <w:sz w:val="24"/>
          <w:szCs w:val="24"/>
          <w:lang w:val="ru-MD"/>
        </w:rPr>
        <w:t xml:space="preserve"> в области аудита соответствия. Подход аудита был основан на оценке соответствия процессов в рамках ТС, с использованием преимущественно прям</w:t>
      </w:r>
      <w:r w:rsidR="00251EF1">
        <w:rPr>
          <w:rFonts w:asciiTheme="majorHAnsi" w:hAnsiTheme="majorHAnsi" w:cstheme="majorHAnsi"/>
          <w:sz w:val="24"/>
          <w:szCs w:val="24"/>
          <w:lang w:val="ru-MD"/>
        </w:rPr>
        <w:t>ого</w:t>
      </w:r>
      <w:r w:rsidRPr="000B4273">
        <w:rPr>
          <w:rFonts w:asciiTheme="majorHAnsi" w:hAnsiTheme="majorHAnsi" w:cstheme="majorHAnsi"/>
          <w:sz w:val="24"/>
          <w:szCs w:val="24"/>
          <w:lang w:val="ru-MD"/>
        </w:rPr>
        <w:t xml:space="preserve"> тестировани</w:t>
      </w:r>
      <w:r w:rsidR="00251EF1">
        <w:rPr>
          <w:rFonts w:asciiTheme="majorHAnsi" w:hAnsiTheme="majorHAnsi" w:cstheme="majorHAnsi"/>
          <w:sz w:val="24"/>
          <w:szCs w:val="24"/>
          <w:lang w:val="ru-MD"/>
        </w:rPr>
        <w:t>я</w:t>
      </w:r>
      <w:r w:rsidRPr="000B4273">
        <w:rPr>
          <w:rFonts w:asciiTheme="majorHAnsi" w:hAnsiTheme="majorHAnsi" w:cstheme="majorHAnsi"/>
          <w:sz w:val="24"/>
          <w:szCs w:val="24"/>
          <w:lang w:val="ru-MD"/>
        </w:rPr>
        <w:t xml:space="preserve"> по существу</w:t>
      </w:r>
      <w:r w:rsidR="00E157EC" w:rsidRPr="00B20FBD">
        <w:rPr>
          <w:rFonts w:asciiTheme="majorHAnsi" w:hAnsiTheme="majorHAnsi" w:cstheme="majorHAnsi"/>
          <w:color w:val="000000"/>
          <w:sz w:val="24"/>
          <w:szCs w:val="24"/>
          <w:shd w:val="clear" w:color="auto" w:fill="FFFFFF"/>
          <w:lang w:val="ro-RO"/>
        </w:rPr>
        <w:t>.</w:t>
      </w:r>
    </w:p>
    <w:p w14:paraId="71520AAB" w14:textId="7A4CC70A" w:rsidR="00C05C73" w:rsidRPr="00251EF1" w:rsidRDefault="0052611F" w:rsidP="00C05C73">
      <w:pPr>
        <w:jc w:val="both"/>
        <w:rPr>
          <w:rFonts w:asciiTheme="majorHAnsi" w:hAnsiTheme="majorHAnsi" w:cstheme="majorHAnsi"/>
          <w:color w:val="000000"/>
          <w:sz w:val="24"/>
          <w:szCs w:val="24"/>
          <w:shd w:val="clear" w:color="auto" w:fill="FFFFFF"/>
          <w:lang w:val="ru-MD"/>
        </w:rPr>
      </w:pPr>
      <w:bookmarkStart w:id="15" w:name="_Toc48747547"/>
      <w:bookmarkStart w:id="16" w:name="_Toc48748563"/>
      <w:bookmarkStart w:id="17" w:name="_Toc48748671"/>
      <w:bookmarkStart w:id="18" w:name="_Toc48748908"/>
      <w:bookmarkStart w:id="19" w:name="_Toc48749179"/>
      <w:bookmarkStart w:id="20" w:name="_Toc48749301"/>
      <w:bookmarkStart w:id="21" w:name="_Toc48749495"/>
      <w:bookmarkStart w:id="22" w:name="_Toc49952219"/>
      <w:bookmarkStart w:id="23" w:name="_Toc49953302"/>
      <w:bookmarkStart w:id="24" w:name="_Toc48747548"/>
      <w:bookmarkStart w:id="25" w:name="_Toc48748564"/>
      <w:bookmarkStart w:id="26" w:name="_Toc48748672"/>
      <w:bookmarkStart w:id="27" w:name="_Toc48748909"/>
      <w:bookmarkStart w:id="28" w:name="_Toc48749180"/>
      <w:bookmarkStart w:id="29" w:name="_Toc48749302"/>
      <w:bookmarkStart w:id="30" w:name="_Toc48749496"/>
      <w:bookmarkStart w:id="31" w:name="_Toc49952220"/>
      <w:bookmarkStart w:id="32" w:name="_Toc49953303"/>
      <w:bookmarkStart w:id="33" w:name="_Toc48747549"/>
      <w:bookmarkStart w:id="34" w:name="_Toc48748565"/>
      <w:bookmarkStart w:id="35" w:name="_Toc48748673"/>
      <w:bookmarkStart w:id="36" w:name="_Toc48748910"/>
      <w:bookmarkStart w:id="37" w:name="_Toc48749181"/>
      <w:bookmarkStart w:id="38" w:name="_Toc48749303"/>
      <w:bookmarkStart w:id="39" w:name="_Toc48749497"/>
      <w:bookmarkStart w:id="40" w:name="_Toc49952221"/>
      <w:bookmarkStart w:id="41" w:name="_Toc4995330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251EF1">
        <w:rPr>
          <w:rFonts w:asciiTheme="majorHAnsi" w:hAnsiTheme="majorHAnsi" w:cstheme="majorHAnsi"/>
          <w:sz w:val="24"/>
          <w:szCs w:val="24"/>
          <w:lang w:val="ru-MD"/>
        </w:rPr>
        <w:t xml:space="preserve">Отмечается, что методология аудита состояла из мероприятий по сбору доказательств в рамках ТС как удаленно, так и на месте, путем: анализа отчетов о начисленных/поступивших доходах в государственный бюджет за </w:t>
      </w:r>
      <w:r w:rsidR="00251EF1" w:rsidRPr="00251EF1">
        <w:rPr>
          <w:rFonts w:asciiTheme="majorHAnsi" w:hAnsiTheme="majorHAnsi" w:cstheme="majorHAnsi"/>
          <w:color w:val="000000"/>
          <w:sz w:val="24"/>
          <w:szCs w:val="24"/>
          <w:shd w:val="clear" w:color="auto" w:fill="FFFFFF"/>
          <w:lang w:val="ru-MD"/>
        </w:rPr>
        <w:t>2020-2021</w:t>
      </w:r>
      <w:r w:rsidRPr="00251EF1">
        <w:rPr>
          <w:rFonts w:asciiTheme="majorHAnsi" w:hAnsiTheme="majorHAnsi" w:cstheme="majorHAnsi"/>
          <w:sz w:val="24"/>
          <w:szCs w:val="24"/>
          <w:lang w:val="ru-MD"/>
        </w:rPr>
        <w:t xml:space="preserve"> год</w:t>
      </w:r>
      <w:r w:rsidR="00251EF1" w:rsidRPr="00251EF1">
        <w:rPr>
          <w:rFonts w:asciiTheme="majorHAnsi" w:hAnsiTheme="majorHAnsi" w:cstheme="majorHAnsi"/>
          <w:sz w:val="24"/>
          <w:szCs w:val="24"/>
          <w:lang w:val="ru-MD"/>
        </w:rPr>
        <w:t>ы</w:t>
      </w:r>
      <w:r w:rsidRPr="00251EF1">
        <w:rPr>
          <w:rFonts w:asciiTheme="majorHAnsi" w:hAnsiTheme="majorHAnsi" w:cstheme="majorHAnsi"/>
          <w:sz w:val="24"/>
          <w:szCs w:val="24"/>
          <w:lang w:val="ru-MD"/>
        </w:rPr>
        <w:t>, изучения записей из автоматизированных информационных систем и первичных документов, постановлений и решений руководства, посредством наблюдений, подтверждений, (пере)расчетов, а также путем интервьюирования ответственных лиц в рамках субъекта</w:t>
      </w:r>
      <w:r w:rsidR="00157F0F" w:rsidRPr="00251EF1">
        <w:rPr>
          <w:rFonts w:asciiTheme="majorHAnsi" w:hAnsiTheme="majorHAnsi" w:cstheme="majorHAnsi"/>
          <w:color w:val="000000"/>
          <w:sz w:val="24"/>
          <w:szCs w:val="24"/>
          <w:shd w:val="clear" w:color="auto" w:fill="FFFFFF"/>
          <w:lang w:val="ru-MD"/>
        </w:rPr>
        <w:t xml:space="preserve">. </w:t>
      </w:r>
    </w:p>
    <w:p w14:paraId="7370417F" w14:textId="550F2930" w:rsidR="00C05C73" w:rsidRPr="00251EF1" w:rsidRDefault="0052611F" w:rsidP="00C05C73">
      <w:pPr>
        <w:jc w:val="both"/>
        <w:rPr>
          <w:rFonts w:asciiTheme="majorHAnsi" w:hAnsiTheme="majorHAnsi" w:cstheme="majorHAnsi"/>
          <w:color w:val="000000"/>
          <w:sz w:val="24"/>
          <w:szCs w:val="24"/>
          <w:shd w:val="clear" w:color="auto" w:fill="FFFFFF"/>
          <w:lang w:val="ru-MD"/>
        </w:rPr>
      </w:pPr>
      <w:r w:rsidRPr="00251EF1">
        <w:rPr>
          <w:rFonts w:asciiTheme="majorHAnsi" w:hAnsiTheme="majorHAnsi" w:cstheme="majorHAnsi"/>
          <w:color w:val="000000"/>
          <w:sz w:val="24"/>
          <w:szCs w:val="24"/>
          <w:shd w:val="clear" w:color="auto" w:fill="FFFFFF"/>
          <w:lang w:val="ru-MD"/>
        </w:rPr>
        <w:t xml:space="preserve">Проверки аудита касались только тех </w:t>
      </w:r>
      <w:r w:rsidR="00251EF1" w:rsidRPr="00251EF1">
        <w:rPr>
          <w:rFonts w:asciiTheme="majorHAnsi" w:hAnsiTheme="majorHAnsi" w:cstheme="majorHAnsi"/>
          <w:color w:val="000000"/>
          <w:sz w:val="24"/>
          <w:szCs w:val="24"/>
          <w:shd w:val="clear" w:color="auto" w:fill="FFFFFF"/>
          <w:lang w:val="ru-MD"/>
        </w:rPr>
        <w:t>аспект</w:t>
      </w:r>
      <w:r w:rsidRPr="00251EF1">
        <w:rPr>
          <w:rFonts w:asciiTheme="majorHAnsi" w:hAnsiTheme="majorHAnsi" w:cstheme="majorHAnsi"/>
          <w:color w:val="000000"/>
          <w:sz w:val="24"/>
          <w:szCs w:val="24"/>
          <w:shd w:val="clear" w:color="auto" w:fill="FFFFFF"/>
          <w:lang w:val="ru-MD"/>
        </w:rPr>
        <w:t>ов, которые обеспечивали накопление необходимых и достаточных доказательств</w:t>
      </w:r>
      <w:r w:rsidR="00251EF1" w:rsidRPr="00251EF1">
        <w:rPr>
          <w:rFonts w:asciiTheme="majorHAnsi" w:hAnsiTheme="majorHAnsi" w:cstheme="majorHAnsi"/>
          <w:color w:val="000000"/>
          <w:sz w:val="24"/>
          <w:szCs w:val="24"/>
          <w:shd w:val="clear" w:color="auto" w:fill="FFFFFF"/>
          <w:lang w:val="ru-MD"/>
        </w:rPr>
        <w:t>, чтобы</w:t>
      </w:r>
      <w:r w:rsidRPr="00251EF1">
        <w:rPr>
          <w:rFonts w:asciiTheme="majorHAnsi" w:hAnsiTheme="majorHAnsi" w:cstheme="majorHAnsi"/>
          <w:color w:val="000000"/>
          <w:sz w:val="24"/>
          <w:szCs w:val="24"/>
          <w:shd w:val="clear" w:color="auto" w:fill="FFFFFF"/>
          <w:lang w:val="ru-MD"/>
        </w:rPr>
        <w:t xml:space="preserve"> д</w:t>
      </w:r>
      <w:r w:rsidR="00251EF1" w:rsidRPr="00251EF1">
        <w:rPr>
          <w:rFonts w:asciiTheme="majorHAnsi" w:hAnsiTheme="majorHAnsi" w:cstheme="majorHAnsi"/>
          <w:color w:val="000000"/>
          <w:sz w:val="24"/>
          <w:szCs w:val="24"/>
          <w:shd w:val="clear" w:color="auto" w:fill="FFFFFF"/>
          <w:lang w:val="ru-MD"/>
        </w:rPr>
        <w:t>ать</w:t>
      </w:r>
      <w:r w:rsidRPr="00251EF1">
        <w:rPr>
          <w:rFonts w:asciiTheme="majorHAnsi" w:hAnsiTheme="majorHAnsi" w:cstheme="majorHAnsi"/>
          <w:color w:val="000000"/>
          <w:sz w:val="24"/>
          <w:szCs w:val="24"/>
          <w:shd w:val="clear" w:color="auto" w:fill="FFFFFF"/>
          <w:lang w:val="ru-MD"/>
        </w:rPr>
        <w:t xml:space="preserve"> ответ на вопрос аудита и конкретные </w:t>
      </w:r>
      <w:r w:rsidR="00251EF1" w:rsidRPr="00251EF1">
        <w:rPr>
          <w:rFonts w:asciiTheme="majorHAnsi" w:hAnsiTheme="majorHAnsi" w:cstheme="majorHAnsi"/>
          <w:color w:val="000000"/>
          <w:sz w:val="24"/>
          <w:szCs w:val="24"/>
          <w:shd w:val="clear" w:color="auto" w:fill="FFFFFF"/>
          <w:lang w:val="ru-MD"/>
        </w:rPr>
        <w:t>задач</w:t>
      </w:r>
      <w:r w:rsidRPr="00251EF1">
        <w:rPr>
          <w:rFonts w:asciiTheme="majorHAnsi" w:hAnsiTheme="majorHAnsi" w:cstheme="majorHAnsi"/>
          <w:color w:val="000000"/>
          <w:sz w:val="24"/>
          <w:szCs w:val="24"/>
          <w:shd w:val="clear" w:color="auto" w:fill="FFFFFF"/>
          <w:lang w:val="ru-MD"/>
        </w:rPr>
        <w:t>и. Одновременно</w:t>
      </w:r>
      <w:r w:rsidR="00251EF1" w:rsidRPr="00251EF1">
        <w:rPr>
          <w:rFonts w:asciiTheme="majorHAnsi" w:hAnsiTheme="majorHAnsi" w:cstheme="majorHAnsi"/>
          <w:color w:val="000000"/>
          <w:sz w:val="24"/>
          <w:szCs w:val="24"/>
          <w:shd w:val="clear" w:color="auto" w:fill="FFFFFF"/>
          <w:lang w:val="ru-MD"/>
        </w:rPr>
        <w:t>,</w:t>
      </w:r>
      <w:r w:rsidRPr="00251EF1">
        <w:rPr>
          <w:rFonts w:asciiTheme="majorHAnsi" w:hAnsiTheme="majorHAnsi" w:cstheme="majorHAnsi"/>
          <w:color w:val="000000"/>
          <w:sz w:val="24"/>
          <w:szCs w:val="24"/>
          <w:shd w:val="clear" w:color="auto" w:fill="FFFFFF"/>
          <w:lang w:val="ru-MD"/>
        </w:rPr>
        <w:t xml:space="preserve"> на деятельность внешнего </w:t>
      </w:r>
      <w:r w:rsidR="00251EF1" w:rsidRPr="00251EF1">
        <w:rPr>
          <w:rFonts w:asciiTheme="majorHAnsi" w:hAnsiTheme="majorHAnsi" w:cstheme="majorHAnsi"/>
          <w:color w:val="000000"/>
          <w:sz w:val="24"/>
          <w:szCs w:val="24"/>
          <w:shd w:val="clear" w:color="auto" w:fill="FFFFFF"/>
          <w:lang w:val="ru-MD"/>
        </w:rPr>
        <w:t>публич</w:t>
      </w:r>
      <w:r w:rsidRPr="00251EF1">
        <w:rPr>
          <w:rFonts w:asciiTheme="majorHAnsi" w:hAnsiTheme="majorHAnsi" w:cstheme="majorHAnsi"/>
          <w:color w:val="000000"/>
          <w:sz w:val="24"/>
          <w:szCs w:val="24"/>
          <w:shd w:val="clear" w:color="auto" w:fill="FFFFFF"/>
          <w:lang w:val="ru-MD"/>
        </w:rPr>
        <w:t xml:space="preserve">ного аудита повлияли ограничения, налагаемые </w:t>
      </w:r>
      <w:r w:rsidR="00251EF1" w:rsidRPr="00251EF1">
        <w:rPr>
          <w:rFonts w:asciiTheme="majorHAnsi" w:hAnsiTheme="majorHAnsi" w:cstheme="majorHAnsi"/>
          <w:color w:val="000000"/>
          <w:sz w:val="24"/>
          <w:szCs w:val="24"/>
          <w:shd w:val="clear" w:color="auto" w:fill="FFFFFF"/>
          <w:lang w:val="ru-MD"/>
        </w:rPr>
        <w:t>ч</w:t>
      </w:r>
      <w:r w:rsidRPr="00251EF1">
        <w:rPr>
          <w:rFonts w:asciiTheme="majorHAnsi" w:hAnsiTheme="majorHAnsi" w:cstheme="majorHAnsi"/>
          <w:color w:val="000000"/>
          <w:sz w:val="24"/>
          <w:szCs w:val="24"/>
          <w:shd w:val="clear" w:color="auto" w:fill="FFFFFF"/>
          <w:lang w:val="ru-MD"/>
        </w:rPr>
        <w:t>резвычайным и эпидемиологическим положением в стране</w:t>
      </w:r>
      <w:r w:rsidR="00C05C73" w:rsidRPr="00251EF1">
        <w:rPr>
          <w:rFonts w:asciiTheme="majorHAnsi" w:hAnsiTheme="majorHAnsi" w:cstheme="majorHAnsi"/>
          <w:color w:val="000000"/>
          <w:sz w:val="24"/>
          <w:szCs w:val="24"/>
          <w:shd w:val="clear" w:color="auto" w:fill="FFFFFF"/>
          <w:lang w:val="ru-MD"/>
        </w:rPr>
        <w:t>.</w:t>
      </w:r>
    </w:p>
    <w:p w14:paraId="348D9D3F" w14:textId="7170CF68" w:rsidR="00F10AFF" w:rsidRPr="00EC1F7B" w:rsidRDefault="0052611F" w:rsidP="00F10AFF">
      <w:pPr>
        <w:jc w:val="both"/>
        <w:rPr>
          <w:rFonts w:asciiTheme="majorHAnsi" w:hAnsiTheme="majorHAnsi" w:cstheme="majorHAnsi"/>
          <w:i/>
          <w:color w:val="000000"/>
          <w:sz w:val="24"/>
          <w:szCs w:val="24"/>
          <w:shd w:val="clear" w:color="auto" w:fill="FFFFFF"/>
          <w:lang w:val="ro-RO"/>
        </w:rPr>
      </w:pPr>
      <w:r w:rsidRPr="00FB0910">
        <w:rPr>
          <w:rFonts w:asciiTheme="majorHAnsi" w:hAnsiTheme="majorHAnsi" w:cstheme="majorHAnsi"/>
          <w:sz w:val="24"/>
          <w:szCs w:val="24"/>
          <w:lang w:val="ru-MD"/>
        </w:rPr>
        <w:t xml:space="preserve">В качестве источников </w:t>
      </w:r>
      <w:r w:rsidR="00251EF1" w:rsidRPr="00FB0910">
        <w:rPr>
          <w:rFonts w:asciiTheme="majorHAnsi" w:hAnsiTheme="majorHAnsi" w:cstheme="majorHAnsi"/>
          <w:sz w:val="24"/>
          <w:szCs w:val="24"/>
          <w:lang w:val="ru-MD"/>
        </w:rPr>
        <w:t xml:space="preserve">для </w:t>
      </w:r>
      <w:r w:rsidRPr="00FB0910">
        <w:rPr>
          <w:rFonts w:asciiTheme="majorHAnsi" w:hAnsiTheme="majorHAnsi" w:cstheme="majorHAnsi"/>
          <w:sz w:val="24"/>
          <w:szCs w:val="24"/>
          <w:lang w:val="ru-MD"/>
        </w:rPr>
        <w:t>критериев аудита послужили законодательные и нормативные акты, регулирующие процесс администрирования</w:t>
      </w:r>
      <w:r w:rsidR="00251EF1" w:rsidRPr="00FB0910">
        <w:rPr>
          <w:rFonts w:asciiTheme="majorHAnsi" w:hAnsiTheme="majorHAnsi" w:cstheme="majorHAnsi"/>
          <w:sz w:val="24"/>
          <w:szCs w:val="24"/>
          <w:lang w:val="ru-MD"/>
        </w:rPr>
        <w:t xml:space="preserve"> таможенных доходов</w:t>
      </w:r>
      <w:r w:rsidRPr="00FB0910">
        <w:rPr>
          <w:rFonts w:asciiTheme="majorHAnsi" w:hAnsiTheme="majorHAnsi" w:cstheme="majorHAnsi"/>
          <w:sz w:val="24"/>
          <w:szCs w:val="24"/>
          <w:lang w:val="ru-MD"/>
        </w:rPr>
        <w:t>, в частности</w:t>
      </w:r>
      <w:r w:rsidR="00251EF1" w:rsidRPr="00FB0910">
        <w:rPr>
          <w:rFonts w:asciiTheme="majorHAnsi" w:hAnsiTheme="majorHAnsi" w:cstheme="majorHAnsi"/>
          <w:sz w:val="24"/>
          <w:szCs w:val="24"/>
          <w:lang w:val="ru-MD"/>
        </w:rPr>
        <w:t>,</w:t>
      </w:r>
      <w:r w:rsidRPr="00FB0910">
        <w:rPr>
          <w:rFonts w:asciiTheme="majorHAnsi" w:hAnsiTheme="majorHAnsi" w:cstheme="majorHAnsi"/>
          <w:sz w:val="24"/>
          <w:szCs w:val="24"/>
          <w:lang w:val="ru-MD"/>
        </w:rPr>
        <w:t xml:space="preserve"> Таможенный кодекс Республики Молдова №1149 от 20.07.2000</w:t>
      </w:r>
      <w:r w:rsidR="00251EF1" w:rsidRPr="00FB0910">
        <w:rPr>
          <w:rFonts w:asciiTheme="majorHAnsi" w:hAnsiTheme="majorHAnsi" w:cstheme="majorHAnsi"/>
          <w:sz w:val="24"/>
          <w:szCs w:val="24"/>
          <w:lang w:val="ru-MD"/>
        </w:rPr>
        <w:t xml:space="preserve">, Налоговый кодекс </w:t>
      </w:r>
      <w:r w:rsidR="00FB0910" w:rsidRPr="00FB0910">
        <w:rPr>
          <w:rFonts w:asciiTheme="majorHAnsi" w:hAnsiTheme="majorHAnsi" w:cstheme="majorHAnsi"/>
          <w:sz w:val="24"/>
          <w:szCs w:val="24"/>
          <w:lang w:val="ru-MD"/>
        </w:rPr>
        <w:t>№</w:t>
      </w:r>
      <w:r w:rsidR="00FB0910" w:rsidRPr="00FB0910">
        <w:rPr>
          <w:rFonts w:asciiTheme="majorHAnsi" w:hAnsiTheme="majorHAnsi" w:cstheme="majorHAnsi"/>
          <w:color w:val="000000"/>
          <w:sz w:val="24"/>
          <w:szCs w:val="24"/>
          <w:shd w:val="clear" w:color="auto" w:fill="FFFFFF"/>
          <w:lang w:val="ru-MD"/>
        </w:rPr>
        <w:t>1163-XIII от 24.04.1997</w:t>
      </w:r>
      <w:r w:rsidRPr="00FB0910">
        <w:rPr>
          <w:rFonts w:asciiTheme="majorHAnsi" w:hAnsiTheme="majorHAnsi" w:cstheme="majorHAnsi"/>
          <w:sz w:val="24"/>
          <w:szCs w:val="24"/>
          <w:lang w:val="ru-MD"/>
        </w:rPr>
        <w:t xml:space="preserve">. Полная информация о сфере охвата аудитом и критериях оценки соответствия представлена в </w:t>
      </w:r>
      <w:r w:rsidRPr="00FB0910">
        <w:rPr>
          <w:rFonts w:asciiTheme="majorHAnsi" w:hAnsiTheme="majorHAnsi" w:cstheme="majorHAnsi"/>
          <w:i/>
          <w:sz w:val="24"/>
          <w:szCs w:val="24"/>
          <w:lang w:val="ru-MD"/>
        </w:rPr>
        <w:t>Приложении №1 к Отчету аудита</w:t>
      </w:r>
      <w:r w:rsidR="00F10AFF" w:rsidRPr="00EC1F7B">
        <w:rPr>
          <w:rFonts w:asciiTheme="majorHAnsi" w:hAnsiTheme="majorHAnsi" w:cstheme="majorHAnsi"/>
          <w:i/>
          <w:color w:val="000000"/>
          <w:sz w:val="24"/>
          <w:szCs w:val="24"/>
          <w:shd w:val="clear" w:color="auto" w:fill="FFFFFF"/>
          <w:lang w:val="ro-RO"/>
        </w:rPr>
        <w:t>.</w:t>
      </w:r>
    </w:p>
    <w:p w14:paraId="37D65A52" w14:textId="29AE73F8" w:rsidR="00F10AFF" w:rsidRPr="00FB0910" w:rsidRDefault="00A76650" w:rsidP="00D0335F">
      <w:pPr>
        <w:pStyle w:val="ListParagraph"/>
        <w:numPr>
          <w:ilvl w:val="1"/>
          <w:numId w:val="3"/>
        </w:numPr>
        <w:tabs>
          <w:tab w:val="left" w:pos="851"/>
          <w:tab w:val="left" w:pos="993"/>
        </w:tabs>
        <w:spacing w:after="120"/>
        <w:ind w:firstLine="207"/>
        <w:jc w:val="both"/>
        <w:rPr>
          <w:rFonts w:asciiTheme="majorHAnsi" w:hAnsiTheme="majorHAnsi" w:cstheme="majorHAnsi"/>
          <w:b/>
          <w:sz w:val="24"/>
          <w:szCs w:val="24"/>
          <w:shd w:val="clear" w:color="auto" w:fill="FFFFFF"/>
          <w:lang w:val="ru-MD"/>
        </w:rPr>
      </w:pPr>
      <w:r w:rsidRPr="00EC1F7B">
        <w:rPr>
          <w:rFonts w:asciiTheme="majorHAnsi" w:hAnsiTheme="majorHAnsi" w:cstheme="majorHAnsi"/>
          <w:b/>
          <w:sz w:val="24"/>
          <w:szCs w:val="24"/>
          <w:shd w:val="clear" w:color="auto" w:fill="FFFFFF"/>
        </w:rPr>
        <w:t xml:space="preserve"> </w:t>
      </w:r>
      <w:r w:rsidR="0052611F" w:rsidRPr="00FB0910">
        <w:rPr>
          <w:rFonts w:asciiTheme="majorHAnsi" w:hAnsiTheme="majorHAnsi"/>
          <w:b/>
          <w:sz w:val="24"/>
          <w:szCs w:val="24"/>
          <w:lang w:val="ru-MD"/>
        </w:rPr>
        <w:t>Ответственность аудитор</w:t>
      </w:r>
      <w:r w:rsidR="00645C07" w:rsidRPr="00FB0910">
        <w:rPr>
          <w:rFonts w:asciiTheme="majorHAnsi" w:hAnsiTheme="majorHAnsi"/>
          <w:b/>
          <w:sz w:val="24"/>
          <w:szCs w:val="24"/>
          <w:lang w:val="ru-MD"/>
        </w:rPr>
        <w:t>ской группы</w:t>
      </w:r>
    </w:p>
    <w:p w14:paraId="3553CCDD" w14:textId="114D4C33" w:rsidR="00F10AFF" w:rsidRPr="00FB0910" w:rsidRDefault="00FB0910" w:rsidP="00F10AFF">
      <w:pPr>
        <w:spacing w:after="120"/>
        <w:jc w:val="both"/>
        <w:rPr>
          <w:rFonts w:asciiTheme="majorHAnsi" w:hAnsiTheme="majorHAnsi" w:cstheme="majorHAnsi"/>
          <w:color w:val="000000"/>
          <w:sz w:val="24"/>
          <w:szCs w:val="24"/>
          <w:shd w:val="clear" w:color="auto" w:fill="FFFFFF"/>
          <w:lang w:val="ru-MD"/>
        </w:rPr>
      </w:pPr>
      <w:r w:rsidRPr="00FB0910">
        <w:rPr>
          <w:rFonts w:asciiTheme="majorHAnsi" w:eastAsia="Times New Roman" w:hAnsiTheme="majorHAnsi" w:cstheme="majorHAnsi"/>
          <w:bCs/>
          <w:iCs/>
          <w:sz w:val="24"/>
          <w:szCs w:val="24"/>
          <w:lang w:val="ru-MD" w:eastAsia="ru-RU"/>
        </w:rPr>
        <w:t>Ответственность публичного аудитора заключается в планировании и проведении аудиторской миссии в соответствии со стандартами в области внешнего публичного аудита и соответствующей институциональной нормативно-методологической базой, с получением достаточных и уместных доказательств, формулировании вывода о соответствии администрирования ТС доходов государственного бюджета. Публичный аудитор не несет ответственности за предотвращение мошенничества и ошибок</w:t>
      </w:r>
      <w:r w:rsidR="00F10AFF" w:rsidRPr="00FB0910">
        <w:rPr>
          <w:rFonts w:asciiTheme="majorHAnsi" w:hAnsiTheme="majorHAnsi" w:cstheme="majorHAnsi"/>
          <w:color w:val="000000"/>
          <w:sz w:val="24"/>
          <w:szCs w:val="24"/>
          <w:shd w:val="clear" w:color="auto" w:fill="FFFFFF"/>
          <w:lang w:val="ru-MD"/>
        </w:rPr>
        <w:t>.</w:t>
      </w:r>
    </w:p>
    <w:p w14:paraId="3B4FC014" w14:textId="3C5E0CEB" w:rsidR="00836197" w:rsidRPr="00B20FBD" w:rsidRDefault="00645C07" w:rsidP="00184626">
      <w:pPr>
        <w:pStyle w:val="ListParagraph"/>
        <w:numPr>
          <w:ilvl w:val="0"/>
          <w:numId w:val="3"/>
        </w:numPr>
        <w:ind w:left="851" w:hanging="142"/>
        <w:outlineLvl w:val="0"/>
        <w:rPr>
          <w:rFonts w:asciiTheme="majorHAnsi" w:hAnsiTheme="majorHAnsi" w:cstheme="majorHAnsi"/>
          <w:b/>
          <w:lang w:eastAsia="ru-RU"/>
        </w:rPr>
      </w:pPr>
      <w:bookmarkStart w:id="42" w:name="_Toc57308262"/>
      <w:bookmarkStart w:id="43" w:name="_Toc127129399"/>
      <w:r w:rsidRPr="008A38E1">
        <w:rPr>
          <w:rFonts w:asciiTheme="majorHAnsi" w:hAnsiTheme="majorHAnsi" w:cstheme="majorHAnsi"/>
          <w:b/>
          <w:lang w:val="ru-RU" w:eastAsia="ru-RU"/>
        </w:rPr>
        <w:t>КОНСТАТАЦИИ</w:t>
      </w:r>
      <w:bookmarkEnd w:id="42"/>
      <w:bookmarkEnd w:id="43"/>
      <w:r w:rsidRPr="00645C07">
        <w:rPr>
          <w:rFonts w:asciiTheme="majorHAnsi" w:hAnsiTheme="majorHAnsi" w:cstheme="majorHAnsi"/>
          <w:b/>
          <w:lang w:val="ru-RU" w:eastAsia="ru-RU"/>
        </w:rPr>
        <w:t xml:space="preserve"> </w:t>
      </w:r>
    </w:p>
    <w:p w14:paraId="7D888804" w14:textId="77777777" w:rsidR="00074EC4" w:rsidRPr="00B20FBD" w:rsidRDefault="00074EC4" w:rsidP="00074EC4">
      <w:pPr>
        <w:pStyle w:val="ListParagraph"/>
        <w:ind w:left="1080"/>
        <w:rPr>
          <w:rFonts w:asciiTheme="majorHAnsi" w:eastAsia="Times New Roman" w:hAnsiTheme="majorHAnsi" w:cstheme="majorHAnsi"/>
          <w:b/>
          <w:bCs/>
          <w:i/>
          <w:iCs/>
          <w:sz w:val="24"/>
          <w:szCs w:val="24"/>
        </w:rPr>
      </w:pPr>
    </w:p>
    <w:p w14:paraId="79D70FF7" w14:textId="3B72D134" w:rsidR="00AB737F" w:rsidRPr="00442508" w:rsidRDefault="00FC0C3F" w:rsidP="00335D0E">
      <w:pPr>
        <w:pStyle w:val="ListParagraph"/>
        <w:numPr>
          <w:ilvl w:val="1"/>
          <w:numId w:val="3"/>
        </w:numPr>
        <w:tabs>
          <w:tab w:val="left" w:pos="851"/>
          <w:tab w:val="left" w:pos="1134"/>
        </w:tabs>
        <w:spacing w:after="120"/>
        <w:ind w:left="0" w:firstLine="567"/>
        <w:jc w:val="both"/>
        <w:outlineLvl w:val="1"/>
        <w:rPr>
          <w:rFonts w:asciiTheme="majorHAnsi" w:eastAsia="Times New Roman" w:hAnsiTheme="majorHAnsi" w:cstheme="majorHAnsi"/>
          <w:b/>
          <w:sz w:val="24"/>
          <w:szCs w:val="24"/>
          <w:lang w:val="ru-MD"/>
        </w:rPr>
      </w:pPr>
      <w:bookmarkStart w:id="44" w:name="_Toc127129400"/>
      <w:r w:rsidRPr="00442508">
        <w:rPr>
          <w:rFonts w:asciiTheme="majorHAnsi" w:hAnsiTheme="majorHAnsi" w:cstheme="majorHAnsi"/>
          <w:b/>
          <w:i/>
          <w:sz w:val="24"/>
          <w:szCs w:val="24"/>
          <w:lang w:val="ru-MD"/>
        </w:rPr>
        <w:t>Конкретная задача №</w:t>
      </w:r>
      <w:r w:rsidR="00AB737F" w:rsidRPr="00442508">
        <w:rPr>
          <w:rFonts w:asciiTheme="majorHAnsi" w:hAnsiTheme="majorHAnsi" w:cstheme="majorHAnsi"/>
          <w:b/>
          <w:i/>
          <w:sz w:val="24"/>
          <w:szCs w:val="24"/>
          <w:lang w:val="ru-MD"/>
        </w:rPr>
        <w:t xml:space="preserve">1. </w:t>
      </w:r>
      <w:r w:rsidR="006A174A" w:rsidRPr="00442508">
        <w:rPr>
          <w:rFonts w:asciiTheme="majorHAnsi" w:hAnsiTheme="majorHAnsi" w:cstheme="majorHAnsi"/>
          <w:b/>
          <w:sz w:val="24"/>
          <w:szCs w:val="24"/>
          <w:lang w:val="ru-MD"/>
        </w:rPr>
        <w:t>Обеспечила ли Таможенная служба надлежащее планирование, исполнение и отчетность доходов государственного бюджета, в соответствии с применяемыми процедурными/методологическими нормами</w:t>
      </w:r>
      <w:r w:rsidR="00AB737F" w:rsidRPr="00442508">
        <w:rPr>
          <w:rFonts w:asciiTheme="majorHAnsi" w:eastAsia="Times New Roman" w:hAnsiTheme="majorHAnsi" w:cstheme="majorHAnsi"/>
          <w:b/>
          <w:sz w:val="24"/>
          <w:szCs w:val="24"/>
          <w:lang w:val="ru-MD"/>
        </w:rPr>
        <w:t>?</w:t>
      </w:r>
      <w:bookmarkEnd w:id="44"/>
    </w:p>
    <w:p w14:paraId="50793B06" w14:textId="194D978C" w:rsidR="0045692B" w:rsidRPr="00414A73" w:rsidRDefault="00442508" w:rsidP="00797F84">
      <w:pPr>
        <w:tabs>
          <w:tab w:val="left" w:pos="851"/>
          <w:tab w:val="left" w:pos="1134"/>
        </w:tabs>
        <w:spacing w:after="120"/>
        <w:ind w:left="142"/>
        <w:jc w:val="both"/>
        <w:rPr>
          <w:rFonts w:asciiTheme="majorHAnsi" w:eastAsia="Times New Roman" w:hAnsiTheme="majorHAnsi" w:cstheme="majorHAnsi"/>
          <w:i/>
          <w:sz w:val="24"/>
          <w:szCs w:val="24"/>
          <w:lang w:val="ru-MD"/>
        </w:rPr>
      </w:pPr>
      <w:r w:rsidRPr="00414A73">
        <w:rPr>
          <w:rFonts w:asciiTheme="majorHAnsi" w:eastAsia="Times New Roman" w:hAnsiTheme="majorHAnsi" w:cstheme="majorHAnsi"/>
          <w:i/>
          <w:sz w:val="24"/>
          <w:szCs w:val="24"/>
          <w:lang w:val="ru-MD"/>
        </w:rPr>
        <w:t>Планирование, исполнение и отчетность доход</w:t>
      </w:r>
      <w:r w:rsidR="00414A73" w:rsidRPr="00414A73">
        <w:rPr>
          <w:rFonts w:asciiTheme="majorHAnsi" w:eastAsia="Times New Roman" w:hAnsiTheme="majorHAnsi" w:cstheme="majorHAnsi"/>
          <w:i/>
          <w:sz w:val="24"/>
          <w:szCs w:val="24"/>
          <w:lang w:val="ru-MD"/>
        </w:rPr>
        <w:t>ов</w:t>
      </w:r>
      <w:r w:rsidRPr="00414A73">
        <w:rPr>
          <w:rFonts w:asciiTheme="majorHAnsi" w:eastAsia="Times New Roman" w:hAnsiTheme="majorHAnsi" w:cstheme="majorHAnsi"/>
          <w:i/>
          <w:sz w:val="24"/>
          <w:szCs w:val="24"/>
          <w:lang w:val="ru-MD"/>
        </w:rPr>
        <w:t xml:space="preserve"> государственного бюджета, </w:t>
      </w:r>
      <w:r w:rsidR="00414A73" w:rsidRPr="00414A73">
        <w:rPr>
          <w:rFonts w:asciiTheme="majorHAnsi" w:eastAsia="Times New Roman" w:hAnsiTheme="majorHAnsi" w:cstheme="majorHAnsi"/>
          <w:i/>
          <w:sz w:val="24"/>
          <w:szCs w:val="24"/>
          <w:lang w:val="ru-MD"/>
        </w:rPr>
        <w:t>администрируемых</w:t>
      </w:r>
      <w:r w:rsidRPr="00414A73">
        <w:rPr>
          <w:rFonts w:asciiTheme="majorHAnsi" w:eastAsia="Times New Roman" w:hAnsiTheme="majorHAnsi" w:cstheme="majorHAnsi"/>
          <w:i/>
          <w:sz w:val="24"/>
          <w:szCs w:val="24"/>
          <w:lang w:val="ru-MD"/>
        </w:rPr>
        <w:t xml:space="preserve"> </w:t>
      </w:r>
      <w:r w:rsidR="00414A73" w:rsidRPr="00414A73">
        <w:rPr>
          <w:rFonts w:asciiTheme="majorHAnsi" w:eastAsia="Times New Roman" w:hAnsiTheme="majorHAnsi" w:cstheme="majorHAnsi"/>
          <w:i/>
          <w:sz w:val="24"/>
          <w:szCs w:val="24"/>
          <w:lang w:val="ru-MD"/>
        </w:rPr>
        <w:t>Т</w:t>
      </w:r>
      <w:r w:rsidRPr="00414A73">
        <w:rPr>
          <w:rFonts w:asciiTheme="majorHAnsi" w:eastAsia="Times New Roman" w:hAnsiTheme="majorHAnsi" w:cstheme="majorHAnsi"/>
          <w:i/>
          <w:sz w:val="24"/>
          <w:szCs w:val="24"/>
          <w:lang w:val="ru-MD"/>
        </w:rPr>
        <w:t>аможенн</w:t>
      </w:r>
      <w:r w:rsidR="00414A73" w:rsidRPr="00414A73">
        <w:rPr>
          <w:rFonts w:asciiTheme="majorHAnsi" w:eastAsia="Times New Roman" w:hAnsiTheme="majorHAnsi" w:cstheme="majorHAnsi"/>
          <w:i/>
          <w:sz w:val="24"/>
          <w:szCs w:val="24"/>
          <w:lang w:val="ru-MD"/>
        </w:rPr>
        <w:t>ой</w:t>
      </w:r>
      <w:r w:rsidRPr="00414A73">
        <w:rPr>
          <w:rFonts w:asciiTheme="majorHAnsi" w:eastAsia="Times New Roman" w:hAnsiTheme="majorHAnsi" w:cstheme="majorHAnsi"/>
          <w:i/>
          <w:sz w:val="24"/>
          <w:szCs w:val="24"/>
          <w:lang w:val="ru-MD"/>
        </w:rPr>
        <w:t xml:space="preserve"> служб</w:t>
      </w:r>
      <w:r w:rsidR="00414A73" w:rsidRPr="00414A73">
        <w:rPr>
          <w:rFonts w:asciiTheme="majorHAnsi" w:eastAsia="Times New Roman" w:hAnsiTheme="majorHAnsi" w:cstheme="majorHAnsi"/>
          <w:i/>
          <w:sz w:val="24"/>
          <w:szCs w:val="24"/>
          <w:lang w:val="ru-MD"/>
        </w:rPr>
        <w:t>ой</w:t>
      </w:r>
      <w:r w:rsidRPr="00414A73">
        <w:rPr>
          <w:rFonts w:asciiTheme="majorHAnsi" w:eastAsia="Times New Roman" w:hAnsiTheme="majorHAnsi" w:cstheme="majorHAnsi"/>
          <w:i/>
          <w:sz w:val="24"/>
          <w:szCs w:val="24"/>
          <w:lang w:val="ru-MD"/>
        </w:rPr>
        <w:t>, требу</w:t>
      </w:r>
      <w:r w:rsidR="00414A73" w:rsidRPr="00414A73">
        <w:rPr>
          <w:rFonts w:asciiTheme="majorHAnsi" w:eastAsia="Times New Roman" w:hAnsiTheme="majorHAnsi" w:cstheme="majorHAnsi"/>
          <w:i/>
          <w:sz w:val="24"/>
          <w:szCs w:val="24"/>
          <w:lang w:val="ru-MD"/>
        </w:rPr>
        <w:t>ю</w:t>
      </w:r>
      <w:r w:rsidRPr="00414A73">
        <w:rPr>
          <w:rFonts w:asciiTheme="majorHAnsi" w:eastAsia="Times New Roman" w:hAnsiTheme="majorHAnsi" w:cstheme="majorHAnsi"/>
          <w:i/>
          <w:sz w:val="24"/>
          <w:szCs w:val="24"/>
          <w:lang w:val="ru-MD"/>
        </w:rPr>
        <w:t>т улучшения</w:t>
      </w:r>
      <w:r w:rsidR="0045692B" w:rsidRPr="00414A73">
        <w:rPr>
          <w:rFonts w:asciiTheme="majorHAnsi" w:eastAsia="Times New Roman" w:hAnsiTheme="majorHAnsi" w:cstheme="majorHAnsi"/>
          <w:i/>
          <w:sz w:val="24"/>
          <w:szCs w:val="24"/>
          <w:lang w:val="ru-MD"/>
        </w:rPr>
        <w:t>.</w:t>
      </w:r>
    </w:p>
    <w:p w14:paraId="24976BA5" w14:textId="6F3C397E" w:rsidR="00484B3E" w:rsidRPr="00414A73" w:rsidRDefault="00FF655B" w:rsidP="00414A73">
      <w:pPr>
        <w:pStyle w:val="ListParagraph"/>
        <w:numPr>
          <w:ilvl w:val="2"/>
          <w:numId w:val="3"/>
        </w:numPr>
        <w:tabs>
          <w:tab w:val="left" w:pos="851"/>
          <w:tab w:val="left" w:pos="1134"/>
        </w:tabs>
        <w:ind w:left="1134" w:hanging="567"/>
        <w:jc w:val="both"/>
        <w:outlineLvl w:val="2"/>
        <w:rPr>
          <w:rFonts w:asciiTheme="majorHAnsi" w:hAnsiTheme="majorHAnsi" w:cstheme="majorHAnsi"/>
          <w:b/>
          <w:sz w:val="24"/>
          <w:szCs w:val="24"/>
          <w:lang w:val="ru-MD" w:eastAsia="ru-RU"/>
        </w:rPr>
      </w:pPr>
      <w:bookmarkStart w:id="45" w:name="_Toc127129401"/>
      <w:bookmarkStart w:id="46" w:name="_Toc97104730"/>
      <w:r w:rsidRPr="00414A73">
        <w:rPr>
          <w:rFonts w:asciiTheme="majorHAnsi" w:hAnsiTheme="majorHAnsi" w:cstheme="majorHAnsi"/>
          <w:b/>
          <w:sz w:val="24"/>
          <w:szCs w:val="24"/>
          <w:lang w:val="ru-MD"/>
        </w:rPr>
        <w:t>Бюджетн</w:t>
      </w:r>
      <w:r w:rsidR="00414A73" w:rsidRPr="00414A73">
        <w:rPr>
          <w:rFonts w:asciiTheme="majorHAnsi" w:hAnsiTheme="majorHAnsi" w:cstheme="majorHAnsi"/>
          <w:b/>
          <w:sz w:val="24"/>
          <w:szCs w:val="24"/>
          <w:lang w:val="ru-MD"/>
        </w:rPr>
        <w:t>ое</w:t>
      </w:r>
      <w:r w:rsidRPr="00414A73">
        <w:rPr>
          <w:rFonts w:asciiTheme="majorHAnsi" w:hAnsiTheme="majorHAnsi" w:cstheme="majorHAnsi"/>
          <w:b/>
          <w:sz w:val="24"/>
          <w:szCs w:val="24"/>
          <w:lang w:val="ru-MD"/>
        </w:rPr>
        <w:t xml:space="preserve"> п</w:t>
      </w:r>
      <w:r w:rsidR="00414A73" w:rsidRPr="00414A73">
        <w:rPr>
          <w:rFonts w:asciiTheme="majorHAnsi" w:hAnsiTheme="majorHAnsi" w:cstheme="majorHAnsi"/>
          <w:b/>
          <w:sz w:val="24"/>
          <w:szCs w:val="24"/>
          <w:lang w:val="ru-MD"/>
        </w:rPr>
        <w:t>ланирование</w:t>
      </w:r>
      <w:r w:rsidRPr="00414A73">
        <w:rPr>
          <w:rFonts w:asciiTheme="majorHAnsi" w:hAnsiTheme="majorHAnsi" w:cstheme="majorHAnsi"/>
          <w:b/>
          <w:sz w:val="24"/>
          <w:szCs w:val="24"/>
          <w:lang w:val="ru-MD"/>
        </w:rPr>
        <w:t xml:space="preserve"> доходов, администрируемых ТС, регистрирует некоторые резервы</w:t>
      </w:r>
      <w:r w:rsidR="00D018F1" w:rsidRPr="00414A73">
        <w:rPr>
          <w:rFonts w:asciiTheme="majorHAnsi" w:hAnsiTheme="majorHAnsi" w:cstheme="majorHAnsi"/>
          <w:b/>
          <w:sz w:val="24"/>
          <w:szCs w:val="24"/>
          <w:lang w:val="ru-MD"/>
        </w:rPr>
        <w:t>.</w:t>
      </w:r>
      <w:bookmarkEnd w:id="45"/>
    </w:p>
    <w:bookmarkEnd w:id="46"/>
    <w:p w14:paraId="6B5B6C55" w14:textId="0532C979" w:rsidR="001715BE" w:rsidRPr="00414A73" w:rsidRDefault="00FF655B" w:rsidP="00797F84">
      <w:pPr>
        <w:pStyle w:val="ListParagraph"/>
        <w:spacing w:line="276" w:lineRule="auto"/>
        <w:ind w:left="0"/>
        <w:jc w:val="both"/>
        <w:rPr>
          <w:rFonts w:asciiTheme="majorHAnsi" w:eastAsia="Times New Roman" w:hAnsiTheme="majorHAnsi" w:cstheme="majorHAnsi"/>
          <w:sz w:val="24"/>
          <w:szCs w:val="24"/>
          <w:lang w:val="ru-MD"/>
        </w:rPr>
      </w:pPr>
      <w:r w:rsidRPr="00414A73">
        <w:rPr>
          <w:rFonts w:asciiTheme="majorHAnsi" w:eastAsia="Times New Roman" w:hAnsiTheme="majorHAnsi" w:cstheme="majorHAnsi"/>
          <w:sz w:val="24"/>
          <w:szCs w:val="24"/>
          <w:lang w:val="ru-MD"/>
        </w:rPr>
        <w:t>В соответствии с функциональными обязанностями, ТС реализует таможенную политику государства, обеспечивая взимани</w:t>
      </w:r>
      <w:r w:rsidR="00414A73" w:rsidRPr="00414A73">
        <w:rPr>
          <w:rFonts w:asciiTheme="majorHAnsi" w:eastAsia="Times New Roman" w:hAnsiTheme="majorHAnsi" w:cstheme="majorHAnsi"/>
          <w:sz w:val="24"/>
          <w:szCs w:val="24"/>
          <w:lang w:val="ru-MD"/>
        </w:rPr>
        <w:t>е</w:t>
      </w:r>
      <w:r w:rsidRPr="00414A73">
        <w:rPr>
          <w:rFonts w:asciiTheme="majorHAnsi" w:eastAsia="Times New Roman" w:hAnsiTheme="majorHAnsi" w:cstheme="majorHAnsi"/>
          <w:sz w:val="24"/>
          <w:szCs w:val="24"/>
          <w:lang w:val="ru-MD"/>
        </w:rPr>
        <w:t xml:space="preserve"> </w:t>
      </w:r>
      <w:r w:rsidR="00414A73" w:rsidRPr="00414A73">
        <w:rPr>
          <w:rFonts w:asciiTheme="majorHAnsi" w:eastAsia="Times New Roman" w:hAnsiTheme="majorHAnsi" w:cstheme="majorHAnsi"/>
          <w:sz w:val="24"/>
          <w:szCs w:val="24"/>
          <w:lang w:val="ru-MD"/>
        </w:rPr>
        <w:t>импортно-экспорт</w:t>
      </w:r>
      <w:r w:rsidRPr="00414A73">
        <w:rPr>
          <w:rFonts w:asciiTheme="majorHAnsi" w:eastAsia="Times New Roman" w:hAnsiTheme="majorHAnsi" w:cstheme="majorHAnsi"/>
          <w:sz w:val="24"/>
          <w:szCs w:val="24"/>
          <w:lang w:val="ru-MD"/>
        </w:rPr>
        <w:t>ных платежей, таких</w:t>
      </w:r>
      <w:r w:rsidR="00414A73" w:rsidRPr="00414A73">
        <w:rPr>
          <w:rFonts w:asciiTheme="majorHAnsi" w:eastAsia="Times New Roman" w:hAnsiTheme="majorHAnsi" w:cstheme="majorHAnsi"/>
          <w:sz w:val="24"/>
          <w:szCs w:val="24"/>
          <w:lang w:val="ru-MD"/>
        </w:rPr>
        <w:t>,</w:t>
      </w:r>
      <w:r w:rsidRPr="00414A73">
        <w:rPr>
          <w:rFonts w:asciiTheme="majorHAnsi" w:eastAsia="Times New Roman" w:hAnsiTheme="majorHAnsi" w:cstheme="majorHAnsi"/>
          <w:sz w:val="24"/>
          <w:szCs w:val="24"/>
          <w:lang w:val="ru-MD"/>
        </w:rPr>
        <w:t xml:space="preserve"> как: налог на добавленную стоимость, таможенный сбор, </w:t>
      </w:r>
      <w:r w:rsidR="00414A73" w:rsidRPr="00414A73">
        <w:rPr>
          <w:rFonts w:asciiTheme="majorHAnsi" w:eastAsia="Times New Roman" w:hAnsiTheme="majorHAnsi" w:cstheme="majorHAnsi"/>
          <w:sz w:val="24"/>
          <w:szCs w:val="24"/>
          <w:lang w:val="ru-MD"/>
        </w:rPr>
        <w:t>сбор</w:t>
      </w:r>
      <w:r w:rsidRPr="00414A73">
        <w:rPr>
          <w:rFonts w:asciiTheme="majorHAnsi" w:eastAsia="Times New Roman" w:hAnsiTheme="majorHAnsi" w:cstheme="majorHAnsi"/>
          <w:sz w:val="24"/>
          <w:szCs w:val="24"/>
          <w:lang w:val="ru-MD"/>
        </w:rPr>
        <w:t xml:space="preserve"> за </w:t>
      </w:r>
      <w:r w:rsidR="00414A73" w:rsidRPr="00414A73">
        <w:rPr>
          <w:rFonts w:asciiTheme="majorHAnsi" w:eastAsia="Times New Roman" w:hAnsiTheme="majorHAnsi" w:cstheme="majorHAnsi"/>
          <w:sz w:val="24"/>
          <w:szCs w:val="24"/>
          <w:lang w:val="ru-MD"/>
        </w:rPr>
        <w:t xml:space="preserve">осуществление </w:t>
      </w:r>
      <w:r w:rsidRPr="00414A73">
        <w:rPr>
          <w:rFonts w:asciiTheme="majorHAnsi" w:eastAsia="Times New Roman" w:hAnsiTheme="majorHAnsi" w:cstheme="majorHAnsi"/>
          <w:sz w:val="24"/>
          <w:szCs w:val="24"/>
          <w:lang w:val="ru-MD"/>
        </w:rPr>
        <w:t>таможенны</w:t>
      </w:r>
      <w:r w:rsidR="00414A73" w:rsidRPr="00414A73">
        <w:rPr>
          <w:rFonts w:asciiTheme="majorHAnsi" w:eastAsia="Times New Roman" w:hAnsiTheme="majorHAnsi" w:cstheme="majorHAnsi"/>
          <w:sz w:val="24"/>
          <w:szCs w:val="24"/>
          <w:lang w:val="ru-MD"/>
        </w:rPr>
        <w:t>х</w:t>
      </w:r>
      <w:r w:rsidRPr="00414A73">
        <w:rPr>
          <w:rFonts w:asciiTheme="majorHAnsi" w:eastAsia="Times New Roman" w:hAnsiTheme="majorHAnsi" w:cstheme="majorHAnsi"/>
          <w:sz w:val="24"/>
          <w:szCs w:val="24"/>
          <w:lang w:val="ru-MD"/>
        </w:rPr>
        <w:t xml:space="preserve"> процедур, </w:t>
      </w:r>
      <w:r w:rsidR="00414A73" w:rsidRPr="00414A73">
        <w:rPr>
          <w:rFonts w:asciiTheme="majorHAnsi" w:eastAsia="Times New Roman" w:hAnsiTheme="majorHAnsi" w:cstheme="majorHAnsi"/>
          <w:sz w:val="24"/>
          <w:szCs w:val="24"/>
          <w:lang w:val="ru-MD"/>
        </w:rPr>
        <w:t xml:space="preserve">акцизы и </w:t>
      </w:r>
      <w:r w:rsidRPr="00414A73">
        <w:rPr>
          <w:rFonts w:asciiTheme="majorHAnsi" w:eastAsia="Times New Roman" w:hAnsiTheme="majorHAnsi" w:cstheme="majorHAnsi"/>
          <w:sz w:val="24"/>
          <w:szCs w:val="24"/>
          <w:lang w:val="ru-MD"/>
        </w:rPr>
        <w:t xml:space="preserve">другие платежи, предусмотренные законодательством, которые составляют </w:t>
      </w:r>
      <w:r w:rsidR="00414A73" w:rsidRPr="00414A73">
        <w:rPr>
          <w:rFonts w:asciiTheme="majorHAnsi" w:eastAsia="Times New Roman" w:hAnsiTheme="majorHAnsi" w:cstheme="majorHAnsi"/>
          <w:sz w:val="24"/>
          <w:szCs w:val="24"/>
          <w:lang w:val="ru-MD"/>
        </w:rPr>
        <w:t>основную</w:t>
      </w:r>
      <w:r w:rsidRPr="00414A73">
        <w:rPr>
          <w:rFonts w:asciiTheme="majorHAnsi" w:eastAsia="Times New Roman" w:hAnsiTheme="majorHAnsi" w:cstheme="majorHAnsi"/>
          <w:sz w:val="24"/>
          <w:szCs w:val="24"/>
          <w:lang w:val="ru-MD"/>
        </w:rPr>
        <w:t xml:space="preserve"> </w:t>
      </w:r>
      <w:r w:rsidR="00414A73" w:rsidRPr="00414A73">
        <w:rPr>
          <w:rFonts w:asciiTheme="majorHAnsi" w:eastAsia="Times New Roman" w:hAnsiTheme="majorHAnsi" w:cstheme="majorHAnsi"/>
          <w:sz w:val="24"/>
          <w:szCs w:val="24"/>
          <w:lang w:val="ru-MD"/>
        </w:rPr>
        <w:t xml:space="preserve">часть </w:t>
      </w:r>
      <w:r w:rsidRPr="00414A73">
        <w:rPr>
          <w:rFonts w:asciiTheme="majorHAnsi" w:eastAsia="Times New Roman" w:hAnsiTheme="majorHAnsi" w:cstheme="majorHAnsi"/>
          <w:sz w:val="24"/>
          <w:szCs w:val="24"/>
          <w:lang w:val="ru-MD"/>
        </w:rPr>
        <w:t>доход</w:t>
      </w:r>
      <w:r w:rsidR="00414A73" w:rsidRPr="00414A73">
        <w:rPr>
          <w:rFonts w:asciiTheme="majorHAnsi" w:eastAsia="Times New Roman" w:hAnsiTheme="majorHAnsi" w:cstheme="majorHAnsi"/>
          <w:sz w:val="24"/>
          <w:szCs w:val="24"/>
          <w:lang w:val="ru-MD"/>
        </w:rPr>
        <w:t>ов</w:t>
      </w:r>
      <w:r w:rsidRPr="00414A73">
        <w:rPr>
          <w:rFonts w:asciiTheme="majorHAnsi" w:eastAsia="Times New Roman" w:hAnsiTheme="majorHAnsi" w:cstheme="majorHAnsi"/>
          <w:sz w:val="24"/>
          <w:szCs w:val="24"/>
          <w:lang w:val="ru-MD"/>
        </w:rPr>
        <w:t xml:space="preserve"> государственного бюджета, </w:t>
      </w:r>
      <w:r w:rsidR="00414A73" w:rsidRPr="00414A73">
        <w:rPr>
          <w:rFonts w:asciiTheme="majorHAnsi" w:eastAsia="Times New Roman" w:hAnsiTheme="majorHAnsi" w:cstheme="majorHAnsi"/>
          <w:sz w:val="24"/>
          <w:szCs w:val="24"/>
          <w:lang w:val="ru-MD"/>
        </w:rPr>
        <w:t xml:space="preserve">которые </w:t>
      </w:r>
      <w:r w:rsidRPr="00414A73">
        <w:rPr>
          <w:rFonts w:asciiTheme="majorHAnsi" w:eastAsia="Times New Roman" w:hAnsiTheme="majorHAnsi" w:cstheme="majorHAnsi"/>
          <w:sz w:val="24"/>
          <w:szCs w:val="24"/>
          <w:lang w:val="ru-MD"/>
        </w:rPr>
        <w:t>регулируются Таможенным кодексом, Налоговым кодексом, Законом №1380-XIII от 20.11.1997, Законом №172 от 27.07.2018</w:t>
      </w:r>
      <w:r w:rsidRPr="00414A73">
        <w:rPr>
          <w:rStyle w:val="FootnoteReference"/>
          <w:rFonts w:asciiTheme="majorHAnsi" w:eastAsia="Times New Roman" w:hAnsiTheme="majorHAnsi" w:cstheme="majorHAnsi"/>
          <w:sz w:val="24"/>
          <w:szCs w:val="24"/>
          <w:lang w:val="ru-MD"/>
        </w:rPr>
        <w:footnoteReference w:id="8"/>
      </w:r>
      <w:r w:rsidRPr="00414A73">
        <w:rPr>
          <w:rFonts w:asciiTheme="majorHAnsi" w:eastAsia="Times New Roman" w:hAnsiTheme="majorHAnsi" w:cstheme="majorHAnsi"/>
          <w:sz w:val="24"/>
          <w:szCs w:val="24"/>
          <w:lang w:val="ru-MD"/>
        </w:rPr>
        <w:t>, другими законодательными и нормативными актами, а также на основании внутренних указаний, утвержденных Приказами директора ТС</w:t>
      </w:r>
      <w:r w:rsidR="00DD406E" w:rsidRPr="00414A73">
        <w:rPr>
          <w:rFonts w:asciiTheme="majorHAnsi" w:eastAsia="Times New Roman" w:hAnsiTheme="majorHAnsi" w:cstheme="majorHAnsi"/>
          <w:sz w:val="24"/>
          <w:szCs w:val="24"/>
          <w:lang w:val="ru-MD"/>
        </w:rPr>
        <w:t xml:space="preserve">. </w:t>
      </w:r>
    </w:p>
    <w:p w14:paraId="2D57EFCB" w14:textId="77777777" w:rsidR="005A3215" w:rsidRPr="00B20FBD" w:rsidRDefault="005A3215" w:rsidP="00732C09">
      <w:pPr>
        <w:pStyle w:val="ListParagraph"/>
        <w:ind w:left="0"/>
        <w:jc w:val="both"/>
        <w:rPr>
          <w:rFonts w:asciiTheme="majorHAnsi" w:hAnsiTheme="majorHAnsi" w:cstheme="majorHAnsi"/>
          <w:sz w:val="12"/>
          <w:szCs w:val="12"/>
        </w:rPr>
      </w:pPr>
    </w:p>
    <w:p w14:paraId="2196FC6A" w14:textId="40E60750" w:rsidR="0049381D" w:rsidRPr="00414A73" w:rsidRDefault="00FF655B" w:rsidP="00D418F4">
      <w:pPr>
        <w:pStyle w:val="NormalWeb"/>
        <w:spacing w:after="120" w:line="276" w:lineRule="auto"/>
        <w:ind w:firstLine="0"/>
        <w:rPr>
          <w:rFonts w:asciiTheme="majorHAnsi" w:hAnsiTheme="majorHAnsi" w:cstheme="majorHAnsi"/>
          <w:iCs/>
          <w:lang w:val="ru-MD"/>
        </w:rPr>
      </w:pPr>
      <w:r w:rsidRPr="00414A73">
        <w:rPr>
          <w:rFonts w:asciiTheme="majorHAnsi" w:hAnsiTheme="majorHAnsi" w:cstheme="majorHAnsi"/>
          <w:iCs/>
          <w:lang w:val="ru-MD"/>
        </w:rPr>
        <w:t xml:space="preserve">Согласно </w:t>
      </w:r>
      <w:r w:rsidR="00C96B68" w:rsidRPr="00414A73">
        <w:rPr>
          <w:rFonts w:asciiTheme="majorHAnsi" w:hAnsiTheme="majorHAnsi" w:cstheme="majorHAnsi"/>
          <w:iCs/>
          <w:lang w:val="ru-MD"/>
        </w:rPr>
        <w:t>законодательн</w:t>
      </w:r>
      <w:r w:rsidRPr="00414A73">
        <w:rPr>
          <w:rFonts w:asciiTheme="majorHAnsi" w:hAnsiTheme="majorHAnsi" w:cstheme="majorHAnsi"/>
          <w:iCs/>
          <w:lang w:val="ru-MD"/>
        </w:rPr>
        <w:t>ой базе</w:t>
      </w:r>
      <w:r w:rsidR="00C96B68" w:rsidRPr="00414A73">
        <w:rPr>
          <w:rStyle w:val="FootnoteReference"/>
          <w:rFonts w:asciiTheme="majorHAnsi" w:hAnsiTheme="majorHAnsi" w:cstheme="majorHAnsi"/>
          <w:iCs/>
          <w:lang w:val="ru-MD"/>
        </w:rPr>
        <w:footnoteReference w:id="9"/>
      </w:r>
      <w:r w:rsidRPr="00414A73">
        <w:rPr>
          <w:rFonts w:asciiTheme="majorHAnsi" w:hAnsiTheme="majorHAnsi" w:cstheme="majorHAnsi"/>
          <w:iCs/>
          <w:lang w:val="ru-MD"/>
        </w:rPr>
        <w:t>, оценка и прогнозирование доходов, администрируемых таможенными органами, а также целей среднесрочной налоговой и таможенной политики, явля</w:t>
      </w:r>
      <w:r w:rsidR="00C96B68" w:rsidRPr="00414A73">
        <w:rPr>
          <w:rFonts w:asciiTheme="majorHAnsi" w:hAnsiTheme="majorHAnsi" w:cstheme="majorHAnsi"/>
          <w:iCs/>
          <w:lang w:val="ru-MD"/>
        </w:rPr>
        <w:t>ю</w:t>
      </w:r>
      <w:r w:rsidRPr="00414A73">
        <w:rPr>
          <w:rFonts w:asciiTheme="majorHAnsi" w:hAnsiTheme="majorHAnsi" w:cstheme="majorHAnsi"/>
          <w:iCs/>
          <w:lang w:val="ru-MD"/>
        </w:rPr>
        <w:t xml:space="preserve">тся прерогативой </w:t>
      </w:r>
      <w:r w:rsidR="00C96B68" w:rsidRPr="00414A73">
        <w:rPr>
          <w:rFonts w:asciiTheme="majorHAnsi" w:hAnsiTheme="majorHAnsi" w:cstheme="majorHAnsi"/>
          <w:iCs/>
          <w:lang w:val="ru-MD"/>
        </w:rPr>
        <w:t>МФ</w:t>
      </w:r>
      <w:r w:rsidRPr="00414A73">
        <w:rPr>
          <w:rFonts w:asciiTheme="majorHAnsi" w:hAnsiTheme="majorHAnsi" w:cstheme="majorHAnsi"/>
          <w:iCs/>
          <w:lang w:val="ru-MD"/>
        </w:rPr>
        <w:t>, котор</w:t>
      </w:r>
      <w:r w:rsidR="00C96B68" w:rsidRPr="00414A73">
        <w:rPr>
          <w:rFonts w:asciiTheme="majorHAnsi" w:hAnsiTheme="majorHAnsi" w:cstheme="majorHAnsi"/>
          <w:iCs/>
          <w:lang w:val="ru-MD"/>
        </w:rPr>
        <w:t>ое</w:t>
      </w:r>
      <w:r w:rsidRPr="00414A73">
        <w:rPr>
          <w:rFonts w:asciiTheme="majorHAnsi" w:hAnsiTheme="majorHAnsi" w:cstheme="majorHAnsi"/>
          <w:iCs/>
          <w:lang w:val="ru-MD"/>
        </w:rPr>
        <w:t xml:space="preserve"> использует информацию о деятельности </w:t>
      </w:r>
      <w:r w:rsidR="00C96B68" w:rsidRPr="00414A73">
        <w:rPr>
          <w:rFonts w:asciiTheme="majorHAnsi" w:hAnsiTheme="majorHAnsi" w:cstheme="majorHAnsi"/>
          <w:iCs/>
          <w:lang w:val="ru-MD"/>
        </w:rPr>
        <w:t>ТС</w:t>
      </w:r>
      <w:r w:rsidRPr="00414A73">
        <w:rPr>
          <w:rFonts w:asciiTheme="majorHAnsi" w:hAnsiTheme="majorHAnsi" w:cstheme="majorHAnsi"/>
          <w:iCs/>
          <w:lang w:val="ru-MD"/>
        </w:rPr>
        <w:t xml:space="preserve"> в качестве администратора доходов</w:t>
      </w:r>
      <w:r w:rsidR="0049381D" w:rsidRPr="00414A73">
        <w:rPr>
          <w:rFonts w:asciiTheme="majorHAnsi" w:hAnsiTheme="majorHAnsi" w:cstheme="majorHAnsi"/>
          <w:iCs/>
          <w:lang w:val="ru-MD"/>
        </w:rPr>
        <w:t xml:space="preserve">. </w:t>
      </w:r>
    </w:p>
    <w:p w14:paraId="385E34CB" w14:textId="5BFA4D1F" w:rsidR="00C87BA5" w:rsidRPr="00C96B68" w:rsidRDefault="00FF655B" w:rsidP="00D418F4">
      <w:pPr>
        <w:spacing w:after="120"/>
        <w:jc w:val="both"/>
        <w:rPr>
          <w:rFonts w:asciiTheme="majorHAnsi" w:hAnsiTheme="majorHAnsi" w:cstheme="majorHAnsi"/>
          <w:bCs/>
          <w:sz w:val="24"/>
          <w:szCs w:val="24"/>
          <w:lang w:val="ru-MD"/>
        </w:rPr>
      </w:pPr>
      <w:r w:rsidRPr="00C96B68">
        <w:rPr>
          <w:rFonts w:asciiTheme="majorHAnsi" w:hAnsiTheme="majorHAnsi" w:cstheme="majorHAnsi"/>
          <w:sz w:val="24"/>
          <w:szCs w:val="24"/>
          <w:lang w:val="ru-MD"/>
        </w:rPr>
        <w:t xml:space="preserve">Согласно Закону </w:t>
      </w:r>
      <w:r w:rsidR="00283B32" w:rsidRPr="00C96B68">
        <w:rPr>
          <w:rFonts w:asciiTheme="majorHAnsi" w:hAnsiTheme="majorHAnsi" w:cstheme="majorHAnsi"/>
          <w:sz w:val="24"/>
          <w:szCs w:val="24"/>
          <w:lang w:val="ru-MD"/>
        </w:rPr>
        <w:t>о</w:t>
      </w:r>
      <w:r w:rsidRPr="00C96B68">
        <w:rPr>
          <w:rFonts w:asciiTheme="majorHAnsi" w:hAnsiTheme="majorHAnsi" w:cstheme="majorHAnsi"/>
          <w:sz w:val="24"/>
          <w:szCs w:val="24"/>
          <w:lang w:val="ru-MD"/>
        </w:rPr>
        <w:t xml:space="preserve"> государственном бюджете на 2020 год</w:t>
      </w:r>
      <w:r w:rsidR="00283B32" w:rsidRPr="00C96B68">
        <w:rPr>
          <w:rStyle w:val="FootnoteReference"/>
          <w:rFonts w:asciiTheme="majorHAnsi" w:hAnsiTheme="majorHAnsi" w:cstheme="majorHAnsi"/>
          <w:sz w:val="24"/>
          <w:szCs w:val="24"/>
          <w:lang w:val="ru-MD"/>
        </w:rPr>
        <w:footnoteReference w:id="10"/>
      </w:r>
      <w:r w:rsidRPr="00C96B68">
        <w:rPr>
          <w:rFonts w:asciiTheme="majorHAnsi" w:hAnsiTheme="majorHAnsi" w:cstheme="majorHAnsi"/>
          <w:sz w:val="24"/>
          <w:szCs w:val="24"/>
          <w:lang w:val="ru-MD"/>
        </w:rPr>
        <w:t xml:space="preserve">, доходы, </w:t>
      </w:r>
      <w:r w:rsidR="00283B32" w:rsidRPr="00C96B68">
        <w:rPr>
          <w:rFonts w:asciiTheme="majorHAnsi" w:hAnsiTheme="majorHAnsi" w:cstheme="majorHAnsi"/>
          <w:sz w:val="24"/>
          <w:szCs w:val="24"/>
          <w:lang w:val="ru-MD"/>
        </w:rPr>
        <w:t>администрируемые ТС</w:t>
      </w:r>
      <w:r w:rsidRPr="00C96B68">
        <w:rPr>
          <w:rFonts w:asciiTheme="majorHAnsi" w:hAnsiTheme="majorHAnsi" w:cstheme="majorHAnsi"/>
          <w:sz w:val="24"/>
          <w:szCs w:val="24"/>
          <w:lang w:val="ru-MD"/>
        </w:rPr>
        <w:t>, были первоначально утверждены в размере 25 869,5 млн.</w:t>
      </w:r>
      <w:r w:rsidR="00283B32" w:rsidRPr="00C96B68">
        <w:rPr>
          <w:rFonts w:asciiTheme="majorHAnsi" w:hAnsiTheme="majorHAnsi" w:cstheme="majorHAnsi"/>
          <w:sz w:val="24"/>
          <w:szCs w:val="24"/>
          <w:lang w:val="ru-MD"/>
        </w:rPr>
        <w:t xml:space="preserve"> </w:t>
      </w:r>
      <w:r w:rsidRPr="00C96B68">
        <w:rPr>
          <w:rFonts w:asciiTheme="majorHAnsi" w:hAnsiTheme="majorHAnsi" w:cstheme="majorHAnsi"/>
          <w:sz w:val="24"/>
          <w:szCs w:val="24"/>
          <w:lang w:val="ru-MD"/>
        </w:rPr>
        <w:t>ле</w:t>
      </w:r>
      <w:r w:rsidR="00283B32" w:rsidRPr="00C96B68">
        <w:rPr>
          <w:rFonts w:asciiTheme="majorHAnsi" w:hAnsiTheme="majorHAnsi" w:cstheme="majorHAnsi"/>
          <w:sz w:val="24"/>
          <w:szCs w:val="24"/>
          <w:lang w:val="ru-MD"/>
        </w:rPr>
        <w:t>ев</w:t>
      </w:r>
      <w:r w:rsidRPr="00C96B68">
        <w:rPr>
          <w:rFonts w:asciiTheme="majorHAnsi" w:hAnsiTheme="majorHAnsi" w:cstheme="majorHAnsi"/>
          <w:sz w:val="24"/>
          <w:szCs w:val="24"/>
          <w:lang w:val="ru-MD"/>
        </w:rPr>
        <w:t xml:space="preserve">. </w:t>
      </w:r>
      <w:r w:rsidR="00283B32" w:rsidRPr="00C96B68">
        <w:rPr>
          <w:rFonts w:asciiTheme="majorHAnsi" w:hAnsiTheme="majorHAnsi" w:cstheme="majorHAnsi"/>
          <w:sz w:val="24"/>
          <w:szCs w:val="24"/>
          <w:lang w:val="ru-MD"/>
        </w:rPr>
        <w:t>Впоследствии, в результате уточнения ГБ</w:t>
      </w:r>
      <w:r w:rsidR="00283B32" w:rsidRPr="00C96B68">
        <w:rPr>
          <w:rStyle w:val="FootnoteReference"/>
          <w:rFonts w:asciiTheme="majorHAnsi" w:hAnsiTheme="majorHAnsi" w:cstheme="majorHAnsi"/>
          <w:sz w:val="24"/>
          <w:szCs w:val="24"/>
          <w:lang w:val="ru-MD"/>
        </w:rPr>
        <w:footnoteReference w:id="11"/>
      </w:r>
      <w:r w:rsidRPr="00C96B68">
        <w:rPr>
          <w:rFonts w:asciiTheme="majorHAnsi" w:hAnsiTheme="majorHAnsi" w:cstheme="majorHAnsi"/>
          <w:sz w:val="24"/>
          <w:szCs w:val="24"/>
          <w:lang w:val="ru-MD"/>
        </w:rPr>
        <w:t xml:space="preserve"> </w:t>
      </w:r>
      <w:r w:rsidR="00283B32" w:rsidRPr="00C96B68">
        <w:rPr>
          <w:rFonts w:asciiTheme="majorHAnsi" w:hAnsiTheme="majorHAnsi" w:cstheme="majorHAnsi"/>
          <w:sz w:val="24"/>
          <w:szCs w:val="24"/>
          <w:lang w:val="ru-MD"/>
        </w:rPr>
        <w:t>в</w:t>
      </w:r>
      <w:r w:rsidRPr="00C96B68">
        <w:rPr>
          <w:rFonts w:asciiTheme="majorHAnsi" w:hAnsiTheme="majorHAnsi" w:cstheme="majorHAnsi"/>
          <w:sz w:val="24"/>
          <w:szCs w:val="24"/>
          <w:lang w:val="ru-MD"/>
        </w:rPr>
        <w:t xml:space="preserve"> </w:t>
      </w:r>
      <w:r w:rsidR="00283B32" w:rsidRPr="00C96B68">
        <w:rPr>
          <w:rFonts w:asciiTheme="majorHAnsi" w:hAnsiTheme="majorHAnsi" w:cstheme="majorHAnsi"/>
          <w:sz w:val="24"/>
          <w:szCs w:val="24"/>
          <w:lang w:val="ru-MD"/>
        </w:rPr>
        <w:t>сторону уменьшения,</w:t>
      </w:r>
      <w:r w:rsidRPr="00C96B68">
        <w:rPr>
          <w:rFonts w:asciiTheme="majorHAnsi" w:hAnsiTheme="majorHAnsi" w:cstheme="majorHAnsi"/>
          <w:sz w:val="24"/>
          <w:szCs w:val="24"/>
          <w:lang w:val="ru-MD"/>
        </w:rPr>
        <w:t xml:space="preserve"> </w:t>
      </w:r>
      <w:r w:rsidR="00283B32" w:rsidRPr="00C96B68">
        <w:rPr>
          <w:rFonts w:asciiTheme="majorHAnsi" w:hAnsiTheme="majorHAnsi" w:cstheme="majorHAnsi"/>
          <w:sz w:val="24"/>
          <w:szCs w:val="24"/>
          <w:lang w:val="ru-MD"/>
        </w:rPr>
        <w:t>Впоследствии, в результате ряда уточнений ГБ</w:t>
      </w:r>
      <w:r w:rsidRPr="00C96B68">
        <w:rPr>
          <w:rFonts w:asciiTheme="majorHAnsi" w:hAnsiTheme="majorHAnsi" w:cstheme="majorHAnsi"/>
          <w:sz w:val="24"/>
          <w:szCs w:val="24"/>
          <w:lang w:val="ru-MD"/>
        </w:rPr>
        <w:t xml:space="preserve">, </w:t>
      </w:r>
      <w:r w:rsidR="00283B32" w:rsidRPr="00C96B68">
        <w:rPr>
          <w:rFonts w:asciiTheme="majorHAnsi" w:hAnsiTheme="majorHAnsi" w:cstheme="majorHAnsi"/>
          <w:sz w:val="24"/>
          <w:szCs w:val="24"/>
          <w:lang w:val="ru-MD"/>
        </w:rPr>
        <w:t xml:space="preserve">были уточнены </w:t>
      </w:r>
      <w:r w:rsidRPr="00C96B68">
        <w:rPr>
          <w:rFonts w:asciiTheme="majorHAnsi" w:hAnsiTheme="majorHAnsi" w:cstheme="majorHAnsi"/>
          <w:sz w:val="24"/>
          <w:szCs w:val="24"/>
          <w:lang w:val="ru-MD"/>
        </w:rPr>
        <w:t>в размере 22 158, 7 млн.</w:t>
      </w:r>
      <w:r w:rsidR="00283B32" w:rsidRPr="00C96B68">
        <w:rPr>
          <w:rFonts w:asciiTheme="majorHAnsi" w:hAnsiTheme="majorHAnsi" w:cstheme="majorHAnsi"/>
          <w:sz w:val="24"/>
          <w:szCs w:val="24"/>
          <w:lang w:val="ru-MD"/>
        </w:rPr>
        <w:t xml:space="preserve"> </w:t>
      </w:r>
      <w:r w:rsidRPr="00C96B68">
        <w:rPr>
          <w:rFonts w:asciiTheme="majorHAnsi" w:hAnsiTheme="majorHAnsi" w:cstheme="majorHAnsi"/>
          <w:sz w:val="24"/>
          <w:szCs w:val="24"/>
          <w:lang w:val="ru-MD"/>
        </w:rPr>
        <w:t>леев,</w:t>
      </w:r>
      <w:r w:rsidR="00283B32" w:rsidRPr="00C96B68">
        <w:rPr>
          <w:rFonts w:asciiTheme="majorHAnsi" w:hAnsiTheme="majorHAnsi" w:cstheme="majorHAnsi"/>
          <w:sz w:val="24"/>
          <w:szCs w:val="24"/>
          <w:lang w:val="ru-MD"/>
        </w:rPr>
        <w:t xml:space="preserve"> </w:t>
      </w:r>
      <w:r w:rsidRPr="00C96B68">
        <w:rPr>
          <w:rFonts w:asciiTheme="majorHAnsi" w:hAnsiTheme="majorHAnsi" w:cstheme="majorHAnsi"/>
          <w:sz w:val="24"/>
          <w:szCs w:val="24"/>
          <w:lang w:val="ru-MD"/>
        </w:rPr>
        <w:t>сократившись на 3 710,8 млн. леев п</w:t>
      </w:r>
      <w:r w:rsidR="00283B32" w:rsidRPr="00C96B68">
        <w:rPr>
          <w:rFonts w:asciiTheme="majorHAnsi" w:hAnsiTheme="majorHAnsi" w:cstheme="majorHAnsi"/>
          <w:sz w:val="24"/>
          <w:szCs w:val="24"/>
          <w:lang w:val="ru-MD"/>
        </w:rPr>
        <w:t>о сравнению с</w:t>
      </w:r>
      <w:r w:rsidRPr="00C96B68">
        <w:rPr>
          <w:rFonts w:asciiTheme="majorHAnsi" w:hAnsiTheme="majorHAnsi" w:cstheme="majorHAnsi"/>
          <w:sz w:val="24"/>
          <w:szCs w:val="24"/>
          <w:lang w:val="ru-MD"/>
        </w:rPr>
        <w:t xml:space="preserve"> первоначально утвержденн</w:t>
      </w:r>
      <w:r w:rsidR="00283B32" w:rsidRPr="00C96B68">
        <w:rPr>
          <w:rFonts w:asciiTheme="majorHAnsi" w:hAnsiTheme="majorHAnsi" w:cstheme="majorHAnsi"/>
          <w:sz w:val="24"/>
          <w:szCs w:val="24"/>
          <w:lang w:val="ru-MD"/>
        </w:rPr>
        <w:t>ым</w:t>
      </w:r>
      <w:r w:rsidRPr="00C96B68">
        <w:rPr>
          <w:rFonts w:asciiTheme="majorHAnsi" w:hAnsiTheme="majorHAnsi" w:cstheme="majorHAnsi"/>
          <w:sz w:val="24"/>
          <w:szCs w:val="24"/>
          <w:lang w:val="ru-MD"/>
        </w:rPr>
        <w:t xml:space="preserve"> контрольн</w:t>
      </w:r>
      <w:r w:rsidR="00283B32" w:rsidRPr="00C96B68">
        <w:rPr>
          <w:rFonts w:asciiTheme="majorHAnsi" w:hAnsiTheme="majorHAnsi" w:cstheme="majorHAnsi"/>
          <w:sz w:val="24"/>
          <w:szCs w:val="24"/>
          <w:lang w:val="ru-MD"/>
        </w:rPr>
        <w:t>ым</w:t>
      </w:r>
      <w:r w:rsidRPr="00C96B68">
        <w:rPr>
          <w:rFonts w:asciiTheme="majorHAnsi" w:hAnsiTheme="majorHAnsi" w:cstheme="majorHAnsi"/>
          <w:sz w:val="24"/>
          <w:szCs w:val="24"/>
          <w:lang w:val="ru-MD"/>
        </w:rPr>
        <w:t xml:space="preserve"> показател</w:t>
      </w:r>
      <w:r w:rsidR="00283B32" w:rsidRPr="00C96B68">
        <w:rPr>
          <w:rFonts w:asciiTheme="majorHAnsi" w:hAnsiTheme="majorHAnsi" w:cstheme="majorHAnsi"/>
          <w:sz w:val="24"/>
          <w:szCs w:val="24"/>
          <w:lang w:val="ru-MD"/>
        </w:rPr>
        <w:t>ем</w:t>
      </w:r>
      <w:r w:rsidRPr="00C96B68">
        <w:rPr>
          <w:rFonts w:asciiTheme="majorHAnsi" w:hAnsiTheme="majorHAnsi" w:cstheme="majorHAnsi"/>
          <w:sz w:val="24"/>
          <w:szCs w:val="24"/>
          <w:lang w:val="ru-MD"/>
        </w:rPr>
        <w:t>. В результате этих изменений НДС был уменьшен на 2 787,0 млн.</w:t>
      </w:r>
      <w:r w:rsidR="00283B32" w:rsidRPr="00C96B68">
        <w:rPr>
          <w:rFonts w:asciiTheme="majorHAnsi" w:hAnsiTheme="majorHAnsi" w:cstheme="majorHAnsi"/>
          <w:sz w:val="24"/>
          <w:szCs w:val="24"/>
          <w:lang w:val="ru-MD"/>
        </w:rPr>
        <w:t xml:space="preserve"> </w:t>
      </w:r>
      <w:r w:rsidRPr="00C96B68">
        <w:rPr>
          <w:rFonts w:asciiTheme="majorHAnsi" w:hAnsiTheme="majorHAnsi" w:cstheme="majorHAnsi"/>
          <w:sz w:val="24"/>
          <w:szCs w:val="24"/>
          <w:lang w:val="ru-MD"/>
        </w:rPr>
        <w:t>ле</w:t>
      </w:r>
      <w:r w:rsidR="00283B32" w:rsidRPr="00C96B68">
        <w:rPr>
          <w:rFonts w:asciiTheme="majorHAnsi" w:hAnsiTheme="majorHAnsi" w:cstheme="majorHAnsi"/>
          <w:sz w:val="24"/>
          <w:szCs w:val="24"/>
          <w:lang w:val="ru-MD"/>
        </w:rPr>
        <w:t>ев</w:t>
      </w:r>
      <w:r w:rsidRPr="00C96B68">
        <w:rPr>
          <w:rFonts w:asciiTheme="majorHAnsi" w:hAnsiTheme="majorHAnsi" w:cstheme="majorHAnsi"/>
          <w:sz w:val="24"/>
          <w:szCs w:val="24"/>
          <w:lang w:val="ru-MD"/>
        </w:rPr>
        <w:t>, акцизы – на 626,0 млн. леев, Т</w:t>
      </w:r>
      <w:r w:rsidR="00283B32" w:rsidRPr="00C96B68">
        <w:rPr>
          <w:rFonts w:asciiTheme="majorHAnsi" w:hAnsiTheme="majorHAnsi" w:cstheme="majorHAnsi"/>
          <w:sz w:val="24"/>
          <w:szCs w:val="24"/>
          <w:lang w:val="ru-MD"/>
        </w:rPr>
        <w:t xml:space="preserve">С </w:t>
      </w:r>
      <w:r w:rsidRPr="00C96B68">
        <w:rPr>
          <w:rFonts w:asciiTheme="majorHAnsi" w:hAnsiTheme="majorHAnsi" w:cstheme="majorHAnsi"/>
          <w:sz w:val="24"/>
          <w:szCs w:val="24"/>
          <w:lang w:val="ru-MD"/>
        </w:rPr>
        <w:t>-</w:t>
      </w:r>
      <w:r w:rsidR="00283B32" w:rsidRPr="00C96B68">
        <w:rPr>
          <w:rFonts w:asciiTheme="majorHAnsi" w:hAnsiTheme="majorHAnsi" w:cstheme="majorHAnsi"/>
          <w:sz w:val="24"/>
          <w:szCs w:val="24"/>
          <w:lang w:val="ru-MD"/>
        </w:rPr>
        <w:t xml:space="preserve"> на </w:t>
      </w:r>
      <w:r w:rsidRPr="00C96B68">
        <w:rPr>
          <w:rFonts w:asciiTheme="majorHAnsi" w:hAnsiTheme="majorHAnsi" w:cstheme="majorHAnsi"/>
          <w:sz w:val="24"/>
          <w:szCs w:val="24"/>
          <w:lang w:val="ru-MD"/>
        </w:rPr>
        <w:t>191,4 млн.</w:t>
      </w:r>
      <w:r w:rsidR="00283B32" w:rsidRPr="00C96B68">
        <w:rPr>
          <w:rFonts w:asciiTheme="majorHAnsi" w:hAnsiTheme="majorHAnsi" w:cstheme="majorHAnsi"/>
          <w:sz w:val="24"/>
          <w:szCs w:val="24"/>
          <w:lang w:val="ru-MD"/>
        </w:rPr>
        <w:t xml:space="preserve"> </w:t>
      </w:r>
      <w:r w:rsidRPr="00C96B68">
        <w:rPr>
          <w:rFonts w:asciiTheme="majorHAnsi" w:hAnsiTheme="majorHAnsi" w:cstheme="majorHAnsi"/>
          <w:sz w:val="24"/>
          <w:szCs w:val="24"/>
          <w:lang w:val="ru-MD"/>
        </w:rPr>
        <w:t>ле</w:t>
      </w:r>
      <w:r w:rsidR="00283B32" w:rsidRPr="00C96B68">
        <w:rPr>
          <w:rFonts w:asciiTheme="majorHAnsi" w:hAnsiTheme="majorHAnsi" w:cstheme="majorHAnsi"/>
          <w:sz w:val="24"/>
          <w:szCs w:val="24"/>
          <w:lang w:val="ru-MD"/>
        </w:rPr>
        <w:t xml:space="preserve">ев, </w:t>
      </w:r>
      <w:r w:rsidRPr="00C96B68">
        <w:rPr>
          <w:rFonts w:asciiTheme="majorHAnsi" w:hAnsiTheme="majorHAnsi" w:cstheme="majorHAnsi"/>
          <w:sz w:val="24"/>
          <w:szCs w:val="24"/>
          <w:lang w:val="ru-MD"/>
        </w:rPr>
        <w:t xml:space="preserve"> </w:t>
      </w:r>
      <w:r w:rsidR="00283B32" w:rsidRPr="00C96B68">
        <w:rPr>
          <w:rFonts w:asciiTheme="majorHAnsi" w:hAnsiTheme="majorHAnsi" w:cstheme="majorHAnsi"/>
          <w:sz w:val="24"/>
          <w:szCs w:val="24"/>
          <w:lang w:val="ru-MD"/>
        </w:rPr>
        <w:t xml:space="preserve">СТП - на </w:t>
      </w:r>
      <w:r w:rsidR="00283B32" w:rsidRPr="00C96B68">
        <w:rPr>
          <w:rFonts w:asciiTheme="majorHAnsi" w:hAnsiTheme="majorHAnsi" w:cstheme="majorHAnsi"/>
          <w:bCs/>
          <w:sz w:val="24"/>
          <w:szCs w:val="24"/>
          <w:lang w:val="ru-MD"/>
        </w:rPr>
        <w:t xml:space="preserve">105,4 </w:t>
      </w:r>
      <w:r w:rsidR="00283B32" w:rsidRPr="00C96B68">
        <w:rPr>
          <w:rFonts w:asciiTheme="majorHAnsi" w:hAnsiTheme="majorHAnsi" w:cstheme="majorHAnsi"/>
          <w:sz w:val="24"/>
          <w:szCs w:val="24"/>
          <w:lang w:val="ru-MD"/>
        </w:rPr>
        <w:t xml:space="preserve">млн. леев, </w:t>
      </w:r>
      <w:r w:rsidRPr="00C96B68">
        <w:rPr>
          <w:rFonts w:asciiTheme="majorHAnsi" w:hAnsiTheme="majorHAnsi" w:cstheme="majorHAnsi"/>
          <w:sz w:val="24"/>
          <w:szCs w:val="24"/>
          <w:lang w:val="ru-MD"/>
        </w:rPr>
        <w:t>и другие платежи уменьшились на 1,0 млн. ле</w:t>
      </w:r>
      <w:r w:rsidR="00283B32" w:rsidRPr="00C96B68">
        <w:rPr>
          <w:rFonts w:asciiTheme="majorHAnsi" w:hAnsiTheme="majorHAnsi" w:cstheme="majorHAnsi"/>
          <w:sz w:val="24"/>
          <w:szCs w:val="24"/>
          <w:lang w:val="ru-MD"/>
        </w:rPr>
        <w:t>ев</w:t>
      </w:r>
      <w:r w:rsidR="0040772D" w:rsidRPr="00C96B68">
        <w:rPr>
          <w:rFonts w:asciiTheme="majorHAnsi" w:hAnsiTheme="majorHAnsi" w:cstheme="majorHAnsi"/>
          <w:bCs/>
          <w:sz w:val="24"/>
          <w:szCs w:val="24"/>
          <w:lang w:val="ru-MD"/>
        </w:rPr>
        <w:t>.</w:t>
      </w:r>
      <w:r w:rsidR="00C87BA5" w:rsidRPr="00C96B68">
        <w:rPr>
          <w:rFonts w:asciiTheme="majorHAnsi" w:hAnsiTheme="majorHAnsi" w:cstheme="majorHAnsi"/>
          <w:bCs/>
          <w:sz w:val="24"/>
          <w:szCs w:val="24"/>
          <w:lang w:val="ru-MD"/>
        </w:rPr>
        <w:t xml:space="preserve"> </w:t>
      </w:r>
    </w:p>
    <w:p w14:paraId="111C11C3" w14:textId="1A5C00EF" w:rsidR="006B1CC3" w:rsidRPr="00283B32" w:rsidRDefault="00FF655B" w:rsidP="00D418F4">
      <w:pPr>
        <w:spacing w:after="120"/>
        <w:jc w:val="both"/>
        <w:rPr>
          <w:rFonts w:asciiTheme="majorHAnsi" w:hAnsiTheme="majorHAnsi" w:cstheme="majorHAnsi"/>
          <w:bCs/>
          <w:sz w:val="24"/>
          <w:szCs w:val="24"/>
          <w:lang w:val="ru-MD"/>
        </w:rPr>
      </w:pPr>
      <w:r w:rsidRPr="00283B32">
        <w:rPr>
          <w:rFonts w:asciiTheme="majorHAnsi" w:hAnsiTheme="majorHAnsi" w:cstheme="majorHAnsi"/>
          <w:sz w:val="24"/>
          <w:szCs w:val="24"/>
          <w:lang w:val="ru-MD"/>
        </w:rPr>
        <w:t>Аналогичн</w:t>
      </w:r>
      <w:r w:rsidR="00C36D79" w:rsidRPr="00283B32">
        <w:rPr>
          <w:rFonts w:asciiTheme="majorHAnsi" w:hAnsiTheme="majorHAnsi" w:cstheme="majorHAnsi"/>
          <w:sz w:val="24"/>
          <w:szCs w:val="24"/>
          <w:lang w:val="ru-MD"/>
        </w:rPr>
        <w:t>о,</w:t>
      </w:r>
      <w:r w:rsidRPr="00283B32">
        <w:rPr>
          <w:rFonts w:asciiTheme="majorHAnsi" w:hAnsiTheme="majorHAnsi" w:cstheme="majorHAnsi"/>
          <w:sz w:val="24"/>
          <w:szCs w:val="24"/>
          <w:lang w:val="ru-MD"/>
        </w:rPr>
        <w:t xml:space="preserve"> в соответствии с </w:t>
      </w:r>
      <w:r w:rsidR="00C36D79" w:rsidRPr="00283B32">
        <w:rPr>
          <w:rFonts w:asciiTheme="majorHAnsi" w:hAnsiTheme="majorHAnsi" w:cstheme="majorHAnsi"/>
          <w:sz w:val="24"/>
          <w:szCs w:val="24"/>
          <w:lang w:val="ru-MD"/>
        </w:rPr>
        <w:t>З</w:t>
      </w:r>
      <w:r w:rsidRPr="00283B32">
        <w:rPr>
          <w:rFonts w:asciiTheme="majorHAnsi" w:hAnsiTheme="majorHAnsi" w:cstheme="majorHAnsi"/>
          <w:sz w:val="24"/>
          <w:szCs w:val="24"/>
          <w:lang w:val="ru-MD"/>
        </w:rPr>
        <w:t xml:space="preserve">аконом </w:t>
      </w:r>
      <w:r w:rsidR="00C36D79" w:rsidRPr="00283B32">
        <w:rPr>
          <w:rFonts w:asciiTheme="majorHAnsi" w:hAnsiTheme="majorHAnsi" w:cstheme="majorHAnsi"/>
          <w:sz w:val="24"/>
          <w:szCs w:val="24"/>
          <w:lang w:val="ru-MD"/>
        </w:rPr>
        <w:t>о</w:t>
      </w:r>
      <w:r w:rsidRPr="00283B32">
        <w:rPr>
          <w:rFonts w:asciiTheme="majorHAnsi" w:hAnsiTheme="majorHAnsi" w:cstheme="majorHAnsi"/>
          <w:sz w:val="24"/>
          <w:szCs w:val="24"/>
          <w:lang w:val="ru-MD"/>
        </w:rPr>
        <w:t xml:space="preserve"> государственном бюджете на 2021 год</w:t>
      </w:r>
      <w:r w:rsidR="00C36D79" w:rsidRPr="00283B32">
        <w:rPr>
          <w:rStyle w:val="FootnoteReference"/>
          <w:rFonts w:asciiTheme="majorHAnsi" w:hAnsiTheme="majorHAnsi" w:cstheme="majorHAnsi"/>
          <w:sz w:val="24"/>
          <w:szCs w:val="24"/>
          <w:lang w:val="ru-MD"/>
        </w:rPr>
        <w:footnoteReference w:id="12"/>
      </w:r>
      <w:r w:rsidRPr="00283B32">
        <w:rPr>
          <w:rFonts w:asciiTheme="majorHAnsi" w:hAnsiTheme="majorHAnsi" w:cstheme="majorHAnsi"/>
          <w:sz w:val="24"/>
          <w:szCs w:val="24"/>
          <w:lang w:val="ru-MD"/>
        </w:rPr>
        <w:t xml:space="preserve">, </w:t>
      </w:r>
      <w:r w:rsidR="00C36D79" w:rsidRPr="00283B32">
        <w:rPr>
          <w:rFonts w:asciiTheme="majorHAnsi" w:hAnsiTheme="majorHAnsi" w:cstheme="majorHAnsi"/>
          <w:sz w:val="24"/>
          <w:szCs w:val="24"/>
          <w:lang w:val="ru-MD"/>
        </w:rPr>
        <w:t>ТС</w:t>
      </w:r>
      <w:r w:rsidRPr="00283B32">
        <w:rPr>
          <w:rFonts w:asciiTheme="majorHAnsi" w:hAnsiTheme="majorHAnsi" w:cstheme="majorHAnsi"/>
          <w:sz w:val="24"/>
          <w:szCs w:val="24"/>
          <w:lang w:val="ru-MD"/>
        </w:rPr>
        <w:t xml:space="preserve"> </w:t>
      </w:r>
      <w:r w:rsidR="00C36D79" w:rsidRPr="00283B32">
        <w:rPr>
          <w:rFonts w:asciiTheme="majorHAnsi" w:hAnsiTheme="majorHAnsi" w:cstheme="majorHAnsi"/>
          <w:sz w:val="24"/>
          <w:szCs w:val="24"/>
          <w:lang w:val="ru-MD"/>
        </w:rPr>
        <w:t xml:space="preserve">первоначально </w:t>
      </w:r>
      <w:r w:rsidRPr="00283B32">
        <w:rPr>
          <w:rFonts w:asciiTheme="majorHAnsi" w:hAnsiTheme="majorHAnsi" w:cstheme="majorHAnsi"/>
          <w:sz w:val="24"/>
          <w:szCs w:val="24"/>
          <w:lang w:val="ru-MD"/>
        </w:rPr>
        <w:t>был</w:t>
      </w:r>
      <w:r w:rsidR="00C36D79" w:rsidRPr="00283B32">
        <w:rPr>
          <w:rFonts w:asciiTheme="majorHAnsi" w:hAnsiTheme="majorHAnsi" w:cstheme="majorHAnsi"/>
          <w:sz w:val="24"/>
          <w:szCs w:val="24"/>
          <w:lang w:val="ru-MD"/>
        </w:rPr>
        <w:t>и</w:t>
      </w:r>
      <w:r w:rsidRPr="00283B32">
        <w:rPr>
          <w:rFonts w:asciiTheme="majorHAnsi" w:hAnsiTheme="majorHAnsi" w:cstheme="majorHAnsi"/>
          <w:sz w:val="24"/>
          <w:szCs w:val="24"/>
          <w:lang w:val="ru-MD"/>
        </w:rPr>
        <w:t xml:space="preserve"> утвержден</w:t>
      </w:r>
      <w:r w:rsidR="00C36D79" w:rsidRPr="00283B32">
        <w:rPr>
          <w:rFonts w:asciiTheme="majorHAnsi" w:hAnsiTheme="majorHAnsi" w:cstheme="majorHAnsi"/>
          <w:sz w:val="24"/>
          <w:szCs w:val="24"/>
          <w:lang w:val="ru-MD"/>
        </w:rPr>
        <w:t>ы</w:t>
      </w:r>
      <w:r w:rsidRPr="00283B32">
        <w:rPr>
          <w:rFonts w:asciiTheme="majorHAnsi" w:hAnsiTheme="majorHAnsi" w:cstheme="majorHAnsi"/>
          <w:sz w:val="24"/>
          <w:szCs w:val="24"/>
          <w:lang w:val="ru-MD"/>
        </w:rPr>
        <w:t xml:space="preserve"> доход</w:t>
      </w:r>
      <w:r w:rsidR="00C36D79" w:rsidRPr="00283B32">
        <w:rPr>
          <w:rFonts w:asciiTheme="majorHAnsi" w:hAnsiTheme="majorHAnsi" w:cstheme="majorHAnsi"/>
          <w:sz w:val="24"/>
          <w:szCs w:val="24"/>
          <w:lang w:val="ru-MD"/>
        </w:rPr>
        <w:t>ы</w:t>
      </w:r>
      <w:r w:rsidRPr="00283B32">
        <w:rPr>
          <w:rFonts w:asciiTheme="majorHAnsi" w:hAnsiTheme="majorHAnsi" w:cstheme="majorHAnsi"/>
          <w:sz w:val="24"/>
          <w:szCs w:val="24"/>
          <w:lang w:val="ru-MD"/>
        </w:rPr>
        <w:t xml:space="preserve"> в размере 24 846,7 млн.</w:t>
      </w:r>
      <w:r w:rsidR="00C36D79" w:rsidRPr="00283B32">
        <w:rPr>
          <w:rFonts w:asciiTheme="majorHAnsi" w:hAnsiTheme="majorHAnsi" w:cstheme="majorHAnsi"/>
          <w:sz w:val="24"/>
          <w:szCs w:val="24"/>
          <w:lang w:val="ru-MD"/>
        </w:rPr>
        <w:t xml:space="preserve"> </w:t>
      </w:r>
      <w:r w:rsidRPr="00283B32">
        <w:rPr>
          <w:rFonts w:asciiTheme="majorHAnsi" w:hAnsiTheme="majorHAnsi" w:cstheme="majorHAnsi"/>
          <w:sz w:val="24"/>
          <w:szCs w:val="24"/>
          <w:lang w:val="ru-MD"/>
        </w:rPr>
        <w:t>ле</w:t>
      </w:r>
      <w:r w:rsidR="00C36D79" w:rsidRPr="00283B32">
        <w:rPr>
          <w:rFonts w:asciiTheme="majorHAnsi" w:hAnsiTheme="majorHAnsi" w:cstheme="majorHAnsi"/>
          <w:sz w:val="24"/>
          <w:szCs w:val="24"/>
          <w:lang w:val="ru-MD"/>
        </w:rPr>
        <w:t>ев</w:t>
      </w:r>
      <w:r w:rsidRPr="00283B32">
        <w:rPr>
          <w:rFonts w:asciiTheme="majorHAnsi" w:hAnsiTheme="majorHAnsi" w:cstheme="majorHAnsi"/>
          <w:sz w:val="24"/>
          <w:szCs w:val="24"/>
          <w:lang w:val="ru-MD"/>
        </w:rPr>
        <w:t xml:space="preserve">. Впоследствии, в результате </w:t>
      </w:r>
      <w:r w:rsidR="00C36D79" w:rsidRPr="00283B32">
        <w:rPr>
          <w:rFonts w:asciiTheme="majorHAnsi" w:hAnsiTheme="majorHAnsi" w:cstheme="majorHAnsi"/>
          <w:sz w:val="24"/>
          <w:szCs w:val="24"/>
          <w:lang w:val="ru-MD"/>
        </w:rPr>
        <w:t>ряда</w:t>
      </w:r>
      <w:r w:rsidRPr="00283B32">
        <w:rPr>
          <w:rFonts w:asciiTheme="majorHAnsi" w:hAnsiTheme="majorHAnsi" w:cstheme="majorHAnsi"/>
          <w:sz w:val="24"/>
          <w:szCs w:val="24"/>
          <w:lang w:val="ru-MD"/>
        </w:rPr>
        <w:t xml:space="preserve"> </w:t>
      </w:r>
      <w:r w:rsidR="00C36D79" w:rsidRPr="00283B32">
        <w:rPr>
          <w:rFonts w:asciiTheme="majorHAnsi" w:hAnsiTheme="majorHAnsi" w:cstheme="majorHAnsi"/>
          <w:sz w:val="24"/>
          <w:szCs w:val="24"/>
          <w:lang w:val="ru-MD"/>
        </w:rPr>
        <w:t>уточне</w:t>
      </w:r>
      <w:r w:rsidRPr="00283B32">
        <w:rPr>
          <w:rFonts w:asciiTheme="majorHAnsi" w:hAnsiTheme="majorHAnsi" w:cstheme="majorHAnsi"/>
          <w:sz w:val="24"/>
          <w:szCs w:val="24"/>
          <w:lang w:val="ru-MD"/>
        </w:rPr>
        <w:t xml:space="preserve">ний </w:t>
      </w:r>
      <w:r w:rsidR="00C36D79" w:rsidRPr="00283B32">
        <w:rPr>
          <w:rFonts w:asciiTheme="majorHAnsi" w:hAnsiTheme="majorHAnsi" w:cstheme="majorHAnsi"/>
          <w:sz w:val="24"/>
          <w:szCs w:val="24"/>
          <w:lang w:val="ru-MD"/>
        </w:rPr>
        <w:t>ГБ</w:t>
      </w:r>
      <w:r w:rsidR="00C36D79" w:rsidRPr="00283B32">
        <w:rPr>
          <w:rStyle w:val="FootnoteReference"/>
          <w:rFonts w:asciiTheme="majorHAnsi" w:hAnsiTheme="majorHAnsi" w:cstheme="majorHAnsi"/>
          <w:sz w:val="24"/>
          <w:szCs w:val="24"/>
          <w:lang w:val="ru-MD"/>
        </w:rPr>
        <w:footnoteReference w:id="13"/>
      </w:r>
      <w:r w:rsidRPr="00283B32">
        <w:rPr>
          <w:rFonts w:asciiTheme="majorHAnsi" w:hAnsiTheme="majorHAnsi" w:cstheme="majorHAnsi"/>
          <w:sz w:val="24"/>
          <w:szCs w:val="24"/>
          <w:lang w:val="ru-MD"/>
        </w:rPr>
        <w:t xml:space="preserve">, доходы, </w:t>
      </w:r>
      <w:r w:rsidR="00C36D79" w:rsidRPr="00283B32">
        <w:rPr>
          <w:rFonts w:asciiTheme="majorHAnsi" w:hAnsiTheme="majorHAnsi" w:cstheme="majorHAnsi"/>
          <w:sz w:val="24"/>
          <w:szCs w:val="24"/>
          <w:lang w:val="ru-MD"/>
        </w:rPr>
        <w:t>администриру</w:t>
      </w:r>
      <w:r w:rsidRPr="00283B32">
        <w:rPr>
          <w:rFonts w:asciiTheme="majorHAnsi" w:hAnsiTheme="majorHAnsi" w:cstheme="majorHAnsi"/>
          <w:sz w:val="24"/>
          <w:szCs w:val="24"/>
          <w:lang w:val="ru-MD"/>
        </w:rPr>
        <w:t xml:space="preserve">емые </w:t>
      </w:r>
      <w:r w:rsidR="00C36D79" w:rsidRPr="00283B32">
        <w:rPr>
          <w:rFonts w:asciiTheme="majorHAnsi" w:hAnsiTheme="majorHAnsi" w:cstheme="majorHAnsi"/>
          <w:sz w:val="24"/>
          <w:szCs w:val="24"/>
          <w:lang w:val="ru-MD"/>
        </w:rPr>
        <w:t>ТС, были уточне</w:t>
      </w:r>
      <w:r w:rsidRPr="00283B32">
        <w:rPr>
          <w:rFonts w:asciiTheme="majorHAnsi" w:hAnsiTheme="majorHAnsi" w:cstheme="majorHAnsi"/>
          <w:sz w:val="24"/>
          <w:szCs w:val="24"/>
          <w:lang w:val="ru-MD"/>
        </w:rPr>
        <w:t>ны в</w:t>
      </w:r>
      <w:r w:rsidR="00C36D79" w:rsidRPr="00283B32">
        <w:rPr>
          <w:rFonts w:asciiTheme="majorHAnsi" w:hAnsiTheme="majorHAnsi" w:cstheme="majorHAnsi"/>
          <w:sz w:val="24"/>
          <w:szCs w:val="24"/>
          <w:lang w:val="ru-MD"/>
        </w:rPr>
        <w:t>сего</w:t>
      </w:r>
      <w:r w:rsidRPr="00283B32">
        <w:rPr>
          <w:rFonts w:asciiTheme="majorHAnsi" w:hAnsiTheme="majorHAnsi" w:cstheme="majorHAnsi"/>
          <w:sz w:val="24"/>
          <w:szCs w:val="24"/>
          <w:lang w:val="ru-MD"/>
        </w:rPr>
        <w:t xml:space="preserve"> 3 раза </w:t>
      </w:r>
      <w:r w:rsidR="00C36D79" w:rsidRPr="00283B32">
        <w:rPr>
          <w:rFonts w:asciiTheme="majorHAnsi" w:hAnsiTheme="majorHAnsi" w:cstheme="majorHAnsi"/>
          <w:sz w:val="24"/>
          <w:szCs w:val="24"/>
          <w:lang w:val="ru-MD"/>
        </w:rPr>
        <w:t>на общую сумму</w:t>
      </w:r>
      <w:r w:rsidRPr="00283B32">
        <w:rPr>
          <w:rFonts w:asciiTheme="majorHAnsi" w:hAnsiTheme="majorHAnsi" w:cstheme="majorHAnsi"/>
          <w:sz w:val="24"/>
          <w:szCs w:val="24"/>
          <w:lang w:val="ru-MD"/>
        </w:rPr>
        <w:t xml:space="preserve"> 27 087,2 млн.</w:t>
      </w:r>
      <w:r w:rsidR="00C36D79" w:rsidRPr="00283B32">
        <w:rPr>
          <w:rFonts w:asciiTheme="majorHAnsi" w:hAnsiTheme="majorHAnsi" w:cstheme="majorHAnsi"/>
          <w:sz w:val="24"/>
          <w:szCs w:val="24"/>
          <w:lang w:val="ru-MD"/>
        </w:rPr>
        <w:t xml:space="preserve"> </w:t>
      </w:r>
      <w:r w:rsidRPr="00283B32">
        <w:rPr>
          <w:rFonts w:asciiTheme="majorHAnsi" w:hAnsiTheme="majorHAnsi" w:cstheme="majorHAnsi"/>
          <w:sz w:val="24"/>
          <w:szCs w:val="24"/>
          <w:lang w:val="ru-MD"/>
        </w:rPr>
        <w:t>ле</w:t>
      </w:r>
      <w:r w:rsidR="00C36D79" w:rsidRPr="00283B32">
        <w:rPr>
          <w:rFonts w:asciiTheme="majorHAnsi" w:hAnsiTheme="majorHAnsi" w:cstheme="majorHAnsi"/>
          <w:sz w:val="24"/>
          <w:szCs w:val="24"/>
          <w:lang w:val="ru-MD"/>
        </w:rPr>
        <w:t>ев</w:t>
      </w:r>
      <w:r w:rsidRPr="00283B32">
        <w:rPr>
          <w:rFonts w:asciiTheme="majorHAnsi" w:hAnsiTheme="majorHAnsi" w:cstheme="majorHAnsi"/>
          <w:sz w:val="24"/>
          <w:szCs w:val="24"/>
          <w:lang w:val="ru-MD"/>
        </w:rPr>
        <w:t xml:space="preserve">, или </w:t>
      </w:r>
      <w:r w:rsidR="00C36D79" w:rsidRPr="00283B32">
        <w:rPr>
          <w:rFonts w:asciiTheme="majorHAnsi" w:hAnsiTheme="majorHAnsi" w:cstheme="majorHAnsi"/>
          <w:sz w:val="24"/>
          <w:szCs w:val="24"/>
          <w:lang w:val="ru-MD"/>
        </w:rPr>
        <w:t xml:space="preserve">на </w:t>
      </w:r>
      <w:r w:rsidRPr="00283B32">
        <w:rPr>
          <w:rFonts w:asciiTheme="majorHAnsi" w:hAnsiTheme="majorHAnsi" w:cstheme="majorHAnsi"/>
          <w:sz w:val="24"/>
          <w:szCs w:val="24"/>
          <w:lang w:val="ru-MD"/>
        </w:rPr>
        <w:t>2240,5 млн.</w:t>
      </w:r>
      <w:r w:rsidR="00C36D79" w:rsidRPr="00283B32">
        <w:rPr>
          <w:rFonts w:asciiTheme="majorHAnsi" w:hAnsiTheme="majorHAnsi" w:cstheme="majorHAnsi"/>
          <w:sz w:val="24"/>
          <w:szCs w:val="24"/>
          <w:lang w:val="ru-MD"/>
        </w:rPr>
        <w:t xml:space="preserve"> </w:t>
      </w:r>
      <w:r w:rsidRPr="00283B32">
        <w:rPr>
          <w:rFonts w:asciiTheme="majorHAnsi" w:hAnsiTheme="majorHAnsi" w:cstheme="majorHAnsi"/>
          <w:sz w:val="24"/>
          <w:szCs w:val="24"/>
          <w:lang w:val="ru-MD"/>
        </w:rPr>
        <w:t>ле</w:t>
      </w:r>
      <w:r w:rsidR="00C36D79" w:rsidRPr="00283B32">
        <w:rPr>
          <w:rFonts w:asciiTheme="majorHAnsi" w:hAnsiTheme="majorHAnsi" w:cstheme="majorHAnsi"/>
          <w:sz w:val="24"/>
          <w:szCs w:val="24"/>
          <w:lang w:val="ru-MD"/>
        </w:rPr>
        <w:t>ев</w:t>
      </w:r>
      <w:r w:rsidRPr="00283B32">
        <w:rPr>
          <w:rFonts w:asciiTheme="majorHAnsi" w:hAnsiTheme="majorHAnsi" w:cstheme="majorHAnsi"/>
          <w:sz w:val="24"/>
          <w:szCs w:val="24"/>
          <w:lang w:val="ru-MD"/>
        </w:rPr>
        <w:t xml:space="preserve"> больше. В результате этих изменений</w:t>
      </w:r>
      <w:r w:rsidR="00C36D79" w:rsidRPr="00283B32">
        <w:rPr>
          <w:rFonts w:asciiTheme="majorHAnsi" w:hAnsiTheme="majorHAnsi" w:cstheme="majorHAnsi"/>
          <w:sz w:val="24"/>
          <w:szCs w:val="24"/>
          <w:lang w:val="ru-MD"/>
        </w:rPr>
        <w:t>,</w:t>
      </w:r>
      <w:r w:rsidRPr="00283B32">
        <w:rPr>
          <w:rFonts w:asciiTheme="majorHAnsi" w:hAnsiTheme="majorHAnsi" w:cstheme="majorHAnsi"/>
          <w:sz w:val="24"/>
          <w:szCs w:val="24"/>
          <w:lang w:val="ru-MD"/>
        </w:rPr>
        <w:t xml:space="preserve"> НДС был увеличен на 2 020,1 млн. ле</w:t>
      </w:r>
      <w:r w:rsidR="00C36D79" w:rsidRPr="00283B32">
        <w:rPr>
          <w:rFonts w:asciiTheme="majorHAnsi" w:hAnsiTheme="majorHAnsi" w:cstheme="majorHAnsi"/>
          <w:sz w:val="24"/>
          <w:szCs w:val="24"/>
          <w:lang w:val="ru-MD"/>
        </w:rPr>
        <w:t>ев</w:t>
      </w:r>
      <w:r w:rsidRPr="00283B32">
        <w:rPr>
          <w:rFonts w:asciiTheme="majorHAnsi" w:hAnsiTheme="majorHAnsi" w:cstheme="majorHAnsi"/>
          <w:sz w:val="24"/>
          <w:szCs w:val="24"/>
          <w:lang w:val="ru-MD"/>
        </w:rPr>
        <w:t>, в то время как акциз был увеличен на 33,3 млн. леев за счет повышения акцизной квоты на некоторые товарные позиции. Одновременно</w:t>
      </w:r>
      <w:r w:rsidR="00C36D79" w:rsidRPr="00283B32">
        <w:rPr>
          <w:rFonts w:asciiTheme="majorHAnsi" w:hAnsiTheme="majorHAnsi" w:cstheme="majorHAnsi"/>
          <w:sz w:val="24"/>
          <w:szCs w:val="24"/>
          <w:lang w:val="ru-MD"/>
        </w:rPr>
        <w:t>, Т</w:t>
      </w:r>
      <w:r w:rsidR="00283B32" w:rsidRPr="00283B32">
        <w:rPr>
          <w:rFonts w:asciiTheme="majorHAnsi" w:hAnsiTheme="majorHAnsi" w:cstheme="majorHAnsi"/>
          <w:sz w:val="24"/>
          <w:szCs w:val="24"/>
          <w:lang w:val="ru-MD"/>
        </w:rPr>
        <w:t>С</w:t>
      </w:r>
      <w:r w:rsidR="00C36D79" w:rsidRPr="00283B32">
        <w:rPr>
          <w:rFonts w:asciiTheme="majorHAnsi" w:hAnsiTheme="majorHAnsi" w:cstheme="majorHAnsi"/>
          <w:sz w:val="24"/>
          <w:szCs w:val="24"/>
          <w:lang w:val="ru-MD"/>
        </w:rPr>
        <w:t xml:space="preserve"> </w:t>
      </w:r>
      <w:r w:rsidRPr="00283B32">
        <w:rPr>
          <w:rFonts w:asciiTheme="majorHAnsi" w:hAnsiTheme="majorHAnsi" w:cstheme="majorHAnsi"/>
          <w:sz w:val="24"/>
          <w:szCs w:val="24"/>
          <w:lang w:val="ru-MD"/>
        </w:rPr>
        <w:t>был увеличен на 136,8 млн.</w:t>
      </w:r>
      <w:r w:rsidR="00C36D79" w:rsidRPr="00283B32">
        <w:rPr>
          <w:rFonts w:asciiTheme="majorHAnsi" w:hAnsiTheme="majorHAnsi" w:cstheme="majorHAnsi"/>
          <w:sz w:val="24"/>
          <w:szCs w:val="24"/>
          <w:lang w:val="ru-MD"/>
        </w:rPr>
        <w:t xml:space="preserve"> </w:t>
      </w:r>
      <w:r w:rsidRPr="00283B32">
        <w:rPr>
          <w:rFonts w:asciiTheme="majorHAnsi" w:hAnsiTheme="majorHAnsi" w:cstheme="majorHAnsi"/>
          <w:sz w:val="24"/>
          <w:szCs w:val="24"/>
          <w:lang w:val="ru-MD"/>
        </w:rPr>
        <w:t>ле</w:t>
      </w:r>
      <w:r w:rsidR="00C36D79" w:rsidRPr="00283B32">
        <w:rPr>
          <w:rFonts w:asciiTheme="majorHAnsi" w:hAnsiTheme="majorHAnsi" w:cstheme="majorHAnsi"/>
          <w:sz w:val="24"/>
          <w:szCs w:val="24"/>
          <w:lang w:val="ru-MD"/>
        </w:rPr>
        <w:t>ев</w:t>
      </w:r>
      <w:r w:rsidRPr="00283B32">
        <w:rPr>
          <w:rFonts w:asciiTheme="majorHAnsi" w:hAnsiTheme="majorHAnsi" w:cstheme="majorHAnsi"/>
          <w:sz w:val="24"/>
          <w:szCs w:val="24"/>
          <w:lang w:val="ru-MD"/>
        </w:rPr>
        <w:t xml:space="preserve"> и</w:t>
      </w:r>
      <w:r w:rsidR="00C36D79" w:rsidRPr="00283B32">
        <w:rPr>
          <w:rFonts w:asciiTheme="majorHAnsi" w:hAnsiTheme="majorHAnsi" w:cstheme="majorHAnsi"/>
          <w:sz w:val="24"/>
          <w:szCs w:val="24"/>
          <w:lang w:val="ru-MD"/>
        </w:rPr>
        <w:t>,</w:t>
      </w:r>
      <w:r w:rsidRPr="00283B32">
        <w:rPr>
          <w:rFonts w:asciiTheme="majorHAnsi" w:hAnsiTheme="majorHAnsi" w:cstheme="majorHAnsi"/>
          <w:sz w:val="24"/>
          <w:szCs w:val="24"/>
          <w:lang w:val="ru-MD"/>
        </w:rPr>
        <w:t xml:space="preserve"> </w:t>
      </w:r>
      <w:r w:rsidR="00C36D79" w:rsidRPr="00283B32">
        <w:rPr>
          <w:rFonts w:asciiTheme="majorHAnsi" w:hAnsiTheme="majorHAnsi" w:cstheme="majorHAnsi"/>
          <w:sz w:val="24"/>
          <w:szCs w:val="24"/>
          <w:lang w:val="ru-MD"/>
        </w:rPr>
        <w:t xml:space="preserve">соответственно, </w:t>
      </w:r>
      <w:r w:rsidR="00283B32" w:rsidRPr="00283B32">
        <w:rPr>
          <w:rFonts w:asciiTheme="majorHAnsi" w:hAnsiTheme="majorHAnsi" w:cstheme="majorHAnsi"/>
          <w:sz w:val="24"/>
          <w:szCs w:val="24"/>
          <w:lang w:val="ru-MD"/>
        </w:rPr>
        <w:t>С</w:t>
      </w:r>
      <w:r w:rsidRPr="00283B32">
        <w:rPr>
          <w:rFonts w:asciiTheme="majorHAnsi" w:hAnsiTheme="majorHAnsi" w:cstheme="majorHAnsi"/>
          <w:sz w:val="24"/>
          <w:szCs w:val="24"/>
          <w:lang w:val="ru-MD"/>
        </w:rPr>
        <w:t>ТП -</w:t>
      </w:r>
      <w:r w:rsidR="00283B32" w:rsidRPr="00283B32">
        <w:rPr>
          <w:rFonts w:asciiTheme="majorHAnsi" w:hAnsiTheme="majorHAnsi" w:cstheme="majorHAnsi"/>
          <w:sz w:val="24"/>
          <w:szCs w:val="24"/>
          <w:lang w:val="ru-MD"/>
        </w:rPr>
        <w:t xml:space="preserve"> </w:t>
      </w:r>
      <w:r w:rsidRPr="00283B32">
        <w:rPr>
          <w:rFonts w:asciiTheme="majorHAnsi" w:hAnsiTheme="majorHAnsi" w:cstheme="majorHAnsi"/>
          <w:sz w:val="24"/>
          <w:szCs w:val="24"/>
          <w:lang w:val="ru-MD"/>
        </w:rPr>
        <w:t>на 46,3 млн.</w:t>
      </w:r>
      <w:r w:rsidR="00283B32" w:rsidRPr="00283B32">
        <w:rPr>
          <w:rFonts w:asciiTheme="majorHAnsi" w:hAnsiTheme="majorHAnsi" w:cstheme="majorHAnsi"/>
          <w:sz w:val="24"/>
          <w:szCs w:val="24"/>
          <w:lang w:val="ru-MD"/>
        </w:rPr>
        <w:t xml:space="preserve"> </w:t>
      </w:r>
      <w:r w:rsidRPr="00283B32">
        <w:rPr>
          <w:rFonts w:asciiTheme="majorHAnsi" w:hAnsiTheme="majorHAnsi" w:cstheme="majorHAnsi"/>
          <w:sz w:val="24"/>
          <w:szCs w:val="24"/>
          <w:lang w:val="ru-MD"/>
        </w:rPr>
        <w:t>ле</w:t>
      </w:r>
      <w:r w:rsidR="00283B32" w:rsidRPr="00283B32">
        <w:rPr>
          <w:rFonts w:asciiTheme="majorHAnsi" w:hAnsiTheme="majorHAnsi" w:cstheme="majorHAnsi"/>
          <w:sz w:val="24"/>
          <w:szCs w:val="24"/>
          <w:lang w:val="ru-MD"/>
        </w:rPr>
        <w:t>ев</w:t>
      </w:r>
      <w:r w:rsidRPr="00283B32">
        <w:rPr>
          <w:rFonts w:asciiTheme="majorHAnsi" w:hAnsiTheme="majorHAnsi" w:cstheme="majorHAnsi"/>
          <w:sz w:val="24"/>
          <w:szCs w:val="24"/>
          <w:lang w:val="ru-MD"/>
        </w:rPr>
        <w:t>, другие платежи увелич</w:t>
      </w:r>
      <w:r w:rsidR="00283B32" w:rsidRPr="00283B32">
        <w:rPr>
          <w:rFonts w:asciiTheme="majorHAnsi" w:hAnsiTheme="majorHAnsi" w:cstheme="majorHAnsi"/>
          <w:sz w:val="24"/>
          <w:szCs w:val="24"/>
          <w:lang w:val="ru-MD"/>
        </w:rPr>
        <w:t>ились</w:t>
      </w:r>
      <w:r w:rsidRPr="00283B32">
        <w:rPr>
          <w:rFonts w:asciiTheme="majorHAnsi" w:hAnsiTheme="majorHAnsi" w:cstheme="majorHAnsi"/>
          <w:sz w:val="24"/>
          <w:szCs w:val="24"/>
          <w:lang w:val="ru-MD"/>
        </w:rPr>
        <w:t xml:space="preserve"> на 4,0 млн.</w:t>
      </w:r>
      <w:r w:rsidR="00283B32" w:rsidRPr="00283B32">
        <w:rPr>
          <w:rFonts w:asciiTheme="majorHAnsi" w:hAnsiTheme="majorHAnsi" w:cstheme="majorHAnsi"/>
          <w:sz w:val="24"/>
          <w:szCs w:val="24"/>
          <w:lang w:val="ru-MD"/>
        </w:rPr>
        <w:t xml:space="preserve"> </w:t>
      </w:r>
      <w:r w:rsidRPr="00283B32">
        <w:rPr>
          <w:rFonts w:asciiTheme="majorHAnsi" w:hAnsiTheme="majorHAnsi" w:cstheme="majorHAnsi"/>
          <w:sz w:val="24"/>
          <w:szCs w:val="24"/>
          <w:lang w:val="ru-MD"/>
        </w:rPr>
        <w:t>ле</w:t>
      </w:r>
      <w:r w:rsidR="00283B32" w:rsidRPr="00283B32">
        <w:rPr>
          <w:rFonts w:asciiTheme="majorHAnsi" w:hAnsiTheme="majorHAnsi" w:cstheme="majorHAnsi"/>
          <w:sz w:val="24"/>
          <w:szCs w:val="24"/>
          <w:lang w:val="ru-MD"/>
        </w:rPr>
        <w:t>ев</w:t>
      </w:r>
      <w:r w:rsidR="006B1CC3" w:rsidRPr="00283B32">
        <w:rPr>
          <w:rFonts w:asciiTheme="majorHAnsi" w:hAnsiTheme="majorHAnsi" w:cstheme="majorHAnsi"/>
          <w:bCs/>
          <w:sz w:val="24"/>
          <w:szCs w:val="24"/>
          <w:lang w:val="ru-MD"/>
        </w:rPr>
        <w:t xml:space="preserve">.   </w:t>
      </w:r>
    </w:p>
    <w:p w14:paraId="7CE21A49" w14:textId="77AA3C4C" w:rsidR="002D3BF0" w:rsidRPr="00491756" w:rsidRDefault="00FF655B" w:rsidP="005B3656">
      <w:pPr>
        <w:spacing w:after="120"/>
        <w:jc w:val="both"/>
        <w:rPr>
          <w:rFonts w:asciiTheme="majorHAnsi" w:eastAsia="Times New Roman" w:hAnsiTheme="majorHAnsi" w:cstheme="majorHAnsi"/>
          <w:bCs/>
          <w:iCs/>
          <w:sz w:val="24"/>
          <w:szCs w:val="24"/>
          <w:lang w:val="ru-MD" w:eastAsia="ro-RO"/>
        </w:rPr>
      </w:pPr>
      <w:r w:rsidRPr="00491756">
        <w:rPr>
          <w:rFonts w:asciiTheme="majorHAnsi" w:hAnsiTheme="majorHAnsi" w:cstheme="majorHAnsi"/>
          <w:sz w:val="24"/>
          <w:szCs w:val="24"/>
          <w:lang w:val="ru-MD"/>
        </w:rPr>
        <w:t xml:space="preserve">Таким образом, за аудируемый период одним из показателей эффективности, используемых </w:t>
      </w:r>
      <w:r w:rsidR="00D92602" w:rsidRPr="00491756">
        <w:rPr>
          <w:rFonts w:asciiTheme="majorHAnsi" w:hAnsiTheme="majorHAnsi" w:cstheme="majorHAnsi"/>
          <w:sz w:val="24"/>
          <w:szCs w:val="24"/>
          <w:lang w:val="ru-MD"/>
        </w:rPr>
        <w:t>ТС</w:t>
      </w:r>
      <w:r w:rsidRPr="00491756">
        <w:rPr>
          <w:rFonts w:asciiTheme="majorHAnsi" w:hAnsiTheme="majorHAnsi" w:cstheme="majorHAnsi"/>
          <w:sz w:val="24"/>
          <w:szCs w:val="24"/>
          <w:lang w:val="ru-MD"/>
        </w:rPr>
        <w:t xml:space="preserve"> при оценке результатов деятельности по администрированию налогов и сборов, был уровень выполнения годово</w:t>
      </w:r>
      <w:r w:rsidR="00D92602" w:rsidRPr="00491756">
        <w:rPr>
          <w:rFonts w:asciiTheme="majorHAnsi" w:hAnsiTheme="majorHAnsi" w:cstheme="majorHAnsi"/>
          <w:sz w:val="24"/>
          <w:szCs w:val="24"/>
          <w:lang w:val="ru-MD"/>
        </w:rPr>
        <w:t>й</w:t>
      </w:r>
      <w:r w:rsidRPr="00491756">
        <w:rPr>
          <w:rFonts w:asciiTheme="majorHAnsi" w:hAnsiTheme="majorHAnsi" w:cstheme="majorHAnsi"/>
          <w:sz w:val="24"/>
          <w:szCs w:val="24"/>
          <w:lang w:val="ru-MD"/>
        </w:rPr>
        <w:t xml:space="preserve"> бюджетно</w:t>
      </w:r>
      <w:r w:rsidR="00D92602" w:rsidRPr="00491756">
        <w:rPr>
          <w:rFonts w:asciiTheme="majorHAnsi" w:hAnsiTheme="majorHAnsi" w:cstheme="majorHAnsi"/>
          <w:sz w:val="24"/>
          <w:szCs w:val="24"/>
          <w:lang w:val="ru-MD"/>
        </w:rPr>
        <w:t>й</w:t>
      </w:r>
      <w:r w:rsidRPr="00491756">
        <w:rPr>
          <w:rFonts w:asciiTheme="majorHAnsi" w:hAnsiTheme="majorHAnsi" w:cstheme="majorHAnsi"/>
          <w:sz w:val="24"/>
          <w:szCs w:val="24"/>
          <w:lang w:val="ru-MD"/>
        </w:rPr>
        <w:t xml:space="preserve"> </w:t>
      </w:r>
      <w:r w:rsidR="00D92602" w:rsidRPr="00491756">
        <w:rPr>
          <w:rFonts w:asciiTheme="majorHAnsi" w:hAnsiTheme="majorHAnsi" w:cstheme="majorHAnsi"/>
          <w:sz w:val="24"/>
          <w:szCs w:val="24"/>
          <w:lang w:val="ru-MD"/>
        </w:rPr>
        <w:t>задачи</w:t>
      </w:r>
      <w:r w:rsidRPr="00491756">
        <w:rPr>
          <w:rFonts w:asciiTheme="majorHAnsi" w:hAnsiTheme="majorHAnsi" w:cstheme="majorHAnsi"/>
          <w:sz w:val="24"/>
          <w:szCs w:val="24"/>
          <w:lang w:val="ru-MD"/>
        </w:rPr>
        <w:t>. Анализ, проведенный аудитом, показ</w:t>
      </w:r>
      <w:r w:rsidR="00D92602" w:rsidRPr="00491756">
        <w:rPr>
          <w:rFonts w:asciiTheme="majorHAnsi" w:hAnsiTheme="majorHAnsi" w:cstheme="majorHAnsi"/>
          <w:sz w:val="24"/>
          <w:szCs w:val="24"/>
          <w:lang w:val="ru-MD"/>
        </w:rPr>
        <w:t>ал</w:t>
      </w:r>
      <w:r w:rsidRPr="00491756">
        <w:rPr>
          <w:rFonts w:asciiTheme="majorHAnsi" w:hAnsiTheme="majorHAnsi" w:cstheme="majorHAnsi"/>
          <w:sz w:val="24"/>
          <w:szCs w:val="24"/>
          <w:lang w:val="ru-MD"/>
        </w:rPr>
        <w:t xml:space="preserve">, что годовой контрольный показатель по сбору доходов претерпел </w:t>
      </w:r>
      <w:r w:rsidR="00D92602" w:rsidRPr="00491756">
        <w:rPr>
          <w:rFonts w:asciiTheme="majorHAnsi" w:hAnsiTheme="majorHAnsi" w:cstheme="majorHAnsi"/>
          <w:sz w:val="24"/>
          <w:szCs w:val="24"/>
          <w:lang w:val="ru-MD"/>
        </w:rPr>
        <w:t>уточн</w:t>
      </w:r>
      <w:r w:rsidRPr="00491756">
        <w:rPr>
          <w:rFonts w:asciiTheme="majorHAnsi" w:hAnsiTheme="majorHAnsi" w:cstheme="majorHAnsi"/>
          <w:sz w:val="24"/>
          <w:szCs w:val="24"/>
          <w:lang w:val="ru-MD"/>
        </w:rPr>
        <w:t>ения</w:t>
      </w:r>
      <w:r w:rsidR="00D92602" w:rsidRPr="00491756">
        <w:rPr>
          <w:rFonts w:asciiTheme="majorHAnsi" w:hAnsiTheme="majorHAnsi" w:cstheme="majorHAnsi"/>
          <w:sz w:val="24"/>
          <w:szCs w:val="24"/>
          <w:lang w:val="ru-MD"/>
        </w:rPr>
        <w:t>,</w:t>
      </w:r>
      <w:r w:rsidRPr="00491756">
        <w:rPr>
          <w:rFonts w:asciiTheme="majorHAnsi" w:hAnsiTheme="majorHAnsi" w:cstheme="majorHAnsi"/>
          <w:sz w:val="24"/>
          <w:szCs w:val="24"/>
          <w:lang w:val="ru-MD"/>
        </w:rPr>
        <w:t xml:space="preserve"> в 2020 году</w:t>
      </w:r>
      <w:r w:rsidR="00D92602" w:rsidRPr="00491756">
        <w:rPr>
          <w:rFonts w:asciiTheme="majorHAnsi" w:hAnsiTheme="majorHAnsi" w:cstheme="majorHAnsi"/>
          <w:sz w:val="24"/>
          <w:szCs w:val="24"/>
          <w:lang w:val="ru-MD"/>
        </w:rPr>
        <w:t xml:space="preserve"> </w:t>
      </w:r>
      <w:r w:rsidRPr="00491756">
        <w:rPr>
          <w:rFonts w:asciiTheme="majorHAnsi" w:hAnsiTheme="majorHAnsi" w:cstheme="majorHAnsi"/>
          <w:sz w:val="24"/>
          <w:szCs w:val="24"/>
          <w:lang w:val="ru-MD"/>
        </w:rPr>
        <w:t>-</w:t>
      </w:r>
      <w:r w:rsidR="00D92602" w:rsidRPr="00491756">
        <w:rPr>
          <w:rFonts w:asciiTheme="majorHAnsi" w:hAnsiTheme="majorHAnsi" w:cstheme="majorHAnsi"/>
          <w:sz w:val="24"/>
          <w:szCs w:val="24"/>
          <w:lang w:val="ru-MD"/>
        </w:rPr>
        <w:t xml:space="preserve"> </w:t>
      </w:r>
      <w:r w:rsidRPr="00491756">
        <w:rPr>
          <w:rFonts w:asciiTheme="majorHAnsi" w:hAnsiTheme="majorHAnsi" w:cstheme="majorHAnsi"/>
          <w:sz w:val="24"/>
          <w:szCs w:val="24"/>
          <w:lang w:val="ru-MD"/>
        </w:rPr>
        <w:t>сокращение на 3 710,8 млн.</w:t>
      </w:r>
      <w:r w:rsidR="00D92602" w:rsidRPr="00491756">
        <w:rPr>
          <w:rFonts w:asciiTheme="majorHAnsi" w:hAnsiTheme="majorHAnsi" w:cstheme="majorHAnsi"/>
          <w:sz w:val="24"/>
          <w:szCs w:val="24"/>
          <w:lang w:val="ru-MD"/>
        </w:rPr>
        <w:t xml:space="preserve"> </w:t>
      </w:r>
      <w:r w:rsidRPr="00491756">
        <w:rPr>
          <w:rFonts w:asciiTheme="majorHAnsi" w:hAnsiTheme="majorHAnsi" w:cstheme="majorHAnsi"/>
          <w:sz w:val="24"/>
          <w:szCs w:val="24"/>
          <w:lang w:val="ru-MD"/>
        </w:rPr>
        <w:t>ле</w:t>
      </w:r>
      <w:r w:rsidR="00D92602" w:rsidRPr="00491756">
        <w:rPr>
          <w:rFonts w:asciiTheme="majorHAnsi" w:hAnsiTheme="majorHAnsi" w:cstheme="majorHAnsi"/>
          <w:sz w:val="24"/>
          <w:szCs w:val="24"/>
          <w:lang w:val="ru-MD"/>
        </w:rPr>
        <w:t>ев</w:t>
      </w:r>
      <w:r w:rsidRPr="00491756">
        <w:rPr>
          <w:rFonts w:asciiTheme="majorHAnsi" w:hAnsiTheme="majorHAnsi" w:cstheme="majorHAnsi"/>
          <w:sz w:val="24"/>
          <w:szCs w:val="24"/>
          <w:lang w:val="ru-MD"/>
        </w:rPr>
        <w:t xml:space="preserve">, а в 2021 году – увеличение на 2240,5 млн. леев первоначально утвержденных контрольных </w:t>
      </w:r>
      <w:r w:rsidR="00D92602" w:rsidRPr="00491756">
        <w:rPr>
          <w:rFonts w:asciiTheme="majorHAnsi" w:hAnsiTheme="majorHAnsi" w:cstheme="majorHAnsi"/>
          <w:sz w:val="24"/>
          <w:szCs w:val="24"/>
          <w:lang w:val="ru-MD"/>
        </w:rPr>
        <w:t>показателей</w:t>
      </w:r>
      <w:r w:rsidRPr="00491756">
        <w:rPr>
          <w:rFonts w:asciiTheme="majorHAnsi" w:hAnsiTheme="majorHAnsi" w:cstheme="majorHAnsi"/>
          <w:sz w:val="24"/>
          <w:szCs w:val="24"/>
          <w:lang w:val="ru-MD"/>
        </w:rPr>
        <w:t>, чтобы дове</w:t>
      </w:r>
      <w:r w:rsidR="00D92602" w:rsidRPr="00491756">
        <w:rPr>
          <w:rFonts w:asciiTheme="majorHAnsi" w:hAnsiTheme="majorHAnsi" w:cstheme="majorHAnsi"/>
          <w:sz w:val="24"/>
          <w:szCs w:val="24"/>
          <w:lang w:val="ru-MD"/>
        </w:rPr>
        <w:t>сти их</w:t>
      </w:r>
      <w:r w:rsidRPr="00491756">
        <w:rPr>
          <w:rFonts w:asciiTheme="majorHAnsi" w:hAnsiTheme="majorHAnsi" w:cstheme="majorHAnsi"/>
          <w:sz w:val="24"/>
          <w:szCs w:val="24"/>
          <w:lang w:val="ru-MD"/>
        </w:rPr>
        <w:t xml:space="preserve"> до уровня максимально близкого к уровню фактически собранных таможенных доходов. Хотя контрольн</w:t>
      </w:r>
      <w:r w:rsidR="00D92602" w:rsidRPr="00491756">
        <w:rPr>
          <w:rFonts w:asciiTheme="majorHAnsi" w:hAnsiTheme="majorHAnsi" w:cstheme="majorHAnsi"/>
          <w:sz w:val="24"/>
          <w:szCs w:val="24"/>
          <w:lang w:val="ru-MD"/>
        </w:rPr>
        <w:t>ый показатель</w:t>
      </w:r>
      <w:r w:rsidRPr="00491756">
        <w:rPr>
          <w:rFonts w:asciiTheme="majorHAnsi" w:hAnsiTheme="majorHAnsi" w:cstheme="majorHAnsi"/>
          <w:sz w:val="24"/>
          <w:szCs w:val="24"/>
          <w:lang w:val="ru-MD"/>
        </w:rPr>
        <w:t xml:space="preserve"> пересм</w:t>
      </w:r>
      <w:r w:rsidR="00D92602" w:rsidRPr="00491756">
        <w:rPr>
          <w:rFonts w:asciiTheme="majorHAnsi" w:hAnsiTheme="majorHAnsi" w:cstheme="majorHAnsi"/>
          <w:sz w:val="24"/>
          <w:szCs w:val="24"/>
          <w:lang w:val="ru-MD"/>
        </w:rPr>
        <w:t>атривался</w:t>
      </w:r>
      <w:r w:rsidRPr="00491756">
        <w:rPr>
          <w:rFonts w:asciiTheme="majorHAnsi" w:hAnsiTheme="majorHAnsi" w:cstheme="majorHAnsi"/>
          <w:sz w:val="24"/>
          <w:szCs w:val="24"/>
          <w:lang w:val="ru-MD"/>
        </w:rPr>
        <w:t xml:space="preserve"> 3 раза,</w:t>
      </w:r>
      <w:r w:rsidR="00D92602" w:rsidRPr="00491756">
        <w:rPr>
          <w:rFonts w:asciiTheme="majorHAnsi" w:hAnsiTheme="majorHAnsi" w:cstheme="majorHAnsi"/>
          <w:sz w:val="24"/>
          <w:szCs w:val="24"/>
          <w:lang w:val="ru-MD"/>
        </w:rPr>
        <w:t xml:space="preserve"> </w:t>
      </w:r>
      <w:r w:rsidRPr="00491756">
        <w:rPr>
          <w:rFonts w:asciiTheme="majorHAnsi" w:hAnsiTheme="majorHAnsi" w:cstheme="majorHAnsi"/>
          <w:sz w:val="24"/>
          <w:szCs w:val="24"/>
          <w:lang w:val="ru-MD"/>
        </w:rPr>
        <w:t>он был превышен на 1466,5 млн.</w:t>
      </w:r>
      <w:r w:rsidR="00D92602" w:rsidRPr="00491756">
        <w:rPr>
          <w:rFonts w:asciiTheme="majorHAnsi" w:hAnsiTheme="majorHAnsi" w:cstheme="majorHAnsi"/>
          <w:sz w:val="24"/>
          <w:szCs w:val="24"/>
          <w:lang w:val="ru-MD"/>
        </w:rPr>
        <w:t xml:space="preserve"> </w:t>
      </w:r>
      <w:r w:rsidRPr="00491756">
        <w:rPr>
          <w:rFonts w:asciiTheme="majorHAnsi" w:hAnsiTheme="majorHAnsi" w:cstheme="majorHAnsi"/>
          <w:sz w:val="24"/>
          <w:szCs w:val="24"/>
          <w:lang w:val="ru-MD"/>
        </w:rPr>
        <w:t>ле</w:t>
      </w:r>
      <w:r w:rsidR="00D92602" w:rsidRPr="00491756">
        <w:rPr>
          <w:rFonts w:asciiTheme="majorHAnsi" w:hAnsiTheme="majorHAnsi" w:cstheme="majorHAnsi"/>
          <w:sz w:val="24"/>
          <w:szCs w:val="24"/>
          <w:lang w:val="ru-MD"/>
        </w:rPr>
        <w:t>ев</w:t>
      </w:r>
      <w:r w:rsidRPr="00491756">
        <w:rPr>
          <w:rFonts w:asciiTheme="majorHAnsi" w:hAnsiTheme="majorHAnsi" w:cstheme="majorHAnsi"/>
          <w:sz w:val="24"/>
          <w:szCs w:val="24"/>
          <w:lang w:val="ru-MD"/>
        </w:rPr>
        <w:t xml:space="preserve"> (5,4%). В этом контексте аудит </w:t>
      </w:r>
      <w:r w:rsidR="00D92602" w:rsidRPr="00491756">
        <w:rPr>
          <w:rFonts w:asciiTheme="majorHAnsi" w:hAnsiTheme="majorHAnsi" w:cstheme="majorHAnsi"/>
          <w:sz w:val="24"/>
          <w:szCs w:val="24"/>
          <w:lang w:val="ru-MD"/>
        </w:rPr>
        <w:t>указыва</w:t>
      </w:r>
      <w:r w:rsidRPr="00491756">
        <w:rPr>
          <w:rFonts w:asciiTheme="majorHAnsi" w:hAnsiTheme="majorHAnsi" w:cstheme="majorHAnsi"/>
          <w:sz w:val="24"/>
          <w:szCs w:val="24"/>
          <w:lang w:val="ru-MD"/>
        </w:rPr>
        <w:t xml:space="preserve">ет </w:t>
      </w:r>
      <w:r w:rsidR="00D92602" w:rsidRPr="00491756">
        <w:rPr>
          <w:rFonts w:asciiTheme="majorHAnsi" w:hAnsiTheme="majorHAnsi" w:cstheme="majorHAnsi"/>
          <w:sz w:val="24"/>
          <w:szCs w:val="24"/>
          <w:lang w:val="ru-MD"/>
        </w:rPr>
        <w:t xml:space="preserve">на наличие </w:t>
      </w:r>
      <w:r w:rsidRPr="00491756">
        <w:rPr>
          <w:rFonts w:asciiTheme="majorHAnsi" w:hAnsiTheme="majorHAnsi" w:cstheme="majorHAnsi"/>
          <w:sz w:val="24"/>
          <w:szCs w:val="24"/>
          <w:lang w:val="ru-MD"/>
        </w:rPr>
        <w:t xml:space="preserve">некоторых </w:t>
      </w:r>
      <w:r w:rsidR="00D92602" w:rsidRPr="00491756">
        <w:rPr>
          <w:rFonts w:asciiTheme="majorHAnsi" w:hAnsiTheme="majorHAnsi" w:cstheme="majorHAnsi"/>
          <w:sz w:val="24"/>
          <w:szCs w:val="24"/>
          <w:lang w:val="ru-MD"/>
        </w:rPr>
        <w:t>резервов</w:t>
      </w:r>
      <w:r w:rsidRPr="00491756">
        <w:rPr>
          <w:rFonts w:asciiTheme="majorHAnsi" w:hAnsiTheme="majorHAnsi" w:cstheme="majorHAnsi"/>
          <w:sz w:val="24"/>
          <w:szCs w:val="24"/>
          <w:lang w:val="ru-MD"/>
        </w:rPr>
        <w:t xml:space="preserve"> в </w:t>
      </w:r>
      <w:r w:rsidR="00D92602" w:rsidRPr="00491756">
        <w:rPr>
          <w:rFonts w:asciiTheme="majorHAnsi" w:hAnsiTheme="majorHAnsi" w:cstheme="majorHAnsi"/>
          <w:sz w:val="24"/>
          <w:szCs w:val="24"/>
          <w:lang w:val="ru-MD"/>
        </w:rPr>
        <w:t>част</w:t>
      </w:r>
      <w:r w:rsidRPr="00491756">
        <w:rPr>
          <w:rFonts w:asciiTheme="majorHAnsi" w:hAnsiTheme="majorHAnsi" w:cstheme="majorHAnsi"/>
          <w:sz w:val="24"/>
          <w:szCs w:val="24"/>
          <w:lang w:val="ru-MD"/>
        </w:rPr>
        <w:t xml:space="preserve">и оценки бюджетных доходов, </w:t>
      </w:r>
      <w:r w:rsidR="00D92602" w:rsidRPr="00491756">
        <w:rPr>
          <w:rFonts w:asciiTheme="majorHAnsi" w:hAnsiTheme="majorHAnsi" w:cstheme="majorHAnsi"/>
          <w:sz w:val="24"/>
          <w:szCs w:val="24"/>
          <w:lang w:val="ru-MD"/>
        </w:rPr>
        <w:t>администриру</w:t>
      </w:r>
      <w:r w:rsidRPr="00491756">
        <w:rPr>
          <w:rFonts w:asciiTheme="majorHAnsi" w:hAnsiTheme="majorHAnsi" w:cstheme="majorHAnsi"/>
          <w:sz w:val="24"/>
          <w:szCs w:val="24"/>
          <w:lang w:val="ru-MD"/>
        </w:rPr>
        <w:t xml:space="preserve">емых </w:t>
      </w:r>
      <w:r w:rsidR="00D92602" w:rsidRPr="00491756">
        <w:rPr>
          <w:rFonts w:asciiTheme="majorHAnsi" w:hAnsiTheme="majorHAnsi" w:cstheme="majorHAnsi"/>
          <w:sz w:val="24"/>
          <w:szCs w:val="24"/>
          <w:lang w:val="ru-MD"/>
        </w:rPr>
        <w:t>ТС</w:t>
      </w:r>
      <w:r w:rsidRPr="00491756">
        <w:rPr>
          <w:rFonts w:asciiTheme="majorHAnsi" w:hAnsiTheme="majorHAnsi" w:cstheme="majorHAnsi"/>
          <w:sz w:val="24"/>
          <w:szCs w:val="24"/>
          <w:lang w:val="ru-MD"/>
        </w:rPr>
        <w:t xml:space="preserve">, что </w:t>
      </w:r>
      <w:r w:rsidR="00D92602" w:rsidRPr="00491756">
        <w:rPr>
          <w:rFonts w:asciiTheme="majorHAnsi" w:hAnsiTheme="majorHAnsi" w:cstheme="majorHAnsi"/>
          <w:sz w:val="24"/>
          <w:szCs w:val="24"/>
          <w:lang w:val="ru-MD"/>
        </w:rPr>
        <w:t>обуслови</w:t>
      </w:r>
      <w:r w:rsidRPr="00491756">
        <w:rPr>
          <w:rFonts w:asciiTheme="majorHAnsi" w:hAnsiTheme="majorHAnsi" w:cstheme="majorHAnsi"/>
          <w:sz w:val="24"/>
          <w:szCs w:val="24"/>
          <w:lang w:val="ru-MD"/>
        </w:rPr>
        <w:t>ло</w:t>
      </w:r>
      <w:r w:rsidR="00D92602" w:rsidRPr="00491756">
        <w:rPr>
          <w:rFonts w:asciiTheme="majorHAnsi" w:hAnsiTheme="majorHAnsi" w:cstheme="majorHAnsi"/>
          <w:sz w:val="24"/>
          <w:szCs w:val="24"/>
          <w:lang w:val="ru-MD"/>
        </w:rPr>
        <w:t xml:space="preserve"> превышение </w:t>
      </w:r>
      <w:r w:rsidRPr="00491756">
        <w:rPr>
          <w:rFonts w:asciiTheme="majorHAnsi" w:hAnsiTheme="majorHAnsi" w:cstheme="majorHAnsi"/>
          <w:sz w:val="24"/>
          <w:szCs w:val="24"/>
          <w:lang w:val="ru-MD"/>
        </w:rPr>
        <w:t xml:space="preserve"> </w:t>
      </w:r>
      <w:r w:rsidR="00D92602" w:rsidRPr="00491756">
        <w:rPr>
          <w:rFonts w:asciiTheme="majorHAnsi" w:hAnsiTheme="majorHAnsi" w:cstheme="majorHAnsi"/>
          <w:sz w:val="24"/>
          <w:szCs w:val="24"/>
          <w:lang w:val="ru-MD"/>
        </w:rPr>
        <w:t>уточне</w:t>
      </w:r>
      <w:r w:rsidRPr="00491756">
        <w:rPr>
          <w:rFonts w:asciiTheme="majorHAnsi" w:hAnsiTheme="majorHAnsi" w:cstheme="majorHAnsi"/>
          <w:sz w:val="24"/>
          <w:szCs w:val="24"/>
          <w:lang w:val="ru-MD"/>
        </w:rPr>
        <w:t xml:space="preserve">нных показателей доходов. </w:t>
      </w:r>
      <w:r w:rsidR="00D92602" w:rsidRPr="00491756">
        <w:rPr>
          <w:rFonts w:asciiTheme="majorHAnsi" w:hAnsiTheme="majorHAnsi" w:cstheme="majorHAnsi"/>
          <w:sz w:val="24"/>
          <w:szCs w:val="24"/>
          <w:lang w:val="ru-MD"/>
        </w:rPr>
        <w:t>Кроме того, на</w:t>
      </w:r>
      <w:r w:rsidRPr="00491756">
        <w:rPr>
          <w:rFonts w:asciiTheme="majorHAnsi" w:hAnsiTheme="majorHAnsi" w:cstheme="majorHAnsi"/>
          <w:sz w:val="24"/>
          <w:szCs w:val="24"/>
          <w:lang w:val="ru-MD"/>
        </w:rPr>
        <w:t xml:space="preserve"> снижение первоначального контрольного показателя, утвержденного в 2020 году, повлияла ситуация с пандемией Covid-19, а увеличение контрольного показателя, утвержденного в 2021 году, и пере</w:t>
      </w:r>
      <w:r w:rsidR="00D92602" w:rsidRPr="00491756">
        <w:rPr>
          <w:rFonts w:asciiTheme="majorHAnsi" w:hAnsiTheme="majorHAnsi" w:cstheme="majorHAnsi"/>
          <w:sz w:val="24"/>
          <w:szCs w:val="24"/>
          <w:lang w:val="ru-MD"/>
        </w:rPr>
        <w:t>выполн</w:t>
      </w:r>
      <w:r w:rsidRPr="00491756">
        <w:rPr>
          <w:rFonts w:asciiTheme="majorHAnsi" w:hAnsiTheme="majorHAnsi" w:cstheme="majorHAnsi"/>
          <w:sz w:val="24"/>
          <w:szCs w:val="24"/>
          <w:lang w:val="ru-MD"/>
        </w:rPr>
        <w:t xml:space="preserve">ение </w:t>
      </w:r>
      <w:r w:rsidR="00D92602" w:rsidRPr="00491756">
        <w:rPr>
          <w:rFonts w:asciiTheme="majorHAnsi" w:hAnsiTheme="majorHAnsi" w:cstheme="majorHAnsi"/>
          <w:sz w:val="24"/>
          <w:szCs w:val="24"/>
          <w:lang w:val="ru-MD"/>
        </w:rPr>
        <w:t>задач</w:t>
      </w:r>
      <w:r w:rsidRPr="00491756">
        <w:rPr>
          <w:rFonts w:asciiTheme="majorHAnsi" w:hAnsiTheme="majorHAnsi" w:cstheme="majorHAnsi"/>
          <w:sz w:val="24"/>
          <w:szCs w:val="24"/>
          <w:lang w:val="ru-MD"/>
        </w:rPr>
        <w:t>и</w:t>
      </w:r>
      <w:r w:rsidR="00D92602" w:rsidRPr="00491756">
        <w:rPr>
          <w:rFonts w:asciiTheme="majorHAnsi" w:hAnsiTheme="majorHAnsi" w:cstheme="majorHAnsi"/>
          <w:sz w:val="24"/>
          <w:szCs w:val="24"/>
          <w:lang w:val="ru-MD"/>
        </w:rPr>
        <w:t xml:space="preserve"> по</w:t>
      </w:r>
      <w:r w:rsidRPr="00491756">
        <w:rPr>
          <w:rFonts w:asciiTheme="majorHAnsi" w:hAnsiTheme="majorHAnsi" w:cstheme="majorHAnsi"/>
          <w:sz w:val="24"/>
          <w:szCs w:val="24"/>
          <w:lang w:val="ru-MD"/>
        </w:rPr>
        <w:t xml:space="preserve"> сбор</w:t>
      </w:r>
      <w:r w:rsidR="00D92602" w:rsidRPr="00491756">
        <w:rPr>
          <w:rFonts w:asciiTheme="majorHAnsi" w:hAnsiTheme="majorHAnsi" w:cstheme="majorHAnsi"/>
          <w:sz w:val="24"/>
          <w:szCs w:val="24"/>
          <w:lang w:val="ru-MD"/>
        </w:rPr>
        <w:t>у</w:t>
      </w:r>
      <w:r w:rsidRPr="00491756">
        <w:rPr>
          <w:rFonts w:asciiTheme="majorHAnsi" w:hAnsiTheme="majorHAnsi" w:cstheme="majorHAnsi"/>
          <w:sz w:val="24"/>
          <w:szCs w:val="24"/>
          <w:lang w:val="ru-MD"/>
        </w:rPr>
        <w:t xml:space="preserve"> таможенных доходов были обусловлены увеличением стоимости импорт</w:t>
      </w:r>
      <w:r w:rsidR="00D92602" w:rsidRPr="00491756">
        <w:rPr>
          <w:rFonts w:asciiTheme="majorHAnsi" w:hAnsiTheme="majorHAnsi" w:cstheme="majorHAnsi"/>
          <w:sz w:val="24"/>
          <w:szCs w:val="24"/>
          <w:lang w:val="ru-MD"/>
        </w:rPr>
        <w:t>ируемых товаров</w:t>
      </w:r>
      <w:r w:rsidRPr="00491756">
        <w:rPr>
          <w:rFonts w:asciiTheme="majorHAnsi" w:hAnsiTheme="majorHAnsi" w:cstheme="majorHAnsi"/>
          <w:sz w:val="24"/>
          <w:szCs w:val="24"/>
          <w:lang w:val="ru-MD"/>
        </w:rPr>
        <w:t xml:space="preserve"> на 32,5% и инфляци</w:t>
      </w:r>
      <w:r w:rsidR="00D92602" w:rsidRPr="00491756">
        <w:rPr>
          <w:rFonts w:asciiTheme="majorHAnsi" w:hAnsiTheme="majorHAnsi" w:cstheme="majorHAnsi"/>
          <w:sz w:val="24"/>
          <w:szCs w:val="24"/>
          <w:lang w:val="ru-MD"/>
        </w:rPr>
        <w:t>и</w:t>
      </w:r>
      <w:r w:rsidRPr="00491756">
        <w:rPr>
          <w:rFonts w:asciiTheme="majorHAnsi" w:hAnsiTheme="majorHAnsi" w:cstheme="majorHAnsi"/>
          <w:sz w:val="24"/>
          <w:szCs w:val="24"/>
          <w:lang w:val="ru-MD"/>
        </w:rPr>
        <w:t xml:space="preserve"> на 13,94%, накоплен</w:t>
      </w:r>
      <w:r w:rsidR="00D92602" w:rsidRPr="00491756">
        <w:rPr>
          <w:rFonts w:asciiTheme="majorHAnsi" w:hAnsiTheme="majorHAnsi" w:cstheme="majorHAnsi"/>
          <w:sz w:val="24"/>
          <w:szCs w:val="24"/>
          <w:lang w:val="ru-MD"/>
        </w:rPr>
        <w:t xml:space="preserve">ие которых превысило </w:t>
      </w:r>
      <w:r w:rsidRPr="00491756">
        <w:rPr>
          <w:rFonts w:asciiTheme="majorHAnsi" w:hAnsiTheme="majorHAnsi" w:cstheme="majorHAnsi"/>
          <w:sz w:val="24"/>
          <w:szCs w:val="24"/>
          <w:lang w:val="ru-MD"/>
        </w:rPr>
        <w:t>цел</w:t>
      </w:r>
      <w:r w:rsidR="00D92602" w:rsidRPr="00491756">
        <w:rPr>
          <w:rFonts w:asciiTheme="majorHAnsi" w:hAnsiTheme="majorHAnsi" w:cstheme="majorHAnsi"/>
          <w:sz w:val="24"/>
          <w:szCs w:val="24"/>
          <w:lang w:val="ru-MD"/>
        </w:rPr>
        <w:t>и</w:t>
      </w:r>
      <w:r w:rsidRPr="00491756">
        <w:rPr>
          <w:rFonts w:asciiTheme="majorHAnsi" w:hAnsiTheme="majorHAnsi" w:cstheme="majorHAnsi"/>
          <w:sz w:val="24"/>
          <w:szCs w:val="24"/>
          <w:lang w:val="ru-MD"/>
        </w:rPr>
        <w:t xml:space="preserve"> Национального банка Молдовы</w:t>
      </w:r>
      <w:r w:rsidR="00D92602" w:rsidRPr="00491756">
        <w:rPr>
          <w:rStyle w:val="FootnoteReference"/>
          <w:rFonts w:asciiTheme="majorHAnsi" w:hAnsiTheme="majorHAnsi" w:cstheme="majorHAnsi"/>
          <w:sz w:val="24"/>
          <w:szCs w:val="24"/>
          <w:lang w:val="ru-MD"/>
        </w:rPr>
        <w:footnoteReference w:id="14"/>
      </w:r>
      <w:r w:rsidRPr="00491756">
        <w:rPr>
          <w:rFonts w:asciiTheme="majorHAnsi" w:hAnsiTheme="majorHAnsi" w:cstheme="majorHAnsi"/>
          <w:sz w:val="24"/>
          <w:szCs w:val="24"/>
          <w:lang w:val="ru-MD"/>
        </w:rPr>
        <w:t xml:space="preserve">, что повлияло на рост таможенной стоимости товаров и услуг, </w:t>
      </w:r>
      <w:r w:rsidR="00491756" w:rsidRPr="00491756">
        <w:rPr>
          <w:rFonts w:asciiTheme="majorHAnsi" w:hAnsiTheme="majorHAnsi" w:cstheme="majorHAnsi"/>
          <w:sz w:val="24"/>
          <w:szCs w:val="24"/>
          <w:lang w:val="ru-MD"/>
        </w:rPr>
        <w:t>соответственно,</w:t>
      </w:r>
      <w:r w:rsidRPr="00491756">
        <w:rPr>
          <w:rFonts w:asciiTheme="majorHAnsi" w:hAnsiTheme="majorHAnsi" w:cstheme="majorHAnsi"/>
          <w:sz w:val="24"/>
          <w:szCs w:val="24"/>
          <w:lang w:val="ru-MD"/>
        </w:rPr>
        <w:t xml:space="preserve"> </w:t>
      </w:r>
      <w:r w:rsidR="00491756" w:rsidRPr="00491756">
        <w:rPr>
          <w:rFonts w:asciiTheme="majorHAnsi" w:hAnsiTheme="majorHAnsi" w:cstheme="majorHAnsi"/>
          <w:sz w:val="24"/>
          <w:szCs w:val="24"/>
          <w:lang w:val="ru-MD"/>
        </w:rPr>
        <w:t xml:space="preserve">взимаемых </w:t>
      </w:r>
      <w:r w:rsidRPr="00491756">
        <w:rPr>
          <w:rFonts w:asciiTheme="majorHAnsi" w:hAnsiTheme="majorHAnsi" w:cstheme="majorHAnsi"/>
          <w:sz w:val="24"/>
          <w:szCs w:val="24"/>
          <w:lang w:val="ru-MD"/>
        </w:rPr>
        <w:t>импортны</w:t>
      </w:r>
      <w:r w:rsidR="00491756" w:rsidRPr="00491756">
        <w:rPr>
          <w:rFonts w:asciiTheme="majorHAnsi" w:hAnsiTheme="majorHAnsi" w:cstheme="majorHAnsi"/>
          <w:sz w:val="24"/>
          <w:szCs w:val="24"/>
          <w:lang w:val="ru-MD"/>
        </w:rPr>
        <w:t>х</w:t>
      </w:r>
      <w:r w:rsidRPr="00491756">
        <w:rPr>
          <w:rFonts w:asciiTheme="majorHAnsi" w:hAnsiTheme="majorHAnsi" w:cstheme="majorHAnsi"/>
          <w:sz w:val="24"/>
          <w:szCs w:val="24"/>
          <w:lang w:val="ru-MD"/>
        </w:rPr>
        <w:t>/экспортны</w:t>
      </w:r>
      <w:r w:rsidR="00491756" w:rsidRPr="00491756">
        <w:rPr>
          <w:rFonts w:asciiTheme="majorHAnsi" w:hAnsiTheme="majorHAnsi" w:cstheme="majorHAnsi"/>
          <w:sz w:val="24"/>
          <w:szCs w:val="24"/>
          <w:lang w:val="ru-MD"/>
        </w:rPr>
        <w:t>х платежей</w:t>
      </w:r>
      <w:r w:rsidR="005A6A08" w:rsidRPr="00491756">
        <w:rPr>
          <w:rFonts w:asciiTheme="majorHAnsi" w:hAnsiTheme="majorHAnsi" w:cstheme="majorHAnsi"/>
          <w:sz w:val="24"/>
          <w:szCs w:val="24"/>
          <w:lang w:val="ru-MD"/>
        </w:rPr>
        <w:t>.</w:t>
      </w:r>
      <w:r w:rsidR="005A6A08" w:rsidRPr="00491756">
        <w:rPr>
          <w:rFonts w:asciiTheme="majorHAnsi" w:eastAsia="Times New Roman" w:hAnsiTheme="majorHAnsi" w:cstheme="majorHAnsi"/>
          <w:bCs/>
          <w:iCs/>
          <w:sz w:val="24"/>
          <w:szCs w:val="24"/>
          <w:lang w:val="ru-MD" w:eastAsia="ro-RO"/>
        </w:rPr>
        <w:t xml:space="preserve">  </w:t>
      </w:r>
    </w:p>
    <w:p w14:paraId="0917686C" w14:textId="7EC023A6" w:rsidR="005B3030" w:rsidRPr="00723462" w:rsidRDefault="00FF655B" w:rsidP="005B3656">
      <w:pPr>
        <w:spacing w:after="120"/>
        <w:jc w:val="both"/>
        <w:rPr>
          <w:rFonts w:asciiTheme="majorHAnsi" w:eastAsia="Times New Roman" w:hAnsiTheme="majorHAnsi" w:cstheme="majorHAnsi"/>
          <w:bCs/>
          <w:iCs/>
          <w:sz w:val="24"/>
          <w:szCs w:val="24"/>
          <w:lang w:val="ru-MD" w:eastAsia="ro-RO"/>
        </w:rPr>
      </w:pPr>
      <w:r w:rsidRPr="00491756">
        <w:rPr>
          <w:rFonts w:asciiTheme="majorHAnsi" w:eastAsia="Times New Roman" w:hAnsiTheme="majorHAnsi" w:cstheme="majorHAnsi"/>
          <w:bCs/>
          <w:iCs/>
          <w:sz w:val="24"/>
          <w:szCs w:val="24"/>
          <w:lang w:val="ru-MD" w:eastAsia="ro-RO"/>
        </w:rPr>
        <w:t>Было установлено, что Приказом ТС №197-О от 30.06.2021</w:t>
      </w:r>
      <w:r w:rsidRPr="00491756">
        <w:rPr>
          <w:rStyle w:val="FootnoteReference"/>
          <w:rFonts w:asciiTheme="majorHAnsi" w:eastAsia="Times New Roman" w:hAnsiTheme="majorHAnsi" w:cstheme="majorHAnsi"/>
          <w:bCs/>
          <w:iCs/>
          <w:sz w:val="24"/>
          <w:szCs w:val="24"/>
          <w:lang w:val="ru-MD" w:eastAsia="ro-RO"/>
        </w:rPr>
        <w:footnoteReference w:id="15"/>
      </w:r>
      <w:r w:rsidRPr="00491756">
        <w:rPr>
          <w:rFonts w:asciiTheme="majorHAnsi" w:eastAsia="Times New Roman" w:hAnsiTheme="majorHAnsi" w:cstheme="majorHAnsi"/>
          <w:bCs/>
          <w:iCs/>
          <w:sz w:val="24"/>
          <w:szCs w:val="24"/>
          <w:lang w:val="ru-MD" w:eastAsia="ro-RO"/>
        </w:rPr>
        <w:t xml:space="preserve"> были утверждены методологические рекомендации по прогнозированию доходов, администрируемых таможенной службой, однако они не были согласованы в </w:t>
      </w:r>
      <w:r w:rsidRPr="00723462">
        <w:rPr>
          <w:rFonts w:asciiTheme="majorHAnsi" w:eastAsia="Times New Roman" w:hAnsiTheme="majorHAnsi" w:cstheme="majorHAnsi"/>
          <w:bCs/>
          <w:iCs/>
          <w:sz w:val="24"/>
          <w:szCs w:val="24"/>
          <w:lang w:val="ru-MD" w:eastAsia="ro-RO"/>
        </w:rPr>
        <w:t>установленном порядке</w:t>
      </w:r>
      <w:r w:rsidRPr="00723462">
        <w:rPr>
          <w:rStyle w:val="FootnoteReference"/>
          <w:rFonts w:asciiTheme="majorHAnsi" w:eastAsia="Times New Roman" w:hAnsiTheme="majorHAnsi" w:cstheme="majorHAnsi"/>
          <w:bCs/>
          <w:iCs/>
          <w:sz w:val="24"/>
          <w:szCs w:val="24"/>
          <w:lang w:val="ru-MD" w:eastAsia="ro-RO"/>
        </w:rPr>
        <w:footnoteReference w:id="16"/>
      </w:r>
      <w:r w:rsidRPr="00723462">
        <w:rPr>
          <w:rFonts w:asciiTheme="majorHAnsi" w:eastAsia="Times New Roman" w:hAnsiTheme="majorHAnsi" w:cstheme="majorHAnsi"/>
          <w:bCs/>
          <w:iCs/>
          <w:sz w:val="24"/>
          <w:szCs w:val="24"/>
          <w:lang w:val="ru-MD" w:eastAsia="ro-RO"/>
        </w:rPr>
        <w:t xml:space="preserve"> с Министерством финансов, ответственным за разработку и продвижение таможенной политики государства, прогнозирование таможенных доходов</w:t>
      </w:r>
      <w:r w:rsidR="00AA63E3" w:rsidRPr="00723462">
        <w:rPr>
          <w:rFonts w:asciiTheme="majorHAnsi" w:eastAsia="Times New Roman" w:hAnsiTheme="majorHAnsi" w:cstheme="majorHAnsi"/>
          <w:bCs/>
          <w:iCs/>
          <w:sz w:val="24"/>
          <w:szCs w:val="24"/>
          <w:lang w:val="ru-MD" w:eastAsia="ro-RO"/>
        </w:rPr>
        <w:t>.</w:t>
      </w:r>
      <w:r w:rsidR="005B3030" w:rsidRPr="00723462">
        <w:rPr>
          <w:rFonts w:asciiTheme="majorHAnsi" w:eastAsia="Times New Roman" w:hAnsiTheme="majorHAnsi" w:cstheme="majorHAnsi"/>
          <w:bCs/>
          <w:iCs/>
          <w:sz w:val="24"/>
          <w:szCs w:val="24"/>
          <w:lang w:val="ru-MD" w:eastAsia="ro-RO"/>
        </w:rPr>
        <w:t xml:space="preserve"> </w:t>
      </w:r>
    </w:p>
    <w:p w14:paraId="620D9B20" w14:textId="0E28F7DB" w:rsidR="00DD258D" w:rsidRPr="00723462" w:rsidRDefault="00917886" w:rsidP="00917886">
      <w:pPr>
        <w:pStyle w:val="ListParagraph"/>
        <w:numPr>
          <w:ilvl w:val="2"/>
          <w:numId w:val="3"/>
        </w:numPr>
        <w:tabs>
          <w:tab w:val="left" w:pos="1134"/>
        </w:tabs>
        <w:spacing w:after="120"/>
        <w:ind w:left="0" w:firstLine="709"/>
        <w:jc w:val="both"/>
        <w:outlineLvl w:val="2"/>
        <w:rPr>
          <w:rFonts w:asciiTheme="majorHAnsi" w:hAnsiTheme="majorHAnsi" w:cstheme="majorHAnsi"/>
          <w:b/>
          <w:sz w:val="24"/>
          <w:szCs w:val="24"/>
          <w:lang w:val="ru-MD" w:eastAsia="ru-RU"/>
        </w:rPr>
      </w:pPr>
      <w:bookmarkStart w:id="47" w:name="_Toc127129402"/>
      <w:r w:rsidRPr="00723462">
        <w:rPr>
          <w:rFonts w:asciiTheme="majorHAnsi" w:hAnsiTheme="majorHAnsi" w:cstheme="majorHAnsi"/>
          <w:b/>
          <w:sz w:val="24"/>
          <w:szCs w:val="24"/>
          <w:lang w:val="ru-MD" w:eastAsia="ru-RU"/>
        </w:rPr>
        <w:t>Уточненн</w:t>
      </w:r>
      <w:r w:rsidR="00735E01" w:rsidRPr="00723462">
        <w:rPr>
          <w:rFonts w:asciiTheme="majorHAnsi" w:hAnsiTheme="majorHAnsi" w:cstheme="majorHAnsi"/>
          <w:b/>
          <w:sz w:val="24"/>
          <w:szCs w:val="24"/>
          <w:lang w:val="ru-MD" w:eastAsia="ru-RU"/>
        </w:rPr>
        <w:t>ый</w:t>
      </w:r>
      <w:r w:rsidRPr="00723462">
        <w:rPr>
          <w:rFonts w:asciiTheme="majorHAnsi" w:hAnsiTheme="majorHAnsi" w:cstheme="majorHAnsi"/>
          <w:b/>
          <w:sz w:val="24"/>
          <w:szCs w:val="24"/>
          <w:lang w:val="ru-MD" w:eastAsia="ru-RU"/>
        </w:rPr>
        <w:t xml:space="preserve"> контрольн</w:t>
      </w:r>
      <w:r w:rsidR="00735E01" w:rsidRPr="00723462">
        <w:rPr>
          <w:rFonts w:asciiTheme="majorHAnsi" w:hAnsiTheme="majorHAnsi" w:cstheme="majorHAnsi"/>
          <w:b/>
          <w:sz w:val="24"/>
          <w:szCs w:val="24"/>
          <w:lang w:val="ru-MD" w:eastAsia="ru-RU"/>
        </w:rPr>
        <w:t>ый</w:t>
      </w:r>
      <w:r w:rsidRPr="00723462">
        <w:rPr>
          <w:rFonts w:asciiTheme="majorHAnsi" w:hAnsiTheme="majorHAnsi" w:cstheme="majorHAnsi"/>
          <w:b/>
          <w:sz w:val="24"/>
          <w:szCs w:val="24"/>
          <w:lang w:val="ru-MD" w:eastAsia="ru-RU"/>
        </w:rPr>
        <w:t xml:space="preserve"> </w:t>
      </w:r>
      <w:r w:rsidR="00735E01" w:rsidRPr="00723462">
        <w:rPr>
          <w:rFonts w:asciiTheme="majorHAnsi" w:hAnsiTheme="majorHAnsi" w:cstheme="majorHAnsi"/>
          <w:b/>
          <w:sz w:val="24"/>
          <w:szCs w:val="24"/>
          <w:lang w:val="ru-MD" w:eastAsia="ru-RU"/>
        </w:rPr>
        <w:t>показатель</w:t>
      </w:r>
      <w:r w:rsidRPr="00723462">
        <w:rPr>
          <w:rFonts w:asciiTheme="majorHAnsi" w:hAnsiTheme="majorHAnsi" w:cstheme="majorHAnsi"/>
          <w:b/>
          <w:sz w:val="24"/>
          <w:szCs w:val="24"/>
          <w:lang w:val="ru-MD" w:eastAsia="ru-RU"/>
        </w:rPr>
        <w:t xml:space="preserve"> по сбору таможенных доходов в гос</w:t>
      </w:r>
      <w:r w:rsidR="00735E01" w:rsidRPr="00723462">
        <w:rPr>
          <w:rFonts w:asciiTheme="majorHAnsi" w:hAnsiTheme="majorHAnsi" w:cstheme="majorHAnsi"/>
          <w:b/>
          <w:sz w:val="24"/>
          <w:szCs w:val="24"/>
          <w:lang w:val="ru-MD" w:eastAsia="ru-RU"/>
        </w:rPr>
        <w:t xml:space="preserve">ударственный </w:t>
      </w:r>
      <w:r w:rsidRPr="00723462">
        <w:rPr>
          <w:rFonts w:asciiTheme="majorHAnsi" w:hAnsiTheme="majorHAnsi" w:cstheme="majorHAnsi"/>
          <w:b/>
          <w:sz w:val="24"/>
          <w:szCs w:val="24"/>
          <w:lang w:val="ru-MD" w:eastAsia="ru-RU"/>
        </w:rPr>
        <w:t>бюджет был</w:t>
      </w:r>
      <w:r w:rsidR="00735E01" w:rsidRPr="00723462">
        <w:rPr>
          <w:rFonts w:asciiTheme="majorHAnsi" w:hAnsiTheme="majorHAnsi" w:cstheme="majorHAnsi"/>
          <w:b/>
          <w:sz w:val="24"/>
          <w:szCs w:val="24"/>
          <w:lang w:val="ru-MD" w:eastAsia="ru-RU"/>
        </w:rPr>
        <w:t xml:space="preserve"> реализован</w:t>
      </w:r>
      <w:r w:rsidRPr="00723462">
        <w:rPr>
          <w:rFonts w:asciiTheme="majorHAnsi" w:hAnsiTheme="majorHAnsi" w:cstheme="majorHAnsi"/>
          <w:b/>
          <w:sz w:val="24"/>
          <w:szCs w:val="24"/>
          <w:lang w:val="ru-MD" w:eastAsia="ru-RU"/>
        </w:rPr>
        <w:t>, однако тенденции за</w:t>
      </w:r>
      <w:r w:rsidR="00735E01" w:rsidRPr="00723462">
        <w:rPr>
          <w:rFonts w:asciiTheme="majorHAnsi" w:hAnsiTheme="majorHAnsi" w:cstheme="majorHAnsi"/>
          <w:b/>
          <w:sz w:val="24"/>
          <w:szCs w:val="24"/>
          <w:lang w:val="ru-MD" w:eastAsia="ru-RU"/>
        </w:rPr>
        <w:t>регистрировали</w:t>
      </w:r>
      <w:r w:rsidRPr="00723462">
        <w:rPr>
          <w:rFonts w:asciiTheme="majorHAnsi" w:hAnsiTheme="majorHAnsi" w:cstheme="majorHAnsi"/>
          <w:b/>
          <w:sz w:val="24"/>
          <w:szCs w:val="24"/>
          <w:lang w:val="ru-MD" w:eastAsia="ru-RU"/>
        </w:rPr>
        <w:t xml:space="preserve"> колебания</w:t>
      </w:r>
      <w:r w:rsidR="00735E01" w:rsidRPr="00723462">
        <w:rPr>
          <w:rFonts w:asciiTheme="majorHAnsi" w:hAnsiTheme="majorHAnsi" w:cstheme="majorHAnsi"/>
          <w:b/>
          <w:sz w:val="24"/>
          <w:szCs w:val="24"/>
          <w:lang w:val="ru-MD" w:eastAsia="ru-RU"/>
        </w:rPr>
        <w:t>, обусловленные</w:t>
      </w:r>
      <w:r w:rsidRPr="00723462">
        <w:rPr>
          <w:rFonts w:asciiTheme="majorHAnsi" w:hAnsiTheme="majorHAnsi" w:cstheme="majorHAnsi"/>
          <w:b/>
          <w:sz w:val="24"/>
          <w:szCs w:val="24"/>
          <w:lang w:val="ru-MD" w:eastAsia="ru-RU"/>
        </w:rPr>
        <w:t xml:space="preserve"> нескольким</w:t>
      </w:r>
      <w:r w:rsidR="00735E01" w:rsidRPr="00723462">
        <w:rPr>
          <w:rFonts w:asciiTheme="majorHAnsi" w:hAnsiTheme="majorHAnsi" w:cstheme="majorHAnsi"/>
          <w:b/>
          <w:sz w:val="24"/>
          <w:szCs w:val="24"/>
          <w:lang w:val="ru-MD" w:eastAsia="ru-RU"/>
        </w:rPr>
        <w:t>и</w:t>
      </w:r>
      <w:r w:rsidRPr="00723462">
        <w:rPr>
          <w:rFonts w:asciiTheme="majorHAnsi" w:hAnsiTheme="majorHAnsi" w:cstheme="majorHAnsi"/>
          <w:b/>
          <w:sz w:val="24"/>
          <w:szCs w:val="24"/>
          <w:lang w:val="ru-MD" w:eastAsia="ru-RU"/>
        </w:rPr>
        <w:t xml:space="preserve"> факторам</w:t>
      </w:r>
      <w:r w:rsidR="00735E01" w:rsidRPr="00723462">
        <w:rPr>
          <w:rFonts w:asciiTheme="majorHAnsi" w:hAnsiTheme="majorHAnsi" w:cstheme="majorHAnsi"/>
          <w:b/>
          <w:sz w:val="24"/>
          <w:szCs w:val="24"/>
          <w:lang w:val="ru-MD" w:eastAsia="ru-RU"/>
        </w:rPr>
        <w:t>и</w:t>
      </w:r>
      <w:r w:rsidR="001217A3" w:rsidRPr="00723462">
        <w:rPr>
          <w:rFonts w:asciiTheme="majorHAnsi" w:hAnsiTheme="majorHAnsi" w:cstheme="majorHAnsi"/>
          <w:b/>
          <w:sz w:val="24"/>
          <w:szCs w:val="24"/>
          <w:lang w:val="ru-MD" w:eastAsia="ru-RU"/>
        </w:rPr>
        <w:t>.</w:t>
      </w:r>
      <w:bookmarkEnd w:id="47"/>
    </w:p>
    <w:p w14:paraId="5928619A" w14:textId="7699A58A" w:rsidR="00287BF5" w:rsidRPr="00723462" w:rsidRDefault="00917886" w:rsidP="0034327B">
      <w:pPr>
        <w:spacing w:after="0"/>
        <w:jc w:val="both"/>
        <w:rPr>
          <w:rFonts w:asciiTheme="majorHAnsi" w:hAnsiTheme="majorHAnsi" w:cstheme="majorHAnsi"/>
          <w:i/>
          <w:sz w:val="20"/>
          <w:szCs w:val="20"/>
          <w:lang w:val="ru-MD"/>
        </w:rPr>
      </w:pPr>
      <w:r w:rsidRPr="00723462">
        <w:rPr>
          <w:rFonts w:asciiTheme="majorHAnsi" w:hAnsiTheme="majorHAnsi" w:cstheme="majorHAnsi"/>
          <w:sz w:val="24"/>
          <w:szCs w:val="24"/>
          <w:lang w:val="ru-MD"/>
        </w:rPr>
        <w:t>В 2020 году ТС исполнила доход</w:t>
      </w:r>
      <w:r w:rsidR="00EA0B14" w:rsidRPr="00723462">
        <w:rPr>
          <w:rFonts w:asciiTheme="majorHAnsi" w:hAnsiTheme="majorHAnsi" w:cstheme="majorHAnsi"/>
          <w:sz w:val="24"/>
          <w:szCs w:val="24"/>
          <w:lang w:val="ru-MD"/>
        </w:rPr>
        <w:t>ы</w:t>
      </w:r>
      <w:r w:rsidRPr="00723462">
        <w:rPr>
          <w:rFonts w:asciiTheme="majorHAnsi" w:hAnsiTheme="majorHAnsi" w:cstheme="majorHAnsi"/>
          <w:sz w:val="24"/>
          <w:szCs w:val="24"/>
          <w:lang w:val="ru-MD"/>
        </w:rPr>
        <w:t xml:space="preserve"> в ГБ </w:t>
      </w:r>
      <w:r w:rsidR="00EA0B14" w:rsidRPr="00723462">
        <w:rPr>
          <w:rFonts w:asciiTheme="majorHAnsi" w:hAnsiTheme="majorHAnsi" w:cstheme="majorHAnsi"/>
          <w:sz w:val="24"/>
          <w:szCs w:val="24"/>
          <w:lang w:val="ru-MD"/>
        </w:rPr>
        <w:t>на</w:t>
      </w:r>
      <w:r w:rsidRPr="00723462">
        <w:rPr>
          <w:rFonts w:asciiTheme="majorHAnsi" w:hAnsiTheme="majorHAnsi" w:cstheme="majorHAnsi"/>
          <w:sz w:val="24"/>
          <w:szCs w:val="24"/>
          <w:lang w:val="ru-MD"/>
        </w:rPr>
        <w:t xml:space="preserve"> </w:t>
      </w:r>
      <w:r w:rsidR="00EA0B14" w:rsidRPr="00723462">
        <w:rPr>
          <w:rFonts w:asciiTheme="majorHAnsi" w:hAnsiTheme="majorHAnsi" w:cstheme="majorHAnsi"/>
          <w:sz w:val="24"/>
          <w:szCs w:val="24"/>
          <w:lang w:val="ru-MD"/>
        </w:rPr>
        <w:t>сумму</w:t>
      </w:r>
      <w:r w:rsidRPr="00723462">
        <w:rPr>
          <w:rFonts w:asciiTheme="majorHAnsi" w:hAnsiTheme="majorHAnsi" w:cstheme="majorHAnsi"/>
          <w:sz w:val="24"/>
          <w:szCs w:val="24"/>
          <w:lang w:val="ru-MD"/>
        </w:rPr>
        <w:t xml:space="preserve"> 22 526,8 </w:t>
      </w:r>
      <w:r w:rsidR="00EA0B14" w:rsidRPr="00723462">
        <w:rPr>
          <w:rFonts w:asciiTheme="majorHAnsi" w:hAnsiTheme="majorHAnsi" w:cstheme="majorHAnsi"/>
          <w:sz w:val="24"/>
          <w:szCs w:val="24"/>
          <w:lang w:val="ru-MD"/>
        </w:rPr>
        <w:t>млн. леев</w:t>
      </w:r>
      <w:r w:rsidRPr="00723462">
        <w:rPr>
          <w:rFonts w:asciiTheme="majorHAnsi" w:hAnsiTheme="majorHAnsi" w:cstheme="majorHAnsi"/>
          <w:sz w:val="24"/>
          <w:szCs w:val="24"/>
          <w:lang w:val="ru-MD"/>
        </w:rPr>
        <w:t xml:space="preserve">, или на 368,1 </w:t>
      </w:r>
      <w:r w:rsidR="00EA0B14" w:rsidRPr="00723462">
        <w:rPr>
          <w:rFonts w:asciiTheme="majorHAnsi" w:hAnsiTheme="majorHAnsi" w:cstheme="majorHAnsi"/>
          <w:sz w:val="24"/>
          <w:szCs w:val="24"/>
          <w:lang w:val="ru-MD"/>
        </w:rPr>
        <w:t>млн. леев</w:t>
      </w:r>
      <w:r w:rsidRPr="00723462">
        <w:rPr>
          <w:rFonts w:asciiTheme="majorHAnsi" w:hAnsiTheme="majorHAnsi" w:cstheme="majorHAnsi"/>
          <w:sz w:val="24"/>
          <w:szCs w:val="24"/>
          <w:lang w:val="ru-MD"/>
        </w:rPr>
        <w:t xml:space="preserve"> (1,7%) больше по сравнению с у</w:t>
      </w:r>
      <w:r w:rsidR="00EA0B14" w:rsidRPr="00723462">
        <w:rPr>
          <w:rFonts w:asciiTheme="majorHAnsi" w:hAnsiTheme="majorHAnsi" w:cstheme="majorHAnsi"/>
          <w:sz w:val="24"/>
          <w:szCs w:val="24"/>
          <w:lang w:val="ru-MD"/>
        </w:rPr>
        <w:t>точне</w:t>
      </w:r>
      <w:r w:rsidRPr="00723462">
        <w:rPr>
          <w:rFonts w:asciiTheme="majorHAnsi" w:hAnsiTheme="majorHAnsi" w:cstheme="majorHAnsi"/>
          <w:sz w:val="24"/>
          <w:szCs w:val="24"/>
          <w:lang w:val="ru-MD"/>
        </w:rPr>
        <w:t xml:space="preserve">нным контрольным показателем (22 158,7 </w:t>
      </w:r>
      <w:r w:rsidR="00EA0B14" w:rsidRPr="00723462">
        <w:rPr>
          <w:rFonts w:asciiTheme="majorHAnsi" w:hAnsiTheme="majorHAnsi" w:cstheme="majorHAnsi"/>
          <w:sz w:val="24"/>
          <w:szCs w:val="24"/>
          <w:lang w:val="ru-MD"/>
        </w:rPr>
        <w:t>млн. леев</w:t>
      </w:r>
      <w:r w:rsidRPr="00723462">
        <w:rPr>
          <w:rFonts w:asciiTheme="majorHAnsi" w:hAnsiTheme="majorHAnsi" w:cstheme="majorHAnsi"/>
          <w:sz w:val="24"/>
          <w:szCs w:val="24"/>
          <w:lang w:val="ru-MD"/>
        </w:rPr>
        <w:t xml:space="preserve">), а в 2021 году </w:t>
      </w:r>
      <w:r w:rsidR="00EA0B14" w:rsidRPr="00723462">
        <w:rPr>
          <w:rFonts w:asciiTheme="majorHAnsi" w:hAnsiTheme="majorHAnsi" w:cstheme="majorHAnsi"/>
          <w:sz w:val="24"/>
          <w:szCs w:val="24"/>
          <w:lang w:val="ru-MD"/>
        </w:rPr>
        <w:t>ТС</w:t>
      </w:r>
      <w:r w:rsidRPr="00723462">
        <w:rPr>
          <w:rFonts w:asciiTheme="majorHAnsi" w:hAnsiTheme="majorHAnsi" w:cstheme="majorHAnsi"/>
          <w:sz w:val="24"/>
          <w:szCs w:val="24"/>
          <w:lang w:val="ru-MD"/>
        </w:rPr>
        <w:t xml:space="preserve"> получила доход в размере 28 553,7 млн. леев, или </w:t>
      </w:r>
      <w:r w:rsidR="00EA0B14" w:rsidRPr="00723462">
        <w:rPr>
          <w:rFonts w:asciiTheme="majorHAnsi" w:hAnsiTheme="majorHAnsi" w:cstheme="majorHAnsi"/>
          <w:sz w:val="24"/>
          <w:szCs w:val="24"/>
          <w:lang w:val="ru-MD"/>
        </w:rPr>
        <w:t xml:space="preserve">на </w:t>
      </w:r>
      <w:r w:rsidRPr="00723462">
        <w:rPr>
          <w:rFonts w:asciiTheme="majorHAnsi" w:hAnsiTheme="majorHAnsi" w:cstheme="majorHAnsi"/>
          <w:sz w:val="24"/>
          <w:szCs w:val="24"/>
          <w:lang w:val="ru-MD"/>
        </w:rPr>
        <w:t xml:space="preserve">1 466,5 </w:t>
      </w:r>
      <w:r w:rsidR="00EA0B14" w:rsidRPr="00723462">
        <w:rPr>
          <w:rFonts w:asciiTheme="majorHAnsi" w:hAnsiTheme="majorHAnsi" w:cstheme="majorHAnsi"/>
          <w:sz w:val="24"/>
          <w:szCs w:val="24"/>
          <w:lang w:val="ru-MD"/>
        </w:rPr>
        <w:t>млн. леев</w:t>
      </w:r>
      <w:r w:rsidRPr="00723462">
        <w:rPr>
          <w:rFonts w:asciiTheme="majorHAnsi" w:hAnsiTheme="majorHAnsi" w:cstheme="majorHAnsi"/>
          <w:sz w:val="24"/>
          <w:szCs w:val="24"/>
          <w:lang w:val="ru-MD"/>
        </w:rPr>
        <w:t xml:space="preserve"> (5,4%) больше по сравнению с </w:t>
      </w:r>
      <w:r w:rsidR="00EA0B14" w:rsidRPr="00723462">
        <w:rPr>
          <w:rFonts w:asciiTheme="majorHAnsi" w:hAnsiTheme="majorHAnsi" w:cstheme="majorHAnsi"/>
          <w:sz w:val="24"/>
          <w:szCs w:val="24"/>
          <w:lang w:val="ru-MD"/>
        </w:rPr>
        <w:t>уточненным</w:t>
      </w:r>
      <w:r w:rsidRPr="00723462">
        <w:rPr>
          <w:rFonts w:asciiTheme="majorHAnsi" w:hAnsiTheme="majorHAnsi" w:cstheme="majorHAnsi"/>
          <w:sz w:val="24"/>
          <w:szCs w:val="24"/>
          <w:lang w:val="ru-MD"/>
        </w:rPr>
        <w:t xml:space="preserve"> контрольным показателем (27 087,2 </w:t>
      </w:r>
      <w:r w:rsidR="00EA0B14" w:rsidRPr="00723462">
        <w:rPr>
          <w:rFonts w:asciiTheme="majorHAnsi" w:hAnsiTheme="majorHAnsi" w:cstheme="majorHAnsi"/>
          <w:sz w:val="24"/>
          <w:szCs w:val="24"/>
          <w:lang w:val="ru-MD"/>
        </w:rPr>
        <w:t>млн. леев</w:t>
      </w:r>
      <w:r w:rsidRPr="00723462">
        <w:rPr>
          <w:rFonts w:asciiTheme="majorHAnsi" w:hAnsiTheme="majorHAnsi" w:cstheme="majorHAnsi"/>
          <w:sz w:val="24"/>
          <w:szCs w:val="24"/>
          <w:lang w:val="ru-MD"/>
        </w:rPr>
        <w:t>). Аудит показ</w:t>
      </w:r>
      <w:r w:rsidR="00EA0B14" w:rsidRPr="00723462">
        <w:rPr>
          <w:rFonts w:asciiTheme="majorHAnsi" w:hAnsiTheme="majorHAnsi" w:cstheme="majorHAnsi"/>
          <w:sz w:val="24"/>
          <w:szCs w:val="24"/>
          <w:lang w:val="ru-MD"/>
        </w:rPr>
        <w:t>ал</w:t>
      </w:r>
      <w:r w:rsidRPr="00723462">
        <w:rPr>
          <w:rFonts w:asciiTheme="majorHAnsi" w:hAnsiTheme="majorHAnsi" w:cstheme="majorHAnsi"/>
          <w:sz w:val="24"/>
          <w:szCs w:val="24"/>
          <w:lang w:val="ru-MD"/>
        </w:rPr>
        <w:t>, что в эволюции наблюдается сокращение на 369,8 млн.</w:t>
      </w:r>
      <w:r w:rsidR="00EA0B14" w:rsidRPr="00723462">
        <w:rPr>
          <w:rFonts w:asciiTheme="majorHAnsi" w:hAnsiTheme="majorHAnsi" w:cstheme="majorHAnsi"/>
          <w:sz w:val="24"/>
          <w:szCs w:val="24"/>
          <w:lang w:val="ru-MD"/>
        </w:rPr>
        <w:t xml:space="preserve"> леев (1,6%) доходов, администрируемых ТС </w:t>
      </w:r>
      <w:r w:rsidRPr="00723462">
        <w:rPr>
          <w:rFonts w:asciiTheme="majorHAnsi" w:hAnsiTheme="majorHAnsi" w:cstheme="majorHAnsi"/>
          <w:sz w:val="24"/>
          <w:szCs w:val="24"/>
          <w:lang w:val="ru-MD"/>
        </w:rPr>
        <w:t xml:space="preserve">в 2020 году, по сравнению с аналогичным периодом 2019 года, а в 2021 году – увеличение таможенных доходов на 6 026,9 млн. леев (26,8%) по сравнению с 2020 годом, рост обусловлен несколькими факторами. </w:t>
      </w:r>
      <w:r w:rsidR="00EA0B14" w:rsidRPr="00723462">
        <w:rPr>
          <w:rFonts w:asciiTheme="majorHAnsi" w:hAnsiTheme="majorHAnsi" w:cstheme="majorHAnsi"/>
          <w:sz w:val="24"/>
          <w:szCs w:val="24"/>
          <w:lang w:val="ru-MD"/>
        </w:rPr>
        <w:t>Удельный вес</w:t>
      </w:r>
      <w:r w:rsidRPr="00723462">
        <w:rPr>
          <w:rFonts w:asciiTheme="majorHAnsi" w:hAnsiTheme="majorHAnsi" w:cstheme="majorHAnsi"/>
          <w:sz w:val="24"/>
          <w:szCs w:val="24"/>
          <w:lang w:val="ru-MD"/>
        </w:rPr>
        <w:t xml:space="preserve"> таможенн</w:t>
      </w:r>
      <w:r w:rsidR="00EA0B14" w:rsidRPr="00723462">
        <w:rPr>
          <w:rFonts w:asciiTheme="majorHAnsi" w:hAnsiTheme="majorHAnsi" w:cstheme="majorHAnsi"/>
          <w:sz w:val="24"/>
          <w:szCs w:val="24"/>
          <w:lang w:val="ru-MD"/>
        </w:rPr>
        <w:t>ых</w:t>
      </w:r>
      <w:r w:rsidRPr="00723462">
        <w:rPr>
          <w:rFonts w:asciiTheme="majorHAnsi" w:hAnsiTheme="majorHAnsi" w:cstheme="majorHAnsi"/>
          <w:sz w:val="24"/>
          <w:szCs w:val="24"/>
          <w:lang w:val="ru-MD"/>
        </w:rPr>
        <w:t xml:space="preserve"> доход</w:t>
      </w:r>
      <w:r w:rsidR="00EA0B14" w:rsidRPr="00723462">
        <w:rPr>
          <w:rFonts w:asciiTheme="majorHAnsi" w:hAnsiTheme="majorHAnsi" w:cstheme="majorHAnsi"/>
          <w:sz w:val="24"/>
          <w:szCs w:val="24"/>
          <w:lang w:val="ru-MD"/>
        </w:rPr>
        <w:t>ов</w:t>
      </w:r>
      <w:r w:rsidRPr="00723462">
        <w:rPr>
          <w:rFonts w:asciiTheme="majorHAnsi" w:hAnsiTheme="majorHAnsi" w:cstheme="majorHAnsi"/>
          <w:sz w:val="24"/>
          <w:szCs w:val="24"/>
          <w:lang w:val="ru-MD"/>
        </w:rPr>
        <w:t>, полученн</w:t>
      </w:r>
      <w:r w:rsidR="00EA0B14" w:rsidRPr="00723462">
        <w:rPr>
          <w:rFonts w:asciiTheme="majorHAnsi" w:hAnsiTheme="majorHAnsi" w:cstheme="majorHAnsi"/>
          <w:sz w:val="24"/>
          <w:szCs w:val="24"/>
          <w:lang w:val="ru-MD"/>
        </w:rPr>
        <w:t>ых</w:t>
      </w:r>
      <w:r w:rsidRPr="00723462">
        <w:rPr>
          <w:rFonts w:asciiTheme="majorHAnsi" w:hAnsiTheme="majorHAnsi" w:cstheme="majorHAnsi"/>
          <w:sz w:val="24"/>
          <w:szCs w:val="24"/>
          <w:lang w:val="ru-MD"/>
        </w:rPr>
        <w:t xml:space="preserve"> </w:t>
      </w:r>
      <w:r w:rsidR="00EA0B14" w:rsidRPr="00723462">
        <w:rPr>
          <w:rFonts w:asciiTheme="majorHAnsi" w:hAnsiTheme="majorHAnsi" w:cstheme="majorHAnsi"/>
          <w:sz w:val="24"/>
          <w:szCs w:val="24"/>
          <w:lang w:val="ru-MD"/>
        </w:rPr>
        <w:t>ТС</w:t>
      </w:r>
      <w:r w:rsidRPr="00723462">
        <w:rPr>
          <w:rFonts w:asciiTheme="majorHAnsi" w:hAnsiTheme="majorHAnsi" w:cstheme="majorHAnsi"/>
          <w:sz w:val="24"/>
          <w:szCs w:val="24"/>
          <w:lang w:val="ru-MD"/>
        </w:rPr>
        <w:t xml:space="preserve"> по отношению к </w:t>
      </w:r>
      <w:r w:rsidR="002F2391" w:rsidRPr="00723462">
        <w:rPr>
          <w:rFonts w:asciiTheme="majorHAnsi" w:hAnsiTheme="majorHAnsi" w:cstheme="majorHAnsi"/>
          <w:sz w:val="24"/>
          <w:szCs w:val="24"/>
          <w:lang w:val="ru-MD"/>
        </w:rPr>
        <w:t>общим</w:t>
      </w:r>
      <w:r w:rsidRPr="00723462">
        <w:rPr>
          <w:rFonts w:asciiTheme="majorHAnsi" w:hAnsiTheme="majorHAnsi" w:cstheme="majorHAnsi"/>
          <w:sz w:val="24"/>
          <w:szCs w:val="24"/>
          <w:lang w:val="ru-MD"/>
        </w:rPr>
        <w:t xml:space="preserve"> доход</w:t>
      </w:r>
      <w:r w:rsidR="002F2391" w:rsidRPr="00723462">
        <w:rPr>
          <w:rFonts w:asciiTheme="majorHAnsi" w:hAnsiTheme="majorHAnsi" w:cstheme="majorHAnsi"/>
          <w:sz w:val="24"/>
          <w:szCs w:val="24"/>
          <w:lang w:val="ru-MD"/>
        </w:rPr>
        <w:t>ам</w:t>
      </w:r>
      <w:r w:rsidRPr="00723462">
        <w:rPr>
          <w:rFonts w:asciiTheme="majorHAnsi" w:hAnsiTheme="majorHAnsi" w:cstheme="majorHAnsi"/>
          <w:sz w:val="24"/>
          <w:szCs w:val="24"/>
          <w:lang w:val="ru-MD"/>
        </w:rPr>
        <w:t xml:space="preserve"> государственного бюджета </w:t>
      </w:r>
      <w:r w:rsidR="002F2391" w:rsidRPr="00723462">
        <w:rPr>
          <w:rFonts w:asciiTheme="majorHAnsi" w:hAnsiTheme="majorHAnsi" w:cstheme="majorHAnsi"/>
          <w:sz w:val="24"/>
          <w:szCs w:val="24"/>
          <w:lang w:val="ru-MD"/>
        </w:rPr>
        <w:t>з</w:t>
      </w:r>
      <w:r w:rsidRPr="00723462">
        <w:rPr>
          <w:rFonts w:asciiTheme="majorHAnsi" w:hAnsiTheme="majorHAnsi" w:cstheme="majorHAnsi"/>
          <w:sz w:val="24"/>
          <w:szCs w:val="24"/>
          <w:lang w:val="ru-MD"/>
        </w:rPr>
        <w:t>а 2019-2021 годы, представлен на диаграмме №1</w:t>
      </w:r>
      <w:r w:rsidR="00A978C0" w:rsidRPr="00723462">
        <w:rPr>
          <w:rFonts w:asciiTheme="majorHAnsi" w:hAnsiTheme="majorHAnsi" w:cstheme="majorHAnsi"/>
          <w:sz w:val="24"/>
          <w:szCs w:val="24"/>
          <w:lang w:val="ru-MD"/>
        </w:rPr>
        <w:t>.</w:t>
      </w:r>
      <w:r w:rsidR="009D6B3E" w:rsidRPr="00723462">
        <w:rPr>
          <w:rFonts w:asciiTheme="majorHAnsi" w:hAnsiTheme="majorHAnsi" w:cstheme="majorHAnsi"/>
          <w:i/>
          <w:sz w:val="20"/>
          <w:szCs w:val="20"/>
          <w:lang w:val="ru-MD"/>
        </w:rPr>
        <w:t xml:space="preserve">                                                                                         </w:t>
      </w:r>
    </w:p>
    <w:p w14:paraId="3C2BEA84" w14:textId="27D8FABD" w:rsidR="00AC6208" w:rsidRPr="00723462" w:rsidRDefault="00BA4B7D" w:rsidP="009D6B3E">
      <w:pPr>
        <w:spacing w:after="0"/>
        <w:ind w:right="-2"/>
        <w:jc w:val="center"/>
        <w:rPr>
          <w:rFonts w:asciiTheme="majorHAnsi" w:hAnsiTheme="majorHAnsi" w:cstheme="majorHAnsi"/>
          <w:sz w:val="24"/>
          <w:szCs w:val="24"/>
          <w:lang w:val="ru-MD"/>
        </w:rPr>
      </w:pPr>
      <w:r w:rsidRPr="00723462">
        <w:rPr>
          <w:rFonts w:asciiTheme="majorHAnsi" w:hAnsiTheme="majorHAnsi" w:cstheme="majorHAnsi"/>
          <w:i/>
          <w:sz w:val="20"/>
          <w:szCs w:val="20"/>
          <w:lang w:val="ru-MD"/>
        </w:rPr>
        <w:t xml:space="preserve">                                                                                                                                                           </w:t>
      </w:r>
      <w:r w:rsidR="00287BF5" w:rsidRPr="00723462">
        <w:rPr>
          <w:rFonts w:asciiTheme="majorHAnsi" w:hAnsiTheme="majorHAnsi" w:cstheme="majorHAnsi"/>
          <w:i/>
          <w:sz w:val="20"/>
          <w:szCs w:val="20"/>
          <w:lang w:val="ru-MD"/>
        </w:rPr>
        <w:t xml:space="preserve"> </w:t>
      </w:r>
      <w:r w:rsidR="00146A62" w:rsidRPr="00723462">
        <w:rPr>
          <w:rFonts w:asciiTheme="majorHAnsi" w:hAnsiTheme="majorHAnsi" w:cstheme="majorHAnsi"/>
          <w:i/>
          <w:sz w:val="24"/>
          <w:szCs w:val="24"/>
          <w:lang w:val="ru-MD"/>
        </w:rPr>
        <w:t>Диаграмма №</w:t>
      </w:r>
      <w:r w:rsidR="000121F9" w:rsidRPr="00723462">
        <w:rPr>
          <w:rFonts w:asciiTheme="majorHAnsi" w:hAnsiTheme="majorHAnsi" w:cstheme="majorHAnsi"/>
          <w:i/>
          <w:sz w:val="24"/>
          <w:szCs w:val="24"/>
          <w:lang w:val="ru-MD"/>
        </w:rPr>
        <w:t>1</w:t>
      </w:r>
    </w:p>
    <w:p w14:paraId="7BD096FA" w14:textId="77777777" w:rsidR="00FE4DA6" w:rsidRPr="00B20FBD" w:rsidRDefault="00EB2409" w:rsidP="00EB2409">
      <w:pPr>
        <w:spacing w:after="0"/>
        <w:ind w:right="-2"/>
        <w:jc w:val="center"/>
        <w:rPr>
          <w:rFonts w:asciiTheme="majorHAnsi" w:hAnsiTheme="majorHAnsi" w:cstheme="majorHAnsi"/>
          <w:sz w:val="24"/>
          <w:szCs w:val="24"/>
          <w:lang w:val="ro-RO"/>
        </w:rPr>
      </w:pPr>
      <w:r w:rsidRPr="00B20FBD">
        <w:rPr>
          <w:rFonts w:asciiTheme="majorHAnsi" w:hAnsiTheme="majorHAnsi" w:cstheme="majorHAnsi"/>
          <w:noProof/>
          <w:lang w:val="en-US"/>
        </w:rPr>
        <w:drawing>
          <wp:inline distT="0" distB="0" distL="0" distR="0" wp14:anchorId="3697D18D" wp14:editId="169C67B9">
            <wp:extent cx="6114974" cy="2658110"/>
            <wp:effectExtent l="0" t="0" r="635" b="889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7FE4B09" w14:textId="28AE4627" w:rsidR="008925DB" w:rsidRDefault="002211F9" w:rsidP="00B3597E">
      <w:pPr>
        <w:spacing w:after="0"/>
        <w:ind w:right="-2"/>
        <w:jc w:val="both"/>
        <w:rPr>
          <w:rFonts w:asciiTheme="majorHAnsi" w:hAnsiTheme="majorHAnsi" w:cstheme="majorHAnsi"/>
          <w:sz w:val="20"/>
          <w:szCs w:val="20"/>
          <w:lang w:val="ru-MD"/>
        </w:rPr>
      </w:pPr>
      <w:r w:rsidRPr="008925DB">
        <w:rPr>
          <w:rFonts w:asciiTheme="majorHAnsi" w:hAnsiTheme="majorHAnsi" w:cstheme="majorHAnsi"/>
          <w:b/>
          <w:i/>
          <w:sz w:val="16"/>
          <w:szCs w:val="16"/>
          <w:lang w:val="ru-MD"/>
        </w:rPr>
        <w:t xml:space="preserve"> </w:t>
      </w:r>
      <w:r w:rsidR="00BB2954" w:rsidRPr="008925DB">
        <w:rPr>
          <w:rFonts w:asciiTheme="majorHAnsi" w:hAnsiTheme="majorHAnsi" w:cstheme="majorHAnsi"/>
          <w:b/>
          <w:i/>
          <w:sz w:val="16"/>
          <w:szCs w:val="16"/>
          <w:lang w:val="ru-MD"/>
        </w:rPr>
        <w:t xml:space="preserve">           </w:t>
      </w:r>
      <w:r w:rsidRPr="008925DB">
        <w:rPr>
          <w:rFonts w:asciiTheme="majorHAnsi" w:hAnsiTheme="majorHAnsi" w:cstheme="majorHAnsi"/>
          <w:b/>
          <w:i/>
          <w:sz w:val="16"/>
          <w:szCs w:val="16"/>
          <w:lang w:val="ru-MD"/>
        </w:rPr>
        <w:t xml:space="preserve"> </w:t>
      </w:r>
      <w:r w:rsidR="00146466" w:rsidRPr="008925DB">
        <w:rPr>
          <w:rFonts w:asciiTheme="majorHAnsi" w:hAnsiTheme="majorHAnsi" w:cstheme="majorHAnsi"/>
          <w:b/>
          <w:i/>
          <w:sz w:val="16"/>
          <w:szCs w:val="16"/>
          <w:lang w:val="ru-MD"/>
        </w:rPr>
        <w:t xml:space="preserve">                </w:t>
      </w:r>
      <w:r w:rsidR="00723462" w:rsidRPr="008925DB">
        <w:rPr>
          <w:rFonts w:asciiTheme="majorHAnsi" w:hAnsiTheme="majorHAnsi" w:cstheme="majorHAnsi"/>
          <w:b/>
          <w:i/>
          <w:sz w:val="20"/>
          <w:szCs w:val="20"/>
          <w:lang w:val="ru-MD"/>
        </w:rPr>
        <w:t>Источник</w:t>
      </w:r>
      <w:r w:rsidR="00B3597E" w:rsidRPr="008925DB">
        <w:rPr>
          <w:rFonts w:asciiTheme="majorHAnsi" w:hAnsiTheme="majorHAnsi" w:cstheme="majorHAnsi"/>
          <w:b/>
          <w:i/>
          <w:sz w:val="20"/>
          <w:szCs w:val="20"/>
          <w:lang w:val="ru-MD"/>
        </w:rPr>
        <w:t>:</w:t>
      </w:r>
      <w:r w:rsidR="00B3597E" w:rsidRPr="008925DB">
        <w:rPr>
          <w:rFonts w:asciiTheme="majorHAnsi" w:hAnsiTheme="majorHAnsi" w:cstheme="majorHAnsi"/>
          <w:i/>
          <w:sz w:val="20"/>
          <w:szCs w:val="20"/>
          <w:lang w:val="ru-MD"/>
        </w:rPr>
        <w:t xml:space="preserve"> </w:t>
      </w:r>
      <w:r w:rsidR="00723462" w:rsidRPr="008925DB">
        <w:rPr>
          <w:rFonts w:asciiTheme="majorHAnsi" w:hAnsiTheme="majorHAnsi" w:cstheme="majorHAnsi"/>
          <w:i/>
          <w:sz w:val="20"/>
          <w:szCs w:val="20"/>
          <w:lang w:val="ru-MD"/>
        </w:rPr>
        <w:t>Отчеты о доходах, администрируемых Таможенной службой, за 2019-2021 годы</w:t>
      </w:r>
      <w:r w:rsidR="008925DB">
        <w:rPr>
          <w:rFonts w:asciiTheme="majorHAnsi" w:hAnsiTheme="majorHAnsi" w:cstheme="majorHAnsi"/>
          <w:i/>
          <w:sz w:val="20"/>
          <w:szCs w:val="20"/>
          <w:lang w:val="ru-MD"/>
        </w:rPr>
        <w:t>.</w:t>
      </w:r>
      <w:r w:rsidR="008925DB">
        <w:rPr>
          <w:rFonts w:asciiTheme="majorHAnsi" w:hAnsiTheme="majorHAnsi" w:cstheme="majorHAnsi"/>
          <w:sz w:val="20"/>
          <w:szCs w:val="20"/>
          <w:lang w:val="ru-MD"/>
        </w:rPr>
        <w:br w:type="page"/>
      </w:r>
    </w:p>
    <w:p w14:paraId="119153C4" w14:textId="056D0F27" w:rsidR="00330B60" w:rsidRPr="008925DB" w:rsidRDefault="0038482D" w:rsidP="007F550A">
      <w:pPr>
        <w:spacing w:after="0"/>
        <w:jc w:val="both"/>
        <w:rPr>
          <w:rFonts w:asciiTheme="majorHAnsi" w:hAnsiTheme="majorHAnsi" w:cstheme="majorHAnsi"/>
          <w:b/>
          <w:i/>
          <w:sz w:val="20"/>
          <w:szCs w:val="20"/>
          <w:lang w:val="ru-MD"/>
        </w:rPr>
      </w:pPr>
      <w:r w:rsidRPr="008925DB">
        <w:rPr>
          <w:rFonts w:asciiTheme="majorHAnsi" w:hAnsiTheme="majorHAnsi" w:cstheme="majorHAnsi"/>
          <w:sz w:val="24"/>
          <w:szCs w:val="24"/>
          <w:lang w:val="ru-MD" w:eastAsia="ru-RU"/>
        </w:rPr>
        <w:t>Данные диаграммы показывают, что в 2021 году доходы, администрируемые ТС, составляли 62,2% от общего объема доходов ГБ, что на 1,6 п. п. больше по сравнению с 2020 годом и, соответственно, на 5,9 п. п. по сравнению с 2019 годом</w:t>
      </w:r>
      <w:r w:rsidR="00ED7D53" w:rsidRPr="008925DB">
        <w:rPr>
          <w:rFonts w:asciiTheme="majorHAnsi" w:hAnsiTheme="majorHAnsi" w:cstheme="majorHAnsi"/>
          <w:sz w:val="24"/>
          <w:szCs w:val="24"/>
          <w:lang w:val="ru-MD" w:eastAsia="ru-RU"/>
        </w:rPr>
        <w:t xml:space="preserve">. </w:t>
      </w:r>
      <w:r w:rsidRPr="008925DB">
        <w:rPr>
          <w:rFonts w:asciiTheme="majorHAnsi" w:hAnsiTheme="majorHAnsi" w:cstheme="majorHAnsi"/>
          <w:sz w:val="24"/>
          <w:szCs w:val="24"/>
          <w:lang w:val="ru-MD" w:eastAsia="ru-RU"/>
        </w:rPr>
        <w:t xml:space="preserve">Одновременно, таможенные доходы, накопленные в 2021 году по отношению к Валовому внутреннему продукту (205,4 млрд. леев), составили 14,0%. В аспекте типов доходов, собранных ТС в 2021 году, </w:t>
      </w:r>
      <w:r w:rsidRPr="008925DB">
        <w:rPr>
          <w:rFonts w:asciiTheme="majorHAnsi" w:eastAsia="Times New Roman" w:hAnsiTheme="majorHAnsi" w:cstheme="majorHAnsi"/>
          <w:sz w:val="24"/>
          <w:szCs w:val="24"/>
          <w:lang w:val="ru-MD" w:eastAsia="ro-RO"/>
        </w:rPr>
        <w:t>основная доля в общих доходах приходится на поступления от НДС</w:t>
      </w:r>
      <w:r w:rsidRPr="008925DB">
        <w:rPr>
          <w:rFonts w:asciiTheme="majorHAnsi" w:hAnsiTheme="majorHAnsi" w:cstheme="majorHAnsi"/>
          <w:sz w:val="24"/>
          <w:szCs w:val="24"/>
          <w:lang w:val="ru-MD" w:eastAsia="ru-RU"/>
        </w:rPr>
        <w:t xml:space="preserve"> -19 614,6 млн. леев (68,7%), за которыми следуют акцизы – 6 731,5 млн. леев (23,6%), таможенные пошлины – 1 539,1 млн. леев (5,4%), таможенные процедуры – 635,9 млн. леев (2,2%), и другие платежи – 32,6 млн. леев (0,1%). Структура доходов, собранных в государственный бюджет Таможенной службой за 2019-2021 годы, представлена в </w:t>
      </w:r>
      <w:r w:rsidR="00146A62" w:rsidRPr="008925DB">
        <w:rPr>
          <w:rFonts w:asciiTheme="majorHAnsi" w:eastAsia="Times New Roman" w:hAnsiTheme="majorHAnsi" w:cstheme="majorHAnsi"/>
          <w:sz w:val="24"/>
          <w:szCs w:val="24"/>
          <w:lang w:val="ru-MD"/>
        </w:rPr>
        <w:t>Диаграмм</w:t>
      </w:r>
      <w:r w:rsidRPr="008925DB">
        <w:rPr>
          <w:rFonts w:asciiTheme="majorHAnsi" w:eastAsia="Times New Roman" w:hAnsiTheme="majorHAnsi" w:cstheme="majorHAnsi"/>
          <w:sz w:val="24"/>
          <w:szCs w:val="24"/>
          <w:lang w:val="ru-MD"/>
        </w:rPr>
        <w:t>е</w:t>
      </w:r>
      <w:r w:rsidR="00146A62" w:rsidRPr="008925DB">
        <w:rPr>
          <w:rFonts w:asciiTheme="majorHAnsi" w:eastAsia="Times New Roman" w:hAnsiTheme="majorHAnsi" w:cstheme="majorHAnsi"/>
          <w:sz w:val="24"/>
          <w:szCs w:val="24"/>
          <w:lang w:val="ru-MD"/>
        </w:rPr>
        <w:t xml:space="preserve"> №</w:t>
      </w:r>
      <w:r w:rsidR="00662C78" w:rsidRPr="008925DB">
        <w:rPr>
          <w:rFonts w:asciiTheme="majorHAnsi" w:eastAsia="Times New Roman" w:hAnsiTheme="majorHAnsi" w:cstheme="majorHAnsi"/>
          <w:sz w:val="24"/>
          <w:szCs w:val="24"/>
          <w:lang w:val="ru-MD"/>
        </w:rPr>
        <w:t>2.</w:t>
      </w:r>
      <w:r w:rsidR="00CE3B33" w:rsidRPr="008925DB">
        <w:rPr>
          <w:rFonts w:asciiTheme="majorHAnsi" w:hAnsiTheme="majorHAnsi" w:cstheme="majorHAnsi"/>
          <w:b/>
          <w:i/>
          <w:sz w:val="20"/>
          <w:szCs w:val="20"/>
          <w:lang w:val="ru-MD"/>
        </w:rPr>
        <w:t xml:space="preserve">                                                                                                                                                     </w:t>
      </w:r>
    </w:p>
    <w:p w14:paraId="0F474239" w14:textId="59906062" w:rsidR="00662C78" w:rsidRPr="008925DB" w:rsidRDefault="00330B60" w:rsidP="00CE3B33">
      <w:pPr>
        <w:spacing w:after="0"/>
        <w:ind w:right="-2"/>
        <w:jc w:val="center"/>
        <w:rPr>
          <w:rFonts w:asciiTheme="majorHAnsi" w:eastAsia="Times New Roman" w:hAnsiTheme="majorHAnsi" w:cstheme="majorHAnsi"/>
          <w:sz w:val="24"/>
          <w:szCs w:val="24"/>
          <w:lang w:val="ru-MD"/>
        </w:rPr>
      </w:pPr>
      <w:r w:rsidRPr="008925DB">
        <w:rPr>
          <w:rFonts w:asciiTheme="majorHAnsi" w:hAnsiTheme="majorHAnsi" w:cstheme="majorHAnsi"/>
          <w:b/>
          <w:i/>
          <w:sz w:val="20"/>
          <w:szCs w:val="20"/>
          <w:lang w:val="ru-MD"/>
        </w:rPr>
        <w:t xml:space="preserve">                                                                                                                                                     </w:t>
      </w:r>
      <w:r w:rsidR="00CE3B33" w:rsidRPr="008925DB">
        <w:rPr>
          <w:rFonts w:asciiTheme="majorHAnsi" w:hAnsiTheme="majorHAnsi" w:cstheme="majorHAnsi"/>
          <w:b/>
          <w:i/>
          <w:sz w:val="20"/>
          <w:szCs w:val="20"/>
          <w:lang w:val="ru-MD"/>
        </w:rPr>
        <w:t xml:space="preserve"> </w:t>
      </w:r>
      <w:r w:rsidR="00146A62" w:rsidRPr="008925DB">
        <w:rPr>
          <w:rFonts w:asciiTheme="majorHAnsi" w:hAnsiTheme="majorHAnsi" w:cstheme="majorHAnsi"/>
          <w:i/>
          <w:sz w:val="24"/>
          <w:szCs w:val="24"/>
          <w:lang w:val="ru-MD"/>
        </w:rPr>
        <w:t>Диаграмма №</w:t>
      </w:r>
      <w:r w:rsidR="002227E9" w:rsidRPr="008925DB">
        <w:rPr>
          <w:rFonts w:asciiTheme="majorHAnsi" w:hAnsiTheme="majorHAnsi" w:cstheme="majorHAnsi"/>
          <w:i/>
          <w:sz w:val="24"/>
          <w:szCs w:val="24"/>
          <w:lang w:val="ru-MD"/>
        </w:rPr>
        <w:t>2</w:t>
      </w:r>
    </w:p>
    <w:p w14:paraId="3BC44B24" w14:textId="77777777" w:rsidR="00662C78" w:rsidRPr="00B20FBD" w:rsidRDefault="005B2B38" w:rsidP="005B2B38">
      <w:pPr>
        <w:spacing w:after="0" w:line="240" w:lineRule="auto"/>
        <w:jc w:val="center"/>
        <w:rPr>
          <w:rFonts w:asciiTheme="majorHAnsi" w:eastAsia="Times New Roman" w:hAnsiTheme="majorHAnsi" w:cstheme="majorHAnsi"/>
          <w:sz w:val="24"/>
          <w:szCs w:val="24"/>
          <w:lang w:val="ro-RO"/>
        </w:rPr>
      </w:pPr>
      <w:r w:rsidRPr="00B20FBD">
        <w:rPr>
          <w:rFonts w:asciiTheme="majorHAnsi" w:hAnsiTheme="majorHAnsi" w:cstheme="majorHAnsi"/>
          <w:noProof/>
          <w:lang w:val="en-US"/>
        </w:rPr>
        <w:drawing>
          <wp:inline distT="0" distB="0" distL="0" distR="0" wp14:anchorId="5F3E4C9E" wp14:editId="6B9CB945">
            <wp:extent cx="6331001" cy="1965960"/>
            <wp:effectExtent l="0" t="0" r="12700" b="1524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4837406" w14:textId="378D6240" w:rsidR="009109EA" w:rsidRPr="00B20FBD" w:rsidRDefault="00B64AD1" w:rsidP="008E13D8">
      <w:pPr>
        <w:pStyle w:val="10"/>
        <w:tabs>
          <w:tab w:val="left" w:pos="993"/>
        </w:tabs>
        <w:spacing w:after="0"/>
        <w:ind w:left="426" w:hanging="426"/>
        <w:rPr>
          <w:rFonts w:asciiTheme="majorHAnsi" w:hAnsiTheme="majorHAnsi" w:cstheme="majorHAnsi"/>
          <w:bCs/>
          <w:i/>
          <w:sz w:val="20"/>
          <w:szCs w:val="20"/>
          <w:lang w:val="ro-RO" w:eastAsia="ru-RU"/>
        </w:rPr>
      </w:pPr>
      <w:r w:rsidRPr="00AF06B7">
        <w:rPr>
          <w:rFonts w:asciiTheme="majorHAnsi" w:hAnsiTheme="majorHAnsi" w:cstheme="majorHAnsi"/>
          <w:b/>
          <w:bCs/>
          <w:i/>
          <w:sz w:val="20"/>
          <w:szCs w:val="20"/>
          <w:lang w:val="ru-MD" w:eastAsia="ru-RU"/>
        </w:rPr>
        <w:t xml:space="preserve">         </w:t>
      </w:r>
      <w:r w:rsidR="00723462" w:rsidRPr="00AF06B7">
        <w:rPr>
          <w:rFonts w:asciiTheme="majorHAnsi" w:hAnsiTheme="majorHAnsi" w:cstheme="majorHAnsi"/>
          <w:b/>
          <w:bCs/>
          <w:i/>
          <w:sz w:val="20"/>
          <w:szCs w:val="20"/>
          <w:lang w:val="ru-MD" w:eastAsia="ru-RU"/>
        </w:rPr>
        <w:t>Источник</w:t>
      </w:r>
      <w:r w:rsidR="009109EA" w:rsidRPr="00AF06B7">
        <w:rPr>
          <w:rFonts w:asciiTheme="majorHAnsi" w:hAnsiTheme="majorHAnsi" w:cstheme="majorHAnsi"/>
          <w:b/>
          <w:bCs/>
          <w:i/>
          <w:sz w:val="20"/>
          <w:szCs w:val="20"/>
          <w:lang w:val="ru-MD" w:eastAsia="ru-RU"/>
        </w:rPr>
        <w:t>:</w:t>
      </w:r>
      <w:r w:rsidR="009109EA" w:rsidRPr="00AF06B7">
        <w:rPr>
          <w:rFonts w:asciiTheme="majorHAnsi" w:hAnsiTheme="majorHAnsi" w:cstheme="majorHAnsi"/>
          <w:bCs/>
          <w:i/>
          <w:sz w:val="20"/>
          <w:szCs w:val="20"/>
          <w:lang w:val="ru-MD" w:eastAsia="ru-RU"/>
        </w:rPr>
        <w:t xml:space="preserve"> </w:t>
      </w:r>
      <w:r w:rsidR="00AF06B7" w:rsidRPr="00AF06B7">
        <w:rPr>
          <w:rFonts w:asciiTheme="majorHAnsi" w:hAnsiTheme="majorHAnsi" w:cstheme="majorHAnsi"/>
          <w:i/>
          <w:sz w:val="20"/>
          <w:szCs w:val="20"/>
          <w:lang w:val="ru-MD"/>
        </w:rPr>
        <w:t>Данные, обобщенные аудиторской группы на основе Годовых отчетов Таможенной службы, представленных Министерству финансов</w:t>
      </w:r>
      <w:r w:rsidR="009109EA" w:rsidRPr="00B20FBD">
        <w:rPr>
          <w:rFonts w:asciiTheme="majorHAnsi" w:hAnsiTheme="majorHAnsi" w:cstheme="majorHAnsi"/>
          <w:bCs/>
          <w:i/>
          <w:sz w:val="20"/>
          <w:szCs w:val="20"/>
          <w:lang w:val="ro-RO" w:eastAsia="ru-RU"/>
        </w:rPr>
        <w:t>.</w:t>
      </w:r>
    </w:p>
    <w:p w14:paraId="7207031C" w14:textId="77777777" w:rsidR="009109EA" w:rsidRPr="00B20FBD" w:rsidRDefault="009109EA" w:rsidP="009109EA">
      <w:pPr>
        <w:spacing w:after="0"/>
        <w:ind w:right="-2"/>
        <w:jc w:val="both"/>
        <w:rPr>
          <w:rFonts w:asciiTheme="majorHAnsi" w:hAnsiTheme="majorHAnsi" w:cstheme="majorHAnsi"/>
          <w:i/>
          <w:color w:val="000000" w:themeColor="text1"/>
          <w:sz w:val="20"/>
          <w:szCs w:val="20"/>
          <w:lang w:val="ro-RO"/>
        </w:rPr>
      </w:pPr>
    </w:p>
    <w:p w14:paraId="120F4FF9" w14:textId="28F58FCC" w:rsidR="005D6247" w:rsidRPr="000911D2" w:rsidRDefault="0031301A" w:rsidP="005D6247">
      <w:pPr>
        <w:spacing w:after="120"/>
        <w:jc w:val="both"/>
        <w:rPr>
          <w:rFonts w:asciiTheme="majorHAnsi" w:hAnsiTheme="majorHAnsi" w:cstheme="majorHAnsi"/>
          <w:sz w:val="24"/>
          <w:szCs w:val="24"/>
          <w:lang w:val="ru-MD"/>
        </w:rPr>
      </w:pPr>
      <w:r w:rsidRPr="000911D2">
        <w:rPr>
          <w:rFonts w:asciiTheme="majorHAnsi" w:hAnsiTheme="majorHAnsi" w:cstheme="majorHAnsi"/>
          <w:sz w:val="24"/>
          <w:szCs w:val="24"/>
          <w:lang w:val="ru-MD"/>
        </w:rPr>
        <w:t>Отмечается, что хотя в 2020 году, по сравнению с предыдущим годом, таможенные доходы, поступившие в государственный бюджет от импорта/экспорта товаров</w:t>
      </w:r>
      <w:r w:rsidR="000911D2" w:rsidRPr="000911D2">
        <w:rPr>
          <w:rFonts w:asciiTheme="majorHAnsi" w:hAnsiTheme="majorHAnsi" w:cstheme="majorHAnsi"/>
          <w:sz w:val="24"/>
          <w:szCs w:val="24"/>
          <w:lang w:val="ru-MD"/>
        </w:rPr>
        <w:t>,</w:t>
      </w:r>
      <w:r w:rsidRPr="000911D2">
        <w:rPr>
          <w:rFonts w:asciiTheme="majorHAnsi" w:hAnsiTheme="majorHAnsi" w:cstheme="majorHAnsi"/>
          <w:sz w:val="24"/>
          <w:szCs w:val="24"/>
          <w:lang w:val="ru-MD"/>
        </w:rPr>
        <w:t xml:space="preserve"> по некоторым видам платежей увеличились на 283,3 </w:t>
      </w:r>
      <w:r w:rsidR="000911D2" w:rsidRPr="000911D2">
        <w:rPr>
          <w:rFonts w:asciiTheme="majorHAnsi" w:hAnsiTheme="majorHAnsi" w:cstheme="majorHAnsi"/>
          <w:sz w:val="24"/>
          <w:szCs w:val="24"/>
          <w:lang w:val="ru-MD"/>
        </w:rPr>
        <w:t>млн. леев, по</w:t>
      </w:r>
      <w:r w:rsidRPr="000911D2">
        <w:rPr>
          <w:rFonts w:asciiTheme="majorHAnsi" w:hAnsiTheme="majorHAnsi" w:cstheme="majorHAnsi"/>
          <w:sz w:val="24"/>
          <w:szCs w:val="24"/>
          <w:lang w:val="ru-MD"/>
        </w:rPr>
        <w:t xml:space="preserve"> други</w:t>
      </w:r>
      <w:r w:rsidR="000911D2" w:rsidRPr="000911D2">
        <w:rPr>
          <w:rFonts w:asciiTheme="majorHAnsi" w:hAnsiTheme="majorHAnsi" w:cstheme="majorHAnsi"/>
          <w:sz w:val="24"/>
          <w:szCs w:val="24"/>
          <w:lang w:val="ru-MD"/>
        </w:rPr>
        <w:t>м</w:t>
      </w:r>
      <w:r w:rsidRPr="000911D2">
        <w:rPr>
          <w:rFonts w:asciiTheme="majorHAnsi" w:hAnsiTheme="majorHAnsi" w:cstheme="majorHAnsi"/>
          <w:sz w:val="24"/>
          <w:szCs w:val="24"/>
          <w:lang w:val="ru-MD"/>
        </w:rPr>
        <w:t xml:space="preserve"> вид</w:t>
      </w:r>
      <w:r w:rsidR="000911D2" w:rsidRPr="000911D2">
        <w:rPr>
          <w:rFonts w:asciiTheme="majorHAnsi" w:hAnsiTheme="majorHAnsi" w:cstheme="majorHAnsi"/>
          <w:sz w:val="24"/>
          <w:szCs w:val="24"/>
          <w:lang w:val="ru-MD"/>
        </w:rPr>
        <w:t>ам</w:t>
      </w:r>
      <w:r w:rsidRPr="000911D2">
        <w:rPr>
          <w:rFonts w:asciiTheme="majorHAnsi" w:hAnsiTheme="majorHAnsi" w:cstheme="majorHAnsi"/>
          <w:sz w:val="24"/>
          <w:szCs w:val="24"/>
          <w:lang w:val="ru-MD"/>
        </w:rPr>
        <w:t xml:space="preserve"> платежей сократил</w:t>
      </w:r>
      <w:r w:rsidR="000911D2" w:rsidRPr="000911D2">
        <w:rPr>
          <w:rFonts w:asciiTheme="majorHAnsi" w:hAnsiTheme="majorHAnsi" w:cstheme="majorHAnsi"/>
          <w:sz w:val="24"/>
          <w:szCs w:val="24"/>
          <w:lang w:val="ru-MD"/>
        </w:rPr>
        <w:t>ись</w:t>
      </w:r>
      <w:r w:rsidRPr="000911D2">
        <w:rPr>
          <w:rFonts w:asciiTheme="majorHAnsi" w:hAnsiTheme="majorHAnsi" w:cstheme="majorHAnsi"/>
          <w:sz w:val="24"/>
          <w:szCs w:val="24"/>
          <w:lang w:val="ru-MD"/>
        </w:rPr>
        <w:t xml:space="preserve"> на 653,1 млн. леев, соотношение импорт</w:t>
      </w:r>
      <w:r w:rsidR="000911D2" w:rsidRPr="000911D2">
        <w:rPr>
          <w:rFonts w:asciiTheme="majorHAnsi" w:hAnsiTheme="majorHAnsi" w:cstheme="majorHAnsi"/>
          <w:sz w:val="24"/>
          <w:szCs w:val="24"/>
          <w:lang w:val="ru-MD"/>
        </w:rPr>
        <w:t>н</w:t>
      </w:r>
      <w:r w:rsidR="007B6650">
        <w:rPr>
          <w:rFonts w:asciiTheme="majorHAnsi" w:hAnsiTheme="majorHAnsi" w:cstheme="majorHAnsi"/>
          <w:sz w:val="24"/>
          <w:szCs w:val="24"/>
          <w:lang w:val="ru-MD"/>
        </w:rPr>
        <w:t>ых</w:t>
      </w:r>
      <w:r w:rsidRPr="000911D2">
        <w:rPr>
          <w:rFonts w:asciiTheme="majorHAnsi" w:hAnsiTheme="majorHAnsi" w:cstheme="majorHAnsi"/>
          <w:sz w:val="24"/>
          <w:szCs w:val="24"/>
          <w:lang w:val="ru-MD"/>
        </w:rPr>
        <w:t>/экспорт</w:t>
      </w:r>
      <w:r w:rsidR="000911D2" w:rsidRPr="000911D2">
        <w:rPr>
          <w:rFonts w:asciiTheme="majorHAnsi" w:hAnsiTheme="majorHAnsi" w:cstheme="majorHAnsi"/>
          <w:sz w:val="24"/>
          <w:szCs w:val="24"/>
          <w:lang w:val="ru-MD"/>
        </w:rPr>
        <w:t>ных платежей</w:t>
      </w:r>
      <w:r w:rsidRPr="000911D2">
        <w:rPr>
          <w:rFonts w:asciiTheme="majorHAnsi" w:hAnsiTheme="majorHAnsi" w:cstheme="majorHAnsi"/>
          <w:sz w:val="24"/>
          <w:szCs w:val="24"/>
          <w:lang w:val="ru-MD"/>
        </w:rPr>
        <w:t xml:space="preserve"> в целом было отрицательным, составив -369,8 </w:t>
      </w:r>
      <w:r w:rsidR="000911D2" w:rsidRPr="000911D2">
        <w:rPr>
          <w:rFonts w:asciiTheme="majorHAnsi" w:hAnsiTheme="majorHAnsi" w:cstheme="majorHAnsi"/>
          <w:sz w:val="24"/>
          <w:szCs w:val="24"/>
          <w:lang w:val="ru-MD"/>
        </w:rPr>
        <w:t>млн. леев</w:t>
      </w:r>
      <w:r w:rsidRPr="000911D2">
        <w:rPr>
          <w:rFonts w:asciiTheme="majorHAnsi" w:hAnsiTheme="majorHAnsi" w:cstheme="majorHAnsi"/>
          <w:sz w:val="24"/>
          <w:szCs w:val="24"/>
          <w:lang w:val="ru-MD"/>
        </w:rPr>
        <w:t xml:space="preserve">. Так, НДС снизился на 540,2 </w:t>
      </w:r>
      <w:r w:rsidR="000911D2" w:rsidRPr="000911D2">
        <w:rPr>
          <w:rFonts w:asciiTheme="majorHAnsi" w:hAnsiTheme="majorHAnsi" w:cstheme="majorHAnsi"/>
          <w:sz w:val="24"/>
          <w:szCs w:val="24"/>
          <w:lang w:val="ru-MD"/>
        </w:rPr>
        <w:t>млн. леев</w:t>
      </w:r>
      <w:r w:rsidRPr="000911D2">
        <w:rPr>
          <w:rFonts w:asciiTheme="majorHAnsi" w:hAnsiTheme="majorHAnsi" w:cstheme="majorHAnsi"/>
          <w:sz w:val="24"/>
          <w:szCs w:val="24"/>
          <w:lang w:val="ru-MD"/>
        </w:rPr>
        <w:t xml:space="preserve">, таможенная пошлина – на 5,7 млн. леев, </w:t>
      </w:r>
      <w:r w:rsidR="000911D2" w:rsidRPr="000911D2">
        <w:rPr>
          <w:rFonts w:asciiTheme="majorHAnsi" w:hAnsiTheme="majorHAnsi" w:cstheme="majorHAnsi"/>
          <w:sz w:val="24"/>
          <w:szCs w:val="24"/>
          <w:lang w:val="ru-MD"/>
        </w:rPr>
        <w:t>сбор</w:t>
      </w:r>
      <w:r w:rsidRPr="000911D2">
        <w:rPr>
          <w:rFonts w:asciiTheme="majorHAnsi" w:hAnsiTheme="majorHAnsi" w:cstheme="majorHAnsi"/>
          <w:sz w:val="24"/>
          <w:szCs w:val="24"/>
          <w:lang w:val="ru-MD"/>
        </w:rPr>
        <w:t xml:space="preserve"> </w:t>
      </w:r>
      <w:r w:rsidR="000911D2" w:rsidRPr="000911D2">
        <w:rPr>
          <w:rFonts w:asciiTheme="majorHAnsi" w:hAnsiTheme="majorHAnsi" w:cstheme="majorHAnsi"/>
          <w:sz w:val="24"/>
          <w:szCs w:val="24"/>
          <w:lang w:val="ru-MD"/>
        </w:rPr>
        <w:t>з</w:t>
      </w:r>
      <w:r w:rsidRPr="000911D2">
        <w:rPr>
          <w:rFonts w:asciiTheme="majorHAnsi" w:hAnsiTheme="majorHAnsi" w:cstheme="majorHAnsi"/>
          <w:sz w:val="24"/>
          <w:szCs w:val="24"/>
          <w:lang w:val="ru-MD"/>
        </w:rPr>
        <w:t xml:space="preserve">а таможенные процедуры – на 36,4 млн. леев, штрафы, наложенные </w:t>
      </w:r>
      <w:r w:rsidR="000911D2" w:rsidRPr="000911D2">
        <w:rPr>
          <w:rFonts w:asciiTheme="majorHAnsi" w:hAnsiTheme="majorHAnsi" w:cstheme="majorHAnsi"/>
          <w:sz w:val="24"/>
          <w:szCs w:val="24"/>
          <w:lang w:val="ru-MD"/>
        </w:rPr>
        <w:t>ТС</w:t>
      </w:r>
      <w:r w:rsidRPr="000911D2">
        <w:rPr>
          <w:rFonts w:asciiTheme="majorHAnsi" w:hAnsiTheme="majorHAnsi" w:cstheme="majorHAnsi"/>
          <w:sz w:val="24"/>
          <w:szCs w:val="24"/>
          <w:lang w:val="ru-MD"/>
        </w:rPr>
        <w:t xml:space="preserve"> – на 5,0 млн. леев, </w:t>
      </w:r>
      <w:r w:rsidR="000911D2" w:rsidRPr="000911D2">
        <w:rPr>
          <w:rFonts w:asciiTheme="majorHAnsi" w:hAnsiTheme="majorHAnsi" w:cstheme="majorHAnsi"/>
          <w:sz w:val="24"/>
          <w:szCs w:val="24"/>
          <w:lang w:val="ru-MD"/>
        </w:rPr>
        <w:t>и</w:t>
      </w:r>
      <w:r w:rsidRPr="000911D2">
        <w:rPr>
          <w:rFonts w:asciiTheme="majorHAnsi" w:hAnsiTheme="majorHAnsi" w:cstheme="majorHAnsi"/>
          <w:sz w:val="24"/>
          <w:szCs w:val="24"/>
          <w:lang w:val="ru-MD"/>
        </w:rPr>
        <w:t xml:space="preserve"> акцизы на 2 категории товаров уменьшились на 65,5 млн. леев, в том числе 61,7 </w:t>
      </w:r>
      <w:r w:rsidR="000911D2" w:rsidRPr="000911D2">
        <w:rPr>
          <w:rFonts w:asciiTheme="majorHAnsi" w:hAnsiTheme="majorHAnsi" w:cstheme="majorHAnsi"/>
          <w:sz w:val="24"/>
          <w:szCs w:val="24"/>
          <w:lang w:val="ru-MD"/>
        </w:rPr>
        <w:t xml:space="preserve">млн. леев </w:t>
      </w:r>
      <w:r w:rsidRPr="000911D2">
        <w:rPr>
          <w:rFonts w:asciiTheme="majorHAnsi" w:hAnsiTheme="majorHAnsi" w:cstheme="majorHAnsi"/>
          <w:sz w:val="24"/>
          <w:szCs w:val="24"/>
          <w:lang w:val="ru-MD"/>
        </w:rPr>
        <w:t>-</w:t>
      </w:r>
      <w:r w:rsidR="000911D2" w:rsidRPr="000911D2">
        <w:rPr>
          <w:rFonts w:asciiTheme="majorHAnsi" w:hAnsiTheme="majorHAnsi" w:cstheme="majorHAnsi"/>
          <w:sz w:val="24"/>
          <w:szCs w:val="24"/>
          <w:lang w:val="ru-MD"/>
        </w:rPr>
        <w:t xml:space="preserve"> </w:t>
      </w:r>
      <w:r w:rsidRPr="000911D2">
        <w:rPr>
          <w:rFonts w:asciiTheme="majorHAnsi" w:hAnsiTheme="majorHAnsi" w:cstheme="majorHAnsi"/>
          <w:sz w:val="24"/>
          <w:szCs w:val="24"/>
          <w:lang w:val="ru-MD"/>
        </w:rPr>
        <w:t xml:space="preserve">акцизы на автомобили, </w:t>
      </w:r>
      <w:r w:rsidR="000911D2" w:rsidRPr="000911D2">
        <w:rPr>
          <w:rFonts w:asciiTheme="majorHAnsi" w:hAnsiTheme="majorHAnsi" w:cstheme="majorHAnsi"/>
          <w:sz w:val="24"/>
          <w:szCs w:val="24"/>
          <w:lang w:val="ru-MD"/>
        </w:rPr>
        <w:t>в результате</w:t>
      </w:r>
      <w:r w:rsidRPr="000911D2">
        <w:rPr>
          <w:rFonts w:asciiTheme="majorHAnsi" w:hAnsiTheme="majorHAnsi" w:cstheme="majorHAnsi"/>
          <w:sz w:val="24"/>
          <w:szCs w:val="24"/>
          <w:lang w:val="ru-MD"/>
        </w:rPr>
        <w:t xml:space="preserve"> сокращения импорта на 12,0% (-3 941 автомобиль) и 3,9 </w:t>
      </w:r>
      <w:r w:rsidR="000911D2" w:rsidRPr="000911D2">
        <w:rPr>
          <w:rFonts w:asciiTheme="majorHAnsi" w:hAnsiTheme="majorHAnsi" w:cstheme="majorHAnsi"/>
          <w:sz w:val="24"/>
          <w:szCs w:val="24"/>
          <w:lang w:val="ru-MD"/>
        </w:rPr>
        <w:t xml:space="preserve">млн. леев </w:t>
      </w:r>
      <w:r w:rsidRPr="000911D2">
        <w:rPr>
          <w:rFonts w:asciiTheme="majorHAnsi" w:hAnsiTheme="majorHAnsi" w:cstheme="majorHAnsi"/>
          <w:sz w:val="24"/>
          <w:szCs w:val="24"/>
          <w:lang w:val="ru-MD"/>
        </w:rPr>
        <w:t>-</w:t>
      </w:r>
      <w:r w:rsidR="000911D2" w:rsidRPr="000911D2">
        <w:rPr>
          <w:rFonts w:asciiTheme="majorHAnsi" w:hAnsiTheme="majorHAnsi" w:cstheme="majorHAnsi"/>
          <w:sz w:val="24"/>
          <w:szCs w:val="24"/>
          <w:lang w:val="ru-MD"/>
        </w:rPr>
        <w:t xml:space="preserve"> </w:t>
      </w:r>
      <w:r w:rsidRPr="000911D2">
        <w:rPr>
          <w:rFonts w:asciiTheme="majorHAnsi" w:hAnsiTheme="majorHAnsi" w:cstheme="majorHAnsi"/>
          <w:sz w:val="24"/>
          <w:szCs w:val="24"/>
          <w:lang w:val="ru-MD"/>
        </w:rPr>
        <w:t>акцизы на импорт</w:t>
      </w:r>
      <w:r w:rsidR="000911D2" w:rsidRPr="000911D2">
        <w:rPr>
          <w:rFonts w:asciiTheme="majorHAnsi" w:hAnsiTheme="majorHAnsi" w:cstheme="majorHAnsi"/>
          <w:sz w:val="24"/>
          <w:szCs w:val="24"/>
          <w:lang w:val="ru-MD"/>
        </w:rPr>
        <w:t>ируем</w:t>
      </w:r>
      <w:r w:rsidRPr="000911D2">
        <w:rPr>
          <w:rFonts w:asciiTheme="majorHAnsi" w:hAnsiTheme="majorHAnsi" w:cstheme="majorHAnsi"/>
          <w:sz w:val="24"/>
          <w:szCs w:val="24"/>
          <w:lang w:val="ru-MD"/>
        </w:rPr>
        <w:t>ые вина</w:t>
      </w:r>
      <w:r w:rsidR="000911D2" w:rsidRPr="000911D2">
        <w:rPr>
          <w:rFonts w:asciiTheme="majorHAnsi" w:hAnsiTheme="majorHAnsi" w:cstheme="majorHAnsi"/>
          <w:sz w:val="24"/>
          <w:szCs w:val="24"/>
          <w:lang w:val="ru-MD"/>
        </w:rPr>
        <w:t>, в результате</w:t>
      </w:r>
      <w:r w:rsidRPr="000911D2">
        <w:rPr>
          <w:rFonts w:asciiTheme="majorHAnsi" w:hAnsiTheme="majorHAnsi" w:cstheme="majorHAnsi"/>
          <w:sz w:val="24"/>
          <w:szCs w:val="24"/>
          <w:lang w:val="ru-MD"/>
        </w:rPr>
        <w:t xml:space="preserve"> </w:t>
      </w:r>
      <w:r w:rsidR="000911D2" w:rsidRPr="000911D2">
        <w:rPr>
          <w:rFonts w:asciiTheme="majorHAnsi" w:hAnsiTheme="majorHAnsi" w:cstheme="majorHAnsi"/>
          <w:sz w:val="24"/>
          <w:szCs w:val="24"/>
          <w:lang w:val="ru-MD"/>
        </w:rPr>
        <w:t>сокращения</w:t>
      </w:r>
      <w:r w:rsidRPr="000911D2">
        <w:rPr>
          <w:rFonts w:asciiTheme="majorHAnsi" w:hAnsiTheme="majorHAnsi" w:cstheme="majorHAnsi"/>
          <w:sz w:val="24"/>
          <w:szCs w:val="24"/>
          <w:lang w:val="ru-MD"/>
        </w:rPr>
        <w:t xml:space="preserve"> количества вин на 2,0% (1,6 тыс. литров). Несмотря на то, что в течение 2020 года утвержденный </w:t>
      </w:r>
      <w:r w:rsidR="000911D2" w:rsidRPr="000911D2">
        <w:rPr>
          <w:rFonts w:asciiTheme="majorHAnsi" w:hAnsiTheme="majorHAnsi" w:cstheme="majorHAnsi"/>
          <w:sz w:val="24"/>
          <w:szCs w:val="24"/>
          <w:lang w:val="ru-MD"/>
        </w:rPr>
        <w:t>ТС</w:t>
      </w:r>
      <w:r w:rsidRPr="000911D2">
        <w:rPr>
          <w:rFonts w:asciiTheme="majorHAnsi" w:hAnsiTheme="majorHAnsi" w:cstheme="majorHAnsi"/>
          <w:sz w:val="24"/>
          <w:szCs w:val="24"/>
          <w:lang w:val="ru-MD"/>
        </w:rPr>
        <w:t xml:space="preserve"> контрольный показатель доходов был пересмотрен, он не был </w:t>
      </w:r>
      <w:r w:rsidR="000911D2" w:rsidRPr="000911D2">
        <w:rPr>
          <w:rFonts w:asciiTheme="majorHAnsi" w:hAnsiTheme="majorHAnsi" w:cstheme="majorHAnsi"/>
          <w:sz w:val="24"/>
          <w:szCs w:val="24"/>
          <w:lang w:val="ru-MD"/>
        </w:rPr>
        <w:t>исполн</w:t>
      </w:r>
      <w:r w:rsidRPr="000911D2">
        <w:rPr>
          <w:rFonts w:asciiTheme="majorHAnsi" w:hAnsiTheme="majorHAnsi" w:cstheme="majorHAnsi"/>
          <w:sz w:val="24"/>
          <w:szCs w:val="24"/>
          <w:lang w:val="ru-MD"/>
        </w:rPr>
        <w:t xml:space="preserve">ен в </w:t>
      </w:r>
      <w:r w:rsidR="000911D2" w:rsidRPr="000911D2">
        <w:rPr>
          <w:rFonts w:asciiTheme="majorHAnsi" w:hAnsiTheme="majorHAnsi" w:cstheme="majorHAnsi"/>
          <w:sz w:val="24"/>
          <w:szCs w:val="24"/>
          <w:lang w:val="ru-MD"/>
        </w:rPr>
        <w:t xml:space="preserve">части </w:t>
      </w:r>
      <w:r w:rsidRPr="000911D2">
        <w:rPr>
          <w:rFonts w:asciiTheme="majorHAnsi" w:hAnsiTheme="majorHAnsi" w:cstheme="majorHAnsi"/>
          <w:sz w:val="24"/>
          <w:szCs w:val="24"/>
          <w:lang w:val="ru-MD"/>
        </w:rPr>
        <w:t>акциз</w:t>
      </w:r>
      <w:r w:rsidR="000911D2" w:rsidRPr="000911D2">
        <w:rPr>
          <w:rFonts w:asciiTheme="majorHAnsi" w:hAnsiTheme="majorHAnsi" w:cstheme="majorHAnsi"/>
          <w:sz w:val="24"/>
          <w:szCs w:val="24"/>
          <w:lang w:val="ru-MD"/>
        </w:rPr>
        <w:t>ов на</w:t>
      </w:r>
      <w:r w:rsidRPr="000911D2">
        <w:rPr>
          <w:rFonts w:asciiTheme="majorHAnsi" w:hAnsiTheme="majorHAnsi" w:cstheme="majorHAnsi"/>
          <w:sz w:val="24"/>
          <w:szCs w:val="24"/>
          <w:lang w:val="ru-MD"/>
        </w:rPr>
        <w:t xml:space="preserve"> нефтепродукт</w:t>
      </w:r>
      <w:r w:rsidR="000911D2" w:rsidRPr="000911D2">
        <w:rPr>
          <w:rFonts w:asciiTheme="majorHAnsi" w:hAnsiTheme="majorHAnsi" w:cstheme="majorHAnsi"/>
          <w:sz w:val="24"/>
          <w:szCs w:val="24"/>
          <w:lang w:val="ru-MD"/>
        </w:rPr>
        <w:t>ы</w:t>
      </w:r>
      <w:r w:rsidRPr="000911D2">
        <w:rPr>
          <w:rFonts w:asciiTheme="majorHAnsi" w:hAnsiTheme="majorHAnsi" w:cstheme="majorHAnsi"/>
          <w:sz w:val="24"/>
          <w:szCs w:val="24"/>
          <w:lang w:val="ru-MD"/>
        </w:rPr>
        <w:t xml:space="preserve"> на 7,9 </w:t>
      </w:r>
      <w:r w:rsidR="000911D2" w:rsidRPr="000911D2">
        <w:rPr>
          <w:rFonts w:asciiTheme="majorHAnsi" w:hAnsiTheme="majorHAnsi" w:cstheme="majorHAnsi"/>
          <w:sz w:val="24"/>
          <w:szCs w:val="24"/>
          <w:lang w:val="ru-MD"/>
        </w:rPr>
        <w:t>млн. леев,</w:t>
      </w:r>
      <w:r w:rsidRPr="000911D2">
        <w:rPr>
          <w:rFonts w:asciiTheme="majorHAnsi" w:hAnsiTheme="majorHAnsi" w:cstheme="majorHAnsi"/>
          <w:sz w:val="24"/>
          <w:szCs w:val="24"/>
          <w:lang w:val="ru-MD"/>
        </w:rPr>
        <w:t xml:space="preserve"> и </w:t>
      </w:r>
      <w:r w:rsidR="000911D2" w:rsidRPr="000911D2">
        <w:rPr>
          <w:rFonts w:asciiTheme="majorHAnsi" w:hAnsiTheme="majorHAnsi" w:cstheme="majorHAnsi"/>
          <w:sz w:val="24"/>
          <w:szCs w:val="24"/>
          <w:lang w:val="ru-MD"/>
        </w:rPr>
        <w:t xml:space="preserve">на </w:t>
      </w:r>
      <w:r w:rsidRPr="000911D2">
        <w:rPr>
          <w:rFonts w:asciiTheme="majorHAnsi" w:hAnsiTheme="majorHAnsi" w:cstheme="majorHAnsi"/>
          <w:sz w:val="24"/>
          <w:szCs w:val="24"/>
          <w:lang w:val="ru-MD"/>
        </w:rPr>
        <w:t xml:space="preserve">1,6 </w:t>
      </w:r>
      <w:r w:rsidR="000911D2" w:rsidRPr="000911D2">
        <w:rPr>
          <w:rFonts w:asciiTheme="majorHAnsi" w:hAnsiTheme="majorHAnsi" w:cstheme="majorHAnsi"/>
          <w:sz w:val="24"/>
          <w:szCs w:val="24"/>
          <w:lang w:val="ru-MD"/>
        </w:rPr>
        <w:t xml:space="preserve">млн. леев </w:t>
      </w:r>
      <w:r w:rsidRPr="000911D2">
        <w:rPr>
          <w:rFonts w:asciiTheme="majorHAnsi" w:hAnsiTheme="majorHAnsi" w:cstheme="majorHAnsi"/>
          <w:sz w:val="24"/>
          <w:szCs w:val="24"/>
          <w:lang w:val="ru-MD"/>
        </w:rPr>
        <w:t>-</w:t>
      </w:r>
      <w:r w:rsidR="000911D2" w:rsidRPr="000911D2">
        <w:rPr>
          <w:rFonts w:asciiTheme="majorHAnsi" w:hAnsiTheme="majorHAnsi" w:cstheme="majorHAnsi"/>
          <w:sz w:val="24"/>
          <w:szCs w:val="24"/>
          <w:lang w:val="ru-MD"/>
        </w:rPr>
        <w:t xml:space="preserve"> по</w:t>
      </w:r>
      <w:r w:rsidRPr="000911D2">
        <w:rPr>
          <w:rFonts w:asciiTheme="majorHAnsi" w:hAnsiTheme="majorHAnsi" w:cstheme="majorHAnsi"/>
          <w:sz w:val="24"/>
          <w:szCs w:val="24"/>
          <w:lang w:val="ru-MD"/>
        </w:rPr>
        <w:t xml:space="preserve"> </w:t>
      </w:r>
      <w:r w:rsidR="000911D2" w:rsidRPr="000911D2">
        <w:rPr>
          <w:rFonts w:asciiTheme="majorHAnsi" w:hAnsiTheme="majorHAnsi" w:cstheme="majorHAnsi"/>
          <w:sz w:val="24"/>
          <w:szCs w:val="24"/>
          <w:lang w:val="ru-MD"/>
        </w:rPr>
        <w:t>сбору</w:t>
      </w:r>
      <w:r w:rsidRPr="000911D2">
        <w:rPr>
          <w:rFonts w:asciiTheme="majorHAnsi" w:hAnsiTheme="majorHAnsi" w:cstheme="majorHAnsi"/>
          <w:sz w:val="24"/>
          <w:szCs w:val="24"/>
          <w:lang w:val="ru-MD"/>
        </w:rPr>
        <w:t xml:space="preserve"> за проведение таможенных процедур</w:t>
      </w:r>
      <w:r w:rsidR="00AD3EAD" w:rsidRPr="000911D2">
        <w:rPr>
          <w:rFonts w:asciiTheme="majorHAnsi" w:hAnsiTheme="majorHAnsi" w:cstheme="majorHAnsi"/>
          <w:sz w:val="24"/>
          <w:szCs w:val="24"/>
          <w:lang w:val="ru-MD"/>
        </w:rPr>
        <w:t>.</w:t>
      </w:r>
      <w:r w:rsidR="005D6247" w:rsidRPr="000911D2">
        <w:rPr>
          <w:rFonts w:asciiTheme="majorHAnsi" w:hAnsiTheme="majorHAnsi" w:cstheme="majorHAnsi"/>
          <w:sz w:val="24"/>
          <w:szCs w:val="24"/>
          <w:lang w:val="ru-MD"/>
        </w:rPr>
        <w:t xml:space="preserve"> </w:t>
      </w:r>
    </w:p>
    <w:p w14:paraId="4AC324B4" w14:textId="0043E3BB" w:rsidR="00872247" w:rsidRPr="00FC0B7C" w:rsidRDefault="0031301A" w:rsidP="003F5DB6">
      <w:pPr>
        <w:spacing w:after="0"/>
        <w:jc w:val="both"/>
        <w:rPr>
          <w:rFonts w:asciiTheme="majorHAnsi" w:eastAsia="Times New Roman" w:hAnsiTheme="majorHAnsi" w:cstheme="majorHAnsi"/>
          <w:i/>
          <w:sz w:val="24"/>
          <w:szCs w:val="24"/>
          <w:lang w:val="ru-MD"/>
        </w:rPr>
      </w:pPr>
      <w:r w:rsidRPr="00FC0B7C">
        <w:rPr>
          <w:rFonts w:asciiTheme="majorHAnsi" w:hAnsiTheme="majorHAnsi" w:cstheme="majorHAnsi"/>
          <w:sz w:val="24"/>
          <w:szCs w:val="24"/>
          <w:lang w:val="ru-MD"/>
        </w:rPr>
        <w:t>В то время как импорт</w:t>
      </w:r>
      <w:r w:rsidR="00675AD4" w:rsidRPr="00FC0B7C">
        <w:rPr>
          <w:rFonts w:asciiTheme="majorHAnsi" w:hAnsiTheme="majorHAnsi" w:cstheme="majorHAnsi"/>
          <w:sz w:val="24"/>
          <w:szCs w:val="24"/>
          <w:lang w:val="ru-MD"/>
        </w:rPr>
        <w:t>ные</w:t>
      </w:r>
      <w:r w:rsidRPr="00FC0B7C">
        <w:rPr>
          <w:rFonts w:asciiTheme="majorHAnsi" w:hAnsiTheme="majorHAnsi" w:cstheme="majorHAnsi"/>
          <w:sz w:val="24"/>
          <w:szCs w:val="24"/>
          <w:lang w:val="ru-MD"/>
        </w:rPr>
        <w:t>/экспорт</w:t>
      </w:r>
      <w:r w:rsidR="00675AD4" w:rsidRPr="00FC0B7C">
        <w:rPr>
          <w:rFonts w:asciiTheme="majorHAnsi" w:hAnsiTheme="majorHAnsi" w:cstheme="majorHAnsi"/>
          <w:sz w:val="24"/>
          <w:szCs w:val="24"/>
          <w:lang w:val="ru-MD"/>
        </w:rPr>
        <w:t>ные платежи</w:t>
      </w:r>
      <w:r w:rsidRPr="00FC0B7C">
        <w:rPr>
          <w:rFonts w:asciiTheme="majorHAnsi" w:hAnsiTheme="majorHAnsi" w:cstheme="majorHAnsi"/>
          <w:sz w:val="24"/>
          <w:szCs w:val="24"/>
          <w:lang w:val="ru-MD"/>
        </w:rPr>
        <w:t xml:space="preserve">, взимаемые в 2021 году </w:t>
      </w:r>
      <w:r w:rsidR="00675AD4" w:rsidRPr="00FC0B7C">
        <w:rPr>
          <w:rFonts w:asciiTheme="majorHAnsi" w:hAnsiTheme="majorHAnsi" w:cstheme="majorHAnsi"/>
          <w:sz w:val="24"/>
          <w:szCs w:val="24"/>
          <w:lang w:val="ru-MD"/>
        </w:rPr>
        <w:t>в</w:t>
      </w:r>
      <w:r w:rsidRPr="00FC0B7C">
        <w:rPr>
          <w:rFonts w:asciiTheme="majorHAnsi" w:hAnsiTheme="majorHAnsi" w:cstheme="majorHAnsi"/>
          <w:sz w:val="24"/>
          <w:szCs w:val="24"/>
          <w:lang w:val="ru-MD"/>
        </w:rPr>
        <w:t xml:space="preserve"> государственн</w:t>
      </w:r>
      <w:r w:rsidR="00675AD4" w:rsidRPr="00FC0B7C">
        <w:rPr>
          <w:rFonts w:asciiTheme="majorHAnsi" w:hAnsiTheme="majorHAnsi" w:cstheme="majorHAnsi"/>
          <w:sz w:val="24"/>
          <w:szCs w:val="24"/>
          <w:lang w:val="ru-MD"/>
        </w:rPr>
        <w:t>ый</w:t>
      </w:r>
      <w:r w:rsidRPr="00FC0B7C">
        <w:rPr>
          <w:rFonts w:asciiTheme="majorHAnsi" w:hAnsiTheme="majorHAnsi" w:cstheme="majorHAnsi"/>
          <w:sz w:val="24"/>
          <w:szCs w:val="24"/>
          <w:lang w:val="ru-MD"/>
        </w:rPr>
        <w:t xml:space="preserve"> бюджет </w:t>
      </w:r>
      <w:r w:rsidR="00675AD4" w:rsidRPr="00FC0B7C">
        <w:rPr>
          <w:rFonts w:asciiTheme="majorHAnsi" w:hAnsiTheme="majorHAnsi" w:cstheme="majorHAnsi"/>
          <w:sz w:val="24"/>
          <w:szCs w:val="24"/>
          <w:lang w:val="ru-MD"/>
        </w:rPr>
        <w:t>по</w:t>
      </w:r>
      <w:r w:rsidRPr="00FC0B7C">
        <w:rPr>
          <w:rFonts w:asciiTheme="majorHAnsi" w:hAnsiTheme="majorHAnsi" w:cstheme="majorHAnsi"/>
          <w:sz w:val="24"/>
          <w:szCs w:val="24"/>
          <w:lang w:val="ru-MD"/>
        </w:rPr>
        <w:t xml:space="preserve"> некоторы</w:t>
      </w:r>
      <w:r w:rsidR="00675AD4" w:rsidRPr="00FC0B7C">
        <w:rPr>
          <w:rFonts w:asciiTheme="majorHAnsi" w:hAnsiTheme="majorHAnsi" w:cstheme="majorHAnsi"/>
          <w:sz w:val="24"/>
          <w:szCs w:val="24"/>
          <w:lang w:val="ru-MD"/>
        </w:rPr>
        <w:t>м</w:t>
      </w:r>
      <w:r w:rsidRPr="00FC0B7C">
        <w:rPr>
          <w:rFonts w:asciiTheme="majorHAnsi" w:hAnsiTheme="majorHAnsi" w:cstheme="majorHAnsi"/>
          <w:sz w:val="24"/>
          <w:szCs w:val="24"/>
          <w:lang w:val="ru-MD"/>
        </w:rPr>
        <w:t xml:space="preserve"> вид</w:t>
      </w:r>
      <w:r w:rsidR="00675AD4" w:rsidRPr="00FC0B7C">
        <w:rPr>
          <w:rFonts w:asciiTheme="majorHAnsi" w:hAnsiTheme="majorHAnsi" w:cstheme="majorHAnsi"/>
          <w:sz w:val="24"/>
          <w:szCs w:val="24"/>
          <w:lang w:val="ru-MD"/>
        </w:rPr>
        <w:t>ам</w:t>
      </w:r>
      <w:r w:rsidRPr="00FC0B7C">
        <w:rPr>
          <w:rFonts w:asciiTheme="majorHAnsi" w:hAnsiTheme="majorHAnsi" w:cstheme="majorHAnsi"/>
          <w:sz w:val="24"/>
          <w:szCs w:val="24"/>
          <w:lang w:val="ru-MD"/>
        </w:rPr>
        <w:t xml:space="preserve"> платежей, по сравнению с 2020 годом,</w:t>
      </w:r>
      <w:r w:rsidR="00675AD4" w:rsidRPr="00FC0B7C">
        <w:rPr>
          <w:rFonts w:asciiTheme="majorHAnsi" w:hAnsiTheme="majorHAnsi" w:cstheme="majorHAnsi"/>
          <w:sz w:val="24"/>
          <w:szCs w:val="24"/>
          <w:lang w:val="ru-MD"/>
        </w:rPr>
        <w:t xml:space="preserve"> </w:t>
      </w:r>
      <w:r w:rsidRPr="00FC0B7C">
        <w:rPr>
          <w:rFonts w:asciiTheme="majorHAnsi" w:hAnsiTheme="majorHAnsi" w:cstheme="majorHAnsi"/>
          <w:sz w:val="24"/>
          <w:szCs w:val="24"/>
          <w:lang w:val="ru-MD"/>
        </w:rPr>
        <w:t xml:space="preserve">выросли на 6 052, 0 </w:t>
      </w:r>
      <w:r w:rsidR="000911D2" w:rsidRPr="00FC0B7C">
        <w:rPr>
          <w:rFonts w:asciiTheme="majorHAnsi" w:hAnsiTheme="majorHAnsi" w:cstheme="majorHAnsi"/>
          <w:sz w:val="24"/>
          <w:szCs w:val="24"/>
          <w:lang w:val="ru-MD"/>
        </w:rPr>
        <w:t>млн. леев</w:t>
      </w:r>
      <w:r w:rsidRPr="00FC0B7C">
        <w:rPr>
          <w:rFonts w:asciiTheme="majorHAnsi" w:hAnsiTheme="majorHAnsi" w:cstheme="majorHAnsi"/>
          <w:sz w:val="24"/>
          <w:szCs w:val="24"/>
          <w:lang w:val="ru-MD"/>
        </w:rPr>
        <w:t xml:space="preserve"> (НДС – на 4 700,4 </w:t>
      </w:r>
      <w:r w:rsidR="000911D2" w:rsidRPr="00FC0B7C">
        <w:rPr>
          <w:rFonts w:asciiTheme="majorHAnsi" w:hAnsiTheme="majorHAnsi" w:cstheme="majorHAnsi"/>
          <w:sz w:val="24"/>
          <w:szCs w:val="24"/>
          <w:lang w:val="ru-MD"/>
        </w:rPr>
        <w:t>млн. леев</w:t>
      </w:r>
      <w:r w:rsidRPr="00FC0B7C">
        <w:rPr>
          <w:rFonts w:asciiTheme="majorHAnsi" w:hAnsiTheme="majorHAnsi" w:cstheme="majorHAnsi"/>
          <w:sz w:val="24"/>
          <w:szCs w:val="24"/>
          <w:lang w:val="ru-MD"/>
        </w:rPr>
        <w:t>, акцизы</w:t>
      </w:r>
      <w:r w:rsidR="00675AD4" w:rsidRPr="00FC0B7C">
        <w:rPr>
          <w:rFonts w:asciiTheme="majorHAnsi" w:hAnsiTheme="majorHAnsi" w:cstheme="majorHAnsi"/>
          <w:sz w:val="24"/>
          <w:szCs w:val="24"/>
          <w:lang w:val="ru-MD"/>
        </w:rPr>
        <w:t xml:space="preserve"> </w:t>
      </w:r>
      <w:r w:rsidRPr="00FC0B7C">
        <w:rPr>
          <w:rFonts w:asciiTheme="majorHAnsi" w:hAnsiTheme="majorHAnsi" w:cstheme="majorHAnsi"/>
          <w:sz w:val="24"/>
          <w:szCs w:val="24"/>
          <w:lang w:val="ru-MD"/>
        </w:rPr>
        <w:t>-</w:t>
      </w:r>
      <w:r w:rsidR="00675AD4" w:rsidRPr="00FC0B7C">
        <w:rPr>
          <w:rFonts w:asciiTheme="majorHAnsi" w:hAnsiTheme="majorHAnsi" w:cstheme="majorHAnsi"/>
          <w:sz w:val="24"/>
          <w:szCs w:val="24"/>
          <w:lang w:val="ru-MD"/>
        </w:rPr>
        <w:t xml:space="preserve"> </w:t>
      </w:r>
      <w:r w:rsidRPr="00FC0B7C">
        <w:rPr>
          <w:rFonts w:asciiTheme="majorHAnsi" w:hAnsiTheme="majorHAnsi" w:cstheme="majorHAnsi"/>
          <w:sz w:val="24"/>
          <w:szCs w:val="24"/>
          <w:lang w:val="ru-MD"/>
        </w:rPr>
        <w:t>на 821,6 млн. леев</w:t>
      </w:r>
      <w:r w:rsidR="00675AD4" w:rsidRPr="00FC0B7C">
        <w:rPr>
          <w:rFonts w:asciiTheme="majorHAnsi" w:hAnsiTheme="majorHAnsi" w:cstheme="majorHAnsi"/>
          <w:sz w:val="24"/>
          <w:szCs w:val="24"/>
          <w:lang w:val="ru-MD"/>
        </w:rPr>
        <w:t>,</w:t>
      </w:r>
      <w:r w:rsidRPr="00FC0B7C">
        <w:rPr>
          <w:rFonts w:asciiTheme="majorHAnsi" w:hAnsiTheme="majorHAnsi" w:cstheme="majorHAnsi"/>
          <w:sz w:val="24"/>
          <w:szCs w:val="24"/>
          <w:lang w:val="ru-MD"/>
        </w:rPr>
        <w:t xml:space="preserve"> и Т</w:t>
      </w:r>
      <w:r w:rsidR="00675AD4" w:rsidRPr="00FC0B7C">
        <w:rPr>
          <w:rFonts w:asciiTheme="majorHAnsi" w:hAnsiTheme="majorHAnsi" w:cstheme="majorHAnsi"/>
          <w:sz w:val="24"/>
          <w:szCs w:val="24"/>
          <w:lang w:val="ru-MD"/>
        </w:rPr>
        <w:t>П</w:t>
      </w:r>
      <w:r w:rsidRPr="00FC0B7C">
        <w:rPr>
          <w:rFonts w:asciiTheme="majorHAnsi" w:hAnsiTheme="majorHAnsi" w:cstheme="majorHAnsi"/>
          <w:sz w:val="24"/>
          <w:szCs w:val="24"/>
          <w:lang w:val="ru-MD"/>
        </w:rPr>
        <w:t xml:space="preserve"> – на 347,7 млн. леев), с другой стороны, п</w:t>
      </w:r>
      <w:r w:rsidR="00675AD4" w:rsidRPr="00FC0B7C">
        <w:rPr>
          <w:rFonts w:asciiTheme="majorHAnsi" w:hAnsiTheme="majorHAnsi" w:cstheme="majorHAnsi"/>
          <w:sz w:val="24"/>
          <w:szCs w:val="24"/>
          <w:lang w:val="ru-MD"/>
        </w:rPr>
        <w:t>о</w:t>
      </w:r>
      <w:r w:rsidRPr="00FC0B7C">
        <w:rPr>
          <w:rFonts w:asciiTheme="majorHAnsi" w:hAnsiTheme="majorHAnsi" w:cstheme="majorHAnsi"/>
          <w:sz w:val="24"/>
          <w:szCs w:val="24"/>
          <w:lang w:val="ru-MD"/>
        </w:rPr>
        <w:t xml:space="preserve"> други</w:t>
      </w:r>
      <w:r w:rsidR="00675AD4" w:rsidRPr="00FC0B7C">
        <w:rPr>
          <w:rFonts w:asciiTheme="majorHAnsi" w:hAnsiTheme="majorHAnsi" w:cstheme="majorHAnsi"/>
          <w:sz w:val="24"/>
          <w:szCs w:val="24"/>
          <w:lang w:val="ru-MD"/>
        </w:rPr>
        <w:t>м</w:t>
      </w:r>
      <w:r w:rsidRPr="00FC0B7C">
        <w:rPr>
          <w:rFonts w:asciiTheme="majorHAnsi" w:hAnsiTheme="majorHAnsi" w:cstheme="majorHAnsi"/>
          <w:sz w:val="24"/>
          <w:szCs w:val="24"/>
          <w:lang w:val="ru-MD"/>
        </w:rPr>
        <w:t xml:space="preserve"> вида</w:t>
      </w:r>
      <w:r w:rsidR="00675AD4" w:rsidRPr="00FC0B7C">
        <w:rPr>
          <w:rFonts w:asciiTheme="majorHAnsi" w:hAnsiTheme="majorHAnsi" w:cstheme="majorHAnsi"/>
          <w:sz w:val="24"/>
          <w:szCs w:val="24"/>
          <w:lang w:val="ru-MD"/>
        </w:rPr>
        <w:t>м</w:t>
      </w:r>
      <w:r w:rsidRPr="00FC0B7C">
        <w:rPr>
          <w:rFonts w:asciiTheme="majorHAnsi" w:hAnsiTheme="majorHAnsi" w:cstheme="majorHAnsi"/>
          <w:sz w:val="24"/>
          <w:szCs w:val="24"/>
          <w:lang w:val="ru-MD"/>
        </w:rPr>
        <w:t xml:space="preserve"> платежей </w:t>
      </w:r>
      <w:r w:rsidR="00675AD4" w:rsidRPr="00FC0B7C">
        <w:rPr>
          <w:rFonts w:asciiTheme="majorHAnsi" w:hAnsiTheme="majorHAnsi" w:cstheme="majorHAnsi"/>
          <w:sz w:val="24"/>
          <w:szCs w:val="24"/>
          <w:lang w:val="ru-MD"/>
        </w:rPr>
        <w:t>доходы</w:t>
      </w:r>
      <w:r w:rsidRPr="00FC0B7C">
        <w:rPr>
          <w:rFonts w:asciiTheme="majorHAnsi" w:hAnsiTheme="majorHAnsi" w:cstheme="majorHAnsi"/>
          <w:sz w:val="24"/>
          <w:szCs w:val="24"/>
          <w:lang w:val="ru-MD"/>
        </w:rPr>
        <w:t xml:space="preserve"> снизилась на 25,1 </w:t>
      </w:r>
      <w:r w:rsidR="000911D2" w:rsidRPr="00FC0B7C">
        <w:rPr>
          <w:rFonts w:asciiTheme="majorHAnsi" w:hAnsiTheme="majorHAnsi" w:cstheme="majorHAnsi"/>
          <w:sz w:val="24"/>
          <w:szCs w:val="24"/>
          <w:lang w:val="ru-MD"/>
        </w:rPr>
        <w:t>млн. леев</w:t>
      </w:r>
      <w:r w:rsidRPr="00FC0B7C">
        <w:rPr>
          <w:rFonts w:asciiTheme="majorHAnsi" w:hAnsiTheme="majorHAnsi" w:cstheme="majorHAnsi"/>
          <w:sz w:val="24"/>
          <w:szCs w:val="24"/>
          <w:lang w:val="ru-MD"/>
        </w:rPr>
        <w:t xml:space="preserve"> (24,5 </w:t>
      </w:r>
      <w:r w:rsidR="000911D2" w:rsidRPr="00FC0B7C">
        <w:rPr>
          <w:rFonts w:asciiTheme="majorHAnsi" w:hAnsiTheme="majorHAnsi" w:cstheme="majorHAnsi"/>
          <w:sz w:val="24"/>
          <w:szCs w:val="24"/>
          <w:lang w:val="ru-MD"/>
        </w:rPr>
        <w:t>млн. леев</w:t>
      </w:r>
      <w:r w:rsidR="00675AD4" w:rsidRPr="00FC0B7C">
        <w:rPr>
          <w:rFonts w:asciiTheme="majorHAnsi" w:hAnsiTheme="majorHAnsi" w:cstheme="majorHAnsi"/>
          <w:sz w:val="24"/>
          <w:szCs w:val="24"/>
          <w:lang w:val="ru-MD"/>
        </w:rPr>
        <w:t xml:space="preserve"> </w:t>
      </w:r>
      <w:r w:rsidRPr="00FC0B7C">
        <w:rPr>
          <w:rFonts w:asciiTheme="majorHAnsi" w:hAnsiTheme="majorHAnsi" w:cstheme="majorHAnsi"/>
          <w:sz w:val="24"/>
          <w:szCs w:val="24"/>
          <w:lang w:val="ru-MD"/>
        </w:rPr>
        <w:t>-</w:t>
      </w:r>
      <w:r w:rsidR="00675AD4" w:rsidRPr="00FC0B7C">
        <w:rPr>
          <w:rFonts w:asciiTheme="majorHAnsi" w:hAnsiTheme="majorHAnsi" w:cstheme="majorHAnsi"/>
          <w:sz w:val="24"/>
          <w:szCs w:val="24"/>
          <w:lang w:val="ru-MD"/>
        </w:rPr>
        <w:t xml:space="preserve"> </w:t>
      </w:r>
      <w:r w:rsidRPr="00FC0B7C">
        <w:rPr>
          <w:rFonts w:asciiTheme="majorHAnsi" w:hAnsiTheme="majorHAnsi" w:cstheme="majorHAnsi"/>
          <w:sz w:val="24"/>
          <w:szCs w:val="24"/>
          <w:lang w:val="ru-MD"/>
        </w:rPr>
        <w:t>акцизы на импорт</w:t>
      </w:r>
      <w:r w:rsidR="00675AD4" w:rsidRPr="00FC0B7C">
        <w:rPr>
          <w:rFonts w:asciiTheme="majorHAnsi" w:hAnsiTheme="majorHAnsi" w:cstheme="majorHAnsi"/>
          <w:sz w:val="24"/>
          <w:szCs w:val="24"/>
          <w:lang w:val="ru-MD"/>
        </w:rPr>
        <w:t>ируем</w:t>
      </w:r>
      <w:r w:rsidRPr="00FC0B7C">
        <w:rPr>
          <w:rFonts w:asciiTheme="majorHAnsi" w:hAnsiTheme="majorHAnsi" w:cstheme="majorHAnsi"/>
          <w:sz w:val="24"/>
          <w:szCs w:val="24"/>
          <w:lang w:val="ru-MD"/>
        </w:rPr>
        <w:t>ые вина</w:t>
      </w:r>
      <w:r w:rsidR="00675AD4" w:rsidRPr="00FC0B7C">
        <w:rPr>
          <w:rFonts w:asciiTheme="majorHAnsi" w:hAnsiTheme="majorHAnsi" w:cstheme="majorHAnsi"/>
          <w:sz w:val="24"/>
          <w:szCs w:val="24"/>
          <w:lang w:val="ru-MD"/>
        </w:rPr>
        <w:t xml:space="preserve">, в результате </w:t>
      </w:r>
      <w:r w:rsidRPr="00FC0B7C">
        <w:rPr>
          <w:rFonts w:asciiTheme="majorHAnsi" w:hAnsiTheme="majorHAnsi" w:cstheme="majorHAnsi"/>
          <w:sz w:val="24"/>
          <w:szCs w:val="24"/>
          <w:lang w:val="ru-MD"/>
        </w:rPr>
        <w:t xml:space="preserve">сокращения количества вин), </w:t>
      </w:r>
      <w:r w:rsidR="00675AD4" w:rsidRPr="00FC0B7C">
        <w:rPr>
          <w:rFonts w:asciiTheme="majorHAnsi" w:hAnsiTheme="majorHAnsi" w:cstheme="majorHAnsi"/>
          <w:sz w:val="24"/>
          <w:szCs w:val="24"/>
          <w:lang w:val="ru-MD"/>
        </w:rPr>
        <w:t>однако</w:t>
      </w:r>
      <w:r w:rsidRPr="00FC0B7C">
        <w:rPr>
          <w:rFonts w:asciiTheme="majorHAnsi" w:hAnsiTheme="majorHAnsi" w:cstheme="majorHAnsi"/>
          <w:sz w:val="24"/>
          <w:szCs w:val="24"/>
          <w:lang w:val="ru-MD"/>
        </w:rPr>
        <w:t xml:space="preserve"> в целом</w:t>
      </w:r>
      <w:r w:rsidR="00675AD4" w:rsidRPr="00FC0B7C">
        <w:rPr>
          <w:rFonts w:asciiTheme="majorHAnsi" w:hAnsiTheme="majorHAnsi" w:cstheme="majorHAnsi"/>
          <w:sz w:val="24"/>
          <w:szCs w:val="24"/>
          <w:lang w:val="ru-MD"/>
        </w:rPr>
        <w:t>,</w:t>
      </w:r>
      <w:r w:rsidRPr="00FC0B7C">
        <w:rPr>
          <w:rFonts w:asciiTheme="majorHAnsi" w:hAnsiTheme="majorHAnsi" w:cstheme="majorHAnsi"/>
          <w:sz w:val="24"/>
          <w:szCs w:val="24"/>
          <w:lang w:val="ru-MD"/>
        </w:rPr>
        <w:t xml:space="preserve"> соотношение </w:t>
      </w:r>
      <w:r w:rsidR="00675AD4" w:rsidRPr="00FC0B7C">
        <w:rPr>
          <w:rFonts w:asciiTheme="majorHAnsi" w:hAnsiTheme="majorHAnsi" w:cstheme="majorHAnsi"/>
          <w:sz w:val="24"/>
          <w:szCs w:val="24"/>
          <w:lang w:val="ru-MD"/>
        </w:rPr>
        <w:t>импортных/экспортных платежей</w:t>
      </w:r>
      <w:r w:rsidRPr="00FC0B7C">
        <w:rPr>
          <w:rFonts w:asciiTheme="majorHAnsi" w:hAnsiTheme="majorHAnsi" w:cstheme="majorHAnsi"/>
          <w:sz w:val="24"/>
          <w:szCs w:val="24"/>
          <w:lang w:val="ru-MD"/>
        </w:rPr>
        <w:t xml:space="preserve"> было положительным, </w:t>
      </w:r>
      <w:r w:rsidR="00675AD4" w:rsidRPr="00FC0B7C">
        <w:rPr>
          <w:rFonts w:asciiTheme="majorHAnsi" w:hAnsiTheme="majorHAnsi" w:cstheme="majorHAnsi"/>
          <w:sz w:val="24"/>
          <w:szCs w:val="24"/>
          <w:lang w:val="ru-MD"/>
        </w:rPr>
        <w:t xml:space="preserve">и </w:t>
      </w:r>
      <w:r w:rsidRPr="00FC0B7C">
        <w:rPr>
          <w:rFonts w:asciiTheme="majorHAnsi" w:hAnsiTheme="majorHAnsi" w:cstheme="majorHAnsi"/>
          <w:sz w:val="24"/>
          <w:szCs w:val="24"/>
          <w:lang w:val="ru-MD"/>
        </w:rPr>
        <w:t>состави</w:t>
      </w:r>
      <w:r w:rsidR="00675AD4" w:rsidRPr="00FC0B7C">
        <w:rPr>
          <w:rFonts w:asciiTheme="majorHAnsi" w:hAnsiTheme="majorHAnsi" w:cstheme="majorHAnsi"/>
          <w:sz w:val="24"/>
          <w:szCs w:val="24"/>
          <w:lang w:val="ru-MD"/>
        </w:rPr>
        <w:t>ло</w:t>
      </w:r>
      <w:r w:rsidRPr="00FC0B7C">
        <w:rPr>
          <w:rFonts w:asciiTheme="majorHAnsi" w:hAnsiTheme="majorHAnsi" w:cstheme="majorHAnsi"/>
          <w:sz w:val="24"/>
          <w:szCs w:val="24"/>
          <w:lang w:val="ru-MD"/>
        </w:rPr>
        <w:t xml:space="preserve"> 6 026,9 </w:t>
      </w:r>
      <w:r w:rsidR="000911D2" w:rsidRPr="00FC0B7C">
        <w:rPr>
          <w:rFonts w:asciiTheme="majorHAnsi" w:hAnsiTheme="majorHAnsi" w:cstheme="majorHAnsi"/>
          <w:sz w:val="24"/>
          <w:szCs w:val="24"/>
          <w:lang w:val="ru-MD"/>
        </w:rPr>
        <w:t>млн. леев</w:t>
      </w:r>
      <w:r w:rsidRPr="00FC0B7C">
        <w:rPr>
          <w:rFonts w:asciiTheme="majorHAnsi" w:hAnsiTheme="majorHAnsi" w:cstheme="majorHAnsi"/>
          <w:sz w:val="24"/>
          <w:szCs w:val="24"/>
          <w:lang w:val="ru-MD"/>
        </w:rPr>
        <w:t>. Следует отметить,</w:t>
      </w:r>
      <w:r w:rsidR="00675AD4" w:rsidRPr="00FC0B7C">
        <w:rPr>
          <w:rFonts w:asciiTheme="majorHAnsi" w:hAnsiTheme="majorHAnsi" w:cstheme="majorHAnsi"/>
          <w:sz w:val="24"/>
          <w:szCs w:val="24"/>
          <w:lang w:val="ru-MD"/>
        </w:rPr>
        <w:t xml:space="preserve"> </w:t>
      </w:r>
      <w:r w:rsidRPr="00FC0B7C">
        <w:rPr>
          <w:rFonts w:asciiTheme="majorHAnsi" w:hAnsiTheme="majorHAnsi" w:cstheme="majorHAnsi"/>
          <w:sz w:val="24"/>
          <w:szCs w:val="24"/>
          <w:lang w:val="ru-MD"/>
        </w:rPr>
        <w:t>что в 2021 году</w:t>
      </w:r>
      <w:r w:rsidR="00675AD4" w:rsidRPr="00FC0B7C">
        <w:rPr>
          <w:rFonts w:asciiTheme="majorHAnsi" w:hAnsiTheme="majorHAnsi" w:cstheme="majorHAnsi"/>
          <w:sz w:val="24"/>
          <w:szCs w:val="24"/>
          <w:lang w:val="ru-MD"/>
        </w:rPr>
        <w:t xml:space="preserve">, в целом, акцизы </w:t>
      </w:r>
      <w:r w:rsidRPr="00FC0B7C">
        <w:rPr>
          <w:rFonts w:asciiTheme="majorHAnsi" w:hAnsiTheme="majorHAnsi" w:cstheme="majorHAnsi"/>
          <w:sz w:val="24"/>
          <w:szCs w:val="24"/>
          <w:lang w:val="ru-MD"/>
        </w:rPr>
        <w:t>были пере</w:t>
      </w:r>
      <w:r w:rsidR="00675AD4" w:rsidRPr="00FC0B7C">
        <w:rPr>
          <w:rFonts w:asciiTheme="majorHAnsi" w:hAnsiTheme="majorHAnsi" w:cstheme="majorHAnsi"/>
          <w:sz w:val="24"/>
          <w:szCs w:val="24"/>
          <w:lang w:val="ru-MD"/>
        </w:rPr>
        <w:t>выполне</w:t>
      </w:r>
      <w:r w:rsidRPr="00FC0B7C">
        <w:rPr>
          <w:rFonts w:asciiTheme="majorHAnsi" w:hAnsiTheme="majorHAnsi" w:cstheme="majorHAnsi"/>
          <w:sz w:val="24"/>
          <w:szCs w:val="24"/>
          <w:lang w:val="ru-MD"/>
        </w:rPr>
        <w:t>ны, однако</w:t>
      </w:r>
      <w:r w:rsidR="00675AD4" w:rsidRPr="00FC0B7C">
        <w:rPr>
          <w:rFonts w:asciiTheme="majorHAnsi" w:hAnsiTheme="majorHAnsi" w:cstheme="majorHAnsi"/>
          <w:sz w:val="24"/>
          <w:szCs w:val="24"/>
          <w:lang w:val="ru-MD"/>
        </w:rPr>
        <w:t>,</w:t>
      </w:r>
      <w:r w:rsidRPr="00FC0B7C">
        <w:rPr>
          <w:rFonts w:asciiTheme="majorHAnsi" w:hAnsiTheme="majorHAnsi" w:cstheme="majorHAnsi"/>
          <w:sz w:val="24"/>
          <w:szCs w:val="24"/>
          <w:lang w:val="ru-MD"/>
        </w:rPr>
        <w:t xml:space="preserve"> </w:t>
      </w:r>
      <w:r w:rsidR="00675AD4" w:rsidRPr="00FC0B7C">
        <w:rPr>
          <w:rFonts w:asciiTheme="majorHAnsi" w:hAnsiTheme="majorHAnsi" w:cstheme="majorHAnsi"/>
          <w:sz w:val="24"/>
          <w:szCs w:val="24"/>
          <w:lang w:val="ru-MD"/>
        </w:rPr>
        <w:t>по</w:t>
      </w:r>
      <w:r w:rsidRPr="00FC0B7C">
        <w:rPr>
          <w:rFonts w:asciiTheme="majorHAnsi" w:hAnsiTheme="majorHAnsi" w:cstheme="majorHAnsi"/>
          <w:sz w:val="24"/>
          <w:szCs w:val="24"/>
          <w:lang w:val="ru-MD"/>
        </w:rPr>
        <w:t xml:space="preserve"> импорт</w:t>
      </w:r>
      <w:r w:rsidR="00675AD4" w:rsidRPr="00FC0B7C">
        <w:rPr>
          <w:rFonts w:asciiTheme="majorHAnsi" w:hAnsiTheme="majorHAnsi" w:cstheme="majorHAnsi"/>
          <w:sz w:val="24"/>
          <w:szCs w:val="24"/>
          <w:lang w:val="ru-MD"/>
        </w:rPr>
        <w:t>ируем</w:t>
      </w:r>
      <w:r w:rsidRPr="00FC0B7C">
        <w:rPr>
          <w:rFonts w:asciiTheme="majorHAnsi" w:hAnsiTheme="majorHAnsi" w:cstheme="majorHAnsi"/>
          <w:sz w:val="24"/>
          <w:szCs w:val="24"/>
          <w:lang w:val="ru-MD"/>
        </w:rPr>
        <w:t>ы</w:t>
      </w:r>
      <w:r w:rsidR="00675AD4" w:rsidRPr="00FC0B7C">
        <w:rPr>
          <w:rFonts w:asciiTheme="majorHAnsi" w:hAnsiTheme="majorHAnsi" w:cstheme="majorHAnsi"/>
          <w:sz w:val="24"/>
          <w:szCs w:val="24"/>
          <w:lang w:val="ru-MD"/>
        </w:rPr>
        <w:t>м</w:t>
      </w:r>
      <w:r w:rsidRPr="00FC0B7C">
        <w:rPr>
          <w:rFonts w:asciiTheme="majorHAnsi" w:hAnsiTheme="majorHAnsi" w:cstheme="majorHAnsi"/>
          <w:sz w:val="24"/>
          <w:szCs w:val="24"/>
          <w:lang w:val="ru-MD"/>
        </w:rPr>
        <w:t xml:space="preserve"> табачны</w:t>
      </w:r>
      <w:r w:rsidR="00675AD4" w:rsidRPr="00FC0B7C">
        <w:rPr>
          <w:rFonts w:asciiTheme="majorHAnsi" w:hAnsiTheme="majorHAnsi" w:cstheme="majorHAnsi"/>
          <w:sz w:val="24"/>
          <w:szCs w:val="24"/>
          <w:lang w:val="ru-MD"/>
        </w:rPr>
        <w:t>м</w:t>
      </w:r>
      <w:r w:rsidRPr="00FC0B7C">
        <w:rPr>
          <w:rFonts w:asciiTheme="majorHAnsi" w:hAnsiTheme="majorHAnsi" w:cstheme="majorHAnsi"/>
          <w:sz w:val="24"/>
          <w:szCs w:val="24"/>
          <w:lang w:val="ru-MD"/>
        </w:rPr>
        <w:t xml:space="preserve"> изделия</w:t>
      </w:r>
      <w:r w:rsidR="00675AD4" w:rsidRPr="00FC0B7C">
        <w:rPr>
          <w:rFonts w:asciiTheme="majorHAnsi" w:hAnsiTheme="majorHAnsi" w:cstheme="majorHAnsi"/>
          <w:sz w:val="24"/>
          <w:szCs w:val="24"/>
          <w:lang w:val="ru-MD"/>
        </w:rPr>
        <w:t>м</w:t>
      </w:r>
      <w:r w:rsidRPr="00FC0B7C">
        <w:rPr>
          <w:rFonts w:asciiTheme="majorHAnsi" w:hAnsiTheme="majorHAnsi" w:cstheme="majorHAnsi"/>
          <w:sz w:val="24"/>
          <w:szCs w:val="24"/>
          <w:lang w:val="ru-MD"/>
        </w:rPr>
        <w:t xml:space="preserve"> </w:t>
      </w:r>
      <w:r w:rsidR="00675AD4" w:rsidRPr="00FC0B7C">
        <w:rPr>
          <w:rFonts w:asciiTheme="majorHAnsi" w:hAnsiTheme="majorHAnsi" w:cstheme="majorHAnsi"/>
          <w:sz w:val="24"/>
          <w:szCs w:val="24"/>
          <w:lang w:val="ru-MD"/>
        </w:rPr>
        <w:t xml:space="preserve">не поступили </w:t>
      </w:r>
      <w:r w:rsidRPr="00FC0B7C">
        <w:rPr>
          <w:rFonts w:asciiTheme="majorHAnsi" w:hAnsiTheme="majorHAnsi" w:cstheme="majorHAnsi"/>
          <w:sz w:val="24"/>
          <w:szCs w:val="24"/>
          <w:lang w:val="ru-MD"/>
        </w:rPr>
        <w:t xml:space="preserve">акцизы в размере 150,7 </w:t>
      </w:r>
      <w:r w:rsidR="000911D2" w:rsidRPr="00FC0B7C">
        <w:rPr>
          <w:rFonts w:asciiTheme="majorHAnsi" w:hAnsiTheme="majorHAnsi" w:cstheme="majorHAnsi"/>
          <w:sz w:val="24"/>
          <w:szCs w:val="24"/>
          <w:lang w:val="ru-MD"/>
        </w:rPr>
        <w:t>млн. леев</w:t>
      </w:r>
      <w:r w:rsidRPr="00FC0B7C">
        <w:rPr>
          <w:rFonts w:asciiTheme="majorHAnsi" w:hAnsiTheme="majorHAnsi" w:cstheme="majorHAnsi"/>
          <w:sz w:val="24"/>
          <w:szCs w:val="24"/>
          <w:lang w:val="ru-MD"/>
        </w:rPr>
        <w:t xml:space="preserve">; </w:t>
      </w:r>
      <w:r w:rsidR="00675AD4" w:rsidRPr="00FC0B7C">
        <w:rPr>
          <w:rFonts w:asciiTheme="majorHAnsi" w:hAnsiTheme="majorHAnsi" w:cstheme="majorHAnsi"/>
          <w:sz w:val="24"/>
          <w:szCs w:val="24"/>
          <w:lang w:val="ru-MD"/>
        </w:rPr>
        <w:t>по</w:t>
      </w:r>
      <w:r w:rsidRPr="00FC0B7C">
        <w:rPr>
          <w:rFonts w:asciiTheme="majorHAnsi" w:hAnsiTheme="majorHAnsi" w:cstheme="majorHAnsi"/>
          <w:sz w:val="24"/>
          <w:szCs w:val="24"/>
          <w:lang w:val="ru-MD"/>
        </w:rPr>
        <w:t xml:space="preserve"> импорт</w:t>
      </w:r>
      <w:r w:rsidR="00675AD4" w:rsidRPr="00FC0B7C">
        <w:rPr>
          <w:rFonts w:asciiTheme="majorHAnsi" w:hAnsiTheme="majorHAnsi" w:cstheme="majorHAnsi"/>
          <w:sz w:val="24"/>
          <w:szCs w:val="24"/>
          <w:lang w:val="ru-MD"/>
        </w:rPr>
        <w:t>ируемым</w:t>
      </w:r>
      <w:r w:rsidRPr="00FC0B7C">
        <w:rPr>
          <w:rFonts w:asciiTheme="majorHAnsi" w:hAnsiTheme="majorHAnsi" w:cstheme="majorHAnsi"/>
          <w:sz w:val="24"/>
          <w:szCs w:val="24"/>
          <w:lang w:val="ru-MD"/>
        </w:rPr>
        <w:t xml:space="preserve"> вина</w:t>
      </w:r>
      <w:r w:rsidR="00675AD4" w:rsidRPr="00FC0B7C">
        <w:rPr>
          <w:rFonts w:asciiTheme="majorHAnsi" w:hAnsiTheme="majorHAnsi" w:cstheme="majorHAnsi"/>
          <w:sz w:val="24"/>
          <w:szCs w:val="24"/>
          <w:lang w:val="ru-MD"/>
        </w:rPr>
        <w:t>м</w:t>
      </w:r>
      <w:r w:rsidRPr="00FC0B7C">
        <w:rPr>
          <w:rFonts w:asciiTheme="majorHAnsi" w:hAnsiTheme="majorHAnsi" w:cstheme="majorHAnsi"/>
          <w:sz w:val="24"/>
          <w:szCs w:val="24"/>
          <w:lang w:val="ru-MD"/>
        </w:rPr>
        <w:t xml:space="preserve"> – </w:t>
      </w:r>
      <w:r w:rsidR="00675AD4" w:rsidRPr="00FC0B7C">
        <w:rPr>
          <w:rFonts w:asciiTheme="majorHAnsi" w:hAnsiTheme="majorHAnsi" w:cstheme="majorHAnsi"/>
          <w:sz w:val="24"/>
          <w:szCs w:val="24"/>
          <w:lang w:val="ru-MD"/>
        </w:rPr>
        <w:t>на</w:t>
      </w:r>
      <w:r w:rsidRPr="00FC0B7C">
        <w:rPr>
          <w:rFonts w:asciiTheme="majorHAnsi" w:hAnsiTheme="majorHAnsi" w:cstheme="majorHAnsi"/>
          <w:sz w:val="24"/>
          <w:szCs w:val="24"/>
          <w:lang w:val="ru-MD"/>
        </w:rPr>
        <w:t xml:space="preserve"> </w:t>
      </w:r>
      <w:r w:rsidR="00675AD4" w:rsidRPr="00FC0B7C">
        <w:rPr>
          <w:rFonts w:asciiTheme="majorHAnsi" w:hAnsiTheme="majorHAnsi" w:cstheme="majorHAnsi"/>
          <w:sz w:val="24"/>
          <w:szCs w:val="24"/>
          <w:lang w:val="ru-MD"/>
        </w:rPr>
        <w:t xml:space="preserve">сумму </w:t>
      </w:r>
      <w:r w:rsidRPr="00FC0B7C">
        <w:rPr>
          <w:rFonts w:asciiTheme="majorHAnsi" w:hAnsiTheme="majorHAnsi" w:cstheme="majorHAnsi"/>
          <w:sz w:val="24"/>
          <w:szCs w:val="24"/>
          <w:lang w:val="ru-MD"/>
        </w:rPr>
        <w:t>3,6 млн. леев</w:t>
      </w:r>
      <w:r w:rsidR="00675AD4" w:rsidRPr="00FC0B7C">
        <w:rPr>
          <w:rFonts w:asciiTheme="majorHAnsi" w:hAnsiTheme="majorHAnsi" w:cstheme="majorHAnsi"/>
          <w:sz w:val="24"/>
          <w:szCs w:val="24"/>
          <w:lang w:val="ru-MD"/>
        </w:rPr>
        <w:t>,</w:t>
      </w:r>
      <w:r w:rsidRPr="00FC0B7C">
        <w:rPr>
          <w:rFonts w:asciiTheme="majorHAnsi" w:hAnsiTheme="majorHAnsi" w:cstheme="majorHAnsi"/>
          <w:sz w:val="24"/>
          <w:szCs w:val="24"/>
          <w:lang w:val="ru-MD"/>
        </w:rPr>
        <w:t xml:space="preserve"> и импортируемый сжиженный газ</w:t>
      </w:r>
      <w:r w:rsidR="00675AD4" w:rsidRPr="00FC0B7C">
        <w:rPr>
          <w:rFonts w:asciiTheme="majorHAnsi" w:hAnsiTheme="majorHAnsi" w:cstheme="majorHAnsi"/>
          <w:sz w:val="24"/>
          <w:szCs w:val="24"/>
          <w:lang w:val="ru-MD"/>
        </w:rPr>
        <w:t xml:space="preserve"> </w:t>
      </w:r>
      <w:r w:rsidRPr="00FC0B7C">
        <w:rPr>
          <w:rFonts w:asciiTheme="majorHAnsi" w:hAnsiTheme="majorHAnsi" w:cstheme="majorHAnsi"/>
          <w:sz w:val="24"/>
          <w:szCs w:val="24"/>
          <w:lang w:val="ru-MD"/>
        </w:rPr>
        <w:t>-</w:t>
      </w:r>
      <w:r w:rsidR="00675AD4" w:rsidRPr="00FC0B7C">
        <w:rPr>
          <w:rFonts w:asciiTheme="majorHAnsi" w:hAnsiTheme="majorHAnsi" w:cstheme="majorHAnsi"/>
          <w:sz w:val="24"/>
          <w:szCs w:val="24"/>
          <w:lang w:val="ru-MD"/>
        </w:rPr>
        <w:t xml:space="preserve"> </w:t>
      </w:r>
      <w:r w:rsidRPr="00FC0B7C">
        <w:rPr>
          <w:rFonts w:asciiTheme="majorHAnsi" w:hAnsiTheme="majorHAnsi" w:cstheme="majorHAnsi"/>
          <w:sz w:val="24"/>
          <w:szCs w:val="24"/>
          <w:lang w:val="ru-MD"/>
        </w:rPr>
        <w:t xml:space="preserve">на </w:t>
      </w:r>
      <w:r w:rsidR="00675AD4" w:rsidRPr="00FC0B7C">
        <w:rPr>
          <w:rFonts w:asciiTheme="majorHAnsi" w:hAnsiTheme="majorHAnsi" w:cstheme="majorHAnsi"/>
          <w:sz w:val="24"/>
          <w:szCs w:val="24"/>
          <w:lang w:val="ru-MD"/>
        </w:rPr>
        <w:t xml:space="preserve">сумму </w:t>
      </w:r>
      <w:r w:rsidRPr="00FC0B7C">
        <w:rPr>
          <w:rFonts w:asciiTheme="majorHAnsi" w:hAnsiTheme="majorHAnsi" w:cstheme="majorHAnsi"/>
          <w:sz w:val="24"/>
          <w:szCs w:val="24"/>
          <w:lang w:val="ru-MD"/>
        </w:rPr>
        <w:t xml:space="preserve">3,4 млн. леев. Динамика ежемесячных поступлений в государственный бюджет доходов, </w:t>
      </w:r>
      <w:r w:rsidR="00675AD4" w:rsidRPr="00FC0B7C">
        <w:rPr>
          <w:rFonts w:asciiTheme="majorHAnsi" w:hAnsiTheme="majorHAnsi" w:cstheme="majorHAnsi"/>
          <w:sz w:val="24"/>
          <w:szCs w:val="24"/>
          <w:lang w:val="ru-MD"/>
        </w:rPr>
        <w:t>администрируемых</w:t>
      </w:r>
      <w:r w:rsidRPr="00FC0B7C">
        <w:rPr>
          <w:rFonts w:asciiTheme="majorHAnsi" w:hAnsiTheme="majorHAnsi" w:cstheme="majorHAnsi"/>
          <w:sz w:val="24"/>
          <w:szCs w:val="24"/>
          <w:lang w:val="ru-MD"/>
        </w:rPr>
        <w:t xml:space="preserve"> </w:t>
      </w:r>
      <w:r w:rsidR="00675AD4" w:rsidRPr="00FC0B7C">
        <w:rPr>
          <w:rFonts w:asciiTheme="majorHAnsi" w:hAnsiTheme="majorHAnsi" w:cstheme="majorHAnsi"/>
          <w:sz w:val="24"/>
          <w:szCs w:val="24"/>
          <w:lang w:val="ru-MD"/>
        </w:rPr>
        <w:t>Т</w:t>
      </w:r>
      <w:r w:rsidRPr="00FC0B7C">
        <w:rPr>
          <w:rFonts w:asciiTheme="majorHAnsi" w:hAnsiTheme="majorHAnsi" w:cstheme="majorHAnsi"/>
          <w:sz w:val="24"/>
          <w:szCs w:val="24"/>
          <w:lang w:val="ru-MD"/>
        </w:rPr>
        <w:t xml:space="preserve">аможенной службы, по сравнению с </w:t>
      </w:r>
      <w:r w:rsidR="00675AD4" w:rsidRPr="00FC0B7C">
        <w:rPr>
          <w:rFonts w:asciiTheme="majorHAnsi" w:hAnsiTheme="majorHAnsi" w:cstheme="majorHAnsi"/>
          <w:sz w:val="24"/>
          <w:szCs w:val="24"/>
          <w:lang w:val="ru-MD"/>
        </w:rPr>
        <w:t xml:space="preserve">уточненным </w:t>
      </w:r>
      <w:r w:rsidRPr="00FC0B7C">
        <w:rPr>
          <w:rFonts w:asciiTheme="majorHAnsi" w:hAnsiTheme="majorHAnsi" w:cstheme="majorHAnsi"/>
          <w:sz w:val="24"/>
          <w:szCs w:val="24"/>
          <w:lang w:val="ru-MD"/>
        </w:rPr>
        <w:t>планом</w:t>
      </w:r>
      <w:r w:rsidR="00675AD4" w:rsidRPr="00FC0B7C">
        <w:rPr>
          <w:rFonts w:asciiTheme="majorHAnsi" w:hAnsiTheme="majorHAnsi" w:cstheme="majorHAnsi"/>
          <w:sz w:val="24"/>
          <w:szCs w:val="24"/>
          <w:lang w:val="ru-MD"/>
        </w:rPr>
        <w:t xml:space="preserve"> на</w:t>
      </w:r>
      <w:r w:rsidRPr="00FC0B7C">
        <w:rPr>
          <w:rFonts w:asciiTheme="majorHAnsi" w:hAnsiTheme="majorHAnsi" w:cstheme="majorHAnsi"/>
          <w:sz w:val="24"/>
          <w:szCs w:val="24"/>
          <w:lang w:val="ru-MD"/>
        </w:rPr>
        <w:t xml:space="preserve"> 2021 год, представлена в </w:t>
      </w:r>
      <w:r w:rsidR="00146A62" w:rsidRPr="00FC0B7C">
        <w:rPr>
          <w:rFonts w:asciiTheme="majorHAnsi" w:eastAsia="Times New Roman" w:hAnsiTheme="majorHAnsi" w:cstheme="majorHAnsi"/>
          <w:sz w:val="24"/>
          <w:szCs w:val="24"/>
          <w:lang w:val="ru-MD"/>
        </w:rPr>
        <w:t>Диаграмм</w:t>
      </w:r>
      <w:r w:rsidR="00675AD4" w:rsidRPr="00FC0B7C">
        <w:rPr>
          <w:rFonts w:asciiTheme="majorHAnsi" w:eastAsia="Times New Roman" w:hAnsiTheme="majorHAnsi" w:cstheme="majorHAnsi"/>
          <w:sz w:val="24"/>
          <w:szCs w:val="24"/>
          <w:lang w:val="ru-MD"/>
        </w:rPr>
        <w:t>е</w:t>
      </w:r>
      <w:r w:rsidR="00146A62" w:rsidRPr="00FC0B7C">
        <w:rPr>
          <w:rFonts w:asciiTheme="majorHAnsi" w:eastAsia="Times New Roman" w:hAnsiTheme="majorHAnsi" w:cstheme="majorHAnsi"/>
          <w:sz w:val="24"/>
          <w:szCs w:val="24"/>
          <w:lang w:val="ru-MD"/>
        </w:rPr>
        <w:t xml:space="preserve"> №</w:t>
      </w:r>
      <w:r w:rsidR="005D6247" w:rsidRPr="00FC0B7C">
        <w:rPr>
          <w:rFonts w:asciiTheme="majorHAnsi" w:eastAsia="Times New Roman" w:hAnsiTheme="majorHAnsi" w:cstheme="majorHAnsi"/>
          <w:sz w:val="24"/>
          <w:szCs w:val="24"/>
          <w:lang w:val="ru-MD"/>
        </w:rPr>
        <w:t>3.</w:t>
      </w:r>
      <w:r w:rsidR="0049739A" w:rsidRPr="00FC0B7C">
        <w:rPr>
          <w:rFonts w:asciiTheme="majorHAnsi" w:eastAsia="Times New Roman" w:hAnsiTheme="majorHAnsi" w:cstheme="majorHAnsi"/>
          <w:sz w:val="24"/>
          <w:szCs w:val="24"/>
          <w:lang w:val="ru-MD"/>
        </w:rPr>
        <w:t xml:space="preserve"> </w:t>
      </w:r>
      <w:r w:rsidR="005D6247" w:rsidRPr="00FC0B7C">
        <w:rPr>
          <w:rFonts w:asciiTheme="majorHAnsi" w:eastAsia="Times New Roman" w:hAnsiTheme="majorHAnsi" w:cstheme="majorHAnsi"/>
          <w:i/>
          <w:sz w:val="24"/>
          <w:szCs w:val="24"/>
          <w:lang w:val="ru-MD"/>
        </w:rPr>
        <w:t xml:space="preserve">                                                                                                    </w:t>
      </w:r>
    </w:p>
    <w:p w14:paraId="2C6EA65C" w14:textId="74DAD677" w:rsidR="00D30131" w:rsidRPr="00B20FBD" w:rsidRDefault="00872247" w:rsidP="003F5DB6">
      <w:pPr>
        <w:spacing w:after="0"/>
        <w:jc w:val="center"/>
        <w:rPr>
          <w:rFonts w:asciiTheme="majorHAnsi" w:eastAsia="Times New Roman" w:hAnsiTheme="majorHAnsi" w:cstheme="majorHAnsi"/>
          <w:i/>
          <w:sz w:val="24"/>
          <w:szCs w:val="24"/>
          <w:lang w:val="ro-RO"/>
        </w:rPr>
      </w:pPr>
      <w:r w:rsidRPr="00FC0B7C">
        <w:rPr>
          <w:rFonts w:asciiTheme="majorHAnsi" w:eastAsia="Times New Roman" w:hAnsiTheme="majorHAnsi" w:cstheme="majorHAnsi"/>
          <w:i/>
          <w:sz w:val="24"/>
          <w:szCs w:val="24"/>
          <w:lang w:val="ru-MD"/>
        </w:rPr>
        <w:t xml:space="preserve">                                                                       </w:t>
      </w:r>
      <w:r w:rsidR="00367913" w:rsidRPr="00FC0B7C">
        <w:rPr>
          <w:rFonts w:asciiTheme="majorHAnsi" w:eastAsia="Times New Roman" w:hAnsiTheme="majorHAnsi" w:cstheme="majorHAnsi"/>
          <w:i/>
          <w:sz w:val="24"/>
          <w:szCs w:val="24"/>
          <w:lang w:val="ru-MD"/>
        </w:rPr>
        <w:t xml:space="preserve">                                                   </w:t>
      </w:r>
      <w:r w:rsidRPr="00FC0B7C">
        <w:rPr>
          <w:rFonts w:asciiTheme="majorHAnsi" w:eastAsia="Times New Roman" w:hAnsiTheme="majorHAnsi" w:cstheme="majorHAnsi"/>
          <w:i/>
          <w:sz w:val="24"/>
          <w:szCs w:val="24"/>
          <w:lang w:val="ru-MD"/>
        </w:rPr>
        <w:t xml:space="preserve"> </w:t>
      </w:r>
      <w:r w:rsidR="00146A62" w:rsidRPr="00FC0B7C">
        <w:rPr>
          <w:rFonts w:asciiTheme="majorHAnsi" w:eastAsia="Times New Roman" w:hAnsiTheme="majorHAnsi" w:cstheme="majorHAnsi"/>
          <w:i/>
          <w:sz w:val="24"/>
          <w:szCs w:val="24"/>
          <w:lang w:val="ru-MD"/>
        </w:rPr>
        <w:t>Диаграмма №</w:t>
      </w:r>
      <w:r w:rsidR="005D6247" w:rsidRPr="00FC0B7C">
        <w:rPr>
          <w:rFonts w:asciiTheme="majorHAnsi" w:eastAsia="Times New Roman" w:hAnsiTheme="majorHAnsi" w:cstheme="majorHAnsi"/>
          <w:i/>
          <w:sz w:val="24"/>
          <w:szCs w:val="24"/>
          <w:lang w:val="ru-MD"/>
        </w:rPr>
        <w:t>3</w:t>
      </w:r>
      <w:r w:rsidR="00D30131" w:rsidRPr="00B20FBD">
        <w:rPr>
          <w:rFonts w:asciiTheme="majorHAnsi" w:hAnsiTheme="majorHAnsi" w:cstheme="majorHAnsi"/>
          <w:noProof/>
          <w:lang w:val="en-US"/>
        </w:rPr>
        <w:drawing>
          <wp:inline distT="0" distB="0" distL="0" distR="0" wp14:anchorId="602DCD04" wp14:editId="12FDDB32">
            <wp:extent cx="5662930" cy="2215515"/>
            <wp:effectExtent l="0" t="0" r="13970" b="1333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BF0EE7D" w14:textId="6E700519" w:rsidR="005D6247" w:rsidRPr="00FC0B7C" w:rsidRDefault="005D6247" w:rsidP="00323A20">
      <w:pPr>
        <w:spacing w:after="0"/>
        <w:jc w:val="both"/>
        <w:rPr>
          <w:rFonts w:asciiTheme="majorHAnsi" w:hAnsiTheme="majorHAnsi" w:cstheme="majorHAnsi"/>
          <w:sz w:val="24"/>
          <w:szCs w:val="24"/>
          <w:lang w:val="ru-MD"/>
        </w:rPr>
      </w:pPr>
      <w:r w:rsidRPr="00B20FBD">
        <w:rPr>
          <w:rFonts w:asciiTheme="majorHAnsi" w:hAnsiTheme="majorHAnsi" w:cstheme="majorHAnsi"/>
          <w:b/>
          <w:i/>
          <w:sz w:val="16"/>
          <w:szCs w:val="16"/>
          <w:lang w:val="ro-RO"/>
        </w:rPr>
        <w:t xml:space="preserve">                             </w:t>
      </w:r>
      <w:r w:rsidR="00723462" w:rsidRPr="00FC0B7C">
        <w:rPr>
          <w:rFonts w:asciiTheme="majorHAnsi" w:hAnsiTheme="majorHAnsi" w:cstheme="majorHAnsi"/>
          <w:b/>
          <w:i/>
          <w:sz w:val="20"/>
          <w:szCs w:val="20"/>
          <w:lang w:val="ru-MD"/>
        </w:rPr>
        <w:t>Источник</w:t>
      </w:r>
      <w:r w:rsidRPr="00FC0B7C">
        <w:rPr>
          <w:rFonts w:asciiTheme="majorHAnsi" w:hAnsiTheme="majorHAnsi" w:cstheme="majorHAnsi"/>
          <w:b/>
          <w:i/>
          <w:sz w:val="20"/>
          <w:szCs w:val="20"/>
          <w:lang w:val="ru-MD"/>
        </w:rPr>
        <w:t>:</w:t>
      </w:r>
      <w:r w:rsidRPr="00FC0B7C">
        <w:rPr>
          <w:rFonts w:asciiTheme="majorHAnsi" w:hAnsiTheme="majorHAnsi" w:cstheme="majorHAnsi"/>
          <w:i/>
          <w:sz w:val="20"/>
          <w:szCs w:val="20"/>
          <w:lang w:val="ru-MD"/>
        </w:rPr>
        <w:t xml:space="preserve"> </w:t>
      </w:r>
      <w:r w:rsidR="00614E57" w:rsidRPr="00FC0B7C">
        <w:rPr>
          <w:rFonts w:asciiTheme="majorHAnsi" w:hAnsiTheme="majorHAnsi" w:cstheme="majorHAnsi"/>
          <w:i/>
          <w:sz w:val="20"/>
          <w:szCs w:val="20"/>
          <w:lang w:val="ru-MD"/>
        </w:rPr>
        <w:t>Отчеты о таможенных доходах, администрируемых Таможенной службой в 2021 году.</w:t>
      </w:r>
    </w:p>
    <w:p w14:paraId="54FA0DCC" w14:textId="77777777" w:rsidR="005D6247" w:rsidRPr="00B20FBD" w:rsidRDefault="005D6247" w:rsidP="00323A20">
      <w:pPr>
        <w:spacing w:after="0"/>
        <w:jc w:val="both"/>
        <w:rPr>
          <w:rFonts w:asciiTheme="majorHAnsi" w:hAnsiTheme="majorHAnsi" w:cstheme="majorHAnsi"/>
          <w:sz w:val="24"/>
          <w:szCs w:val="24"/>
          <w:lang w:val="ro-RO"/>
        </w:rPr>
      </w:pPr>
    </w:p>
    <w:p w14:paraId="17F02387" w14:textId="6013806C" w:rsidR="00690FFD" w:rsidRPr="005539D8" w:rsidRDefault="001F0CE2" w:rsidP="0031301A">
      <w:pPr>
        <w:pStyle w:val="ListParagraph"/>
        <w:numPr>
          <w:ilvl w:val="2"/>
          <w:numId w:val="3"/>
        </w:numPr>
        <w:tabs>
          <w:tab w:val="left" w:pos="993"/>
        </w:tabs>
        <w:spacing w:after="120"/>
        <w:ind w:left="0" w:firstLine="720"/>
        <w:jc w:val="both"/>
        <w:outlineLvl w:val="1"/>
        <w:rPr>
          <w:rFonts w:asciiTheme="majorHAnsi" w:hAnsiTheme="majorHAnsi" w:cstheme="majorHAnsi"/>
          <w:b/>
          <w:sz w:val="24"/>
          <w:szCs w:val="24"/>
          <w:lang w:val="ru-MD"/>
        </w:rPr>
      </w:pPr>
      <w:bookmarkStart w:id="48" w:name="_Toc127129403"/>
      <w:r w:rsidRPr="005539D8">
        <w:rPr>
          <w:rFonts w:asciiTheme="majorHAnsi" w:hAnsiTheme="majorHAnsi" w:cstheme="majorHAnsi"/>
          <w:b/>
          <w:sz w:val="24"/>
          <w:szCs w:val="24"/>
          <w:lang w:val="ru-MD"/>
        </w:rPr>
        <w:t>Нормативная</w:t>
      </w:r>
      <w:r w:rsidR="0031301A" w:rsidRPr="005539D8">
        <w:rPr>
          <w:rFonts w:asciiTheme="majorHAnsi" w:hAnsiTheme="majorHAnsi" w:cstheme="majorHAnsi"/>
          <w:b/>
          <w:sz w:val="24"/>
          <w:szCs w:val="24"/>
          <w:lang w:val="ru-MD"/>
        </w:rPr>
        <w:t xml:space="preserve"> база, регулирующая исполнение и отчетность о государственных доходах, администрируемых Таможенной службой, устарела и не соответствует современным требованиям</w:t>
      </w:r>
      <w:r w:rsidR="00B64435" w:rsidRPr="005539D8">
        <w:rPr>
          <w:rFonts w:asciiTheme="majorHAnsi" w:hAnsiTheme="majorHAnsi" w:cstheme="majorHAnsi"/>
          <w:b/>
          <w:color w:val="000000" w:themeColor="text1"/>
          <w:sz w:val="24"/>
          <w:szCs w:val="24"/>
          <w:lang w:val="ru-MD"/>
        </w:rPr>
        <w:t>.</w:t>
      </w:r>
      <w:bookmarkEnd w:id="48"/>
    </w:p>
    <w:p w14:paraId="728FB267" w14:textId="588FEE0A" w:rsidR="00980736" w:rsidRPr="00B20FBD" w:rsidRDefault="00363451" w:rsidP="00B64435">
      <w:pPr>
        <w:spacing w:after="120"/>
        <w:jc w:val="both"/>
        <w:rPr>
          <w:rFonts w:asciiTheme="majorHAnsi" w:hAnsiTheme="majorHAnsi" w:cstheme="majorHAnsi"/>
          <w:color w:val="000000" w:themeColor="text1"/>
          <w:sz w:val="24"/>
          <w:szCs w:val="24"/>
          <w:lang w:val="ro-RO"/>
        </w:rPr>
      </w:pPr>
      <w:r>
        <w:rPr>
          <w:rFonts w:asciiTheme="majorHAnsi" w:hAnsiTheme="majorHAnsi" w:cstheme="majorHAnsi"/>
          <w:sz w:val="24"/>
          <w:szCs w:val="24"/>
          <w:lang w:val="ru-MD"/>
        </w:rPr>
        <w:t xml:space="preserve">Отмечается, что </w:t>
      </w:r>
      <w:r w:rsidRPr="003F407B">
        <w:rPr>
          <w:rFonts w:asciiTheme="majorHAnsi" w:hAnsiTheme="majorHAnsi" w:cstheme="majorHAnsi"/>
          <w:sz w:val="24"/>
          <w:szCs w:val="24"/>
          <w:lang w:val="ru-MD"/>
        </w:rPr>
        <w:t>Таможенная служба является подведомственным Министерству финансов административным органом,</w:t>
      </w:r>
      <w:r w:rsidRPr="00363451">
        <w:rPr>
          <w:rFonts w:ascii="Georgia" w:hAnsi="Georgia"/>
          <w:color w:val="333333"/>
          <w:shd w:val="clear" w:color="auto" w:fill="FFFFFF"/>
        </w:rPr>
        <w:t xml:space="preserve"> </w:t>
      </w:r>
      <w:r w:rsidR="009A5981" w:rsidRPr="009A5981">
        <w:rPr>
          <w:rFonts w:asciiTheme="majorHAnsi" w:hAnsiTheme="majorHAnsi" w:cstheme="majorHAnsi"/>
          <w:color w:val="333333"/>
          <w:sz w:val="24"/>
          <w:szCs w:val="24"/>
          <w:shd w:val="clear" w:color="auto" w:fill="FFFFFF"/>
        </w:rPr>
        <w:t>реализ</w:t>
      </w:r>
      <w:r w:rsidR="009A5981">
        <w:rPr>
          <w:rFonts w:asciiTheme="majorHAnsi" w:hAnsiTheme="majorHAnsi" w:cstheme="majorHAnsi"/>
          <w:color w:val="333333"/>
          <w:sz w:val="24"/>
          <w:szCs w:val="24"/>
          <w:shd w:val="clear" w:color="auto" w:fill="FFFFFF"/>
        </w:rPr>
        <w:t>ующим</w:t>
      </w:r>
      <w:r w:rsidR="009A5981" w:rsidRPr="009A5981">
        <w:rPr>
          <w:rFonts w:asciiTheme="majorHAnsi" w:hAnsiTheme="majorHAnsi" w:cstheme="majorHAnsi"/>
          <w:color w:val="333333"/>
          <w:sz w:val="24"/>
          <w:szCs w:val="24"/>
          <w:shd w:val="clear" w:color="auto" w:fill="FFFFFF"/>
        </w:rPr>
        <w:t xml:space="preserve"> таможенн</w:t>
      </w:r>
      <w:r w:rsidR="009A5981">
        <w:rPr>
          <w:rFonts w:asciiTheme="majorHAnsi" w:hAnsiTheme="majorHAnsi" w:cstheme="majorHAnsi"/>
          <w:color w:val="333333"/>
          <w:sz w:val="24"/>
          <w:szCs w:val="24"/>
          <w:shd w:val="clear" w:color="auto" w:fill="FFFFFF"/>
        </w:rPr>
        <w:t>ую</w:t>
      </w:r>
      <w:r w:rsidR="009A5981" w:rsidRPr="009A5981">
        <w:rPr>
          <w:rFonts w:asciiTheme="majorHAnsi" w:hAnsiTheme="majorHAnsi" w:cstheme="majorHAnsi"/>
          <w:color w:val="333333"/>
          <w:sz w:val="24"/>
          <w:szCs w:val="24"/>
          <w:shd w:val="clear" w:color="auto" w:fill="FFFFFF"/>
        </w:rPr>
        <w:t xml:space="preserve"> политик</w:t>
      </w:r>
      <w:r w:rsidR="009A5981">
        <w:rPr>
          <w:rFonts w:asciiTheme="majorHAnsi" w:hAnsiTheme="majorHAnsi" w:cstheme="majorHAnsi"/>
          <w:color w:val="333333"/>
          <w:sz w:val="24"/>
          <w:szCs w:val="24"/>
          <w:shd w:val="clear" w:color="auto" w:fill="FFFFFF"/>
        </w:rPr>
        <w:t>у</w:t>
      </w:r>
      <w:r w:rsidR="009A5981" w:rsidRPr="009A5981">
        <w:rPr>
          <w:rFonts w:asciiTheme="majorHAnsi" w:hAnsiTheme="majorHAnsi" w:cstheme="majorHAnsi"/>
          <w:color w:val="333333"/>
          <w:sz w:val="24"/>
          <w:szCs w:val="24"/>
          <w:shd w:val="clear" w:color="auto" w:fill="FFFFFF"/>
        </w:rPr>
        <w:t xml:space="preserve"> и </w:t>
      </w:r>
      <w:r w:rsidRPr="00363451">
        <w:rPr>
          <w:rFonts w:asciiTheme="majorHAnsi" w:hAnsiTheme="majorHAnsi" w:cstheme="majorHAnsi"/>
          <w:sz w:val="24"/>
          <w:szCs w:val="24"/>
        </w:rPr>
        <w:t>обеспеч</w:t>
      </w:r>
      <w:r w:rsidR="009A5981">
        <w:rPr>
          <w:rFonts w:asciiTheme="majorHAnsi" w:hAnsiTheme="majorHAnsi" w:cstheme="majorHAnsi"/>
          <w:sz w:val="24"/>
          <w:szCs w:val="24"/>
        </w:rPr>
        <w:t>ивающим</w:t>
      </w:r>
      <w:r w:rsidRPr="00363451">
        <w:rPr>
          <w:rFonts w:asciiTheme="majorHAnsi" w:hAnsiTheme="majorHAnsi" w:cstheme="majorHAnsi"/>
          <w:sz w:val="24"/>
          <w:szCs w:val="24"/>
        </w:rPr>
        <w:t xml:space="preserve"> экономическ</w:t>
      </w:r>
      <w:r w:rsidR="009A5981">
        <w:rPr>
          <w:rFonts w:asciiTheme="majorHAnsi" w:hAnsiTheme="majorHAnsi" w:cstheme="majorHAnsi"/>
          <w:sz w:val="24"/>
          <w:szCs w:val="24"/>
        </w:rPr>
        <w:t>ую</w:t>
      </w:r>
      <w:r w:rsidRPr="00363451">
        <w:rPr>
          <w:rFonts w:asciiTheme="majorHAnsi" w:hAnsiTheme="majorHAnsi" w:cstheme="majorHAnsi"/>
          <w:sz w:val="24"/>
          <w:szCs w:val="24"/>
        </w:rPr>
        <w:t xml:space="preserve"> безопасност</w:t>
      </w:r>
      <w:r w:rsidR="009A5981">
        <w:rPr>
          <w:rFonts w:asciiTheme="majorHAnsi" w:hAnsiTheme="majorHAnsi" w:cstheme="majorHAnsi"/>
          <w:sz w:val="24"/>
          <w:szCs w:val="24"/>
        </w:rPr>
        <w:t>ь</w:t>
      </w:r>
      <w:r w:rsidRPr="00363451">
        <w:rPr>
          <w:rFonts w:asciiTheme="majorHAnsi" w:hAnsiTheme="majorHAnsi" w:cstheme="majorHAnsi"/>
          <w:sz w:val="24"/>
          <w:szCs w:val="24"/>
        </w:rPr>
        <w:t xml:space="preserve"> государства</w:t>
      </w:r>
      <w:r w:rsidR="009A5981" w:rsidRPr="00B20FBD">
        <w:rPr>
          <w:rStyle w:val="FootnoteReference"/>
          <w:rFonts w:asciiTheme="majorHAnsi" w:hAnsiTheme="majorHAnsi" w:cstheme="majorHAnsi"/>
          <w:color w:val="000000" w:themeColor="text1"/>
          <w:sz w:val="24"/>
          <w:szCs w:val="24"/>
          <w:lang w:val="ro-RO"/>
        </w:rPr>
        <w:footnoteReference w:id="17"/>
      </w:r>
      <w:r w:rsidR="009A5981" w:rsidRPr="00B20FBD">
        <w:rPr>
          <w:rFonts w:asciiTheme="majorHAnsi" w:hAnsiTheme="majorHAnsi" w:cstheme="majorHAnsi"/>
          <w:color w:val="000000" w:themeColor="text1"/>
          <w:sz w:val="24"/>
          <w:szCs w:val="24"/>
          <w:lang w:val="ro-RO"/>
        </w:rPr>
        <w:t>,</w:t>
      </w:r>
      <w:r w:rsidR="009A5981">
        <w:rPr>
          <w:rFonts w:asciiTheme="majorHAnsi" w:hAnsiTheme="majorHAnsi" w:cstheme="majorHAnsi"/>
          <w:color w:val="000000" w:themeColor="text1"/>
          <w:sz w:val="24"/>
          <w:szCs w:val="24"/>
        </w:rPr>
        <w:t xml:space="preserve"> </w:t>
      </w:r>
      <w:r w:rsidR="009A5981" w:rsidRPr="00AB5D37">
        <w:rPr>
          <w:rFonts w:asciiTheme="majorHAnsi" w:hAnsiTheme="majorHAnsi" w:cstheme="majorHAnsi"/>
          <w:color w:val="000000" w:themeColor="text1"/>
          <w:sz w:val="24"/>
          <w:szCs w:val="24"/>
          <w:lang w:val="ru-MD"/>
        </w:rPr>
        <w:t>в пределах своей компетенции</w:t>
      </w:r>
      <w:r w:rsidRPr="00AB5D37">
        <w:rPr>
          <w:rFonts w:asciiTheme="majorHAnsi" w:hAnsiTheme="majorHAnsi" w:cstheme="majorHAnsi"/>
          <w:sz w:val="24"/>
          <w:szCs w:val="24"/>
          <w:lang w:val="ru-MD"/>
        </w:rPr>
        <w:t xml:space="preserve">. </w:t>
      </w:r>
      <w:r w:rsidR="009A5981" w:rsidRPr="00AB5D37">
        <w:rPr>
          <w:rFonts w:asciiTheme="majorHAnsi" w:hAnsiTheme="majorHAnsi" w:cstheme="majorHAnsi"/>
          <w:color w:val="000000" w:themeColor="text1"/>
          <w:sz w:val="24"/>
          <w:szCs w:val="24"/>
          <w:lang w:val="ru-MD"/>
        </w:rPr>
        <w:t>В качестве администратора доходов, ТС обеспечивает исполнение части дохода путем взыскания начисленных импортно-экспортных платежей, в том числе посредством мер принудительного исполнения таможенного обязательства, достигшего срока погашения</w:t>
      </w:r>
      <w:r w:rsidR="00980736" w:rsidRPr="00B20FBD">
        <w:rPr>
          <w:rStyle w:val="FootnoteReference"/>
          <w:rFonts w:asciiTheme="majorHAnsi" w:hAnsiTheme="majorHAnsi" w:cstheme="majorHAnsi"/>
          <w:color w:val="000000" w:themeColor="text1"/>
          <w:sz w:val="24"/>
          <w:szCs w:val="24"/>
          <w:lang w:val="ro-RO"/>
        </w:rPr>
        <w:footnoteReference w:id="18"/>
      </w:r>
      <w:r w:rsidR="00980736" w:rsidRPr="00B20FBD">
        <w:rPr>
          <w:rFonts w:asciiTheme="majorHAnsi" w:hAnsiTheme="majorHAnsi" w:cstheme="majorHAnsi"/>
          <w:color w:val="000000" w:themeColor="text1"/>
          <w:sz w:val="24"/>
          <w:szCs w:val="24"/>
          <w:lang w:val="ro-RO"/>
        </w:rPr>
        <w:t>.</w:t>
      </w:r>
    </w:p>
    <w:p w14:paraId="0DBC1ABF" w14:textId="6A09F1AD" w:rsidR="00980736" w:rsidRPr="009F6DBF" w:rsidRDefault="009018F3" w:rsidP="00980736">
      <w:pPr>
        <w:spacing w:after="120"/>
        <w:jc w:val="both"/>
        <w:rPr>
          <w:rFonts w:asciiTheme="majorHAnsi" w:hAnsiTheme="majorHAnsi" w:cstheme="majorHAnsi"/>
          <w:color w:val="000000" w:themeColor="text1"/>
          <w:sz w:val="24"/>
          <w:szCs w:val="24"/>
          <w:lang w:val="ru-MD"/>
        </w:rPr>
      </w:pPr>
      <w:r w:rsidRPr="009F6DBF">
        <w:rPr>
          <w:rFonts w:asciiTheme="majorHAnsi" w:hAnsiTheme="majorHAnsi" w:cstheme="majorHAnsi"/>
          <w:color w:val="000000" w:themeColor="text1"/>
          <w:sz w:val="24"/>
          <w:szCs w:val="24"/>
          <w:lang w:val="ru-MD"/>
        </w:rPr>
        <w:t>ТС представляет ежедневные и ежемесячные отчеты</w:t>
      </w:r>
      <w:r w:rsidRPr="009F6DBF">
        <w:rPr>
          <w:rStyle w:val="FootnoteReference"/>
          <w:rFonts w:asciiTheme="majorHAnsi" w:hAnsiTheme="majorHAnsi" w:cstheme="majorHAnsi"/>
          <w:color w:val="000000" w:themeColor="text1"/>
          <w:sz w:val="24"/>
          <w:szCs w:val="24"/>
          <w:lang w:val="ru-MD"/>
        </w:rPr>
        <w:footnoteReference w:id="19"/>
      </w:r>
      <w:r w:rsidRPr="009F6DBF">
        <w:rPr>
          <w:rFonts w:asciiTheme="majorHAnsi" w:hAnsiTheme="majorHAnsi" w:cstheme="majorHAnsi"/>
          <w:color w:val="000000" w:themeColor="text1"/>
          <w:sz w:val="24"/>
          <w:szCs w:val="24"/>
          <w:lang w:val="ru-MD"/>
        </w:rPr>
        <w:t xml:space="preserve"> о доходах от импортно-экспортных платежей, уплаченных авансом через казначейскую систему в государственный бюджет</w:t>
      </w:r>
      <w:r w:rsidR="00415722" w:rsidRPr="009F6DBF">
        <w:rPr>
          <w:rFonts w:asciiTheme="majorHAnsi" w:hAnsiTheme="majorHAnsi" w:cstheme="majorHAnsi"/>
          <w:color w:val="000000" w:themeColor="text1"/>
          <w:sz w:val="24"/>
          <w:szCs w:val="24"/>
          <w:lang w:val="ru-MD"/>
        </w:rPr>
        <w:t>,</w:t>
      </w:r>
      <w:r w:rsidRPr="009F6DBF">
        <w:rPr>
          <w:rFonts w:asciiTheme="majorHAnsi" w:hAnsiTheme="majorHAnsi" w:cstheme="majorHAnsi"/>
          <w:color w:val="000000" w:themeColor="text1"/>
          <w:sz w:val="24"/>
          <w:szCs w:val="24"/>
          <w:lang w:val="ru-MD"/>
        </w:rPr>
        <w:t xml:space="preserve"> в соответствии с </w:t>
      </w:r>
      <w:r w:rsidR="00415722" w:rsidRPr="009F6DBF">
        <w:rPr>
          <w:rFonts w:asciiTheme="majorHAnsi" w:hAnsiTheme="majorHAnsi" w:cstheme="majorHAnsi"/>
          <w:color w:val="000000" w:themeColor="text1"/>
          <w:sz w:val="24"/>
          <w:szCs w:val="24"/>
          <w:lang w:val="ru-MD"/>
        </w:rPr>
        <w:t>норм</w:t>
      </w:r>
      <w:r w:rsidRPr="009F6DBF">
        <w:rPr>
          <w:rFonts w:asciiTheme="majorHAnsi" w:hAnsiTheme="majorHAnsi" w:cstheme="majorHAnsi"/>
          <w:color w:val="000000" w:themeColor="text1"/>
          <w:sz w:val="24"/>
          <w:szCs w:val="24"/>
          <w:lang w:val="ru-MD"/>
        </w:rPr>
        <w:t xml:space="preserve">ами, утвержденными Приказом </w:t>
      </w:r>
      <w:r w:rsidR="00415722" w:rsidRPr="009F6DBF">
        <w:rPr>
          <w:rFonts w:asciiTheme="majorHAnsi" w:hAnsiTheme="majorHAnsi" w:cstheme="majorHAnsi"/>
          <w:color w:val="000000" w:themeColor="text1"/>
          <w:sz w:val="24"/>
          <w:szCs w:val="24"/>
          <w:lang w:val="ru-MD"/>
        </w:rPr>
        <w:t>МФ №</w:t>
      </w:r>
      <w:r w:rsidRPr="009F6DBF">
        <w:rPr>
          <w:rFonts w:asciiTheme="majorHAnsi" w:hAnsiTheme="majorHAnsi" w:cstheme="majorHAnsi"/>
          <w:color w:val="000000" w:themeColor="text1"/>
          <w:sz w:val="24"/>
          <w:szCs w:val="24"/>
          <w:lang w:val="ru-MD"/>
        </w:rPr>
        <w:t>215 от 28.12.2015, отражающи</w:t>
      </w:r>
      <w:r w:rsidR="00415722" w:rsidRPr="009F6DBF">
        <w:rPr>
          <w:rFonts w:asciiTheme="majorHAnsi" w:hAnsiTheme="majorHAnsi" w:cstheme="majorHAnsi"/>
          <w:color w:val="000000" w:themeColor="text1"/>
          <w:sz w:val="24"/>
          <w:szCs w:val="24"/>
          <w:lang w:val="ru-MD"/>
        </w:rPr>
        <w:t>е</w:t>
      </w:r>
      <w:r w:rsidRPr="009F6DBF">
        <w:rPr>
          <w:rFonts w:asciiTheme="majorHAnsi" w:hAnsiTheme="majorHAnsi" w:cstheme="majorHAnsi"/>
          <w:color w:val="000000" w:themeColor="text1"/>
          <w:sz w:val="24"/>
          <w:szCs w:val="24"/>
          <w:lang w:val="ru-MD"/>
        </w:rPr>
        <w:t xml:space="preserve"> кассовое исполнение таможенных доходов</w:t>
      </w:r>
      <w:r w:rsidR="00980736" w:rsidRPr="009F6DBF">
        <w:rPr>
          <w:rFonts w:asciiTheme="majorHAnsi" w:hAnsiTheme="majorHAnsi" w:cstheme="majorHAnsi"/>
          <w:color w:val="000000" w:themeColor="text1"/>
          <w:sz w:val="24"/>
          <w:szCs w:val="24"/>
          <w:lang w:val="ru-MD"/>
        </w:rPr>
        <w:t xml:space="preserve">. </w:t>
      </w:r>
    </w:p>
    <w:p w14:paraId="045AD8A6" w14:textId="0936BC6F" w:rsidR="00462FA2" w:rsidRPr="009F6DBF" w:rsidRDefault="00415722" w:rsidP="00980736">
      <w:pPr>
        <w:spacing w:after="120"/>
        <w:jc w:val="both"/>
        <w:rPr>
          <w:rFonts w:asciiTheme="majorHAnsi" w:hAnsiTheme="majorHAnsi" w:cstheme="majorHAnsi"/>
          <w:color w:val="000000" w:themeColor="text1"/>
          <w:sz w:val="24"/>
          <w:szCs w:val="24"/>
          <w:lang w:val="ru-MD"/>
        </w:rPr>
      </w:pPr>
      <w:r w:rsidRPr="009F6DBF">
        <w:rPr>
          <w:rFonts w:asciiTheme="majorHAnsi" w:hAnsiTheme="majorHAnsi" w:cstheme="majorHAnsi"/>
          <w:color w:val="000000" w:themeColor="text1"/>
          <w:sz w:val="24"/>
          <w:szCs w:val="24"/>
          <w:lang w:val="ru-MD"/>
        </w:rPr>
        <w:t xml:space="preserve">Аудиторские доказательства </w:t>
      </w:r>
      <w:r w:rsidR="009F6DBF" w:rsidRPr="009F6DBF">
        <w:rPr>
          <w:rFonts w:asciiTheme="majorHAnsi" w:hAnsiTheme="majorHAnsi" w:cstheme="majorHAnsi"/>
          <w:color w:val="000000" w:themeColor="text1"/>
          <w:sz w:val="24"/>
          <w:szCs w:val="24"/>
          <w:lang w:val="ru-MD"/>
        </w:rPr>
        <w:t xml:space="preserve">указывают на наличие расхождений </w:t>
      </w:r>
      <w:r w:rsidRPr="009F6DBF">
        <w:rPr>
          <w:rFonts w:asciiTheme="majorHAnsi" w:hAnsiTheme="majorHAnsi" w:cstheme="majorHAnsi"/>
          <w:color w:val="000000" w:themeColor="text1"/>
          <w:sz w:val="24"/>
          <w:szCs w:val="24"/>
          <w:lang w:val="ru-MD"/>
        </w:rPr>
        <w:t xml:space="preserve">между фактически </w:t>
      </w:r>
      <w:r w:rsidR="009F6DBF" w:rsidRPr="009F6DBF">
        <w:rPr>
          <w:rFonts w:asciiTheme="majorHAnsi" w:hAnsiTheme="majorHAnsi" w:cstheme="majorHAnsi"/>
          <w:color w:val="000000" w:themeColor="text1"/>
          <w:sz w:val="24"/>
          <w:szCs w:val="24"/>
          <w:lang w:val="ru-MD"/>
        </w:rPr>
        <w:t>начисле</w:t>
      </w:r>
      <w:r w:rsidRPr="009F6DBF">
        <w:rPr>
          <w:rFonts w:asciiTheme="majorHAnsi" w:hAnsiTheme="majorHAnsi" w:cstheme="majorHAnsi"/>
          <w:color w:val="000000" w:themeColor="text1"/>
          <w:sz w:val="24"/>
          <w:szCs w:val="24"/>
          <w:lang w:val="ru-MD"/>
        </w:rPr>
        <w:t xml:space="preserve">нными таможенными доходами в размере 37,6 </w:t>
      </w:r>
      <w:r w:rsidR="009F6DBF" w:rsidRPr="009F6DBF">
        <w:rPr>
          <w:rFonts w:asciiTheme="majorHAnsi" w:hAnsiTheme="majorHAnsi" w:cstheme="majorHAnsi"/>
          <w:color w:val="000000" w:themeColor="text1"/>
          <w:sz w:val="24"/>
          <w:szCs w:val="24"/>
          <w:lang w:val="ru-MD"/>
        </w:rPr>
        <w:t>млн. леев</w:t>
      </w:r>
      <w:r w:rsidRPr="009F6DBF">
        <w:rPr>
          <w:rFonts w:asciiTheme="majorHAnsi" w:hAnsiTheme="majorHAnsi" w:cstheme="majorHAnsi"/>
          <w:color w:val="000000" w:themeColor="text1"/>
          <w:sz w:val="24"/>
          <w:szCs w:val="24"/>
          <w:lang w:val="ru-MD"/>
        </w:rPr>
        <w:t xml:space="preserve"> </w:t>
      </w:r>
      <w:r w:rsidR="009F6DBF" w:rsidRPr="009F6DBF">
        <w:rPr>
          <w:rFonts w:asciiTheme="majorHAnsi" w:hAnsiTheme="majorHAnsi" w:cstheme="majorHAnsi"/>
          <w:color w:val="000000" w:themeColor="text1"/>
          <w:sz w:val="24"/>
          <w:szCs w:val="24"/>
          <w:lang w:val="ru-MD"/>
        </w:rPr>
        <w:t>з</w:t>
      </w:r>
      <w:r w:rsidRPr="009F6DBF">
        <w:rPr>
          <w:rFonts w:asciiTheme="majorHAnsi" w:hAnsiTheme="majorHAnsi" w:cstheme="majorHAnsi"/>
          <w:color w:val="000000" w:themeColor="text1"/>
          <w:sz w:val="24"/>
          <w:szCs w:val="24"/>
          <w:lang w:val="ru-MD"/>
        </w:rPr>
        <w:t>а 2020 год</w:t>
      </w:r>
      <w:r w:rsidR="009F6DBF" w:rsidRPr="009F6DBF">
        <w:rPr>
          <w:rFonts w:asciiTheme="majorHAnsi" w:hAnsiTheme="majorHAnsi" w:cstheme="majorHAnsi"/>
          <w:color w:val="000000" w:themeColor="text1"/>
          <w:sz w:val="24"/>
          <w:szCs w:val="24"/>
          <w:lang w:val="ru-MD"/>
        </w:rPr>
        <w:t>,</w:t>
      </w:r>
      <w:r w:rsidRPr="009F6DBF">
        <w:rPr>
          <w:rFonts w:asciiTheme="majorHAnsi" w:hAnsiTheme="majorHAnsi" w:cstheme="majorHAnsi"/>
          <w:color w:val="000000" w:themeColor="text1"/>
          <w:sz w:val="24"/>
          <w:szCs w:val="24"/>
          <w:lang w:val="ru-MD"/>
        </w:rPr>
        <w:t xml:space="preserve"> и 32,0 </w:t>
      </w:r>
      <w:r w:rsidR="009F6DBF" w:rsidRPr="009F6DBF">
        <w:rPr>
          <w:rFonts w:asciiTheme="majorHAnsi" w:hAnsiTheme="majorHAnsi" w:cstheme="majorHAnsi"/>
          <w:color w:val="000000" w:themeColor="text1"/>
          <w:sz w:val="24"/>
          <w:szCs w:val="24"/>
          <w:lang w:val="ru-MD"/>
        </w:rPr>
        <w:t xml:space="preserve">млн. леев </w:t>
      </w:r>
      <w:r w:rsidRPr="009F6DBF">
        <w:rPr>
          <w:rFonts w:asciiTheme="majorHAnsi" w:hAnsiTheme="majorHAnsi" w:cstheme="majorHAnsi"/>
          <w:color w:val="000000" w:themeColor="text1"/>
          <w:sz w:val="24"/>
          <w:szCs w:val="24"/>
          <w:lang w:val="ru-MD"/>
        </w:rPr>
        <w:t>-</w:t>
      </w:r>
      <w:r w:rsidR="009F6DBF" w:rsidRPr="009F6DBF">
        <w:rPr>
          <w:rFonts w:asciiTheme="majorHAnsi" w:hAnsiTheme="majorHAnsi" w:cstheme="majorHAnsi"/>
          <w:color w:val="000000" w:themeColor="text1"/>
          <w:sz w:val="24"/>
          <w:szCs w:val="24"/>
          <w:lang w:val="ru-MD"/>
        </w:rPr>
        <w:t xml:space="preserve"> </w:t>
      </w:r>
      <w:r w:rsidRPr="009F6DBF">
        <w:rPr>
          <w:rFonts w:asciiTheme="majorHAnsi" w:hAnsiTheme="majorHAnsi" w:cstheme="majorHAnsi"/>
          <w:color w:val="000000" w:themeColor="text1"/>
          <w:sz w:val="24"/>
          <w:szCs w:val="24"/>
          <w:lang w:val="ru-MD"/>
        </w:rPr>
        <w:t>за 2021 год, которы</w:t>
      </w:r>
      <w:r w:rsidR="009F6DBF" w:rsidRPr="009F6DBF">
        <w:rPr>
          <w:rFonts w:asciiTheme="majorHAnsi" w:hAnsiTheme="majorHAnsi" w:cstheme="majorHAnsi"/>
          <w:color w:val="000000" w:themeColor="text1"/>
          <w:sz w:val="24"/>
          <w:szCs w:val="24"/>
          <w:lang w:val="ru-MD"/>
        </w:rPr>
        <w:t>е</w:t>
      </w:r>
      <w:r w:rsidRPr="009F6DBF">
        <w:rPr>
          <w:rFonts w:asciiTheme="majorHAnsi" w:hAnsiTheme="majorHAnsi" w:cstheme="majorHAnsi"/>
          <w:color w:val="000000" w:themeColor="text1"/>
          <w:sz w:val="24"/>
          <w:szCs w:val="24"/>
          <w:lang w:val="ru-MD"/>
        </w:rPr>
        <w:t xml:space="preserve"> представля</w:t>
      </w:r>
      <w:r w:rsidR="009F6DBF" w:rsidRPr="009F6DBF">
        <w:rPr>
          <w:rFonts w:asciiTheme="majorHAnsi" w:hAnsiTheme="majorHAnsi" w:cstheme="majorHAnsi"/>
          <w:color w:val="000000" w:themeColor="text1"/>
          <w:sz w:val="24"/>
          <w:szCs w:val="24"/>
          <w:lang w:val="ru-MD"/>
        </w:rPr>
        <w:t>ю</w:t>
      </w:r>
      <w:r w:rsidRPr="009F6DBF">
        <w:rPr>
          <w:rFonts w:asciiTheme="majorHAnsi" w:hAnsiTheme="majorHAnsi" w:cstheme="majorHAnsi"/>
          <w:color w:val="000000" w:themeColor="text1"/>
          <w:sz w:val="24"/>
          <w:szCs w:val="24"/>
          <w:lang w:val="ru-MD"/>
        </w:rPr>
        <w:t xml:space="preserve">т собой основные платежи, штрафы и </w:t>
      </w:r>
      <w:r w:rsidR="009F6DBF" w:rsidRPr="009F6DBF">
        <w:rPr>
          <w:rFonts w:asciiTheme="majorHAnsi" w:hAnsiTheme="majorHAnsi" w:cstheme="majorHAnsi"/>
          <w:color w:val="000000" w:themeColor="text1"/>
          <w:sz w:val="24"/>
          <w:szCs w:val="24"/>
          <w:lang w:val="ru-MD"/>
        </w:rPr>
        <w:t>пени</w:t>
      </w:r>
      <w:r w:rsidRPr="009F6DBF">
        <w:rPr>
          <w:rFonts w:asciiTheme="majorHAnsi" w:hAnsiTheme="majorHAnsi" w:cstheme="majorHAnsi"/>
          <w:color w:val="000000" w:themeColor="text1"/>
          <w:sz w:val="24"/>
          <w:szCs w:val="24"/>
          <w:lang w:val="ru-MD"/>
        </w:rPr>
        <w:t xml:space="preserve">, дополнительно </w:t>
      </w:r>
      <w:r w:rsidR="009F6DBF" w:rsidRPr="009F6DBF">
        <w:rPr>
          <w:rFonts w:asciiTheme="majorHAnsi" w:hAnsiTheme="majorHAnsi" w:cstheme="majorHAnsi"/>
          <w:color w:val="000000" w:themeColor="text1"/>
          <w:sz w:val="24"/>
          <w:szCs w:val="24"/>
          <w:lang w:val="ru-MD"/>
        </w:rPr>
        <w:t>начисле</w:t>
      </w:r>
      <w:r w:rsidRPr="009F6DBF">
        <w:rPr>
          <w:rFonts w:asciiTheme="majorHAnsi" w:hAnsiTheme="majorHAnsi" w:cstheme="majorHAnsi"/>
          <w:color w:val="000000" w:themeColor="text1"/>
          <w:sz w:val="24"/>
          <w:szCs w:val="24"/>
          <w:lang w:val="ru-MD"/>
        </w:rPr>
        <w:t>нные на основ</w:t>
      </w:r>
      <w:r w:rsidR="009F6DBF" w:rsidRPr="009F6DBF">
        <w:rPr>
          <w:rFonts w:asciiTheme="majorHAnsi" w:hAnsiTheme="majorHAnsi" w:cstheme="majorHAnsi"/>
          <w:color w:val="000000" w:themeColor="text1"/>
          <w:sz w:val="24"/>
          <w:szCs w:val="24"/>
          <w:lang w:val="ru-MD"/>
        </w:rPr>
        <w:t>ании</w:t>
      </w:r>
      <w:r w:rsidRPr="009F6DBF">
        <w:rPr>
          <w:rFonts w:asciiTheme="majorHAnsi" w:hAnsiTheme="majorHAnsi" w:cstheme="majorHAnsi"/>
          <w:color w:val="000000" w:themeColor="text1"/>
          <w:sz w:val="24"/>
          <w:szCs w:val="24"/>
          <w:lang w:val="ru-MD"/>
        </w:rPr>
        <w:t xml:space="preserve"> административных протоколов, решений о регул</w:t>
      </w:r>
      <w:r w:rsidR="009F6DBF" w:rsidRPr="009F6DBF">
        <w:rPr>
          <w:rFonts w:asciiTheme="majorHAnsi" w:hAnsiTheme="majorHAnsi" w:cstheme="majorHAnsi"/>
          <w:color w:val="000000" w:themeColor="text1"/>
          <w:sz w:val="24"/>
          <w:szCs w:val="24"/>
          <w:lang w:val="ru-MD"/>
        </w:rPr>
        <w:t>ирован</w:t>
      </w:r>
      <w:r w:rsidRPr="009F6DBF">
        <w:rPr>
          <w:rFonts w:asciiTheme="majorHAnsi" w:hAnsiTheme="majorHAnsi" w:cstheme="majorHAnsi"/>
          <w:color w:val="000000" w:themeColor="text1"/>
          <w:sz w:val="24"/>
          <w:szCs w:val="24"/>
          <w:lang w:val="ru-MD"/>
        </w:rPr>
        <w:t xml:space="preserve">ии, составленных </w:t>
      </w:r>
      <w:r w:rsidR="009F6DBF" w:rsidRPr="009F6DBF">
        <w:rPr>
          <w:rFonts w:asciiTheme="majorHAnsi" w:hAnsiTheme="majorHAnsi" w:cstheme="majorHAnsi"/>
          <w:color w:val="000000" w:themeColor="text1"/>
          <w:sz w:val="24"/>
          <w:szCs w:val="24"/>
          <w:lang w:val="ru-MD"/>
        </w:rPr>
        <w:t>по итогам проведенного</w:t>
      </w:r>
      <w:r w:rsidRPr="009F6DBF">
        <w:rPr>
          <w:rFonts w:asciiTheme="majorHAnsi" w:hAnsiTheme="majorHAnsi" w:cstheme="majorHAnsi"/>
          <w:color w:val="000000" w:themeColor="text1"/>
          <w:sz w:val="24"/>
          <w:szCs w:val="24"/>
          <w:lang w:val="ru-MD"/>
        </w:rPr>
        <w:t xml:space="preserve"> пос</w:t>
      </w:r>
      <w:r w:rsidR="009F6DBF" w:rsidRPr="009F6DBF">
        <w:rPr>
          <w:rFonts w:asciiTheme="majorHAnsi" w:hAnsiTheme="majorHAnsi" w:cstheme="majorHAnsi"/>
          <w:color w:val="000000" w:themeColor="text1"/>
          <w:sz w:val="24"/>
          <w:szCs w:val="24"/>
          <w:lang w:val="ru-MD"/>
        </w:rPr>
        <w:t>т</w:t>
      </w:r>
      <w:r w:rsidR="009F6DBF">
        <w:rPr>
          <w:rFonts w:asciiTheme="majorHAnsi" w:hAnsiTheme="majorHAnsi" w:cstheme="majorHAnsi"/>
          <w:color w:val="000000" w:themeColor="text1"/>
          <w:sz w:val="24"/>
          <w:szCs w:val="24"/>
          <w:lang w:val="ru-MD"/>
        </w:rPr>
        <w:t>т</w:t>
      </w:r>
      <w:r w:rsidR="009F6DBF" w:rsidRPr="009F6DBF">
        <w:rPr>
          <w:rFonts w:asciiTheme="majorHAnsi" w:hAnsiTheme="majorHAnsi" w:cstheme="majorHAnsi"/>
          <w:color w:val="000000" w:themeColor="text1"/>
          <w:sz w:val="24"/>
          <w:szCs w:val="24"/>
          <w:lang w:val="ru-MD"/>
        </w:rPr>
        <w:t>аможенно</w:t>
      </w:r>
      <w:r w:rsidRPr="009F6DBF">
        <w:rPr>
          <w:rFonts w:asciiTheme="majorHAnsi" w:hAnsiTheme="majorHAnsi" w:cstheme="majorHAnsi"/>
          <w:color w:val="000000" w:themeColor="text1"/>
          <w:sz w:val="24"/>
          <w:szCs w:val="24"/>
          <w:lang w:val="ru-MD"/>
        </w:rPr>
        <w:t>го контроля. Выявленн</w:t>
      </w:r>
      <w:r w:rsidR="009F6DBF" w:rsidRPr="009F6DBF">
        <w:rPr>
          <w:rFonts w:asciiTheme="majorHAnsi" w:hAnsiTheme="majorHAnsi" w:cstheme="majorHAnsi"/>
          <w:color w:val="000000" w:themeColor="text1"/>
          <w:sz w:val="24"/>
          <w:szCs w:val="24"/>
          <w:lang w:val="ru-MD"/>
        </w:rPr>
        <w:t>ое</w:t>
      </w:r>
      <w:r w:rsidRPr="009F6DBF">
        <w:rPr>
          <w:rFonts w:asciiTheme="majorHAnsi" w:hAnsiTheme="majorHAnsi" w:cstheme="majorHAnsi"/>
          <w:color w:val="000000" w:themeColor="text1"/>
          <w:sz w:val="24"/>
          <w:szCs w:val="24"/>
          <w:lang w:val="ru-MD"/>
        </w:rPr>
        <w:t xml:space="preserve"> ра</w:t>
      </w:r>
      <w:r w:rsidR="009F6DBF" w:rsidRPr="009F6DBF">
        <w:rPr>
          <w:rFonts w:asciiTheme="majorHAnsi" w:hAnsiTheme="majorHAnsi" w:cstheme="majorHAnsi"/>
          <w:color w:val="000000" w:themeColor="text1"/>
          <w:sz w:val="24"/>
          <w:szCs w:val="24"/>
          <w:lang w:val="ru-MD"/>
        </w:rPr>
        <w:t>схождение</w:t>
      </w:r>
      <w:r w:rsidRPr="009F6DBF">
        <w:rPr>
          <w:rFonts w:asciiTheme="majorHAnsi" w:hAnsiTheme="majorHAnsi" w:cstheme="majorHAnsi"/>
          <w:color w:val="000000" w:themeColor="text1"/>
          <w:sz w:val="24"/>
          <w:szCs w:val="24"/>
          <w:lang w:val="ru-MD"/>
        </w:rPr>
        <w:t xml:space="preserve"> обусловлен</w:t>
      </w:r>
      <w:r w:rsidR="009F6DBF" w:rsidRPr="009F6DBF">
        <w:rPr>
          <w:rFonts w:asciiTheme="majorHAnsi" w:hAnsiTheme="majorHAnsi" w:cstheme="majorHAnsi"/>
          <w:color w:val="000000" w:themeColor="text1"/>
          <w:sz w:val="24"/>
          <w:szCs w:val="24"/>
          <w:lang w:val="ru-MD"/>
        </w:rPr>
        <w:t>о</w:t>
      </w:r>
      <w:r w:rsidRPr="009F6DBF">
        <w:rPr>
          <w:rFonts w:asciiTheme="majorHAnsi" w:hAnsiTheme="majorHAnsi" w:cstheme="majorHAnsi"/>
          <w:color w:val="000000" w:themeColor="text1"/>
          <w:sz w:val="24"/>
          <w:szCs w:val="24"/>
          <w:lang w:val="ru-MD"/>
        </w:rPr>
        <w:t xml:space="preserve"> отсутствием нормативно</w:t>
      </w:r>
      <w:r w:rsidR="009F6DBF" w:rsidRPr="009F6DBF">
        <w:rPr>
          <w:rFonts w:asciiTheme="majorHAnsi" w:hAnsiTheme="majorHAnsi" w:cstheme="majorHAnsi"/>
          <w:color w:val="000000" w:themeColor="text1"/>
          <w:sz w:val="24"/>
          <w:szCs w:val="24"/>
          <w:lang w:val="ru-MD"/>
        </w:rPr>
        <w:t>й</w:t>
      </w:r>
      <w:r w:rsidRPr="009F6DBF">
        <w:rPr>
          <w:rFonts w:asciiTheme="majorHAnsi" w:hAnsiTheme="majorHAnsi" w:cstheme="majorHAnsi"/>
          <w:color w:val="000000" w:themeColor="text1"/>
          <w:sz w:val="24"/>
          <w:szCs w:val="24"/>
          <w:lang w:val="ru-MD"/>
        </w:rPr>
        <w:t xml:space="preserve"> базы по </w:t>
      </w:r>
      <w:r w:rsidR="009F6DBF" w:rsidRPr="009F6DBF">
        <w:rPr>
          <w:rFonts w:asciiTheme="majorHAnsi" w:hAnsiTheme="majorHAnsi" w:cstheme="majorHAnsi"/>
          <w:color w:val="000000" w:themeColor="text1"/>
          <w:sz w:val="24"/>
          <w:szCs w:val="24"/>
          <w:lang w:val="ru-MD"/>
        </w:rPr>
        <w:t>начислению</w:t>
      </w:r>
      <w:r w:rsidRPr="009F6DBF">
        <w:rPr>
          <w:rFonts w:asciiTheme="majorHAnsi" w:hAnsiTheme="majorHAnsi" w:cstheme="majorHAnsi"/>
          <w:color w:val="000000" w:themeColor="text1"/>
          <w:sz w:val="24"/>
          <w:szCs w:val="24"/>
          <w:lang w:val="ru-MD"/>
        </w:rPr>
        <w:t xml:space="preserve"> и исполнению доходов, связанных с импортно-экспортными п</w:t>
      </w:r>
      <w:r w:rsidR="009F6DBF" w:rsidRPr="009F6DBF">
        <w:rPr>
          <w:rFonts w:asciiTheme="majorHAnsi" w:hAnsiTheme="majorHAnsi" w:cstheme="majorHAnsi"/>
          <w:color w:val="000000" w:themeColor="text1"/>
          <w:sz w:val="24"/>
          <w:szCs w:val="24"/>
          <w:lang w:val="ru-MD"/>
        </w:rPr>
        <w:t>латеж</w:t>
      </w:r>
      <w:r w:rsidRPr="009F6DBF">
        <w:rPr>
          <w:rFonts w:asciiTheme="majorHAnsi" w:hAnsiTheme="majorHAnsi" w:cstheme="majorHAnsi"/>
          <w:color w:val="000000" w:themeColor="text1"/>
          <w:sz w:val="24"/>
          <w:szCs w:val="24"/>
          <w:lang w:val="ru-MD"/>
        </w:rPr>
        <w:t>ами</w:t>
      </w:r>
      <w:r w:rsidR="009F6DBF" w:rsidRPr="009F6DBF">
        <w:rPr>
          <w:rFonts w:asciiTheme="majorHAnsi" w:hAnsiTheme="majorHAnsi" w:cstheme="majorHAnsi"/>
          <w:color w:val="000000" w:themeColor="text1"/>
          <w:sz w:val="24"/>
          <w:szCs w:val="24"/>
          <w:lang w:val="ru-MD"/>
        </w:rPr>
        <w:t>,</w:t>
      </w:r>
      <w:r w:rsidRPr="009F6DBF">
        <w:rPr>
          <w:rFonts w:asciiTheme="majorHAnsi" w:hAnsiTheme="majorHAnsi" w:cstheme="majorHAnsi"/>
          <w:color w:val="000000" w:themeColor="text1"/>
          <w:sz w:val="24"/>
          <w:szCs w:val="24"/>
          <w:lang w:val="ru-MD"/>
        </w:rPr>
        <w:t xml:space="preserve"> и требовани</w:t>
      </w:r>
      <w:r w:rsidR="009F6DBF" w:rsidRPr="009F6DBF">
        <w:rPr>
          <w:rFonts w:asciiTheme="majorHAnsi" w:hAnsiTheme="majorHAnsi" w:cstheme="majorHAnsi"/>
          <w:color w:val="000000" w:themeColor="text1"/>
          <w:sz w:val="24"/>
          <w:szCs w:val="24"/>
          <w:lang w:val="ru-MD"/>
        </w:rPr>
        <w:t>й</w:t>
      </w:r>
      <w:r w:rsidRPr="009F6DBF">
        <w:rPr>
          <w:rFonts w:asciiTheme="majorHAnsi" w:hAnsiTheme="majorHAnsi" w:cstheme="majorHAnsi"/>
          <w:color w:val="000000" w:themeColor="text1"/>
          <w:sz w:val="24"/>
          <w:szCs w:val="24"/>
          <w:lang w:val="ru-MD"/>
        </w:rPr>
        <w:t xml:space="preserve"> п</w:t>
      </w:r>
      <w:r w:rsidR="009F6DBF" w:rsidRPr="009F6DBF">
        <w:rPr>
          <w:rFonts w:asciiTheme="majorHAnsi" w:hAnsiTheme="majorHAnsi" w:cstheme="majorHAnsi"/>
          <w:color w:val="000000" w:themeColor="text1"/>
          <w:sz w:val="24"/>
          <w:szCs w:val="24"/>
          <w:lang w:val="ru-MD"/>
        </w:rPr>
        <w:t>о</w:t>
      </w:r>
      <w:r w:rsidRPr="009F6DBF">
        <w:rPr>
          <w:rFonts w:asciiTheme="majorHAnsi" w:hAnsiTheme="majorHAnsi" w:cstheme="majorHAnsi"/>
          <w:color w:val="000000" w:themeColor="text1"/>
          <w:sz w:val="24"/>
          <w:szCs w:val="24"/>
          <w:lang w:val="ru-MD"/>
        </w:rPr>
        <w:t xml:space="preserve"> составлени</w:t>
      </w:r>
      <w:r w:rsidR="009F6DBF" w:rsidRPr="009F6DBF">
        <w:rPr>
          <w:rFonts w:asciiTheme="majorHAnsi" w:hAnsiTheme="majorHAnsi" w:cstheme="majorHAnsi"/>
          <w:color w:val="000000" w:themeColor="text1"/>
          <w:sz w:val="24"/>
          <w:szCs w:val="24"/>
          <w:lang w:val="ru-MD"/>
        </w:rPr>
        <w:t>ю</w:t>
      </w:r>
      <w:r w:rsidRPr="009F6DBF">
        <w:rPr>
          <w:rFonts w:asciiTheme="majorHAnsi" w:hAnsiTheme="majorHAnsi" w:cstheme="majorHAnsi"/>
          <w:color w:val="000000" w:themeColor="text1"/>
          <w:sz w:val="24"/>
          <w:szCs w:val="24"/>
          <w:lang w:val="ru-MD"/>
        </w:rPr>
        <w:t>/раскрыти</w:t>
      </w:r>
      <w:r w:rsidR="009F6DBF" w:rsidRPr="009F6DBF">
        <w:rPr>
          <w:rFonts w:asciiTheme="majorHAnsi" w:hAnsiTheme="majorHAnsi" w:cstheme="majorHAnsi"/>
          <w:color w:val="000000" w:themeColor="text1"/>
          <w:sz w:val="24"/>
          <w:szCs w:val="24"/>
          <w:lang w:val="ru-MD"/>
        </w:rPr>
        <w:t>ю</w:t>
      </w:r>
      <w:r w:rsidRPr="009F6DBF">
        <w:rPr>
          <w:rFonts w:asciiTheme="majorHAnsi" w:hAnsiTheme="majorHAnsi" w:cstheme="majorHAnsi"/>
          <w:color w:val="000000" w:themeColor="text1"/>
          <w:sz w:val="24"/>
          <w:szCs w:val="24"/>
          <w:lang w:val="ru-MD"/>
        </w:rPr>
        <w:t xml:space="preserve"> информации, относящейся к годовой отчетности для </w:t>
      </w:r>
      <w:r w:rsidR="009F6DBF" w:rsidRPr="009F6DBF">
        <w:rPr>
          <w:rFonts w:asciiTheme="majorHAnsi" w:hAnsiTheme="majorHAnsi" w:cstheme="majorHAnsi"/>
          <w:color w:val="000000" w:themeColor="text1"/>
          <w:sz w:val="24"/>
          <w:szCs w:val="24"/>
          <w:lang w:val="ru-MD"/>
        </w:rPr>
        <w:t>администратора</w:t>
      </w:r>
      <w:r w:rsidRPr="009F6DBF">
        <w:rPr>
          <w:rFonts w:asciiTheme="majorHAnsi" w:hAnsiTheme="majorHAnsi" w:cstheme="majorHAnsi"/>
          <w:color w:val="000000" w:themeColor="text1"/>
          <w:sz w:val="24"/>
          <w:szCs w:val="24"/>
          <w:lang w:val="ru-MD"/>
        </w:rPr>
        <w:t xml:space="preserve"> доход</w:t>
      </w:r>
      <w:r w:rsidR="009F6DBF" w:rsidRPr="009F6DBF">
        <w:rPr>
          <w:rFonts w:asciiTheme="majorHAnsi" w:hAnsiTheme="majorHAnsi" w:cstheme="majorHAnsi"/>
          <w:color w:val="000000" w:themeColor="text1"/>
          <w:sz w:val="24"/>
          <w:szCs w:val="24"/>
          <w:lang w:val="ru-MD"/>
        </w:rPr>
        <w:t>ов</w:t>
      </w:r>
      <w:r w:rsidR="00980736" w:rsidRPr="009F6DBF">
        <w:rPr>
          <w:rFonts w:asciiTheme="majorHAnsi" w:hAnsiTheme="majorHAnsi" w:cstheme="majorHAnsi"/>
          <w:color w:val="000000" w:themeColor="text1"/>
          <w:sz w:val="24"/>
          <w:szCs w:val="24"/>
          <w:lang w:val="ru-MD"/>
        </w:rPr>
        <w:t xml:space="preserve">. </w:t>
      </w:r>
    </w:p>
    <w:p w14:paraId="2C3601D1" w14:textId="71E48408" w:rsidR="00980736" w:rsidRPr="00B20FBD" w:rsidRDefault="00415722" w:rsidP="00980736">
      <w:pPr>
        <w:spacing w:after="120"/>
        <w:jc w:val="both"/>
        <w:rPr>
          <w:rFonts w:asciiTheme="majorHAnsi" w:hAnsiTheme="majorHAnsi" w:cstheme="majorHAnsi"/>
          <w:color w:val="000000" w:themeColor="text1"/>
          <w:sz w:val="24"/>
          <w:szCs w:val="24"/>
          <w:lang w:val="ro-RO"/>
        </w:rPr>
      </w:pPr>
      <w:r w:rsidRPr="00FD42B2">
        <w:rPr>
          <w:rFonts w:asciiTheme="majorHAnsi" w:hAnsiTheme="majorHAnsi" w:cstheme="majorHAnsi"/>
          <w:color w:val="000000" w:themeColor="text1"/>
          <w:sz w:val="24"/>
          <w:szCs w:val="24"/>
          <w:lang w:val="ru-MD"/>
        </w:rPr>
        <w:t xml:space="preserve">Таким образом, обмен статистической информацией между </w:t>
      </w:r>
      <w:r w:rsidR="00FD42B2" w:rsidRPr="00FD42B2">
        <w:rPr>
          <w:rFonts w:asciiTheme="majorHAnsi" w:hAnsiTheme="majorHAnsi" w:cstheme="majorHAnsi"/>
          <w:color w:val="000000" w:themeColor="text1"/>
          <w:sz w:val="24"/>
          <w:szCs w:val="24"/>
          <w:lang w:val="ru-MD"/>
        </w:rPr>
        <w:t xml:space="preserve">ТС </w:t>
      </w:r>
      <w:r w:rsidRPr="00FD42B2">
        <w:rPr>
          <w:rFonts w:asciiTheme="majorHAnsi" w:hAnsiTheme="majorHAnsi" w:cstheme="majorHAnsi"/>
          <w:color w:val="000000" w:themeColor="text1"/>
          <w:sz w:val="24"/>
          <w:szCs w:val="24"/>
          <w:lang w:val="ru-MD"/>
        </w:rPr>
        <w:t xml:space="preserve">и </w:t>
      </w:r>
      <w:r w:rsidR="00FD42B2" w:rsidRPr="00FD42B2">
        <w:rPr>
          <w:rFonts w:asciiTheme="majorHAnsi" w:hAnsiTheme="majorHAnsi" w:cstheme="majorHAnsi"/>
          <w:color w:val="000000" w:themeColor="text1"/>
          <w:sz w:val="24"/>
          <w:szCs w:val="24"/>
          <w:lang w:val="ru-MD"/>
        </w:rPr>
        <w:t>МФ</w:t>
      </w:r>
      <w:r w:rsidRPr="00FD42B2">
        <w:rPr>
          <w:rFonts w:asciiTheme="majorHAnsi" w:hAnsiTheme="majorHAnsi" w:cstheme="majorHAnsi"/>
          <w:color w:val="000000" w:themeColor="text1"/>
          <w:sz w:val="24"/>
          <w:szCs w:val="24"/>
          <w:lang w:val="ru-MD"/>
        </w:rPr>
        <w:t xml:space="preserve"> осуществляется на основе </w:t>
      </w:r>
      <w:r w:rsidR="00FD42B2" w:rsidRPr="00FD42B2">
        <w:rPr>
          <w:rFonts w:asciiTheme="majorHAnsi" w:hAnsiTheme="majorHAnsi" w:cstheme="majorHAnsi"/>
          <w:color w:val="000000" w:themeColor="text1"/>
          <w:sz w:val="24"/>
          <w:szCs w:val="24"/>
          <w:lang w:val="ru-MD"/>
        </w:rPr>
        <w:t>Р</w:t>
      </w:r>
      <w:r w:rsidRPr="00FD42B2">
        <w:rPr>
          <w:rFonts w:asciiTheme="majorHAnsi" w:hAnsiTheme="majorHAnsi" w:cstheme="majorHAnsi"/>
          <w:color w:val="000000" w:themeColor="text1"/>
          <w:sz w:val="24"/>
          <w:szCs w:val="24"/>
          <w:lang w:val="ru-MD"/>
        </w:rPr>
        <w:t>егламента</w:t>
      </w:r>
      <w:r w:rsidR="00FD42B2" w:rsidRPr="00FD42B2">
        <w:rPr>
          <w:rStyle w:val="FootnoteReference"/>
          <w:rFonts w:asciiTheme="majorHAnsi" w:hAnsiTheme="majorHAnsi" w:cstheme="majorHAnsi"/>
          <w:color w:val="000000" w:themeColor="text1"/>
          <w:sz w:val="24"/>
          <w:szCs w:val="24"/>
          <w:lang w:val="ru-MD"/>
        </w:rPr>
        <w:footnoteReference w:id="20"/>
      </w:r>
      <w:r w:rsidRPr="00FD42B2">
        <w:rPr>
          <w:rFonts w:asciiTheme="majorHAnsi" w:hAnsiTheme="majorHAnsi" w:cstheme="majorHAnsi"/>
          <w:color w:val="000000" w:themeColor="text1"/>
          <w:sz w:val="24"/>
          <w:szCs w:val="24"/>
          <w:lang w:val="ru-MD"/>
        </w:rPr>
        <w:t xml:space="preserve">, разработанного и утвержденного в 2005 году, который устарел в контексте </w:t>
      </w:r>
      <w:r w:rsidR="00FD42B2" w:rsidRPr="00FD42B2">
        <w:rPr>
          <w:rFonts w:asciiTheme="majorHAnsi" w:hAnsiTheme="majorHAnsi" w:cstheme="majorHAnsi"/>
          <w:color w:val="000000" w:themeColor="text1"/>
          <w:sz w:val="24"/>
          <w:szCs w:val="24"/>
          <w:lang w:val="ru-MD"/>
        </w:rPr>
        <w:t xml:space="preserve">проведенной в 2015 году </w:t>
      </w:r>
      <w:r w:rsidRPr="00FD42B2">
        <w:rPr>
          <w:rFonts w:asciiTheme="majorHAnsi" w:hAnsiTheme="majorHAnsi" w:cstheme="majorHAnsi"/>
          <w:color w:val="000000" w:themeColor="text1"/>
          <w:sz w:val="24"/>
          <w:szCs w:val="24"/>
          <w:lang w:val="ru-MD"/>
        </w:rPr>
        <w:t xml:space="preserve">реформы </w:t>
      </w:r>
      <w:r w:rsidR="00FD42B2" w:rsidRPr="00FD42B2">
        <w:rPr>
          <w:rFonts w:asciiTheme="majorHAnsi" w:hAnsiTheme="majorHAnsi" w:cstheme="majorHAnsi"/>
          <w:color w:val="000000" w:themeColor="text1"/>
          <w:sz w:val="24"/>
          <w:szCs w:val="24"/>
          <w:lang w:val="ru-MD"/>
        </w:rPr>
        <w:t>публич</w:t>
      </w:r>
      <w:r w:rsidRPr="00FD42B2">
        <w:rPr>
          <w:rFonts w:asciiTheme="majorHAnsi" w:hAnsiTheme="majorHAnsi" w:cstheme="majorHAnsi"/>
          <w:color w:val="000000" w:themeColor="text1"/>
          <w:sz w:val="24"/>
          <w:szCs w:val="24"/>
          <w:lang w:val="ru-MD"/>
        </w:rPr>
        <w:t xml:space="preserve">ных финансов. </w:t>
      </w:r>
      <w:r w:rsidR="00FD42B2" w:rsidRPr="00FD42B2">
        <w:rPr>
          <w:rFonts w:asciiTheme="majorHAnsi" w:hAnsiTheme="majorHAnsi" w:cstheme="majorHAnsi"/>
          <w:color w:val="000000" w:themeColor="text1"/>
          <w:sz w:val="24"/>
          <w:szCs w:val="24"/>
          <w:lang w:val="ru-MD"/>
        </w:rPr>
        <w:t>Кроме того,</w:t>
      </w:r>
      <w:r w:rsidRPr="00FD42B2">
        <w:rPr>
          <w:rFonts w:asciiTheme="majorHAnsi" w:hAnsiTheme="majorHAnsi" w:cstheme="majorHAnsi"/>
          <w:color w:val="000000" w:themeColor="text1"/>
          <w:sz w:val="24"/>
          <w:szCs w:val="24"/>
          <w:lang w:val="ru-MD"/>
        </w:rPr>
        <w:t xml:space="preserve"> формат и структура статистических отчетов</w:t>
      </w:r>
      <w:r w:rsidR="00FD42B2" w:rsidRPr="00FD42B2">
        <w:rPr>
          <w:rStyle w:val="FootnoteReference"/>
          <w:rFonts w:asciiTheme="majorHAnsi" w:hAnsiTheme="majorHAnsi" w:cstheme="majorHAnsi"/>
          <w:color w:val="000000" w:themeColor="text1"/>
          <w:sz w:val="24"/>
          <w:szCs w:val="24"/>
          <w:lang w:val="ru-MD"/>
        </w:rPr>
        <w:footnoteReference w:id="21"/>
      </w:r>
      <w:r w:rsidRPr="00FD42B2">
        <w:rPr>
          <w:rFonts w:asciiTheme="majorHAnsi" w:hAnsiTheme="majorHAnsi" w:cstheme="majorHAnsi"/>
          <w:color w:val="000000" w:themeColor="text1"/>
          <w:sz w:val="24"/>
          <w:szCs w:val="24"/>
          <w:lang w:val="ru-MD"/>
        </w:rPr>
        <w:t xml:space="preserve">, представленных </w:t>
      </w:r>
      <w:r w:rsidR="00FD42B2" w:rsidRPr="00FD42B2">
        <w:rPr>
          <w:rFonts w:asciiTheme="majorHAnsi" w:hAnsiTheme="majorHAnsi" w:cstheme="majorHAnsi"/>
          <w:color w:val="000000" w:themeColor="text1"/>
          <w:sz w:val="24"/>
          <w:szCs w:val="24"/>
          <w:lang w:val="ru-MD"/>
        </w:rPr>
        <w:t>МФ</w:t>
      </w:r>
      <w:r w:rsidRPr="00FD42B2">
        <w:rPr>
          <w:rFonts w:asciiTheme="majorHAnsi" w:hAnsiTheme="majorHAnsi" w:cstheme="majorHAnsi"/>
          <w:color w:val="000000" w:themeColor="text1"/>
          <w:sz w:val="24"/>
          <w:szCs w:val="24"/>
          <w:lang w:val="ru-MD"/>
        </w:rPr>
        <w:t xml:space="preserve">, разрабатываются и утверждаются </w:t>
      </w:r>
      <w:r w:rsidR="00FD42B2" w:rsidRPr="00FD42B2">
        <w:rPr>
          <w:rFonts w:asciiTheme="majorHAnsi" w:hAnsiTheme="majorHAnsi" w:cstheme="majorHAnsi"/>
          <w:color w:val="000000" w:themeColor="text1"/>
          <w:sz w:val="24"/>
          <w:szCs w:val="24"/>
          <w:lang w:val="ru-MD"/>
        </w:rPr>
        <w:t>ТС</w:t>
      </w:r>
      <w:r w:rsidRPr="00FD42B2">
        <w:rPr>
          <w:rFonts w:asciiTheme="majorHAnsi" w:hAnsiTheme="majorHAnsi" w:cstheme="majorHAnsi"/>
          <w:color w:val="000000" w:themeColor="text1"/>
          <w:sz w:val="24"/>
          <w:szCs w:val="24"/>
          <w:lang w:val="ru-MD"/>
        </w:rPr>
        <w:t xml:space="preserve">, что противоречит </w:t>
      </w:r>
      <w:r w:rsidR="00FD42B2" w:rsidRPr="00FD42B2">
        <w:rPr>
          <w:rFonts w:asciiTheme="majorHAnsi" w:hAnsiTheme="majorHAnsi" w:cstheme="majorHAnsi"/>
          <w:color w:val="000000" w:themeColor="text1"/>
          <w:sz w:val="24"/>
          <w:szCs w:val="24"/>
          <w:lang w:val="ru-MD"/>
        </w:rPr>
        <w:t xml:space="preserve">применяемой </w:t>
      </w:r>
      <w:r w:rsidRPr="00FD42B2">
        <w:rPr>
          <w:rFonts w:asciiTheme="majorHAnsi" w:hAnsiTheme="majorHAnsi" w:cstheme="majorHAnsi"/>
          <w:color w:val="000000" w:themeColor="text1"/>
          <w:sz w:val="24"/>
          <w:szCs w:val="24"/>
          <w:lang w:val="ru-MD"/>
        </w:rPr>
        <w:t>нормативно-</w:t>
      </w:r>
      <w:r w:rsidR="00FD42B2" w:rsidRPr="00FD42B2">
        <w:rPr>
          <w:rFonts w:asciiTheme="majorHAnsi" w:hAnsiTheme="majorHAnsi" w:cstheme="majorHAnsi"/>
          <w:color w:val="000000" w:themeColor="text1"/>
          <w:sz w:val="24"/>
          <w:szCs w:val="24"/>
          <w:lang w:val="ru-MD"/>
        </w:rPr>
        <w:t>законодательн</w:t>
      </w:r>
      <w:r w:rsidRPr="00FD42B2">
        <w:rPr>
          <w:rFonts w:asciiTheme="majorHAnsi" w:hAnsiTheme="majorHAnsi" w:cstheme="majorHAnsi"/>
          <w:color w:val="000000" w:themeColor="text1"/>
          <w:sz w:val="24"/>
          <w:szCs w:val="24"/>
          <w:lang w:val="ru-MD"/>
        </w:rPr>
        <w:t>ой базе</w:t>
      </w:r>
      <w:r w:rsidR="00980736" w:rsidRPr="00B20FBD">
        <w:rPr>
          <w:rStyle w:val="FootnoteReference"/>
          <w:rFonts w:asciiTheme="majorHAnsi" w:hAnsiTheme="majorHAnsi" w:cstheme="majorHAnsi"/>
          <w:color w:val="000000" w:themeColor="text1"/>
          <w:sz w:val="24"/>
          <w:szCs w:val="24"/>
          <w:lang w:val="ro-RO"/>
        </w:rPr>
        <w:footnoteReference w:id="22"/>
      </w:r>
      <w:r w:rsidR="00980736" w:rsidRPr="00B20FBD">
        <w:rPr>
          <w:rFonts w:asciiTheme="majorHAnsi" w:hAnsiTheme="majorHAnsi" w:cstheme="majorHAnsi"/>
          <w:color w:val="000000" w:themeColor="text1"/>
          <w:sz w:val="24"/>
          <w:szCs w:val="24"/>
          <w:lang w:val="ro-RO"/>
        </w:rPr>
        <w:t>.</w:t>
      </w:r>
    </w:p>
    <w:p w14:paraId="2EF07A88" w14:textId="4FF021F1" w:rsidR="00462FA2" w:rsidRPr="008130B6" w:rsidRDefault="008130B6" w:rsidP="00C25F91">
      <w:pPr>
        <w:pStyle w:val="ListParagraph"/>
        <w:numPr>
          <w:ilvl w:val="2"/>
          <w:numId w:val="3"/>
        </w:numPr>
        <w:tabs>
          <w:tab w:val="left" w:pos="851"/>
          <w:tab w:val="left" w:pos="993"/>
        </w:tabs>
        <w:spacing w:after="120" w:line="276" w:lineRule="auto"/>
        <w:ind w:left="0" w:firstLine="720"/>
        <w:jc w:val="both"/>
        <w:outlineLvl w:val="2"/>
        <w:rPr>
          <w:rFonts w:asciiTheme="majorHAnsi" w:eastAsia="Times New Roman" w:hAnsiTheme="majorHAnsi" w:cstheme="majorHAnsi"/>
          <w:b/>
          <w:bCs/>
          <w:sz w:val="24"/>
          <w:szCs w:val="24"/>
          <w:lang w:val="ru-MD"/>
        </w:rPr>
      </w:pPr>
      <w:bookmarkStart w:id="49" w:name="_Toc127129404"/>
      <w:r w:rsidRPr="008130B6">
        <w:rPr>
          <w:rFonts w:asciiTheme="majorHAnsi" w:hAnsiTheme="majorHAnsi" w:cstheme="majorHAnsi"/>
          <w:b/>
          <w:color w:val="000000"/>
          <w:sz w:val="24"/>
          <w:szCs w:val="24"/>
          <w:lang w:val="ru-MD"/>
        </w:rPr>
        <w:t>Выявленные расхождения</w:t>
      </w:r>
      <w:r w:rsidR="00C25F91" w:rsidRPr="008130B6">
        <w:rPr>
          <w:rFonts w:asciiTheme="majorHAnsi" w:hAnsiTheme="majorHAnsi" w:cstheme="majorHAnsi"/>
          <w:b/>
          <w:color w:val="000000"/>
          <w:sz w:val="24"/>
          <w:szCs w:val="24"/>
          <w:lang w:val="ru-MD"/>
        </w:rPr>
        <w:t xml:space="preserve"> между официальными статистическими данными о внешней торговле Республик</w:t>
      </w:r>
      <w:r w:rsidRPr="008130B6">
        <w:rPr>
          <w:rFonts w:asciiTheme="majorHAnsi" w:hAnsiTheme="majorHAnsi" w:cstheme="majorHAnsi"/>
          <w:b/>
          <w:color w:val="000000"/>
          <w:sz w:val="24"/>
          <w:szCs w:val="24"/>
          <w:lang w:val="ru-MD"/>
        </w:rPr>
        <w:t>и</w:t>
      </w:r>
      <w:r w:rsidR="00C25F91" w:rsidRPr="008130B6">
        <w:rPr>
          <w:rFonts w:asciiTheme="majorHAnsi" w:hAnsiTheme="majorHAnsi" w:cstheme="majorHAnsi"/>
          <w:b/>
          <w:color w:val="000000"/>
          <w:sz w:val="24"/>
          <w:szCs w:val="24"/>
          <w:lang w:val="ru-MD"/>
        </w:rPr>
        <w:t xml:space="preserve"> Молдова</w:t>
      </w:r>
      <w:r w:rsidRPr="008130B6">
        <w:rPr>
          <w:rFonts w:asciiTheme="majorHAnsi" w:hAnsiTheme="majorHAnsi" w:cstheme="majorHAnsi"/>
          <w:b/>
          <w:color w:val="000000"/>
          <w:sz w:val="24"/>
          <w:szCs w:val="24"/>
          <w:lang w:val="ru-MD"/>
        </w:rPr>
        <w:t>,</w:t>
      </w:r>
      <w:r w:rsidR="00C25F91" w:rsidRPr="008130B6">
        <w:rPr>
          <w:rFonts w:asciiTheme="majorHAnsi" w:hAnsiTheme="majorHAnsi" w:cstheme="majorHAnsi"/>
          <w:b/>
          <w:color w:val="000000"/>
          <w:sz w:val="24"/>
          <w:szCs w:val="24"/>
          <w:lang w:val="ru-MD"/>
        </w:rPr>
        <w:t xml:space="preserve"> с официальными статистическими данными других государств, указывают на не</w:t>
      </w:r>
      <w:r w:rsidR="005539D8">
        <w:rPr>
          <w:rFonts w:asciiTheme="majorHAnsi" w:hAnsiTheme="majorHAnsi" w:cstheme="majorHAnsi"/>
          <w:b/>
          <w:color w:val="000000"/>
          <w:sz w:val="24"/>
          <w:szCs w:val="24"/>
          <w:lang w:val="ru-MD"/>
        </w:rPr>
        <w:t>установление</w:t>
      </w:r>
      <w:r w:rsidR="00C25F91" w:rsidRPr="008130B6">
        <w:rPr>
          <w:rFonts w:asciiTheme="majorHAnsi" w:hAnsiTheme="majorHAnsi" w:cstheme="majorHAnsi"/>
          <w:b/>
          <w:color w:val="000000"/>
          <w:sz w:val="24"/>
          <w:szCs w:val="24"/>
          <w:lang w:val="ru-MD"/>
        </w:rPr>
        <w:t xml:space="preserve"> автоматизированного обмена данными</w:t>
      </w:r>
      <w:r w:rsidRPr="008130B6">
        <w:rPr>
          <w:rFonts w:asciiTheme="majorHAnsi" w:hAnsiTheme="majorHAnsi" w:cstheme="majorHAnsi"/>
          <w:b/>
          <w:color w:val="000000"/>
          <w:sz w:val="24"/>
          <w:szCs w:val="24"/>
          <w:lang w:val="ru-MD"/>
        </w:rPr>
        <w:t xml:space="preserve"> таможенной статистической отчетности</w:t>
      </w:r>
      <w:r w:rsidR="00C25F91" w:rsidRPr="008130B6">
        <w:rPr>
          <w:rFonts w:asciiTheme="majorHAnsi" w:hAnsiTheme="majorHAnsi" w:cstheme="majorHAnsi"/>
          <w:b/>
          <w:color w:val="000000"/>
          <w:sz w:val="24"/>
          <w:szCs w:val="24"/>
          <w:lang w:val="ru-MD"/>
        </w:rPr>
        <w:t>/</w:t>
      </w:r>
      <w:r w:rsidRPr="008130B6">
        <w:rPr>
          <w:rFonts w:asciiTheme="majorHAnsi" w:hAnsiTheme="majorHAnsi" w:cstheme="majorHAnsi"/>
          <w:b/>
          <w:color w:val="000000"/>
          <w:sz w:val="24"/>
          <w:szCs w:val="24"/>
          <w:lang w:val="ru-MD"/>
        </w:rPr>
        <w:t>показателей</w:t>
      </w:r>
      <w:r w:rsidR="00C25F91" w:rsidRPr="008130B6">
        <w:rPr>
          <w:rFonts w:asciiTheme="majorHAnsi" w:hAnsiTheme="majorHAnsi" w:cstheme="majorHAnsi"/>
          <w:b/>
          <w:color w:val="000000"/>
          <w:sz w:val="24"/>
          <w:szCs w:val="24"/>
          <w:lang w:val="ru-MD"/>
        </w:rPr>
        <w:t>/информаци</w:t>
      </w:r>
      <w:r w:rsidRPr="008130B6">
        <w:rPr>
          <w:rFonts w:asciiTheme="majorHAnsi" w:hAnsiTheme="majorHAnsi" w:cstheme="majorHAnsi"/>
          <w:b/>
          <w:color w:val="000000"/>
          <w:sz w:val="24"/>
          <w:szCs w:val="24"/>
          <w:lang w:val="ru-MD"/>
        </w:rPr>
        <w:t>и</w:t>
      </w:r>
      <w:r w:rsidR="00C25F91" w:rsidRPr="008130B6">
        <w:rPr>
          <w:rFonts w:asciiTheme="majorHAnsi" w:hAnsiTheme="majorHAnsi" w:cstheme="majorHAnsi"/>
          <w:b/>
          <w:color w:val="000000"/>
          <w:sz w:val="24"/>
          <w:szCs w:val="24"/>
          <w:lang w:val="ru-MD"/>
        </w:rPr>
        <w:t xml:space="preserve"> с другими государствами</w:t>
      </w:r>
      <w:r w:rsidRPr="008130B6">
        <w:rPr>
          <w:rFonts w:asciiTheme="majorHAnsi" w:hAnsiTheme="majorHAnsi" w:cstheme="majorHAnsi"/>
          <w:b/>
          <w:color w:val="000000"/>
          <w:sz w:val="24"/>
          <w:szCs w:val="24"/>
          <w:lang w:val="ru-MD"/>
        </w:rPr>
        <w:t>, и на наличие</w:t>
      </w:r>
      <w:r w:rsidR="00C25F91" w:rsidRPr="008130B6">
        <w:rPr>
          <w:rFonts w:asciiTheme="majorHAnsi" w:hAnsiTheme="majorHAnsi" w:cstheme="majorHAnsi"/>
          <w:b/>
          <w:color w:val="000000"/>
          <w:sz w:val="24"/>
          <w:szCs w:val="24"/>
          <w:lang w:val="ru-MD"/>
        </w:rPr>
        <w:t xml:space="preserve"> риск</w:t>
      </w:r>
      <w:r w:rsidRPr="008130B6">
        <w:rPr>
          <w:rFonts w:asciiTheme="majorHAnsi" w:hAnsiTheme="majorHAnsi" w:cstheme="majorHAnsi"/>
          <w:b/>
          <w:color w:val="000000"/>
          <w:sz w:val="24"/>
          <w:szCs w:val="24"/>
          <w:lang w:val="ru-MD"/>
        </w:rPr>
        <w:t>ов</w:t>
      </w:r>
      <w:r w:rsidR="00C25F91" w:rsidRPr="008130B6">
        <w:rPr>
          <w:rFonts w:asciiTheme="majorHAnsi" w:hAnsiTheme="majorHAnsi" w:cstheme="majorHAnsi"/>
          <w:b/>
          <w:color w:val="000000"/>
          <w:sz w:val="24"/>
          <w:szCs w:val="24"/>
          <w:lang w:val="ru-MD"/>
        </w:rPr>
        <w:t xml:space="preserve"> возможного уклонения от уплаты </w:t>
      </w:r>
      <w:r w:rsidRPr="008130B6">
        <w:rPr>
          <w:rFonts w:asciiTheme="majorHAnsi" w:hAnsiTheme="majorHAnsi" w:cstheme="majorHAnsi"/>
          <w:b/>
          <w:color w:val="000000"/>
          <w:sz w:val="24"/>
          <w:szCs w:val="24"/>
          <w:lang w:val="ru-MD"/>
        </w:rPr>
        <w:t>таможенных пошлин</w:t>
      </w:r>
      <w:r w:rsidR="00C25F91" w:rsidRPr="008130B6">
        <w:rPr>
          <w:rFonts w:asciiTheme="majorHAnsi" w:hAnsiTheme="majorHAnsi" w:cstheme="majorHAnsi"/>
          <w:b/>
          <w:color w:val="000000"/>
          <w:sz w:val="24"/>
          <w:szCs w:val="24"/>
          <w:lang w:val="ru-MD"/>
        </w:rPr>
        <w:t xml:space="preserve"> и/или мошенничества</w:t>
      </w:r>
      <w:r w:rsidR="00A52691" w:rsidRPr="008130B6">
        <w:rPr>
          <w:rFonts w:asciiTheme="majorHAnsi" w:eastAsia="Times New Roman" w:hAnsiTheme="majorHAnsi" w:cstheme="majorHAnsi"/>
          <w:b/>
          <w:sz w:val="24"/>
          <w:szCs w:val="24"/>
          <w:lang w:val="ru-MD"/>
        </w:rPr>
        <w:t>.</w:t>
      </w:r>
      <w:bookmarkEnd w:id="49"/>
      <w:r w:rsidR="00462FA2" w:rsidRPr="008130B6">
        <w:rPr>
          <w:rFonts w:asciiTheme="majorHAnsi" w:eastAsia="Times New Roman" w:hAnsiTheme="majorHAnsi" w:cstheme="majorHAnsi"/>
          <w:b/>
          <w:sz w:val="24"/>
          <w:szCs w:val="24"/>
          <w:lang w:val="ru-MD"/>
        </w:rPr>
        <w:t xml:space="preserve"> </w:t>
      </w:r>
    </w:p>
    <w:p w14:paraId="5A997172" w14:textId="5009663C" w:rsidR="00462FA2" w:rsidRPr="00B02EBA" w:rsidRDefault="00C25F91" w:rsidP="00462FA2">
      <w:pPr>
        <w:spacing w:after="120"/>
        <w:jc w:val="both"/>
        <w:rPr>
          <w:rFonts w:asciiTheme="majorHAnsi" w:eastAsia="Times New Roman" w:hAnsiTheme="majorHAnsi" w:cstheme="majorHAnsi"/>
          <w:i/>
          <w:sz w:val="24"/>
          <w:szCs w:val="24"/>
          <w:lang w:val="ru-MD"/>
        </w:rPr>
      </w:pPr>
      <w:r w:rsidRPr="00B02EBA">
        <w:rPr>
          <w:rFonts w:asciiTheme="majorHAnsi" w:eastAsia="Times New Roman" w:hAnsiTheme="majorHAnsi" w:cstheme="majorHAnsi"/>
          <w:sz w:val="24"/>
          <w:szCs w:val="24"/>
          <w:lang w:val="ru-MD"/>
        </w:rPr>
        <w:t>Было установлено,</w:t>
      </w:r>
      <w:r w:rsidR="0017427D" w:rsidRPr="00B02EBA">
        <w:rPr>
          <w:rFonts w:asciiTheme="majorHAnsi" w:eastAsia="Times New Roman" w:hAnsiTheme="majorHAnsi" w:cstheme="majorHAnsi"/>
          <w:sz w:val="24"/>
          <w:szCs w:val="24"/>
          <w:lang w:val="ru-MD"/>
        </w:rPr>
        <w:t xml:space="preserve"> </w:t>
      </w:r>
      <w:r w:rsidRPr="00B02EBA">
        <w:rPr>
          <w:rFonts w:asciiTheme="majorHAnsi" w:eastAsia="Times New Roman" w:hAnsiTheme="majorHAnsi" w:cstheme="majorHAnsi"/>
          <w:sz w:val="24"/>
          <w:szCs w:val="24"/>
          <w:lang w:val="ru-MD"/>
        </w:rPr>
        <w:t xml:space="preserve">что в 2021 году стоимость внешнеэкономических операций составила </w:t>
      </w:r>
      <w:r w:rsidRPr="00B02EBA">
        <w:rPr>
          <w:rFonts w:asciiTheme="majorHAnsi" w:eastAsia="Times New Roman" w:hAnsiTheme="majorHAnsi" w:cstheme="majorHAnsi"/>
          <w:b/>
          <w:sz w:val="24"/>
          <w:szCs w:val="24"/>
          <w:lang w:val="ru-MD"/>
        </w:rPr>
        <w:t>10 321,0 млн. долларов США</w:t>
      </w:r>
      <w:r w:rsidRPr="00B02EBA">
        <w:rPr>
          <w:rFonts w:asciiTheme="majorHAnsi" w:eastAsia="Times New Roman" w:hAnsiTheme="majorHAnsi" w:cstheme="majorHAnsi"/>
          <w:sz w:val="24"/>
          <w:szCs w:val="24"/>
          <w:lang w:val="ru-MD"/>
        </w:rPr>
        <w:t xml:space="preserve">, увеличившись на 2 437,9 млн. долларов США (23,6%) по сравнению с 2020 годом и </w:t>
      </w:r>
      <w:r w:rsidR="0017427D" w:rsidRPr="00B02EBA">
        <w:rPr>
          <w:rFonts w:asciiTheme="majorHAnsi" w:eastAsia="Times New Roman" w:hAnsiTheme="majorHAnsi" w:cstheme="majorHAnsi"/>
          <w:sz w:val="24"/>
          <w:szCs w:val="24"/>
          <w:lang w:val="ru-MD"/>
        </w:rPr>
        <w:t xml:space="preserve">на </w:t>
      </w:r>
      <w:r w:rsidRPr="00B02EBA">
        <w:rPr>
          <w:rFonts w:asciiTheme="majorHAnsi" w:eastAsia="Times New Roman" w:hAnsiTheme="majorHAnsi" w:cstheme="majorHAnsi"/>
          <w:sz w:val="24"/>
          <w:szCs w:val="24"/>
          <w:lang w:val="ru-MD"/>
        </w:rPr>
        <w:t xml:space="preserve">1 699,3 млн. долларов США (19,7%) по сравнению с </w:t>
      </w:r>
      <w:r w:rsidR="0017427D" w:rsidRPr="00B02EBA">
        <w:rPr>
          <w:rFonts w:asciiTheme="majorHAnsi" w:eastAsia="Times New Roman" w:hAnsiTheme="majorHAnsi" w:cstheme="majorHAnsi"/>
          <w:sz w:val="24"/>
          <w:szCs w:val="24"/>
          <w:lang w:val="ru-MD"/>
        </w:rPr>
        <w:t>показателя</w:t>
      </w:r>
      <w:r w:rsidRPr="00B02EBA">
        <w:rPr>
          <w:rFonts w:asciiTheme="majorHAnsi" w:eastAsia="Times New Roman" w:hAnsiTheme="majorHAnsi" w:cstheme="majorHAnsi"/>
          <w:sz w:val="24"/>
          <w:szCs w:val="24"/>
          <w:lang w:val="ru-MD"/>
        </w:rPr>
        <w:t xml:space="preserve">ми 2019 года. Эволюция внешней торговли за последние три года </w:t>
      </w:r>
      <w:r w:rsidR="0017427D" w:rsidRPr="00B02EBA">
        <w:rPr>
          <w:rFonts w:asciiTheme="majorHAnsi" w:eastAsia="Times New Roman" w:hAnsiTheme="majorHAnsi" w:cstheme="majorHAnsi"/>
          <w:sz w:val="24"/>
          <w:szCs w:val="24"/>
          <w:lang w:val="ru-MD"/>
        </w:rPr>
        <w:t>представлена</w:t>
      </w:r>
      <w:r w:rsidRPr="00B02EBA">
        <w:rPr>
          <w:rFonts w:asciiTheme="majorHAnsi" w:eastAsia="Times New Roman" w:hAnsiTheme="majorHAnsi" w:cstheme="majorHAnsi"/>
          <w:sz w:val="24"/>
          <w:szCs w:val="24"/>
          <w:lang w:val="ru-MD"/>
        </w:rPr>
        <w:t xml:space="preserve"> в  </w:t>
      </w:r>
      <w:r w:rsidR="00146A62" w:rsidRPr="00B02EBA">
        <w:rPr>
          <w:rFonts w:asciiTheme="majorHAnsi" w:eastAsia="Times New Roman" w:hAnsiTheme="majorHAnsi" w:cstheme="majorHAnsi"/>
          <w:sz w:val="24"/>
          <w:szCs w:val="24"/>
          <w:lang w:val="ru-MD"/>
        </w:rPr>
        <w:t>Диаграмм</w:t>
      </w:r>
      <w:r w:rsidR="0017427D" w:rsidRPr="00B02EBA">
        <w:rPr>
          <w:rFonts w:asciiTheme="majorHAnsi" w:eastAsia="Times New Roman" w:hAnsiTheme="majorHAnsi" w:cstheme="majorHAnsi"/>
          <w:sz w:val="24"/>
          <w:szCs w:val="24"/>
          <w:lang w:val="ru-MD"/>
        </w:rPr>
        <w:t>е</w:t>
      </w:r>
      <w:r w:rsidR="00146A62" w:rsidRPr="00B02EBA">
        <w:rPr>
          <w:rFonts w:asciiTheme="majorHAnsi" w:eastAsia="Times New Roman" w:hAnsiTheme="majorHAnsi" w:cstheme="majorHAnsi"/>
          <w:sz w:val="24"/>
          <w:szCs w:val="24"/>
          <w:lang w:val="ru-MD"/>
        </w:rPr>
        <w:t xml:space="preserve"> №</w:t>
      </w:r>
      <w:r w:rsidR="00FC36C1" w:rsidRPr="00B02EBA">
        <w:rPr>
          <w:rFonts w:asciiTheme="majorHAnsi" w:eastAsia="Times New Roman" w:hAnsiTheme="majorHAnsi" w:cstheme="majorHAnsi"/>
          <w:sz w:val="24"/>
          <w:szCs w:val="24"/>
          <w:lang w:val="ru-MD"/>
        </w:rPr>
        <w:t>4</w:t>
      </w:r>
      <w:r w:rsidR="00462FA2" w:rsidRPr="00B02EBA">
        <w:rPr>
          <w:rFonts w:asciiTheme="majorHAnsi" w:eastAsia="Times New Roman" w:hAnsiTheme="majorHAnsi" w:cstheme="majorHAnsi"/>
          <w:sz w:val="24"/>
          <w:szCs w:val="24"/>
          <w:lang w:val="ru-MD"/>
        </w:rPr>
        <w:t xml:space="preserve">. </w:t>
      </w:r>
      <w:r w:rsidR="00462FA2" w:rsidRPr="00B02EBA">
        <w:rPr>
          <w:rFonts w:asciiTheme="majorHAnsi" w:eastAsia="Times New Roman" w:hAnsiTheme="majorHAnsi" w:cstheme="majorHAnsi"/>
          <w:i/>
          <w:sz w:val="24"/>
          <w:szCs w:val="24"/>
          <w:lang w:val="ru-MD"/>
        </w:rPr>
        <w:t xml:space="preserve"> </w:t>
      </w:r>
    </w:p>
    <w:p w14:paraId="4BA20B8A" w14:textId="7A9C5067" w:rsidR="00462FA2" w:rsidRPr="00395D19" w:rsidRDefault="00462FA2" w:rsidP="00462FA2">
      <w:pPr>
        <w:jc w:val="center"/>
        <w:rPr>
          <w:rFonts w:asciiTheme="majorHAnsi" w:eastAsia="Times New Roman" w:hAnsiTheme="majorHAnsi" w:cstheme="majorHAnsi"/>
          <w:i/>
          <w:sz w:val="20"/>
          <w:szCs w:val="20"/>
          <w:lang w:val="ru-MD"/>
        </w:rPr>
      </w:pPr>
      <w:r w:rsidRPr="00B20FBD">
        <w:rPr>
          <w:rFonts w:asciiTheme="majorHAnsi" w:eastAsia="Times New Roman" w:hAnsiTheme="majorHAnsi" w:cstheme="majorHAnsi"/>
          <w:i/>
          <w:sz w:val="24"/>
          <w:szCs w:val="24"/>
          <w:lang w:val="ro-RO"/>
        </w:rPr>
        <w:t xml:space="preserve">                                                                                                               </w:t>
      </w:r>
      <w:r w:rsidR="00146A62">
        <w:rPr>
          <w:rFonts w:asciiTheme="majorHAnsi" w:eastAsia="Times New Roman" w:hAnsiTheme="majorHAnsi" w:cstheme="majorHAnsi"/>
          <w:i/>
          <w:sz w:val="24"/>
          <w:szCs w:val="24"/>
          <w:lang w:val="ro-RO"/>
        </w:rPr>
        <w:t>Диаграмма №</w:t>
      </w:r>
      <w:r w:rsidR="00FC36C1" w:rsidRPr="00B20FBD">
        <w:rPr>
          <w:rFonts w:asciiTheme="majorHAnsi" w:eastAsia="Times New Roman" w:hAnsiTheme="majorHAnsi" w:cstheme="majorHAnsi"/>
          <w:i/>
          <w:sz w:val="24"/>
          <w:szCs w:val="24"/>
          <w:lang w:val="ro-RO"/>
        </w:rPr>
        <w:t>4</w:t>
      </w:r>
      <w:r w:rsidRPr="00B20FBD">
        <w:rPr>
          <w:rFonts w:asciiTheme="majorHAnsi" w:hAnsiTheme="majorHAnsi" w:cstheme="majorHAnsi"/>
          <w:noProof/>
          <w:shd w:val="clear" w:color="auto" w:fill="000000" w:themeFill="text1"/>
          <w:lang w:val="en-US"/>
        </w:rPr>
        <w:drawing>
          <wp:inline distT="0" distB="0" distL="0" distR="0" wp14:anchorId="3897A5AC" wp14:editId="4E691DB0">
            <wp:extent cx="5486400" cy="2168091"/>
            <wp:effectExtent l="0" t="0" r="0" b="3810"/>
            <wp:docPr id="7"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B20FBD">
        <w:rPr>
          <w:rFonts w:asciiTheme="majorHAnsi" w:eastAsia="Times New Roman" w:hAnsiTheme="majorHAnsi" w:cstheme="majorHAnsi"/>
          <w:b/>
          <w:bCs/>
          <w:i/>
          <w:iCs/>
          <w:sz w:val="20"/>
          <w:szCs w:val="20"/>
          <w:lang w:val="ro-RO"/>
        </w:rPr>
        <w:t xml:space="preserve">                       </w:t>
      </w:r>
      <w:r w:rsidR="00723462" w:rsidRPr="00395D19">
        <w:rPr>
          <w:rFonts w:asciiTheme="majorHAnsi" w:eastAsia="Times New Roman" w:hAnsiTheme="majorHAnsi" w:cstheme="majorHAnsi"/>
          <w:b/>
          <w:bCs/>
          <w:i/>
          <w:iCs/>
          <w:sz w:val="20"/>
          <w:szCs w:val="20"/>
          <w:lang w:val="ru-MD"/>
        </w:rPr>
        <w:t>Источник</w:t>
      </w:r>
      <w:r w:rsidRPr="00395D19">
        <w:rPr>
          <w:rFonts w:asciiTheme="majorHAnsi" w:eastAsia="Times New Roman" w:hAnsiTheme="majorHAnsi" w:cstheme="majorHAnsi"/>
          <w:b/>
          <w:bCs/>
          <w:i/>
          <w:iCs/>
          <w:sz w:val="20"/>
          <w:szCs w:val="20"/>
          <w:lang w:val="ru-MD"/>
        </w:rPr>
        <w:t xml:space="preserve">: </w:t>
      </w:r>
      <w:r w:rsidR="00B728AB" w:rsidRPr="00395D19">
        <w:rPr>
          <w:rFonts w:asciiTheme="majorHAnsi" w:eastAsia="Times New Roman" w:hAnsiTheme="majorHAnsi" w:cstheme="majorHAnsi"/>
          <w:bCs/>
          <w:i/>
          <w:iCs/>
          <w:sz w:val="20"/>
          <w:szCs w:val="20"/>
          <w:lang w:val="ru-MD"/>
        </w:rPr>
        <w:t>Официальная статистическая информация Республики Молдова о внешней торговле за 2019-2021 годы</w:t>
      </w:r>
      <w:r w:rsidRPr="00395D19">
        <w:rPr>
          <w:rFonts w:asciiTheme="majorHAnsi" w:eastAsia="Times New Roman" w:hAnsiTheme="majorHAnsi" w:cstheme="majorHAnsi"/>
          <w:i/>
          <w:sz w:val="20"/>
          <w:szCs w:val="20"/>
          <w:lang w:val="ru-MD"/>
        </w:rPr>
        <w:t>.</w:t>
      </w:r>
    </w:p>
    <w:p w14:paraId="22A180E8" w14:textId="6205DF61" w:rsidR="00462FA2" w:rsidRPr="00395D19" w:rsidRDefault="00C25F91" w:rsidP="00462FA2">
      <w:pPr>
        <w:spacing w:after="0"/>
        <w:jc w:val="both"/>
        <w:rPr>
          <w:rFonts w:asciiTheme="majorHAnsi" w:eastAsia="Times New Roman" w:hAnsiTheme="majorHAnsi" w:cstheme="majorHAnsi"/>
          <w:sz w:val="24"/>
          <w:szCs w:val="24"/>
          <w:lang w:val="ru-MD"/>
        </w:rPr>
      </w:pPr>
      <w:r w:rsidRPr="00395D19">
        <w:rPr>
          <w:rFonts w:asciiTheme="majorHAnsi" w:eastAsia="Times New Roman" w:hAnsiTheme="majorHAnsi" w:cstheme="majorHAnsi"/>
          <w:sz w:val="24"/>
          <w:szCs w:val="24"/>
          <w:lang w:val="ru-MD"/>
        </w:rPr>
        <w:t xml:space="preserve">Данные </w:t>
      </w:r>
      <w:r w:rsidR="00B728AB" w:rsidRPr="00395D19">
        <w:rPr>
          <w:rFonts w:asciiTheme="majorHAnsi" w:eastAsia="Times New Roman" w:hAnsiTheme="majorHAnsi" w:cstheme="majorHAnsi"/>
          <w:sz w:val="24"/>
          <w:szCs w:val="24"/>
          <w:lang w:val="ru-MD"/>
        </w:rPr>
        <w:t xml:space="preserve">из таблицы </w:t>
      </w:r>
      <w:r w:rsidRPr="00395D19">
        <w:rPr>
          <w:rFonts w:asciiTheme="majorHAnsi" w:eastAsia="Times New Roman" w:hAnsiTheme="majorHAnsi" w:cstheme="majorHAnsi"/>
          <w:sz w:val="24"/>
          <w:szCs w:val="24"/>
          <w:lang w:val="ru-MD"/>
        </w:rPr>
        <w:t>свидетельствуют о том, что в структуре внешней торговли импорт преобладает над экспортом в 2,3 раза,</w:t>
      </w:r>
      <w:r w:rsidR="00B728AB" w:rsidRPr="00395D19">
        <w:rPr>
          <w:rFonts w:asciiTheme="majorHAnsi" w:eastAsia="Times New Roman" w:hAnsiTheme="majorHAnsi" w:cstheme="majorHAnsi"/>
          <w:sz w:val="24"/>
          <w:szCs w:val="24"/>
          <w:lang w:val="ru-MD"/>
        </w:rPr>
        <w:t xml:space="preserve"> и</w:t>
      </w:r>
      <w:r w:rsidRPr="00395D19">
        <w:rPr>
          <w:rFonts w:asciiTheme="majorHAnsi" w:eastAsia="Times New Roman" w:hAnsiTheme="majorHAnsi" w:cstheme="majorHAnsi"/>
          <w:sz w:val="24"/>
          <w:szCs w:val="24"/>
          <w:lang w:val="ru-MD"/>
        </w:rPr>
        <w:t xml:space="preserve"> в 2021 году составил 7 176,6 млн. долларов США (69,5%), что на 1760,6 млн. </w:t>
      </w:r>
      <w:r w:rsidR="00B728AB" w:rsidRPr="00395D19">
        <w:rPr>
          <w:rFonts w:asciiTheme="majorHAnsi" w:eastAsia="Times New Roman" w:hAnsiTheme="majorHAnsi" w:cstheme="majorHAnsi"/>
          <w:sz w:val="24"/>
          <w:szCs w:val="24"/>
          <w:lang w:val="ru-MD"/>
        </w:rPr>
        <w:t xml:space="preserve">долларов </w:t>
      </w:r>
      <w:r w:rsidRPr="00395D19">
        <w:rPr>
          <w:rFonts w:asciiTheme="majorHAnsi" w:eastAsia="Times New Roman" w:hAnsiTheme="majorHAnsi" w:cstheme="majorHAnsi"/>
          <w:sz w:val="24"/>
          <w:szCs w:val="24"/>
          <w:lang w:val="ru-MD"/>
        </w:rPr>
        <w:t xml:space="preserve">США (32,5%) </w:t>
      </w:r>
      <w:r w:rsidR="00B728AB" w:rsidRPr="00395D19">
        <w:rPr>
          <w:rFonts w:asciiTheme="majorHAnsi" w:eastAsia="Times New Roman" w:hAnsiTheme="majorHAnsi" w:cstheme="majorHAnsi"/>
          <w:sz w:val="24"/>
          <w:szCs w:val="24"/>
          <w:lang w:val="ru-MD"/>
        </w:rPr>
        <w:t xml:space="preserve">больше </w:t>
      </w:r>
      <w:r w:rsidRPr="00395D19">
        <w:rPr>
          <w:rFonts w:asciiTheme="majorHAnsi" w:eastAsia="Times New Roman" w:hAnsiTheme="majorHAnsi" w:cstheme="majorHAnsi"/>
          <w:sz w:val="24"/>
          <w:szCs w:val="24"/>
          <w:lang w:val="ru-MD"/>
        </w:rPr>
        <w:t>по сравнению с 2020 годом</w:t>
      </w:r>
      <w:r w:rsidR="00B728AB" w:rsidRPr="00395D19">
        <w:rPr>
          <w:rFonts w:asciiTheme="majorHAnsi" w:eastAsia="Times New Roman" w:hAnsiTheme="majorHAnsi" w:cstheme="majorHAnsi"/>
          <w:sz w:val="24"/>
          <w:szCs w:val="24"/>
          <w:lang w:val="ru-MD"/>
        </w:rPr>
        <w:t>,</w:t>
      </w:r>
      <w:r w:rsidRPr="00395D19">
        <w:rPr>
          <w:rFonts w:asciiTheme="majorHAnsi" w:eastAsia="Times New Roman" w:hAnsiTheme="majorHAnsi" w:cstheme="majorHAnsi"/>
          <w:sz w:val="24"/>
          <w:szCs w:val="24"/>
          <w:lang w:val="ru-MD"/>
        </w:rPr>
        <w:t xml:space="preserve"> и </w:t>
      </w:r>
      <w:r w:rsidR="00B728AB" w:rsidRPr="00395D19">
        <w:rPr>
          <w:rFonts w:asciiTheme="majorHAnsi" w:eastAsia="Times New Roman" w:hAnsiTheme="majorHAnsi" w:cstheme="majorHAnsi"/>
          <w:sz w:val="24"/>
          <w:szCs w:val="24"/>
          <w:lang w:val="ru-MD"/>
        </w:rPr>
        <w:t xml:space="preserve">на </w:t>
      </w:r>
      <w:r w:rsidRPr="00395D19">
        <w:rPr>
          <w:rFonts w:asciiTheme="majorHAnsi" w:eastAsia="Times New Roman" w:hAnsiTheme="majorHAnsi" w:cstheme="majorHAnsi"/>
          <w:sz w:val="24"/>
          <w:szCs w:val="24"/>
          <w:lang w:val="ru-MD"/>
        </w:rPr>
        <w:t>1 334,1 млн. долларов США (22,8%) больше по сравнению с 2019 годом. В общем объеме импорта по странам</w:t>
      </w:r>
      <w:r w:rsidR="00B728AB" w:rsidRPr="00395D19">
        <w:rPr>
          <w:rFonts w:asciiTheme="majorHAnsi" w:eastAsia="Times New Roman" w:hAnsiTheme="majorHAnsi" w:cstheme="majorHAnsi"/>
          <w:sz w:val="24"/>
          <w:szCs w:val="24"/>
          <w:lang w:val="ru-MD"/>
        </w:rPr>
        <w:t>,</w:t>
      </w:r>
      <w:r w:rsidRPr="00395D19">
        <w:rPr>
          <w:rFonts w:asciiTheme="majorHAnsi" w:eastAsia="Times New Roman" w:hAnsiTheme="majorHAnsi" w:cstheme="majorHAnsi"/>
          <w:sz w:val="24"/>
          <w:szCs w:val="24"/>
          <w:lang w:val="ru-MD"/>
        </w:rPr>
        <w:t xml:space="preserve"> </w:t>
      </w:r>
      <w:r w:rsidR="00B728AB" w:rsidRPr="00395D19">
        <w:rPr>
          <w:rFonts w:asciiTheme="majorHAnsi" w:eastAsia="Times New Roman" w:hAnsiTheme="majorHAnsi" w:cstheme="majorHAnsi"/>
          <w:sz w:val="24"/>
          <w:szCs w:val="24"/>
          <w:lang w:val="ru-MD"/>
        </w:rPr>
        <w:t>удельный вес в</w:t>
      </w:r>
      <w:r w:rsidRPr="00395D19">
        <w:rPr>
          <w:rFonts w:asciiTheme="majorHAnsi" w:eastAsia="Times New Roman" w:hAnsiTheme="majorHAnsi" w:cstheme="majorHAnsi"/>
          <w:sz w:val="24"/>
          <w:szCs w:val="24"/>
          <w:lang w:val="ru-MD"/>
        </w:rPr>
        <w:t xml:space="preserve"> 43,8% (3 149,1 </w:t>
      </w:r>
      <w:r w:rsidR="00B728AB" w:rsidRPr="00395D19">
        <w:rPr>
          <w:rFonts w:asciiTheme="majorHAnsi" w:eastAsia="Times New Roman" w:hAnsiTheme="majorHAnsi" w:cstheme="majorHAnsi"/>
          <w:sz w:val="24"/>
          <w:szCs w:val="24"/>
          <w:lang w:val="ru-MD"/>
        </w:rPr>
        <w:t>млн. долларов США</w:t>
      </w:r>
      <w:r w:rsidRPr="00395D19">
        <w:rPr>
          <w:rFonts w:asciiTheme="majorHAnsi" w:eastAsia="Times New Roman" w:hAnsiTheme="majorHAnsi" w:cstheme="majorHAnsi"/>
          <w:sz w:val="24"/>
          <w:szCs w:val="24"/>
          <w:lang w:val="ru-MD"/>
        </w:rPr>
        <w:t xml:space="preserve">) </w:t>
      </w:r>
      <w:r w:rsidR="00B728AB" w:rsidRPr="00395D19">
        <w:rPr>
          <w:rFonts w:asciiTheme="majorHAnsi" w:eastAsia="Times New Roman" w:hAnsiTheme="majorHAnsi" w:cstheme="majorHAnsi"/>
          <w:sz w:val="24"/>
          <w:szCs w:val="24"/>
          <w:lang w:val="ru-MD"/>
        </w:rPr>
        <w:t>приходится на</w:t>
      </w:r>
      <w:r w:rsidRPr="00395D19">
        <w:rPr>
          <w:rFonts w:asciiTheme="majorHAnsi" w:eastAsia="Times New Roman" w:hAnsiTheme="majorHAnsi" w:cstheme="majorHAnsi"/>
          <w:sz w:val="24"/>
          <w:szCs w:val="24"/>
          <w:lang w:val="ru-MD"/>
        </w:rPr>
        <w:t xml:space="preserve"> стран</w:t>
      </w:r>
      <w:r w:rsidR="00B728AB" w:rsidRPr="00395D19">
        <w:rPr>
          <w:rFonts w:asciiTheme="majorHAnsi" w:eastAsia="Times New Roman" w:hAnsiTheme="majorHAnsi" w:cstheme="majorHAnsi"/>
          <w:sz w:val="24"/>
          <w:szCs w:val="24"/>
          <w:lang w:val="ru-MD"/>
        </w:rPr>
        <w:t>ы</w:t>
      </w:r>
      <w:r w:rsidRPr="00395D19">
        <w:rPr>
          <w:rFonts w:asciiTheme="majorHAnsi" w:eastAsia="Times New Roman" w:hAnsiTheme="majorHAnsi" w:cstheme="majorHAnsi"/>
          <w:sz w:val="24"/>
          <w:szCs w:val="24"/>
          <w:lang w:val="ru-MD"/>
        </w:rPr>
        <w:t xml:space="preserve"> Европейского Союза, за ними следуют другие страны - 29,5% (2122,2 </w:t>
      </w:r>
      <w:r w:rsidR="00B728AB" w:rsidRPr="00395D19">
        <w:rPr>
          <w:rFonts w:asciiTheme="majorHAnsi" w:eastAsia="Times New Roman" w:hAnsiTheme="majorHAnsi" w:cstheme="majorHAnsi"/>
          <w:sz w:val="24"/>
          <w:szCs w:val="24"/>
          <w:lang w:val="ru-MD"/>
        </w:rPr>
        <w:t>млн. долларов США</w:t>
      </w:r>
      <w:r w:rsidRPr="00395D19">
        <w:rPr>
          <w:rFonts w:asciiTheme="majorHAnsi" w:eastAsia="Times New Roman" w:hAnsiTheme="majorHAnsi" w:cstheme="majorHAnsi"/>
          <w:sz w:val="24"/>
          <w:szCs w:val="24"/>
          <w:lang w:val="ru-MD"/>
        </w:rPr>
        <w:t>) и стран</w:t>
      </w:r>
      <w:r w:rsidR="00B728AB" w:rsidRPr="00395D19">
        <w:rPr>
          <w:rFonts w:asciiTheme="majorHAnsi" w:eastAsia="Times New Roman" w:hAnsiTheme="majorHAnsi" w:cstheme="majorHAnsi"/>
          <w:sz w:val="24"/>
          <w:szCs w:val="24"/>
          <w:lang w:val="ru-MD"/>
        </w:rPr>
        <w:t>ы</w:t>
      </w:r>
      <w:r w:rsidRPr="00395D19">
        <w:rPr>
          <w:rFonts w:asciiTheme="majorHAnsi" w:eastAsia="Times New Roman" w:hAnsiTheme="majorHAnsi" w:cstheme="majorHAnsi"/>
          <w:sz w:val="24"/>
          <w:szCs w:val="24"/>
          <w:lang w:val="ru-MD"/>
        </w:rPr>
        <w:t xml:space="preserve"> Содружества Независимых Государств – 26,7% (1 905,3 млн. долларов США)</w:t>
      </w:r>
      <w:r w:rsidR="00462FA2" w:rsidRPr="00395D19">
        <w:rPr>
          <w:rFonts w:asciiTheme="majorHAnsi" w:eastAsia="Times New Roman" w:hAnsiTheme="majorHAnsi" w:cstheme="majorHAnsi"/>
          <w:sz w:val="24"/>
          <w:szCs w:val="24"/>
          <w:lang w:val="ru-MD"/>
        </w:rPr>
        <w:t xml:space="preserve">. </w:t>
      </w:r>
    </w:p>
    <w:p w14:paraId="28DAFA9B" w14:textId="3CDE9190" w:rsidR="00462FA2" w:rsidRPr="00395D19" w:rsidRDefault="00C25F91" w:rsidP="00D418F4">
      <w:pPr>
        <w:spacing w:after="120"/>
        <w:jc w:val="both"/>
        <w:rPr>
          <w:rFonts w:asciiTheme="majorHAnsi" w:eastAsia="Times New Roman" w:hAnsiTheme="majorHAnsi" w:cstheme="majorHAnsi"/>
          <w:sz w:val="24"/>
          <w:szCs w:val="24"/>
          <w:lang w:val="ru-MD"/>
        </w:rPr>
      </w:pPr>
      <w:r w:rsidRPr="00395D19">
        <w:rPr>
          <w:rFonts w:asciiTheme="majorHAnsi" w:eastAsia="Times New Roman" w:hAnsiTheme="majorHAnsi" w:cstheme="majorHAnsi"/>
          <w:sz w:val="24"/>
          <w:szCs w:val="24"/>
          <w:lang w:val="ru-MD"/>
        </w:rPr>
        <w:t xml:space="preserve">Экспорт в 2021 году составил в </w:t>
      </w:r>
      <w:r w:rsidR="00B728AB" w:rsidRPr="00395D19">
        <w:rPr>
          <w:rFonts w:asciiTheme="majorHAnsi" w:eastAsia="Times New Roman" w:hAnsiTheme="majorHAnsi" w:cstheme="majorHAnsi"/>
          <w:sz w:val="24"/>
          <w:szCs w:val="24"/>
          <w:lang w:val="ru-MD"/>
        </w:rPr>
        <w:t>целом</w:t>
      </w:r>
      <w:r w:rsidRPr="00395D19">
        <w:rPr>
          <w:rFonts w:asciiTheme="majorHAnsi" w:eastAsia="Times New Roman" w:hAnsiTheme="majorHAnsi" w:cstheme="majorHAnsi"/>
          <w:sz w:val="24"/>
          <w:szCs w:val="24"/>
          <w:lang w:val="ru-MD"/>
        </w:rPr>
        <w:t xml:space="preserve"> 3 144,4 млн. долларов США (30,5%), </w:t>
      </w:r>
      <w:r w:rsidR="00B728AB" w:rsidRPr="00395D19">
        <w:rPr>
          <w:rFonts w:asciiTheme="majorHAnsi" w:eastAsia="Times New Roman" w:hAnsiTheme="majorHAnsi" w:cstheme="majorHAnsi"/>
          <w:sz w:val="24"/>
          <w:szCs w:val="24"/>
          <w:lang w:val="ru-MD"/>
        </w:rPr>
        <w:t>или</w:t>
      </w:r>
      <w:r w:rsidRPr="00395D19">
        <w:rPr>
          <w:rFonts w:asciiTheme="majorHAnsi" w:eastAsia="Times New Roman" w:hAnsiTheme="majorHAnsi" w:cstheme="majorHAnsi"/>
          <w:sz w:val="24"/>
          <w:szCs w:val="24"/>
          <w:lang w:val="ru-MD"/>
        </w:rPr>
        <w:t xml:space="preserve"> на 677,3 </w:t>
      </w:r>
      <w:r w:rsidR="00B728AB" w:rsidRPr="00395D19">
        <w:rPr>
          <w:rFonts w:asciiTheme="majorHAnsi" w:eastAsia="Times New Roman" w:hAnsiTheme="majorHAnsi" w:cstheme="majorHAnsi"/>
          <w:sz w:val="24"/>
          <w:szCs w:val="24"/>
          <w:lang w:val="ru-MD"/>
        </w:rPr>
        <w:t>млн. долларов США</w:t>
      </w:r>
      <w:r w:rsidRPr="00395D19">
        <w:rPr>
          <w:rFonts w:asciiTheme="majorHAnsi" w:eastAsia="Times New Roman" w:hAnsiTheme="majorHAnsi" w:cstheme="majorHAnsi"/>
          <w:sz w:val="24"/>
          <w:szCs w:val="24"/>
          <w:lang w:val="ru-MD"/>
        </w:rPr>
        <w:t xml:space="preserve"> (21,5) </w:t>
      </w:r>
      <w:r w:rsidR="00B728AB" w:rsidRPr="00395D19">
        <w:rPr>
          <w:rFonts w:asciiTheme="majorHAnsi" w:eastAsia="Times New Roman" w:hAnsiTheme="majorHAnsi" w:cstheme="majorHAnsi"/>
          <w:sz w:val="24"/>
          <w:szCs w:val="24"/>
          <w:lang w:val="ru-MD"/>
        </w:rPr>
        <w:t xml:space="preserve">больше </w:t>
      </w:r>
      <w:r w:rsidRPr="00395D19">
        <w:rPr>
          <w:rFonts w:asciiTheme="majorHAnsi" w:eastAsia="Times New Roman" w:hAnsiTheme="majorHAnsi" w:cstheme="majorHAnsi"/>
          <w:sz w:val="24"/>
          <w:szCs w:val="24"/>
          <w:lang w:val="ru-MD"/>
        </w:rPr>
        <w:t>по сравнению с 2020 годом</w:t>
      </w:r>
      <w:r w:rsidR="00B728AB" w:rsidRPr="00395D19">
        <w:rPr>
          <w:rFonts w:asciiTheme="majorHAnsi" w:eastAsia="Times New Roman" w:hAnsiTheme="majorHAnsi" w:cstheme="majorHAnsi"/>
          <w:sz w:val="24"/>
          <w:szCs w:val="24"/>
          <w:lang w:val="ru-MD"/>
        </w:rPr>
        <w:t>,</w:t>
      </w:r>
      <w:r w:rsidRPr="00395D19">
        <w:rPr>
          <w:rFonts w:asciiTheme="majorHAnsi" w:eastAsia="Times New Roman" w:hAnsiTheme="majorHAnsi" w:cstheme="majorHAnsi"/>
          <w:sz w:val="24"/>
          <w:szCs w:val="24"/>
          <w:lang w:val="ru-MD"/>
        </w:rPr>
        <w:t xml:space="preserve"> и на 365,2 млн. долларов США (11,6%) ниже уровня 2019 года. </w:t>
      </w:r>
      <w:r w:rsidR="00B728AB" w:rsidRPr="00395D19">
        <w:rPr>
          <w:rFonts w:asciiTheme="majorHAnsi" w:eastAsia="Times New Roman" w:hAnsiTheme="majorHAnsi" w:cstheme="majorHAnsi"/>
          <w:sz w:val="24"/>
          <w:szCs w:val="24"/>
          <w:lang w:val="ru-MD"/>
        </w:rPr>
        <w:t xml:space="preserve">Удельный вес в </w:t>
      </w:r>
      <w:r w:rsidRPr="00395D19">
        <w:rPr>
          <w:rFonts w:asciiTheme="majorHAnsi" w:eastAsia="Times New Roman" w:hAnsiTheme="majorHAnsi" w:cstheme="majorHAnsi"/>
          <w:sz w:val="24"/>
          <w:szCs w:val="24"/>
          <w:lang w:val="ru-MD"/>
        </w:rPr>
        <w:t xml:space="preserve">61,1% (1 919,4 </w:t>
      </w:r>
      <w:r w:rsidR="00B728AB" w:rsidRPr="00395D19">
        <w:rPr>
          <w:rFonts w:asciiTheme="majorHAnsi" w:eastAsia="Times New Roman" w:hAnsiTheme="majorHAnsi" w:cstheme="majorHAnsi"/>
          <w:sz w:val="24"/>
          <w:szCs w:val="24"/>
          <w:lang w:val="ru-MD"/>
        </w:rPr>
        <w:t>млн. долларов США</w:t>
      </w:r>
      <w:r w:rsidRPr="00395D19">
        <w:rPr>
          <w:rFonts w:asciiTheme="majorHAnsi" w:eastAsia="Times New Roman" w:hAnsiTheme="majorHAnsi" w:cstheme="majorHAnsi"/>
          <w:sz w:val="24"/>
          <w:szCs w:val="24"/>
          <w:lang w:val="ru-MD"/>
        </w:rPr>
        <w:t xml:space="preserve">) </w:t>
      </w:r>
      <w:r w:rsidR="00B728AB" w:rsidRPr="00395D19">
        <w:rPr>
          <w:rFonts w:asciiTheme="majorHAnsi" w:eastAsia="Times New Roman" w:hAnsiTheme="majorHAnsi" w:cstheme="majorHAnsi"/>
          <w:sz w:val="24"/>
          <w:szCs w:val="24"/>
          <w:lang w:val="ru-MD"/>
        </w:rPr>
        <w:t>занима</w:t>
      </w:r>
      <w:r w:rsidRPr="00395D19">
        <w:rPr>
          <w:rFonts w:asciiTheme="majorHAnsi" w:eastAsia="Times New Roman" w:hAnsiTheme="majorHAnsi" w:cstheme="majorHAnsi"/>
          <w:sz w:val="24"/>
          <w:szCs w:val="24"/>
          <w:lang w:val="ru-MD"/>
        </w:rPr>
        <w:t xml:space="preserve">ет экспорт в страны Европейского Союза, за которым следует экспорт в другие страны - 24,1% (758,8 </w:t>
      </w:r>
      <w:r w:rsidR="00B728AB" w:rsidRPr="00395D19">
        <w:rPr>
          <w:rFonts w:asciiTheme="majorHAnsi" w:eastAsia="Times New Roman" w:hAnsiTheme="majorHAnsi" w:cstheme="majorHAnsi"/>
          <w:sz w:val="24"/>
          <w:szCs w:val="24"/>
          <w:lang w:val="ru-MD"/>
        </w:rPr>
        <w:t>млн. долларов США</w:t>
      </w:r>
      <w:r w:rsidRPr="00395D19">
        <w:rPr>
          <w:rFonts w:asciiTheme="majorHAnsi" w:eastAsia="Times New Roman" w:hAnsiTheme="majorHAnsi" w:cstheme="majorHAnsi"/>
          <w:sz w:val="24"/>
          <w:szCs w:val="24"/>
          <w:lang w:val="ru-MD"/>
        </w:rPr>
        <w:t>) и экспорт в страны СНГ – 14,8% (466,2 млн. долларов США)</w:t>
      </w:r>
      <w:r w:rsidR="00462FA2" w:rsidRPr="00395D19">
        <w:rPr>
          <w:rFonts w:asciiTheme="majorHAnsi" w:eastAsia="Times New Roman" w:hAnsiTheme="majorHAnsi" w:cstheme="majorHAnsi"/>
          <w:sz w:val="24"/>
          <w:szCs w:val="24"/>
          <w:lang w:val="ru-MD"/>
        </w:rPr>
        <w:t xml:space="preserve">. </w:t>
      </w:r>
    </w:p>
    <w:p w14:paraId="73CCDA3B" w14:textId="0FBCA2E1" w:rsidR="00462FA2" w:rsidRPr="00395D19" w:rsidRDefault="00B728AB" w:rsidP="00D418F4">
      <w:pPr>
        <w:spacing w:after="120"/>
        <w:jc w:val="both"/>
        <w:rPr>
          <w:rFonts w:asciiTheme="majorHAnsi" w:eastAsia="Times New Roman" w:hAnsiTheme="majorHAnsi" w:cstheme="majorHAnsi"/>
          <w:sz w:val="24"/>
          <w:szCs w:val="24"/>
          <w:lang w:val="ru-MD"/>
        </w:rPr>
      </w:pPr>
      <w:r w:rsidRPr="00395D19">
        <w:rPr>
          <w:rFonts w:asciiTheme="majorHAnsi" w:eastAsia="Times New Roman" w:hAnsiTheme="majorHAnsi" w:cstheme="majorHAnsi"/>
          <w:sz w:val="24"/>
          <w:szCs w:val="24"/>
          <w:lang w:val="ru-MD"/>
        </w:rPr>
        <w:t>Выявленное расхождение</w:t>
      </w:r>
      <w:r w:rsidR="00C25F91" w:rsidRPr="00395D19">
        <w:rPr>
          <w:rFonts w:asciiTheme="majorHAnsi" w:eastAsia="Times New Roman" w:hAnsiTheme="majorHAnsi" w:cstheme="majorHAnsi"/>
          <w:sz w:val="24"/>
          <w:szCs w:val="24"/>
          <w:lang w:val="ru-MD"/>
        </w:rPr>
        <w:t xml:space="preserve"> в </w:t>
      </w:r>
      <w:r w:rsidRPr="00395D19">
        <w:rPr>
          <w:rFonts w:asciiTheme="majorHAnsi" w:eastAsia="Times New Roman" w:hAnsiTheme="majorHAnsi" w:cstheme="majorHAnsi"/>
          <w:sz w:val="24"/>
          <w:szCs w:val="24"/>
          <w:lang w:val="ru-MD"/>
        </w:rPr>
        <w:t>эволюц</w:t>
      </w:r>
      <w:r w:rsidR="00C25F91" w:rsidRPr="00395D19">
        <w:rPr>
          <w:rFonts w:asciiTheme="majorHAnsi" w:eastAsia="Times New Roman" w:hAnsiTheme="majorHAnsi" w:cstheme="majorHAnsi"/>
          <w:sz w:val="24"/>
          <w:szCs w:val="24"/>
          <w:lang w:val="ru-MD"/>
        </w:rPr>
        <w:t>ии экспорта и импорта</w:t>
      </w:r>
      <w:r w:rsidRPr="00395D19">
        <w:rPr>
          <w:rFonts w:asciiTheme="majorHAnsi" w:eastAsia="Times New Roman" w:hAnsiTheme="majorHAnsi" w:cstheme="majorHAnsi"/>
          <w:sz w:val="24"/>
          <w:szCs w:val="24"/>
          <w:lang w:val="ru-MD"/>
        </w:rPr>
        <w:t xml:space="preserve"> </w:t>
      </w:r>
      <w:r w:rsidR="00C25F91" w:rsidRPr="00395D19">
        <w:rPr>
          <w:rFonts w:asciiTheme="majorHAnsi" w:eastAsia="Times New Roman" w:hAnsiTheme="majorHAnsi" w:cstheme="majorHAnsi"/>
          <w:sz w:val="24"/>
          <w:szCs w:val="24"/>
          <w:lang w:val="ru-MD"/>
        </w:rPr>
        <w:t>привел</w:t>
      </w:r>
      <w:r w:rsidRPr="00395D19">
        <w:rPr>
          <w:rFonts w:asciiTheme="majorHAnsi" w:eastAsia="Times New Roman" w:hAnsiTheme="majorHAnsi" w:cstheme="majorHAnsi"/>
          <w:sz w:val="24"/>
          <w:szCs w:val="24"/>
          <w:lang w:val="ru-MD"/>
        </w:rPr>
        <w:t>о</w:t>
      </w:r>
      <w:r w:rsidR="00C25F91" w:rsidRPr="00395D19">
        <w:rPr>
          <w:rFonts w:asciiTheme="majorHAnsi" w:eastAsia="Times New Roman" w:hAnsiTheme="majorHAnsi" w:cstheme="majorHAnsi"/>
          <w:sz w:val="24"/>
          <w:szCs w:val="24"/>
          <w:lang w:val="ru-MD"/>
        </w:rPr>
        <w:t xml:space="preserve"> к формированию в 2021 году дефицита торгового баланса </w:t>
      </w:r>
      <w:r w:rsidRPr="00395D19">
        <w:rPr>
          <w:rFonts w:asciiTheme="majorHAnsi" w:eastAsia="Times New Roman" w:hAnsiTheme="majorHAnsi" w:cstheme="majorHAnsi"/>
          <w:sz w:val="24"/>
          <w:szCs w:val="24"/>
          <w:lang w:val="ru-MD"/>
        </w:rPr>
        <w:t>на сумму</w:t>
      </w:r>
      <w:r w:rsidR="00C25F91" w:rsidRPr="00395D19">
        <w:rPr>
          <w:rFonts w:asciiTheme="majorHAnsi" w:eastAsia="Times New Roman" w:hAnsiTheme="majorHAnsi" w:cstheme="majorHAnsi"/>
          <w:sz w:val="24"/>
          <w:szCs w:val="24"/>
          <w:lang w:val="ru-MD"/>
        </w:rPr>
        <w:t xml:space="preserve"> 4 042, 2 млн. долларов США, увеличившись на 37,0% (1 093,3 млн. долларов США) по сравнению с 2020 годом.  </w:t>
      </w:r>
      <w:r w:rsidRPr="00395D19">
        <w:rPr>
          <w:rFonts w:asciiTheme="majorHAnsi" w:eastAsia="Times New Roman" w:hAnsiTheme="majorHAnsi" w:cstheme="majorHAnsi"/>
          <w:sz w:val="24"/>
          <w:szCs w:val="24"/>
          <w:lang w:val="ru-MD"/>
        </w:rPr>
        <w:t>Остаток</w:t>
      </w:r>
      <w:r w:rsidR="00C25F91" w:rsidRPr="00395D19">
        <w:rPr>
          <w:rFonts w:asciiTheme="majorHAnsi" w:eastAsia="Times New Roman" w:hAnsiTheme="majorHAnsi" w:cstheme="majorHAnsi"/>
          <w:sz w:val="24"/>
          <w:szCs w:val="24"/>
          <w:lang w:val="ru-MD"/>
        </w:rPr>
        <w:t xml:space="preserve"> торгового баланса со странами Европейского Союза </w:t>
      </w:r>
      <w:r w:rsidRPr="00395D19">
        <w:rPr>
          <w:rFonts w:asciiTheme="majorHAnsi" w:eastAsia="Times New Roman" w:hAnsiTheme="majorHAnsi" w:cstheme="majorHAnsi"/>
          <w:sz w:val="24"/>
          <w:szCs w:val="24"/>
          <w:lang w:val="ru-MD"/>
        </w:rPr>
        <w:t xml:space="preserve">был закрыт с </w:t>
      </w:r>
      <w:r w:rsidR="00C25F91" w:rsidRPr="00395D19">
        <w:rPr>
          <w:rFonts w:asciiTheme="majorHAnsi" w:eastAsia="Times New Roman" w:hAnsiTheme="majorHAnsi" w:cstheme="majorHAnsi"/>
          <w:sz w:val="24"/>
          <w:szCs w:val="24"/>
          <w:lang w:val="ru-MD"/>
        </w:rPr>
        <w:t xml:space="preserve">дефицитом в 1 229,7 млн. долларов США (30,4%), </w:t>
      </w:r>
      <w:r w:rsidR="005C2AE8" w:rsidRPr="00395D19">
        <w:rPr>
          <w:rFonts w:asciiTheme="majorHAnsi" w:eastAsia="Times New Roman" w:hAnsiTheme="majorHAnsi" w:cstheme="majorHAnsi"/>
          <w:sz w:val="24"/>
          <w:szCs w:val="24"/>
          <w:lang w:val="ru-MD"/>
        </w:rPr>
        <w:t>или</w:t>
      </w:r>
      <w:r w:rsidR="00C25F91" w:rsidRPr="00395D19">
        <w:rPr>
          <w:rFonts w:asciiTheme="majorHAnsi" w:eastAsia="Times New Roman" w:hAnsiTheme="majorHAnsi" w:cstheme="majorHAnsi"/>
          <w:sz w:val="24"/>
          <w:szCs w:val="24"/>
          <w:lang w:val="ru-MD"/>
        </w:rPr>
        <w:t xml:space="preserve"> на 399,3 млн. долларов США (29,5%) </w:t>
      </w:r>
      <w:r w:rsidR="005C2AE8" w:rsidRPr="00395D19">
        <w:rPr>
          <w:rFonts w:asciiTheme="majorHAnsi" w:eastAsia="Times New Roman" w:hAnsiTheme="majorHAnsi" w:cstheme="majorHAnsi"/>
          <w:sz w:val="24"/>
          <w:szCs w:val="24"/>
          <w:lang w:val="ru-MD"/>
        </w:rPr>
        <w:t xml:space="preserve">больше </w:t>
      </w:r>
      <w:r w:rsidR="00C25F91" w:rsidRPr="00395D19">
        <w:rPr>
          <w:rFonts w:asciiTheme="majorHAnsi" w:eastAsia="Times New Roman" w:hAnsiTheme="majorHAnsi" w:cstheme="majorHAnsi"/>
          <w:sz w:val="24"/>
          <w:szCs w:val="24"/>
          <w:lang w:val="ru-MD"/>
        </w:rPr>
        <w:t>по сравнению с 2020 годом. На уровне стран СНГ торговый баланс за</w:t>
      </w:r>
      <w:r w:rsidR="005C2AE8" w:rsidRPr="00395D19">
        <w:rPr>
          <w:rFonts w:asciiTheme="majorHAnsi" w:eastAsia="Times New Roman" w:hAnsiTheme="majorHAnsi" w:cstheme="majorHAnsi"/>
          <w:sz w:val="24"/>
          <w:szCs w:val="24"/>
          <w:lang w:val="ru-MD"/>
        </w:rPr>
        <w:t>регистр</w:t>
      </w:r>
      <w:r w:rsidR="00C25F91" w:rsidRPr="00395D19">
        <w:rPr>
          <w:rFonts w:asciiTheme="majorHAnsi" w:eastAsia="Times New Roman" w:hAnsiTheme="majorHAnsi" w:cstheme="majorHAnsi"/>
          <w:sz w:val="24"/>
          <w:szCs w:val="24"/>
          <w:lang w:val="ru-MD"/>
        </w:rPr>
        <w:t xml:space="preserve">ировал дефицит в 1 439,1 млн. долларов США (35,6%), </w:t>
      </w:r>
      <w:r w:rsidR="005C2AE8" w:rsidRPr="00395D19">
        <w:rPr>
          <w:rFonts w:asciiTheme="majorHAnsi" w:eastAsia="Times New Roman" w:hAnsiTheme="majorHAnsi" w:cstheme="majorHAnsi"/>
          <w:sz w:val="24"/>
          <w:szCs w:val="24"/>
          <w:lang w:val="ru-MD"/>
        </w:rPr>
        <w:t>или</w:t>
      </w:r>
      <w:r w:rsidR="00C25F91" w:rsidRPr="00395D19">
        <w:rPr>
          <w:rFonts w:asciiTheme="majorHAnsi" w:eastAsia="Times New Roman" w:hAnsiTheme="majorHAnsi" w:cstheme="majorHAnsi"/>
          <w:sz w:val="24"/>
          <w:szCs w:val="24"/>
          <w:lang w:val="ru-MD"/>
        </w:rPr>
        <w:t xml:space="preserve"> на 498,3 млн. долларов США </w:t>
      </w:r>
      <w:r w:rsidR="005C2AE8" w:rsidRPr="00395D19">
        <w:rPr>
          <w:rFonts w:asciiTheme="majorHAnsi" w:eastAsia="Times New Roman" w:hAnsiTheme="majorHAnsi" w:cstheme="majorHAnsi"/>
          <w:sz w:val="24"/>
          <w:szCs w:val="24"/>
          <w:lang w:val="ru-MD"/>
        </w:rPr>
        <w:t xml:space="preserve">больше </w:t>
      </w:r>
      <w:r w:rsidR="00C25F91" w:rsidRPr="00395D19">
        <w:rPr>
          <w:rFonts w:asciiTheme="majorHAnsi" w:eastAsia="Times New Roman" w:hAnsiTheme="majorHAnsi" w:cstheme="majorHAnsi"/>
          <w:sz w:val="24"/>
          <w:szCs w:val="24"/>
          <w:lang w:val="ru-MD"/>
        </w:rPr>
        <w:t xml:space="preserve">в результате сокращения экспорта в эти страны в 2021 году. Степень </w:t>
      </w:r>
      <w:r w:rsidR="005C2AE8" w:rsidRPr="00395D19">
        <w:rPr>
          <w:rFonts w:asciiTheme="majorHAnsi" w:eastAsia="Times New Roman" w:hAnsiTheme="majorHAnsi" w:cstheme="majorHAnsi"/>
          <w:sz w:val="24"/>
          <w:szCs w:val="24"/>
          <w:lang w:val="ru-MD"/>
        </w:rPr>
        <w:t>покрытия</w:t>
      </w:r>
      <w:r w:rsidR="00C25F91" w:rsidRPr="00395D19">
        <w:rPr>
          <w:rFonts w:asciiTheme="majorHAnsi" w:eastAsia="Times New Roman" w:hAnsiTheme="majorHAnsi" w:cstheme="majorHAnsi"/>
          <w:sz w:val="24"/>
          <w:szCs w:val="24"/>
          <w:lang w:val="ru-MD"/>
        </w:rPr>
        <w:t xml:space="preserve"> </w:t>
      </w:r>
      <w:r w:rsidR="005C2AE8" w:rsidRPr="00395D19">
        <w:rPr>
          <w:rFonts w:asciiTheme="majorHAnsi" w:eastAsia="Times New Roman" w:hAnsiTheme="majorHAnsi" w:cstheme="majorHAnsi"/>
          <w:sz w:val="24"/>
          <w:szCs w:val="24"/>
          <w:lang w:val="ru-MD"/>
        </w:rPr>
        <w:t xml:space="preserve">импорта </w:t>
      </w:r>
      <w:r w:rsidR="00C25F91" w:rsidRPr="00395D19">
        <w:rPr>
          <w:rFonts w:asciiTheme="majorHAnsi" w:eastAsia="Times New Roman" w:hAnsiTheme="majorHAnsi" w:cstheme="majorHAnsi"/>
          <w:sz w:val="24"/>
          <w:szCs w:val="24"/>
          <w:lang w:val="ru-MD"/>
        </w:rPr>
        <w:t>экспорт</w:t>
      </w:r>
      <w:r w:rsidR="005C2AE8" w:rsidRPr="00395D19">
        <w:rPr>
          <w:rFonts w:asciiTheme="majorHAnsi" w:eastAsia="Times New Roman" w:hAnsiTheme="majorHAnsi" w:cstheme="majorHAnsi"/>
          <w:sz w:val="24"/>
          <w:szCs w:val="24"/>
          <w:lang w:val="ru-MD"/>
        </w:rPr>
        <w:t>о</w:t>
      </w:r>
      <w:r w:rsidR="00C25F91" w:rsidRPr="00395D19">
        <w:rPr>
          <w:rFonts w:asciiTheme="majorHAnsi" w:eastAsia="Times New Roman" w:hAnsiTheme="majorHAnsi" w:cstheme="majorHAnsi"/>
          <w:sz w:val="24"/>
          <w:szCs w:val="24"/>
          <w:lang w:val="ru-MD"/>
        </w:rPr>
        <w:t>м в 2021 году составила 43,8%</w:t>
      </w:r>
      <w:r w:rsidR="005C2AE8" w:rsidRPr="00395D19">
        <w:rPr>
          <w:rFonts w:asciiTheme="majorHAnsi" w:eastAsia="Times New Roman" w:hAnsiTheme="majorHAnsi" w:cstheme="majorHAnsi"/>
          <w:sz w:val="24"/>
          <w:szCs w:val="24"/>
          <w:lang w:val="ru-MD"/>
        </w:rPr>
        <w:t>,</w:t>
      </w:r>
      <w:r w:rsidR="00C25F91" w:rsidRPr="00395D19">
        <w:rPr>
          <w:rFonts w:asciiTheme="majorHAnsi" w:eastAsia="Times New Roman" w:hAnsiTheme="majorHAnsi" w:cstheme="majorHAnsi"/>
          <w:sz w:val="24"/>
          <w:szCs w:val="24"/>
          <w:lang w:val="ru-MD"/>
        </w:rPr>
        <w:t xml:space="preserve"> и снизилась на 1,8% по сравнению с 2020 годом</w:t>
      </w:r>
      <w:r w:rsidR="00462FA2" w:rsidRPr="00395D19">
        <w:rPr>
          <w:rFonts w:asciiTheme="majorHAnsi" w:eastAsia="Times New Roman" w:hAnsiTheme="majorHAnsi" w:cstheme="majorHAnsi"/>
          <w:sz w:val="24"/>
          <w:szCs w:val="24"/>
          <w:lang w:val="ru-MD"/>
        </w:rPr>
        <w:t xml:space="preserve">. </w:t>
      </w:r>
    </w:p>
    <w:p w14:paraId="14DD060B" w14:textId="52467469" w:rsidR="00462FA2" w:rsidRPr="00395D19" w:rsidRDefault="00C25F91" w:rsidP="00462FA2">
      <w:pPr>
        <w:tabs>
          <w:tab w:val="left" w:pos="851"/>
        </w:tabs>
        <w:spacing w:after="120"/>
        <w:jc w:val="both"/>
        <w:rPr>
          <w:rFonts w:asciiTheme="majorHAnsi" w:eastAsia="Times New Roman" w:hAnsiTheme="majorHAnsi" w:cstheme="majorHAnsi"/>
          <w:sz w:val="24"/>
          <w:szCs w:val="24"/>
          <w:lang w:val="ru-MD"/>
        </w:rPr>
      </w:pPr>
      <w:r w:rsidRPr="00395D19">
        <w:rPr>
          <w:rFonts w:asciiTheme="majorHAnsi" w:hAnsiTheme="majorHAnsi" w:cstheme="majorHAnsi"/>
          <w:sz w:val="24"/>
          <w:szCs w:val="24"/>
          <w:lang w:val="ru-MD"/>
        </w:rPr>
        <w:t>Согласно Национальному плану действий по внедрению Соглашения об ассоциации Республика Молдова-Европейский Союз в период 2017-2019 г</w:t>
      </w:r>
      <w:r w:rsidR="005C2AE8" w:rsidRPr="00395D19">
        <w:rPr>
          <w:rFonts w:asciiTheme="majorHAnsi" w:hAnsiTheme="majorHAnsi" w:cstheme="majorHAnsi"/>
          <w:sz w:val="24"/>
          <w:szCs w:val="24"/>
          <w:lang w:val="ru-MD"/>
        </w:rPr>
        <w:t>одов</w:t>
      </w:r>
      <w:r w:rsidRPr="00395D19">
        <w:rPr>
          <w:rFonts w:asciiTheme="majorHAnsi" w:hAnsiTheme="majorHAnsi" w:cstheme="majorHAnsi"/>
          <w:sz w:val="24"/>
          <w:szCs w:val="24"/>
          <w:lang w:val="ru-MD"/>
        </w:rPr>
        <w:t>, утвержденному Постановлением Правительства</w:t>
      </w:r>
      <w:r w:rsidR="005C2AE8" w:rsidRPr="00395D19">
        <w:rPr>
          <w:rStyle w:val="FootnoteReference"/>
          <w:rFonts w:asciiTheme="majorHAnsi" w:hAnsiTheme="majorHAnsi" w:cstheme="majorHAnsi"/>
          <w:sz w:val="24"/>
          <w:szCs w:val="24"/>
          <w:lang w:val="ru-MD"/>
        </w:rPr>
        <w:footnoteReference w:id="23"/>
      </w:r>
      <w:r w:rsidRPr="00395D19">
        <w:rPr>
          <w:rFonts w:asciiTheme="majorHAnsi" w:hAnsiTheme="majorHAnsi" w:cstheme="majorHAnsi"/>
          <w:sz w:val="24"/>
          <w:szCs w:val="24"/>
          <w:lang w:val="ru-MD"/>
        </w:rPr>
        <w:t xml:space="preserve">, </w:t>
      </w:r>
      <w:r w:rsidR="00395D19" w:rsidRPr="00395D19">
        <w:rPr>
          <w:rFonts w:asciiTheme="majorHAnsi" w:hAnsiTheme="majorHAnsi" w:cstheme="majorHAnsi"/>
          <w:sz w:val="24"/>
          <w:szCs w:val="24"/>
          <w:lang w:val="ru-MD"/>
        </w:rPr>
        <w:t>в</w:t>
      </w:r>
      <w:r w:rsidRPr="00395D19">
        <w:rPr>
          <w:rFonts w:asciiTheme="majorHAnsi" w:hAnsiTheme="majorHAnsi" w:cstheme="majorHAnsi"/>
          <w:sz w:val="24"/>
          <w:szCs w:val="24"/>
          <w:lang w:val="ru-MD"/>
        </w:rPr>
        <w:t xml:space="preserve"> цел</w:t>
      </w:r>
      <w:r w:rsidR="00395D19" w:rsidRPr="00395D19">
        <w:rPr>
          <w:rFonts w:asciiTheme="majorHAnsi" w:hAnsiTheme="majorHAnsi" w:cstheme="majorHAnsi"/>
          <w:sz w:val="24"/>
          <w:szCs w:val="24"/>
          <w:lang w:val="ru-MD"/>
        </w:rPr>
        <w:t>ях</w:t>
      </w:r>
      <w:r w:rsidRPr="00395D19">
        <w:rPr>
          <w:rFonts w:asciiTheme="majorHAnsi" w:hAnsiTheme="majorHAnsi" w:cstheme="majorHAnsi"/>
          <w:sz w:val="24"/>
          <w:szCs w:val="24"/>
          <w:lang w:val="ru-MD"/>
        </w:rPr>
        <w:t xml:space="preserve"> </w:t>
      </w:r>
      <w:r w:rsidR="00395D19" w:rsidRPr="00395D19">
        <w:rPr>
          <w:rFonts w:asciiTheme="majorHAnsi" w:hAnsiTheme="majorHAnsi" w:cstheme="majorHAnsi"/>
          <w:sz w:val="24"/>
          <w:szCs w:val="24"/>
          <w:lang w:val="ru-MD"/>
        </w:rPr>
        <w:t>укрепления мер по борьбе с мошенничеством и для предупреждения незаконной торговли, в том числе товарами, подверженными акцизам</w:t>
      </w:r>
      <w:r w:rsidRPr="00395D19">
        <w:rPr>
          <w:rFonts w:asciiTheme="majorHAnsi" w:hAnsiTheme="majorHAnsi" w:cstheme="majorHAnsi"/>
          <w:sz w:val="24"/>
          <w:szCs w:val="24"/>
          <w:lang w:val="ru-MD"/>
        </w:rPr>
        <w:t xml:space="preserve">, </w:t>
      </w:r>
      <w:r w:rsidR="005C2AE8" w:rsidRPr="00395D19">
        <w:rPr>
          <w:rFonts w:asciiTheme="majorHAnsi" w:hAnsiTheme="majorHAnsi" w:cstheme="majorHAnsi"/>
          <w:sz w:val="24"/>
          <w:szCs w:val="24"/>
          <w:lang w:val="ru-MD"/>
        </w:rPr>
        <w:t>ТС</w:t>
      </w:r>
      <w:r w:rsidRPr="00395D19">
        <w:rPr>
          <w:rFonts w:asciiTheme="majorHAnsi" w:hAnsiTheme="majorHAnsi" w:cstheme="majorHAnsi"/>
          <w:sz w:val="24"/>
          <w:szCs w:val="24"/>
          <w:lang w:val="ru-MD"/>
        </w:rPr>
        <w:t xml:space="preserve"> должна была обеспечить эффективный процесс административной помощи </w:t>
      </w:r>
      <w:r w:rsidR="00395D19" w:rsidRPr="00395D19">
        <w:rPr>
          <w:rFonts w:asciiTheme="majorHAnsi" w:hAnsiTheme="majorHAnsi" w:cstheme="majorHAnsi"/>
          <w:sz w:val="24"/>
          <w:szCs w:val="24"/>
          <w:lang w:val="ru-MD"/>
        </w:rPr>
        <w:t xml:space="preserve">со </w:t>
      </w:r>
      <w:r w:rsidRPr="00395D19">
        <w:rPr>
          <w:rFonts w:asciiTheme="majorHAnsi" w:hAnsiTheme="majorHAnsi" w:cstheme="majorHAnsi"/>
          <w:sz w:val="24"/>
          <w:szCs w:val="24"/>
          <w:lang w:val="ru-MD"/>
        </w:rPr>
        <w:t>странам</w:t>
      </w:r>
      <w:r w:rsidR="00395D19" w:rsidRPr="00395D19">
        <w:rPr>
          <w:rFonts w:asciiTheme="majorHAnsi" w:hAnsiTheme="majorHAnsi" w:cstheme="majorHAnsi"/>
          <w:sz w:val="24"/>
          <w:szCs w:val="24"/>
          <w:lang w:val="ru-MD"/>
        </w:rPr>
        <w:t>и</w:t>
      </w:r>
      <w:r w:rsidRPr="00395D19">
        <w:rPr>
          <w:rFonts w:asciiTheme="majorHAnsi" w:hAnsiTheme="majorHAnsi" w:cstheme="majorHAnsi"/>
          <w:sz w:val="24"/>
          <w:szCs w:val="24"/>
          <w:lang w:val="ru-MD"/>
        </w:rPr>
        <w:t xml:space="preserve"> Европейского Союза, а также осуществлять совместный контроль на границе с Румынией, крайний срок достижения целей-четвертый квартал 2019 года. Компетентные органы Республики Молдова и ЕС должны были </w:t>
      </w:r>
      <w:r w:rsidR="00BF5A24" w:rsidRPr="00395D19">
        <w:rPr>
          <w:rFonts w:asciiTheme="majorHAnsi" w:hAnsiTheme="majorHAnsi" w:cstheme="majorHAnsi"/>
          <w:sz w:val="24"/>
          <w:szCs w:val="24"/>
          <w:lang w:val="ru-MD"/>
        </w:rPr>
        <w:t xml:space="preserve">периодически </w:t>
      </w:r>
      <w:r w:rsidRPr="00395D19">
        <w:rPr>
          <w:rFonts w:asciiTheme="majorHAnsi" w:hAnsiTheme="majorHAnsi" w:cstheme="majorHAnsi"/>
          <w:sz w:val="24"/>
          <w:szCs w:val="24"/>
          <w:lang w:val="ru-MD"/>
        </w:rPr>
        <w:t>осуществлять обмен информацией, а также по запросу одной из сторон</w:t>
      </w:r>
      <w:r w:rsidR="00462FA2" w:rsidRPr="00395D19">
        <w:rPr>
          <w:rFonts w:asciiTheme="majorHAnsi" w:hAnsiTheme="majorHAnsi" w:cstheme="majorHAnsi"/>
          <w:sz w:val="24"/>
          <w:szCs w:val="24"/>
          <w:lang w:val="ru-MD"/>
        </w:rPr>
        <w:t>.</w:t>
      </w:r>
    </w:p>
    <w:p w14:paraId="7E3D8A2A" w14:textId="76FB969B" w:rsidR="00462FA2" w:rsidRPr="00AF66DE" w:rsidRDefault="00AF66DE" w:rsidP="00462FA2">
      <w:pPr>
        <w:tabs>
          <w:tab w:val="left" w:pos="851"/>
        </w:tabs>
        <w:spacing w:after="120"/>
        <w:jc w:val="both"/>
        <w:rPr>
          <w:rFonts w:asciiTheme="majorHAnsi" w:eastAsia="Times New Roman" w:hAnsiTheme="majorHAnsi" w:cstheme="majorHAnsi"/>
          <w:sz w:val="24"/>
          <w:szCs w:val="24"/>
          <w:lang w:val="ru-MD"/>
        </w:rPr>
      </w:pPr>
      <w:r>
        <w:rPr>
          <w:rFonts w:asciiTheme="majorHAnsi" w:eastAsia="Times New Roman" w:hAnsiTheme="majorHAnsi" w:cstheme="majorHAnsi"/>
          <w:sz w:val="24"/>
          <w:szCs w:val="24"/>
          <w:lang w:val="ru-MD" w:eastAsia="ro-RO"/>
        </w:rPr>
        <w:t>Одновременно</w:t>
      </w:r>
      <w:r w:rsidR="004A752B" w:rsidRPr="00AF66DE">
        <w:rPr>
          <w:rFonts w:asciiTheme="majorHAnsi" w:eastAsia="Times New Roman" w:hAnsiTheme="majorHAnsi" w:cstheme="majorHAnsi"/>
          <w:sz w:val="24"/>
          <w:szCs w:val="24"/>
          <w:lang w:val="ru-MD" w:eastAsia="ro-RO"/>
        </w:rPr>
        <w:t>, согласно Таможенному кодексу</w:t>
      </w:r>
      <w:r w:rsidR="00462FA2" w:rsidRPr="00AF66DE">
        <w:rPr>
          <w:rStyle w:val="FootnoteReference"/>
          <w:rFonts w:asciiTheme="majorHAnsi" w:eastAsia="Times New Roman" w:hAnsiTheme="majorHAnsi" w:cstheme="majorHAnsi"/>
          <w:sz w:val="24"/>
          <w:szCs w:val="24"/>
          <w:lang w:val="ru-MD" w:eastAsia="ro-RO"/>
        </w:rPr>
        <w:footnoteReference w:id="24"/>
      </w:r>
      <w:r w:rsidR="00462FA2" w:rsidRPr="00AF66DE">
        <w:rPr>
          <w:rFonts w:asciiTheme="majorHAnsi" w:eastAsia="Times New Roman" w:hAnsiTheme="majorHAnsi" w:cstheme="majorHAnsi"/>
          <w:sz w:val="24"/>
          <w:szCs w:val="24"/>
          <w:lang w:val="ru-MD"/>
        </w:rPr>
        <w:t xml:space="preserve">, </w:t>
      </w:r>
      <w:r w:rsidR="004A752B" w:rsidRPr="00AF66DE">
        <w:rPr>
          <w:rFonts w:asciiTheme="majorHAnsi" w:eastAsia="Times New Roman" w:hAnsiTheme="majorHAnsi" w:cstheme="majorHAnsi"/>
          <w:sz w:val="24"/>
          <w:szCs w:val="24"/>
          <w:lang w:val="ru-MD"/>
        </w:rPr>
        <w:t>т</w:t>
      </w:r>
      <w:r w:rsidR="004C4B82" w:rsidRPr="00AF66DE">
        <w:rPr>
          <w:rFonts w:asciiTheme="majorHAnsi" w:eastAsia="Times New Roman" w:hAnsiTheme="majorHAnsi" w:cstheme="majorHAnsi"/>
          <w:sz w:val="24"/>
          <w:szCs w:val="24"/>
          <w:lang w:val="ru-MD"/>
        </w:rPr>
        <w:t>аможенны</w:t>
      </w:r>
      <w:r w:rsidR="004A752B" w:rsidRPr="00AF66DE">
        <w:rPr>
          <w:rFonts w:asciiTheme="majorHAnsi" w:eastAsia="Times New Roman" w:hAnsiTheme="majorHAnsi" w:cstheme="majorHAnsi"/>
          <w:sz w:val="24"/>
          <w:szCs w:val="24"/>
          <w:lang w:val="ru-MD"/>
        </w:rPr>
        <w:t>й</w:t>
      </w:r>
      <w:r w:rsidR="004C4B82" w:rsidRPr="00AF66DE">
        <w:rPr>
          <w:rFonts w:asciiTheme="majorHAnsi" w:eastAsia="Times New Roman" w:hAnsiTheme="majorHAnsi" w:cstheme="majorHAnsi"/>
          <w:sz w:val="24"/>
          <w:szCs w:val="24"/>
          <w:lang w:val="ru-MD"/>
        </w:rPr>
        <w:t xml:space="preserve"> орган </w:t>
      </w:r>
      <w:r w:rsidR="004A752B" w:rsidRPr="00AF66DE">
        <w:rPr>
          <w:rFonts w:asciiTheme="majorHAnsi" w:eastAsia="Times New Roman" w:hAnsiTheme="majorHAnsi" w:cstheme="majorHAnsi"/>
          <w:sz w:val="24"/>
          <w:szCs w:val="24"/>
          <w:lang w:val="ru-MD"/>
        </w:rPr>
        <w:t xml:space="preserve">обязан </w:t>
      </w:r>
      <w:r w:rsidR="004C4B82" w:rsidRPr="00AF66DE">
        <w:rPr>
          <w:rFonts w:asciiTheme="majorHAnsi" w:eastAsia="Times New Roman" w:hAnsiTheme="majorHAnsi" w:cstheme="majorHAnsi"/>
          <w:sz w:val="24"/>
          <w:szCs w:val="24"/>
          <w:lang w:val="ru-MD"/>
        </w:rPr>
        <w:t>обеспечива</w:t>
      </w:r>
      <w:r w:rsidR="004A752B" w:rsidRPr="00AF66DE">
        <w:rPr>
          <w:rFonts w:asciiTheme="majorHAnsi" w:eastAsia="Times New Roman" w:hAnsiTheme="majorHAnsi" w:cstheme="majorHAnsi"/>
          <w:sz w:val="24"/>
          <w:szCs w:val="24"/>
          <w:lang w:val="ru-MD"/>
        </w:rPr>
        <w:t>ть</w:t>
      </w:r>
      <w:r w:rsidR="004C4B82" w:rsidRPr="00AF66DE">
        <w:rPr>
          <w:rFonts w:asciiTheme="majorHAnsi" w:eastAsia="Times New Roman" w:hAnsiTheme="majorHAnsi" w:cstheme="majorHAnsi"/>
          <w:sz w:val="24"/>
          <w:szCs w:val="24"/>
          <w:lang w:val="ru-MD"/>
        </w:rPr>
        <w:t xml:space="preserve"> экономическую безопасность государства</w:t>
      </w:r>
      <w:r w:rsidR="004A752B" w:rsidRPr="00AF66DE">
        <w:rPr>
          <w:rFonts w:asciiTheme="majorHAnsi" w:eastAsia="Times New Roman" w:hAnsiTheme="majorHAnsi" w:cstheme="majorHAnsi"/>
          <w:sz w:val="24"/>
          <w:szCs w:val="24"/>
          <w:lang w:val="ru-MD"/>
        </w:rPr>
        <w:t xml:space="preserve"> и</w:t>
      </w:r>
      <w:r w:rsidR="004C4B82" w:rsidRPr="00AF66DE">
        <w:rPr>
          <w:rFonts w:asciiTheme="majorHAnsi" w:eastAsia="Times New Roman" w:hAnsiTheme="majorHAnsi" w:cstheme="majorHAnsi"/>
          <w:sz w:val="24"/>
          <w:szCs w:val="24"/>
          <w:lang w:val="ru-MD"/>
        </w:rPr>
        <w:t xml:space="preserve"> защища</w:t>
      </w:r>
      <w:r w:rsidR="004A752B" w:rsidRPr="00AF66DE">
        <w:rPr>
          <w:rFonts w:asciiTheme="majorHAnsi" w:eastAsia="Times New Roman" w:hAnsiTheme="majorHAnsi" w:cstheme="majorHAnsi"/>
          <w:sz w:val="24"/>
          <w:szCs w:val="24"/>
          <w:lang w:val="ru-MD"/>
        </w:rPr>
        <w:t>ть</w:t>
      </w:r>
      <w:r w:rsidR="004C4B82" w:rsidRPr="00AF66DE">
        <w:rPr>
          <w:rFonts w:asciiTheme="majorHAnsi" w:eastAsia="Times New Roman" w:hAnsiTheme="majorHAnsi" w:cstheme="majorHAnsi"/>
          <w:sz w:val="24"/>
          <w:szCs w:val="24"/>
          <w:lang w:val="ru-MD"/>
        </w:rPr>
        <w:t xml:space="preserve"> экономические интересы государства</w:t>
      </w:r>
      <w:r w:rsidR="004A752B" w:rsidRPr="00AF66DE">
        <w:rPr>
          <w:rFonts w:asciiTheme="majorHAnsi" w:eastAsia="Times New Roman" w:hAnsiTheme="majorHAnsi" w:cstheme="majorHAnsi"/>
          <w:sz w:val="24"/>
          <w:szCs w:val="24"/>
          <w:lang w:val="ru-MD"/>
        </w:rPr>
        <w:t>;</w:t>
      </w:r>
      <w:r w:rsidR="004C4B82" w:rsidRPr="00AF66DE">
        <w:rPr>
          <w:rFonts w:asciiTheme="majorHAnsi" w:eastAsia="Times New Roman" w:hAnsiTheme="majorHAnsi" w:cstheme="majorHAnsi"/>
          <w:sz w:val="24"/>
          <w:szCs w:val="24"/>
          <w:lang w:val="ru-MD"/>
        </w:rPr>
        <w:t xml:space="preserve"> </w:t>
      </w:r>
      <w:r w:rsidR="004A752B" w:rsidRPr="00AF66DE">
        <w:rPr>
          <w:rFonts w:asciiTheme="majorHAnsi" w:eastAsia="Times New Roman" w:hAnsiTheme="majorHAnsi" w:cstheme="majorHAnsi"/>
          <w:sz w:val="24"/>
          <w:szCs w:val="24"/>
          <w:lang w:val="ru-MD"/>
        </w:rPr>
        <w:t>р</w:t>
      </w:r>
      <w:r w:rsidR="004C4B82" w:rsidRPr="00AF66DE">
        <w:rPr>
          <w:rFonts w:asciiTheme="majorHAnsi" w:eastAsia="Times New Roman" w:hAnsiTheme="majorHAnsi" w:cstheme="majorHAnsi"/>
          <w:sz w:val="24"/>
          <w:szCs w:val="24"/>
          <w:lang w:val="ru-MD"/>
        </w:rPr>
        <w:t>азраб</w:t>
      </w:r>
      <w:r w:rsidR="004A752B" w:rsidRPr="00AF66DE">
        <w:rPr>
          <w:rFonts w:asciiTheme="majorHAnsi" w:eastAsia="Times New Roman" w:hAnsiTheme="majorHAnsi" w:cstheme="majorHAnsi"/>
          <w:sz w:val="24"/>
          <w:szCs w:val="24"/>
          <w:lang w:val="ru-MD"/>
        </w:rPr>
        <w:t>атывать</w:t>
      </w:r>
      <w:r w:rsidR="004C4B82" w:rsidRPr="00AF66DE">
        <w:rPr>
          <w:rFonts w:asciiTheme="majorHAnsi" w:eastAsia="Times New Roman" w:hAnsiTheme="majorHAnsi" w:cstheme="majorHAnsi"/>
          <w:sz w:val="24"/>
          <w:szCs w:val="24"/>
          <w:lang w:val="ru-MD"/>
        </w:rPr>
        <w:t xml:space="preserve"> международны</w:t>
      </w:r>
      <w:r w:rsidR="004A752B" w:rsidRPr="00AF66DE">
        <w:rPr>
          <w:rFonts w:asciiTheme="majorHAnsi" w:eastAsia="Times New Roman" w:hAnsiTheme="majorHAnsi" w:cstheme="majorHAnsi"/>
          <w:sz w:val="24"/>
          <w:szCs w:val="24"/>
          <w:lang w:val="ru-MD"/>
        </w:rPr>
        <w:t>е</w:t>
      </w:r>
      <w:r w:rsidR="004C4B82" w:rsidRPr="00AF66DE">
        <w:rPr>
          <w:rFonts w:asciiTheme="majorHAnsi" w:eastAsia="Times New Roman" w:hAnsiTheme="majorHAnsi" w:cstheme="majorHAnsi"/>
          <w:sz w:val="24"/>
          <w:szCs w:val="24"/>
          <w:lang w:val="ru-MD"/>
        </w:rPr>
        <w:t xml:space="preserve"> соглашени</w:t>
      </w:r>
      <w:r w:rsidR="004A752B" w:rsidRPr="00AF66DE">
        <w:rPr>
          <w:rFonts w:asciiTheme="majorHAnsi" w:eastAsia="Times New Roman" w:hAnsiTheme="majorHAnsi" w:cstheme="majorHAnsi"/>
          <w:sz w:val="24"/>
          <w:szCs w:val="24"/>
          <w:lang w:val="ru-MD"/>
        </w:rPr>
        <w:t>я</w:t>
      </w:r>
      <w:r w:rsidR="004C4B82" w:rsidRPr="00AF66DE">
        <w:rPr>
          <w:rFonts w:asciiTheme="majorHAnsi" w:eastAsia="Times New Roman" w:hAnsiTheme="majorHAnsi" w:cstheme="majorHAnsi"/>
          <w:sz w:val="24"/>
          <w:szCs w:val="24"/>
          <w:lang w:val="ru-MD"/>
        </w:rPr>
        <w:t xml:space="preserve"> в области таможенного дела; осуществля</w:t>
      </w:r>
      <w:r w:rsidR="004A752B" w:rsidRPr="00AF66DE">
        <w:rPr>
          <w:rFonts w:asciiTheme="majorHAnsi" w:eastAsia="Times New Roman" w:hAnsiTheme="majorHAnsi" w:cstheme="majorHAnsi"/>
          <w:sz w:val="24"/>
          <w:szCs w:val="24"/>
          <w:lang w:val="ru-MD"/>
        </w:rPr>
        <w:t>ть</w:t>
      </w:r>
      <w:r w:rsidR="004C4B82" w:rsidRPr="00AF66DE">
        <w:rPr>
          <w:rFonts w:asciiTheme="majorHAnsi" w:eastAsia="Times New Roman" w:hAnsiTheme="majorHAnsi" w:cstheme="majorHAnsi"/>
          <w:sz w:val="24"/>
          <w:szCs w:val="24"/>
          <w:lang w:val="ru-MD"/>
        </w:rPr>
        <w:t xml:space="preserve"> сотрудничество с таможенными и иными компетентными органами иностранных государств, международными организациями, занимающимися вопросами таможенного дела</w:t>
      </w:r>
      <w:r w:rsidR="00462FA2" w:rsidRPr="00AF66DE">
        <w:rPr>
          <w:rFonts w:asciiTheme="majorHAnsi" w:eastAsia="Times New Roman" w:hAnsiTheme="majorHAnsi" w:cstheme="majorHAnsi"/>
          <w:sz w:val="24"/>
          <w:szCs w:val="24"/>
          <w:lang w:val="ru-MD"/>
        </w:rPr>
        <w:t xml:space="preserve">. </w:t>
      </w:r>
      <w:r w:rsidR="004C4B82" w:rsidRPr="00AF66DE">
        <w:rPr>
          <w:rFonts w:asciiTheme="majorHAnsi" w:eastAsia="Times New Roman" w:hAnsiTheme="majorHAnsi" w:cstheme="majorHAnsi"/>
          <w:sz w:val="24"/>
          <w:szCs w:val="24"/>
          <w:lang w:val="ru-MD"/>
        </w:rPr>
        <w:t>Таможенная служба и иностранные лица могут осуществлять обмен информацией с целью взаимного сотрудничества в целях управления рисками. Обмен информацией между таможенными органами, а также между таможенными органами и экономическими агентами осуществляется в соответствии с законодательством об обмене</w:t>
      </w:r>
      <w:r w:rsidR="004A752B" w:rsidRPr="00AF66DE">
        <w:rPr>
          <w:rFonts w:asciiTheme="majorHAnsi" w:eastAsia="Times New Roman" w:hAnsiTheme="majorHAnsi" w:cstheme="majorHAnsi"/>
          <w:sz w:val="24"/>
          <w:szCs w:val="24"/>
          <w:lang w:val="ru-MD"/>
        </w:rPr>
        <w:t xml:space="preserve"> данными и интероперабельности</w:t>
      </w:r>
      <w:r w:rsidR="00462FA2" w:rsidRPr="00AF66DE">
        <w:rPr>
          <w:rFonts w:asciiTheme="majorHAnsi" w:eastAsia="Times New Roman" w:hAnsiTheme="majorHAnsi" w:cstheme="majorHAnsi"/>
          <w:sz w:val="24"/>
          <w:szCs w:val="24"/>
          <w:lang w:val="ru-MD"/>
        </w:rPr>
        <w:t xml:space="preserve">. </w:t>
      </w:r>
    </w:p>
    <w:p w14:paraId="19EA79FA" w14:textId="59B9A499" w:rsidR="00462FA2" w:rsidRPr="00AF66DE" w:rsidRDefault="004C4B82" w:rsidP="00462FA2">
      <w:pPr>
        <w:spacing w:after="0"/>
        <w:jc w:val="both"/>
        <w:rPr>
          <w:rFonts w:asciiTheme="majorHAnsi" w:eastAsia="Times New Roman" w:hAnsiTheme="majorHAnsi" w:cstheme="majorHAnsi"/>
          <w:sz w:val="24"/>
          <w:szCs w:val="24"/>
          <w:lang w:val="ru-MD"/>
        </w:rPr>
      </w:pPr>
      <w:r w:rsidRPr="00AF66DE">
        <w:rPr>
          <w:rFonts w:asciiTheme="majorHAnsi" w:eastAsia="Times New Roman" w:hAnsiTheme="majorHAnsi" w:cstheme="majorHAnsi"/>
          <w:sz w:val="24"/>
          <w:szCs w:val="24"/>
          <w:lang w:val="ru-MD"/>
        </w:rPr>
        <w:t>Анализ статистических данных за 2019-2021 г</w:t>
      </w:r>
      <w:r w:rsidR="004A752B" w:rsidRPr="00AF66DE">
        <w:rPr>
          <w:rFonts w:asciiTheme="majorHAnsi" w:eastAsia="Times New Roman" w:hAnsiTheme="majorHAnsi" w:cstheme="majorHAnsi"/>
          <w:sz w:val="24"/>
          <w:szCs w:val="24"/>
          <w:lang w:val="ru-MD"/>
        </w:rPr>
        <w:t>оды</w:t>
      </w:r>
      <w:r w:rsidRPr="00AF66DE">
        <w:rPr>
          <w:rFonts w:asciiTheme="majorHAnsi" w:eastAsia="Times New Roman" w:hAnsiTheme="majorHAnsi" w:cstheme="majorHAnsi"/>
          <w:sz w:val="24"/>
          <w:szCs w:val="24"/>
          <w:lang w:val="ru-MD"/>
        </w:rPr>
        <w:t xml:space="preserve">, </w:t>
      </w:r>
      <w:r w:rsidR="004A752B" w:rsidRPr="00AF66DE">
        <w:rPr>
          <w:rFonts w:asciiTheme="majorHAnsi" w:eastAsia="Times New Roman" w:hAnsiTheme="majorHAnsi" w:cstheme="majorHAnsi"/>
          <w:sz w:val="24"/>
          <w:szCs w:val="24"/>
          <w:lang w:val="ru-MD"/>
        </w:rPr>
        <w:t>касающиеся</w:t>
      </w:r>
      <w:r w:rsidRPr="00AF66DE">
        <w:rPr>
          <w:rFonts w:asciiTheme="majorHAnsi" w:eastAsia="Times New Roman" w:hAnsiTheme="majorHAnsi" w:cstheme="majorHAnsi"/>
          <w:sz w:val="24"/>
          <w:szCs w:val="24"/>
          <w:lang w:val="ru-MD"/>
        </w:rPr>
        <w:t xml:space="preserve"> импорт</w:t>
      </w:r>
      <w:r w:rsidR="004A752B" w:rsidRPr="00AF66DE">
        <w:rPr>
          <w:rFonts w:asciiTheme="majorHAnsi" w:eastAsia="Times New Roman" w:hAnsiTheme="majorHAnsi" w:cstheme="majorHAnsi"/>
          <w:sz w:val="24"/>
          <w:szCs w:val="24"/>
          <w:lang w:val="ru-MD"/>
        </w:rPr>
        <w:t>а</w:t>
      </w:r>
      <w:r w:rsidRPr="00AF66DE">
        <w:rPr>
          <w:rFonts w:asciiTheme="majorHAnsi" w:eastAsia="Times New Roman" w:hAnsiTheme="majorHAnsi" w:cstheme="majorHAnsi"/>
          <w:sz w:val="24"/>
          <w:szCs w:val="24"/>
          <w:lang w:val="ru-MD"/>
        </w:rPr>
        <w:t xml:space="preserve"> и экспорт</w:t>
      </w:r>
      <w:r w:rsidR="004A752B" w:rsidRPr="00AF66DE">
        <w:rPr>
          <w:rFonts w:asciiTheme="majorHAnsi" w:eastAsia="Times New Roman" w:hAnsiTheme="majorHAnsi" w:cstheme="majorHAnsi"/>
          <w:sz w:val="24"/>
          <w:szCs w:val="24"/>
          <w:lang w:val="ru-MD"/>
        </w:rPr>
        <w:t>а</w:t>
      </w:r>
      <w:r w:rsidRPr="00AF66DE">
        <w:rPr>
          <w:rFonts w:asciiTheme="majorHAnsi" w:eastAsia="Times New Roman" w:hAnsiTheme="majorHAnsi" w:cstheme="majorHAnsi"/>
          <w:sz w:val="24"/>
          <w:szCs w:val="24"/>
          <w:lang w:val="ru-MD"/>
        </w:rPr>
        <w:t xml:space="preserve"> товаров, выявил </w:t>
      </w:r>
      <w:r w:rsidR="004A752B" w:rsidRPr="00AF66DE">
        <w:rPr>
          <w:rFonts w:asciiTheme="majorHAnsi" w:eastAsia="Times New Roman" w:hAnsiTheme="majorHAnsi" w:cstheme="majorHAnsi"/>
          <w:sz w:val="24"/>
          <w:szCs w:val="24"/>
          <w:lang w:val="ru-MD"/>
        </w:rPr>
        <w:t>расхожд</w:t>
      </w:r>
      <w:r w:rsidRPr="00AF66DE">
        <w:rPr>
          <w:rFonts w:asciiTheme="majorHAnsi" w:eastAsia="Times New Roman" w:hAnsiTheme="majorHAnsi" w:cstheme="majorHAnsi"/>
          <w:sz w:val="24"/>
          <w:szCs w:val="24"/>
          <w:lang w:val="ru-MD"/>
        </w:rPr>
        <w:t xml:space="preserve">ения </w:t>
      </w:r>
      <w:r w:rsidR="004A752B" w:rsidRPr="00AF66DE">
        <w:rPr>
          <w:rFonts w:asciiTheme="majorHAnsi" w:eastAsia="Times New Roman" w:hAnsiTheme="majorHAnsi" w:cstheme="majorHAnsi"/>
          <w:sz w:val="24"/>
          <w:szCs w:val="24"/>
          <w:lang w:val="ru-MD"/>
        </w:rPr>
        <w:t xml:space="preserve">между </w:t>
      </w:r>
      <w:r w:rsidRPr="00AF66DE">
        <w:rPr>
          <w:rFonts w:asciiTheme="majorHAnsi" w:eastAsia="Times New Roman" w:hAnsiTheme="majorHAnsi" w:cstheme="majorHAnsi"/>
          <w:sz w:val="24"/>
          <w:szCs w:val="24"/>
          <w:lang w:val="ru-MD"/>
        </w:rPr>
        <w:t>официальны</w:t>
      </w:r>
      <w:r w:rsidR="004A752B" w:rsidRPr="00AF66DE">
        <w:rPr>
          <w:rFonts w:asciiTheme="majorHAnsi" w:eastAsia="Times New Roman" w:hAnsiTheme="majorHAnsi" w:cstheme="majorHAnsi"/>
          <w:sz w:val="24"/>
          <w:szCs w:val="24"/>
          <w:lang w:val="ru-MD"/>
        </w:rPr>
        <w:t>ми</w:t>
      </w:r>
      <w:r w:rsidRPr="00AF66DE">
        <w:rPr>
          <w:rFonts w:asciiTheme="majorHAnsi" w:eastAsia="Times New Roman" w:hAnsiTheme="majorHAnsi" w:cstheme="majorHAnsi"/>
          <w:sz w:val="24"/>
          <w:szCs w:val="24"/>
          <w:lang w:val="ru-MD"/>
        </w:rPr>
        <w:t xml:space="preserve"> статистически</w:t>
      </w:r>
      <w:r w:rsidR="004A752B" w:rsidRPr="00AF66DE">
        <w:rPr>
          <w:rFonts w:asciiTheme="majorHAnsi" w:eastAsia="Times New Roman" w:hAnsiTheme="majorHAnsi" w:cstheme="majorHAnsi"/>
          <w:sz w:val="24"/>
          <w:szCs w:val="24"/>
          <w:lang w:val="ru-MD"/>
        </w:rPr>
        <w:t>ми</w:t>
      </w:r>
      <w:r w:rsidRPr="00AF66DE">
        <w:rPr>
          <w:rFonts w:asciiTheme="majorHAnsi" w:eastAsia="Times New Roman" w:hAnsiTheme="majorHAnsi" w:cstheme="majorHAnsi"/>
          <w:sz w:val="24"/>
          <w:szCs w:val="24"/>
          <w:lang w:val="ru-MD"/>
        </w:rPr>
        <w:t xml:space="preserve"> данны</w:t>
      </w:r>
      <w:r w:rsidR="004A752B" w:rsidRPr="00AF66DE">
        <w:rPr>
          <w:rFonts w:asciiTheme="majorHAnsi" w:eastAsia="Times New Roman" w:hAnsiTheme="majorHAnsi" w:cstheme="majorHAnsi"/>
          <w:sz w:val="24"/>
          <w:szCs w:val="24"/>
          <w:lang w:val="ru-MD"/>
        </w:rPr>
        <w:t>ми</w:t>
      </w:r>
      <w:r w:rsidRPr="00AF66DE">
        <w:rPr>
          <w:rFonts w:asciiTheme="majorHAnsi" w:eastAsia="Times New Roman" w:hAnsiTheme="majorHAnsi" w:cstheme="majorHAnsi"/>
          <w:sz w:val="24"/>
          <w:szCs w:val="24"/>
          <w:lang w:val="ru-MD"/>
        </w:rPr>
        <w:t xml:space="preserve"> о внешней торговле, зарегистрированны</w:t>
      </w:r>
      <w:r w:rsidR="004A752B" w:rsidRPr="00AF66DE">
        <w:rPr>
          <w:rFonts w:asciiTheme="majorHAnsi" w:eastAsia="Times New Roman" w:hAnsiTheme="majorHAnsi" w:cstheme="majorHAnsi"/>
          <w:sz w:val="24"/>
          <w:szCs w:val="24"/>
          <w:lang w:val="ru-MD"/>
        </w:rPr>
        <w:t>ми</w:t>
      </w:r>
      <w:r w:rsidRPr="00AF66DE">
        <w:rPr>
          <w:rFonts w:asciiTheme="majorHAnsi" w:eastAsia="Times New Roman" w:hAnsiTheme="majorHAnsi" w:cstheme="majorHAnsi"/>
          <w:sz w:val="24"/>
          <w:szCs w:val="24"/>
          <w:lang w:val="ru-MD"/>
        </w:rPr>
        <w:t xml:space="preserve"> Республикой Молдова, </w:t>
      </w:r>
      <w:r w:rsidR="004A752B" w:rsidRPr="00AF66DE">
        <w:rPr>
          <w:rFonts w:asciiTheme="majorHAnsi" w:eastAsia="Times New Roman" w:hAnsiTheme="majorHAnsi" w:cstheme="majorHAnsi"/>
          <w:sz w:val="24"/>
          <w:szCs w:val="24"/>
          <w:lang w:val="ru-MD"/>
        </w:rPr>
        <w:t>и</w:t>
      </w:r>
      <w:r w:rsidRPr="00AF66DE">
        <w:rPr>
          <w:rFonts w:asciiTheme="majorHAnsi" w:eastAsia="Times New Roman" w:hAnsiTheme="majorHAnsi" w:cstheme="majorHAnsi"/>
          <w:sz w:val="24"/>
          <w:szCs w:val="24"/>
          <w:lang w:val="ru-MD"/>
        </w:rPr>
        <w:t xml:space="preserve"> официальными статистическими данными других государств, которые отражены в </w:t>
      </w:r>
      <w:r w:rsidR="004A752B" w:rsidRPr="00AF66DE">
        <w:rPr>
          <w:rFonts w:asciiTheme="majorHAnsi" w:eastAsia="Times New Roman" w:hAnsiTheme="majorHAnsi" w:cstheme="majorHAnsi"/>
          <w:sz w:val="24"/>
          <w:szCs w:val="24"/>
          <w:lang w:val="ru-MD"/>
        </w:rPr>
        <w:t>Таблице №</w:t>
      </w:r>
      <w:r w:rsidR="00462FA2" w:rsidRPr="00AF66DE">
        <w:rPr>
          <w:rFonts w:asciiTheme="majorHAnsi" w:eastAsia="Times New Roman" w:hAnsiTheme="majorHAnsi" w:cstheme="majorHAnsi"/>
          <w:sz w:val="24"/>
          <w:szCs w:val="24"/>
          <w:lang w:val="ru-MD"/>
        </w:rPr>
        <w:t xml:space="preserve">1.         </w:t>
      </w:r>
    </w:p>
    <w:p w14:paraId="53562417" w14:textId="31E2C10C" w:rsidR="00462FA2" w:rsidRPr="00C31604" w:rsidRDefault="00462FA2" w:rsidP="00462FA2">
      <w:pPr>
        <w:spacing w:after="0"/>
        <w:jc w:val="center"/>
        <w:rPr>
          <w:rFonts w:asciiTheme="majorHAnsi" w:eastAsia="Times New Roman" w:hAnsiTheme="majorHAnsi" w:cstheme="majorHAnsi"/>
          <w:bCs/>
          <w:i/>
          <w:sz w:val="20"/>
          <w:szCs w:val="20"/>
          <w:lang w:val="ru-MD"/>
        </w:rPr>
      </w:pPr>
      <w:r w:rsidRPr="00B20FBD">
        <w:rPr>
          <w:rFonts w:asciiTheme="majorHAnsi" w:eastAsia="Times New Roman" w:hAnsiTheme="majorHAnsi" w:cstheme="majorHAnsi"/>
          <w:i/>
          <w:sz w:val="24"/>
          <w:szCs w:val="24"/>
          <w:lang w:val="ro-RO"/>
        </w:rPr>
        <w:t xml:space="preserve">                                                                                                           </w:t>
      </w:r>
      <w:r w:rsidR="00C31604" w:rsidRPr="00C31604">
        <w:rPr>
          <w:rFonts w:asciiTheme="majorHAnsi" w:eastAsia="Times New Roman" w:hAnsiTheme="majorHAnsi" w:cstheme="majorHAnsi"/>
          <w:i/>
          <w:sz w:val="24"/>
          <w:szCs w:val="24"/>
          <w:lang w:val="ru-MD"/>
        </w:rPr>
        <w:t>Таблица №</w:t>
      </w:r>
      <w:r w:rsidRPr="00C31604">
        <w:rPr>
          <w:rFonts w:asciiTheme="majorHAnsi" w:eastAsia="Times New Roman" w:hAnsiTheme="majorHAnsi" w:cstheme="majorHAnsi"/>
          <w:i/>
          <w:sz w:val="24"/>
          <w:szCs w:val="24"/>
          <w:lang w:val="ru-MD"/>
        </w:rPr>
        <w:t>1 (</w:t>
      </w:r>
      <w:r w:rsidR="00C31604" w:rsidRPr="00C31604">
        <w:rPr>
          <w:rFonts w:asciiTheme="majorHAnsi" w:eastAsia="Times New Roman" w:hAnsiTheme="majorHAnsi" w:cstheme="majorHAnsi"/>
          <w:bCs/>
          <w:i/>
          <w:sz w:val="20"/>
          <w:szCs w:val="20"/>
          <w:lang w:val="ru-MD"/>
        </w:rPr>
        <w:t>млн. долларов США</w:t>
      </w:r>
      <w:r w:rsidRPr="00C31604">
        <w:rPr>
          <w:rFonts w:asciiTheme="majorHAnsi" w:eastAsia="Times New Roman" w:hAnsiTheme="majorHAnsi" w:cstheme="majorHAnsi"/>
          <w:bCs/>
          <w:i/>
          <w:sz w:val="20"/>
          <w:szCs w:val="20"/>
          <w:lang w:val="ru-MD"/>
        </w:rPr>
        <w:t>)</w:t>
      </w:r>
    </w:p>
    <w:tbl>
      <w:tblPr>
        <w:tblStyle w:val="GridTable1Light"/>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2127"/>
        <w:gridCol w:w="1276"/>
        <w:gridCol w:w="1275"/>
        <w:gridCol w:w="1134"/>
        <w:gridCol w:w="1119"/>
        <w:gridCol w:w="1149"/>
        <w:gridCol w:w="1134"/>
        <w:gridCol w:w="6"/>
      </w:tblGrid>
      <w:tr w:rsidR="00C31604" w:rsidRPr="00B20FBD" w14:paraId="6E4B7873" w14:textId="77777777" w:rsidTr="00462FA2">
        <w:trPr>
          <w:gridAfter w:val="1"/>
          <w:cnfStyle w:val="100000000000" w:firstRow="1" w:lastRow="0" w:firstColumn="0" w:lastColumn="0" w:oddVBand="0" w:evenVBand="0" w:oddHBand="0" w:evenHBand="0" w:firstRowFirstColumn="0" w:firstRowLastColumn="0" w:lastRowFirstColumn="0" w:lastRowLastColumn="0"/>
          <w:wAfter w:w="6" w:type="dxa"/>
          <w:trHeight w:val="244"/>
          <w:jc w:val="center"/>
        </w:trPr>
        <w:tc>
          <w:tcPr>
            <w:cnfStyle w:val="001000000000" w:firstRow="0" w:lastRow="0" w:firstColumn="1" w:lastColumn="0" w:oddVBand="0" w:evenVBand="0" w:oddHBand="0" w:evenHBand="0" w:firstRowFirstColumn="0" w:firstRowLastColumn="0" w:lastRowFirstColumn="0" w:lastRowLastColumn="0"/>
            <w:tcW w:w="2547" w:type="dxa"/>
            <w:gridSpan w:val="2"/>
            <w:vMerge w:val="restart"/>
            <w:shd w:val="clear" w:color="auto" w:fill="0000FF"/>
            <w:vAlign w:val="center"/>
            <w:hideMark/>
          </w:tcPr>
          <w:p w14:paraId="2AB37002" w14:textId="296CA329" w:rsidR="00462FA2" w:rsidRPr="00B20FBD" w:rsidRDefault="00C31604" w:rsidP="00C31604">
            <w:pPr>
              <w:spacing w:after="0" w:line="240" w:lineRule="auto"/>
              <w:jc w:val="center"/>
              <w:rPr>
                <w:rFonts w:asciiTheme="majorHAnsi" w:eastAsia="Times New Roman" w:hAnsiTheme="majorHAnsi" w:cstheme="majorHAnsi"/>
                <w:bCs w:val="0"/>
                <w:sz w:val="20"/>
                <w:szCs w:val="20"/>
                <w:lang w:val="ro-RO"/>
              </w:rPr>
            </w:pPr>
            <w:r>
              <w:rPr>
                <w:rFonts w:asciiTheme="majorHAnsi" w:eastAsia="Times New Roman" w:hAnsiTheme="majorHAnsi" w:cstheme="majorHAnsi"/>
                <w:bCs w:val="0"/>
                <w:sz w:val="20"/>
                <w:szCs w:val="20"/>
              </w:rPr>
              <w:t>Страны</w:t>
            </w:r>
          </w:p>
        </w:tc>
        <w:tc>
          <w:tcPr>
            <w:tcW w:w="2551" w:type="dxa"/>
            <w:gridSpan w:val="2"/>
            <w:vMerge w:val="restart"/>
            <w:shd w:val="clear" w:color="auto" w:fill="0000FF"/>
            <w:vAlign w:val="center"/>
            <w:hideMark/>
          </w:tcPr>
          <w:p w14:paraId="40DCB48C" w14:textId="1B3CD96A" w:rsidR="00462FA2" w:rsidRPr="00B20FBD" w:rsidRDefault="00C31604" w:rsidP="00C3160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Cs w:val="0"/>
                <w:sz w:val="20"/>
                <w:szCs w:val="20"/>
                <w:lang w:val="ro-RO"/>
              </w:rPr>
            </w:pPr>
            <w:r>
              <w:rPr>
                <w:rFonts w:asciiTheme="majorHAnsi" w:eastAsia="Times New Roman" w:hAnsiTheme="majorHAnsi" w:cstheme="majorHAnsi"/>
                <w:bCs w:val="0"/>
                <w:sz w:val="20"/>
                <w:szCs w:val="20"/>
                <w:lang w:val="ru-MD"/>
              </w:rPr>
              <w:t>О</w:t>
            </w:r>
            <w:r w:rsidRPr="00C31604">
              <w:rPr>
                <w:rFonts w:asciiTheme="majorHAnsi" w:eastAsia="Times New Roman" w:hAnsiTheme="majorHAnsi" w:cstheme="majorHAnsi"/>
                <w:bCs w:val="0"/>
                <w:sz w:val="20"/>
                <w:szCs w:val="20"/>
                <w:lang w:val="ru-MD"/>
              </w:rPr>
              <w:t>фициальны</w:t>
            </w:r>
            <w:r>
              <w:rPr>
                <w:rFonts w:asciiTheme="majorHAnsi" w:eastAsia="Times New Roman" w:hAnsiTheme="majorHAnsi" w:cstheme="majorHAnsi"/>
                <w:bCs w:val="0"/>
                <w:sz w:val="20"/>
                <w:szCs w:val="20"/>
                <w:lang w:val="ru-MD"/>
              </w:rPr>
              <w:t>е</w:t>
            </w:r>
            <w:r w:rsidRPr="00C31604">
              <w:rPr>
                <w:rFonts w:asciiTheme="majorHAnsi" w:eastAsia="Times New Roman" w:hAnsiTheme="majorHAnsi" w:cstheme="majorHAnsi"/>
                <w:bCs w:val="0"/>
                <w:sz w:val="20"/>
                <w:szCs w:val="20"/>
                <w:lang w:val="ru-MD"/>
              </w:rPr>
              <w:t xml:space="preserve"> статистически</w:t>
            </w:r>
            <w:r>
              <w:rPr>
                <w:rFonts w:asciiTheme="majorHAnsi" w:eastAsia="Times New Roman" w:hAnsiTheme="majorHAnsi" w:cstheme="majorHAnsi"/>
                <w:bCs w:val="0"/>
                <w:sz w:val="20"/>
                <w:szCs w:val="20"/>
                <w:lang w:val="ru-MD"/>
              </w:rPr>
              <w:t>е</w:t>
            </w:r>
            <w:r w:rsidRPr="00C31604">
              <w:rPr>
                <w:rFonts w:asciiTheme="majorHAnsi" w:eastAsia="Times New Roman" w:hAnsiTheme="majorHAnsi" w:cstheme="majorHAnsi"/>
                <w:bCs w:val="0"/>
                <w:sz w:val="20"/>
                <w:szCs w:val="20"/>
                <w:lang w:val="ru-MD"/>
              </w:rPr>
              <w:t xml:space="preserve"> данны</w:t>
            </w:r>
            <w:r>
              <w:rPr>
                <w:rFonts w:asciiTheme="majorHAnsi" w:eastAsia="Times New Roman" w:hAnsiTheme="majorHAnsi" w:cstheme="majorHAnsi"/>
                <w:bCs w:val="0"/>
                <w:sz w:val="20"/>
                <w:szCs w:val="20"/>
                <w:lang w:val="ru-MD"/>
              </w:rPr>
              <w:t>е</w:t>
            </w:r>
            <w:r w:rsidRPr="00C31604">
              <w:rPr>
                <w:rFonts w:asciiTheme="majorHAnsi" w:eastAsia="Times New Roman" w:hAnsiTheme="majorHAnsi" w:cstheme="majorHAnsi"/>
                <w:bCs w:val="0"/>
                <w:sz w:val="20"/>
                <w:szCs w:val="20"/>
                <w:lang w:val="ru-MD"/>
              </w:rPr>
              <w:t xml:space="preserve"> других государств</w:t>
            </w:r>
            <w:r w:rsidRPr="00C31604">
              <w:rPr>
                <w:rFonts w:asciiTheme="majorHAnsi" w:eastAsia="Times New Roman" w:hAnsiTheme="majorHAnsi" w:cstheme="majorHAnsi"/>
                <w:sz w:val="20"/>
                <w:szCs w:val="20"/>
                <w:lang w:val="ro-RO"/>
              </w:rPr>
              <w:t xml:space="preserve"> </w:t>
            </w:r>
          </w:p>
        </w:tc>
        <w:tc>
          <w:tcPr>
            <w:tcW w:w="2253" w:type="dxa"/>
            <w:gridSpan w:val="2"/>
            <w:vMerge w:val="restart"/>
            <w:shd w:val="clear" w:color="auto" w:fill="0000FF"/>
            <w:vAlign w:val="center"/>
            <w:hideMark/>
          </w:tcPr>
          <w:p w14:paraId="6E07450F" w14:textId="4AD81099" w:rsidR="00462FA2" w:rsidRPr="0090773F" w:rsidRDefault="00C31604" w:rsidP="00C3160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Cs w:val="0"/>
                <w:sz w:val="20"/>
                <w:szCs w:val="20"/>
                <w:lang w:val="ru-MD"/>
              </w:rPr>
            </w:pPr>
            <w:r w:rsidRPr="0090773F">
              <w:rPr>
                <w:rFonts w:asciiTheme="majorHAnsi" w:eastAsia="Times New Roman" w:hAnsiTheme="majorHAnsi" w:cstheme="majorHAnsi"/>
                <w:bCs w:val="0"/>
                <w:sz w:val="20"/>
                <w:szCs w:val="20"/>
                <w:lang w:val="ru-MD"/>
              </w:rPr>
              <w:t>Официальные статистические данные Республики Молдова</w:t>
            </w:r>
          </w:p>
        </w:tc>
        <w:tc>
          <w:tcPr>
            <w:tcW w:w="2283" w:type="dxa"/>
            <w:gridSpan w:val="2"/>
            <w:vMerge w:val="restart"/>
            <w:shd w:val="clear" w:color="auto" w:fill="0000FF"/>
            <w:vAlign w:val="center"/>
            <w:hideMark/>
          </w:tcPr>
          <w:p w14:paraId="27F1475D" w14:textId="648650DC" w:rsidR="00462FA2" w:rsidRPr="00B20FBD" w:rsidRDefault="00C31604" w:rsidP="00C3160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Cs w:val="0"/>
                <w:sz w:val="20"/>
                <w:szCs w:val="20"/>
                <w:lang w:val="ro-RO"/>
              </w:rPr>
            </w:pPr>
            <w:r>
              <w:rPr>
                <w:rFonts w:asciiTheme="majorHAnsi" w:eastAsia="Times New Roman" w:hAnsiTheme="majorHAnsi" w:cstheme="majorHAnsi"/>
                <w:bCs w:val="0"/>
                <w:sz w:val="20"/>
                <w:szCs w:val="20"/>
              </w:rPr>
              <w:t>Расхождения</w:t>
            </w:r>
            <w:r w:rsidR="00462FA2" w:rsidRPr="00B20FBD">
              <w:rPr>
                <w:rFonts w:asciiTheme="majorHAnsi" w:eastAsia="Times New Roman" w:hAnsiTheme="majorHAnsi" w:cstheme="majorHAnsi"/>
                <w:bCs w:val="0"/>
                <w:sz w:val="20"/>
                <w:szCs w:val="20"/>
                <w:lang w:val="ro-RO"/>
              </w:rPr>
              <w:t xml:space="preserve"> (+,-)</w:t>
            </w:r>
          </w:p>
        </w:tc>
      </w:tr>
      <w:tr w:rsidR="00C31604" w:rsidRPr="00B20FBD" w14:paraId="4FA068B6" w14:textId="77777777" w:rsidTr="00462FA2">
        <w:trPr>
          <w:gridAfter w:val="1"/>
          <w:wAfter w:w="6" w:type="dxa"/>
          <w:trHeight w:val="528"/>
          <w:jc w:val="center"/>
        </w:trPr>
        <w:tc>
          <w:tcPr>
            <w:cnfStyle w:val="001000000000" w:firstRow="0" w:lastRow="0" w:firstColumn="1" w:lastColumn="0" w:oddVBand="0" w:evenVBand="0" w:oddHBand="0" w:evenHBand="0" w:firstRowFirstColumn="0" w:firstRowLastColumn="0" w:lastRowFirstColumn="0" w:lastRowLastColumn="0"/>
            <w:tcW w:w="2547" w:type="dxa"/>
            <w:gridSpan w:val="2"/>
            <w:vMerge/>
            <w:shd w:val="clear" w:color="auto" w:fill="0000FF"/>
            <w:hideMark/>
          </w:tcPr>
          <w:p w14:paraId="6058C06C" w14:textId="77777777" w:rsidR="00462FA2" w:rsidRPr="00B20FBD" w:rsidRDefault="00462FA2" w:rsidP="00462FA2">
            <w:pPr>
              <w:spacing w:after="0" w:line="240" w:lineRule="auto"/>
              <w:jc w:val="center"/>
              <w:rPr>
                <w:rFonts w:asciiTheme="majorHAnsi" w:eastAsia="Times New Roman" w:hAnsiTheme="majorHAnsi" w:cstheme="majorHAnsi"/>
                <w:b w:val="0"/>
                <w:bCs w:val="0"/>
                <w:color w:val="FFFFFF"/>
                <w:sz w:val="20"/>
                <w:szCs w:val="20"/>
                <w:lang w:val="ro-RO"/>
              </w:rPr>
            </w:pPr>
          </w:p>
        </w:tc>
        <w:tc>
          <w:tcPr>
            <w:tcW w:w="2551" w:type="dxa"/>
            <w:gridSpan w:val="2"/>
            <w:vMerge/>
            <w:shd w:val="clear" w:color="auto" w:fill="0000FF"/>
            <w:hideMark/>
          </w:tcPr>
          <w:p w14:paraId="47DAD7C2" w14:textId="77777777" w:rsidR="00462FA2" w:rsidRPr="00B20FBD" w:rsidRDefault="00462FA2" w:rsidP="00462FA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FFFFFF"/>
                <w:sz w:val="20"/>
                <w:szCs w:val="20"/>
                <w:lang w:val="ro-RO"/>
              </w:rPr>
            </w:pPr>
          </w:p>
        </w:tc>
        <w:tc>
          <w:tcPr>
            <w:tcW w:w="2253" w:type="dxa"/>
            <w:gridSpan w:val="2"/>
            <w:vMerge/>
            <w:shd w:val="clear" w:color="auto" w:fill="0000FF"/>
            <w:hideMark/>
          </w:tcPr>
          <w:p w14:paraId="3194163A" w14:textId="77777777" w:rsidR="00462FA2" w:rsidRPr="00B20FBD" w:rsidRDefault="00462FA2" w:rsidP="00462FA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FFFFFF"/>
                <w:sz w:val="20"/>
                <w:szCs w:val="20"/>
                <w:lang w:val="ro-RO"/>
              </w:rPr>
            </w:pPr>
          </w:p>
        </w:tc>
        <w:tc>
          <w:tcPr>
            <w:tcW w:w="2283" w:type="dxa"/>
            <w:gridSpan w:val="2"/>
            <w:vMerge/>
            <w:shd w:val="clear" w:color="auto" w:fill="0000FF"/>
            <w:hideMark/>
          </w:tcPr>
          <w:p w14:paraId="1925865D" w14:textId="77777777" w:rsidR="00462FA2" w:rsidRPr="00B20FBD" w:rsidRDefault="00462FA2" w:rsidP="00462FA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FFFFFF"/>
                <w:sz w:val="20"/>
                <w:szCs w:val="20"/>
                <w:lang w:val="ro-RO"/>
              </w:rPr>
            </w:pPr>
          </w:p>
        </w:tc>
      </w:tr>
      <w:tr w:rsidR="00C31604" w:rsidRPr="00B20FBD" w14:paraId="73EF35A6" w14:textId="77777777" w:rsidTr="00462FA2">
        <w:trPr>
          <w:gridAfter w:val="1"/>
          <w:wAfter w:w="6" w:type="dxa"/>
          <w:trHeight w:val="58"/>
          <w:jc w:val="center"/>
        </w:trPr>
        <w:tc>
          <w:tcPr>
            <w:cnfStyle w:val="001000000000" w:firstRow="0" w:lastRow="0" w:firstColumn="1" w:lastColumn="0" w:oddVBand="0" w:evenVBand="0" w:oddHBand="0" w:evenHBand="0" w:firstRowFirstColumn="0" w:firstRowLastColumn="0" w:lastRowFirstColumn="0" w:lastRowLastColumn="0"/>
            <w:tcW w:w="2547" w:type="dxa"/>
            <w:gridSpan w:val="2"/>
            <w:vMerge/>
            <w:shd w:val="clear" w:color="auto" w:fill="0000FF"/>
            <w:hideMark/>
          </w:tcPr>
          <w:p w14:paraId="57DE0088" w14:textId="77777777" w:rsidR="00462FA2" w:rsidRPr="00B20FBD" w:rsidRDefault="00462FA2" w:rsidP="00462FA2">
            <w:pPr>
              <w:spacing w:after="0" w:line="240" w:lineRule="auto"/>
              <w:jc w:val="center"/>
              <w:rPr>
                <w:rFonts w:asciiTheme="majorHAnsi" w:eastAsia="Times New Roman" w:hAnsiTheme="majorHAnsi" w:cstheme="majorHAnsi"/>
                <w:b w:val="0"/>
                <w:bCs w:val="0"/>
                <w:color w:val="FFFFFF"/>
                <w:sz w:val="20"/>
                <w:szCs w:val="20"/>
                <w:lang w:val="ro-RO"/>
              </w:rPr>
            </w:pPr>
          </w:p>
        </w:tc>
        <w:tc>
          <w:tcPr>
            <w:tcW w:w="1276" w:type="dxa"/>
            <w:shd w:val="clear" w:color="auto" w:fill="0000FF"/>
            <w:hideMark/>
          </w:tcPr>
          <w:p w14:paraId="7AC74941" w14:textId="589F9054" w:rsidR="00462FA2" w:rsidRPr="00C31604" w:rsidRDefault="00C31604" w:rsidP="00462FA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Pr>
                <w:rFonts w:asciiTheme="majorHAnsi" w:eastAsia="Times New Roman" w:hAnsiTheme="majorHAnsi" w:cstheme="majorHAnsi"/>
                <w:b/>
                <w:bCs/>
                <w:sz w:val="20"/>
                <w:szCs w:val="20"/>
              </w:rPr>
              <w:t>экспорт</w:t>
            </w:r>
          </w:p>
        </w:tc>
        <w:tc>
          <w:tcPr>
            <w:tcW w:w="1275" w:type="dxa"/>
            <w:shd w:val="clear" w:color="auto" w:fill="0000FF"/>
            <w:hideMark/>
          </w:tcPr>
          <w:p w14:paraId="4A523960" w14:textId="33DE6E6E" w:rsidR="00462FA2" w:rsidRPr="00B20FBD" w:rsidRDefault="00C31604" w:rsidP="00C316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RO"/>
              </w:rPr>
            </w:pPr>
            <w:r>
              <w:rPr>
                <w:rFonts w:asciiTheme="majorHAnsi" w:eastAsia="Times New Roman" w:hAnsiTheme="majorHAnsi" w:cstheme="majorHAnsi"/>
                <w:b/>
                <w:bCs/>
                <w:sz w:val="20"/>
                <w:szCs w:val="20"/>
              </w:rPr>
              <w:t>импорт</w:t>
            </w:r>
          </w:p>
        </w:tc>
        <w:tc>
          <w:tcPr>
            <w:tcW w:w="1134" w:type="dxa"/>
            <w:shd w:val="clear" w:color="auto" w:fill="0000FF"/>
            <w:hideMark/>
          </w:tcPr>
          <w:p w14:paraId="4F6FEDF8" w14:textId="19923936" w:rsidR="00462FA2" w:rsidRPr="00B20FBD" w:rsidRDefault="00C31604" w:rsidP="00C316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RO"/>
              </w:rPr>
            </w:pPr>
            <w:r>
              <w:rPr>
                <w:rFonts w:asciiTheme="majorHAnsi" w:eastAsia="Times New Roman" w:hAnsiTheme="majorHAnsi" w:cstheme="majorHAnsi"/>
                <w:b/>
                <w:bCs/>
                <w:sz w:val="20"/>
                <w:szCs w:val="20"/>
              </w:rPr>
              <w:t>экспорт</w:t>
            </w:r>
          </w:p>
        </w:tc>
        <w:tc>
          <w:tcPr>
            <w:tcW w:w="1119" w:type="dxa"/>
            <w:shd w:val="clear" w:color="auto" w:fill="0000FF"/>
            <w:hideMark/>
          </w:tcPr>
          <w:p w14:paraId="1409119F" w14:textId="3F172083" w:rsidR="00462FA2" w:rsidRPr="00B20FBD" w:rsidRDefault="00C31604" w:rsidP="00C316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RO"/>
              </w:rPr>
            </w:pPr>
            <w:r>
              <w:rPr>
                <w:rFonts w:asciiTheme="majorHAnsi" w:eastAsia="Times New Roman" w:hAnsiTheme="majorHAnsi" w:cstheme="majorHAnsi"/>
                <w:b/>
                <w:bCs/>
                <w:sz w:val="20"/>
                <w:szCs w:val="20"/>
              </w:rPr>
              <w:t>импорт</w:t>
            </w:r>
          </w:p>
        </w:tc>
        <w:tc>
          <w:tcPr>
            <w:tcW w:w="1149" w:type="dxa"/>
            <w:shd w:val="clear" w:color="auto" w:fill="0000FF"/>
            <w:hideMark/>
          </w:tcPr>
          <w:p w14:paraId="3AF5C206" w14:textId="7144A922" w:rsidR="00462FA2" w:rsidRPr="00B20FBD" w:rsidRDefault="00C31604" w:rsidP="00C316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RO"/>
              </w:rPr>
            </w:pPr>
            <w:r>
              <w:rPr>
                <w:rFonts w:asciiTheme="majorHAnsi" w:eastAsia="Times New Roman" w:hAnsiTheme="majorHAnsi" w:cstheme="majorHAnsi"/>
                <w:b/>
                <w:bCs/>
                <w:sz w:val="20"/>
                <w:szCs w:val="20"/>
              </w:rPr>
              <w:t>экспорт</w:t>
            </w:r>
          </w:p>
        </w:tc>
        <w:tc>
          <w:tcPr>
            <w:tcW w:w="1134" w:type="dxa"/>
            <w:shd w:val="clear" w:color="auto" w:fill="0000FF"/>
            <w:hideMark/>
          </w:tcPr>
          <w:p w14:paraId="0121420A" w14:textId="114009E0" w:rsidR="00462FA2" w:rsidRPr="00B20FBD" w:rsidRDefault="00C31604" w:rsidP="00C316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RO"/>
              </w:rPr>
            </w:pPr>
            <w:r>
              <w:rPr>
                <w:rFonts w:asciiTheme="majorHAnsi" w:eastAsia="Times New Roman" w:hAnsiTheme="majorHAnsi" w:cstheme="majorHAnsi"/>
                <w:b/>
                <w:bCs/>
                <w:sz w:val="20"/>
                <w:szCs w:val="20"/>
              </w:rPr>
              <w:t>импорт</w:t>
            </w:r>
          </w:p>
        </w:tc>
      </w:tr>
      <w:tr w:rsidR="00C31604" w:rsidRPr="00B20FBD" w14:paraId="1F67FFFA" w14:textId="77777777" w:rsidTr="00462FA2">
        <w:trPr>
          <w:gridAfter w:val="1"/>
          <w:wAfter w:w="6" w:type="dxa"/>
          <w:trHeight w:val="276"/>
          <w:jc w:val="center"/>
        </w:trPr>
        <w:tc>
          <w:tcPr>
            <w:cnfStyle w:val="001000000000" w:firstRow="0" w:lastRow="0" w:firstColumn="1" w:lastColumn="0" w:oddVBand="0" w:evenVBand="0" w:oddHBand="0" w:evenHBand="0" w:firstRowFirstColumn="0" w:firstRowLastColumn="0" w:lastRowFirstColumn="0" w:lastRowLastColumn="0"/>
            <w:tcW w:w="2547" w:type="dxa"/>
            <w:gridSpan w:val="2"/>
            <w:hideMark/>
          </w:tcPr>
          <w:p w14:paraId="3AEA0E1A" w14:textId="77777777" w:rsidR="00462FA2" w:rsidRPr="00B20FBD" w:rsidRDefault="00462FA2" w:rsidP="00462FA2">
            <w:pPr>
              <w:spacing w:after="0" w:line="240" w:lineRule="auto"/>
              <w:jc w:val="center"/>
              <w:rPr>
                <w:rFonts w:asciiTheme="majorHAnsi" w:eastAsia="Times New Roman" w:hAnsiTheme="majorHAnsi" w:cstheme="majorHAnsi"/>
                <w:i/>
                <w:iCs/>
                <w:color w:val="000000"/>
                <w:sz w:val="20"/>
                <w:szCs w:val="20"/>
                <w:lang w:val="ro-RO"/>
              </w:rPr>
            </w:pPr>
            <w:r w:rsidRPr="00B20FBD">
              <w:rPr>
                <w:rFonts w:asciiTheme="majorHAnsi" w:eastAsia="Times New Roman" w:hAnsiTheme="majorHAnsi" w:cstheme="majorHAnsi"/>
                <w:i/>
                <w:iCs/>
                <w:color w:val="000000"/>
                <w:sz w:val="20"/>
                <w:szCs w:val="20"/>
                <w:lang w:val="ro-RO"/>
              </w:rPr>
              <w:t>1</w:t>
            </w:r>
          </w:p>
        </w:tc>
        <w:tc>
          <w:tcPr>
            <w:tcW w:w="1276" w:type="dxa"/>
            <w:hideMark/>
          </w:tcPr>
          <w:p w14:paraId="402BD6EF" w14:textId="77777777" w:rsidR="00462FA2" w:rsidRPr="00B20FBD" w:rsidRDefault="00462FA2" w:rsidP="00462FA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
                <w:iCs/>
                <w:color w:val="000000"/>
                <w:sz w:val="20"/>
                <w:szCs w:val="20"/>
                <w:lang w:val="ro-RO"/>
              </w:rPr>
            </w:pPr>
            <w:r w:rsidRPr="00B20FBD">
              <w:rPr>
                <w:rFonts w:asciiTheme="majorHAnsi" w:eastAsia="Times New Roman" w:hAnsiTheme="majorHAnsi" w:cstheme="majorHAnsi"/>
                <w:b/>
                <w:i/>
                <w:iCs/>
                <w:color w:val="000000"/>
                <w:sz w:val="20"/>
                <w:szCs w:val="20"/>
                <w:lang w:val="ro-RO"/>
              </w:rPr>
              <w:t>2</w:t>
            </w:r>
          </w:p>
        </w:tc>
        <w:tc>
          <w:tcPr>
            <w:tcW w:w="1275" w:type="dxa"/>
            <w:hideMark/>
          </w:tcPr>
          <w:p w14:paraId="6CE16058" w14:textId="77777777" w:rsidR="00462FA2" w:rsidRPr="00B20FBD" w:rsidRDefault="00462FA2" w:rsidP="00462FA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
                <w:iCs/>
                <w:color w:val="000000"/>
                <w:sz w:val="20"/>
                <w:szCs w:val="20"/>
                <w:lang w:val="ro-RO"/>
              </w:rPr>
            </w:pPr>
            <w:r w:rsidRPr="00B20FBD">
              <w:rPr>
                <w:rFonts w:asciiTheme="majorHAnsi" w:eastAsia="Times New Roman" w:hAnsiTheme="majorHAnsi" w:cstheme="majorHAnsi"/>
                <w:b/>
                <w:i/>
                <w:iCs/>
                <w:color w:val="000000"/>
                <w:sz w:val="20"/>
                <w:szCs w:val="20"/>
                <w:lang w:val="ro-RO"/>
              </w:rPr>
              <w:t>3</w:t>
            </w:r>
          </w:p>
        </w:tc>
        <w:tc>
          <w:tcPr>
            <w:tcW w:w="1134" w:type="dxa"/>
            <w:hideMark/>
          </w:tcPr>
          <w:p w14:paraId="1D3A01CA" w14:textId="77777777" w:rsidR="00462FA2" w:rsidRPr="00B20FBD" w:rsidRDefault="00462FA2" w:rsidP="00462FA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
                <w:iCs/>
                <w:color w:val="000000"/>
                <w:sz w:val="20"/>
                <w:szCs w:val="20"/>
                <w:lang w:val="ro-RO"/>
              </w:rPr>
            </w:pPr>
            <w:r w:rsidRPr="00B20FBD">
              <w:rPr>
                <w:rFonts w:asciiTheme="majorHAnsi" w:eastAsia="Times New Roman" w:hAnsiTheme="majorHAnsi" w:cstheme="majorHAnsi"/>
                <w:b/>
                <w:i/>
                <w:iCs/>
                <w:color w:val="000000"/>
                <w:sz w:val="20"/>
                <w:szCs w:val="20"/>
                <w:lang w:val="ro-RO"/>
              </w:rPr>
              <w:t>4</w:t>
            </w:r>
          </w:p>
        </w:tc>
        <w:tc>
          <w:tcPr>
            <w:tcW w:w="1119" w:type="dxa"/>
            <w:hideMark/>
          </w:tcPr>
          <w:p w14:paraId="55635290" w14:textId="77777777" w:rsidR="00462FA2" w:rsidRPr="00B20FBD" w:rsidRDefault="00462FA2" w:rsidP="00462FA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
                <w:iCs/>
                <w:color w:val="000000"/>
                <w:sz w:val="20"/>
                <w:szCs w:val="20"/>
                <w:lang w:val="ro-RO"/>
              </w:rPr>
            </w:pPr>
            <w:r w:rsidRPr="00B20FBD">
              <w:rPr>
                <w:rFonts w:asciiTheme="majorHAnsi" w:eastAsia="Times New Roman" w:hAnsiTheme="majorHAnsi" w:cstheme="majorHAnsi"/>
                <w:b/>
                <w:i/>
                <w:iCs/>
                <w:color w:val="000000"/>
                <w:sz w:val="20"/>
                <w:szCs w:val="20"/>
                <w:lang w:val="ro-RO"/>
              </w:rPr>
              <w:t>5</w:t>
            </w:r>
          </w:p>
        </w:tc>
        <w:tc>
          <w:tcPr>
            <w:tcW w:w="1149" w:type="dxa"/>
            <w:hideMark/>
          </w:tcPr>
          <w:p w14:paraId="5E633048" w14:textId="77777777" w:rsidR="00462FA2" w:rsidRPr="00B20FBD" w:rsidRDefault="00462FA2" w:rsidP="00462FA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lang w:val="ro-RO"/>
              </w:rPr>
            </w:pPr>
            <w:r w:rsidRPr="00B20FBD">
              <w:rPr>
                <w:rFonts w:asciiTheme="majorHAnsi" w:eastAsia="Times New Roman" w:hAnsiTheme="majorHAnsi" w:cstheme="majorHAnsi"/>
                <w:b/>
                <w:color w:val="000000"/>
                <w:sz w:val="20"/>
                <w:szCs w:val="20"/>
                <w:lang w:val="ro-RO"/>
              </w:rPr>
              <w:t>6=4-3</w:t>
            </w:r>
          </w:p>
        </w:tc>
        <w:tc>
          <w:tcPr>
            <w:tcW w:w="1134" w:type="dxa"/>
            <w:hideMark/>
          </w:tcPr>
          <w:p w14:paraId="1E402F6C" w14:textId="77777777" w:rsidR="00462FA2" w:rsidRPr="00B20FBD" w:rsidRDefault="00462FA2" w:rsidP="00462FA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0"/>
                <w:lang w:val="ro-RO"/>
              </w:rPr>
            </w:pPr>
            <w:r w:rsidRPr="00B20FBD">
              <w:rPr>
                <w:rFonts w:asciiTheme="majorHAnsi" w:eastAsia="Times New Roman" w:hAnsiTheme="majorHAnsi" w:cstheme="majorHAnsi"/>
                <w:b/>
                <w:color w:val="000000"/>
                <w:sz w:val="20"/>
                <w:szCs w:val="20"/>
                <w:lang w:val="ro-RO"/>
              </w:rPr>
              <w:t>7= 5-2</w:t>
            </w:r>
          </w:p>
        </w:tc>
      </w:tr>
      <w:tr w:rsidR="00462FA2" w:rsidRPr="00B20FBD" w14:paraId="235481CC" w14:textId="77777777" w:rsidTr="00462FA2">
        <w:trPr>
          <w:trHeight w:val="300"/>
          <w:jc w:val="center"/>
        </w:trPr>
        <w:tc>
          <w:tcPr>
            <w:cnfStyle w:val="001000000000" w:firstRow="0" w:lastRow="0" w:firstColumn="1" w:lastColumn="0" w:oddVBand="0" w:evenVBand="0" w:oddHBand="0" w:evenHBand="0" w:firstRowFirstColumn="0" w:firstRowLastColumn="0" w:lastRowFirstColumn="0" w:lastRowLastColumn="0"/>
            <w:tcW w:w="9640" w:type="dxa"/>
            <w:gridSpan w:val="9"/>
            <w:hideMark/>
          </w:tcPr>
          <w:p w14:paraId="73D3E712" w14:textId="398A3D59" w:rsidR="00462FA2" w:rsidRPr="0090773F" w:rsidRDefault="00462FA2" w:rsidP="00462FA2">
            <w:pPr>
              <w:spacing w:after="0" w:line="240" w:lineRule="auto"/>
              <w:jc w:val="center"/>
              <w:rPr>
                <w:rFonts w:asciiTheme="majorHAnsi" w:eastAsia="Times New Roman" w:hAnsiTheme="majorHAnsi" w:cstheme="majorHAnsi"/>
                <w:bCs w:val="0"/>
                <w:iCs/>
                <w:color w:val="000000"/>
                <w:sz w:val="20"/>
                <w:szCs w:val="20"/>
              </w:rPr>
            </w:pPr>
            <w:r w:rsidRPr="00B20FBD">
              <w:rPr>
                <w:rFonts w:asciiTheme="majorHAnsi" w:eastAsia="Times New Roman" w:hAnsiTheme="majorHAnsi" w:cstheme="majorHAnsi"/>
                <w:bCs w:val="0"/>
                <w:iCs/>
                <w:color w:val="000000"/>
                <w:sz w:val="20"/>
                <w:szCs w:val="20"/>
                <w:lang w:val="ro-RO"/>
              </w:rPr>
              <w:t>2021</w:t>
            </w:r>
            <w:r w:rsidR="0090773F">
              <w:rPr>
                <w:rFonts w:asciiTheme="majorHAnsi" w:eastAsia="Times New Roman" w:hAnsiTheme="majorHAnsi" w:cstheme="majorHAnsi"/>
                <w:bCs w:val="0"/>
                <w:iCs/>
                <w:color w:val="000000"/>
                <w:sz w:val="20"/>
                <w:szCs w:val="20"/>
              </w:rPr>
              <w:t xml:space="preserve"> год</w:t>
            </w:r>
          </w:p>
        </w:tc>
      </w:tr>
      <w:tr w:rsidR="0090773F" w:rsidRPr="00B20FBD" w14:paraId="776768E5" w14:textId="77777777" w:rsidTr="00462FA2">
        <w:trPr>
          <w:gridAfter w:val="1"/>
          <w:wAfter w:w="6" w:type="dxa"/>
          <w:trHeight w:val="276"/>
          <w:jc w:val="center"/>
        </w:trPr>
        <w:tc>
          <w:tcPr>
            <w:cnfStyle w:val="001000000000" w:firstRow="0" w:lastRow="0" w:firstColumn="1" w:lastColumn="0" w:oddVBand="0" w:evenVBand="0" w:oddHBand="0" w:evenHBand="0" w:firstRowFirstColumn="0" w:firstRowLastColumn="0" w:lastRowFirstColumn="0" w:lastRowLastColumn="0"/>
            <w:tcW w:w="420" w:type="dxa"/>
            <w:hideMark/>
          </w:tcPr>
          <w:p w14:paraId="7C042415" w14:textId="77777777" w:rsidR="0090773F" w:rsidRPr="00B20FBD" w:rsidRDefault="0090773F" w:rsidP="0090773F">
            <w:pPr>
              <w:spacing w:after="0" w:line="240" w:lineRule="auto"/>
              <w:jc w:val="center"/>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1.</w:t>
            </w:r>
          </w:p>
        </w:tc>
        <w:tc>
          <w:tcPr>
            <w:tcW w:w="2127" w:type="dxa"/>
            <w:hideMark/>
          </w:tcPr>
          <w:p w14:paraId="45E92394" w14:textId="34B09F07" w:rsidR="0090773F" w:rsidRPr="0090773F" w:rsidRDefault="0090773F" w:rsidP="0090773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773F">
              <w:rPr>
                <w:rFonts w:asciiTheme="majorHAnsi" w:hAnsiTheme="majorHAnsi" w:cstheme="majorHAnsi"/>
                <w:b/>
                <w:sz w:val="20"/>
                <w:szCs w:val="20"/>
              </w:rPr>
              <w:t>Российская Федерация</w:t>
            </w:r>
          </w:p>
        </w:tc>
        <w:tc>
          <w:tcPr>
            <w:tcW w:w="1276" w:type="dxa"/>
            <w:hideMark/>
          </w:tcPr>
          <w:p w14:paraId="1C06B89D" w14:textId="77777777" w:rsidR="0090773F" w:rsidRPr="00B20FBD" w:rsidRDefault="0090773F" w:rsidP="009077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1755,4</w:t>
            </w:r>
          </w:p>
        </w:tc>
        <w:tc>
          <w:tcPr>
            <w:tcW w:w="1275" w:type="dxa"/>
            <w:hideMark/>
          </w:tcPr>
          <w:p w14:paraId="48E51C54" w14:textId="77777777" w:rsidR="0090773F" w:rsidRPr="00B20FBD" w:rsidRDefault="0090773F" w:rsidP="009077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417,2</w:t>
            </w:r>
          </w:p>
        </w:tc>
        <w:tc>
          <w:tcPr>
            <w:tcW w:w="1134" w:type="dxa"/>
            <w:hideMark/>
          </w:tcPr>
          <w:p w14:paraId="187C8C53" w14:textId="77777777" w:rsidR="0090773F" w:rsidRPr="00B20FBD" w:rsidRDefault="0090773F" w:rsidP="009077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276,1</w:t>
            </w:r>
          </w:p>
        </w:tc>
        <w:tc>
          <w:tcPr>
            <w:tcW w:w="1119" w:type="dxa"/>
            <w:hideMark/>
          </w:tcPr>
          <w:p w14:paraId="7D1FFC67" w14:textId="77777777" w:rsidR="0090773F" w:rsidRPr="00B20FBD" w:rsidRDefault="0090773F" w:rsidP="009077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1053,9</w:t>
            </w:r>
          </w:p>
        </w:tc>
        <w:tc>
          <w:tcPr>
            <w:tcW w:w="1149" w:type="dxa"/>
            <w:hideMark/>
          </w:tcPr>
          <w:p w14:paraId="4F22FAB8" w14:textId="77777777" w:rsidR="0090773F" w:rsidRPr="00B20FBD" w:rsidRDefault="0090773F" w:rsidP="009077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-141,1</w:t>
            </w:r>
          </w:p>
        </w:tc>
        <w:tc>
          <w:tcPr>
            <w:tcW w:w="1134" w:type="dxa"/>
            <w:hideMark/>
          </w:tcPr>
          <w:p w14:paraId="0BF95610" w14:textId="77777777" w:rsidR="0090773F" w:rsidRPr="00B20FBD" w:rsidRDefault="0090773F" w:rsidP="009077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-701,5</w:t>
            </w:r>
          </w:p>
        </w:tc>
      </w:tr>
      <w:tr w:rsidR="0090773F" w:rsidRPr="00B20FBD" w14:paraId="3EEA4474" w14:textId="77777777" w:rsidTr="00462FA2">
        <w:trPr>
          <w:gridAfter w:val="1"/>
          <w:wAfter w:w="6" w:type="dxa"/>
          <w:trHeight w:val="276"/>
          <w:jc w:val="center"/>
        </w:trPr>
        <w:tc>
          <w:tcPr>
            <w:cnfStyle w:val="001000000000" w:firstRow="0" w:lastRow="0" w:firstColumn="1" w:lastColumn="0" w:oddVBand="0" w:evenVBand="0" w:oddHBand="0" w:evenHBand="0" w:firstRowFirstColumn="0" w:firstRowLastColumn="0" w:lastRowFirstColumn="0" w:lastRowLastColumn="0"/>
            <w:tcW w:w="420" w:type="dxa"/>
          </w:tcPr>
          <w:p w14:paraId="5530052A" w14:textId="77777777" w:rsidR="0090773F" w:rsidRPr="00B20FBD" w:rsidRDefault="0090773F" w:rsidP="0090773F">
            <w:pPr>
              <w:spacing w:after="0" w:line="240" w:lineRule="auto"/>
              <w:jc w:val="center"/>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2.</w:t>
            </w:r>
          </w:p>
        </w:tc>
        <w:tc>
          <w:tcPr>
            <w:tcW w:w="2127" w:type="dxa"/>
          </w:tcPr>
          <w:p w14:paraId="2E42EC5C" w14:textId="64E30031" w:rsidR="0090773F" w:rsidRPr="0090773F" w:rsidRDefault="0090773F" w:rsidP="0090773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773F">
              <w:rPr>
                <w:rFonts w:asciiTheme="majorHAnsi" w:hAnsiTheme="majorHAnsi" w:cstheme="majorHAnsi"/>
                <w:b/>
                <w:sz w:val="20"/>
                <w:szCs w:val="20"/>
              </w:rPr>
              <w:t>Румыния</w:t>
            </w:r>
          </w:p>
        </w:tc>
        <w:tc>
          <w:tcPr>
            <w:tcW w:w="1276" w:type="dxa"/>
          </w:tcPr>
          <w:p w14:paraId="58723F91" w14:textId="77777777" w:rsidR="0090773F" w:rsidRPr="00B20FBD" w:rsidRDefault="0090773F" w:rsidP="009077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1545,6</w:t>
            </w:r>
          </w:p>
        </w:tc>
        <w:tc>
          <w:tcPr>
            <w:tcW w:w="1275" w:type="dxa"/>
          </w:tcPr>
          <w:p w14:paraId="31FD75B8" w14:textId="77777777" w:rsidR="0090773F" w:rsidRPr="00B20FBD" w:rsidRDefault="0090773F" w:rsidP="009077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854,9</w:t>
            </w:r>
          </w:p>
        </w:tc>
        <w:tc>
          <w:tcPr>
            <w:tcW w:w="1134" w:type="dxa"/>
          </w:tcPr>
          <w:p w14:paraId="6399D7BA" w14:textId="77777777" w:rsidR="0090773F" w:rsidRPr="00B20FBD" w:rsidRDefault="0090773F" w:rsidP="009077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833,5</w:t>
            </w:r>
          </w:p>
        </w:tc>
        <w:tc>
          <w:tcPr>
            <w:tcW w:w="1119" w:type="dxa"/>
          </w:tcPr>
          <w:p w14:paraId="1FF5EA24" w14:textId="77777777" w:rsidR="0090773F" w:rsidRPr="00B20FBD" w:rsidRDefault="0090773F" w:rsidP="009077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829,9</w:t>
            </w:r>
          </w:p>
        </w:tc>
        <w:tc>
          <w:tcPr>
            <w:tcW w:w="1149" w:type="dxa"/>
          </w:tcPr>
          <w:p w14:paraId="38242C50" w14:textId="77777777" w:rsidR="0090773F" w:rsidRPr="00B20FBD" w:rsidRDefault="0090773F" w:rsidP="009077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-21,4</w:t>
            </w:r>
          </w:p>
        </w:tc>
        <w:tc>
          <w:tcPr>
            <w:tcW w:w="1134" w:type="dxa"/>
          </w:tcPr>
          <w:p w14:paraId="5EC4CC9B" w14:textId="77777777" w:rsidR="0090773F" w:rsidRPr="00B20FBD" w:rsidRDefault="0090773F" w:rsidP="009077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-715,7</w:t>
            </w:r>
          </w:p>
        </w:tc>
      </w:tr>
      <w:tr w:rsidR="0090773F" w:rsidRPr="00B20FBD" w14:paraId="1A1F8ACF" w14:textId="77777777" w:rsidTr="00462FA2">
        <w:trPr>
          <w:gridAfter w:val="1"/>
          <w:wAfter w:w="6" w:type="dxa"/>
          <w:trHeight w:val="276"/>
          <w:jc w:val="center"/>
        </w:trPr>
        <w:tc>
          <w:tcPr>
            <w:cnfStyle w:val="001000000000" w:firstRow="0" w:lastRow="0" w:firstColumn="1" w:lastColumn="0" w:oddVBand="0" w:evenVBand="0" w:oddHBand="0" w:evenHBand="0" w:firstRowFirstColumn="0" w:firstRowLastColumn="0" w:lastRowFirstColumn="0" w:lastRowLastColumn="0"/>
            <w:tcW w:w="420" w:type="dxa"/>
            <w:hideMark/>
          </w:tcPr>
          <w:p w14:paraId="3C50F06E" w14:textId="77777777" w:rsidR="0090773F" w:rsidRPr="00B20FBD" w:rsidRDefault="0090773F" w:rsidP="0090773F">
            <w:pPr>
              <w:spacing w:after="0" w:line="240" w:lineRule="auto"/>
              <w:jc w:val="center"/>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3.</w:t>
            </w:r>
          </w:p>
        </w:tc>
        <w:tc>
          <w:tcPr>
            <w:tcW w:w="2127" w:type="dxa"/>
            <w:hideMark/>
          </w:tcPr>
          <w:p w14:paraId="08248115" w14:textId="4365B3EA" w:rsidR="0090773F" w:rsidRPr="0090773F" w:rsidRDefault="0090773F" w:rsidP="0090773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773F">
              <w:rPr>
                <w:rFonts w:asciiTheme="majorHAnsi" w:hAnsiTheme="majorHAnsi" w:cstheme="majorHAnsi"/>
                <w:b/>
                <w:sz w:val="20"/>
                <w:szCs w:val="20"/>
              </w:rPr>
              <w:t>Украина</w:t>
            </w:r>
          </w:p>
        </w:tc>
        <w:tc>
          <w:tcPr>
            <w:tcW w:w="1276" w:type="dxa"/>
            <w:hideMark/>
          </w:tcPr>
          <w:p w14:paraId="7B78C34A" w14:textId="77777777" w:rsidR="0090773F" w:rsidRPr="00B20FBD" w:rsidRDefault="0090773F" w:rsidP="009077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864,2</w:t>
            </w:r>
          </w:p>
        </w:tc>
        <w:tc>
          <w:tcPr>
            <w:tcW w:w="1275" w:type="dxa"/>
            <w:hideMark/>
          </w:tcPr>
          <w:p w14:paraId="62E8E4B8" w14:textId="77777777" w:rsidR="0090773F" w:rsidRPr="00B20FBD" w:rsidRDefault="0090773F" w:rsidP="009077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112,4</w:t>
            </w:r>
          </w:p>
        </w:tc>
        <w:tc>
          <w:tcPr>
            <w:tcW w:w="1134" w:type="dxa"/>
            <w:hideMark/>
          </w:tcPr>
          <w:p w14:paraId="1B9B43FB" w14:textId="77777777" w:rsidR="0090773F" w:rsidRPr="00B20FBD" w:rsidRDefault="0090773F" w:rsidP="009077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92,8</w:t>
            </w:r>
          </w:p>
        </w:tc>
        <w:tc>
          <w:tcPr>
            <w:tcW w:w="1119" w:type="dxa"/>
            <w:hideMark/>
          </w:tcPr>
          <w:p w14:paraId="2E8BC58F" w14:textId="77777777" w:rsidR="0090773F" w:rsidRPr="00B20FBD" w:rsidRDefault="0090773F" w:rsidP="009077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667,2</w:t>
            </w:r>
          </w:p>
        </w:tc>
        <w:tc>
          <w:tcPr>
            <w:tcW w:w="1149" w:type="dxa"/>
            <w:hideMark/>
          </w:tcPr>
          <w:p w14:paraId="4326BC77" w14:textId="77777777" w:rsidR="0090773F" w:rsidRPr="00B20FBD" w:rsidRDefault="0090773F" w:rsidP="009077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-19,6</w:t>
            </w:r>
          </w:p>
        </w:tc>
        <w:tc>
          <w:tcPr>
            <w:tcW w:w="1134" w:type="dxa"/>
            <w:hideMark/>
          </w:tcPr>
          <w:p w14:paraId="4018FFF1" w14:textId="77777777" w:rsidR="0090773F" w:rsidRPr="00B20FBD" w:rsidRDefault="0090773F" w:rsidP="009077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-197,0</w:t>
            </w:r>
          </w:p>
        </w:tc>
      </w:tr>
      <w:tr w:rsidR="0090773F" w:rsidRPr="00B20FBD" w14:paraId="41EDF4B2" w14:textId="77777777" w:rsidTr="00462FA2">
        <w:trPr>
          <w:gridAfter w:val="1"/>
          <w:wAfter w:w="6" w:type="dxa"/>
          <w:trHeight w:val="276"/>
          <w:jc w:val="center"/>
        </w:trPr>
        <w:tc>
          <w:tcPr>
            <w:cnfStyle w:val="001000000000" w:firstRow="0" w:lastRow="0" w:firstColumn="1" w:lastColumn="0" w:oddVBand="0" w:evenVBand="0" w:oddHBand="0" w:evenHBand="0" w:firstRowFirstColumn="0" w:firstRowLastColumn="0" w:lastRowFirstColumn="0" w:lastRowLastColumn="0"/>
            <w:tcW w:w="420" w:type="dxa"/>
            <w:hideMark/>
          </w:tcPr>
          <w:p w14:paraId="471CDAE6" w14:textId="77777777" w:rsidR="0090773F" w:rsidRPr="00B20FBD" w:rsidRDefault="0090773F" w:rsidP="0090773F">
            <w:pPr>
              <w:spacing w:after="0" w:line="240" w:lineRule="auto"/>
              <w:jc w:val="center"/>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4.</w:t>
            </w:r>
          </w:p>
        </w:tc>
        <w:tc>
          <w:tcPr>
            <w:tcW w:w="2127" w:type="dxa"/>
          </w:tcPr>
          <w:p w14:paraId="39069022" w14:textId="2688558A" w:rsidR="0090773F" w:rsidRPr="0090773F" w:rsidRDefault="0090773F" w:rsidP="0090773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773F">
              <w:rPr>
                <w:rFonts w:asciiTheme="majorHAnsi" w:hAnsiTheme="majorHAnsi" w:cstheme="majorHAnsi"/>
                <w:b/>
                <w:sz w:val="20"/>
                <w:szCs w:val="20"/>
              </w:rPr>
              <w:t>Республика Беларусь</w:t>
            </w:r>
          </w:p>
        </w:tc>
        <w:tc>
          <w:tcPr>
            <w:tcW w:w="1276" w:type="dxa"/>
          </w:tcPr>
          <w:p w14:paraId="4BD43561" w14:textId="77777777" w:rsidR="0090773F" w:rsidRPr="00B20FBD" w:rsidRDefault="0090773F" w:rsidP="009077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180,7</w:t>
            </w:r>
          </w:p>
        </w:tc>
        <w:tc>
          <w:tcPr>
            <w:tcW w:w="1275" w:type="dxa"/>
          </w:tcPr>
          <w:p w14:paraId="27109997" w14:textId="77777777" w:rsidR="0090773F" w:rsidRPr="00B20FBD" w:rsidRDefault="0090773F" w:rsidP="009077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72,1</w:t>
            </w:r>
          </w:p>
        </w:tc>
        <w:tc>
          <w:tcPr>
            <w:tcW w:w="1134" w:type="dxa"/>
          </w:tcPr>
          <w:p w14:paraId="42E0F70B" w14:textId="77777777" w:rsidR="0090773F" w:rsidRPr="00B20FBD" w:rsidRDefault="0090773F" w:rsidP="009077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67,8</w:t>
            </w:r>
          </w:p>
        </w:tc>
        <w:tc>
          <w:tcPr>
            <w:tcW w:w="1119" w:type="dxa"/>
          </w:tcPr>
          <w:p w14:paraId="4B723BE2" w14:textId="77777777" w:rsidR="0090773F" w:rsidRPr="00B20FBD" w:rsidRDefault="0090773F" w:rsidP="009077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145,3</w:t>
            </w:r>
          </w:p>
        </w:tc>
        <w:tc>
          <w:tcPr>
            <w:tcW w:w="1149" w:type="dxa"/>
          </w:tcPr>
          <w:p w14:paraId="7870339A" w14:textId="77777777" w:rsidR="0090773F" w:rsidRPr="00B20FBD" w:rsidRDefault="0090773F" w:rsidP="009077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-4,3</w:t>
            </w:r>
          </w:p>
        </w:tc>
        <w:tc>
          <w:tcPr>
            <w:tcW w:w="1134" w:type="dxa"/>
          </w:tcPr>
          <w:p w14:paraId="0378875F" w14:textId="77777777" w:rsidR="0090773F" w:rsidRPr="00B20FBD" w:rsidRDefault="0090773F" w:rsidP="009077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-35,4</w:t>
            </w:r>
          </w:p>
        </w:tc>
      </w:tr>
      <w:tr w:rsidR="00C31604" w:rsidRPr="00B20FBD" w14:paraId="16F4AE86" w14:textId="77777777" w:rsidTr="00462FA2">
        <w:trPr>
          <w:gridAfter w:val="1"/>
          <w:wAfter w:w="6" w:type="dxa"/>
          <w:trHeight w:val="276"/>
          <w:jc w:val="center"/>
        </w:trPr>
        <w:tc>
          <w:tcPr>
            <w:cnfStyle w:val="001000000000" w:firstRow="0" w:lastRow="0" w:firstColumn="1" w:lastColumn="0" w:oddVBand="0" w:evenVBand="0" w:oddHBand="0" w:evenHBand="0" w:firstRowFirstColumn="0" w:firstRowLastColumn="0" w:lastRowFirstColumn="0" w:lastRowLastColumn="0"/>
            <w:tcW w:w="2547" w:type="dxa"/>
            <w:gridSpan w:val="2"/>
            <w:hideMark/>
          </w:tcPr>
          <w:p w14:paraId="60D11872" w14:textId="267405DB" w:rsidR="00462FA2" w:rsidRPr="00B20FBD" w:rsidRDefault="0090773F" w:rsidP="00462FA2">
            <w:pPr>
              <w:spacing w:after="0" w:line="240" w:lineRule="auto"/>
              <w:rPr>
                <w:rFonts w:asciiTheme="majorHAnsi" w:eastAsia="Times New Roman" w:hAnsiTheme="majorHAnsi" w:cstheme="majorHAnsi"/>
                <w:b w:val="0"/>
                <w:bCs w:val="0"/>
                <w:color w:val="000000"/>
                <w:sz w:val="20"/>
                <w:szCs w:val="20"/>
                <w:lang w:val="ro-RO"/>
              </w:rPr>
            </w:pPr>
            <w:r>
              <w:rPr>
                <w:rFonts w:asciiTheme="majorHAnsi" w:eastAsia="Times New Roman" w:hAnsiTheme="majorHAnsi" w:cstheme="majorHAnsi"/>
                <w:b w:val="0"/>
                <w:bCs w:val="0"/>
                <w:color w:val="000000"/>
                <w:sz w:val="20"/>
                <w:szCs w:val="20"/>
              </w:rPr>
              <w:t>Всего</w:t>
            </w:r>
            <w:r w:rsidR="00462FA2" w:rsidRPr="00B20FBD">
              <w:rPr>
                <w:rFonts w:asciiTheme="majorHAnsi" w:eastAsia="Times New Roman" w:hAnsiTheme="majorHAnsi" w:cstheme="majorHAnsi"/>
                <w:b w:val="0"/>
                <w:bCs w:val="0"/>
                <w:color w:val="000000"/>
                <w:sz w:val="20"/>
                <w:szCs w:val="20"/>
                <w:lang w:val="ro-RO"/>
              </w:rPr>
              <w:t>:</w:t>
            </w:r>
          </w:p>
        </w:tc>
        <w:tc>
          <w:tcPr>
            <w:tcW w:w="1276" w:type="dxa"/>
            <w:hideMark/>
          </w:tcPr>
          <w:p w14:paraId="50A3A7B4" w14:textId="77777777" w:rsidR="00462FA2" w:rsidRPr="00B20FBD" w:rsidRDefault="00462FA2" w:rsidP="00462FA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B20FBD">
              <w:rPr>
                <w:rFonts w:asciiTheme="majorHAnsi" w:eastAsia="Times New Roman" w:hAnsiTheme="majorHAnsi" w:cstheme="majorHAnsi"/>
                <w:b/>
                <w:bCs/>
                <w:color w:val="000000"/>
                <w:sz w:val="20"/>
                <w:szCs w:val="20"/>
                <w:lang w:val="ro-RO"/>
              </w:rPr>
              <w:t>4345,9</w:t>
            </w:r>
          </w:p>
        </w:tc>
        <w:tc>
          <w:tcPr>
            <w:tcW w:w="1275" w:type="dxa"/>
            <w:hideMark/>
          </w:tcPr>
          <w:p w14:paraId="31657983" w14:textId="77777777" w:rsidR="00462FA2" w:rsidRPr="00B20FBD" w:rsidRDefault="00462FA2" w:rsidP="00462FA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B20FBD">
              <w:rPr>
                <w:rFonts w:asciiTheme="majorHAnsi" w:eastAsia="Times New Roman" w:hAnsiTheme="majorHAnsi" w:cstheme="majorHAnsi"/>
                <w:b/>
                <w:bCs/>
                <w:color w:val="000000"/>
                <w:sz w:val="20"/>
                <w:szCs w:val="20"/>
                <w:lang w:val="ro-RO"/>
              </w:rPr>
              <w:t>1456,6</w:t>
            </w:r>
          </w:p>
        </w:tc>
        <w:tc>
          <w:tcPr>
            <w:tcW w:w="1134" w:type="dxa"/>
            <w:hideMark/>
          </w:tcPr>
          <w:p w14:paraId="1CF35741" w14:textId="77777777" w:rsidR="00462FA2" w:rsidRPr="00B20FBD" w:rsidRDefault="00462FA2" w:rsidP="00462FA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B20FBD">
              <w:rPr>
                <w:rFonts w:asciiTheme="majorHAnsi" w:eastAsia="Times New Roman" w:hAnsiTheme="majorHAnsi" w:cstheme="majorHAnsi"/>
                <w:b/>
                <w:bCs/>
                <w:color w:val="000000"/>
                <w:sz w:val="20"/>
                <w:szCs w:val="20"/>
                <w:lang w:val="ro-RO"/>
              </w:rPr>
              <w:t>1270,2</w:t>
            </w:r>
          </w:p>
        </w:tc>
        <w:tc>
          <w:tcPr>
            <w:tcW w:w="1119" w:type="dxa"/>
            <w:hideMark/>
          </w:tcPr>
          <w:p w14:paraId="3E672916" w14:textId="77777777" w:rsidR="00462FA2" w:rsidRPr="00B20FBD" w:rsidRDefault="00462FA2" w:rsidP="00462FA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B20FBD">
              <w:rPr>
                <w:rFonts w:asciiTheme="majorHAnsi" w:eastAsia="Times New Roman" w:hAnsiTheme="majorHAnsi" w:cstheme="majorHAnsi"/>
                <w:b/>
                <w:bCs/>
                <w:color w:val="000000"/>
                <w:sz w:val="20"/>
                <w:szCs w:val="20"/>
                <w:lang w:val="ro-RO"/>
              </w:rPr>
              <w:t>2696,3</w:t>
            </w:r>
          </w:p>
        </w:tc>
        <w:tc>
          <w:tcPr>
            <w:tcW w:w="1149" w:type="dxa"/>
            <w:hideMark/>
          </w:tcPr>
          <w:p w14:paraId="16A00DFB" w14:textId="77777777" w:rsidR="00462FA2" w:rsidRPr="00B20FBD" w:rsidRDefault="00462FA2" w:rsidP="00462FA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B20FBD">
              <w:rPr>
                <w:rFonts w:asciiTheme="majorHAnsi" w:eastAsia="Times New Roman" w:hAnsiTheme="majorHAnsi" w:cstheme="majorHAnsi"/>
                <w:b/>
                <w:bCs/>
                <w:color w:val="000000"/>
                <w:sz w:val="20"/>
                <w:szCs w:val="20"/>
                <w:lang w:val="ro-RO"/>
              </w:rPr>
              <w:t>-186,4</w:t>
            </w:r>
          </w:p>
        </w:tc>
        <w:tc>
          <w:tcPr>
            <w:tcW w:w="1134" w:type="dxa"/>
            <w:hideMark/>
          </w:tcPr>
          <w:p w14:paraId="1545199F" w14:textId="77777777" w:rsidR="00462FA2" w:rsidRPr="00B20FBD" w:rsidRDefault="00462FA2" w:rsidP="00462FA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B20FBD">
              <w:rPr>
                <w:rFonts w:asciiTheme="majorHAnsi" w:eastAsia="Times New Roman" w:hAnsiTheme="majorHAnsi" w:cstheme="majorHAnsi"/>
                <w:b/>
                <w:bCs/>
                <w:color w:val="000000"/>
                <w:sz w:val="20"/>
                <w:szCs w:val="20"/>
                <w:lang w:val="ro-RO"/>
              </w:rPr>
              <w:t>-1649,6</w:t>
            </w:r>
          </w:p>
        </w:tc>
      </w:tr>
      <w:tr w:rsidR="00462FA2" w:rsidRPr="00B20FBD" w14:paraId="50DC2F17" w14:textId="77777777" w:rsidTr="00462FA2">
        <w:trPr>
          <w:trHeight w:val="288"/>
          <w:jc w:val="center"/>
        </w:trPr>
        <w:tc>
          <w:tcPr>
            <w:cnfStyle w:val="001000000000" w:firstRow="0" w:lastRow="0" w:firstColumn="1" w:lastColumn="0" w:oddVBand="0" w:evenVBand="0" w:oddHBand="0" w:evenHBand="0" w:firstRowFirstColumn="0" w:firstRowLastColumn="0" w:lastRowFirstColumn="0" w:lastRowLastColumn="0"/>
            <w:tcW w:w="9640" w:type="dxa"/>
            <w:gridSpan w:val="9"/>
            <w:hideMark/>
          </w:tcPr>
          <w:p w14:paraId="43D80247" w14:textId="0F8D4ACF" w:rsidR="00462FA2" w:rsidRPr="0090773F" w:rsidRDefault="00462FA2" w:rsidP="00462FA2">
            <w:pPr>
              <w:spacing w:after="0" w:line="240" w:lineRule="auto"/>
              <w:jc w:val="center"/>
              <w:rPr>
                <w:rFonts w:asciiTheme="majorHAnsi" w:eastAsia="Times New Roman" w:hAnsiTheme="majorHAnsi" w:cstheme="majorHAnsi"/>
                <w:bCs w:val="0"/>
                <w:iCs/>
                <w:color w:val="000000"/>
                <w:sz w:val="20"/>
                <w:szCs w:val="20"/>
              </w:rPr>
            </w:pPr>
            <w:r w:rsidRPr="00B20FBD">
              <w:rPr>
                <w:rFonts w:asciiTheme="majorHAnsi" w:eastAsia="Times New Roman" w:hAnsiTheme="majorHAnsi" w:cstheme="majorHAnsi"/>
                <w:bCs w:val="0"/>
                <w:iCs/>
                <w:color w:val="000000"/>
                <w:sz w:val="20"/>
                <w:szCs w:val="20"/>
                <w:lang w:val="ro-RO"/>
              </w:rPr>
              <w:t>2020</w:t>
            </w:r>
            <w:r w:rsidR="0090773F">
              <w:rPr>
                <w:rFonts w:asciiTheme="majorHAnsi" w:eastAsia="Times New Roman" w:hAnsiTheme="majorHAnsi" w:cstheme="majorHAnsi"/>
                <w:bCs w:val="0"/>
                <w:iCs/>
                <w:color w:val="000000"/>
                <w:sz w:val="20"/>
                <w:szCs w:val="20"/>
              </w:rPr>
              <w:t xml:space="preserve"> год</w:t>
            </w:r>
          </w:p>
        </w:tc>
      </w:tr>
      <w:tr w:rsidR="0090773F" w:rsidRPr="00B20FBD" w14:paraId="39AFFDC3" w14:textId="77777777" w:rsidTr="00462FA2">
        <w:trPr>
          <w:gridAfter w:val="1"/>
          <w:wAfter w:w="6" w:type="dxa"/>
          <w:trHeight w:val="300"/>
          <w:jc w:val="center"/>
        </w:trPr>
        <w:tc>
          <w:tcPr>
            <w:cnfStyle w:val="001000000000" w:firstRow="0" w:lastRow="0" w:firstColumn="1" w:lastColumn="0" w:oddVBand="0" w:evenVBand="0" w:oddHBand="0" w:evenHBand="0" w:firstRowFirstColumn="0" w:firstRowLastColumn="0" w:lastRowFirstColumn="0" w:lastRowLastColumn="0"/>
            <w:tcW w:w="420" w:type="dxa"/>
            <w:hideMark/>
          </w:tcPr>
          <w:p w14:paraId="2A076245" w14:textId="77777777" w:rsidR="0090773F" w:rsidRPr="00B20FBD" w:rsidRDefault="0090773F" w:rsidP="0090773F">
            <w:pPr>
              <w:spacing w:after="0" w:line="240" w:lineRule="auto"/>
              <w:jc w:val="center"/>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1.</w:t>
            </w:r>
          </w:p>
        </w:tc>
        <w:tc>
          <w:tcPr>
            <w:tcW w:w="2127" w:type="dxa"/>
            <w:hideMark/>
          </w:tcPr>
          <w:p w14:paraId="7851AD88" w14:textId="151844F3" w:rsidR="0090773F" w:rsidRPr="00B20FBD" w:rsidRDefault="0090773F" w:rsidP="0090773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773F">
              <w:rPr>
                <w:rFonts w:asciiTheme="majorHAnsi" w:hAnsiTheme="majorHAnsi" w:cstheme="majorHAnsi"/>
                <w:b/>
                <w:sz w:val="20"/>
                <w:szCs w:val="20"/>
              </w:rPr>
              <w:t>Российская Федерация</w:t>
            </w:r>
          </w:p>
        </w:tc>
        <w:tc>
          <w:tcPr>
            <w:tcW w:w="1276" w:type="dxa"/>
            <w:hideMark/>
          </w:tcPr>
          <w:p w14:paraId="707B2AA5" w14:textId="77777777" w:rsidR="0090773F" w:rsidRPr="00B20FBD" w:rsidRDefault="0090773F" w:rsidP="009077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954,0</w:t>
            </w:r>
          </w:p>
        </w:tc>
        <w:tc>
          <w:tcPr>
            <w:tcW w:w="1275" w:type="dxa"/>
            <w:hideMark/>
          </w:tcPr>
          <w:p w14:paraId="4020000A" w14:textId="77777777" w:rsidR="0090773F" w:rsidRPr="00B20FBD" w:rsidRDefault="0090773F" w:rsidP="009077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353,6</w:t>
            </w:r>
          </w:p>
        </w:tc>
        <w:tc>
          <w:tcPr>
            <w:tcW w:w="1134" w:type="dxa"/>
            <w:hideMark/>
          </w:tcPr>
          <w:p w14:paraId="26AE6277" w14:textId="77777777" w:rsidR="0090773F" w:rsidRPr="00B20FBD" w:rsidRDefault="0090773F" w:rsidP="009077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216,8</w:t>
            </w:r>
          </w:p>
        </w:tc>
        <w:tc>
          <w:tcPr>
            <w:tcW w:w="1119" w:type="dxa"/>
            <w:hideMark/>
          </w:tcPr>
          <w:p w14:paraId="0B04391D" w14:textId="77777777" w:rsidR="0090773F" w:rsidRPr="00B20FBD" w:rsidRDefault="0090773F" w:rsidP="009077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603,5</w:t>
            </w:r>
          </w:p>
        </w:tc>
        <w:tc>
          <w:tcPr>
            <w:tcW w:w="1149" w:type="dxa"/>
            <w:hideMark/>
          </w:tcPr>
          <w:p w14:paraId="3C0FC4C2" w14:textId="77777777" w:rsidR="0090773F" w:rsidRPr="00B20FBD" w:rsidRDefault="0090773F" w:rsidP="009077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-136,8</w:t>
            </w:r>
          </w:p>
        </w:tc>
        <w:tc>
          <w:tcPr>
            <w:tcW w:w="1134" w:type="dxa"/>
            <w:hideMark/>
          </w:tcPr>
          <w:p w14:paraId="43FC1B4C" w14:textId="77777777" w:rsidR="0090773F" w:rsidRPr="00B20FBD" w:rsidRDefault="0090773F" w:rsidP="009077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-350,5</w:t>
            </w:r>
          </w:p>
        </w:tc>
      </w:tr>
      <w:tr w:rsidR="0090773F" w:rsidRPr="00B20FBD" w14:paraId="666123A5" w14:textId="77777777" w:rsidTr="00462FA2">
        <w:trPr>
          <w:gridAfter w:val="1"/>
          <w:wAfter w:w="6" w:type="dxa"/>
          <w:trHeight w:val="300"/>
          <w:jc w:val="center"/>
        </w:trPr>
        <w:tc>
          <w:tcPr>
            <w:cnfStyle w:val="001000000000" w:firstRow="0" w:lastRow="0" w:firstColumn="1" w:lastColumn="0" w:oddVBand="0" w:evenVBand="0" w:oddHBand="0" w:evenHBand="0" w:firstRowFirstColumn="0" w:firstRowLastColumn="0" w:lastRowFirstColumn="0" w:lastRowLastColumn="0"/>
            <w:tcW w:w="420" w:type="dxa"/>
          </w:tcPr>
          <w:p w14:paraId="2FA702CC" w14:textId="77777777" w:rsidR="0090773F" w:rsidRPr="00B20FBD" w:rsidRDefault="0090773F" w:rsidP="0090773F">
            <w:pPr>
              <w:spacing w:after="0" w:line="240" w:lineRule="auto"/>
              <w:jc w:val="center"/>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2.</w:t>
            </w:r>
          </w:p>
        </w:tc>
        <w:tc>
          <w:tcPr>
            <w:tcW w:w="2127" w:type="dxa"/>
          </w:tcPr>
          <w:p w14:paraId="35232799" w14:textId="7C264F91" w:rsidR="0090773F" w:rsidRPr="00B20FBD" w:rsidRDefault="0090773F" w:rsidP="0090773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773F">
              <w:rPr>
                <w:rFonts w:asciiTheme="majorHAnsi" w:hAnsiTheme="majorHAnsi" w:cstheme="majorHAnsi"/>
                <w:b/>
                <w:sz w:val="20"/>
                <w:szCs w:val="20"/>
              </w:rPr>
              <w:t>Румыния</w:t>
            </w:r>
          </w:p>
        </w:tc>
        <w:tc>
          <w:tcPr>
            <w:tcW w:w="1276" w:type="dxa"/>
          </w:tcPr>
          <w:p w14:paraId="20B2EA1B" w14:textId="77777777" w:rsidR="0090773F" w:rsidRPr="00B20FBD" w:rsidRDefault="0090773F" w:rsidP="009077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1172,1</w:t>
            </w:r>
          </w:p>
        </w:tc>
        <w:tc>
          <w:tcPr>
            <w:tcW w:w="1275" w:type="dxa"/>
          </w:tcPr>
          <w:p w14:paraId="0ACBD944" w14:textId="77777777" w:rsidR="0090773F" w:rsidRPr="00B20FBD" w:rsidRDefault="0090773F" w:rsidP="009077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777,2</w:t>
            </w:r>
          </w:p>
        </w:tc>
        <w:tc>
          <w:tcPr>
            <w:tcW w:w="1134" w:type="dxa"/>
          </w:tcPr>
          <w:p w14:paraId="495AB5CF" w14:textId="77777777" w:rsidR="0090773F" w:rsidRPr="00B20FBD" w:rsidRDefault="0090773F" w:rsidP="009077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706,7</w:t>
            </w:r>
          </w:p>
        </w:tc>
        <w:tc>
          <w:tcPr>
            <w:tcW w:w="1119" w:type="dxa"/>
          </w:tcPr>
          <w:p w14:paraId="37FD9134" w14:textId="77777777" w:rsidR="0090773F" w:rsidRPr="00B20FBD" w:rsidRDefault="0090773F" w:rsidP="009077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631,9</w:t>
            </w:r>
          </w:p>
        </w:tc>
        <w:tc>
          <w:tcPr>
            <w:tcW w:w="1149" w:type="dxa"/>
          </w:tcPr>
          <w:p w14:paraId="15B84AEA" w14:textId="77777777" w:rsidR="0090773F" w:rsidRPr="00B20FBD" w:rsidRDefault="0090773F" w:rsidP="009077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-70,5</w:t>
            </w:r>
          </w:p>
        </w:tc>
        <w:tc>
          <w:tcPr>
            <w:tcW w:w="1134" w:type="dxa"/>
          </w:tcPr>
          <w:p w14:paraId="5A1EB05F" w14:textId="77777777" w:rsidR="0090773F" w:rsidRPr="00B20FBD" w:rsidRDefault="0090773F" w:rsidP="009077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-540,2</w:t>
            </w:r>
          </w:p>
        </w:tc>
      </w:tr>
      <w:tr w:rsidR="0090773F" w:rsidRPr="00B20FBD" w14:paraId="1F574396" w14:textId="77777777" w:rsidTr="00462FA2">
        <w:trPr>
          <w:gridAfter w:val="1"/>
          <w:wAfter w:w="6" w:type="dxa"/>
          <w:trHeight w:val="276"/>
          <w:jc w:val="center"/>
        </w:trPr>
        <w:tc>
          <w:tcPr>
            <w:cnfStyle w:val="001000000000" w:firstRow="0" w:lastRow="0" w:firstColumn="1" w:lastColumn="0" w:oddVBand="0" w:evenVBand="0" w:oddHBand="0" w:evenHBand="0" w:firstRowFirstColumn="0" w:firstRowLastColumn="0" w:lastRowFirstColumn="0" w:lastRowLastColumn="0"/>
            <w:tcW w:w="420" w:type="dxa"/>
            <w:hideMark/>
          </w:tcPr>
          <w:p w14:paraId="37A169CD" w14:textId="77777777" w:rsidR="0090773F" w:rsidRPr="00B20FBD" w:rsidRDefault="0090773F" w:rsidP="0090773F">
            <w:pPr>
              <w:spacing w:after="0" w:line="240" w:lineRule="auto"/>
              <w:jc w:val="center"/>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3.</w:t>
            </w:r>
          </w:p>
        </w:tc>
        <w:tc>
          <w:tcPr>
            <w:tcW w:w="2127" w:type="dxa"/>
            <w:hideMark/>
          </w:tcPr>
          <w:p w14:paraId="4664B6CA" w14:textId="519884DE" w:rsidR="0090773F" w:rsidRPr="00B20FBD" w:rsidRDefault="0090773F" w:rsidP="0090773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773F">
              <w:rPr>
                <w:rFonts w:asciiTheme="majorHAnsi" w:hAnsiTheme="majorHAnsi" w:cstheme="majorHAnsi"/>
                <w:b/>
                <w:sz w:val="20"/>
                <w:szCs w:val="20"/>
              </w:rPr>
              <w:t>Украина</w:t>
            </w:r>
          </w:p>
        </w:tc>
        <w:tc>
          <w:tcPr>
            <w:tcW w:w="1276" w:type="dxa"/>
            <w:hideMark/>
          </w:tcPr>
          <w:p w14:paraId="20C52AA4" w14:textId="77777777" w:rsidR="0090773F" w:rsidRPr="00B20FBD" w:rsidRDefault="0090773F" w:rsidP="009077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679,6</w:t>
            </w:r>
          </w:p>
        </w:tc>
        <w:tc>
          <w:tcPr>
            <w:tcW w:w="1275" w:type="dxa"/>
            <w:hideMark/>
          </w:tcPr>
          <w:p w14:paraId="4701A574" w14:textId="77777777" w:rsidR="0090773F" w:rsidRPr="00B20FBD" w:rsidRDefault="0090773F" w:rsidP="009077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74,1</w:t>
            </w:r>
          </w:p>
        </w:tc>
        <w:tc>
          <w:tcPr>
            <w:tcW w:w="1134" w:type="dxa"/>
            <w:hideMark/>
          </w:tcPr>
          <w:p w14:paraId="25351EBF" w14:textId="77777777" w:rsidR="0090773F" w:rsidRPr="00B20FBD" w:rsidRDefault="0090773F" w:rsidP="009077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69,5</w:t>
            </w:r>
          </w:p>
        </w:tc>
        <w:tc>
          <w:tcPr>
            <w:tcW w:w="1119" w:type="dxa"/>
            <w:hideMark/>
          </w:tcPr>
          <w:p w14:paraId="01E9436E" w14:textId="77777777" w:rsidR="0090773F" w:rsidRPr="00B20FBD" w:rsidRDefault="0090773F" w:rsidP="009077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527,4</w:t>
            </w:r>
          </w:p>
        </w:tc>
        <w:tc>
          <w:tcPr>
            <w:tcW w:w="1149" w:type="dxa"/>
            <w:hideMark/>
          </w:tcPr>
          <w:p w14:paraId="6CCC95B8" w14:textId="77777777" w:rsidR="0090773F" w:rsidRPr="00B20FBD" w:rsidRDefault="0090773F" w:rsidP="009077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-4,6</w:t>
            </w:r>
          </w:p>
        </w:tc>
        <w:tc>
          <w:tcPr>
            <w:tcW w:w="1134" w:type="dxa"/>
            <w:hideMark/>
          </w:tcPr>
          <w:p w14:paraId="7F98ADFA" w14:textId="77777777" w:rsidR="0090773F" w:rsidRPr="00B20FBD" w:rsidRDefault="0090773F" w:rsidP="009077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-152,2</w:t>
            </w:r>
          </w:p>
        </w:tc>
      </w:tr>
      <w:tr w:rsidR="0090773F" w:rsidRPr="00B20FBD" w14:paraId="75DC51FC" w14:textId="77777777" w:rsidTr="00462FA2">
        <w:trPr>
          <w:gridAfter w:val="1"/>
          <w:wAfter w:w="6" w:type="dxa"/>
          <w:trHeight w:val="276"/>
          <w:jc w:val="center"/>
        </w:trPr>
        <w:tc>
          <w:tcPr>
            <w:cnfStyle w:val="001000000000" w:firstRow="0" w:lastRow="0" w:firstColumn="1" w:lastColumn="0" w:oddVBand="0" w:evenVBand="0" w:oddHBand="0" w:evenHBand="0" w:firstRowFirstColumn="0" w:firstRowLastColumn="0" w:lastRowFirstColumn="0" w:lastRowLastColumn="0"/>
            <w:tcW w:w="420" w:type="dxa"/>
            <w:hideMark/>
          </w:tcPr>
          <w:p w14:paraId="71C89D64" w14:textId="77777777" w:rsidR="0090773F" w:rsidRPr="00B20FBD" w:rsidRDefault="0090773F" w:rsidP="0090773F">
            <w:pPr>
              <w:spacing w:after="0" w:line="240" w:lineRule="auto"/>
              <w:jc w:val="center"/>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4.</w:t>
            </w:r>
          </w:p>
        </w:tc>
        <w:tc>
          <w:tcPr>
            <w:tcW w:w="2127" w:type="dxa"/>
            <w:hideMark/>
          </w:tcPr>
          <w:p w14:paraId="384B059B" w14:textId="79B33524" w:rsidR="0090773F" w:rsidRPr="00B20FBD" w:rsidRDefault="0090773F" w:rsidP="0090773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773F">
              <w:rPr>
                <w:rFonts w:asciiTheme="majorHAnsi" w:hAnsiTheme="majorHAnsi" w:cstheme="majorHAnsi"/>
                <w:b/>
                <w:sz w:val="20"/>
                <w:szCs w:val="20"/>
              </w:rPr>
              <w:t>Республика Беларусь</w:t>
            </w:r>
          </w:p>
        </w:tc>
        <w:tc>
          <w:tcPr>
            <w:tcW w:w="1276" w:type="dxa"/>
            <w:hideMark/>
          </w:tcPr>
          <w:p w14:paraId="3122E3F3" w14:textId="77777777" w:rsidR="0090773F" w:rsidRPr="00B20FBD" w:rsidRDefault="0090773F" w:rsidP="009077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132,7</w:t>
            </w:r>
          </w:p>
        </w:tc>
        <w:tc>
          <w:tcPr>
            <w:tcW w:w="1275" w:type="dxa"/>
            <w:hideMark/>
          </w:tcPr>
          <w:p w14:paraId="228FB68C" w14:textId="77777777" w:rsidR="0090773F" w:rsidRPr="00B20FBD" w:rsidRDefault="0090773F" w:rsidP="009077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71,5</w:t>
            </w:r>
          </w:p>
        </w:tc>
        <w:tc>
          <w:tcPr>
            <w:tcW w:w="1134" w:type="dxa"/>
            <w:hideMark/>
          </w:tcPr>
          <w:p w14:paraId="7E5AE775" w14:textId="77777777" w:rsidR="0090773F" w:rsidRPr="00B20FBD" w:rsidRDefault="0090773F" w:rsidP="009077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65,9</w:t>
            </w:r>
          </w:p>
        </w:tc>
        <w:tc>
          <w:tcPr>
            <w:tcW w:w="1119" w:type="dxa"/>
            <w:hideMark/>
          </w:tcPr>
          <w:p w14:paraId="006E621A" w14:textId="77777777" w:rsidR="0090773F" w:rsidRPr="00B20FBD" w:rsidRDefault="0090773F" w:rsidP="009077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113,8</w:t>
            </w:r>
          </w:p>
        </w:tc>
        <w:tc>
          <w:tcPr>
            <w:tcW w:w="1149" w:type="dxa"/>
            <w:hideMark/>
          </w:tcPr>
          <w:p w14:paraId="25B636D2" w14:textId="77777777" w:rsidR="0090773F" w:rsidRPr="00B20FBD" w:rsidRDefault="0090773F" w:rsidP="009077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-5,6</w:t>
            </w:r>
          </w:p>
        </w:tc>
        <w:tc>
          <w:tcPr>
            <w:tcW w:w="1134" w:type="dxa"/>
            <w:hideMark/>
          </w:tcPr>
          <w:p w14:paraId="5A61D2AE" w14:textId="77777777" w:rsidR="0090773F" w:rsidRPr="00B20FBD" w:rsidRDefault="0090773F" w:rsidP="009077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-18,9</w:t>
            </w:r>
          </w:p>
        </w:tc>
      </w:tr>
      <w:tr w:rsidR="00C31604" w:rsidRPr="00B20FBD" w14:paraId="2E7DE662" w14:textId="77777777" w:rsidTr="00462FA2">
        <w:trPr>
          <w:gridAfter w:val="1"/>
          <w:wAfter w:w="6" w:type="dxa"/>
          <w:trHeight w:val="276"/>
          <w:jc w:val="center"/>
        </w:trPr>
        <w:tc>
          <w:tcPr>
            <w:cnfStyle w:val="001000000000" w:firstRow="0" w:lastRow="0" w:firstColumn="1" w:lastColumn="0" w:oddVBand="0" w:evenVBand="0" w:oddHBand="0" w:evenHBand="0" w:firstRowFirstColumn="0" w:firstRowLastColumn="0" w:lastRowFirstColumn="0" w:lastRowLastColumn="0"/>
            <w:tcW w:w="2547" w:type="dxa"/>
            <w:gridSpan w:val="2"/>
            <w:hideMark/>
          </w:tcPr>
          <w:p w14:paraId="204220F1" w14:textId="49BA5DB4" w:rsidR="00462FA2" w:rsidRPr="00B20FBD" w:rsidRDefault="0090773F" w:rsidP="0090773F">
            <w:pPr>
              <w:spacing w:after="0" w:line="240" w:lineRule="auto"/>
              <w:rPr>
                <w:rFonts w:asciiTheme="majorHAnsi" w:eastAsia="Times New Roman" w:hAnsiTheme="majorHAnsi" w:cstheme="majorHAnsi"/>
                <w:b w:val="0"/>
                <w:bCs w:val="0"/>
                <w:color w:val="000000"/>
                <w:sz w:val="20"/>
                <w:szCs w:val="20"/>
                <w:lang w:val="ro-RO"/>
              </w:rPr>
            </w:pPr>
            <w:r>
              <w:rPr>
                <w:rFonts w:asciiTheme="majorHAnsi" w:eastAsia="Times New Roman" w:hAnsiTheme="majorHAnsi" w:cstheme="majorHAnsi"/>
                <w:b w:val="0"/>
                <w:bCs w:val="0"/>
                <w:color w:val="000000"/>
                <w:sz w:val="20"/>
                <w:szCs w:val="20"/>
              </w:rPr>
              <w:t>Всего</w:t>
            </w:r>
            <w:r w:rsidR="00462FA2" w:rsidRPr="00B20FBD">
              <w:rPr>
                <w:rFonts w:asciiTheme="majorHAnsi" w:eastAsia="Times New Roman" w:hAnsiTheme="majorHAnsi" w:cstheme="majorHAnsi"/>
                <w:b w:val="0"/>
                <w:bCs w:val="0"/>
                <w:color w:val="000000"/>
                <w:sz w:val="20"/>
                <w:szCs w:val="20"/>
                <w:lang w:val="ro-RO"/>
              </w:rPr>
              <w:t>:</w:t>
            </w:r>
          </w:p>
        </w:tc>
        <w:tc>
          <w:tcPr>
            <w:tcW w:w="1276" w:type="dxa"/>
            <w:hideMark/>
          </w:tcPr>
          <w:p w14:paraId="23F682B6" w14:textId="77777777" w:rsidR="00462FA2" w:rsidRPr="00B20FBD" w:rsidRDefault="00462FA2" w:rsidP="00462FA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B20FBD">
              <w:rPr>
                <w:rFonts w:asciiTheme="majorHAnsi" w:eastAsia="Times New Roman" w:hAnsiTheme="majorHAnsi" w:cstheme="majorHAnsi"/>
                <w:b/>
                <w:bCs/>
                <w:color w:val="000000"/>
                <w:sz w:val="20"/>
                <w:szCs w:val="20"/>
                <w:lang w:val="ro-RO"/>
              </w:rPr>
              <w:t>2938,4</w:t>
            </w:r>
          </w:p>
        </w:tc>
        <w:tc>
          <w:tcPr>
            <w:tcW w:w="1275" w:type="dxa"/>
            <w:hideMark/>
          </w:tcPr>
          <w:p w14:paraId="43014CB2" w14:textId="77777777" w:rsidR="00462FA2" w:rsidRPr="00B20FBD" w:rsidRDefault="00462FA2" w:rsidP="00462FA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B20FBD">
              <w:rPr>
                <w:rFonts w:asciiTheme="majorHAnsi" w:eastAsia="Times New Roman" w:hAnsiTheme="majorHAnsi" w:cstheme="majorHAnsi"/>
                <w:b/>
                <w:bCs/>
                <w:color w:val="000000"/>
                <w:sz w:val="20"/>
                <w:szCs w:val="20"/>
                <w:lang w:val="ro-RO"/>
              </w:rPr>
              <w:t>1276,4</w:t>
            </w:r>
          </w:p>
        </w:tc>
        <w:tc>
          <w:tcPr>
            <w:tcW w:w="1134" w:type="dxa"/>
            <w:hideMark/>
          </w:tcPr>
          <w:p w14:paraId="23E81492" w14:textId="77777777" w:rsidR="00462FA2" w:rsidRPr="00B20FBD" w:rsidRDefault="00462FA2" w:rsidP="00462FA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B20FBD">
              <w:rPr>
                <w:rFonts w:asciiTheme="majorHAnsi" w:eastAsia="Times New Roman" w:hAnsiTheme="majorHAnsi" w:cstheme="majorHAnsi"/>
                <w:b/>
                <w:bCs/>
                <w:color w:val="000000"/>
                <w:sz w:val="20"/>
                <w:szCs w:val="20"/>
                <w:lang w:val="ro-RO"/>
              </w:rPr>
              <w:t>1058,9</w:t>
            </w:r>
          </w:p>
        </w:tc>
        <w:tc>
          <w:tcPr>
            <w:tcW w:w="1119" w:type="dxa"/>
            <w:hideMark/>
          </w:tcPr>
          <w:p w14:paraId="1969D898" w14:textId="77777777" w:rsidR="00462FA2" w:rsidRPr="00B20FBD" w:rsidRDefault="00462FA2" w:rsidP="00462FA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B20FBD">
              <w:rPr>
                <w:rFonts w:asciiTheme="majorHAnsi" w:eastAsia="Times New Roman" w:hAnsiTheme="majorHAnsi" w:cstheme="majorHAnsi"/>
                <w:b/>
                <w:bCs/>
                <w:color w:val="000000"/>
                <w:sz w:val="20"/>
                <w:szCs w:val="20"/>
                <w:lang w:val="ro-RO"/>
              </w:rPr>
              <w:t>1876,6</w:t>
            </w:r>
          </w:p>
        </w:tc>
        <w:tc>
          <w:tcPr>
            <w:tcW w:w="1149" w:type="dxa"/>
            <w:hideMark/>
          </w:tcPr>
          <w:p w14:paraId="0CA6F180" w14:textId="77777777" w:rsidR="00462FA2" w:rsidRPr="00B20FBD" w:rsidRDefault="00462FA2" w:rsidP="00462FA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B20FBD">
              <w:rPr>
                <w:rFonts w:asciiTheme="majorHAnsi" w:eastAsia="Times New Roman" w:hAnsiTheme="majorHAnsi" w:cstheme="majorHAnsi"/>
                <w:b/>
                <w:bCs/>
                <w:color w:val="000000"/>
                <w:sz w:val="20"/>
                <w:szCs w:val="20"/>
                <w:lang w:val="ro-RO"/>
              </w:rPr>
              <w:t>-217,5</w:t>
            </w:r>
          </w:p>
        </w:tc>
        <w:tc>
          <w:tcPr>
            <w:tcW w:w="1134" w:type="dxa"/>
            <w:hideMark/>
          </w:tcPr>
          <w:p w14:paraId="7B8B6A67" w14:textId="77777777" w:rsidR="00462FA2" w:rsidRPr="00B20FBD" w:rsidRDefault="00462FA2" w:rsidP="00462FA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B20FBD">
              <w:rPr>
                <w:rFonts w:asciiTheme="majorHAnsi" w:eastAsia="Times New Roman" w:hAnsiTheme="majorHAnsi" w:cstheme="majorHAnsi"/>
                <w:b/>
                <w:bCs/>
                <w:color w:val="000000"/>
                <w:sz w:val="20"/>
                <w:szCs w:val="20"/>
                <w:lang w:val="ro-RO"/>
              </w:rPr>
              <w:t>-1061,8</w:t>
            </w:r>
          </w:p>
        </w:tc>
      </w:tr>
      <w:tr w:rsidR="00462FA2" w:rsidRPr="00B20FBD" w14:paraId="157B79FD" w14:textId="77777777" w:rsidTr="00462FA2">
        <w:trPr>
          <w:trHeight w:val="288"/>
          <w:jc w:val="center"/>
        </w:trPr>
        <w:tc>
          <w:tcPr>
            <w:cnfStyle w:val="001000000000" w:firstRow="0" w:lastRow="0" w:firstColumn="1" w:lastColumn="0" w:oddVBand="0" w:evenVBand="0" w:oddHBand="0" w:evenHBand="0" w:firstRowFirstColumn="0" w:firstRowLastColumn="0" w:lastRowFirstColumn="0" w:lastRowLastColumn="0"/>
            <w:tcW w:w="9640" w:type="dxa"/>
            <w:gridSpan w:val="9"/>
            <w:hideMark/>
          </w:tcPr>
          <w:p w14:paraId="2EFC05E9" w14:textId="4579FA74" w:rsidR="00462FA2" w:rsidRPr="0090773F" w:rsidRDefault="00462FA2" w:rsidP="00462FA2">
            <w:pPr>
              <w:spacing w:after="0" w:line="240" w:lineRule="auto"/>
              <w:jc w:val="center"/>
              <w:rPr>
                <w:rFonts w:asciiTheme="majorHAnsi" w:eastAsia="Times New Roman" w:hAnsiTheme="majorHAnsi" w:cstheme="majorHAnsi"/>
                <w:bCs w:val="0"/>
                <w:iCs/>
                <w:color w:val="000000"/>
                <w:sz w:val="20"/>
                <w:szCs w:val="20"/>
              </w:rPr>
            </w:pPr>
            <w:r w:rsidRPr="00B20FBD">
              <w:rPr>
                <w:rFonts w:asciiTheme="majorHAnsi" w:eastAsia="Times New Roman" w:hAnsiTheme="majorHAnsi" w:cstheme="majorHAnsi"/>
                <w:bCs w:val="0"/>
                <w:iCs/>
                <w:color w:val="000000"/>
                <w:sz w:val="20"/>
                <w:szCs w:val="20"/>
                <w:lang w:val="ro-RO"/>
              </w:rPr>
              <w:t>2019</w:t>
            </w:r>
            <w:r w:rsidR="0090773F">
              <w:rPr>
                <w:rFonts w:asciiTheme="majorHAnsi" w:eastAsia="Times New Roman" w:hAnsiTheme="majorHAnsi" w:cstheme="majorHAnsi"/>
                <w:bCs w:val="0"/>
                <w:iCs/>
                <w:color w:val="000000"/>
                <w:sz w:val="20"/>
                <w:szCs w:val="20"/>
              </w:rPr>
              <w:t xml:space="preserve"> год</w:t>
            </w:r>
          </w:p>
        </w:tc>
      </w:tr>
      <w:tr w:rsidR="0090773F" w:rsidRPr="00B20FBD" w14:paraId="4CBE1FF3" w14:textId="77777777" w:rsidTr="00462FA2">
        <w:trPr>
          <w:gridAfter w:val="1"/>
          <w:wAfter w:w="6" w:type="dxa"/>
          <w:trHeight w:val="276"/>
          <w:jc w:val="center"/>
        </w:trPr>
        <w:tc>
          <w:tcPr>
            <w:cnfStyle w:val="001000000000" w:firstRow="0" w:lastRow="0" w:firstColumn="1" w:lastColumn="0" w:oddVBand="0" w:evenVBand="0" w:oddHBand="0" w:evenHBand="0" w:firstRowFirstColumn="0" w:firstRowLastColumn="0" w:lastRowFirstColumn="0" w:lastRowLastColumn="0"/>
            <w:tcW w:w="420" w:type="dxa"/>
            <w:hideMark/>
          </w:tcPr>
          <w:p w14:paraId="3D03972F" w14:textId="77777777" w:rsidR="0090773F" w:rsidRPr="00B20FBD" w:rsidRDefault="0090773F" w:rsidP="0090773F">
            <w:pPr>
              <w:spacing w:after="0" w:line="240" w:lineRule="auto"/>
              <w:jc w:val="center"/>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1.</w:t>
            </w:r>
          </w:p>
        </w:tc>
        <w:tc>
          <w:tcPr>
            <w:tcW w:w="2127" w:type="dxa"/>
            <w:hideMark/>
          </w:tcPr>
          <w:p w14:paraId="4DCBA95C" w14:textId="55AFB238" w:rsidR="0090773F" w:rsidRPr="00B20FBD" w:rsidRDefault="0090773F" w:rsidP="0090773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773F">
              <w:rPr>
                <w:rFonts w:asciiTheme="majorHAnsi" w:hAnsiTheme="majorHAnsi" w:cstheme="majorHAnsi"/>
                <w:b/>
                <w:sz w:val="20"/>
                <w:szCs w:val="20"/>
              </w:rPr>
              <w:t>Российская Федерация</w:t>
            </w:r>
          </w:p>
        </w:tc>
        <w:tc>
          <w:tcPr>
            <w:tcW w:w="1276" w:type="dxa"/>
            <w:hideMark/>
          </w:tcPr>
          <w:p w14:paraId="192D0C9C" w14:textId="77777777" w:rsidR="0090773F" w:rsidRPr="00B20FBD" w:rsidRDefault="0090773F" w:rsidP="009077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1256,6</w:t>
            </w:r>
          </w:p>
        </w:tc>
        <w:tc>
          <w:tcPr>
            <w:tcW w:w="1275" w:type="dxa"/>
            <w:hideMark/>
          </w:tcPr>
          <w:p w14:paraId="70497C82" w14:textId="77777777" w:rsidR="0090773F" w:rsidRPr="00B20FBD" w:rsidRDefault="0090773F" w:rsidP="009077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383,7</w:t>
            </w:r>
          </w:p>
        </w:tc>
        <w:tc>
          <w:tcPr>
            <w:tcW w:w="1134" w:type="dxa"/>
            <w:hideMark/>
          </w:tcPr>
          <w:p w14:paraId="4E3A7E23" w14:textId="77777777" w:rsidR="0090773F" w:rsidRPr="00B20FBD" w:rsidRDefault="0090773F" w:rsidP="009077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249,9</w:t>
            </w:r>
          </w:p>
        </w:tc>
        <w:tc>
          <w:tcPr>
            <w:tcW w:w="1119" w:type="dxa"/>
            <w:hideMark/>
          </w:tcPr>
          <w:p w14:paraId="3505E8BF" w14:textId="77777777" w:rsidR="0090773F" w:rsidRPr="00B20FBD" w:rsidRDefault="0090773F" w:rsidP="009077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692,5</w:t>
            </w:r>
          </w:p>
        </w:tc>
        <w:tc>
          <w:tcPr>
            <w:tcW w:w="1149" w:type="dxa"/>
            <w:hideMark/>
          </w:tcPr>
          <w:p w14:paraId="3EBEADAB" w14:textId="77777777" w:rsidR="0090773F" w:rsidRPr="00B20FBD" w:rsidRDefault="0090773F" w:rsidP="009077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-133,8</w:t>
            </w:r>
          </w:p>
        </w:tc>
        <w:tc>
          <w:tcPr>
            <w:tcW w:w="1134" w:type="dxa"/>
            <w:hideMark/>
          </w:tcPr>
          <w:p w14:paraId="3419617F" w14:textId="77777777" w:rsidR="0090773F" w:rsidRPr="00B20FBD" w:rsidRDefault="0090773F" w:rsidP="009077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-564,1</w:t>
            </w:r>
          </w:p>
        </w:tc>
      </w:tr>
      <w:tr w:rsidR="0090773F" w:rsidRPr="00B20FBD" w14:paraId="15BF46EE" w14:textId="77777777" w:rsidTr="00462FA2">
        <w:trPr>
          <w:gridAfter w:val="1"/>
          <w:wAfter w:w="6" w:type="dxa"/>
          <w:trHeight w:val="276"/>
          <w:jc w:val="center"/>
        </w:trPr>
        <w:tc>
          <w:tcPr>
            <w:cnfStyle w:val="001000000000" w:firstRow="0" w:lastRow="0" w:firstColumn="1" w:lastColumn="0" w:oddVBand="0" w:evenVBand="0" w:oddHBand="0" w:evenHBand="0" w:firstRowFirstColumn="0" w:firstRowLastColumn="0" w:lastRowFirstColumn="0" w:lastRowLastColumn="0"/>
            <w:tcW w:w="420" w:type="dxa"/>
          </w:tcPr>
          <w:p w14:paraId="34DC8CD0" w14:textId="77777777" w:rsidR="0090773F" w:rsidRPr="00B20FBD" w:rsidRDefault="0090773F" w:rsidP="0090773F">
            <w:pPr>
              <w:spacing w:after="0" w:line="240" w:lineRule="auto"/>
              <w:jc w:val="center"/>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2.</w:t>
            </w:r>
          </w:p>
        </w:tc>
        <w:tc>
          <w:tcPr>
            <w:tcW w:w="2127" w:type="dxa"/>
          </w:tcPr>
          <w:p w14:paraId="0C12D1BF" w14:textId="640028E2" w:rsidR="0090773F" w:rsidRPr="00B20FBD" w:rsidRDefault="0090773F" w:rsidP="0090773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773F">
              <w:rPr>
                <w:rFonts w:asciiTheme="majorHAnsi" w:hAnsiTheme="majorHAnsi" w:cstheme="majorHAnsi"/>
                <w:b/>
                <w:sz w:val="20"/>
                <w:szCs w:val="20"/>
              </w:rPr>
              <w:t>Румыния</w:t>
            </w:r>
          </w:p>
        </w:tc>
        <w:tc>
          <w:tcPr>
            <w:tcW w:w="1276" w:type="dxa"/>
          </w:tcPr>
          <w:p w14:paraId="4905391E" w14:textId="77777777" w:rsidR="0090773F" w:rsidRPr="00B20FBD" w:rsidRDefault="0090773F" w:rsidP="009077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1386,3</w:t>
            </w:r>
          </w:p>
        </w:tc>
        <w:tc>
          <w:tcPr>
            <w:tcW w:w="1275" w:type="dxa"/>
          </w:tcPr>
          <w:p w14:paraId="686D1E98" w14:textId="77777777" w:rsidR="0090773F" w:rsidRPr="00B20FBD" w:rsidRDefault="0090773F" w:rsidP="009077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831,9</w:t>
            </w:r>
          </w:p>
        </w:tc>
        <w:tc>
          <w:tcPr>
            <w:tcW w:w="1134" w:type="dxa"/>
          </w:tcPr>
          <w:p w14:paraId="3D3BA03C" w14:textId="77777777" w:rsidR="0090773F" w:rsidRPr="00B20FBD" w:rsidRDefault="0090773F" w:rsidP="009077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765,4</w:t>
            </w:r>
          </w:p>
        </w:tc>
        <w:tc>
          <w:tcPr>
            <w:tcW w:w="1119" w:type="dxa"/>
          </w:tcPr>
          <w:p w14:paraId="337EF0AB" w14:textId="77777777" w:rsidR="0090773F" w:rsidRPr="00B20FBD" w:rsidRDefault="0090773F" w:rsidP="009077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841,2</w:t>
            </w:r>
          </w:p>
        </w:tc>
        <w:tc>
          <w:tcPr>
            <w:tcW w:w="1149" w:type="dxa"/>
          </w:tcPr>
          <w:p w14:paraId="27E3A5EA" w14:textId="77777777" w:rsidR="0090773F" w:rsidRPr="00B20FBD" w:rsidRDefault="0090773F" w:rsidP="009077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-66,5</w:t>
            </w:r>
          </w:p>
        </w:tc>
        <w:tc>
          <w:tcPr>
            <w:tcW w:w="1134" w:type="dxa"/>
          </w:tcPr>
          <w:p w14:paraId="6360DB05" w14:textId="77777777" w:rsidR="0090773F" w:rsidRPr="00B20FBD" w:rsidRDefault="0090773F" w:rsidP="009077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-545,1</w:t>
            </w:r>
          </w:p>
        </w:tc>
      </w:tr>
      <w:tr w:rsidR="0090773F" w:rsidRPr="00B20FBD" w14:paraId="76F608A9" w14:textId="77777777" w:rsidTr="00462FA2">
        <w:trPr>
          <w:gridAfter w:val="1"/>
          <w:wAfter w:w="6" w:type="dxa"/>
          <w:trHeight w:val="300"/>
          <w:jc w:val="center"/>
        </w:trPr>
        <w:tc>
          <w:tcPr>
            <w:cnfStyle w:val="001000000000" w:firstRow="0" w:lastRow="0" w:firstColumn="1" w:lastColumn="0" w:oddVBand="0" w:evenVBand="0" w:oddHBand="0" w:evenHBand="0" w:firstRowFirstColumn="0" w:firstRowLastColumn="0" w:lastRowFirstColumn="0" w:lastRowLastColumn="0"/>
            <w:tcW w:w="420" w:type="dxa"/>
            <w:hideMark/>
          </w:tcPr>
          <w:p w14:paraId="6610D274" w14:textId="77777777" w:rsidR="0090773F" w:rsidRPr="00B20FBD" w:rsidRDefault="0090773F" w:rsidP="0090773F">
            <w:pPr>
              <w:spacing w:after="0" w:line="240" w:lineRule="auto"/>
              <w:jc w:val="center"/>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3.</w:t>
            </w:r>
          </w:p>
        </w:tc>
        <w:tc>
          <w:tcPr>
            <w:tcW w:w="2127" w:type="dxa"/>
            <w:hideMark/>
          </w:tcPr>
          <w:p w14:paraId="2E669C9C" w14:textId="666D7607" w:rsidR="0090773F" w:rsidRPr="00B20FBD" w:rsidRDefault="0090773F" w:rsidP="0090773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773F">
              <w:rPr>
                <w:rFonts w:asciiTheme="majorHAnsi" w:hAnsiTheme="majorHAnsi" w:cstheme="majorHAnsi"/>
                <w:b/>
                <w:sz w:val="20"/>
                <w:szCs w:val="20"/>
              </w:rPr>
              <w:t>Украина</w:t>
            </w:r>
          </w:p>
        </w:tc>
        <w:tc>
          <w:tcPr>
            <w:tcW w:w="1276" w:type="dxa"/>
            <w:hideMark/>
          </w:tcPr>
          <w:p w14:paraId="3192D8CD" w14:textId="77777777" w:rsidR="0090773F" w:rsidRPr="00B20FBD" w:rsidRDefault="0090773F" w:rsidP="009077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726,6</w:t>
            </w:r>
          </w:p>
        </w:tc>
        <w:tc>
          <w:tcPr>
            <w:tcW w:w="1275" w:type="dxa"/>
            <w:hideMark/>
          </w:tcPr>
          <w:p w14:paraId="6993F8ED" w14:textId="77777777" w:rsidR="0090773F" w:rsidRPr="00B20FBD" w:rsidRDefault="0090773F" w:rsidP="009077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91,3</w:t>
            </w:r>
          </w:p>
        </w:tc>
        <w:tc>
          <w:tcPr>
            <w:tcW w:w="1134" w:type="dxa"/>
            <w:hideMark/>
          </w:tcPr>
          <w:p w14:paraId="6CC18EBC" w14:textId="77777777" w:rsidR="0090773F" w:rsidRPr="00B20FBD" w:rsidRDefault="0090773F" w:rsidP="009077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80,2</w:t>
            </w:r>
          </w:p>
        </w:tc>
        <w:tc>
          <w:tcPr>
            <w:tcW w:w="1119" w:type="dxa"/>
            <w:hideMark/>
          </w:tcPr>
          <w:p w14:paraId="588DBF0D" w14:textId="77777777" w:rsidR="0090773F" w:rsidRPr="00B20FBD" w:rsidRDefault="0090773F" w:rsidP="009077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568,9</w:t>
            </w:r>
          </w:p>
        </w:tc>
        <w:tc>
          <w:tcPr>
            <w:tcW w:w="1149" w:type="dxa"/>
            <w:hideMark/>
          </w:tcPr>
          <w:p w14:paraId="50E74032" w14:textId="77777777" w:rsidR="0090773F" w:rsidRPr="00B20FBD" w:rsidRDefault="0090773F" w:rsidP="009077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-11,1</w:t>
            </w:r>
          </w:p>
        </w:tc>
        <w:tc>
          <w:tcPr>
            <w:tcW w:w="1134" w:type="dxa"/>
            <w:hideMark/>
          </w:tcPr>
          <w:p w14:paraId="52969C46" w14:textId="77777777" w:rsidR="0090773F" w:rsidRPr="00B20FBD" w:rsidRDefault="0090773F" w:rsidP="009077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-157,7</w:t>
            </w:r>
          </w:p>
        </w:tc>
      </w:tr>
      <w:tr w:rsidR="0090773F" w:rsidRPr="00B20FBD" w14:paraId="76D6C171" w14:textId="77777777" w:rsidTr="00462FA2">
        <w:trPr>
          <w:gridAfter w:val="1"/>
          <w:wAfter w:w="6" w:type="dxa"/>
          <w:trHeight w:val="276"/>
          <w:jc w:val="center"/>
        </w:trPr>
        <w:tc>
          <w:tcPr>
            <w:cnfStyle w:val="001000000000" w:firstRow="0" w:lastRow="0" w:firstColumn="1" w:lastColumn="0" w:oddVBand="0" w:evenVBand="0" w:oddHBand="0" w:evenHBand="0" w:firstRowFirstColumn="0" w:firstRowLastColumn="0" w:lastRowFirstColumn="0" w:lastRowLastColumn="0"/>
            <w:tcW w:w="420" w:type="dxa"/>
            <w:hideMark/>
          </w:tcPr>
          <w:p w14:paraId="57B7366D" w14:textId="77777777" w:rsidR="0090773F" w:rsidRPr="00B20FBD" w:rsidRDefault="0090773F" w:rsidP="0090773F">
            <w:pPr>
              <w:spacing w:after="0" w:line="240" w:lineRule="auto"/>
              <w:jc w:val="center"/>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4.</w:t>
            </w:r>
          </w:p>
        </w:tc>
        <w:tc>
          <w:tcPr>
            <w:tcW w:w="2127" w:type="dxa"/>
            <w:hideMark/>
          </w:tcPr>
          <w:p w14:paraId="2AAFD754" w14:textId="48A30F83" w:rsidR="0090773F" w:rsidRPr="00B20FBD" w:rsidRDefault="0090773F" w:rsidP="0090773F">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90773F">
              <w:rPr>
                <w:rFonts w:asciiTheme="majorHAnsi" w:hAnsiTheme="majorHAnsi" w:cstheme="majorHAnsi"/>
                <w:b/>
                <w:sz w:val="20"/>
                <w:szCs w:val="20"/>
              </w:rPr>
              <w:t>Республика Беларусь</w:t>
            </w:r>
          </w:p>
        </w:tc>
        <w:tc>
          <w:tcPr>
            <w:tcW w:w="1276" w:type="dxa"/>
            <w:hideMark/>
          </w:tcPr>
          <w:p w14:paraId="36E4824A" w14:textId="77777777" w:rsidR="0090773F" w:rsidRPr="00B20FBD" w:rsidRDefault="0090773F" w:rsidP="009077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141,5</w:t>
            </w:r>
          </w:p>
        </w:tc>
        <w:tc>
          <w:tcPr>
            <w:tcW w:w="1275" w:type="dxa"/>
            <w:hideMark/>
          </w:tcPr>
          <w:p w14:paraId="77672360" w14:textId="77777777" w:rsidR="0090773F" w:rsidRPr="00B20FBD" w:rsidRDefault="0090773F" w:rsidP="009077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83,8</w:t>
            </w:r>
          </w:p>
        </w:tc>
        <w:tc>
          <w:tcPr>
            <w:tcW w:w="1134" w:type="dxa"/>
            <w:hideMark/>
          </w:tcPr>
          <w:p w14:paraId="4AC5198D" w14:textId="77777777" w:rsidR="0090773F" w:rsidRPr="00B20FBD" w:rsidRDefault="0090773F" w:rsidP="009077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80,4</w:t>
            </w:r>
          </w:p>
        </w:tc>
        <w:tc>
          <w:tcPr>
            <w:tcW w:w="1119" w:type="dxa"/>
            <w:hideMark/>
          </w:tcPr>
          <w:p w14:paraId="067223D9" w14:textId="77777777" w:rsidR="0090773F" w:rsidRPr="00B20FBD" w:rsidRDefault="0090773F" w:rsidP="009077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131,0</w:t>
            </w:r>
          </w:p>
        </w:tc>
        <w:tc>
          <w:tcPr>
            <w:tcW w:w="1149" w:type="dxa"/>
            <w:hideMark/>
          </w:tcPr>
          <w:p w14:paraId="63D5E557" w14:textId="77777777" w:rsidR="0090773F" w:rsidRPr="00B20FBD" w:rsidRDefault="0090773F" w:rsidP="009077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-3,4</w:t>
            </w:r>
          </w:p>
        </w:tc>
        <w:tc>
          <w:tcPr>
            <w:tcW w:w="1134" w:type="dxa"/>
            <w:hideMark/>
          </w:tcPr>
          <w:p w14:paraId="1FCC2C93" w14:textId="77777777" w:rsidR="0090773F" w:rsidRPr="00B20FBD" w:rsidRDefault="0090773F" w:rsidP="0090773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-10,5</w:t>
            </w:r>
          </w:p>
        </w:tc>
      </w:tr>
      <w:tr w:rsidR="00C31604" w:rsidRPr="00B20FBD" w14:paraId="1598BA14" w14:textId="77777777" w:rsidTr="00462FA2">
        <w:trPr>
          <w:gridAfter w:val="1"/>
          <w:wAfter w:w="6" w:type="dxa"/>
          <w:trHeight w:val="276"/>
          <w:jc w:val="center"/>
        </w:trPr>
        <w:tc>
          <w:tcPr>
            <w:cnfStyle w:val="001000000000" w:firstRow="0" w:lastRow="0" w:firstColumn="1" w:lastColumn="0" w:oddVBand="0" w:evenVBand="0" w:oddHBand="0" w:evenHBand="0" w:firstRowFirstColumn="0" w:firstRowLastColumn="0" w:lastRowFirstColumn="0" w:lastRowLastColumn="0"/>
            <w:tcW w:w="2547" w:type="dxa"/>
            <w:gridSpan w:val="2"/>
            <w:hideMark/>
          </w:tcPr>
          <w:p w14:paraId="27C7F52D" w14:textId="5EDBACD6" w:rsidR="00462FA2" w:rsidRPr="00B20FBD" w:rsidRDefault="0090773F" w:rsidP="0090773F">
            <w:pPr>
              <w:spacing w:after="0" w:line="240" w:lineRule="auto"/>
              <w:rPr>
                <w:rFonts w:asciiTheme="majorHAnsi" w:eastAsia="Times New Roman" w:hAnsiTheme="majorHAnsi" w:cstheme="majorHAnsi"/>
                <w:b w:val="0"/>
                <w:bCs w:val="0"/>
                <w:color w:val="000000"/>
                <w:sz w:val="20"/>
                <w:szCs w:val="20"/>
                <w:lang w:val="ro-RO"/>
              </w:rPr>
            </w:pPr>
            <w:r>
              <w:rPr>
                <w:rFonts w:asciiTheme="majorHAnsi" w:eastAsia="Times New Roman" w:hAnsiTheme="majorHAnsi" w:cstheme="majorHAnsi"/>
                <w:b w:val="0"/>
                <w:bCs w:val="0"/>
                <w:color w:val="000000"/>
                <w:sz w:val="20"/>
                <w:szCs w:val="20"/>
              </w:rPr>
              <w:t>Всего</w:t>
            </w:r>
            <w:r w:rsidR="00462FA2" w:rsidRPr="00B20FBD">
              <w:rPr>
                <w:rFonts w:asciiTheme="majorHAnsi" w:eastAsia="Times New Roman" w:hAnsiTheme="majorHAnsi" w:cstheme="majorHAnsi"/>
                <w:b w:val="0"/>
                <w:bCs w:val="0"/>
                <w:color w:val="000000"/>
                <w:sz w:val="20"/>
                <w:szCs w:val="20"/>
                <w:lang w:val="ro-RO"/>
              </w:rPr>
              <w:t>:</w:t>
            </w:r>
          </w:p>
        </w:tc>
        <w:tc>
          <w:tcPr>
            <w:tcW w:w="1276" w:type="dxa"/>
            <w:hideMark/>
          </w:tcPr>
          <w:p w14:paraId="3D159331" w14:textId="77777777" w:rsidR="00462FA2" w:rsidRPr="00B20FBD" w:rsidRDefault="00462FA2" w:rsidP="00462FA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B20FBD">
              <w:rPr>
                <w:rFonts w:asciiTheme="majorHAnsi" w:eastAsia="Times New Roman" w:hAnsiTheme="majorHAnsi" w:cstheme="majorHAnsi"/>
                <w:b/>
                <w:bCs/>
                <w:color w:val="000000"/>
                <w:sz w:val="20"/>
                <w:szCs w:val="20"/>
                <w:lang w:val="ro-RO"/>
              </w:rPr>
              <w:t>3511,0</w:t>
            </w:r>
          </w:p>
        </w:tc>
        <w:tc>
          <w:tcPr>
            <w:tcW w:w="1275" w:type="dxa"/>
            <w:hideMark/>
          </w:tcPr>
          <w:p w14:paraId="7FBCA274" w14:textId="77777777" w:rsidR="00462FA2" w:rsidRPr="00B20FBD" w:rsidRDefault="00462FA2" w:rsidP="00462FA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B20FBD">
              <w:rPr>
                <w:rFonts w:asciiTheme="majorHAnsi" w:eastAsia="Times New Roman" w:hAnsiTheme="majorHAnsi" w:cstheme="majorHAnsi"/>
                <w:b/>
                <w:bCs/>
                <w:color w:val="000000"/>
                <w:sz w:val="20"/>
                <w:szCs w:val="20"/>
                <w:lang w:val="ro-RO"/>
              </w:rPr>
              <w:t>1390,7</w:t>
            </w:r>
          </w:p>
        </w:tc>
        <w:tc>
          <w:tcPr>
            <w:tcW w:w="1134" w:type="dxa"/>
            <w:hideMark/>
          </w:tcPr>
          <w:p w14:paraId="02B12C50" w14:textId="77777777" w:rsidR="00462FA2" w:rsidRPr="00B20FBD" w:rsidRDefault="00462FA2" w:rsidP="00462FA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B20FBD">
              <w:rPr>
                <w:rFonts w:asciiTheme="majorHAnsi" w:eastAsia="Times New Roman" w:hAnsiTheme="majorHAnsi" w:cstheme="majorHAnsi"/>
                <w:b/>
                <w:bCs/>
                <w:color w:val="000000"/>
                <w:sz w:val="20"/>
                <w:szCs w:val="20"/>
                <w:lang w:val="ro-RO"/>
              </w:rPr>
              <w:t>1175,9</w:t>
            </w:r>
          </w:p>
        </w:tc>
        <w:tc>
          <w:tcPr>
            <w:tcW w:w="1119" w:type="dxa"/>
            <w:hideMark/>
          </w:tcPr>
          <w:p w14:paraId="61FDA964" w14:textId="77777777" w:rsidR="00462FA2" w:rsidRPr="00B20FBD" w:rsidRDefault="00462FA2" w:rsidP="00462FA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B20FBD">
              <w:rPr>
                <w:rFonts w:asciiTheme="majorHAnsi" w:eastAsia="Times New Roman" w:hAnsiTheme="majorHAnsi" w:cstheme="majorHAnsi"/>
                <w:b/>
                <w:bCs/>
                <w:color w:val="000000"/>
                <w:sz w:val="20"/>
                <w:szCs w:val="20"/>
                <w:lang w:val="ro-RO"/>
              </w:rPr>
              <w:t>2233,6</w:t>
            </w:r>
          </w:p>
        </w:tc>
        <w:tc>
          <w:tcPr>
            <w:tcW w:w="1149" w:type="dxa"/>
            <w:hideMark/>
          </w:tcPr>
          <w:p w14:paraId="5B58413D" w14:textId="77777777" w:rsidR="00462FA2" w:rsidRPr="00B20FBD" w:rsidRDefault="00462FA2" w:rsidP="00462FA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B20FBD">
              <w:rPr>
                <w:rFonts w:asciiTheme="majorHAnsi" w:eastAsia="Times New Roman" w:hAnsiTheme="majorHAnsi" w:cstheme="majorHAnsi"/>
                <w:b/>
                <w:bCs/>
                <w:color w:val="000000"/>
                <w:sz w:val="20"/>
                <w:szCs w:val="20"/>
                <w:lang w:val="ro-RO"/>
              </w:rPr>
              <w:t>-214,8</w:t>
            </w:r>
          </w:p>
        </w:tc>
        <w:tc>
          <w:tcPr>
            <w:tcW w:w="1134" w:type="dxa"/>
            <w:hideMark/>
          </w:tcPr>
          <w:p w14:paraId="63CB9ED2" w14:textId="77777777" w:rsidR="00462FA2" w:rsidRPr="00B20FBD" w:rsidRDefault="00462FA2" w:rsidP="00462FA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RO"/>
              </w:rPr>
            </w:pPr>
            <w:r w:rsidRPr="00B20FBD">
              <w:rPr>
                <w:rFonts w:asciiTheme="majorHAnsi" w:eastAsia="Times New Roman" w:hAnsiTheme="majorHAnsi" w:cstheme="majorHAnsi"/>
                <w:b/>
                <w:bCs/>
                <w:color w:val="000000"/>
                <w:sz w:val="20"/>
                <w:szCs w:val="20"/>
                <w:lang w:val="ro-RO"/>
              </w:rPr>
              <w:t>-1277,4</w:t>
            </w:r>
          </w:p>
        </w:tc>
      </w:tr>
    </w:tbl>
    <w:p w14:paraId="1F27584D" w14:textId="4EBD4FC6" w:rsidR="00462FA2" w:rsidRPr="00A6782D" w:rsidRDefault="00462FA2" w:rsidP="00462FA2">
      <w:pPr>
        <w:spacing w:after="0" w:line="240" w:lineRule="auto"/>
        <w:jc w:val="both"/>
        <w:rPr>
          <w:rFonts w:asciiTheme="majorHAnsi" w:eastAsia="Times New Roman" w:hAnsiTheme="majorHAnsi" w:cstheme="majorHAnsi"/>
          <w:i/>
          <w:sz w:val="20"/>
          <w:szCs w:val="20"/>
          <w:lang w:val="ru-MD"/>
        </w:rPr>
      </w:pPr>
      <w:r w:rsidRPr="00B20FBD">
        <w:rPr>
          <w:rFonts w:asciiTheme="majorHAnsi" w:eastAsia="Times New Roman" w:hAnsiTheme="majorHAnsi" w:cstheme="majorHAnsi"/>
          <w:sz w:val="24"/>
          <w:szCs w:val="24"/>
          <w:lang w:val="ro-MD"/>
        </w:rPr>
        <w:t xml:space="preserve">         </w:t>
      </w:r>
      <w:r w:rsidR="00723462" w:rsidRPr="00A6782D">
        <w:rPr>
          <w:rFonts w:asciiTheme="majorHAnsi" w:eastAsia="Times New Roman" w:hAnsiTheme="majorHAnsi" w:cstheme="majorHAnsi"/>
          <w:b/>
          <w:bCs/>
          <w:i/>
          <w:iCs/>
          <w:sz w:val="20"/>
          <w:szCs w:val="20"/>
          <w:lang w:val="ru-MD"/>
        </w:rPr>
        <w:t>Источник</w:t>
      </w:r>
      <w:r w:rsidRPr="00A6782D">
        <w:rPr>
          <w:rFonts w:asciiTheme="majorHAnsi" w:eastAsia="Times New Roman" w:hAnsiTheme="majorHAnsi" w:cstheme="majorHAnsi"/>
          <w:bCs/>
          <w:i/>
          <w:iCs/>
          <w:sz w:val="20"/>
          <w:szCs w:val="20"/>
          <w:lang w:val="ru-MD"/>
        </w:rPr>
        <w:t xml:space="preserve">: </w:t>
      </w:r>
      <w:r w:rsidR="00A6782D" w:rsidRPr="00A6782D">
        <w:rPr>
          <w:rFonts w:asciiTheme="majorHAnsi" w:eastAsia="Times New Roman" w:hAnsiTheme="majorHAnsi" w:cstheme="majorHAnsi"/>
          <w:bCs/>
          <w:i/>
          <w:iCs/>
          <w:sz w:val="20"/>
          <w:szCs w:val="20"/>
          <w:lang w:val="ru-MD"/>
        </w:rPr>
        <w:t>Официальная статистическая информация Республики Молдова об импортных/экспортных операциях, по</w:t>
      </w:r>
      <w:r w:rsidR="00A6782D">
        <w:rPr>
          <w:rFonts w:asciiTheme="majorHAnsi" w:eastAsia="Times New Roman" w:hAnsiTheme="majorHAnsi" w:cstheme="majorHAnsi"/>
          <w:bCs/>
          <w:i/>
          <w:iCs/>
          <w:sz w:val="20"/>
          <w:szCs w:val="20"/>
          <w:lang w:val="ru-MD"/>
        </w:rPr>
        <w:t xml:space="preserve"> </w:t>
      </w:r>
      <w:r w:rsidR="00A6782D" w:rsidRPr="00A6782D">
        <w:rPr>
          <w:rFonts w:asciiTheme="majorHAnsi" w:eastAsia="Times New Roman" w:hAnsiTheme="majorHAnsi" w:cstheme="majorHAnsi"/>
          <w:bCs/>
          <w:i/>
          <w:iCs/>
          <w:sz w:val="20"/>
          <w:szCs w:val="20"/>
          <w:lang w:val="ru-MD"/>
        </w:rPr>
        <w:t>отношению к статистическим данным других стран, за 2019-2021 годы</w:t>
      </w:r>
      <w:r w:rsidRPr="00A6782D">
        <w:rPr>
          <w:rFonts w:asciiTheme="majorHAnsi" w:eastAsia="Times New Roman" w:hAnsiTheme="majorHAnsi" w:cstheme="majorHAnsi"/>
          <w:i/>
          <w:sz w:val="20"/>
          <w:szCs w:val="20"/>
          <w:lang w:val="ru-MD"/>
        </w:rPr>
        <w:t>.</w:t>
      </w:r>
      <w:r w:rsidRPr="00A6782D">
        <w:rPr>
          <w:rFonts w:asciiTheme="majorHAnsi" w:eastAsia="Times New Roman" w:hAnsiTheme="majorHAnsi" w:cstheme="majorHAnsi"/>
          <w:sz w:val="20"/>
          <w:szCs w:val="20"/>
          <w:lang w:val="ru-MD"/>
        </w:rPr>
        <w:t xml:space="preserve">                                                                                  </w:t>
      </w:r>
      <w:r w:rsidRPr="00A6782D">
        <w:rPr>
          <w:rFonts w:asciiTheme="majorHAnsi" w:eastAsia="Times New Roman" w:hAnsiTheme="majorHAnsi" w:cstheme="majorHAnsi"/>
          <w:i/>
          <w:sz w:val="20"/>
          <w:szCs w:val="20"/>
          <w:lang w:val="ru-MD"/>
        </w:rPr>
        <w:t xml:space="preserve">                                                                                                                   </w:t>
      </w:r>
    </w:p>
    <w:p w14:paraId="43733CF1" w14:textId="77777777" w:rsidR="00462FA2" w:rsidRPr="00B20FBD" w:rsidRDefault="00462FA2" w:rsidP="00462FA2">
      <w:pPr>
        <w:spacing w:after="0"/>
        <w:ind w:firstLine="567"/>
        <w:jc w:val="center"/>
        <w:rPr>
          <w:rFonts w:asciiTheme="majorHAnsi" w:eastAsia="Times New Roman" w:hAnsiTheme="majorHAnsi" w:cstheme="majorHAnsi"/>
          <w:i/>
          <w:sz w:val="24"/>
          <w:szCs w:val="24"/>
          <w:lang w:val="ro-RO"/>
        </w:rPr>
      </w:pPr>
      <w:r w:rsidRPr="00B20FBD">
        <w:rPr>
          <w:rFonts w:asciiTheme="majorHAnsi" w:eastAsia="Times New Roman" w:hAnsiTheme="majorHAnsi" w:cstheme="majorHAnsi"/>
          <w:i/>
          <w:sz w:val="24"/>
          <w:szCs w:val="24"/>
          <w:lang w:val="ro-RO"/>
        </w:rPr>
        <w:t xml:space="preserve">        </w:t>
      </w:r>
    </w:p>
    <w:p w14:paraId="36F5C184" w14:textId="2887E9FB" w:rsidR="00462FA2" w:rsidRPr="00D32DD1" w:rsidRDefault="00B62A06" w:rsidP="00462FA2">
      <w:pPr>
        <w:spacing w:after="120"/>
        <w:jc w:val="both"/>
        <w:rPr>
          <w:rFonts w:asciiTheme="majorHAnsi" w:eastAsia="Times New Roman" w:hAnsiTheme="majorHAnsi" w:cstheme="majorHAnsi"/>
          <w:sz w:val="24"/>
          <w:szCs w:val="24"/>
          <w:lang w:val="ru-MD"/>
        </w:rPr>
      </w:pPr>
      <w:r w:rsidRPr="00D32DD1">
        <w:rPr>
          <w:rFonts w:asciiTheme="majorHAnsi" w:eastAsia="Times New Roman" w:hAnsiTheme="majorHAnsi" w:cstheme="majorHAnsi"/>
          <w:bCs/>
          <w:iCs/>
          <w:sz w:val="24"/>
          <w:szCs w:val="24"/>
          <w:lang w:val="ru-MD"/>
        </w:rPr>
        <w:t xml:space="preserve">Аудиторский анализ данных официальной статистики Республики Молдова по внешней торговле, зарегистрированных в 2021 году, </w:t>
      </w:r>
      <w:r w:rsidR="00447516" w:rsidRPr="00D32DD1">
        <w:rPr>
          <w:rFonts w:asciiTheme="majorHAnsi" w:eastAsia="Times New Roman" w:hAnsiTheme="majorHAnsi" w:cstheme="majorHAnsi"/>
          <w:bCs/>
          <w:iCs/>
          <w:sz w:val="24"/>
          <w:szCs w:val="24"/>
          <w:lang w:val="ru-MD"/>
        </w:rPr>
        <w:t>по</w:t>
      </w:r>
      <w:r w:rsidRPr="00D32DD1">
        <w:rPr>
          <w:rFonts w:asciiTheme="majorHAnsi" w:eastAsia="Times New Roman" w:hAnsiTheme="majorHAnsi" w:cstheme="majorHAnsi"/>
          <w:bCs/>
          <w:iCs/>
          <w:sz w:val="24"/>
          <w:szCs w:val="24"/>
          <w:lang w:val="ru-MD"/>
        </w:rPr>
        <w:t xml:space="preserve"> </w:t>
      </w:r>
      <w:r w:rsidR="00447516" w:rsidRPr="00D32DD1">
        <w:rPr>
          <w:rFonts w:asciiTheme="majorHAnsi" w:eastAsia="Times New Roman" w:hAnsiTheme="majorHAnsi" w:cstheme="majorHAnsi"/>
          <w:bCs/>
          <w:iCs/>
          <w:sz w:val="24"/>
          <w:szCs w:val="24"/>
          <w:lang w:val="ru-MD"/>
        </w:rPr>
        <w:t>сравнению</w:t>
      </w:r>
      <w:r w:rsidRPr="00D32DD1">
        <w:rPr>
          <w:rFonts w:asciiTheme="majorHAnsi" w:eastAsia="Times New Roman" w:hAnsiTheme="majorHAnsi" w:cstheme="majorHAnsi"/>
          <w:bCs/>
          <w:iCs/>
          <w:sz w:val="24"/>
          <w:szCs w:val="24"/>
          <w:lang w:val="ru-MD"/>
        </w:rPr>
        <w:t xml:space="preserve"> с официальными статистическими данными Российской Федерации, Румынии, Украины и Республики Беларусь,</w:t>
      </w:r>
      <w:r w:rsidR="00447516" w:rsidRPr="00D32DD1">
        <w:rPr>
          <w:rFonts w:asciiTheme="majorHAnsi" w:eastAsia="Times New Roman" w:hAnsiTheme="majorHAnsi" w:cstheme="majorHAnsi"/>
          <w:bCs/>
          <w:iCs/>
          <w:sz w:val="24"/>
          <w:szCs w:val="24"/>
          <w:lang w:val="ru-MD"/>
        </w:rPr>
        <w:t xml:space="preserve"> выявил</w:t>
      </w:r>
      <w:r w:rsidRPr="00D32DD1">
        <w:rPr>
          <w:rFonts w:asciiTheme="majorHAnsi" w:eastAsia="Times New Roman" w:hAnsiTheme="majorHAnsi" w:cstheme="majorHAnsi"/>
          <w:bCs/>
          <w:iCs/>
          <w:sz w:val="24"/>
          <w:szCs w:val="24"/>
          <w:lang w:val="ru-MD"/>
        </w:rPr>
        <w:t xml:space="preserve"> </w:t>
      </w:r>
      <w:r w:rsidR="00447516" w:rsidRPr="00D32DD1">
        <w:rPr>
          <w:rFonts w:asciiTheme="majorHAnsi" w:eastAsia="Times New Roman" w:hAnsiTheme="majorHAnsi" w:cstheme="majorHAnsi"/>
          <w:bCs/>
          <w:iCs/>
          <w:sz w:val="24"/>
          <w:szCs w:val="24"/>
          <w:lang w:val="ru-MD"/>
        </w:rPr>
        <w:t>заниж</w:t>
      </w:r>
      <w:r w:rsidRPr="00D32DD1">
        <w:rPr>
          <w:rFonts w:asciiTheme="majorHAnsi" w:eastAsia="Times New Roman" w:hAnsiTheme="majorHAnsi" w:cstheme="majorHAnsi"/>
          <w:bCs/>
          <w:iCs/>
          <w:sz w:val="24"/>
          <w:szCs w:val="24"/>
          <w:lang w:val="ru-MD"/>
        </w:rPr>
        <w:t xml:space="preserve">ение на </w:t>
      </w:r>
      <w:r w:rsidRPr="00D32DD1">
        <w:rPr>
          <w:rFonts w:asciiTheme="majorHAnsi" w:eastAsia="Times New Roman" w:hAnsiTheme="majorHAnsi" w:cstheme="majorHAnsi"/>
          <w:b/>
          <w:bCs/>
          <w:iCs/>
          <w:sz w:val="24"/>
          <w:szCs w:val="24"/>
          <w:lang w:val="ru-MD"/>
        </w:rPr>
        <w:t>1 649,6 млн. долларов США</w:t>
      </w:r>
      <w:r w:rsidRPr="00D32DD1">
        <w:rPr>
          <w:rFonts w:asciiTheme="majorHAnsi" w:eastAsia="Times New Roman" w:hAnsiTheme="majorHAnsi" w:cstheme="majorHAnsi"/>
          <w:bCs/>
          <w:iCs/>
          <w:sz w:val="24"/>
          <w:szCs w:val="24"/>
          <w:lang w:val="ru-MD"/>
        </w:rPr>
        <w:t xml:space="preserve"> статистической стоимости импортируемых товаров, </w:t>
      </w:r>
      <w:r w:rsidR="00447516" w:rsidRPr="00D32DD1">
        <w:rPr>
          <w:rFonts w:asciiTheme="majorHAnsi" w:eastAsia="Times New Roman" w:hAnsiTheme="majorHAnsi" w:cstheme="majorHAnsi"/>
          <w:bCs/>
          <w:iCs/>
          <w:sz w:val="24"/>
          <w:szCs w:val="24"/>
          <w:lang w:val="ru-MD"/>
        </w:rPr>
        <w:t>декларирова</w:t>
      </w:r>
      <w:r w:rsidRPr="00D32DD1">
        <w:rPr>
          <w:rFonts w:asciiTheme="majorHAnsi" w:eastAsia="Times New Roman" w:hAnsiTheme="majorHAnsi" w:cstheme="majorHAnsi"/>
          <w:bCs/>
          <w:iCs/>
          <w:sz w:val="24"/>
          <w:szCs w:val="24"/>
          <w:lang w:val="ru-MD"/>
        </w:rPr>
        <w:t xml:space="preserve">нных в Республике Молдова, и, соответственно, </w:t>
      </w:r>
      <w:r w:rsidR="00447516" w:rsidRPr="00D32DD1">
        <w:rPr>
          <w:rFonts w:asciiTheme="majorHAnsi" w:eastAsia="Times New Roman" w:hAnsiTheme="majorHAnsi" w:cstheme="majorHAnsi"/>
          <w:bCs/>
          <w:iCs/>
          <w:sz w:val="24"/>
          <w:szCs w:val="24"/>
          <w:lang w:val="ru-MD"/>
        </w:rPr>
        <w:t>за</w:t>
      </w:r>
      <w:r w:rsidRPr="00D32DD1">
        <w:rPr>
          <w:rFonts w:asciiTheme="majorHAnsi" w:eastAsia="Times New Roman" w:hAnsiTheme="majorHAnsi" w:cstheme="majorHAnsi"/>
          <w:bCs/>
          <w:iCs/>
          <w:sz w:val="24"/>
          <w:szCs w:val="24"/>
          <w:lang w:val="ru-MD"/>
        </w:rPr>
        <w:t>нижени</w:t>
      </w:r>
      <w:r w:rsidR="00447516" w:rsidRPr="00D32DD1">
        <w:rPr>
          <w:rFonts w:asciiTheme="majorHAnsi" w:eastAsia="Times New Roman" w:hAnsiTheme="majorHAnsi" w:cstheme="majorHAnsi"/>
          <w:bCs/>
          <w:iCs/>
          <w:sz w:val="24"/>
          <w:szCs w:val="24"/>
          <w:lang w:val="ru-MD"/>
        </w:rPr>
        <w:t>е</w:t>
      </w:r>
      <w:r w:rsidRPr="00D32DD1">
        <w:rPr>
          <w:rFonts w:asciiTheme="majorHAnsi" w:eastAsia="Times New Roman" w:hAnsiTheme="majorHAnsi" w:cstheme="majorHAnsi"/>
          <w:bCs/>
          <w:iCs/>
          <w:sz w:val="24"/>
          <w:szCs w:val="24"/>
          <w:lang w:val="ru-MD"/>
        </w:rPr>
        <w:t xml:space="preserve"> на </w:t>
      </w:r>
      <w:r w:rsidRPr="00D32DD1">
        <w:rPr>
          <w:rFonts w:asciiTheme="majorHAnsi" w:eastAsia="Times New Roman" w:hAnsiTheme="majorHAnsi" w:cstheme="majorHAnsi"/>
          <w:b/>
          <w:bCs/>
          <w:iCs/>
          <w:sz w:val="24"/>
          <w:szCs w:val="24"/>
          <w:lang w:val="ru-MD"/>
        </w:rPr>
        <w:t>186,4 млн.</w:t>
      </w:r>
      <w:r w:rsidRPr="00D32DD1">
        <w:rPr>
          <w:rFonts w:asciiTheme="majorHAnsi" w:eastAsia="Times New Roman" w:hAnsiTheme="majorHAnsi" w:cstheme="majorHAnsi"/>
          <w:bCs/>
          <w:iCs/>
          <w:sz w:val="24"/>
          <w:szCs w:val="24"/>
          <w:lang w:val="ru-MD"/>
        </w:rPr>
        <w:t xml:space="preserve"> </w:t>
      </w:r>
      <w:r w:rsidR="00447516" w:rsidRPr="00D32DD1">
        <w:rPr>
          <w:rFonts w:asciiTheme="majorHAnsi" w:eastAsia="Times New Roman" w:hAnsiTheme="majorHAnsi" w:cstheme="majorHAnsi"/>
          <w:b/>
          <w:bCs/>
          <w:iCs/>
          <w:sz w:val="24"/>
          <w:szCs w:val="24"/>
          <w:lang w:val="ru-MD"/>
        </w:rPr>
        <w:t>долларов США</w:t>
      </w:r>
      <w:r w:rsidRPr="00D32DD1">
        <w:rPr>
          <w:rFonts w:asciiTheme="majorHAnsi" w:eastAsia="Times New Roman" w:hAnsiTheme="majorHAnsi" w:cstheme="majorHAnsi"/>
          <w:bCs/>
          <w:iCs/>
          <w:sz w:val="24"/>
          <w:szCs w:val="24"/>
          <w:lang w:val="ru-MD"/>
        </w:rPr>
        <w:t xml:space="preserve"> статистической стоимости товаров, экспортируемых в </w:t>
      </w:r>
      <w:r w:rsidR="00447516" w:rsidRPr="00D32DD1">
        <w:rPr>
          <w:rFonts w:asciiTheme="majorHAnsi" w:eastAsia="Times New Roman" w:hAnsiTheme="majorHAnsi" w:cstheme="majorHAnsi"/>
          <w:bCs/>
          <w:iCs/>
          <w:sz w:val="24"/>
          <w:szCs w:val="24"/>
          <w:lang w:val="ru-MD"/>
        </w:rPr>
        <w:t>указ</w:t>
      </w:r>
      <w:r w:rsidRPr="00D32DD1">
        <w:rPr>
          <w:rFonts w:asciiTheme="majorHAnsi" w:eastAsia="Times New Roman" w:hAnsiTheme="majorHAnsi" w:cstheme="majorHAnsi"/>
          <w:bCs/>
          <w:iCs/>
          <w:sz w:val="24"/>
          <w:szCs w:val="24"/>
          <w:lang w:val="ru-MD"/>
        </w:rPr>
        <w:t>анные страны</w:t>
      </w:r>
      <w:r w:rsidR="00447516" w:rsidRPr="00D32DD1">
        <w:rPr>
          <w:rStyle w:val="FootnoteReference"/>
          <w:rFonts w:asciiTheme="majorHAnsi" w:eastAsia="Times New Roman" w:hAnsiTheme="majorHAnsi" w:cstheme="majorHAnsi"/>
          <w:bCs/>
          <w:iCs/>
          <w:sz w:val="24"/>
          <w:szCs w:val="24"/>
          <w:lang w:val="ru-MD"/>
        </w:rPr>
        <w:footnoteReference w:id="25"/>
      </w:r>
      <w:r w:rsidR="00447516" w:rsidRPr="00D32DD1">
        <w:rPr>
          <w:rFonts w:asciiTheme="majorHAnsi" w:eastAsia="Times New Roman" w:hAnsiTheme="majorHAnsi" w:cstheme="majorHAnsi"/>
          <w:bCs/>
          <w:iCs/>
          <w:sz w:val="24"/>
          <w:szCs w:val="24"/>
          <w:lang w:val="ru-MD"/>
        </w:rPr>
        <w:t>,</w:t>
      </w:r>
      <w:r w:rsidRPr="00D32DD1">
        <w:rPr>
          <w:rFonts w:asciiTheme="majorHAnsi" w:eastAsia="Times New Roman" w:hAnsiTheme="majorHAnsi" w:cstheme="majorHAnsi"/>
          <w:bCs/>
          <w:iCs/>
          <w:sz w:val="24"/>
          <w:szCs w:val="24"/>
          <w:lang w:val="ru-MD"/>
        </w:rPr>
        <w:t xml:space="preserve"> по отношению к фактическ</w:t>
      </w:r>
      <w:r w:rsidR="00447516" w:rsidRPr="00D32DD1">
        <w:rPr>
          <w:rFonts w:asciiTheme="majorHAnsi" w:eastAsia="Times New Roman" w:hAnsiTheme="majorHAnsi" w:cstheme="majorHAnsi"/>
          <w:bCs/>
          <w:iCs/>
          <w:sz w:val="24"/>
          <w:szCs w:val="24"/>
          <w:lang w:val="ru-MD"/>
        </w:rPr>
        <w:t>и</w:t>
      </w:r>
      <w:r w:rsidRPr="00D32DD1">
        <w:rPr>
          <w:rFonts w:asciiTheme="majorHAnsi" w:eastAsia="Times New Roman" w:hAnsiTheme="majorHAnsi" w:cstheme="majorHAnsi"/>
          <w:bCs/>
          <w:iCs/>
          <w:sz w:val="24"/>
          <w:szCs w:val="24"/>
          <w:lang w:val="ru-MD"/>
        </w:rPr>
        <w:t xml:space="preserve"> зарегистрированному импорту.</w:t>
      </w:r>
      <w:r w:rsidR="00462FA2" w:rsidRPr="00D32DD1">
        <w:rPr>
          <w:rFonts w:asciiTheme="majorHAnsi" w:eastAsia="Times New Roman" w:hAnsiTheme="majorHAnsi" w:cstheme="majorHAnsi"/>
          <w:bCs/>
          <w:iCs/>
          <w:sz w:val="24"/>
          <w:szCs w:val="24"/>
          <w:lang w:val="ru-MD"/>
        </w:rPr>
        <w:t xml:space="preserve"> </w:t>
      </w:r>
      <w:r w:rsidRPr="00D32DD1">
        <w:rPr>
          <w:rFonts w:asciiTheme="majorHAnsi" w:eastAsia="Times New Roman" w:hAnsiTheme="majorHAnsi" w:cstheme="majorHAnsi"/>
          <w:bCs/>
          <w:iCs/>
          <w:sz w:val="24"/>
          <w:szCs w:val="24"/>
          <w:lang w:val="ru-MD"/>
        </w:rPr>
        <w:t>Аналогично, в 2019-2020 годах статистическая стоимость импорт</w:t>
      </w:r>
      <w:r w:rsidR="00447516" w:rsidRPr="00D32DD1">
        <w:rPr>
          <w:rFonts w:asciiTheme="majorHAnsi" w:eastAsia="Times New Roman" w:hAnsiTheme="majorHAnsi" w:cstheme="majorHAnsi"/>
          <w:bCs/>
          <w:iCs/>
          <w:sz w:val="24"/>
          <w:szCs w:val="24"/>
          <w:lang w:val="ru-MD"/>
        </w:rPr>
        <w:t>ируем</w:t>
      </w:r>
      <w:r w:rsidRPr="00D32DD1">
        <w:rPr>
          <w:rFonts w:asciiTheme="majorHAnsi" w:eastAsia="Times New Roman" w:hAnsiTheme="majorHAnsi" w:cstheme="majorHAnsi"/>
          <w:bCs/>
          <w:iCs/>
          <w:sz w:val="24"/>
          <w:szCs w:val="24"/>
          <w:lang w:val="ru-MD"/>
        </w:rPr>
        <w:t xml:space="preserve">ых товаров, </w:t>
      </w:r>
      <w:r w:rsidR="00447516" w:rsidRPr="00D32DD1">
        <w:rPr>
          <w:rFonts w:asciiTheme="majorHAnsi" w:eastAsia="Times New Roman" w:hAnsiTheme="majorHAnsi" w:cstheme="majorHAnsi"/>
          <w:bCs/>
          <w:iCs/>
          <w:sz w:val="24"/>
          <w:szCs w:val="24"/>
          <w:lang w:val="ru-MD"/>
        </w:rPr>
        <w:t>декларированных</w:t>
      </w:r>
      <w:r w:rsidRPr="00D32DD1">
        <w:rPr>
          <w:rFonts w:asciiTheme="majorHAnsi" w:eastAsia="Times New Roman" w:hAnsiTheme="majorHAnsi" w:cstheme="majorHAnsi"/>
          <w:bCs/>
          <w:iCs/>
          <w:sz w:val="24"/>
          <w:szCs w:val="24"/>
          <w:lang w:val="ru-MD"/>
        </w:rPr>
        <w:t xml:space="preserve"> таможенном</w:t>
      </w:r>
      <w:r w:rsidR="00447516" w:rsidRPr="00D32DD1">
        <w:rPr>
          <w:rFonts w:asciiTheme="majorHAnsi" w:eastAsia="Times New Roman" w:hAnsiTheme="majorHAnsi" w:cstheme="majorHAnsi"/>
          <w:bCs/>
          <w:iCs/>
          <w:sz w:val="24"/>
          <w:szCs w:val="24"/>
          <w:lang w:val="ru-MD"/>
        </w:rPr>
        <w:t>у</w:t>
      </w:r>
      <w:r w:rsidRPr="00D32DD1">
        <w:rPr>
          <w:rFonts w:asciiTheme="majorHAnsi" w:eastAsia="Times New Roman" w:hAnsiTheme="majorHAnsi" w:cstheme="majorHAnsi"/>
          <w:bCs/>
          <w:iCs/>
          <w:sz w:val="24"/>
          <w:szCs w:val="24"/>
          <w:lang w:val="ru-MD"/>
        </w:rPr>
        <w:t xml:space="preserve"> орган</w:t>
      </w:r>
      <w:r w:rsidR="00447516" w:rsidRPr="00D32DD1">
        <w:rPr>
          <w:rFonts w:asciiTheme="majorHAnsi" w:eastAsia="Times New Roman" w:hAnsiTheme="majorHAnsi" w:cstheme="majorHAnsi"/>
          <w:bCs/>
          <w:iCs/>
          <w:sz w:val="24"/>
          <w:szCs w:val="24"/>
          <w:lang w:val="ru-MD"/>
        </w:rPr>
        <w:t>у</w:t>
      </w:r>
      <w:r w:rsidRPr="00D32DD1">
        <w:rPr>
          <w:rFonts w:asciiTheme="majorHAnsi" w:eastAsia="Times New Roman" w:hAnsiTheme="majorHAnsi" w:cstheme="majorHAnsi"/>
          <w:bCs/>
          <w:iCs/>
          <w:sz w:val="24"/>
          <w:szCs w:val="24"/>
          <w:lang w:val="ru-MD"/>
        </w:rPr>
        <w:t xml:space="preserve">, </w:t>
      </w:r>
      <w:r w:rsidR="00447516" w:rsidRPr="00D32DD1">
        <w:rPr>
          <w:rFonts w:asciiTheme="majorHAnsi" w:eastAsia="Times New Roman" w:hAnsiTheme="majorHAnsi" w:cstheme="majorHAnsi"/>
          <w:bCs/>
          <w:iCs/>
          <w:sz w:val="24"/>
          <w:szCs w:val="24"/>
          <w:lang w:val="ru-MD"/>
        </w:rPr>
        <w:t>была занижена в целом</w:t>
      </w:r>
      <w:r w:rsidRPr="00D32DD1">
        <w:rPr>
          <w:rFonts w:asciiTheme="majorHAnsi" w:eastAsia="Times New Roman" w:hAnsiTheme="majorHAnsi" w:cstheme="majorHAnsi"/>
          <w:bCs/>
          <w:iCs/>
          <w:sz w:val="24"/>
          <w:szCs w:val="24"/>
          <w:lang w:val="ru-MD"/>
        </w:rPr>
        <w:t xml:space="preserve"> на </w:t>
      </w:r>
      <w:r w:rsidRPr="00D32DD1">
        <w:rPr>
          <w:rFonts w:asciiTheme="majorHAnsi" w:eastAsia="Times New Roman" w:hAnsiTheme="majorHAnsi" w:cstheme="majorHAnsi"/>
          <w:b/>
          <w:bCs/>
          <w:iCs/>
          <w:sz w:val="24"/>
          <w:szCs w:val="24"/>
          <w:lang w:val="ru-MD"/>
        </w:rPr>
        <w:t>2 339,2 млн. долларов США</w:t>
      </w:r>
      <w:r w:rsidRPr="00D32DD1">
        <w:rPr>
          <w:rFonts w:asciiTheme="majorHAnsi" w:eastAsia="Times New Roman" w:hAnsiTheme="majorHAnsi" w:cstheme="majorHAnsi"/>
          <w:bCs/>
          <w:iCs/>
          <w:sz w:val="24"/>
          <w:szCs w:val="24"/>
          <w:lang w:val="ru-MD"/>
        </w:rPr>
        <w:t xml:space="preserve">, а стоимость товаров, экспортируемых в другие страны, </w:t>
      </w:r>
      <w:r w:rsidR="00447516" w:rsidRPr="00D32DD1">
        <w:rPr>
          <w:rFonts w:asciiTheme="majorHAnsi" w:eastAsia="Times New Roman" w:hAnsiTheme="majorHAnsi" w:cstheme="majorHAnsi"/>
          <w:bCs/>
          <w:iCs/>
          <w:sz w:val="24"/>
          <w:szCs w:val="24"/>
          <w:lang w:val="ru-MD"/>
        </w:rPr>
        <w:t>была занижена</w:t>
      </w:r>
      <w:r w:rsidRPr="00D32DD1">
        <w:rPr>
          <w:rFonts w:asciiTheme="majorHAnsi" w:eastAsia="Times New Roman" w:hAnsiTheme="majorHAnsi" w:cstheme="majorHAnsi"/>
          <w:bCs/>
          <w:iCs/>
          <w:sz w:val="24"/>
          <w:szCs w:val="24"/>
          <w:lang w:val="ru-MD"/>
        </w:rPr>
        <w:t xml:space="preserve"> на </w:t>
      </w:r>
      <w:r w:rsidRPr="00D32DD1">
        <w:rPr>
          <w:rFonts w:asciiTheme="majorHAnsi" w:eastAsia="Times New Roman" w:hAnsiTheme="majorHAnsi" w:cstheme="majorHAnsi"/>
          <w:b/>
          <w:bCs/>
          <w:iCs/>
          <w:sz w:val="24"/>
          <w:szCs w:val="24"/>
          <w:lang w:val="ru-MD"/>
        </w:rPr>
        <w:t>432,3 млн. долларов США</w:t>
      </w:r>
      <w:r w:rsidRPr="00D32DD1">
        <w:rPr>
          <w:rFonts w:asciiTheme="majorHAnsi" w:eastAsia="Times New Roman" w:hAnsiTheme="majorHAnsi" w:cstheme="majorHAnsi"/>
          <w:bCs/>
          <w:iCs/>
          <w:sz w:val="24"/>
          <w:szCs w:val="24"/>
          <w:lang w:val="ru-MD"/>
        </w:rPr>
        <w:t xml:space="preserve">, что </w:t>
      </w:r>
      <w:r w:rsidR="00447516" w:rsidRPr="00D32DD1">
        <w:rPr>
          <w:rFonts w:asciiTheme="majorHAnsi" w:eastAsia="Times New Roman" w:hAnsiTheme="majorHAnsi" w:cstheme="majorHAnsi"/>
          <w:bCs/>
          <w:iCs/>
          <w:sz w:val="24"/>
          <w:szCs w:val="24"/>
          <w:lang w:val="ru-MD"/>
        </w:rPr>
        <w:t>однозначно</w:t>
      </w:r>
      <w:r w:rsidRPr="00D32DD1">
        <w:rPr>
          <w:rFonts w:asciiTheme="majorHAnsi" w:eastAsia="Times New Roman" w:hAnsiTheme="majorHAnsi" w:cstheme="majorHAnsi"/>
          <w:bCs/>
          <w:iCs/>
          <w:sz w:val="24"/>
          <w:szCs w:val="24"/>
          <w:lang w:val="ru-MD"/>
        </w:rPr>
        <w:t xml:space="preserve"> не </w:t>
      </w:r>
      <w:r w:rsidR="00447516" w:rsidRPr="00D32DD1">
        <w:rPr>
          <w:rFonts w:asciiTheme="majorHAnsi" w:eastAsia="Times New Roman" w:hAnsiTheme="majorHAnsi" w:cstheme="majorHAnsi"/>
          <w:bCs/>
          <w:iCs/>
          <w:sz w:val="24"/>
          <w:szCs w:val="24"/>
          <w:lang w:val="ru-MD"/>
        </w:rPr>
        <w:t>от</w:t>
      </w:r>
      <w:r w:rsidRPr="00D32DD1">
        <w:rPr>
          <w:rFonts w:asciiTheme="majorHAnsi" w:eastAsia="Times New Roman" w:hAnsiTheme="majorHAnsi" w:cstheme="majorHAnsi"/>
          <w:bCs/>
          <w:iCs/>
          <w:sz w:val="24"/>
          <w:szCs w:val="24"/>
          <w:lang w:val="ru-MD"/>
        </w:rPr>
        <w:t xml:space="preserve">ражает </w:t>
      </w:r>
      <w:r w:rsidR="00447516" w:rsidRPr="00D32DD1">
        <w:rPr>
          <w:rFonts w:asciiTheme="majorHAnsi" w:eastAsia="Times New Roman" w:hAnsiTheme="majorHAnsi" w:cstheme="majorHAnsi"/>
          <w:bCs/>
          <w:iCs/>
          <w:sz w:val="24"/>
          <w:szCs w:val="24"/>
          <w:lang w:val="ru-MD"/>
        </w:rPr>
        <w:t>соответствие</w:t>
      </w:r>
      <w:r w:rsidRPr="00D32DD1">
        <w:rPr>
          <w:rFonts w:asciiTheme="majorHAnsi" w:eastAsia="Times New Roman" w:hAnsiTheme="majorHAnsi" w:cstheme="majorHAnsi"/>
          <w:bCs/>
          <w:iCs/>
          <w:sz w:val="24"/>
          <w:szCs w:val="24"/>
          <w:lang w:val="ru-MD"/>
        </w:rPr>
        <w:t xml:space="preserve"> торговых операций и, соответственно, потенциал </w:t>
      </w:r>
      <w:r w:rsidR="00447516" w:rsidRPr="00D32DD1">
        <w:rPr>
          <w:rFonts w:asciiTheme="majorHAnsi" w:eastAsia="Times New Roman" w:hAnsiTheme="majorHAnsi" w:cstheme="majorHAnsi"/>
          <w:bCs/>
          <w:iCs/>
          <w:sz w:val="24"/>
          <w:szCs w:val="24"/>
          <w:lang w:val="ru-MD"/>
        </w:rPr>
        <w:t xml:space="preserve">для </w:t>
      </w:r>
      <w:r w:rsidRPr="00D32DD1">
        <w:rPr>
          <w:rFonts w:asciiTheme="majorHAnsi" w:eastAsia="Times New Roman" w:hAnsiTheme="majorHAnsi" w:cstheme="majorHAnsi"/>
          <w:bCs/>
          <w:iCs/>
          <w:sz w:val="24"/>
          <w:szCs w:val="24"/>
          <w:lang w:val="ru-MD"/>
        </w:rPr>
        <w:t xml:space="preserve">защиты национальной экономики, что </w:t>
      </w:r>
      <w:r w:rsidR="00447516" w:rsidRPr="00D32DD1">
        <w:rPr>
          <w:rFonts w:asciiTheme="majorHAnsi" w:eastAsia="Times New Roman" w:hAnsiTheme="majorHAnsi" w:cstheme="majorHAnsi"/>
          <w:bCs/>
          <w:iCs/>
          <w:sz w:val="24"/>
          <w:szCs w:val="24"/>
          <w:lang w:val="ru-MD"/>
        </w:rPr>
        <w:t>генериру</w:t>
      </w:r>
      <w:r w:rsidRPr="00D32DD1">
        <w:rPr>
          <w:rFonts w:asciiTheme="majorHAnsi" w:eastAsia="Times New Roman" w:hAnsiTheme="majorHAnsi" w:cstheme="majorHAnsi"/>
          <w:bCs/>
          <w:iCs/>
          <w:sz w:val="24"/>
          <w:szCs w:val="24"/>
          <w:lang w:val="ru-MD"/>
        </w:rPr>
        <w:t xml:space="preserve">ет риски, связанные с упущением доходов от неуплаты </w:t>
      </w:r>
      <w:r w:rsidR="00447516" w:rsidRPr="00D32DD1">
        <w:rPr>
          <w:rFonts w:asciiTheme="majorHAnsi" w:eastAsia="Times New Roman" w:hAnsiTheme="majorHAnsi" w:cstheme="majorHAnsi"/>
          <w:bCs/>
          <w:iCs/>
          <w:sz w:val="24"/>
          <w:szCs w:val="24"/>
          <w:lang w:val="ru-MD"/>
        </w:rPr>
        <w:t>ввозных платежей</w:t>
      </w:r>
      <w:r w:rsidRPr="00D32DD1">
        <w:rPr>
          <w:rFonts w:asciiTheme="majorHAnsi" w:eastAsia="Times New Roman" w:hAnsiTheme="majorHAnsi" w:cstheme="majorHAnsi"/>
          <w:bCs/>
          <w:iCs/>
          <w:sz w:val="24"/>
          <w:szCs w:val="24"/>
          <w:lang w:val="ru-MD"/>
        </w:rPr>
        <w:t xml:space="preserve">, подлежащих </w:t>
      </w:r>
      <w:r w:rsidR="00447516" w:rsidRPr="00D32DD1">
        <w:rPr>
          <w:rFonts w:asciiTheme="majorHAnsi" w:eastAsia="Times New Roman" w:hAnsiTheme="majorHAnsi" w:cstheme="majorHAnsi"/>
          <w:bCs/>
          <w:iCs/>
          <w:sz w:val="24"/>
          <w:szCs w:val="24"/>
          <w:lang w:val="ru-MD"/>
        </w:rPr>
        <w:t>взима</w:t>
      </w:r>
      <w:r w:rsidRPr="00D32DD1">
        <w:rPr>
          <w:rFonts w:asciiTheme="majorHAnsi" w:eastAsia="Times New Roman" w:hAnsiTheme="majorHAnsi" w:cstheme="majorHAnsi"/>
          <w:bCs/>
          <w:iCs/>
          <w:sz w:val="24"/>
          <w:szCs w:val="24"/>
          <w:lang w:val="ru-MD"/>
        </w:rPr>
        <w:t>нию в государственный бюджет, и нер</w:t>
      </w:r>
      <w:r w:rsidR="00447516" w:rsidRPr="00D32DD1">
        <w:rPr>
          <w:rFonts w:asciiTheme="majorHAnsi" w:eastAsia="Times New Roman" w:hAnsiTheme="majorHAnsi" w:cstheme="majorHAnsi"/>
          <w:bCs/>
          <w:iCs/>
          <w:sz w:val="24"/>
          <w:szCs w:val="24"/>
          <w:lang w:val="ru-MD"/>
        </w:rPr>
        <w:t>епатриацией</w:t>
      </w:r>
      <w:r w:rsidRPr="00D32DD1">
        <w:rPr>
          <w:rFonts w:asciiTheme="majorHAnsi" w:eastAsia="Times New Roman" w:hAnsiTheme="majorHAnsi" w:cstheme="majorHAnsi"/>
          <w:bCs/>
          <w:iCs/>
          <w:sz w:val="24"/>
          <w:szCs w:val="24"/>
          <w:lang w:val="ru-MD"/>
        </w:rPr>
        <w:t xml:space="preserve"> валюты от внешнеэкономических операций. </w:t>
      </w:r>
      <w:r w:rsidR="00447516" w:rsidRPr="00D32DD1">
        <w:rPr>
          <w:rFonts w:asciiTheme="majorHAnsi" w:eastAsia="Times New Roman" w:hAnsiTheme="majorHAnsi" w:cstheme="majorHAnsi"/>
          <w:bCs/>
          <w:iCs/>
          <w:sz w:val="24"/>
          <w:szCs w:val="24"/>
          <w:lang w:val="ru-MD"/>
        </w:rPr>
        <w:t>Следовательно, необходимо установить</w:t>
      </w:r>
      <w:r w:rsidRPr="00D32DD1">
        <w:rPr>
          <w:rFonts w:asciiTheme="majorHAnsi" w:eastAsia="Times New Roman" w:hAnsiTheme="majorHAnsi" w:cstheme="majorHAnsi"/>
          <w:bCs/>
          <w:iCs/>
          <w:sz w:val="24"/>
          <w:szCs w:val="24"/>
          <w:lang w:val="ru-MD"/>
        </w:rPr>
        <w:t xml:space="preserve"> тщательный мониторинг импорта/экспорта </w:t>
      </w:r>
      <w:r w:rsidR="00447516" w:rsidRPr="00D32DD1">
        <w:rPr>
          <w:rFonts w:asciiTheme="majorHAnsi" w:eastAsia="Times New Roman" w:hAnsiTheme="majorHAnsi" w:cstheme="majorHAnsi"/>
          <w:bCs/>
          <w:iCs/>
          <w:sz w:val="24"/>
          <w:szCs w:val="24"/>
          <w:lang w:val="ru-MD"/>
        </w:rPr>
        <w:t xml:space="preserve">со стороны </w:t>
      </w:r>
      <w:r w:rsidRPr="00D32DD1">
        <w:rPr>
          <w:rFonts w:asciiTheme="majorHAnsi" w:eastAsia="Times New Roman" w:hAnsiTheme="majorHAnsi" w:cstheme="majorHAnsi"/>
          <w:bCs/>
          <w:iCs/>
          <w:sz w:val="24"/>
          <w:szCs w:val="24"/>
          <w:lang w:val="ru-MD"/>
        </w:rPr>
        <w:t>таможенных и налоговых органов Республики Молдова</w:t>
      </w:r>
      <w:r w:rsidR="00462FA2" w:rsidRPr="00D32DD1">
        <w:rPr>
          <w:rFonts w:asciiTheme="majorHAnsi" w:eastAsia="Times New Roman" w:hAnsiTheme="majorHAnsi" w:cstheme="majorHAnsi"/>
          <w:bCs/>
          <w:iCs/>
          <w:sz w:val="24"/>
          <w:szCs w:val="24"/>
          <w:lang w:val="ru-MD"/>
        </w:rPr>
        <w:t xml:space="preserve">. </w:t>
      </w:r>
    </w:p>
    <w:p w14:paraId="0D0DC83D" w14:textId="2C43C160" w:rsidR="00462FA2" w:rsidRPr="00D32DD1" w:rsidRDefault="00447516" w:rsidP="00462FA2">
      <w:pPr>
        <w:autoSpaceDE w:val="0"/>
        <w:autoSpaceDN w:val="0"/>
        <w:adjustRightInd w:val="0"/>
        <w:spacing w:after="120"/>
        <w:jc w:val="both"/>
        <w:rPr>
          <w:rFonts w:asciiTheme="majorHAnsi" w:eastAsia="Times New Roman" w:hAnsiTheme="majorHAnsi" w:cstheme="majorHAnsi"/>
          <w:sz w:val="24"/>
          <w:szCs w:val="24"/>
          <w:lang w:val="ru-MD"/>
        </w:rPr>
      </w:pPr>
      <w:r w:rsidRPr="00D32DD1">
        <w:rPr>
          <w:rFonts w:asciiTheme="majorHAnsi" w:eastAsia="Times New Roman" w:hAnsiTheme="majorHAnsi" w:cstheme="majorHAnsi"/>
          <w:bCs/>
          <w:iCs/>
          <w:sz w:val="24"/>
          <w:szCs w:val="24"/>
          <w:lang w:val="ru-MD"/>
        </w:rPr>
        <w:t>Такая же</w:t>
      </w:r>
      <w:r w:rsidR="00A36DC3" w:rsidRPr="00D32DD1">
        <w:rPr>
          <w:rFonts w:asciiTheme="majorHAnsi" w:eastAsia="Times New Roman" w:hAnsiTheme="majorHAnsi" w:cstheme="majorHAnsi"/>
          <w:bCs/>
          <w:iCs/>
          <w:sz w:val="24"/>
          <w:szCs w:val="24"/>
          <w:lang w:val="ru-MD"/>
        </w:rPr>
        <w:t xml:space="preserve"> ситуация была констатирована аудитом и </w:t>
      </w:r>
      <w:r w:rsidRPr="00D32DD1">
        <w:rPr>
          <w:rFonts w:asciiTheme="majorHAnsi" w:eastAsia="Times New Roman" w:hAnsiTheme="majorHAnsi" w:cstheme="majorHAnsi"/>
          <w:bCs/>
          <w:iCs/>
          <w:sz w:val="24"/>
          <w:szCs w:val="24"/>
          <w:lang w:val="ru-MD"/>
        </w:rPr>
        <w:t xml:space="preserve">при </w:t>
      </w:r>
      <w:r w:rsidR="00A36DC3" w:rsidRPr="00D32DD1">
        <w:rPr>
          <w:rFonts w:asciiTheme="majorHAnsi" w:eastAsia="Times New Roman" w:hAnsiTheme="majorHAnsi" w:cstheme="majorHAnsi"/>
          <w:bCs/>
          <w:iCs/>
          <w:sz w:val="24"/>
          <w:szCs w:val="24"/>
          <w:lang w:val="ru-MD"/>
        </w:rPr>
        <w:t>анализ</w:t>
      </w:r>
      <w:r w:rsidRPr="00D32DD1">
        <w:rPr>
          <w:rFonts w:asciiTheme="majorHAnsi" w:eastAsia="Times New Roman" w:hAnsiTheme="majorHAnsi" w:cstheme="majorHAnsi"/>
          <w:bCs/>
          <w:iCs/>
          <w:sz w:val="24"/>
          <w:szCs w:val="24"/>
          <w:lang w:val="ru-MD"/>
        </w:rPr>
        <w:t>е</w:t>
      </w:r>
      <w:r w:rsidR="00A36DC3" w:rsidRPr="00D32DD1">
        <w:rPr>
          <w:rFonts w:asciiTheme="majorHAnsi" w:eastAsia="Times New Roman" w:hAnsiTheme="majorHAnsi" w:cstheme="majorHAnsi"/>
          <w:bCs/>
          <w:iCs/>
          <w:sz w:val="24"/>
          <w:szCs w:val="24"/>
          <w:lang w:val="ru-MD"/>
        </w:rPr>
        <w:t xml:space="preserve"> статистических данных </w:t>
      </w:r>
      <w:r w:rsidR="006322EA" w:rsidRPr="00D32DD1">
        <w:rPr>
          <w:rFonts w:asciiTheme="majorHAnsi" w:eastAsia="Times New Roman" w:hAnsiTheme="majorHAnsi" w:cstheme="majorHAnsi"/>
          <w:bCs/>
          <w:iCs/>
          <w:sz w:val="24"/>
          <w:szCs w:val="24"/>
          <w:lang w:val="ru-MD"/>
        </w:rPr>
        <w:t>за</w:t>
      </w:r>
      <w:r w:rsidR="00A36DC3" w:rsidRPr="00D32DD1">
        <w:rPr>
          <w:rFonts w:asciiTheme="majorHAnsi" w:eastAsia="Times New Roman" w:hAnsiTheme="majorHAnsi" w:cstheme="majorHAnsi"/>
          <w:bCs/>
          <w:iCs/>
          <w:sz w:val="24"/>
          <w:szCs w:val="24"/>
          <w:lang w:val="ru-MD"/>
        </w:rPr>
        <w:t xml:space="preserve"> 2019-2020 год</w:t>
      </w:r>
      <w:r w:rsidR="006322EA" w:rsidRPr="00D32DD1">
        <w:rPr>
          <w:rFonts w:asciiTheme="majorHAnsi" w:eastAsia="Times New Roman" w:hAnsiTheme="majorHAnsi" w:cstheme="majorHAnsi"/>
          <w:bCs/>
          <w:iCs/>
          <w:sz w:val="24"/>
          <w:szCs w:val="24"/>
          <w:lang w:val="ru-MD"/>
        </w:rPr>
        <w:t>ы</w:t>
      </w:r>
      <w:r w:rsidR="00A36DC3" w:rsidRPr="00D32DD1">
        <w:rPr>
          <w:rFonts w:asciiTheme="majorHAnsi" w:eastAsia="Times New Roman" w:hAnsiTheme="majorHAnsi" w:cstheme="majorHAnsi"/>
          <w:bCs/>
          <w:iCs/>
          <w:sz w:val="24"/>
          <w:szCs w:val="24"/>
          <w:lang w:val="ru-MD"/>
        </w:rPr>
        <w:t xml:space="preserve">, связанных с импортно-экспортными операциями, зарегистрированными в </w:t>
      </w:r>
      <w:r w:rsidRPr="00D32DD1">
        <w:rPr>
          <w:rFonts w:asciiTheme="majorHAnsi" w:eastAsia="Times New Roman" w:hAnsiTheme="majorHAnsi" w:cstheme="majorHAnsi"/>
          <w:bCs/>
          <w:iCs/>
          <w:sz w:val="24"/>
          <w:szCs w:val="24"/>
          <w:lang w:val="ru-MD"/>
        </w:rPr>
        <w:t>ТИИС</w:t>
      </w:r>
      <w:r w:rsidR="00A36DC3" w:rsidRPr="00D32DD1">
        <w:rPr>
          <w:rFonts w:asciiTheme="majorHAnsi" w:eastAsia="Times New Roman" w:hAnsiTheme="majorHAnsi" w:cstheme="majorHAnsi"/>
          <w:bCs/>
          <w:iCs/>
          <w:sz w:val="24"/>
          <w:szCs w:val="24"/>
          <w:lang w:val="ru-MD"/>
        </w:rPr>
        <w:t xml:space="preserve"> „Asycuda World” таможенным органом</w:t>
      </w:r>
      <w:r w:rsidR="006322EA" w:rsidRPr="00D32DD1">
        <w:rPr>
          <w:rFonts w:asciiTheme="majorHAnsi" w:eastAsia="Times New Roman" w:hAnsiTheme="majorHAnsi" w:cstheme="majorHAnsi"/>
          <w:bCs/>
          <w:iCs/>
          <w:sz w:val="24"/>
          <w:szCs w:val="24"/>
          <w:lang w:val="ru-MD"/>
        </w:rPr>
        <w:t>,</w:t>
      </w:r>
      <w:r w:rsidR="00A36DC3" w:rsidRPr="00D32DD1">
        <w:rPr>
          <w:rFonts w:asciiTheme="majorHAnsi" w:eastAsia="Times New Roman" w:hAnsiTheme="majorHAnsi" w:cstheme="majorHAnsi"/>
          <w:bCs/>
          <w:iCs/>
          <w:sz w:val="24"/>
          <w:szCs w:val="24"/>
          <w:lang w:val="ru-MD"/>
        </w:rPr>
        <w:t xml:space="preserve"> </w:t>
      </w:r>
      <w:r w:rsidR="006322EA" w:rsidRPr="00D32DD1">
        <w:rPr>
          <w:rFonts w:asciiTheme="majorHAnsi" w:eastAsia="Times New Roman" w:hAnsiTheme="majorHAnsi" w:cstheme="majorHAnsi"/>
          <w:bCs/>
          <w:iCs/>
          <w:sz w:val="24"/>
          <w:szCs w:val="24"/>
          <w:lang w:val="ru-MD"/>
        </w:rPr>
        <w:t>по</w:t>
      </w:r>
      <w:r w:rsidR="00A36DC3" w:rsidRPr="00D32DD1">
        <w:rPr>
          <w:rFonts w:asciiTheme="majorHAnsi" w:eastAsia="Times New Roman" w:hAnsiTheme="majorHAnsi" w:cstheme="majorHAnsi"/>
          <w:bCs/>
          <w:iCs/>
          <w:sz w:val="24"/>
          <w:szCs w:val="24"/>
          <w:lang w:val="ru-MD"/>
        </w:rPr>
        <w:t xml:space="preserve"> отношени</w:t>
      </w:r>
      <w:r w:rsidR="006322EA" w:rsidRPr="00D32DD1">
        <w:rPr>
          <w:rFonts w:asciiTheme="majorHAnsi" w:eastAsia="Times New Roman" w:hAnsiTheme="majorHAnsi" w:cstheme="majorHAnsi"/>
          <w:bCs/>
          <w:iCs/>
          <w:sz w:val="24"/>
          <w:szCs w:val="24"/>
          <w:lang w:val="ru-MD"/>
        </w:rPr>
        <w:t>ю</w:t>
      </w:r>
      <w:r w:rsidR="00A36DC3" w:rsidRPr="00D32DD1">
        <w:rPr>
          <w:rFonts w:asciiTheme="majorHAnsi" w:eastAsia="Times New Roman" w:hAnsiTheme="majorHAnsi" w:cstheme="majorHAnsi"/>
          <w:bCs/>
          <w:iCs/>
          <w:sz w:val="24"/>
          <w:szCs w:val="24"/>
          <w:lang w:val="ru-MD"/>
        </w:rPr>
        <w:t xml:space="preserve"> </w:t>
      </w:r>
      <w:r w:rsidR="006322EA" w:rsidRPr="00D32DD1">
        <w:rPr>
          <w:rFonts w:asciiTheme="majorHAnsi" w:eastAsia="Times New Roman" w:hAnsiTheme="majorHAnsi" w:cstheme="majorHAnsi"/>
          <w:bCs/>
          <w:iCs/>
          <w:sz w:val="24"/>
          <w:szCs w:val="24"/>
          <w:lang w:val="ru-MD"/>
        </w:rPr>
        <w:t xml:space="preserve">к </w:t>
      </w:r>
      <w:r w:rsidR="00A36DC3" w:rsidRPr="00D32DD1">
        <w:rPr>
          <w:rFonts w:asciiTheme="majorHAnsi" w:eastAsia="Times New Roman" w:hAnsiTheme="majorHAnsi" w:cstheme="majorHAnsi"/>
          <w:bCs/>
          <w:iCs/>
          <w:sz w:val="24"/>
          <w:szCs w:val="24"/>
          <w:lang w:val="ru-MD"/>
        </w:rPr>
        <w:t>статистически</w:t>
      </w:r>
      <w:r w:rsidR="006322EA" w:rsidRPr="00D32DD1">
        <w:rPr>
          <w:rFonts w:asciiTheme="majorHAnsi" w:eastAsia="Times New Roman" w:hAnsiTheme="majorHAnsi" w:cstheme="majorHAnsi"/>
          <w:bCs/>
          <w:iCs/>
          <w:sz w:val="24"/>
          <w:szCs w:val="24"/>
          <w:lang w:val="ru-MD"/>
        </w:rPr>
        <w:t>м</w:t>
      </w:r>
      <w:r w:rsidR="00A36DC3" w:rsidRPr="00D32DD1">
        <w:rPr>
          <w:rFonts w:asciiTheme="majorHAnsi" w:eastAsia="Times New Roman" w:hAnsiTheme="majorHAnsi" w:cstheme="majorHAnsi"/>
          <w:bCs/>
          <w:iCs/>
          <w:sz w:val="24"/>
          <w:szCs w:val="24"/>
          <w:lang w:val="ru-MD"/>
        </w:rPr>
        <w:t xml:space="preserve"> данны</w:t>
      </w:r>
      <w:r w:rsidR="006322EA" w:rsidRPr="00D32DD1">
        <w:rPr>
          <w:rFonts w:asciiTheme="majorHAnsi" w:eastAsia="Times New Roman" w:hAnsiTheme="majorHAnsi" w:cstheme="majorHAnsi"/>
          <w:bCs/>
          <w:iCs/>
          <w:sz w:val="24"/>
          <w:szCs w:val="24"/>
          <w:lang w:val="ru-MD"/>
        </w:rPr>
        <w:t>м</w:t>
      </w:r>
      <w:r w:rsidR="00A36DC3" w:rsidRPr="00D32DD1">
        <w:rPr>
          <w:rFonts w:asciiTheme="majorHAnsi" w:eastAsia="Times New Roman" w:hAnsiTheme="majorHAnsi" w:cstheme="majorHAnsi"/>
          <w:bCs/>
          <w:iCs/>
          <w:sz w:val="24"/>
          <w:szCs w:val="24"/>
          <w:lang w:val="ru-MD"/>
        </w:rPr>
        <w:t>, зарегистрированны</w:t>
      </w:r>
      <w:r w:rsidR="006322EA" w:rsidRPr="00D32DD1">
        <w:rPr>
          <w:rFonts w:asciiTheme="majorHAnsi" w:eastAsia="Times New Roman" w:hAnsiTheme="majorHAnsi" w:cstheme="majorHAnsi"/>
          <w:bCs/>
          <w:iCs/>
          <w:sz w:val="24"/>
          <w:szCs w:val="24"/>
          <w:lang w:val="ru-MD"/>
        </w:rPr>
        <w:t>м</w:t>
      </w:r>
      <w:r w:rsidR="00A36DC3" w:rsidRPr="00D32DD1">
        <w:rPr>
          <w:rFonts w:asciiTheme="majorHAnsi" w:eastAsia="Times New Roman" w:hAnsiTheme="majorHAnsi" w:cstheme="majorHAnsi"/>
          <w:bCs/>
          <w:iCs/>
          <w:sz w:val="24"/>
          <w:szCs w:val="24"/>
          <w:lang w:val="ru-MD"/>
        </w:rPr>
        <w:t xml:space="preserve"> таможенными органами других стран, что подтверждает </w:t>
      </w:r>
      <w:r w:rsidR="006322EA" w:rsidRPr="00D32DD1">
        <w:rPr>
          <w:rFonts w:asciiTheme="majorHAnsi" w:eastAsia="Times New Roman" w:hAnsiTheme="majorHAnsi" w:cstheme="majorHAnsi"/>
          <w:bCs/>
          <w:iCs/>
          <w:sz w:val="24"/>
          <w:szCs w:val="24"/>
          <w:lang w:val="ru-MD"/>
        </w:rPr>
        <w:t>установленные расхождения</w:t>
      </w:r>
      <w:r w:rsidR="00A36DC3" w:rsidRPr="00D32DD1">
        <w:rPr>
          <w:rFonts w:asciiTheme="majorHAnsi" w:eastAsia="Times New Roman" w:hAnsiTheme="majorHAnsi" w:cstheme="majorHAnsi"/>
          <w:bCs/>
          <w:iCs/>
          <w:sz w:val="24"/>
          <w:szCs w:val="24"/>
          <w:lang w:val="ru-MD"/>
        </w:rPr>
        <w:t xml:space="preserve"> на уровне </w:t>
      </w:r>
      <w:r w:rsidR="006322EA" w:rsidRPr="00D32DD1">
        <w:rPr>
          <w:rFonts w:asciiTheme="majorHAnsi" w:eastAsia="Times New Roman" w:hAnsiTheme="majorHAnsi" w:cstheme="majorHAnsi"/>
          <w:bCs/>
          <w:iCs/>
          <w:sz w:val="24"/>
          <w:szCs w:val="24"/>
          <w:lang w:val="ru-MD"/>
        </w:rPr>
        <w:t xml:space="preserve">отраженной выше </w:t>
      </w:r>
      <w:r w:rsidR="00A36DC3" w:rsidRPr="00D32DD1">
        <w:rPr>
          <w:rFonts w:asciiTheme="majorHAnsi" w:eastAsia="Times New Roman" w:hAnsiTheme="majorHAnsi" w:cstheme="majorHAnsi"/>
          <w:bCs/>
          <w:iCs/>
          <w:sz w:val="24"/>
          <w:szCs w:val="24"/>
          <w:lang w:val="ru-MD"/>
        </w:rPr>
        <w:t xml:space="preserve">официальной статистики, </w:t>
      </w:r>
      <w:r w:rsidR="006322EA" w:rsidRPr="00D32DD1">
        <w:rPr>
          <w:rFonts w:asciiTheme="majorHAnsi" w:eastAsia="Times New Roman" w:hAnsiTheme="majorHAnsi" w:cstheme="majorHAnsi"/>
          <w:bCs/>
          <w:iCs/>
          <w:sz w:val="24"/>
          <w:szCs w:val="24"/>
          <w:lang w:val="ru-MD"/>
        </w:rPr>
        <w:t>эта</w:t>
      </w:r>
      <w:r w:rsidR="00A36DC3" w:rsidRPr="00D32DD1">
        <w:rPr>
          <w:rFonts w:asciiTheme="majorHAnsi" w:eastAsia="Times New Roman" w:hAnsiTheme="majorHAnsi" w:cstheme="majorHAnsi"/>
          <w:bCs/>
          <w:iCs/>
          <w:sz w:val="24"/>
          <w:szCs w:val="24"/>
          <w:lang w:val="ru-MD"/>
        </w:rPr>
        <w:t xml:space="preserve"> ситуация вызывает тревогу</w:t>
      </w:r>
      <w:r w:rsidR="00462FA2" w:rsidRPr="00D32DD1">
        <w:rPr>
          <w:rFonts w:asciiTheme="majorHAnsi" w:eastAsia="Times New Roman" w:hAnsiTheme="majorHAnsi" w:cstheme="majorHAnsi"/>
          <w:bCs/>
          <w:iCs/>
          <w:sz w:val="24"/>
          <w:szCs w:val="24"/>
          <w:lang w:val="ru-MD"/>
        </w:rPr>
        <w:t xml:space="preserve">. </w:t>
      </w:r>
    </w:p>
    <w:p w14:paraId="64C7731F" w14:textId="67F4D5CB" w:rsidR="00462FA2" w:rsidRPr="00590477" w:rsidRDefault="00A36DC3" w:rsidP="00462FA2">
      <w:pPr>
        <w:autoSpaceDE w:val="0"/>
        <w:autoSpaceDN w:val="0"/>
        <w:adjustRightInd w:val="0"/>
        <w:spacing w:after="120"/>
        <w:jc w:val="both"/>
        <w:rPr>
          <w:rFonts w:asciiTheme="majorHAnsi" w:hAnsiTheme="majorHAnsi" w:cstheme="majorHAnsi"/>
          <w:color w:val="0D0D0D"/>
          <w:sz w:val="24"/>
          <w:szCs w:val="24"/>
          <w:lang w:val="ru-MD"/>
        </w:rPr>
      </w:pPr>
      <w:r w:rsidRPr="00590477">
        <w:rPr>
          <w:rFonts w:asciiTheme="majorHAnsi" w:eastAsia="Times New Roman" w:hAnsiTheme="majorHAnsi" w:cstheme="majorHAnsi"/>
          <w:sz w:val="24"/>
          <w:szCs w:val="24"/>
          <w:lang w:val="ru-MD"/>
        </w:rPr>
        <w:t>Вопреки положениям нормативных актов</w:t>
      </w:r>
      <w:r w:rsidR="00D32DD1" w:rsidRPr="00590477">
        <w:rPr>
          <w:rStyle w:val="FootnoteReference"/>
          <w:rFonts w:asciiTheme="majorHAnsi" w:hAnsiTheme="majorHAnsi" w:cstheme="majorHAnsi"/>
          <w:color w:val="000000"/>
          <w:sz w:val="24"/>
          <w:szCs w:val="24"/>
          <w:lang w:val="ru-MD"/>
        </w:rPr>
        <w:footnoteReference w:id="26"/>
      </w:r>
      <w:r w:rsidRPr="00590477">
        <w:rPr>
          <w:rFonts w:asciiTheme="majorHAnsi" w:eastAsia="Times New Roman" w:hAnsiTheme="majorHAnsi" w:cstheme="majorHAnsi"/>
          <w:sz w:val="24"/>
          <w:szCs w:val="24"/>
          <w:lang w:val="ru-MD"/>
        </w:rPr>
        <w:t xml:space="preserve">, </w:t>
      </w:r>
      <w:r w:rsidR="00D32DD1" w:rsidRPr="00590477">
        <w:rPr>
          <w:rFonts w:asciiTheme="majorHAnsi" w:eastAsia="Times New Roman" w:hAnsiTheme="majorHAnsi" w:cstheme="majorHAnsi"/>
          <w:sz w:val="24"/>
          <w:szCs w:val="24"/>
          <w:lang w:val="ru-MD"/>
        </w:rPr>
        <w:t>ТС</w:t>
      </w:r>
      <w:r w:rsidRPr="00590477">
        <w:rPr>
          <w:rFonts w:asciiTheme="majorHAnsi" w:eastAsia="Times New Roman" w:hAnsiTheme="majorHAnsi" w:cstheme="majorHAnsi"/>
          <w:sz w:val="24"/>
          <w:szCs w:val="24"/>
          <w:lang w:val="ru-MD"/>
        </w:rPr>
        <w:t xml:space="preserve"> и МФ </w:t>
      </w:r>
      <w:r w:rsidR="00D32DD1" w:rsidRPr="00590477">
        <w:rPr>
          <w:rFonts w:asciiTheme="majorHAnsi" w:eastAsia="Times New Roman" w:hAnsiTheme="majorHAnsi" w:cstheme="majorHAnsi"/>
          <w:sz w:val="24"/>
          <w:szCs w:val="24"/>
          <w:lang w:val="ru-MD"/>
        </w:rPr>
        <w:t>на протяжении</w:t>
      </w:r>
      <w:r w:rsidRPr="00590477">
        <w:rPr>
          <w:rFonts w:asciiTheme="majorHAnsi" w:eastAsia="Times New Roman" w:hAnsiTheme="majorHAnsi" w:cstheme="majorHAnsi"/>
          <w:sz w:val="24"/>
          <w:szCs w:val="24"/>
          <w:lang w:val="ru-MD"/>
        </w:rPr>
        <w:t xml:space="preserve"> шести лет не реализуют поставленные в </w:t>
      </w:r>
      <w:r w:rsidR="00293091" w:rsidRPr="00590477">
        <w:rPr>
          <w:rFonts w:asciiTheme="majorHAnsi" w:eastAsia="Times New Roman" w:hAnsiTheme="majorHAnsi" w:cstheme="majorHAnsi"/>
          <w:sz w:val="24"/>
          <w:szCs w:val="24"/>
          <w:lang w:val="ru-MD"/>
        </w:rPr>
        <w:t>П</w:t>
      </w:r>
      <w:r w:rsidRPr="00590477">
        <w:rPr>
          <w:rFonts w:asciiTheme="majorHAnsi" w:eastAsia="Times New Roman" w:hAnsiTheme="majorHAnsi" w:cstheme="majorHAnsi"/>
          <w:sz w:val="24"/>
          <w:szCs w:val="24"/>
          <w:lang w:val="ru-MD"/>
        </w:rPr>
        <w:t>ланах действий Правительства цели, а именно</w:t>
      </w:r>
      <w:r w:rsidR="00293091" w:rsidRPr="00590477">
        <w:rPr>
          <w:rFonts w:asciiTheme="majorHAnsi" w:eastAsia="Times New Roman" w:hAnsiTheme="majorHAnsi" w:cstheme="majorHAnsi"/>
          <w:sz w:val="24"/>
          <w:szCs w:val="24"/>
          <w:lang w:val="ru-MD"/>
        </w:rPr>
        <w:t>,</w:t>
      </w:r>
      <w:r w:rsidRPr="00590477">
        <w:rPr>
          <w:rFonts w:asciiTheme="majorHAnsi" w:eastAsia="Times New Roman" w:hAnsiTheme="majorHAnsi" w:cstheme="majorHAnsi"/>
          <w:sz w:val="24"/>
          <w:szCs w:val="24"/>
          <w:lang w:val="ru-MD"/>
        </w:rPr>
        <w:t xml:space="preserve"> не разработали функциональные информационные системы для обеспечения предварительного обмена данными об импорте-экспорте с государствами-членами ЕС, Белоруссией и Российской Федерацией, а со странами</w:t>
      </w:r>
      <w:r w:rsidR="00590477" w:rsidRPr="00590477">
        <w:rPr>
          <w:rFonts w:asciiTheme="majorHAnsi" w:eastAsia="Times New Roman" w:hAnsiTheme="majorHAnsi" w:cstheme="majorHAnsi"/>
          <w:sz w:val="24"/>
          <w:szCs w:val="24"/>
          <w:lang w:val="ru-MD"/>
        </w:rPr>
        <w:t xml:space="preserve">-членами </w:t>
      </w:r>
      <w:r w:rsidRPr="00590477">
        <w:rPr>
          <w:rFonts w:asciiTheme="majorHAnsi" w:eastAsia="Times New Roman" w:hAnsiTheme="majorHAnsi" w:cstheme="majorHAnsi"/>
          <w:sz w:val="24"/>
          <w:szCs w:val="24"/>
          <w:lang w:val="ru-MD"/>
        </w:rPr>
        <w:t>Г</w:t>
      </w:r>
      <w:r w:rsidR="00293091" w:rsidRPr="00590477">
        <w:rPr>
          <w:rFonts w:asciiTheme="majorHAnsi" w:eastAsia="Times New Roman" w:hAnsiTheme="majorHAnsi" w:cstheme="majorHAnsi"/>
          <w:sz w:val="24"/>
          <w:szCs w:val="24"/>
          <w:lang w:val="ru-MD"/>
        </w:rPr>
        <w:t>УАМ</w:t>
      </w:r>
      <w:r w:rsidR="00293091" w:rsidRPr="00590477">
        <w:rPr>
          <w:rStyle w:val="FootnoteReference"/>
          <w:rFonts w:asciiTheme="majorHAnsi" w:eastAsia="Times New Roman" w:hAnsiTheme="majorHAnsi" w:cstheme="majorHAnsi"/>
          <w:sz w:val="24"/>
          <w:szCs w:val="24"/>
          <w:lang w:val="ru-MD"/>
        </w:rPr>
        <w:footnoteReference w:id="27"/>
      </w:r>
      <w:r w:rsidR="00590477" w:rsidRPr="00590477">
        <w:rPr>
          <w:rFonts w:asciiTheme="majorHAnsi" w:eastAsia="Times New Roman" w:hAnsiTheme="majorHAnsi" w:cstheme="majorHAnsi"/>
          <w:sz w:val="24"/>
          <w:szCs w:val="24"/>
          <w:lang w:val="ru-MD"/>
        </w:rPr>
        <w:t>,</w:t>
      </w:r>
      <w:r w:rsidR="00293091" w:rsidRPr="00590477">
        <w:rPr>
          <w:rFonts w:asciiTheme="majorHAnsi" w:eastAsia="Times New Roman" w:hAnsiTheme="majorHAnsi" w:cstheme="majorHAnsi"/>
          <w:sz w:val="24"/>
          <w:szCs w:val="24"/>
          <w:lang w:val="ru-MD"/>
        </w:rPr>
        <w:t xml:space="preserve"> </w:t>
      </w:r>
      <w:r w:rsidRPr="00590477">
        <w:rPr>
          <w:rFonts w:asciiTheme="majorHAnsi" w:eastAsia="Times New Roman" w:hAnsiTheme="majorHAnsi" w:cstheme="majorHAnsi"/>
          <w:sz w:val="24"/>
          <w:szCs w:val="24"/>
          <w:lang w:val="ru-MD"/>
        </w:rPr>
        <w:t xml:space="preserve">18.01.2022 </w:t>
      </w:r>
      <w:r w:rsidR="00293091" w:rsidRPr="00590477">
        <w:rPr>
          <w:rFonts w:asciiTheme="majorHAnsi" w:eastAsia="Times New Roman" w:hAnsiTheme="majorHAnsi" w:cstheme="majorHAnsi"/>
          <w:sz w:val="24"/>
          <w:szCs w:val="24"/>
          <w:lang w:val="ru-MD"/>
        </w:rPr>
        <w:t xml:space="preserve">было </w:t>
      </w:r>
      <w:r w:rsidRPr="00590477">
        <w:rPr>
          <w:rFonts w:asciiTheme="majorHAnsi" w:eastAsia="Times New Roman" w:hAnsiTheme="majorHAnsi" w:cstheme="majorHAnsi"/>
          <w:sz w:val="24"/>
          <w:szCs w:val="24"/>
          <w:lang w:val="ru-MD"/>
        </w:rPr>
        <w:t>разработан</w:t>
      </w:r>
      <w:r w:rsidR="00293091" w:rsidRPr="00590477">
        <w:rPr>
          <w:rFonts w:asciiTheme="majorHAnsi" w:eastAsia="Times New Roman" w:hAnsiTheme="majorHAnsi" w:cstheme="majorHAnsi"/>
          <w:sz w:val="24"/>
          <w:szCs w:val="24"/>
          <w:lang w:val="ru-MD"/>
        </w:rPr>
        <w:t>о</w:t>
      </w:r>
      <w:r w:rsidRPr="00590477">
        <w:rPr>
          <w:rFonts w:asciiTheme="majorHAnsi" w:eastAsia="Times New Roman" w:hAnsiTheme="majorHAnsi" w:cstheme="majorHAnsi"/>
          <w:sz w:val="24"/>
          <w:szCs w:val="24"/>
          <w:lang w:val="ru-MD"/>
        </w:rPr>
        <w:t xml:space="preserve"> </w:t>
      </w:r>
      <w:r w:rsidR="00293091" w:rsidRPr="00590477">
        <w:rPr>
          <w:rFonts w:asciiTheme="majorHAnsi" w:eastAsia="Times New Roman" w:hAnsiTheme="majorHAnsi" w:cstheme="majorHAnsi"/>
          <w:sz w:val="24"/>
          <w:szCs w:val="24"/>
          <w:lang w:val="ru-MD"/>
        </w:rPr>
        <w:t>техническое задание</w:t>
      </w:r>
      <w:r w:rsidRPr="00590477">
        <w:rPr>
          <w:rFonts w:asciiTheme="majorHAnsi" w:eastAsia="Times New Roman" w:hAnsiTheme="majorHAnsi" w:cstheme="majorHAnsi"/>
          <w:sz w:val="24"/>
          <w:szCs w:val="24"/>
          <w:lang w:val="ru-MD"/>
        </w:rPr>
        <w:t>, необходим</w:t>
      </w:r>
      <w:r w:rsidR="00293091" w:rsidRPr="00590477">
        <w:rPr>
          <w:rFonts w:asciiTheme="majorHAnsi" w:eastAsia="Times New Roman" w:hAnsiTheme="majorHAnsi" w:cstheme="majorHAnsi"/>
          <w:sz w:val="24"/>
          <w:szCs w:val="24"/>
          <w:lang w:val="ru-MD"/>
        </w:rPr>
        <w:t>ое</w:t>
      </w:r>
      <w:r w:rsidRPr="00590477">
        <w:rPr>
          <w:rFonts w:asciiTheme="majorHAnsi" w:eastAsia="Times New Roman" w:hAnsiTheme="majorHAnsi" w:cstheme="majorHAnsi"/>
          <w:sz w:val="24"/>
          <w:szCs w:val="24"/>
          <w:lang w:val="ru-MD"/>
        </w:rPr>
        <w:t xml:space="preserve"> для осуществления обмена данными. </w:t>
      </w:r>
      <w:r w:rsidR="00590477" w:rsidRPr="00590477">
        <w:rPr>
          <w:rFonts w:asciiTheme="majorHAnsi" w:eastAsia="Times New Roman" w:hAnsiTheme="majorHAnsi" w:cstheme="majorHAnsi"/>
          <w:sz w:val="24"/>
          <w:szCs w:val="24"/>
          <w:lang w:val="ru-MD"/>
        </w:rPr>
        <w:t>Таким образом,</w:t>
      </w:r>
      <w:r w:rsidRPr="00590477">
        <w:rPr>
          <w:rFonts w:asciiTheme="majorHAnsi" w:eastAsia="Times New Roman" w:hAnsiTheme="majorHAnsi" w:cstheme="majorHAnsi"/>
          <w:sz w:val="24"/>
          <w:szCs w:val="24"/>
          <w:lang w:val="ru-MD"/>
        </w:rPr>
        <w:t xml:space="preserve"> действия и под</w:t>
      </w:r>
      <w:r w:rsidR="00590477" w:rsidRPr="00590477">
        <w:rPr>
          <w:rFonts w:asciiTheme="majorHAnsi" w:eastAsia="Times New Roman" w:hAnsiTheme="majorHAnsi" w:cstheme="majorHAnsi"/>
          <w:sz w:val="24"/>
          <w:szCs w:val="24"/>
          <w:lang w:val="ru-MD"/>
        </w:rPr>
        <w:t>действия</w:t>
      </w:r>
      <w:r w:rsidRPr="00590477">
        <w:rPr>
          <w:rFonts w:asciiTheme="majorHAnsi" w:eastAsia="Times New Roman" w:hAnsiTheme="majorHAnsi" w:cstheme="majorHAnsi"/>
          <w:sz w:val="24"/>
          <w:szCs w:val="24"/>
          <w:lang w:val="ru-MD"/>
        </w:rPr>
        <w:t xml:space="preserve"> </w:t>
      </w:r>
      <w:r w:rsidR="00293091" w:rsidRPr="00590477">
        <w:rPr>
          <w:rFonts w:asciiTheme="majorHAnsi" w:eastAsia="Times New Roman" w:hAnsiTheme="majorHAnsi" w:cstheme="majorHAnsi"/>
          <w:sz w:val="24"/>
          <w:szCs w:val="24"/>
          <w:lang w:val="ru-MD"/>
        </w:rPr>
        <w:t>из</w:t>
      </w:r>
      <w:r w:rsidRPr="00590477">
        <w:rPr>
          <w:rFonts w:asciiTheme="majorHAnsi" w:eastAsia="Times New Roman" w:hAnsiTheme="majorHAnsi" w:cstheme="majorHAnsi"/>
          <w:sz w:val="24"/>
          <w:szCs w:val="24"/>
          <w:lang w:val="ru-MD"/>
        </w:rPr>
        <w:t xml:space="preserve"> годовых планов деятельности </w:t>
      </w:r>
      <w:r w:rsidR="00293091" w:rsidRPr="00590477">
        <w:rPr>
          <w:rFonts w:asciiTheme="majorHAnsi" w:eastAsia="Times New Roman" w:hAnsiTheme="majorHAnsi" w:cstheme="majorHAnsi"/>
          <w:sz w:val="24"/>
          <w:szCs w:val="24"/>
          <w:lang w:val="ru-MD"/>
        </w:rPr>
        <w:t>ТС</w:t>
      </w:r>
      <w:r w:rsidRPr="00590477">
        <w:rPr>
          <w:rFonts w:asciiTheme="majorHAnsi" w:eastAsia="Times New Roman" w:hAnsiTheme="majorHAnsi" w:cstheme="majorHAnsi"/>
          <w:sz w:val="24"/>
          <w:szCs w:val="24"/>
          <w:lang w:val="ru-MD"/>
        </w:rPr>
        <w:t xml:space="preserve"> и МФ по развитию автоматизированного обмена таможенной информацией с другими государствами, а также сообщаемые показатели продук</w:t>
      </w:r>
      <w:r w:rsidR="00590477" w:rsidRPr="00590477">
        <w:rPr>
          <w:rFonts w:asciiTheme="majorHAnsi" w:eastAsia="Times New Roman" w:hAnsiTheme="majorHAnsi" w:cstheme="majorHAnsi"/>
          <w:sz w:val="24"/>
          <w:szCs w:val="24"/>
          <w:lang w:val="ru-MD"/>
        </w:rPr>
        <w:t>та</w:t>
      </w:r>
      <w:r w:rsidRPr="00590477">
        <w:rPr>
          <w:rFonts w:asciiTheme="majorHAnsi" w:eastAsia="Times New Roman" w:hAnsiTheme="majorHAnsi" w:cstheme="majorHAnsi"/>
          <w:sz w:val="24"/>
          <w:szCs w:val="24"/>
          <w:lang w:val="ru-MD"/>
        </w:rPr>
        <w:t xml:space="preserve"> (функциональные информационные системы) </w:t>
      </w:r>
      <w:r w:rsidR="00590477" w:rsidRPr="00590477">
        <w:rPr>
          <w:rFonts w:asciiTheme="majorHAnsi" w:eastAsia="Times New Roman" w:hAnsiTheme="majorHAnsi" w:cstheme="majorHAnsi"/>
          <w:sz w:val="24"/>
          <w:szCs w:val="24"/>
          <w:lang w:val="ru-MD"/>
        </w:rPr>
        <w:t>за</w:t>
      </w:r>
      <w:r w:rsidRPr="00590477">
        <w:rPr>
          <w:rFonts w:asciiTheme="majorHAnsi" w:eastAsia="Times New Roman" w:hAnsiTheme="majorHAnsi" w:cstheme="majorHAnsi"/>
          <w:sz w:val="24"/>
          <w:szCs w:val="24"/>
          <w:lang w:val="ru-MD"/>
        </w:rPr>
        <w:t xml:space="preserve"> последние годы не </w:t>
      </w:r>
      <w:r w:rsidR="00590477" w:rsidRPr="00590477">
        <w:rPr>
          <w:rFonts w:asciiTheme="majorHAnsi" w:eastAsia="Times New Roman" w:hAnsiTheme="majorHAnsi" w:cstheme="majorHAnsi"/>
          <w:sz w:val="24"/>
          <w:szCs w:val="24"/>
          <w:lang w:val="ru-MD"/>
        </w:rPr>
        <w:t xml:space="preserve">были </w:t>
      </w:r>
      <w:r w:rsidRPr="00590477">
        <w:rPr>
          <w:rFonts w:asciiTheme="majorHAnsi" w:eastAsia="Times New Roman" w:hAnsiTheme="majorHAnsi" w:cstheme="majorHAnsi"/>
          <w:sz w:val="24"/>
          <w:szCs w:val="24"/>
          <w:lang w:val="ru-MD"/>
        </w:rPr>
        <w:t>реализованы</w:t>
      </w:r>
      <w:r w:rsidR="00462FA2" w:rsidRPr="00590477">
        <w:rPr>
          <w:rFonts w:asciiTheme="majorHAnsi" w:hAnsiTheme="majorHAnsi" w:cstheme="majorHAnsi"/>
          <w:color w:val="0D0D0D"/>
          <w:sz w:val="24"/>
          <w:szCs w:val="24"/>
          <w:lang w:val="ru-MD"/>
        </w:rPr>
        <w:t xml:space="preserve">. </w:t>
      </w:r>
    </w:p>
    <w:p w14:paraId="5298577C" w14:textId="0257807E" w:rsidR="00462FA2" w:rsidRPr="007232E5" w:rsidRDefault="00A36DC3" w:rsidP="00462FA2">
      <w:pPr>
        <w:autoSpaceDE w:val="0"/>
        <w:autoSpaceDN w:val="0"/>
        <w:adjustRightInd w:val="0"/>
        <w:spacing w:after="120"/>
        <w:jc w:val="both"/>
        <w:rPr>
          <w:rFonts w:asciiTheme="majorHAnsi" w:eastAsia="Times New Roman" w:hAnsiTheme="majorHAnsi" w:cstheme="majorHAnsi"/>
          <w:sz w:val="24"/>
          <w:szCs w:val="24"/>
          <w:lang w:val="ru-MD"/>
        </w:rPr>
      </w:pPr>
      <w:r w:rsidRPr="007232E5">
        <w:rPr>
          <w:rFonts w:asciiTheme="majorHAnsi" w:hAnsiTheme="majorHAnsi" w:cstheme="majorHAnsi"/>
          <w:color w:val="0D0D0D"/>
          <w:sz w:val="24"/>
          <w:szCs w:val="24"/>
          <w:lang w:val="ru-MD"/>
        </w:rPr>
        <w:t>Следует отметить, что для полного документального подтверждения импортно-экспортных операций</w:t>
      </w:r>
      <w:r w:rsidR="007232E5" w:rsidRPr="007232E5">
        <w:rPr>
          <w:rFonts w:asciiTheme="majorHAnsi" w:hAnsiTheme="majorHAnsi" w:cstheme="majorHAnsi"/>
          <w:color w:val="0D0D0D"/>
          <w:sz w:val="24"/>
          <w:szCs w:val="24"/>
          <w:lang w:val="ru-MD"/>
        </w:rPr>
        <w:t>,</w:t>
      </w:r>
      <w:r w:rsidRPr="007232E5">
        <w:rPr>
          <w:rFonts w:asciiTheme="majorHAnsi" w:hAnsiTheme="majorHAnsi" w:cstheme="majorHAnsi"/>
          <w:color w:val="0D0D0D"/>
          <w:sz w:val="24"/>
          <w:szCs w:val="24"/>
          <w:lang w:val="ru-MD"/>
        </w:rPr>
        <w:t xml:space="preserve"> в бухгалтерском учете</w:t>
      </w:r>
      <w:r w:rsidR="007232E5" w:rsidRPr="007232E5">
        <w:rPr>
          <w:rFonts w:asciiTheme="majorHAnsi" w:hAnsiTheme="majorHAnsi" w:cstheme="majorHAnsi"/>
          <w:color w:val="0D0D0D"/>
          <w:sz w:val="24"/>
          <w:szCs w:val="24"/>
          <w:lang w:val="ru-MD"/>
        </w:rPr>
        <w:t xml:space="preserve"> ТС</w:t>
      </w:r>
      <w:r w:rsidRPr="007232E5">
        <w:rPr>
          <w:rFonts w:asciiTheme="majorHAnsi" w:hAnsiTheme="majorHAnsi" w:cstheme="majorHAnsi"/>
          <w:color w:val="0D0D0D"/>
          <w:sz w:val="24"/>
          <w:szCs w:val="24"/>
          <w:lang w:val="ru-MD"/>
        </w:rPr>
        <w:t xml:space="preserve"> фигурирует информационная система </w:t>
      </w:r>
      <w:r w:rsidR="007232E5" w:rsidRPr="007232E5">
        <w:rPr>
          <w:rFonts w:asciiTheme="majorHAnsi" w:eastAsia="Times New Roman" w:hAnsiTheme="majorHAnsi" w:cstheme="majorHAnsi"/>
          <w:sz w:val="24"/>
          <w:szCs w:val="24"/>
          <w:lang w:val="ru-MD"/>
        </w:rPr>
        <w:t>„</w:t>
      </w:r>
      <w:r w:rsidR="007232E5" w:rsidRPr="007232E5">
        <w:rPr>
          <w:rFonts w:asciiTheme="majorHAnsi" w:hAnsiTheme="majorHAnsi" w:cstheme="majorHAnsi"/>
          <w:color w:val="0D0D0D"/>
          <w:sz w:val="24"/>
          <w:szCs w:val="24"/>
          <w:lang w:val="ru-MD"/>
        </w:rPr>
        <w:t>О</w:t>
      </w:r>
      <w:r w:rsidRPr="007232E5">
        <w:rPr>
          <w:rFonts w:asciiTheme="majorHAnsi" w:hAnsiTheme="majorHAnsi" w:cstheme="majorHAnsi"/>
          <w:color w:val="0D0D0D"/>
          <w:sz w:val="24"/>
          <w:szCs w:val="24"/>
          <w:lang w:val="ru-MD"/>
        </w:rPr>
        <w:t xml:space="preserve">бмен </w:t>
      </w:r>
      <w:r w:rsidR="007232E5" w:rsidRPr="007232E5">
        <w:rPr>
          <w:rFonts w:asciiTheme="majorHAnsi" w:hAnsiTheme="majorHAnsi" w:cstheme="majorHAnsi"/>
          <w:color w:val="0D0D0D"/>
          <w:sz w:val="24"/>
          <w:szCs w:val="24"/>
          <w:lang w:val="ru-MD"/>
        </w:rPr>
        <w:t>данными</w:t>
      </w:r>
      <w:r w:rsidRPr="007232E5">
        <w:rPr>
          <w:rFonts w:asciiTheme="majorHAnsi" w:hAnsiTheme="majorHAnsi" w:cstheme="majorHAnsi"/>
          <w:color w:val="0D0D0D"/>
          <w:sz w:val="24"/>
          <w:szCs w:val="24"/>
          <w:lang w:val="ru-MD"/>
        </w:rPr>
        <w:t xml:space="preserve"> о сертификатах происхождения с Российской Федерацией</w:t>
      </w:r>
      <w:r w:rsidR="007232E5" w:rsidRPr="007232E5">
        <w:rPr>
          <w:rFonts w:asciiTheme="majorHAnsi" w:eastAsia="Times New Roman" w:hAnsiTheme="majorHAnsi" w:cstheme="majorHAnsi"/>
          <w:sz w:val="24"/>
          <w:szCs w:val="24"/>
          <w:lang w:val="ru-MD"/>
        </w:rPr>
        <w:t>”</w:t>
      </w:r>
      <w:r w:rsidRPr="007232E5">
        <w:rPr>
          <w:rFonts w:asciiTheme="majorHAnsi" w:hAnsiTheme="majorHAnsi" w:cstheme="majorHAnsi"/>
          <w:color w:val="0D0D0D"/>
          <w:sz w:val="24"/>
          <w:szCs w:val="24"/>
          <w:lang w:val="ru-MD"/>
        </w:rPr>
        <w:t xml:space="preserve"> и информационная система </w:t>
      </w:r>
      <w:r w:rsidR="007232E5" w:rsidRPr="007232E5">
        <w:rPr>
          <w:rFonts w:asciiTheme="majorHAnsi" w:eastAsia="Times New Roman" w:hAnsiTheme="majorHAnsi" w:cstheme="majorHAnsi"/>
          <w:sz w:val="24"/>
          <w:szCs w:val="24"/>
          <w:lang w:val="ru-MD"/>
        </w:rPr>
        <w:t>„О</w:t>
      </w:r>
      <w:r w:rsidRPr="007232E5">
        <w:rPr>
          <w:rFonts w:asciiTheme="majorHAnsi" w:hAnsiTheme="majorHAnsi" w:cstheme="majorHAnsi"/>
          <w:color w:val="0D0D0D"/>
          <w:sz w:val="24"/>
          <w:szCs w:val="24"/>
          <w:lang w:val="ru-MD"/>
        </w:rPr>
        <w:t xml:space="preserve">бмен </w:t>
      </w:r>
      <w:r w:rsidR="007232E5" w:rsidRPr="007232E5">
        <w:rPr>
          <w:rFonts w:asciiTheme="majorHAnsi" w:hAnsiTheme="majorHAnsi" w:cstheme="majorHAnsi"/>
          <w:color w:val="0D0D0D"/>
          <w:sz w:val="24"/>
          <w:szCs w:val="24"/>
          <w:lang w:val="ru-MD"/>
        </w:rPr>
        <w:t>данными</w:t>
      </w:r>
      <w:r w:rsidRPr="007232E5">
        <w:rPr>
          <w:rFonts w:asciiTheme="majorHAnsi" w:hAnsiTheme="majorHAnsi" w:cstheme="majorHAnsi"/>
          <w:color w:val="0D0D0D"/>
          <w:sz w:val="24"/>
          <w:szCs w:val="24"/>
          <w:lang w:val="ru-MD"/>
        </w:rPr>
        <w:t xml:space="preserve"> о сертификатах происхождения с Украиной</w:t>
      </w:r>
      <w:r w:rsidR="007232E5" w:rsidRPr="007232E5">
        <w:rPr>
          <w:rFonts w:asciiTheme="majorHAnsi" w:eastAsia="Times New Roman" w:hAnsiTheme="majorHAnsi" w:cstheme="majorHAnsi"/>
          <w:sz w:val="24"/>
          <w:szCs w:val="24"/>
          <w:lang w:val="ru-MD"/>
        </w:rPr>
        <w:t xml:space="preserve">”, </w:t>
      </w:r>
      <w:r w:rsidRPr="007232E5">
        <w:rPr>
          <w:rFonts w:asciiTheme="majorHAnsi" w:hAnsiTheme="majorHAnsi" w:cstheme="majorHAnsi"/>
          <w:color w:val="0D0D0D"/>
          <w:sz w:val="24"/>
          <w:szCs w:val="24"/>
          <w:lang w:val="ru-MD"/>
        </w:rPr>
        <w:t>первоначальн</w:t>
      </w:r>
      <w:r w:rsidR="007232E5" w:rsidRPr="007232E5">
        <w:rPr>
          <w:rFonts w:asciiTheme="majorHAnsi" w:hAnsiTheme="majorHAnsi" w:cstheme="majorHAnsi"/>
          <w:color w:val="0D0D0D"/>
          <w:sz w:val="24"/>
          <w:szCs w:val="24"/>
          <w:lang w:val="ru-MD"/>
        </w:rPr>
        <w:t>ая</w:t>
      </w:r>
      <w:r w:rsidRPr="007232E5">
        <w:rPr>
          <w:rFonts w:asciiTheme="majorHAnsi" w:hAnsiTheme="majorHAnsi" w:cstheme="majorHAnsi"/>
          <w:color w:val="0D0D0D"/>
          <w:sz w:val="24"/>
          <w:szCs w:val="24"/>
          <w:lang w:val="ru-MD"/>
        </w:rPr>
        <w:t xml:space="preserve"> стоимость нематериальных активов </w:t>
      </w:r>
      <w:r w:rsidR="007232E5" w:rsidRPr="007232E5">
        <w:rPr>
          <w:rFonts w:asciiTheme="majorHAnsi" w:hAnsiTheme="majorHAnsi" w:cstheme="majorHAnsi"/>
          <w:color w:val="0D0D0D"/>
          <w:sz w:val="24"/>
          <w:szCs w:val="24"/>
          <w:lang w:val="ru-MD"/>
        </w:rPr>
        <w:t>составляет</w:t>
      </w:r>
      <w:r w:rsidRPr="007232E5">
        <w:rPr>
          <w:rFonts w:asciiTheme="majorHAnsi" w:hAnsiTheme="majorHAnsi" w:cstheme="majorHAnsi"/>
          <w:color w:val="0D0D0D"/>
          <w:sz w:val="24"/>
          <w:szCs w:val="24"/>
          <w:lang w:val="ru-MD"/>
        </w:rPr>
        <w:t xml:space="preserve"> 356,5 тыс. леев</w:t>
      </w:r>
      <w:r w:rsidR="00462FA2" w:rsidRPr="007232E5">
        <w:rPr>
          <w:rFonts w:asciiTheme="majorHAnsi" w:eastAsia="Times New Roman" w:hAnsiTheme="majorHAnsi" w:cstheme="majorHAnsi"/>
          <w:sz w:val="24"/>
          <w:szCs w:val="24"/>
          <w:lang w:val="ru-MD"/>
        </w:rPr>
        <w:t>.</w:t>
      </w:r>
    </w:p>
    <w:p w14:paraId="3961071D" w14:textId="569467B4" w:rsidR="00462FA2" w:rsidRPr="007232E5" w:rsidRDefault="00A36DC3" w:rsidP="00462FA2">
      <w:pPr>
        <w:autoSpaceDE w:val="0"/>
        <w:autoSpaceDN w:val="0"/>
        <w:adjustRightInd w:val="0"/>
        <w:spacing w:after="120"/>
        <w:jc w:val="both"/>
        <w:rPr>
          <w:rFonts w:asciiTheme="majorHAnsi" w:hAnsiTheme="majorHAnsi" w:cstheme="majorHAnsi"/>
          <w:sz w:val="24"/>
          <w:szCs w:val="24"/>
          <w:lang w:val="ru-MD"/>
        </w:rPr>
      </w:pPr>
      <w:r w:rsidRPr="007232E5">
        <w:rPr>
          <w:rFonts w:asciiTheme="majorHAnsi" w:hAnsiTheme="majorHAnsi" w:cstheme="majorHAnsi"/>
          <w:sz w:val="24"/>
          <w:szCs w:val="24"/>
          <w:lang w:val="ru-MD" w:eastAsia="ru-RU"/>
        </w:rPr>
        <w:t xml:space="preserve">Аудит </w:t>
      </w:r>
      <w:r w:rsidR="007232E5" w:rsidRPr="007232E5">
        <w:rPr>
          <w:rFonts w:asciiTheme="majorHAnsi" w:hAnsiTheme="majorHAnsi" w:cstheme="majorHAnsi"/>
          <w:sz w:val="24"/>
          <w:szCs w:val="24"/>
          <w:lang w:val="ru-MD" w:eastAsia="ru-RU"/>
        </w:rPr>
        <w:t>дел</w:t>
      </w:r>
      <w:r w:rsidRPr="007232E5">
        <w:rPr>
          <w:rFonts w:asciiTheme="majorHAnsi" w:hAnsiTheme="majorHAnsi" w:cstheme="majorHAnsi"/>
          <w:sz w:val="24"/>
          <w:szCs w:val="24"/>
          <w:lang w:val="ru-MD" w:eastAsia="ru-RU"/>
        </w:rPr>
        <w:t>ает</w:t>
      </w:r>
      <w:r w:rsidR="007232E5" w:rsidRPr="007232E5">
        <w:rPr>
          <w:rFonts w:asciiTheme="majorHAnsi" w:hAnsiTheme="majorHAnsi" w:cstheme="majorHAnsi"/>
          <w:sz w:val="24"/>
          <w:szCs w:val="24"/>
          <w:lang w:val="ru-MD" w:eastAsia="ru-RU"/>
        </w:rPr>
        <w:t xml:space="preserve"> вывод о том</w:t>
      </w:r>
      <w:r w:rsidRPr="007232E5">
        <w:rPr>
          <w:rFonts w:asciiTheme="majorHAnsi" w:hAnsiTheme="majorHAnsi" w:cstheme="majorHAnsi"/>
          <w:sz w:val="24"/>
          <w:szCs w:val="24"/>
          <w:lang w:val="ru-MD" w:eastAsia="ru-RU"/>
        </w:rPr>
        <w:t xml:space="preserve">, что одной из причин </w:t>
      </w:r>
      <w:r w:rsidR="007232E5" w:rsidRPr="007232E5">
        <w:rPr>
          <w:rFonts w:asciiTheme="majorHAnsi" w:hAnsiTheme="majorHAnsi" w:cstheme="majorHAnsi"/>
          <w:sz w:val="24"/>
          <w:szCs w:val="24"/>
          <w:lang w:val="ru-MD" w:eastAsia="ru-RU"/>
        </w:rPr>
        <w:t>расхожд</w:t>
      </w:r>
      <w:r w:rsidRPr="007232E5">
        <w:rPr>
          <w:rFonts w:asciiTheme="majorHAnsi" w:hAnsiTheme="majorHAnsi" w:cstheme="majorHAnsi"/>
          <w:sz w:val="24"/>
          <w:szCs w:val="24"/>
          <w:lang w:val="ru-MD" w:eastAsia="ru-RU"/>
        </w:rPr>
        <w:t xml:space="preserve">ения статистических данных Республики Молдова и </w:t>
      </w:r>
      <w:r w:rsidR="007232E5" w:rsidRPr="007232E5">
        <w:rPr>
          <w:rFonts w:asciiTheme="majorHAnsi" w:hAnsiTheme="majorHAnsi" w:cstheme="majorHAnsi"/>
          <w:sz w:val="24"/>
          <w:szCs w:val="24"/>
          <w:lang w:val="ru-MD" w:eastAsia="ru-RU"/>
        </w:rPr>
        <w:t>выбран</w:t>
      </w:r>
      <w:r w:rsidRPr="007232E5">
        <w:rPr>
          <w:rFonts w:asciiTheme="majorHAnsi" w:hAnsiTheme="majorHAnsi" w:cstheme="majorHAnsi"/>
          <w:sz w:val="24"/>
          <w:szCs w:val="24"/>
          <w:lang w:val="ru-MD" w:eastAsia="ru-RU"/>
        </w:rPr>
        <w:t xml:space="preserve">ных стран по импорту и экспорту, осуществляемым в рамках внешней торговли между странами, является проведение операций по импорту и экспорту товаров на сумму </w:t>
      </w:r>
      <w:r w:rsidRPr="007232E5">
        <w:rPr>
          <w:rFonts w:asciiTheme="majorHAnsi" w:hAnsiTheme="majorHAnsi" w:cstheme="majorHAnsi"/>
          <w:b/>
          <w:sz w:val="24"/>
          <w:szCs w:val="24"/>
          <w:lang w:val="ru-MD" w:eastAsia="ru-RU"/>
        </w:rPr>
        <w:t>31,4 млрд. леев</w:t>
      </w:r>
      <w:r w:rsidR="007232E5" w:rsidRPr="007232E5">
        <w:rPr>
          <w:rStyle w:val="FootnoteReference"/>
          <w:rFonts w:asciiTheme="majorHAnsi" w:eastAsia="Times New Roman" w:hAnsiTheme="majorHAnsi" w:cstheme="majorHAnsi"/>
          <w:sz w:val="24"/>
          <w:szCs w:val="24"/>
          <w:lang w:val="ru-MD"/>
        </w:rPr>
        <w:footnoteReference w:id="28"/>
      </w:r>
      <w:r w:rsidRPr="007232E5">
        <w:rPr>
          <w:rFonts w:asciiTheme="majorHAnsi" w:hAnsiTheme="majorHAnsi" w:cstheme="majorHAnsi"/>
          <w:sz w:val="24"/>
          <w:szCs w:val="24"/>
          <w:lang w:val="ru-MD" w:eastAsia="ru-RU"/>
        </w:rPr>
        <w:t xml:space="preserve"> через юрисдикции, которые не внедряют международные стандарты прозрачности, с высоким риском уклонения от уплаты налогов </w:t>
      </w:r>
      <w:r w:rsidR="007232E5" w:rsidRPr="007232E5">
        <w:rPr>
          <w:rFonts w:asciiTheme="majorHAnsi" w:hAnsiTheme="majorHAnsi" w:cstheme="majorHAnsi"/>
          <w:sz w:val="24"/>
          <w:szCs w:val="24"/>
          <w:lang w:val="ru-MD" w:eastAsia="ru-RU"/>
        </w:rPr>
        <w:t>и</w:t>
      </w:r>
      <w:r w:rsidRPr="007232E5">
        <w:rPr>
          <w:rFonts w:asciiTheme="majorHAnsi" w:hAnsiTheme="majorHAnsi" w:cstheme="majorHAnsi"/>
          <w:sz w:val="24"/>
          <w:szCs w:val="24"/>
          <w:lang w:val="ru-MD" w:eastAsia="ru-RU"/>
        </w:rPr>
        <w:t xml:space="preserve"> отмывани</w:t>
      </w:r>
      <w:r w:rsidR="007232E5" w:rsidRPr="007232E5">
        <w:rPr>
          <w:rFonts w:asciiTheme="majorHAnsi" w:hAnsiTheme="majorHAnsi" w:cstheme="majorHAnsi"/>
          <w:sz w:val="24"/>
          <w:szCs w:val="24"/>
          <w:lang w:val="ru-MD" w:eastAsia="ru-RU"/>
        </w:rPr>
        <w:t>я</w:t>
      </w:r>
      <w:r w:rsidRPr="007232E5">
        <w:rPr>
          <w:rFonts w:asciiTheme="majorHAnsi" w:hAnsiTheme="majorHAnsi" w:cstheme="majorHAnsi"/>
          <w:sz w:val="24"/>
          <w:szCs w:val="24"/>
          <w:lang w:val="ru-MD" w:eastAsia="ru-RU"/>
        </w:rPr>
        <w:t xml:space="preserve"> денег</w:t>
      </w:r>
      <w:r w:rsidR="007232E5" w:rsidRPr="007232E5">
        <w:rPr>
          <w:rStyle w:val="FootnoteReference"/>
          <w:rFonts w:asciiTheme="majorHAnsi" w:eastAsia="Times New Roman" w:hAnsiTheme="majorHAnsi" w:cstheme="majorHAnsi"/>
          <w:sz w:val="24"/>
          <w:szCs w:val="24"/>
          <w:lang w:val="ru-MD" w:eastAsia="ro-RO"/>
        </w:rPr>
        <w:footnoteReference w:id="29"/>
      </w:r>
      <w:r w:rsidRPr="007232E5">
        <w:rPr>
          <w:rFonts w:asciiTheme="majorHAnsi" w:hAnsiTheme="majorHAnsi" w:cstheme="majorHAnsi"/>
          <w:sz w:val="24"/>
          <w:szCs w:val="24"/>
          <w:lang w:val="ru-MD" w:eastAsia="ru-RU"/>
        </w:rPr>
        <w:t>.</w:t>
      </w:r>
      <w:r w:rsidR="007232E5" w:rsidRPr="007232E5">
        <w:rPr>
          <w:rFonts w:asciiTheme="majorHAnsi" w:hAnsiTheme="majorHAnsi" w:cstheme="majorHAnsi"/>
          <w:sz w:val="24"/>
          <w:szCs w:val="24"/>
          <w:lang w:val="ru-MD" w:eastAsia="ru-RU"/>
        </w:rPr>
        <w:t xml:space="preserve"> Одновременно, отмеч</w:t>
      </w:r>
      <w:r w:rsidRPr="007232E5">
        <w:rPr>
          <w:rFonts w:asciiTheme="majorHAnsi" w:hAnsiTheme="majorHAnsi" w:cstheme="majorHAnsi"/>
          <w:sz w:val="24"/>
          <w:szCs w:val="24"/>
          <w:lang w:val="ru-MD" w:eastAsia="ru-RU"/>
        </w:rPr>
        <w:t>ается</w:t>
      </w:r>
      <w:r w:rsidR="007232E5" w:rsidRPr="007232E5">
        <w:rPr>
          <w:rFonts w:asciiTheme="majorHAnsi" w:hAnsiTheme="majorHAnsi" w:cstheme="majorHAnsi"/>
          <w:sz w:val="24"/>
          <w:szCs w:val="24"/>
          <w:lang w:val="ru-MD" w:eastAsia="ru-RU"/>
        </w:rPr>
        <w:t xml:space="preserve"> о</w:t>
      </w:r>
      <w:r w:rsidRPr="007232E5">
        <w:rPr>
          <w:rFonts w:asciiTheme="majorHAnsi" w:hAnsiTheme="majorHAnsi" w:cstheme="majorHAnsi"/>
          <w:sz w:val="24"/>
          <w:szCs w:val="24"/>
          <w:lang w:val="ru-MD" w:eastAsia="ru-RU"/>
        </w:rPr>
        <w:t>существл</w:t>
      </w:r>
      <w:r w:rsidR="007232E5" w:rsidRPr="007232E5">
        <w:rPr>
          <w:rFonts w:asciiTheme="majorHAnsi" w:hAnsiTheme="majorHAnsi" w:cstheme="majorHAnsi"/>
          <w:sz w:val="24"/>
          <w:szCs w:val="24"/>
          <w:lang w:val="ru-MD" w:eastAsia="ru-RU"/>
        </w:rPr>
        <w:t>ение</w:t>
      </w:r>
      <w:r w:rsidRPr="007232E5">
        <w:rPr>
          <w:rFonts w:asciiTheme="majorHAnsi" w:hAnsiTheme="majorHAnsi" w:cstheme="majorHAnsi"/>
          <w:sz w:val="24"/>
          <w:szCs w:val="24"/>
          <w:lang w:val="ru-MD" w:eastAsia="ru-RU"/>
        </w:rPr>
        <w:t xml:space="preserve"> непрозрачн</w:t>
      </w:r>
      <w:r w:rsidR="007232E5" w:rsidRPr="007232E5">
        <w:rPr>
          <w:rFonts w:asciiTheme="majorHAnsi" w:hAnsiTheme="majorHAnsi" w:cstheme="majorHAnsi"/>
          <w:sz w:val="24"/>
          <w:szCs w:val="24"/>
          <w:lang w:val="ru-MD" w:eastAsia="ru-RU"/>
        </w:rPr>
        <w:t>ого</w:t>
      </w:r>
      <w:r w:rsidRPr="007232E5">
        <w:rPr>
          <w:rFonts w:asciiTheme="majorHAnsi" w:hAnsiTheme="majorHAnsi" w:cstheme="majorHAnsi"/>
          <w:sz w:val="24"/>
          <w:szCs w:val="24"/>
          <w:lang w:val="ru-MD" w:eastAsia="ru-RU"/>
        </w:rPr>
        <w:t xml:space="preserve"> экспорт</w:t>
      </w:r>
      <w:r w:rsidR="007232E5" w:rsidRPr="007232E5">
        <w:rPr>
          <w:rFonts w:asciiTheme="majorHAnsi" w:hAnsiTheme="majorHAnsi" w:cstheme="majorHAnsi"/>
          <w:sz w:val="24"/>
          <w:szCs w:val="24"/>
          <w:lang w:val="ru-MD" w:eastAsia="ru-RU"/>
        </w:rPr>
        <w:t>а</w:t>
      </w:r>
      <w:r w:rsidRPr="007232E5">
        <w:rPr>
          <w:rFonts w:asciiTheme="majorHAnsi" w:hAnsiTheme="majorHAnsi" w:cstheme="majorHAnsi"/>
          <w:sz w:val="24"/>
          <w:szCs w:val="24"/>
          <w:lang w:val="ru-MD" w:eastAsia="ru-RU"/>
        </w:rPr>
        <w:t xml:space="preserve"> кукурузы и пшеницы через оффшорные </w:t>
      </w:r>
      <w:r w:rsidR="007232E5" w:rsidRPr="007232E5">
        <w:rPr>
          <w:rFonts w:asciiTheme="majorHAnsi" w:hAnsiTheme="majorHAnsi" w:cstheme="majorHAnsi"/>
          <w:sz w:val="24"/>
          <w:szCs w:val="24"/>
          <w:lang w:val="ru-MD" w:eastAsia="ru-RU"/>
        </w:rPr>
        <w:t>з</w:t>
      </w:r>
      <w:r w:rsidRPr="007232E5">
        <w:rPr>
          <w:rFonts w:asciiTheme="majorHAnsi" w:hAnsiTheme="majorHAnsi" w:cstheme="majorHAnsi"/>
          <w:sz w:val="24"/>
          <w:szCs w:val="24"/>
          <w:lang w:val="ru-MD" w:eastAsia="ru-RU"/>
        </w:rPr>
        <w:t>оны</w:t>
      </w:r>
      <w:r w:rsidR="007232E5" w:rsidRPr="007232E5">
        <w:rPr>
          <w:rFonts w:asciiTheme="majorHAnsi" w:hAnsiTheme="majorHAnsi" w:cstheme="majorHAnsi"/>
          <w:sz w:val="24"/>
          <w:szCs w:val="24"/>
          <w:lang w:val="ru-MD" w:eastAsia="ru-RU"/>
        </w:rPr>
        <w:t>,</w:t>
      </w:r>
      <w:r w:rsidRPr="007232E5">
        <w:rPr>
          <w:rFonts w:asciiTheme="majorHAnsi" w:hAnsiTheme="majorHAnsi" w:cstheme="majorHAnsi"/>
          <w:sz w:val="24"/>
          <w:szCs w:val="24"/>
          <w:lang w:val="ru-MD" w:eastAsia="ru-RU"/>
        </w:rPr>
        <w:t xml:space="preserve"> со статистической стоимостью товара в </w:t>
      </w:r>
      <w:r w:rsidRPr="007232E5">
        <w:rPr>
          <w:rFonts w:asciiTheme="majorHAnsi" w:hAnsiTheme="majorHAnsi" w:cstheme="majorHAnsi"/>
          <w:b/>
          <w:sz w:val="24"/>
          <w:szCs w:val="24"/>
          <w:lang w:val="ru-MD" w:eastAsia="ru-RU"/>
        </w:rPr>
        <w:t>1,1 млрд. леев</w:t>
      </w:r>
      <w:r w:rsidRPr="007232E5">
        <w:rPr>
          <w:rFonts w:asciiTheme="majorHAnsi" w:hAnsiTheme="majorHAnsi" w:cstheme="majorHAnsi"/>
          <w:sz w:val="24"/>
          <w:szCs w:val="24"/>
          <w:lang w:val="ru-MD" w:eastAsia="ru-RU"/>
        </w:rPr>
        <w:t>, с рисками уклонения от уплаты налогов и отмывания денег</w:t>
      </w:r>
      <w:r w:rsidR="00462FA2" w:rsidRPr="007232E5">
        <w:rPr>
          <w:rFonts w:asciiTheme="majorHAnsi" w:hAnsiTheme="majorHAnsi" w:cstheme="majorHAnsi"/>
          <w:sz w:val="24"/>
          <w:szCs w:val="24"/>
          <w:lang w:val="ru-MD"/>
        </w:rPr>
        <w:t xml:space="preserve">.  </w:t>
      </w:r>
    </w:p>
    <w:p w14:paraId="5A5ABFEC" w14:textId="63199C1F" w:rsidR="00462FA2" w:rsidRPr="00DC733F" w:rsidRDefault="00A36DC3" w:rsidP="00462FA2">
      <w:pPr>
        <w:autoSpaceDE w:val="0"/>
        <w:autoSpaceDN w:val="0"/>
        <w:adjustRightInd w:val="0"/>
        <w:spacing w:after="120"/>
        <w:jc w:val="both"/>
        <w:rPr>
          <w:rFonts w:asciiTheme="majorHAnsi" w:eastAsia="Times New Roman" w:hAnsiTheme="majorHAnsi" w:cstheme="majorHAnsi"/>
          <w:sz w:val="24"/>
          <w:szCs w:val="24"/>
          <w:lang w:val="ru-MD"/>
        </w:rPr>
      </w:pPr>
      <w:r w:rsidRPr="00DC733F">
        <w:rPr>
          <w:rFonts w:asciiTheme="majorHAnsi" w:hAnsiTheme="majorHAnsi" w:cstheme="majorHAnsi"/>
          <w:sz w:val="24"/>
          <w:szCs w:val="24"/>
          <w:lang w:val="ru-MD"/>
        </w:rPr>
        <w:t>Друг</w:t>
      </w:r>
      <w:r w:rsidR="00DC733F" w:rsidRPr="00DC733F">
        <w:rPr>
          <w:rFonts w:asciiTheme="majorHAnsi" w:hAnsiTheme="majorHAnsi" w:cstheme="majorHAnsi"/>
          <w:sz w:val="24"/>
          <w:szCs w:val="24"/>
          <w:lang w:val="ru-MD"/>
        </w:rPr>
        <w:t>ой</w:t>
      </w:r>
      <w:r w:rsidRPr="00DC733F">
        <w:rPr>
          <w:rFonts w:asciiTheme="majorHAnsi" w:hAnsiTheme="majorHAnsi" w:cstheme="majorHAnsi"/>
          <w:sz w:val="24"/>
          <w:szCs w:val="24"/>
          <w:lang w:val="ru-MD"/>
        </w:rPr>
        <w:t xml:space="preserve"> причин</w:t>
      </w:r>
      <w:r w:rsidR="00DC733F" w:rsidRPr="00DC733F">
        <w:rPr>
          <w:rFonts w:asciiTheme="majorHAnsi" w:hAnsiTheme="majorHAnsi" w:cstheme="majorHAnsi"/>
          <w:sz w:val="24"/>
          <w:szCs w:val="24"/>
          <w:lang w:val="ru-MD"/>
        </w:rPr>
        <w:t>ой</w:t>
      </w:r>
      <w:r w:rsidRPr="00DC733F">
        <w:rPr>
          <w:rFonts w:asciiTheme="majorHAnsi" w:hAnsiTheme="majorHAnsi" w:cstheme="majorHAnsi"/>
          <w:sz w:val="24"/>
          <w:szCs w:val="24"/>
          <w:lang w:val="ru-MD"/>
        </w:rPr>
        <w:t xml:space="preserve"> </w:t>
      </w:r>
      <w:r w:rsidR="00DC733F" w:rsidRPr="00DC733F">
        <w:rPr>
          <w:rFonts w:asciiTheme="majorHAnsi" w:hAnsiTheme="majorHAnsi" w:cstheme="majorHAnsi"/>
          <w:sz w:val="24"/>
          <w:szCs w:val="24"/>
          <w:lang w:val="ru-MD"/>
        </w:rPr>
        <w:t>расхожд</w:t>
      </w:r>
      <w:r w:rsidRPr="00DC733F">
        <w:rPr>
          <w:rFonts w:asciiTheme="majorHAnsi" w:hAnsiTheme="majorHAnsi" w:cstheme="majorHAnsi"/>
          <w:sz w:val="24"/>
          <w:szCs w:val="24"/>
          <w:lang w:val="ru-MD"/>
        </w:rPr>
        <w:t>ения статистических данных п</w:t>
      </w:r>
      <w:r w:rsidR="00DC733F" w:rsidRPr="00DC733F">
        <w:rPr>
          <w:rFonts w:asciiTheme="majorHAnsi" w:hAnsiTheme="majorHAnsi" w:cstheme="majorHAnsi"/>
          <w:sz w:val="24"/>
          <w:szCs w:val="24"/>
          <w:lang w:val="ru-MD"/>
        </w:rPr>
        <w:t>о</w:t>
      </w:r>
      <w:r w:rsidRPr="00DC733F">
        <w:rPr>
          <w:rFonts w:asciiTheme="majorHAnsi" w:hAnsiTheme="majorHAnsi" w:cstheme="majorHAnsi"/>
          <w:sz w:val="24"/>
          <w:szCs w:val="24"/>
          <w:lang w:val="ru-MD"/>
        </w:rPr>
        <w:t xml:space="preserve"> импорт</w:t>
      </w:r>
      <w:r w:rsidR="00DC733F" w:rsidRPr="00DC733F">
        <w:rPr>
          <w:rFonts w:asciiTheme="majorHAnsi" w:hAnsiTheme="majorHAnsi" w:cstheme="majorHAnsi"/>
          <w:sz w:val="24"/>
          <w:szCs w:val="24"/>
          <w:lang w:val="ru-MD"/>
        </w:rPr>
        <w:t>у</w:t>
      </w:r>
      <w:r w:rsidRPr="00DC733F">
        <w:rPr>
          <w:rFonts w:asciiTheme="majorHAnsi" w:hAnsiTheme="majorHAnsi" w:cstheme="majorHAnsi"/>
          <w:sz w:val="24"/>
          <w:szCs w:val="24"/>
          <w:lang w:val="ru-MD"/>
        </w:rPr>
        <w:t>/экспорт</w:t>
      </w:r>
      <w:r w:rsidR="00DC733F" w:rsidRPr="00DC733F">
        <w:rPr>
          <w:rFonts w:asciiTheme="majorHAnsi" w:hAnsiTheme="majorHAnsi" w:cstheme="majorHAnsi"/>
          <w:sz w:val="24"/>
          <w:szCs w:val="24"/>
          <w:lang w:val="ru-MD"/>
        </w:rPr>
        <w:t>у являются</w:t>
      </w:r>
      <w:r w:rsidRPr="00DC733F">
        <w:rPr>
          <w:rFonts w:asciiTheme="majorHAnsi" w:hAnsiTheme="majorHAnsi" w:cstheme="majorHAnsi"/>
          <w:sz w:val="24"/>
          <w:szCs w:val="24"/>
          <w:lang w:val="ru-MD"/>
        </w:rPr>
        <w:t xml:space="preserve"> </w:t>
      </w:r>
      <w:r w:rsidR="00DC733F" w:rsidRPr="00DC733F">
        <w:rPr>
          <w:rFonts w:asciiTheme="majorHAnsi" w:hAnsiTheme="majorHAnsi" w:cstheme="majorHAnsi"/>
          <w:sz w:val="24"/>
          <w:szCs w:val="24"/>
          <w:lang w:val="ru-MD"/>
        </w:rPr>
        <w:t xml:space="preserve">сопутствующие </w:t>
      </w:r>
      <w:r w:rsidRPr="00DC733F">
        <w:rPr>
          <w:rFonts w:asciiTheme="majorHAnsi" w:hAnsiTheme="majorHAnsi" w:cstheme="majorHAnsi"/>
          <w:sz w:val="24"/>
          <w:szCs w:val="24"/>
          <w:lang w:val="ru-MD"/>
        </w:rPr>
        <w:t>риски экономических операций, осуществляемых экономическими агентами из восточных районов Республики Молдова с территории, не</w:t>
      </w:r>
      <w:r w:rsidR="00DC733F" w:rsidRPr="00DC733F">
        <w:rPr>
          <w:rFonts w:asciiTheme="majorHAnsi" w:hAnsiTheme="majorHAnsi" w:cstheme="majorHAnsi"/>
          <w:sz w:val="24"/>
          <w:szCs w:val="24"/>
          <w:lang w:val="ru-MD"/>
        </w:rPr>
        <w:t xml:space="preserve"> </w:t>
      </w:r>
      <w:r w:rsidRPr="00DC733F">
        <w:rPr>
          <w:rFonts w:asciiTheme="majorHAnsi" w:hAnsiTheme="majorHAnsi" w:cstheme="majorHAnsi"/>
          <w:sz w:val="24"/>
          <w:szCs w:val="24"/>
          <w:lang w:val="ru-MD"/>
        </w:rPr>
        <w:t>контролируемой конституционными органами</w:t>
      </w:r>
      <w:r w:rsidR="00462FA2" w:rsidRPr="00DC733F">
        <w:rPr>
          <w:rFonts w:asciiTheme="majorHAnsi" w:eastAsia="Times New Roman" w:hAnsiTheme="majorHAnsi" w:cstheme="majorHAnsi"/>
          <w:sz w:val="24"/>
          <w:szCs w:val="24"/>
          <w:lang w:val="ru-MD"/>
        </w:rPr>
        <w:t>.</w:t>
      </w:r>
    </w:p>
    <w:p w14:paraId="14DD2D89" w14:textId="13A6FEE2" w:rsidR="00141610" w:rsidRPr="00B20FBD" w:rsidRDefault="00FC0C3F" w:rsidP="00066910">
      <w:pPr>
        <w:pStyle w:val="ListParagraph"/>
        <w:numPr>
          <w:ilvl w:val="1"/>
          <w:numId w:val="3"/>
        </w:numPr>
        <w:tabs>
          <w:tab w:val="left" w:pos="851"/>
          <w:tab w:val="left" w:pos="993"/>
        </w:tabs>
        <w:ind w:left="0" w:right="102" w:firstLine="567"/>
        <w:jc w:val="both"/>
        <w:outlineLvl w:val="1"/>
        <w:rPr>
          <w:rFonts w:asciiTheme="majorHAnsi" w:hAnsiTheme="majorHAnsi" w:cstheme="majorHAnsi"/>
          <w:b/>
          <w:sz w:val="24"/>
          <w:szCs w:val="24"/>
        </w:rPr>
      </w:pPr>
      <w:bookmarkStart w:id="50" w:name="_Toc127129405"/>
      <w:r w:rsidRPr="00DC733F">
        <w:rPr>
          <w:rFonts w:asciiTheme="majorHAnsi" w:hAnsiTheme="majorHAnsi" w:cstheme="majorHAnsi"/>
          <w:b/>
          <w:i/>
          <w:sz w:val="24"/>
          <w:szCs w:val="24"/>
          <w:lang w:val="ru-MD"/>
        </w:rPr>
        <w:t>Конкретная задача</w:t>
      </w:r>
      <w:r>
        <w:rPr>
          <w:rFonts w:asciiTheme="majorHAnsi" w:hAnsiTheme="majorHAnsi" w:cstheme="majorHAnsi"/>
          <w:b/>
          <w:i/>
          <w:sz w:val="24"/>
          <w:szCs w:val="24"/>
        </w:rPr>
        <w:t xml:space="preserve"> №</w:t>
      </w:r>
      <w:r w:rsidR="00131F51" w:rsidRPr="00B20FBD">
        <w:rPr>
          <w:rFonts w:asciiTheme="majorHAnsi" w:hAnsiTheme="majorHAnsi" w:cstheme="majorHAnsi"/>
          <w:b/>
          <w:i/>
          <w:sz w:val="24"/>
          <w:szCs w:val="24"/>
        </w:rPr>
        <w:t xml:space="preserve">2. </w:t>
      </w:r>
      <w:r w:rsidRPr="00FC0C3F">
        <w:rPr>
          <w:rFonts w:asciiTheme="majorHAnsi" w:hAnsiTheme="majorHAnsi" w:cstheme="majorHAnsi"/>
          <w:b/>
          <w:sz w:val="24"/>
          <w:szCs w:val="24"/>
          <w:lang w:val="ru-MD"/>
        </w:rPr>
        <w:t xml:space="preserve">Обеспечил ли таможенный орган соответствие </w:t>
      </w:r>
      <w:r>
        <w:rPr>
          <w:rFonts w:asciiTheme="majorHAnsi" w:hAnsiTheme="majorHAnsi" w:cstheme="majorHAnsi"/>
          <w:b/>
          <w:sz w:val="24"/>
          <w:szCs w:val="24"/>
          <w:lang w:val="ru-MD"/>
        </w:rPr>
        <w:t xml:space="preserve">и </w:t>
      </w:r>
      <w:r w:rsidRPr="00FC0C3F">
        <w:rPr>
          <w:rFonts w:asciiTheme="majorHAnsi" w:hAnsiTheme="majorHAnsi" w:cstheme="majorHAnsi"/>
          <w:b/>
          <w:sz w:val="24"/>
          <w:szCs w:val="24"/>
          <w:lang w:val="ru-MD"/>
        </w:rPr>
        <w:t>полнот</w:t>
      </w:r>
      <w:r>
        <w:rPr>
          <w:rFonts w:asciiTheme="majorHAnsi" w:hAnsiTheme="majorHAnsi" w:cstheme="majorHAnsi"/>
          <w:b/>
          <w:sz w:val="24"/>
          <w:szCs w:val="24"/>
          <w:lang w:val="ru-MD"/>
        </w:rPr>
        <w:t>у</w:t>
      </w:r>
      <w:r w:rsidRPr="00FC0C3F">
        <w:rPr>
          <w:rFonts w:asciiTheme="majorHAnsi" w:hAnsiTheme="majorHAnsi" w:cstheme="majorHAnsi"/>
          <w:b/>
          <w:sz w:val="24"/>
          <w:szCs w:val="24"/>
          <w:lang w:val="ru-MD"/>
        </w:rPr>
        <w:t xml:space="preserve"> поступления в государственный бюджет задолженности по таможенным обязательствам, в том числе путем применения мер по принудительному взысканию</w:t>
      </w:r>
      <w:r w:rsidR="00141610" w:rsidRPr="00B20FBD">
        <w:rPr>
          <w:rFonts w:asciiTheme="majorHAnsi" w:hAnsiTheme="majorHAnsi" w:cstheme="majorHAnsi"/>
          <w:b/>
          <w:sz w:val="24"/>
          <w:szCs w:val="24"/>
        </w:rPr>
        <w:t>?</w:t>
      </w:r>
      <w:bookmarkEnd w:id="50"/>
    </w:p>
    <w:p w14:paraId="04289560" w14:textId="77777777" w:rsidR="00066910" w:rsidRPr="00B20FBD" w:rsidRDefault="00066910" w:rsidP="00066910">
      <w:pPr>
        <w:pStyle w:val="ListParagraph"/>
        <w:tabs>
          <w:tab w:val="left" w:pos="851"/>
          <w:tab w:val="left" w:pos="993"/>
        </w:tabs>
        <w:ind w:left="567" w:right="102"/>
        <w:jc w:val="both"/>
        <w:outlineLvl w:val="1"/>
        <w:rPr>
          <w:rFonts w:asciiTheme="majorHAnsi" w:hAnsiTheme="majorHAnsi" w:cstheme="majorHAnsi"/>
          <w:b/>
          <w:sz w:val="24"/>
          <w:szCs w:val="24"/>
        </w:rPr>
      </w:pPr>
    </w:p>
    <w:p w14:paraId="23F7249F" w14:textId="3A86A9B8" w:rsidR="0088230A" w:rsidRPr="00ED285D" w:rsidRDefault="000446AF" w:rsidP="00D418F4">
      <w:pPr>
        <w:shd w:val="clear" w:color="auto" w:fill="FFFFFF"/>
        <w:spacing w:after="120" w:line="259" w:lineRule="auto"/>
        <w:ind w:firstLine="284"/>
        <w:jc w:val="both"/>
        <w:rPr>
          <w:rFonts w:asciiTheme="majorHAnsi" w:hAnsiTheme="majorHAnsi" w:cstheme="majorHAnsi"/>
          <w:i/>
          <w:sz w:val="24"/>
          <w:szCs w:val="24"/>
          <w:lang w:val="ru-MD"/>
        </w:rPr>
      </w:pPr>
      <w:r w:rsidRPr="00ED285D">
        <w:rPr>
          <w:rFonts w:asciiTheme="majorHAnsi" w:hAnsiTheme="majorHAnsi" w:cstheme="majorHAnsi"/>
          <w:i/>
          <w:sz w:val="24"/>
          <w:szCs w:val="24"/>
          <w:lang w:val="ru-MD"/>
        </w:rPr>
        <w:t xml:space="preserve">Высокий уровень дебиторской задолженности </w:t>
      </w:r>
      <w:r w:rsidR="009402B7">
        <w:rPr>
          <w:rFonts w:asciiTheme="majorHAnsi" w:hAnsiTheme="majorHAnsi" w:cstheme="majorHAnsi"/>
          <w:i/>
          <w:sz w:val="24"/>
          <w:szCs w:val="24"/>
          <w:lang w:val="ru-MD"/>
        </w:rPr>
        <w:t xml:space="preserve">таможенных </w:t>
      </w:r>
      <w:r w:rsidRPr="00ED285D">
        <w:rPr>
          <w:rFonts w:asciiTheme="majorHAnsi" w:hAnsiTheme="majorHAnsi" w:cstheme="majorHAnsi"/>
          <w:i/>
          <w:sz w:val="24"/>
          <w:szCs w:val="24"/>
          <w:lang w:val="ru-MD"/>
        </w:rPr>
        <w:t xml:space="preserve">плательщиков перед государственным бюджетом и </w:t>
      </w:r>
      <w:r w:rsidR="00ED285D" w:rsidRPr="00ED285D">
        <w:rPr>
          <w:rFonts w:asciiTheme="majorHAnsi" w:hAnsiTheme="majorHAnsi" w:cstheme="majorHAnsi"/>
          <w:i/>
          <w:sz w:val="24"/>
          <w:szCs w:val="24"/>
          <w:lang w:val="ru-MD"/>
        </w:rPr>
        <w:t>сохране</w:t>
      </w:r>
      <w:r w:rsidRPr="00ED285D">
        <w:rPr>
          <w:rFonts w:asciiTheme="majorHAnsi" w:hAnsiTheme="majorHAnsi" w:cstheme="majorHAnsi"/>
          <w:i/>
          <w:sz w:val="24"/>
          <w:szCs w:val="24"/>
          <w:lang w:val="ru-MD"/>
        </w:rPr>
        <w:t>ние долгов с истекшим сроком давности</w:t>
      </w:r>
      <w:r w:rsidR="00ED285D" w:rsidRPr="00ED285D">
        <w:rPr>
          <w:rFonts w:asciiTheme="majorHAnsi" w:hAnsiTheme="majorHAnsi" w:cstheme="majorHAnsi"/>
          <w:i/>
          <w:sz w:val="24"/>
          <w:szCs w:val="24"/>
          <w:lang w:val="ru-MD"/>
        </w:rPr>
        <w:t>, указывают на наличие р</w:t>
      </w:r>
      <w:r w:rsidRPr="00ED285D">
        <w:rPr>
          <w:rFonts w:asciiTheme="majorHAnsi" w:hAnsiTheme="majorHAnsi" w:cstheme="majorHAnsi"/>
          <w:i/>
          <w:sz w:val="24"/>
          <w:szCs w:val="24"/>
          <w:lang w:val="ru-MD"/>
        </w:rPr>
        <w:t>езерв</w:t>
      </w:r>
      <w:r w:rsidR="00ED285D" w:rsidRPr="00ED285D">
        <w:rPr>
          <w:rFonts w:asciiTheme="majorHAnsi" w:hAnsiTheme="majorHAnsi" w:cstheme="majorHAnsi"/>
          <w:i/>
          <w:sz w:val="24"/>
          <w:szCs w:val="24"/>
          <w:lang w:val="ru-MD"/>
        </w:rPr>
        <w:t>ов</w:t>
      </w:r>
      <w:r w:rsidRPr="00ED285D">
        <w:rPr>
          <w:rFonts w:asciiTheme="majorHAnsi" w:hAnsiTheme="majorHAnsi" w:cstheme="majorHAnsi"/>
          <w:i/>
          <w:sz w:val="24"/>
          <w:szCs w:val="24"/>
          <w:lang w:val="ru-MD"/>
        </w:rPr>
        <w:t xml:space="preserve"> </w:t>
      </w:r>
      <w:r w:rsidR="00ED285D" w:rsidRPr="00ED285D">
        <w:rPr>
          <w:rFonts w:asciiTheme="majorHAnsi" w:hAnsiTheme="majorHAnsi" w:cstheme="majorHAnsi"/>
          <w:i/>
          <w:sz w:val="24"/>
          <w:szCs w:val="24"/>
          <w:lang w:val="ru-MD"/>
        </w:rPr>
        <w:t xml:space="preserve">по </w:t>
      </w:r>
      <w:r w:rsidRPr="00ED285D">
        <w:rPr>
          <w:rFonts w:asciiTheme="majorHAnsi" w:hAnsiTheme="majorHAnsi" w:cstheme="majorHAnsi"/>
          <w:i/>
          <w:sz w:val="24"/>
          <w:szCs w:val="24"/>
          <w:lang w:val="ru-MD"/>
        </w:rPr>
        <w:t>платежной дисциплин</w:t>
      </w:r>
      <w:r w:rsidR="00ED285D" w:rsidRPr="00ED285D">
        <w:rPr>
          <w:rFonts w:asciiTheme="majorHAnsi" w:hAnsiTheme="majorHAnsi" w:cstheme="majorHAnsi"/>
          <w:i/>
          <w:sz w:val="24"/>
          <w:szCs w:val="24"/>
          <w:lang w:val="ru-MD"/>
        </w:rPr>
        <w:t>е</w:t>
      </w:r>
      <w:r w:rsidRPr="00ED285D">
        <w:rPr>
          <w:rFonts w:asciiTheme="majorHAnsi" w:hAnsiTheme="majorHAnsi" w:cstheme="majorHAnsi"/>
          <w:i/>
          <w:sz w:val="24"/>
          <w:szCs w:val="24"/>
          <w:lang w:val="ru-MD"/>
        </w:rPr>
        <w:t xml:space="preserve"> </w:t>
      </w:r>
      <w:r w:rsidR="00ED285D" w:rsidRPr="00ED285D">
        <w:rPr>
          <w:rFonts w:asciiTheme="majorHAnsi" w:hAnsiTheme="majorHAnsi" w:cstheme="majorHAnsi"/>
          <w:i/>
          <w:sz w:val="24"/>
          <w:szCs w:val="24"/>
          <w:lang w:val="ru-MD"/>
        </w:rPr>
        <w:t>в аспекте</w:t>
      </w:r>
      <w:r w:rsidRPr="00ED285D">
        <w:rPr>
          <w:rFonts w:asciiTheme="majorHAnsi" w:hAnsiTheme="majorHAnsi" w:cstheme="majorHAnsi"/>
          <w:i/>
          <w:sz w:val="24"/>
          <w:szCs w:val="24"/>
          <w:lang w:val="ru-MD"/>
        </w:rPr>
        <w:t xml:space="preserve"> накоплени</w:t>
      </w:r>
      <w:r w:rsidR="00ED285D" w:rsidRPr="00ED285D">
        <w:rPr>
          <w:rFonts w:asciiTheme="majorHAnsi" w:hAnsiTheme="majorHAnsi" w:cstheme="majorHAnsi"/>
          <w:i/>
          <w:sz w:val="24"/>
          <w:szCs w:val="24"/>
          <w:lang w:val="ru-MD"/>
        </w:rPr>
        <w:t>я</w:t>
      </w:r>
      <w:r w:rsidRPr="00ED285D">
        <w:rPr>
          <w:rFonts w:asciiTheme="majorHAnsi" w:hAnsiTheme="majorHAnsi" w:cstheme="majorHAnsi"/>
          <w:i/>
          <w:sz w:val="24"/>
          <w:szCs w:val="24"/>
          <w:lang w:val="ru-MD"/>
        </w:rPr>
        <w:t xml:space="preserve"> задолженност</w:t>
      </w:r>
      <w:r w:rsidR="00ED285D" w:rsidRPr="00ED285D">
        <w:rPr>
          <w:rFonts w:asciiTheme="majorHAnsi" w:hAnsiTheme="majorHAnsi" w:cstheme="majorHAnsi"/>
          <w:i/>
          <w:sz w:val="24"/>
          <w:szCs w:val="24"/>
          <w:lang w:val="ru-MD"/>
        </w:rPr>
        <w:t>ей</w:t>
      </w:r>
      <w:r w:rsidRPr="00ED285D">
        <w:rPr>
          <w:rFonts w:asciiTheme="majorHAnsi" w:hAnsiTheme="majorHAnsi" w:cstheme="majorHAnsi"/>
          <w:i/>
          <w:sz w:val="24"/>
          <w:szCs w:val="24"/>
          <w:lang w:val="ru-MD"/>
        </w:rPr>
        <w:t xml:space="preserve">, вызванные уязвимостями систем применения мер </w:t>
      </w:r>
      <w:r w:rsidR="00ED285D" w:rsidRPr="00ED285D">
        <w:rPr>
          <w:rFonts w:asciiTheme="majorHAnsi" w:hAnsiTheme="majorHAnsi" w:cstheme="majorHAnsi"/>
          <w:i/>
          <w:sz w:val="24"/>
          <w:szCs w:val="24"/>
          <w:lang w:val="ru-MD"/>
        </w:rPr>
        <w:t>принудительного</w:t>
      </w:r>
      <w:r w:rsidRPr="00ED285D">
        <w:rPr>
          <w:rFonts w:asciiTheme="majorHAnsi" w:hAnsiTheme="majorHAnsi" w:cstheme="majorHAnsi"/>
          <w:i/>
          <w:sz w:val="24"/>
          <w:szCs w:val="24"/>
          <w:lang w:val="ru-MD"/>
        </w:rPr>
        <w:t xml:space="preserve"> </w:t>
      </w:r>
      <w:r w:rsidR="009402B7">
        <w:rPr>
          <w:rFonts w:asciiTheme="majorHAnsi" w:hAnsiTheme="majorHAnsi" w:cstheme="majorHAnsi"/>
          <w:i/>
          <w:sz w:val="24"/>
          <w:szCs w:val="24"/>
          <w:lang w:val="ru-MD"/>
        </w:rPr>
        <w:t>исполне</w:t>
      </w:r>
      <w:r w:rsidRPr="00ED285D">
        <w:rPr>
          <w:rFonts w:asciiTheme="majorHAnsi" w:hAnsiTheme="majorHAnsi" w:cstheme="majorHAnsi"/>
          <w:i/>
          <w:sz w:val="24"/>
          <w:szCs w:val="24"/>
          <w:lang w:val="ru-MD"/>
        </w:rPr>
        <w:t>ния</w:t>
      </w:r>
      <w:r w:rsidR="00ED285D" w:rsidRPr="00ED285D">
        <w:rPr>
          <w:rFonts w:asciiTheme="majorHAnsi" w:hAnsiTheme="majorHAnsi" w:cstheme="majorHAnsi"/>
          <w:i/>
          <w:sz w:val="24"/>
          <w:szCs w:val="24"/>
          <w:lang w:val="ru-MD"/>
        </w:rPr>
        <w:t>, а также</w:t>
      </w:r>
      <w:r w:rsidRPr="00ED285D">
        <w:rPr>
          <w:rFonts w:asciiTheme="majorHAnsi" w:hAnsiTheme="majorHAnsi" w:cstheme="majorHAnsi"/>
          <w:i/>
          <w:sz w:val="24"/>
          <w:szCs w:val="24"/>
          <w:lang w:val="ru-MD"/>
        </w:rPr>
        <w:t xml:space="preserve"> информационных модулей, относящихся к процессам управления доходами, </w:t>
      </w:r>
      <w:r w:rsidR="00ED285D" w:rsidRPr="00ED285D">
        <w:rPr>
          <w:rFonts w:asciiTheme="majorHAnsi" w:hAnsiTheme="majorHAnsi" w:cstheme="majorHAnsi"/>
          <w:i/>
          <w:sz w:val="24"/>
          <w:szCs w:val="24"/>
          <w:lang w:val="ru-MD"/>
        </w:rPr>
        <w:t>генерируя</w:t>
      </w:r>
      <w:r w:rsidRPr="00ED285D">
        <w:rPr>
          <w:rFonts w:asciiTheme="majorHAnsi" w:hAnsiTheme="majorHAnsi" w:cstheme="majorHAnsi"/>
          <w:i/>
          <w:sz w:val="24"/>
          <w:szCs w:val="24"/>
          <w:lang w:val="ru-MD"/>
        </w:rPr>
        <w:t xml:space="preserve"> ошибочн</w:t>
      </w:r>
      <w:r w:rsidR="00ED285D" w:rsidRPr="00ED285D">
        <w:rPr>
          <w:rFonts w:asciiTheme="majorHAnsi" w:hAnsiTheme="majorHAnsi" w:cstheme="majorHAnsi"/>
          <w:i/>
          <w:sz w:val="24"/>
          <w:szCs w:val="24"/>
          <w:lang w:val="ru-MD"/>
        </w:rPr>
        <w:t>ую</w:t>
      </w:r>
      <w:r w:rsidRPr="00ED285D">
        <w:rPr>
          <w:rFonts w:asciiTheme="majorHAnsi" w:hAnsiTheme="majorHAnsi" w:cstheme="majorHAnsi"/>
          <w:i/>
          <w:sz w:val="24"/>
          <w:szCs w:val="24"/>
          <w:lang w:val="ru-MD"/>
        </w:rPr>
        <w:t xml:space="preserve"> отчетност</w:t>
      </w:r>
      <w:r w:rsidR="00ED285D" w:rsidRPr="00ED285D">
        <w:rPr>
          <w:rFonts w:asciiTheme="majorHAnsi" w:hAnsiTheme="majorHAnsi" w:cstheme="majorHAnsi"/>
          <w:i/>
          <w:sz w:val="24"/>
          <w:szCs w:val="24"/>
          <w:lang w:val="ru-MD"/>
        </w:rPr>
        <w:t>ь</w:t>
      </w:r>
      <w:r w:rsidRPr="00ED285D">
        <w:rPr>
          <w:rFonts w:asciiTheme="majorHAnsi" w:hAnsiTheme="majorHAnsi" w:cstheme="majorHAnsi"/>
          <w:i/>
          <w:sz w:val="24"/>
          <w:szCs w:val="24"/>
          <w:lang w:val="ru-MD"/>
        </w:rPr>
        <w:t xml:space="preserve"> </w:t>
      </w:r>
      <w:r w:rsidR="00ED285D" w:rsidRPr="00ED285D">
        <w:rPr>
          <w:rFonts w:asciiTheme="majorHAnsi" w:hAnsiTheme="majorHAnsi" w:cstheme="majorHAnsi"/>
          <w:i/>
          <w:sz w:val="24"/>
          <w:szCs w:val="24"/>
          <w:lang w:val="ru-MD"/>
        </w:rPr>
        <w:t xml:space="preserve">в том числе </w:t>
      </w:r>
      <w:r w:rsidRPr="00ED285D">
        <w:rPr>
          <w:rFonts w:asciiTheme="majorHAnsi" w:hAnsiTheme="majorHAnsi" w:cstheme="majorHAnsi"/>
          <w:i/>
          <w:sz w:val="24"/>
          <w:szCs w:val="24"/>
          <w:lang w:val="ru-MD"/>
        </w:rPr>
        <w:t xml:space="preserve">по дебиторской задолженности. </w:t>
      </w:r>
    </w:p>
    <w:p w14:paraId="5B44A9B3" w14:textId="29A20BB0" w:rsidR="002C7211" w:rsidRPr="00ED285D" w:rsidRDefault="0088230A" w:rsidP="001E456A">
      <w:pPr>
        <w:pStyle w:val="Heading3"/>
        <w:tabs>
          <w:tab w:val="left" w:pos="567"/>
          <w:tab w:val="left" w:pos="993"/>
        </w:tabs>
        <w:spacing w:before="240" w:after="120"/>
        <w:ind w:left="284"/>
        <w:jc w:val="both"/>
        <w:rPr>
          <w:rStyle w:val="ms-rtefontface-3"/>
          <w:rFonts w:eastAsia="Times New Roman" w:cstheme="majorHAnsi"/>
          <w:b/>
          <w:color w:val="auto"/>
          <w:sz w:val="22"/>
          <w:szCs w:val="22"/>
          <w:lang w:val="ru-MD"/>
        </w:rPr>
      </w:pPr>
      <w:bookmarkStart w:id="51" w:name="_Toc127129406"/>
      <w:r w:rsidRPr="00B20FBD">
        <w:rPr>
          <w:rFonts w:cstheme="majorHAnsi"/>
          <w:b/>
          <w:color w:val="auto"/>
          <w:lang w:val="ro-RO"/>
        </w:rPr>
        <w:t>4.2.1.</w:t>
      </w:r>
      <w:r w:rsidR="003A2668">
        <w:rPr>
          <w:rFonts w:cstheme="majorHAnsi"/>
          <w:b/>
          <w:color w:val="auto"/>
          <w:lang w:val="ro-RO"/>
        </w:rPr>
        <w:t xml:space="preserve"> </w:t>
      </w:r>
      <w:r w:rsidR="000446AF" w:rsidRPr="00ED285D">
        <w:rPr>
          <w:rFonts w:cstheme="majorHAnsi"/>
          <w:b/>
          <w:color w:val="auto"/>
          <w:lang w:val="ru-MD"/>
        </w:rPr>
        <w:t>Процесс взыскания задолженности по таможенным обязательствам, в том числе посредством мер принудительного исполнения, является уязвимым и требует укрепления</w:t>
      </w:r>
      <w:r w:rsidR="002C7211" w:rsidRPr="00ED285D">
        <w:rPr>
          <w:rFonts w:cstheme="majorHAnsi"/>
          <w:b/>
          <w:color w:val="auto"/>
          <w:lang w:val="ru-MD"/>
        </w:rPr>
        <w:t>.</w:t>
      </w:r>
      <w:bookmarkEnd w:id="51"/>
    </w:p>
    <w:p w14:paraId="742F0BDF" w14:textId="16D63577" w:rsidR="004E41C7" w:rsidRPr="00ED285D" w:rsidRDefault="000446AF" w:rsidP="00D418F4">
      <w:pPr>
        <w:spacing w:after="120"/>
        <w:jc w:val="both"/>
        <w:rPr>
          <w:rFonts w:asciiTheme="majorHAnsi" w:hAnsiTheme="majorHAnsi" w:cstheme="majorHAnsi"/>
          <w:sz w:val="24"/>
          <w:szCs w:val="24"/>
          <w:lang w:val="ru-MD"/>
        </w:rPr>
      </w:pPr>
      <w:r w:rsidRPr="00ED285D">
        <w:rPr>
          <w:rFonts w:asciiTheme="majorHAnsi" w:eastAsia="Times New Roman" w:hAnsiTheme="majorHAnsi" w:cstheme="majorHAnsi"/>
          <w:sz w:val="24"/>
          <w:szCs w:val="24"/>
          <w:lang w:val="ru-MD"/>
        </w:rPr>
        <w:t>Согласно Таможенному кодексу</w:t>
      </w:r>
      <w:r w:rsidR="007B6E1B" w:rsidRPr="00ED285D">
        <w:rPr>
          <w:rFonts w:asciiTheme="majorHAnsi" w:eastAsia="SimSun" w:hAnsiTheme="majorHAnsi" w:cstheme="majorHAnsi"/>
          <w:sz w:val="24"/>
          <w:szCs w:val="24"/>
          <w:vertAlign w:val="superscript"/>
          <w:lang w:val="ru-MD"/>
        </w:rPr>
        <w:footnoteReference w:id="30"/>
      </w:r>
      <w:r w:rsidR="003A2668" w:rsidRPr="00ED285D">
        <w:rPr>
          <w:rFonts w:asciiTheme="majorHAnsi" w:eastAsia="SimSun" w:hAnsiTheme="majorHAnsi" w:cstheme="majorHAnsi"/>
          <w:sz w:val="24"/>
          <w:szCs w:val="24"/>
          <w:lang w:val="ru-MD"/>
        </w:rPr>
        <w:t>,</w:t>
      </w:r>
      <w:r w:rsidR="007B6E1B" w:rsidRPr="00ED285D">
        <w:rPr>
          <w:rFonts w:asciiTheme="majorHAnsi" w:eastAsia="Times New Roman" w:hAnsiTheme="majorHAnsi" w:cstheme="majorHAnsi"/>
          <w:sz w:val="24"/>
          <w:szCs w:val="24"/>
          <w:lang w:val="ru-MD"/>
        </w:rPr>
        <w:t xml:space="preserve"> </w:t>
      </w:r>
      <w:r w:rsidRPr="00ED285D">
        <w:rPr>
          <w:rFonts w:asciiTheme="majorHAnsi" w:eastAsia="Times New Roman" w:hAnsiTheme="majorHAnsi" w:cstheme="majorHAnsi"/>
          <w:sz w:val="24"/>
          <w:szCs w:val="24"/>
          <w:lang w:val="ru-MD"/>
        </w:rPr>
        <w:t>сумма всех таможенных платежей определяется исходя из элементов налогообложения, установленных на момент возникновения таможенного обязательства, а штрафы и пени относятся могут возникать после таможенного оформления</w:t>
      </w:r>
      <w:r w:rsidR="007B6E1B" w:rsidRPr="00ED285D">
        <w:rPr>
          <w:rFonts w:asciiTheme="majorHAnsi" w:eastAsia="Times New Roman" w:hAnsiTheme="majorHAnsi" w:cstheme="majorHAnsi"/>
          <w:sz w:val="24"/>
          <w:szCs w:val="24"/>
          <w:lang w:val="ru-MD"/>
        </w:rPr>
        <w:t xml:space="preserve">. </w:t>
      </w:r>
      <w:r w:rsidRPr="00ED285D">
        <w:rPr>
          <w:rFonts w:asciiTheme="majorHAnsi" w:eastAsia="Times New Roman" w:hAnsiTheme="majorHAnsi" w:cstheme="majorHAnsi"/>
          <w:sz w:val="24"/>
          <w:szCs w:val="24"/>
          <w:lang w:val="ru-MD"/>
        </w:rPr>
        <w:t>Таможенные платежи уплачиваются предварительно, до подачи таможенной декларации, а в момент оформления таможенных документов допускается оплата только разницы между расчетной суммой и предварительно оплаченной суммой</w:t>
      </w:r>
      <w:r w:rsidR="004004B6" w:rsidRPr="00ED285D">
        <w:rPr>
          <w:rFonts w:asciiTheme="majorHAnsi" w:eastAsia="Times New Roman" w:hAnsiTheme="majorHAnsi" w:cstheme="majorHAnsi"/>
          <w:sz w:val="24"/>
          <w:szCs w:val="24"/>
          <w:lang w:val="ru-MD"/>
        </w:rPr>
        <w:t>.</w:t>
      </w:r>
      <w:r w:rsidR="004B3F6F" w:rsidRPr="00ED285D">
        <w:rPr>
          <w:rFonts w:asciiTheme="majorHAnsi" w:eastAsia="Times New Roman" w:hAnsiTheme="majorHAnsi" w:cstheme="majorHAnsi"/>
          <w:sz w:val="24"/>
          <w:szCs w:val="24"/>
          <w:lang w:val="ru-MD"/>
        </w:rPr>
        <w:t xml:space="preserve"> </w:t>
      </w:r>
      <w:r w:rsidRPr="00ED285D">
        <w:rPr>
          <w:rFonts w:asciiTheme="majorHAnsi" w:eastAsia="Times New Roman" w:hAnsiTheme="majorHAnsi" w:cstheme="majorHAnsi"/>
          <w:sz w:val="24"/>
          <w:szCs w:val="24"/>
          <w:lang w:val="ru-MD"/>
        </w:rPr>
        <w:t>Кроме того</w:t>
      </w:r>
      <w:r w:rsidR="00AD6B1B" w:rsidRPr="00ED285D">
        <w:rPr>
          <w:rFonts w:asciiTheme="majorHAnsi" w:eastAsia="Times New Roman" w:hAnsiTheme="majorHAnsi" w:cstheme="majorHAnsi"/>
          <w:sz w:val="24"/>
          <w:szCs w:val="24"/>
          <w:lang w:val="ru-MD"/>
        </w:rPr>
        <w:t>,</w:t>
      </w:r>
      <w:r w:rsidR="004B3F6F" w:rsidRPr="00ED285D">
        <w:rPr>
          <w:rFonts w:asciiTheme="majorHAnsi" w:eastAsia="Times New Roman" w:hAnsiTheme="majorHAnsi" w:cstheme="majorHAnsi"/>
          <w:sz w:val="24"/>
          <w:szCs w:val="24"/>
          <w:lang w:val="ru-MD"/>
        </w:rPr>
        <w:t xml:space="preserve"> </w:t>
      </w:r>
      <w:r w:rsidR="00EC37EF" w:rsidRPr="00ED285D">
        <w:rPr>
          <w:rFonts w:asciiTheme="majorHAnsi" w:eastAsia="Times New Roman" w:hAnsiTheme="majorHAnsi" w:cstheme="majorHAnsi"/>
          <w:sz w:val="24"/>
          <w:szCs w:val="24"/>
          <w:lang w:val="ru-MD"/>
        </w:rPr>
        <w:t>при проведении посттаможенного контроля</w:t>
      </w:r>
      <w:r w:rsidR="00DD53F1" w:rsidRPr="00ED285D">
        <w:rPr>
          <w:rStyle w:val="FootnoteReference"/>
          <w:rFonts w:asciiTheme="majorHAnsi" w:eastAsia="Times New Roman" w:hAnsiTheme="majorHAnsi" w:cstheme="majorHAnsi"/>
          <w:sz w:val="24"/>
          <w:szCs w:val="24"/>
          <w:lang w:val="ru-MD"/>
        </w:rPr>
        <w:footnoteReference w:id="31"/>
      </w:r>
      <w:r w:rsidR="00DD53F1" w:rsidRPr="00ED285D">
        <w:rPr>
          <w:rFonts w:asciiTheme="majorHAnsi" w:eastAsia="Times New Roman" w:hAnsiTheme="majorHAnsi" w:cstheme="majorHAnsi"/>
          <w:sz w:val="24"/>
          <w:szCs w:val="24"/>
          <w:lang w:val="ru-MD"/>
        </w:rPr>
        <w:t xml:space="preserve">, </w:t>
      </w:r>
      <w:r w:rsidR="00EC37EF" w:rsidRPr="00ED285D">
        <w:rPr>
          <w:rFonts w:asciiTheme="majorHAnsi" w:eastAsia="Times New Roman" w:hAnsiTheme="majorHAnsi" w:cstheme="majorHAnsi"/>
          <w:sz w:val="24"/>
          <w:szCs w:val="24"/>
          <w:lang w:val="ru-MD"/>
        </w:rPr>
        <w:t>в случае выявления нарушений таможенный орган вправе рассчитать и взыскать в государственный бюджет таможенные обязательства, установленные на основании протокола и решения о регулировании</w:t>
      </w:r>
      <w:r w:rsidR="00394996" w:rsidRPr="00ED285D">
        <w:rPr>
          <w:rFonts w:asciiTheme="majorHAnsi" w:eastAsia="Times New Roman" w:hAnsiTheme="majorHAnsi" w:cstheme="majorHAnsi"/>
          <w:sz w:val="24"/>
          <w:szCs w:val="24"/>
          <w:lang w:val="ru-MD"/>
        </w:rPr>
        <w:t>.</w:t>
      </w:r>
      <w:r w:rsidR="004B3F6F" w:rsidRPr="00ED285D">
        <w:rPr>
          <w:rFonts w:asciiTheme="majorHAnsi" w:eastAsia="Times New Roman" w:hAnsiTheme="majorHAnsi" w:cstheme="majorHAnsi"/>
          <w:sz w:val="24"/>
          <w:szCs w:val="24"/>
          <w:lang w:val="ru-MD"/>
        </w:rPr>
        <w:t xml:space="preserve"> </w:t>
      </w:r>
      <w:r w:rsidR="00EC37EF" w:rsidRPr="00ED285D">
        <w:rPr>
          <w:rFonts w:asciiTheme="majorHAnsi" w:eastAsia="Times New Roman" w:hAnsiTheme="majorHAnsi" w:cstheme="majorHAnsi"/>
          <w:sz w:val="24"/>
          <w:szCs w:val="24"/>
          <w:lang w:val="ru-MD"/>
        </w:rPr>
        <w:t>Таможенные платежи уплачиваются непосредственно декларантом, таможенным брокером либо иным лицом, предусмотренным законодательством</w:t>
      </w:r>
      <w:r w:rsidR="00DE489A" w:rsidRPr="00ED285D">
        <w:rPr>
          <w:rFonts w:asciiTheme="majorHAnsi" w:eastAsia="Times New Roman" w:hAnsiTheme="majorHAnsi" w:cstheme="majorHAnsi"/>
          <w:sz w:val="24"/>
          <w:szCs w:val="24"/>
          <w:lang w:val="ru-MD"/>
        </w:rPr>
        <w:t xml:space="preserve">. </w:t>
      </w:r>
      <w:r w:rsidR="007B754E" w:rsidRPr="00ED285D">
        <w:rPr>
          <w:rFonts w:asciiTheme="majorHAnsi" w:eastAsia="Times New Roman" w:hAnsiTheme="majorHAnsi" w:cstheme="majorHAnsi"/>
          <w:sz w:val="24"/>
          <w:szCs w:val="24"/>
          <w:lang w:val="ru-MD"/>
        </w:rPr>
        <w:t>В то же время, согласно законодательству</w:t>
      </w:r>
      <w:r w:rsidR="007B754E" w:rsidRPr="00ED285D">
        <w:rPr>
          <w:rFonts w:asciiTheme="majorHAnsi" w:eastAsia="Times New Roman" w:hAnsiTheme="majorHAnsi" w:cstheme="majorHAnsi"/>
          <w:sz w:val="24"/>
          <w:szCs w:val="24"/>
          <w:vertAlign w:val="superscript"/>
          <w:lang w:val="ru-MD"/>
        </w:rPr>
        <w:footnoteReference w:id="32"/>
      </w:r>
      <w:r w:rsidR="007B754E" w:rsidRPr="00ED285D">
        <w:rPr>
          <w:rFonts w:asciiTheme="majorHAnsi" w:eastAsia="Times New Roman" w:hAnsiTheme="majorHAnsi" w:cstheme="majorHAnsi"/>
          <w:sz w:val="24"/>
          <w:szCs w:val="24"/>
          <w:lang w:val="ru-MD"/>
        </w:rPr>
        <w:t xml:space="preserve"> ТС, в качестве бюджетного органа, наделен</w:t>
      </w:r>
      <w:r w:rsidR="00B42CC2">
        <w:rPr>
          <w:rFonts w:asciiTheme="majorHAnsi" w:eastAsia="Times New Roman" w:hAnsiTheme="majorHAnsi" w:cstheme="majorHAnsi"/>
          <w:sz w:val="24"/>
          <w:szCs w:val="24"/>
          <w:lang w:val="ru-MD"/>
        </w:rPr>
        <w:t>а</w:t>
      </w:r>
      <w:r w:rsidR="007B754E" w:rsidRPr="00ED285D">
        <w:rPr>
          <w:rFonts w:asciiTheme="majorHAnsi" w:eastAsia="Times New Roman" w:hAnsiTheme="majorHAnsi" w:cstheme="majorHAnsi"/>
          <w:sz w:val="24"/>
          <w:szCs w:val="24"/>
          <w:lang w:val="ru-MD"/>
        </w:rPr>
        <w:t xml:space="preserve"> правом сбора/возв</w:t>
      </w:r>
      <w:r w:rsidR="00ED285D">
        <w:rPr>
          <w:rFonts w:asciiTheme="majorHAnsi" w:eastAsia="Times New Roman" w:hAnsiTheme="majorHAnsi" w:cstheme="majorHAnsi"/>
          <w:sz w:val="24"/>
          <w:szCs w:val="24"/>
          <w:lang w:val="ru-MD"/>
        </w:rPr>
        <w:t>ра</w:t>
      </w:r>
      <w:r w:rsidR="007B754E" w:rsidRPr="00ED285D">
        <w:rPr>
          <w:rFonts w:asciiTheme="majorHAnsi" w:eastAsia="Times New Roman" w:hAnsiTheme="majorHAnsi" w:cstheme="majorHAnsi"/>
          <w:sz w:val="24"/>
          <w:szCs w:val="24"/>
          <w:lang w:val="ru-MD"/>
        </w:rPr>
        <w:t>та, учета и контроля поступлений в национальный публичный бюджет, неся ответственность за правильность расчета и взимания таможенного обязательства</w:t>
      </w:r>
      <w:r w:rsidR="004E41C7" w:rsidRPr="00ED285D">
        <w:rPr>
          <w:rFonts w:asciiTheme="majorHAnsi" w:hAnsiTheme="majorHAnsi" w:cstheme="majorHAnsi"/>
          <w:sz w:val="24"/>
          <w:szCs w:val="24"/>
          <w:lang w:val="ru-MD"/>
        </w:rPr>
        <w:t>.</w:t>
      </w:r>
    </w:p>
    <w:p w14:paraId="4BE74DAA" w14:textId="1845519F" w:rsidR="00FA631A" w:rsidRPr="00333A47" w:rsidRDefault="009018F6" w:rsidP="00D418F4">
      <w:pPr>
        <w:spacing w:after="120"/>
        <w:jc w:val="both"/>
        <w:rPr>
          <w:rFonts w:asciiTheme="majorHAnsi" w:eastAsia="Times New Roman" w:hAnsiTheme="majorHAnsi" w:cstheme="majorHAnsi"/>
          <w:sz w:val="24"/>
          <w:szCs w:val="24"/>
          <w:lang w:val="ru-MD" w:eastAsia="ru-RU"/>
        </w:rPr>
      </w:pPr>
      <w:r w:rsidRPr="00333A47">
        <w:rPr>
          <w:rFonts w:asciiTheme="majorHAnsi" w:eastAsia="Times New Roman" w:hAnsiTheme="majorHAnsi" w:cstheme="majorHAnsi"/>
          <w:sz w:val="24"/>
          <w:szCs w:val="24"/>
          <w:lang w:val="ru-MD" w:eastAsia="ru-RU"/>
        </w:rPr>
        <w:t xml:space="preserve">Анализ информации, представленной </w:t>
      </w:r>
      <w:r w:rsidR="00B40CA6" w:rsidRPr="00333A47">
        <w:rPr>
          <w:rFonts w:asciiTheme="majorHAnsi" w:eastAsia="Times New Roman" w:hAnsiTheme="majorHAnsi" w:cstheme="majorHAnsi"/>
          <w:sz w:val="24"/>
          <w:szCs w:val="24"/>
          <w:lang w:val="ru-MD" w:eastAsia="ru-RU"/>
        </w:rPr>
        <w:t>ТС</w:t>
      </w:r>
      <w:r w:rsidRPr="00333A47">
        <w:rPr>
          <w:rFonts w:asciiTheme="majorHAnsi" w:eastAsia="Times New Roman" w:hAnsiTheme="majorHAnsi" w:cstheme="majorHAnsi"/>
          <w:sz w:val="24"/>
          <w:szCs w:val="24"/>
          <w:lang w:val="ru-MD" w:eastAsia="ru-RU"/>
        </w:rPr>
        <w:t>, показ</w:t>
      </w:r>
      <w:r w:rsidR="00B40CA6" w:rsidRPr="00333A47">
        <w:rPr>
          <w:rFonts w:asciiTheme="majorHAnsi" w:eastAsia="Times New Roman" w:hAnsiTheme="majorHAnsi" w:cstheme="majorHAnsi"/>
          <w:sz w:val="24"/>
          <w:szCs w:val="24"/>
          <w:lang w:val="ru-MD" w:eastAsia="ru-RU"/>
        </w:rPr>
        <w:t>ал</w:t>
      </w:r>
      <w:r w:rsidRPr="00333A47">
        <w:rPr>
          <w:rFonts w:asciiTheme="majorHAnsi" w:eastAsia="Times New Roman" w:hAnsiTheme="majorHAnsi" w:cstheme="majorHAnsi"/>
          <w:sz w:val="24"/>
          <w:szCs w:val="24"/>
          <w:lang w:val="ru-MD" w:eastAsia="ru-RU"/>
        </w:rPr>
        <w:t xml:space="preserve">, что на 31.12.2021 были зарегистрированы </w:t>
      </w:r>
      <w:r w:rsidR="00B40CA6" w:rsidRPr="00333A47">
        <w:rPr>
          <w:rFonts w:asciiTheme="majorHAnsi" w:eastAsia="Times New Roman" w:hAnsiTheme="majorHAnsi" w:cstheme="majorHAnsi"/>
          <w:sz w:val="24"/>
          <w:szCs w:val="24"/>
          <w:lang w:val="ru-MD" w:eastAsia="ru-RU"/>
        </w:rPr>
        <w:t>задолженности</w:t>
      </w:r>
      <w:r w:rsidRPr="00333A47">
        <w:rPr>
          <w:rFonts w:asciiTheme="majorHAnsi" w:eastAsia="Times New Roman" w:hAnsiTheme="majorHAnsi" w:cstheme="majorHAnsi"/>
          <w:sz w:val="24"/>
          <w:szCs w:val="24"/>
          <w:lang w:val="ru-MD" w:eastAsia="ru-RU"/>
        </w:rPr>
        <w:t xml:space="preserve"> на общую сумму 344,0 млн. ле</w:t>
      </w:r>
      <w:r w:rsidR="00B40CA6" w:rsidRPr="00333A47">
        <w:rPr>
          <w:rFonts w:asciiTheme="majorHAnsi" w:eastAsia="Times New Roman" w:hAnsiTheme="majorHAnsi" w:cstheme="majorHAnsi"/>
          <w:sz w:val="24"/>
          <w:szCs w:val="24"/>
          <w:lang w:val="ru-MD" w:eastAsia="ru-RU"/>
        </w:rPr>
        <w:t>ев</w:t>
      </w:r>
      <w:r w:rsidRPr="00333A47">
        <w:rPr>
          <w:rFonts w:asciiTheme="majorHAnsi" w:eastAsia="Times New Roman" w:hAnsiTheme="majorHAnsi" w:cstheme="majorHAnsi"/>
          <w:sz w:val="24"/>
          <w:szCs w:val="24"/>
          <w:lang w:val="ru-MD" w:eastAsia="ru-RU"/>
        </w:rPr>
        <w:t>, в том числе 105,7 млн.</w:t>
      </w:r>
      <w:r w:rsidR="00B40CA6" w:rsidRPr="00333A47">
        <w:rPr>
          <w:rFonts w:asciiTheme="majorHAnsi" w:eastAsia="Times New Roman" w:hAnsiTheme="majorHAnsi" w:cstheme="majorHAnsi"/>
          <w:sz w:val="24"/>
          <w:szCs w:val="24"/>
          <w:lang w:val="ru-MD" w:eastAsia="ru-RU"/>
        </w:rPr>
        <w:t xml:space="preserve"> леев</w:t>
      </w:r>
      <w:r w:rsidRPr="00333A47">
        <w:rPr>
          <w:rFonts w:asciiTheme="majorHAnsi" w:eastAsia="Times New Roman" w:hAnsiTheme="majorHAnsi" w:cstheme="majorHAnsi"/>
          <w:sz w:val="24"/>
          <w:szCs w:val="24"/>
          <w:lang w:val="ru-MD" w:eastAsia="ru-RU"/>
        </w:rPr>
        <w:t xml:space="preserve"> </w:t>
      </w:r>
      <w:r w:rsidR="00B40CA6" w:rsidRPr="00333A47">
        <w:rPr>
          <w:rFonts w:asciiTheme="majorHAnsi" w:eastAsia="Times New Roman" w:hAnsiTheme="majorHAnsi" w:cstheme="majorHAnsi"/>
          <w:sz w:val="24"/>
          <w:szCs w:val="24"/>
          <w:lang w:val="ru-MD" w:eastAsia="ru-RU"/>
        </w:rPr>
        <w:t xml:space="preserve">со </w:t>
      </w:r>
      <w:r w:rsidRPr="00333A47">
        <w:rPr>
          <w:rFonts w:asciiTheme="majorHAnsi" w:eastAsia="Times New Roman" w:hAnsiTheme="majorHAnsi" w:cstheme="majorHAnsi"/>
          <w:sz w:val="24"/>
          <w:szCs w:val="24"/>
          <w:lang w:val="ru-MD" w:eastAsia="ru-RU"/>
        </w:rPr>
        <w:t>сроком более 6 лет. По сравнению с ситуацией</w:t>
      </w:r>
      <w:r w:rsidR="00B40CA6" w:rsidRPr="00333A47">
        <w:rPr>
          <w:rFonts w:asciiTheme="majorHAnsi" w:eastAsia="Times New Roman" w:hAnsiTheme="majorHAnsi" w:cstheme="majorHAnsi"/>
          <w:sz w:val="24"/>
          <w:szCs w:val="24"/>
          <w:lang w:val="ru-MD" w:eastAsia="ru-RU"/>
        </w:rPr>
        <w:t>, отраженной</w:t>
      </w:r>
      <w:r w:rsidRPr="00333A47">
        <w:rPr>
          <w:rFonts w:asciiTheme="majorHAnsi" w:eastAsia="Times New Roman" w:hAnsiTheme="majorHAnsi" w:cstheme="majorHAnsi"/>
          <w:sz w:val="24"/>
          <w:szCs w:val="24"/>
          <w:lang w:val="ru-MD" w:eastAsia="ru-RU"/>
        </w:rPr>
        <w:t xml:space="preserve"> </w:t>
      </w:r>
      <w:r w:rsidR="00B40CA6" w:rsidRPr="00333A47">
        <w:rPr>
          <w:rFonts w:asciiTheme="majorHAnsi" w:eastAsia="Times New Roman" w:hAnsiTheme="majorHAnsi" w:cstheme="majorHAnsi"/>
          <w:sz w:val="24"/>
          <w:szCs w:val="24"/>
          <w:lang w:val="ru-MD" w:eastAsia="ru-RU"/>
        </w:rPr>
        <w:t xml:space="preserve">на </w:t>
      </w:r>
      <w:r w:rsidRPr="00333A47">
        <w:rPr>
          <w:rFonts w:asciiTheme="majorHAnsi" w:eastAsia="Times New Roman" w:hAnsiTheme="majorHAnsi" w:cstheme="majorHAnsi"/>
          <w:sz w:val="24"/>
          <w:szCs w:val="24"/>
          <w:lang w:val="ru-MD" w:eastAsia="ru-RU"/>
        </w:rPr>
        <w:t>31.12.2020 (399,2 млн.</w:t>
      </w:r>
      <w:r w:rsidR="00333A47">
        <w:rPr>
          <w:rFonts w:asciiTheme="majorHAnsi" w:eastAsia="Times New Roman" w:hAnsiTheme="majorHAnsi" w:cstheme="majorHAnsi"/>
          <w:sz w:val="24"/>
          <w:szCs w:val="24"/>
          <w:lang w:val="ru-MD" w:eastAsia="ru-RU"/>
        </w:rPr>
        <w:t xml:space="preserve"> </w:t>
      </w:r>
      <w:r w:rsidR="00B40CA6" w:rsidRPr="00333A47">
        <w:rPr>
          <w:rFonts w:asciiTheme="majorHAnsi" w:eastAsia="Times New Roman" w:hAnsiTheme="majorHAnsi" w:cstheme="majorHAnsi"/>
          <w:sz w:val="24"/>
          <w:szCs w:val="24"/>
          <w:lang w:val="ru-MD" w:eastAsia="ru-RU"/>
        </w:rPr>
        <w:t xml:space="preserve">леев) и на </w:t>
      </w:r>
      <w:r w:rsidRPr="00333A47">
        <w:rPr>
          <w:rFonts w:asciiTheme="majorHAnsi" w:eastAsia="Times New Roman" w:hAnsiTheme="majorHAnsi" w:cstheme="majorHAnsi"/>
          <w:sz w:val="24"/>
          <w:szCs w:val="24"/>
          <w:lang w:val="ru-MD" w:eastAsia="ru-RU"/>
        </w:rPr>
        <w:t>31.12.2019 (457,1 млн. леев)</w:t>
      </w:r>
      <w:r w:rsidR="00B40CA6" w:rsidRPr="00333A47">
        <w:rPr>
          <w:rFonts w:asciiTheme="majorHAnsi" w:eastAsia="Times New Roman" w:hAnsiTheme="majorHAnsi" w:cstheme="majorHAnsi"/>
          <w:sz w:val="24"/>
          <w:szCs w:val="24"/>
          <w:lang w:val="ru-MD" w:eastAsia="ru-RU"/>
        </w:rPr>
        <w:t>,</w:t>
      </w:r>
      <w:r w:rsidRPr="00333A47">
        <w:rPr>
          <w:rFonts w:asciiTheme="majorHAnsi" w:eastAsia="Times New Roman" w:hAnsiTheme="majorHAnsi" w:cstheme="majorHAnsi"/>
          <w:sz w:val="24"/>
          <w:szCs w:val="24"/>
          <w:lang w:val="ru-MD" w:eastAsia="ru-RU"/>
        </w:rPr>
        <w:t xml:space="preserve"> стоимость таможенного обязательства, связанного с не</w:t>
      </w:r>
      <w:r w:rsidR="00333A47" w:rsidRPr="00333A47">
        <w:rPr>
          <w:rFonts w:asciiTheme="majorHAnsi" w:eastAsia="Times New Roman" w:hAnsiTheme="majorHAnsi" w:cstheme="majorHAnsi"/>
          <w:sz w:val="24"/>
          <w:szCs w:val="24"/>
          <w:lang w:val="ru-MD" w:eastAsia="ru-RU"/>
        </w:rPr>
        <w:t xml:space="preserve">уплатой в бюджет </w:t>
      </w:r>
      <w:r w:rsidRPr="00333A47">
        <w:rPr>
          <w:rFonts w:asciiTheme="majorHAnsi" w:eastAsia="Times New Roman" w:hAnsiTheme="majorHAnsi" w:cstheme="majorHAnsi"/>
          <w:sz w:val="24"/>
          <w:szCs w:val="24"/>
          <w:lang w:val="ru-MD" w:eastAsia="ru-RU"/>
        </w:rPr>
        <w:t>импорт</w:t>
      </w:r>
      <w:r w:rsidR="00333A47" w:rsidRPr="00333A47">
        <w:rPr>
          <w:rFonts w:asciiTheme="majorHAnsi" w:eastAsia="Times New Roman" w:hAnsiTheme="majorHAnsi" w:cstheme="majorHAnsi"/>
          <w:sz w:val="24"/>
          <w:szCs w:val="24"/>
          <w:lang w:val="ru-MD" w:eastAsia="ru-RU"/>
        </w:rPr>
        <w:t>но</w:t>
      </w:r>
      <w:r w:rsidRPr="00333A47">
        <w:rPr>
          <w:rFonts w:asciiTheme="majorHAnsi" w:eastAsia="Times New Roman" w:hAnsiTheme="majorHAnsi" w:cstheme="majorHAnsi"/>
          <w:sz w:val="24"/>
          <w:szCs w:val="24"/>
          <w:lang w:val="ru-MD" w:eastAsia="ru-RU"/>
        </w:rPr>
        <w:t>-экспорт</w:t>
      </w:r>
      <w:r w:rsidR="00333A47" w:rsidRPr="00333A47">
        <w:rPr>
          <w:rFonts w:asciiTheme="majorHAnsi" w:eastAsia="Times New Roman" w:hAnsiTheme="majorHAnsi" w:cstheme="majorHAnsi"/>
          <w:sz w:val="24"/>
          <w:szCs w:val="24"/>
          <w:lang w:val="ru-MD" w:eastAsia="ru-RU"/>
        </w:rPr>
        <w:t>ных пошлин</w:t>
      </w:r>
      <w:r w:rsidRPr="00333A47">
        <w:rPr>
          <w:rFonts w:asciiTheme="majorHAnsi" w:eastAsia="Times New Roman" w:hAnsiTheme="majorHAnsi" w:cstheme="majorHAnsi"/>
          <w:sz w:val="24"/>
          <w:szCs w:val="24"/>
          <w:lang w:val="ru-MD" w:eastAsia="ru-RU"/>
        </w:rPr>
        <w:t>, уменьшилась на 55,2 млн. леев</w:t>
      </w:r>
      <w:r w:rsidR="00333A47" w:rsidRPr="00333A47">
        <w:rPr>
          <w:rFonts w:asciiTheme="majorHAnsi" w:eastAsia="Times New Roman" w:hAnsiTheme="majorHAnsi" w:cstheme="majorHAnsi"/>
          <w:sz w:val="24"/>
          <w:szCs w:val="24"/>
          <w:lang w:val="ru-MD" w:eastAsia="ru-RU"/>
        </w:rPr>
        <w:t xml:space="preserve"> </w:t>
      </w:r>
      <w:r w:rsidRPr="00333A47">
        <w:rPr>
          <w:rFonts w:asciiTheme="majorHAnsi" w:eastAsia="Times New Roman" w:hAnsiTheme="majorHAnsi" w:cstheme="majorHAnsi"/>
          <w:sz w:val="24"/>
          <w:szCs w:val="24"/>
          <w:lang w:val="ru-MD" w:eastAsia="ru-RU"/>
        </w:rPr>
        <w:t>и, соответственно, 113,1 млн.</w:t>
      </w:r>
      <w:r w:rsidR="00333A47" w:rsidRPr="00333A47">
        <w:rPr>
          <w:rFonts w:asciiTheme="majorHAnsi" w:eastAsia="Times New Roman" w:hAnsiTheme="majorHAnsi" w:cstheme="majorHAnsi"/>
          <w:sz w:val="24"/>
          <w:szCs w:val="24"/>
          <w:lang w:val="ru-MD" w:eastAsia="ru-RU"/>
        </w:rPr>
        <w:t xml:space="preserve"> </w:t>
      </w:r>
      <w:r w:rsidRPr="00333A47">
        <w:rPr>
          <w:rFonts w:asciiTheme="majorHAnsi" w:eastAsia="Times New Roman" w:hAnsiTheme="majorHAnsi" w:cstheme="majorHAnsi"/>
          <w:sz w:val="24"/>
          <w:szCs w:val="24"/>
          <w:lang w:val="ru-MD" w:eastAsia="ru-RU"/>
        </w:rPr>
        <w:t>ле</w:t>
      </w:r>
      <w:r w:rsidR="00333A47" w:rsidRPr="00333A47">
        <w:rPr>
          <w:rFonts w:asciiTheme="majorHAnsi" w:eastAsia="Times New Roman" w:hAnsiTheme="majorHAnsi" w:cstheme="majorHAnsi"/>
          <w:sz w:val="24"/>
          <w:szCs w:val="24"/>
          <w:lang w:val="ru-MD" w:eastAsia="ru-RU"/>
        </w:rPr>
        <w:t>ев</w:t>
      </w:r>
      <w:r w:rsidR="00BE22AB" w:rsidRPr="00333A47">
        <w:rPr>
          <w:rFonts w:asciiTheme="majorHAnsi" w:hAnsiTheme="majorHAnsi" w:cstheme="majorHAnsi"/>
          <w:sz w:val="24"/>
          <w:szCs w:val="24"/>
          <w:lang w:val="ru-MD"/>
        </w:rPr>
        <w:t xml:space="preserve">. </w:t>
      </w:r>
    </w:p>
    <w:p w14:paraId="26E07ECC" w14:textId="19998861" w:rsidR="00287BF5" w:rsidRPr="00333A47" w:rsidRDefault="009018F6" w:rsidP="00290183">
      <w:pPr>
        <w:spacing w:after="0"/>
        <w:jc w:val="both"/>
        <w:rPr>
          <w:rFonts w:asciiTheme="majorHAnsi" w:hAnsiTheme="majorHAnsi" w:cstheme="majorHAnsi"/>
          <w:i/>
          <w:sz w:val="20"/>
          <w:szCs w:val="20"/>
          <w:lang w:val="ru-MD"/>
        </w:rPr>
      </w:pPr>
      <w:r w:rsidRPr="00333A47">
        <w:rPr>
          <w:rFonts w:asciiTheme="majorHAnsi" w:eastAsia="Times New Roman" w:hAnsiTheme="majorHAnsi" w:cstheme="majorHAnsi"/>
          <w:sz w:val="24"/>
          <w:szCs w:val="24"/>
          <w:lang w:val="ru-MD" w:eastAsia="ru-RU"/>
        </w:rPr>
        <w:t xml:space="preserve">Формирование </w:t>
      </w:r>
      <w:r w:rsidR="00333A47" w:rsidRPr="00333A47">
        <w:rPr>
          <w:rFonts w:asciiTheme="majorHAnsi" w:eastAsia="Times New Roman" w:hAnsiTheme="majorHAnsi" w:cstheme="majorHAnsi"/>
          <w:sz w:val="24"/>
          <w:szCs w:val="24"/>
          <w:lang w:val="ru-MD" w:eastAsia="ru-RU"/>
        </w:rPr>
        <w:t>задолженностей</w:t>
      </w:r>
      <w:r w:rsidRPr="00333A47">
        <w:rPr>
          <w:rFonts w:asciiTheme="majorHAnsi" w:eastAsia="Times New Roman" w:hAnsiTheme="majorHAnsi" w:cstheme="majorHAnsi"/>
          <w:sz w:val="24"/>
          <w:szCs w:val="24"/>
          <w:lang w:val="ru-MD" w:eastAsia="ru-RU"/>
        </w:rPr>
        <w:t>, связанных с таможенным обязательством, было в значительной степени вызвано составлением решений о регул</w:t>
      </w:r>
      <w:r w:rsidR="00333A47" w:rsidRPr="00333A47">
        <w:rPr>
          <w:rFonts w:asciiTheme="majorHAnsi" w:eastAsia="Times New Roman" w:hAnsiTheme="majorHAnsi" w:cstheme="majorHAnsi"/>
          <w:sz w:val="24"/>
          <w:szCs w:val="24"/>
          <w:lang w:val="ru-MD" w:eastAsia="ru-RU"/>
        </w:rPr>
        <w:t>ировании</w:t>
      </w:r>
      <w:r w:rsidRPr="00333A47">
        <w:rPr>
          <w:rFonts w:asciiTheme="majorHAnsi" w:eastAsia="Times New Roman" w:hAnsiTheme="majorHAnsi" w:cstheme="majorHAnsi"/>
          <w:sz w:val="24"/>
          <w:szCs w:val="24"/>
          <w:lang w:val="ru-MD" w:eastAsia="ru-RU"/>
        </w:rPr>
        <w:t xml:space="preserve"> с целью дополнительного сбора </w:t>
      </w:r>
      <w:r w:rsidR="00333A47" w:rsidRPr="00333A47">
        <w:rPr>
          <w:rFonts w:asciiTheme="majorHAnsi" w:eastAsia="Times New Roman" w:hAnsiTheme="majorHAnsi" w:cstheme="majorHAnsi"/>
          <w:sz w:val="24"/>
          <w:szCs w:val="24"/>
          <w:lang w:val="ru-MD" w:eastAsia="ru-RU"/>
        </w:rPr>
        <w:t>импортно-экспортных пошлин</w:t>
      </w:r>
      <w:r w:rsidRPr="00333A47">
        <w:rPr>
          <w:rFonts w:asciiTheme="majorHAnsi" w:eastAsia="Times New Roman" w:hAnsiTheme="majorHAnsi" w:cstheme="majorHAnsi"/>
          <w:sz w:val="24"/>
          <w:szCs w:val="24"/>
          <w:lang w:val="ru-MD" w:eastAsia="ru-RU"/>
        </w:rPr>
        <w:t xml:space="preserve"> в результате выявления </w:t>
      </w:r>
      <w:r w:rsidR="00333A47" w:rsidRPr="00333A47">
        <w:rPr>
          <w:rFonts w:asciiTheme="majorHAnsi" w:eastAsia="Times New Roman" w:hAnsiTheme="majorHAnsi" w:cstheme="majorHAnsi"/>
          <w:sz w:val="24"/>
          <w:szCs w:val="24"/>
          <w:lang w:val="ru-MD" w:eastAsia="ru-RU"/>
        </w:rPr>
        <w:t xml:space="preserve">таможенными органами </w:t>
      </w:r>
      <w:r w:rsidRPr="00333A47">
        <w:rPr>
          <w:rFonts w:asciiTheme="majorHAnsi" w:eastAsia="Times New Roman" w:hAnsiTheme="majorHAnsi" w:cstheme="majorHAnsi"/>
          <w:sz w:val="24"/>
          <w:szCs w:val="24"/>
          <w:lang w:val="ru-MD" w:eastAsia="ru-RU"/>
        </w:rPr>
        <w:t xml:space="preserve">у экономических агентов нарушений. </w:t>
      </w:r>
      <w:r w:rsidR="00333A47" w:rsidRPr="00333A47">
        <w:rPr>
          <w:rFonts w:asciiTheme="majorHAnsi" w:eastAsia="Times New Roman" w:hAnsiTheme="majorHAnsi" w:cstheme="majorHAnsi"/>
          <w:sz w:val="24"/>
          <w:szCs w:val="24"/>
          <w:lang w:val="ru-MD" w:eastAsia="ru-RU"/>
        </w:rPr>
        <w:t>Ситуация п</w:t>
      </w:r>
      <w:r w:rsidRPr="00333A47">
        <w:rPr>
          <w:rFonts w:asciiTheme="majorHAnsi" w:eastAsia="Times New Roman" w:hAnsiTheme="majorHAnsi" w:cstheme="majorHAnsi"/>
          <w:sz w:val="24"/>
          <w:szCs w:val="24"/>
          <w:lang w:val="ru-MD" w:eastAsia="ru-RU"/>
        </w:rPr>
        <w:t xml:space="preserve">о структуре </w:t>
      </w:r>
      <w:r w:rsidR="00333A47" w:rsidRPr="00333A47">
        <w:rPr>
          <w:rFonts w:asciiTheme="majorHAnsi" w:eastAsia="Times New Roman" w:hAnsiTheme="majorHAnsi" w:cstheme="majorHAnsi"/>
          <w:sz w:val="24"/>
          <w:szCs w:val="24"/>
          <w:lang w:val="ru-MD" w:eastAsia="ru-RU"/>
        </w:rPr>
        <w:t>задолженностей</w:t>
      </w:r>
      <w:r w:rsidRPr="00333A47">
        <w:rPr>
          <w:rFonts w:asciiTheme="majorHAnsi" w:eastAsia="Times New Roman" w:hAnsiTheme="majorHAnsi" w:cstheme="majorHAnsi"/>
          <w:sz w:val="24"/>
          <w:szCs w:val="24"/>
          <w:lang w:val="ru-MD" w:eastAsia="ru-RU"/>
        </w:rPr>
        <w:t xml:space="preserve"> экономических агентов </w:t>
      </w:r>
      <w:r w:rsidR="00333A47" w:rsidRPr="00333A47">
        <w:rPr>
          <w:rFonts w:asciiTheme="majorHAnsi" w:eastAsia="Times New Roman" w:hAnsiTheme="majorHAnsi" w:cstheme="majorHAnsi"/>
          <w:sz w:val="24"/>
          <w:szCs w:val="24"/>
          <w:lang w:val="ru-MD" w:eastAsia="ru-RU"/>
        </w:rPr>
        <w:t>перед</w:t>
      </w:r>
      <w:r w:rsidRPr="00333A47">
        <w:rPr>
          <w:rFonts w:asciiTheme="majorHAnsi" w:eastAsia="Times New Roman" w:hAnsiTheme="majorHAnsi" w:cstheme="majorHAnsi"/>
          <w:sz w:val="24"/>
          <w:szCs w:val="24"/>
          <w:lang w:val="ru-MD" w:eastAsia="ru-RU"/>
        </w:rPr>
        <w:t xml:space="preserve"> государственн</w:t>
      </w:r>
      <w:r w:rsidR="00333A47" w:rsidRPr="00333A47">
        <w:rPr>
          <w:rFonts w:asciiTheme="majorHAnsi" w:eastAsia="Times New Roman" w:hAnsiTheme="majorHAnsi" w:cstheme="majorHAnsi"/>
          <w:sz w:val="24"/>
          <w:szCs w:val="24"/>
          <w:lang w:val="ru-MD" w:eastAsia="ru-RU"/>
        </w:rPr>
        <w:t>ым</w:t>
      </w:r>
      <w:r w:rsidRPr="00333A47">
        <w:rPr>
          <w:rFonts w:asciiTheme="majorHAnsi" w:eastAsia="Times New Roman" w:hAnsiTheme="majorHAnsi" w:cstheme="majorHAnsi"/>
          <w:sz w:val="24"/>
          <w:szCs w:val="24"/>
          <w:lang w:val="ru-MD" w:eastAsia="ru-RU"/>
        </w:rPr>
        <w:t xml:space="preserve"> бюджет</w:t>
      </w:r>
      <w:r w:rsidR="00333A47" w:rsidRPr="00333A47">
        <w:rPr>
          <w:rFonts w:asciiTheme="majorHAnsi" w:eastAsia="Times New Roman" w:hAnsiTheme="majorHAnsi" w:cstheme="majorHAnsi"/>
          <w:sz w:val="24"/>
          <w:szCs w:val="24"/>
          <w:lang w:val="ru-MD" w:eastAsia="ru-RU"/>
        </w:rPr>
        <w:t>ом</w:t>
      </w:r>
      <w:r w:rsidRPr="00333A47">
        <w:rPr>
          <w:rFonts w:asciiTheme="majorHAnsi" w:eastAsia="Times New Roman" w:hAnsiTheme="majorHAnsi" w:cstheme="majorHAnsi"/>
          <w:sz w:val="24"/>
          <w:szCs w:val="24"/>
          <w:lang w:val="ru-MD" w:eastAsia="ru-RU"/>
        </w:rPr>
        <w:t xml:space="preserve">, разделенных на виды налогов и сборов, </w:t>
      </w:r>
      <w:r w:rsidR="00333A47" w:rsidRPr="00333A47">
        <w:rPr>
          <w:rFonts w:asciiTheme="majorHAnsi" w:eastAsia="Times New Roman" w:hAnsiTheme="majorHAnsi" w:cstheme="majorHAnsi"/>
          <w:sz w:val="24"/>
          <w:szCs w:val="24"/>
          <w:lang w:val="ru-MD" w:eastAsia="ru-RU"/>
        </w:rPr>
        <w:t>администрируем</w:t>
      </w:r>
      <w:r w:rsidRPr="00333A47">
        <w:rPr>
          <w:rFonts w:asciiTheme="majorHAnsi" w:eastAsia="Times New Roman" w:hAnsiTheme="majorHAnsi" w:cstheme="majorHAnsi"/>
          <w:sz w:val="24"/>
          <w:szCs w:val="24"/>
          <w:lang w:val="ru-MD" w:eastAsia="ru-RU"/>
        </w:rPr>
        <w:t>ых таможенными органами в период 2019-2021 г</w:t>
      </w:r>
      <w:r w:rsidR="00333A47" w:rsidRPr="00333A47">
        <w:rPr>
          <w:rFonts w:asciiTheme="majorHAnsi" w:eastAsia="Times New Roman" w:hAnsiTheme="majorHAnsi" w:cstheme="majorHAnsi"/>
          <w:sz w:val="24"/>
          <w:szCs w:val="24"/>
          <w:lang w:val="ru-MD" w:eastAsia="ru-RU"/>
        </w:rPr>
        <w:t>одов</w:t>
      </w:r>
      <w:r w:rsidRPr="00333A47">
        <w:rPr>
          <w:rFonts w:asciiTheme="majorHAnsi" w:eastAsia="Times New Roman" w:hAnsiTheme="majorHAnsi" w:cstheme="majorHAnsi"/>
          <w:sz w:val="24"/>
          <w:szCs w:val="24"/>
          <w:lang w:val="ru-MD" w:eastAsia="ru-RU"/>
        </w:rPr>
        <w:t xml:space="preserve">, представлено в  </w:t>
      </w:r>
      <w:r w:rsidR="00146A62" w:rsidRPr="00333A47">
        <w:rPr>
          <w:rFonts w:asciiTheme="majorHAnsi" w:hAnsiTheme="majorHAnsi" w:cstheme="majorHAnsi"/>
          <w:i/>
          <w:sz w:val="24"/>
          <w:szCs w:val="24"/>
          <w:lang w:val="ru-MD"/>
        </w:rPr>
        <w:t>Диаграмм</w:t>
      </w:r>
      <w:r w:rsidR="00333A47" w:rsidRPr="00333A47">
        <w:rPr>
          <w:rFonts w:asciiTheme="majorHAnsi" w:hAnsiTheme="majorHAnsi" w:cstheme="majorHAnsi"/>
          <w:i/>
          <w:sz w:val="24"/>
          <w:szCs w:val="24"/>
          <w:lang w:val="ru-MD"/>
        </w:rPr>
        <w:t>е</w:t>
      </w:r>
      <w:r w:rsidR="00146A62" w:rsidRPr="00333A47">
        <w:rPr>
          <w:rFonts w:asciiTheme="majorHAnsi" w:hAnsiTheme="majorHAnsi" w:cstheme="majorHAnsi"/>
          <w:i/>
          <w:sz w:val="24"/>
          <w:szCs w:val="24"/>
          <w:lang w:val="ru-MD"/>
        </w:rPr>
        <w:t xml:space="preserve"> №</w:t>
      </w:r>
      <w:r w:rsidR="00FC36C1" w:rsidRPr="00333A47">
        <w:rPr>
          <w:rFonts w:asciiTheme="majorHAnsi" w:hAnsiTheme="majorHAnsi" w:cstheme="majorHAnsi"/>
          <w:i/>
          <w:sz w:val="24"/>
          <w:szCs w:val="24"/>
          <w:lang w:val="ru-MD"/>
        </w:rPr>
        <w:t>5</w:t>
      </w:r>
      <w:r w:rsidR="00AE740D" w:rsidRPr="00333A47">
        <w:rPr>
          <w:rFonts w:asciiTheme="majorHAnsi" w:hAnsiTheme="majorHAnsi" w:cstheme="majorHAnsi"/>
          <w:i/>
          <w:sz w:val="24"/>
          <w:szCs w:val="24"/>
          <w:lang w:val="ru-MD"/>
        </w:rPr>
        <w:t>.</w:t>
      </w:r>
      <w:r w:rsidR="00AE740D" w:rsidRPr="00333A47">
        <w:rPr>
          <w:rFonts w:asciiTheme="majorHAnsi" w:hAnsiTheme="majorHAnsi" w:cstheme="majorHAnsi"/>
          <w:i/>
          <w:sz w:val="20"/>
          <w:szCs w:val="20"/>
          <w:lang w:val="ru-MD"/>
        </w:rPr>
        <w:t xml:space="preserve">                                                                                                                          </w:t>
      </w:r>
      <w:r w:rsidR="00FA7203" w:rsidRPr="00333A47">
        <w:rPr>
          <w:rFonts w:asciiTheme="majorHAnsi" w:hAnsiTheme="majorHAnsi" w:cstheme="majorHAnsi"/>
          <w:i/>
          <w:sz w:val="20"/>
          <w:szCs w:val="20"/>
          <w:lang w:val="ru-MD"/>
        </w:rPr>
        <w:t xml:space="preserve">                        </w:t>
      </w:r>
    </w:p>
    <w:p w14:paraId="7B34B474" w14:textId="4780F6BA" w:rsidR="00360F63" w:rsidRPr="00333A47" w:rsidRDefault="008B1CB6" w:rsidP="00AE740D">
      <w:pPr>
        <w:spacing w:after="0"/>
        <w:ind w:right="-2"/>
        <w:jc w:val="center"/>
        <w:rPr>
          <w:rFonts w:asciiTheme="majorHAnsi" w:eastAsia="SimSun" w:hAnsiTheme="majorHAnsi" w:cstheme="majorHAnsi"/>
          <w:sz w:val="24"/>
          <w:szCs w:val="24"/>
          <w:lang w:val="ru-MD"/>
        </w:rPr>
      </w:pPr>
      <w:r w:rsidRPr="00333A47">
        <w:rPr>
          <w:rFonts w:asciiTheme="majorHAnsi" w:hAnsiTheme="majorHAnsi" w:cstheme="majorHAnsi"/>
          <w:i/>
          <w:sz w:val="20"/>
          <w:szCs w:val="20"/>
          <w:lang w:val="ru-MD"/>
        </w:rPr>
        <w:t xml:space="preserve">                                                                                                                                                             </w:t>
      </w:r>
      <w:r w:rsidR="00AE740D" w:rsidRPr="00333A47">
        <w:rPr>
          <w:rFonts w:asciiTheme="majorHAnsi" w:hAnsiTheme="majorHAnsi" w:cstheme="majorHAnsi"/>
          <w:i/>
          <w:sz w:val="20"/>
          <w:szCs w:val="20"/>
          <w:lang w:val="ru-MD"/>
        </w:rPr>
        <w:t xml:space="preserve"> </w:t>
      </w:r>
      <w:r w:rsidR="00146A62" w:rsidRPr="00333A47">
        <w:rPr>
          <w:rFonts w:asciiTheme="majorHAnsi" w:hAnsiTheme="majorHAnsi" w:cstheme="majorHAnsi"/>
          <w:i/>
          <w:sz w:val="24"/>
          <w:szCs w:val="24"/>
          <w:lang w:val="ru-MD"/>
        </w:rPr>
        <w:t>Диаграмма №</w:t>
      </w:r>
      <w:r w:rsidR="00FC36C1" w:rsidRPr="00333A47">
        <w:rPr>
          <w:rFonts w:asciiTheme="majorHAnsi" w:hAnsiTheme="majorHAnsi" w:cstheme="majorHAnsi"/>
          <w:i/>
          <w:sz w:val="24"/>
          <w:szCs w:val="24"/>
          <w:lang w:val="ru-MD"/>
        </w:rPr>
        <w:t>5</w:t>
      </w:r>
    </w:p>
    <w:p w14:paraId="2FFBBD34" w14:textId="77777777" w:rsidR="00485B4C" w:rsidRPr="00B20FBD" w:rsidRDefault="00CD4F6E" w:rsidP="00CD4F6E">
      <w:pPr>
        <w:spacing w:after="0"/>
        <w:contextualSpacing/>
        <w:jc w:val="center"/>
        <w:rPr>
          <w:rFonts w:asciiTheme="majorHAnsi" w:eastAsia="SimSun" w:hAnsiTheme="majorHAnsi" w:cstheme="majorHAnsi"/>
          <w:sz w:val="24"/>
          <w:szCs w:val="24"/>
          <w:lang w:val="ro-RO"/>
        </w:rPr>
      </w:pPr>
      <w:r w:rsidRPr="003A2668">
        <w:rPr>
          <w:rFonts w:asciiTheme="majorHAnsi" w:hAnsiTheme="majorHAnsi" w:cstheme="majorHAnsi"/>
          <w:noProof/>
          <w:shd w:val="clear" w:color="auto" w:fill="002060"/>
          <w:lang w:val="en-US"/>
        </w:rPr>
        <w:drawing>
          <wp:inline distT="0" distB="0" distL="0" distR="0" wp14:anchorId="330DAB76" wp14:editId="7FC49021">
            <wp:extent cx="6042992" cy="2156460"/>
            <wp:effectExtent l="0" t="0" r="15240" b="1524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7963F7E" w14:textId="633A2BD4" w:rsidR="00573256" w:rsidRPr="00575F01" w:rsidRDefault="00AE6100" w:rsidP="00141610">
      <w:pPr>
        <w:spacing w:after="0"/>
        <w:contextualSpacing/>
        <w:jc w:val="both"/>
        <w:rPr>
          <w:rFonts w:asciiTheme="majorHAnsi" w:eastAsia="SimSun" w:hAnsiTheme="majorHAnsi" w:cstheme="majorHAnsi"/>
          <w:sz w:val="24"/>
          <w:szCs w:val="24"/>
          <w:lang w:val="ru-MD"/>
        </w:rPr>
      </w:pPr>
      <w:r w:rsidRPr="00575F01">
        <w:rPr>
          <w:rFonts w:asciiTheme="majorHAnsi" w:hAnsiTheme="majorHAnsi" w:cstheme="majorHAnsi"/>
          <w:b/>
          <w:bCs/>
          <w:i/>
          <w:sz w:val="20"/>
          <w:szCs w:val="20"/>
          <w:lang w:val="ru-MD" w:eastAsia="ru-RU"/>
        </w:rPr>
        <w:t xml:space="preserve">         </w:t>
      </w:r>
      <w:r w:rsidR="00333A47" w:rsidRPr="00575F01">
        <w:rPr>
          <w:rFonts w:asciiTheme="majorHAnsi" w:hAnsiTheme="majorHAnsi" w:cstheme="majorHAnsi"/>
          <w:b/>
          <w:bCs/>
          <w:i/>
          <w:sz w:val="20"/>
          <w:szCs w:val="20"/>
          <w:lang w:val="ru-MD" w:eastAsia="ru-RU"/>
        </w:rPr>
        <w:t>Источник</w:t>
      </w:r>
      <w:r w:rsidRPr="00575F01">
        <w:rPr>
          <w:rFonts w:asciiTheme="majorHAnsi" w:hAnsiTheme="majorHAnsi" w:cstheme="majorHAnsi"/>
          <w:b/>
          <w:bCs/>
          <w:i/>
          <w:sz w:val="20"/>
          <w:szCs w:val="20"/>
          <w:lang w:val="ru-MD" w:eastAsia="ru-RU"/>
        </w:rPr>
        <w:t xml:space="preserve">: </w:t>
      </w:r>
      <w:r w:rsidRPr="00575F01">
        <w:rPr>
          <w:rFonts w:asciiTheme="majorHAnsi" w:hAnsiTheme="majorHAnsi" w:cstheme="majorHAnsi"/>
          <w:bCs/>
          <w:i/>
          <w:sz w:val="20"/>
          <w:szCs w:val="20"/>
          <w:lang w:val="ru-MD" w:eastAsia="ru-RU"/>
        </w:rPr>
        <w:t xml:space="preserve"> </w:t>
      </w:r>
      <w:r w:rsidR="00575F01" w:rsidRPr="00575F01">
        <w:rPr>
          <w:rFonts w:asciiTheme="majorHAnsi" w:hAnsiTheme="majorHAnsi" w:cstheme="majorHAnsi"/>
          <w:bCs/>
          <w:i/>
          <w:sz w:val="20"/>
          <w:szCs w:val="20"/>
          <w:lang w:val="ru-MD" w:eastAsia="ru-RU"/>
        </w:rPr>
        <w:t>Информация, обобщенная аудиторской группой на основе отчетов ТС за 2019-2021 годы</w:t>
      </w:r>
      <w:r w:rsidR="00F81856" w:rsidRPr="00575F01">
        <w:rPr>
          <w:rFonts w:asciiTheme="majorHAnsi" w:hAnsiTheme="majorHAnsi" w:cstheme="majorHAnsi"/>
          <w:bCs/>
          <w:i/>
          <w:sz w:val="20"/>
          <w:szCs w:val="20"/>
          <w:lang w:val="ru-MD" w:eastAsia="ru-RU"/>
        </w:rPr>
        <w:t>.</w:t>
      </w:r>
    </w:p>
    <w:p w14:paraId="0A0EA92E" w14:textId="77777777" w:rsidR="00AE6100" w:rsidRPr="00B20FBD" w:rsidRDefault="00AE6100" w:rsidP="00505491">
      <w:pPr>
        <w:spacing w:after="0"/>
        <w:jc w:val="both"/>
        <w:rPr>
          <w:rFonts w:asciiTheme="majorHAnsi" w:eastAsia="Times New Roman" w:hAnsiTheme="majorHAnsi" w:cstheme="majorHAnsi"/>
          <w:sz w:val="24"/>
          <w:szCs w:val="24"/>
          <w:lang w:val="ro-RO" w:eastAsia="ru-RU"/>
        </w:rPr>
      </w:pPr>
    </w:p>
    <w:p w14:paraId="6F7D0C78" w14:textId="7FF4923E" w:rsidR="00505491" w:rsidRPr="00575F01" w:rsidRDefault="009018F6" w:rsidP="00505491">
      <w:pPr>
        <w:spacing w:after="0"/>
        <w:jc w:val="both"/>
        <w:rPr>
          <w:rFonts w:asciiTheme="majorHAnsi" w:eastAsia="Times New Roman" w:hAnsiTheme="majorHAnsi" w:cstheme="majorHAnsi"/>
          <w:sz w:val="24"/>
          <w:szCs w:val="24"/>
          <w:lang w:val="ru-MD" w:eastAsia="ru-RU"/>
        </w:rPr>
      </w:pPr>
      <w:r w:rsidRPr="00575F01">
        <w:rPr>
          <w:rFonts w:asciiTheme="majorHAnsi" w:eastAsia="Times New Roman" w:hAnsiTheme="majorHAnsi" w:cstheme="majorHAnsi"/>
          <w:sz w:val="24"/>
          <w:szCs w:val="24"/>
          <w:lang w:val="ru-MD" w:eastAsia="ru-RU"/>
        </w:rPr>
        <w:t xml:space="preserve">Представленные данные свидетельствуют о том, что в структуре дебиторской задолженности </w:t>
      </w:r>
      <w:r w:rsidR="00575F01" w:rsidRPr="00575F01">
        <w:rPr>
          <w:rFonts w:asciiTheme="majorHAnsi" w:eastAsia="Times New Roman" w:hAnsiTheme="majorHAnsi" w:cstheme="majorHAnsi"/>
          <w:sz w:val="24"/>
          <w:szCs w:val="24"/>
          <w:lang w:val="ru-MD" w:eastAsia="ru-RU"/>
        </w:rPr>
        <w:t>основн</w:t>
      </w:r>
      <w:r w:rsidRPr="00575F01">
        <w:rPr>
          <w:rFonts w:asciiTheme="majorHAnsi" w:eastAsia="Times New Roman" w:hAnsiTheme="majorHAnsi" w:cstheme="majorHAnsi"/>
          <w:sz w:val="24"/>
          <w:szCs w:val="24"/>
          <w:lang w:val="ru-MD" w:eastAsia="ru-RU"/>
        </w:rPr>
        <w:t xml:space="preserve">ая </w:t>
      </w:r>
      <w:r w:rsidR="00575F01" w:rsidRPr="00575F01">
        <w:rPr>
          <w:rFonts w:asciiTheme="majorHAnsi" w:eastAsia="Times New Roman" w:hAnsiTheme="majorHAnsi" w:cstheme="majorHAnsi"/>
          <w:sz w:val="24"/>
          <w:szCs w:val="24"/>
          <w:lang w:val="ru-MD" w:eastAsia="ru-RU"/>
        </w:rPr>
        <w:t>доля приходится на</w:t>
      </w:r>
      <w:r w:rsidRPr="00575F01">
        <w:rPr>
          <w:rFonts w:asciiTheme="majorHAnsi" w:eastAsia="Times New Roman" w:hAnsiTheme="majorHAnsi" w:cstheme="majorHAnsi"/>
          <w:sz w:val="24"/>
          <w:szCs w:val="24"/>
          <w:lang w:val="ru-MD" w:eastAsia="ru-RU"/>
        </w:rPr>
        <w:t xml:space="preserve"> НДС – 230,3 </w:t>
      </w:r>
      <w:r w:rsidR="00575F01" w:rsidRPr="00575F01">
        <w:rPr>
          <w:rFonts w:asciiTheme="majorHAnsi" w:eastAsia="Times New Roman" w:hAnsiTheme="majorHAnsi" w:cstheme="majorHAnsi"/>
          <w:sz w:val="24"/>
          <w:szCs w:val="24"/>
          <w:lang w:val="ru-MD" w:eastAsia="ru-RU"/>
        </w:rPr>
        <w:t xml:space="preserve">млн. леев </w:t>
      </w:r>
      <w:r w:rsidRPr="00575F01">
        <w:rPr>
          <w:rFonts w:asciiTheme="majorHAnsi" w:eastAsia="Times New Roman" w:hAnsiTheme="majorHAnsi" w:cstheme="majorHAnsi"/>
          <w:sz w:val="24"/>
          <w:szCs w:val="24"/>
          <w:lang w:val="ru-MD" w:eastAsia="ru-RU"/>
        </w:rPr>
        <w:t xml:space="preserve">(67,1%), за которым следуют штрафы – 62,3 </w:t>
      </w:r>
      <w:r w:rsidR="00575F01" w:rsidRPr="00575F01">
        <w:rPr>
          <w:rFonts w:asciiTheme="majorHAnsi" w:eastAsia="Times New Roman" w:hAnsiTheme="majorHAnsi" w:cstheme="majorHAnsi"/>
          <w:sz w:val="24"/>
          <w:szCs w:val="24"/>
          <w:lang w:val="ru-MD" w:eastAsia="ru-RU"/>
        </w:rPr>
        <w:t xml:space="preserve">млн. леев </w:t>
      </w:r>
      <w:r w:rsidRPr="00575F01">
        <w:rPr>
          <w:rFonts w:asciiTheme="majorHAnsi" w:eastAsia="Times New Roman" w:hAnsiTheme="majorHAnsi" w:cstheme="majorHAnsi"/>
          <w:sz w:val="24"/>
          <w:szCs w:val="24"/>
          <w:lang w:val="ru-MD" w:eastAsia="ru-RU"/>
        </w:rPr>
        <w:t>(18%), таможенн</w:t>
      </w:r>
      <w:r w:rsidR="00575F01" w:rsidRPr="00575F01">
        <w:rPr>
          <w:rFonts w:asciiTheme="majorHAnsi" w:eastAsia="Times New Roman" w:hAnsiTheme="majorHAnsi" w:cstheme="majorHAnsi"/>
          <w:sz w:val="24"/>
          <w:szCs w:val="24"/>
          <w:lang w:val="ru-MD" w:eastAsia="ru-RU"/>
        </w:rPr>
        <w:t>ые</w:t>
      </w:r>
      <w:r w:rsidRPr="00575F01">
        <w:rPr>
          <w:rFonts w:asciiTheme="majorHAnsi" w:eastAsia="Times New Roman" w:hAnsiTheme="majorHAnsi" w:cstheme="majorHAnsi"/>
          <w:sz w:val="24"/>
          <w:szCs w:val="24"/>
          <w:lang w:val="ru-MD" w:eastAsia="ru-RU"/>
        </w:rPr>
        <w:t xml:space="preserve"> пошлин</w:t>
      </w:r>
      <w:r w:rsidR="00575F01" w:rsidRPr="00575F01">
        <w:rPr>
          <w:rFonts w:asciiTheme="majorHAnsi" w:eastAsia="Times New Roman" w:hAnsiTheme="majorHAnsi" w:cstheme="majorHAnsi"/>
          <w:sz w:val="24"/>
          <w:szCs w:val="24"/>
          <w:lang w:val="ru-MD" w:eastAsia="ru-RU"/>
        </w:rPr>
        <w:t>ы</w:t>
      </w:r>
      <w:r w:rsidRPr="00575F01">
        <w:rPr>
          <w:rFonts w:asciiTheme="majorHAnsi" w:eastAsia="Times New Roman" w:hAnsiTheme="majorHAnsi" w:cstheme="majorHAnsi"/>
          <w:sz w:val="24"/>
          <w:szCs w:val="24"/>
          <w:lang w:val="ru-MD" w:eastAsia="ru-RU"/>
        </w:rPr>
        <w:t xml:space="preserve"> – 25,6 </w:t>
      </w:r>
      <w:r w:rsidR="00575F01" w:rsidRPr="00575F01">
        <w:rPr>
          <w:rFonts w:asciiTheme="majorHAnsi" w:eastAsia="Times New Roman" w:hAnsiTheme="majorHAnsi" w:cstheme="majorHAnsi"/>
          <w:sz w:val="24"/>
          <w:szCs w:val="24"/>
          <w:lang w:val="ru-MD" w:eastAsia="ru-RU"/>
        </w:rPr>
        <w:t xml:space="preserve">млн. леев </w:t>
      </w:r>
      <w:r w:rsidRPr="00575F01">
        <w:rPr>
          <w:rFonts w:asciiTheme="majorHAnsi" w:eastAsia="Times New Roman" w:hAnsiTheme="majorHAnsi" w:cstheme="majorHAnsi"/>
          <w:sz w:val="24"/>
          <w:szCs w:val="24"/>
          <w:lang w:val="ru-MD" w:eastAsia="ru-RU"/>
        </w:rPr>
        <w:t>(7,4%), акциз</w:t>
      </w:r>
      <w:r w:rsidR="00575F01" w:rsidRPr="00575F01">
        <w:rPr>
          <w:rFonts w:asciiTheme="majorHAnsi" w:eastAsia="Times New Roman" w:hAnsiTheme="majorHAnsi" w:cstheme="majorHAnsi"/>
          <w:sz w:val="24"/>
          <w:szCs w:val="24"/>
          <w:lang w:val="ru-MD" w:eastAsia="ru-RU"/>
        </w:rPr>
        <w:t>ы</w:t>
      </w:r>
      <w:r w:rsidRPr="00575F01">
        <w:rPr>
          <w:rFonts w:asciiTheme="majorHAnsi" w:eastAsia="Times New Roman" w:hAnsiTheme="majorHAnsi" w:cstheme="majorHAnsi"/>
          <w:sz w:val="24"/>
          <w:szCs w:val="24"/>
          <w:lang w:val="ru-MD" w:eastAsia="ru-RU"/>
        </w:rPr>
        <w:t xml:space="preserve"> – 7,2 млн.</w:t>
      </w:r>
      <w:r w:rsidR="00575F01" w:rsidRPr="00575F01">
        <w:rPr>
          <w:rFonts w:asciiTheme="majorHAnsi" w:eastAsia="Times New Roman" w:hAnsiTheme="majorHAnsi" w:cstheme="majorHAnsi"/>
          <w:sz w:val="24"/>
          <w:szCs w:val="24"/>
          <w:lang w:val="ru-MD" w:eastAsia="ru-RU"/>
        </w:rPr>
        <w:t xml:space="preserve"> </w:t>
      </w:r>
      <w:r w:rsidRPr="00575F01">
        <w:rPr>
          <w:rFonts w:asciiTheme="majorHAnsi" w:eastAsia="Times New Roman" w:hAnsiTheme="majorHAnsi" w:cstheme="majorHAnsi"/>
          <w:sz w:val="24"/>
          <w:szCs w:val="24"/>
          <w:lang w:val="ru-MD" w:eastAsia="ru-RU"/>
        </w:rPr>
        <w:t>ле</w:t>
      </w:r>
      <w:r w:rsidR="00575F01" w:rsidRPr="00575F01">
        <w:rPr>
          <w:rFonts w:asciiTheme="majorHAnsi" w:eastAsia="Times New Roman" w:hAnsiTheme="majorHAnsi" w:cstheme="majorHAnsi"/>
          <w:sz w:val="24"/>
          <w:szCs w:val="24"/>
          <w:lang w:val="ru-MD" w:eastAsia="ru-RU"/>
        </w:rPr>
        <w:t>ев</w:t>
      </w:r>
      <w:r w:rsidRPr="00575F01">
        <w:rPr>
          <w:rFonts w:asciiTheme="majorHAnsi" w:eastAsia="Times New Roman" w:hAnsiTheme="majorHAnsi" w:cstheme="majorHAnsi"/>
          <w:sz w:val="24"/>
          <w:szCs w:val="24"/>
          <w:lang w:val="ru-MD" w:eastAsia="ru-RU"/>
        </w:rPr>
        <w:t xml:space="preserve">, или 2,0%, таможенные процедуры – 1,7 </w:t>
      </w:r>
      <w:r w:rsidR="00575F01" w:rsidRPr="00575F01">
        <w:rPr>
          <w:rFonts w:asciiTheme="majorHAnsi" w:eastAsia="Times New Roman" w:hAnsiTheme="majorHAnsi" w:cstheme="majorHAnsi"/>
          <w:sz w:val="24"/>
          <w:szCs w:val="24"/>
          <w:lang w:val="ru-MD" w:eastAsia="ru-RU"/>
        </w:rPr>
        <w:t xml:space="preserve">млн. леев </w:t>
      </w:r>
      <w:r w:rsidRPr="00575F01">
        <w:rPr>
          <w:rFonts w:asciiTheme="majorHAnsi" w:eastAsia="Times New Roman" w:hAnsiTheme="majorHAnsi" w:cstheme="majorHAnsi"/>
          <w:sz w:val="24"/>
          <w:szCs w:val="24"/>
          <w:lang w:val="ru-MD" w:eastAsia="ru-RU"/>
        </w:rPr>
        <w:t xml:space="preserve">(0,6%), а стоимость </w:t>
      </w:r>
      <w:r w:rsidR="00575F01" w:rsidRPr="00575F01">
        <w:rPr>
          <w:rFonts w:asciiTheme="majorHAnsi" w:eastAsia="Times New Roman" w:hAnsiTheme="majorHAnsi" w:cstheme="majorHAnsi"/>
          <w:sz w:val="24"/>
          <w:szCs w:val="24"/>
          <w:lang w:val="ru-MD" w:eastAsia="ru-RU"/>
        </w:rPr>
        <w:t>конфискованн</w:t>
      </w:r>
      <w:r w:rsidRPr="00575F01">
        <w:rPr>
          <w:rFonts w:asciiTheme="majorHAnsi" w:eastAsia="Times New Roman" w:hAnsiTheme="majorHAnsi" w:cstheme="majorHAnsi"/>
          <w:sz w:val="24"/>
          <w:szCs w:val="24"/>
          <w:lang w:val="ru-MD" w:eastAsia="ru-RU"/>
        </w:rPr>
        <w:t>ых товаров</w:t>
      </w:r>
      <w:r w:rsidR="00575F01" w:rsidRPr="00575F01">
        <w:rPr>
          <w:rStyle w:val="FootnoteReference"/>
          <w:rFonts w:asciiTheme="majorHAnsi" w:hAnsiTheme="majorHAnsi" w:cstheme="majorHAnsi"/>
          <w:sz w:val="24"/>
          <w:szCs w:val="24"/>
          <w:lang w:val="ru-MD"/>
        </w:rPr>
        <w:footnoteReference w:id="33"/>
      </w:r>
      <w:r w:rsidRPr="00575F01">
        <w:rPr>
          <w:rFonts w:asciiTheme="majorHAnsi" w:eastAsia="Times New Roman" w:hAnsiTheme="majorHAnsi" w:cstheme="majorHAnsi"/>
          <w:sz w:val="24"/>
          <w:szCs w:val="24"/>
          <w:lang w:val="ru-MD" w:eastAsia="ru-RU"/>
        </w:rPr>
        <w:t xml:space="preserve"> – 16,9 млн. ле</w:t>
      </w:r>
      <w:r w:rsidR="00575F01" w:rsidRPr="00575F01">
        <w:rPr>
          <w:rFonts w:asciiTheme="majorHAnsi" w:eastAsia="Times New Roman" w:hAnsiTheme="majorHAnsi" w:cstheme="majorHAnsi"/>
          <w:sz w:val="24"/>
          <w:szCs w:val="24"/>
          <w:lang w:val="ru-MD" w:eastAsia="ru-RU"/>
        </w:rPr>
        <w:t>ев</w:t>
      </w:r>
      <w:r w:rsidRPr="00575F01">
        <w:rPr>
          <w:rFonts w:asciiTheme="majorHAnsi" w:eastAsia="Times New Roman" w:hAnsiTheme="majorHAnsi" w:cstheme="majorHAnsi"/>
          <w:sz w:val="24"/>
          <w:szCs w:val="24"/>
          <w:lang w:val="ru-MD" w:eastAsia="ru-RU"/>
        </w:rPr>
        <w:t xml:space="preserve"> (4,9%). Стоит отметить, что сумма дебиторской задолженности экономических агентов на 31.12.2021</w:t>
      </w:r>
      <w:r w:rsidR="00575F01" w:rsidRPr="00575F01">
        <w:rPr>
          <w:rFonts w:asciiTheme="majorHAnsi" w:eastAsia="Times New Roman" w:hAnsiTheme="majorHAnsi" w:cstheme="majorHAnsi"/>
          <w:sz w:val="24"/>
          <w:szCs w:val="24"/>
          <w:lang w:val="ru-MD" w:eastAsia="ru-RU"/>
        </w:rPr>
        <w:t>,</w:t>
      </w:r>
      <w:r w:rsidRPr="00575F01">
        <w:rPr>
          <w:rFonts w:asciiTheme="majorHAnsi" w:eastAsia="Times New Roman" w:hAnsiTheme="majorHAnsi" w:cstheme="majorHAnsi"/>
          <w:sz w:val="24"/>
          <w:szCs w:val="24"/>
          <w:lang w:val="ru-MD" w:eastAsia="ru-RU"/>
        </w:rPr>
        <w:t xml:space="preserve"> в сумме 344,0 млн. ле</w:t>
      </w:r>
      <w:r w:rsidR="00575F01" w:rsidRPr="00575F01">
        <w:rPr>
          <w:rFonts w:asciiTheme="majorHAnsi" w:eastAsia="Times New Roman" w:hAnsiTheme="majorHAnsi" w:cstheme="majorHAnsi"/>
          <w:sz w:val="24"/>
          <w:szCs w:val="24"/>
          <w:lang w:val="ru-MD" w:eastAsia="ru-RU"/>
        </w:rPr>
        <w:t>ев,</w:t>
      </w:r>
      <w:r w:rsidRPr="00575F01">
        <w:rPr>
          <w:rFonts w:asciiTheme="majorHAnsi" w:eastAsia="Times New Roman" w:hAnsiTheme="majorHAnsi" w:cstheme="majorHAnsi"/>
          <w:sz w:val="24"/>
          <w:szCs w:val="24"/>
          <w:lang w:val="ru-MD" w:eastAsia="ru-RU"/>
        </w:rPr>
        <w:t xml:space="preserve"> включает </w:t>
      </w:r>
      <w:r w:rsidR="00575F01" w:rsidRPr="00575F01">
        <w:rPr>
          <w:rFonts w:asciiTheme="majorHAnsi" w:eastAsia="Times New Roman" w:hAnsiTheme="majorHAnsi" w:cstheme="majorHAnsi"/>
          <w:sz w:val="24"/>
          <w:szCs w:val="24"/>
          <w:lang w:val="ru-MD" w:eastAsia="ru-RU"/>
        </w:rPr>
        <w:t>основн</w:t>
      </w:r>
      <w:r w:rsidRPr="00575F01">
        <w:rPr>
          <w:rFonts w:asciiTheme="majorHAnsi" w:eastAsia="Times New Roman" w:hAnsiTheme="majorHAnsi" w:cstheme="majorHAnsi"/>
          <w:sz w:val="24"/>
          <w:szCs w:val="24"/>
          <w:lang w:val="ru-MD" w:eastAsia="ru-RU"/>
        </w:rPr>
        <w:t xml:space="preserve">ые платежи в размере 255,1 </w:t>
      </w:r>
      <w:r w:rsidR="00575F01" w:rsidRPr="00575F01">
        <w:rPr>
          <w:rFonts w:asciiTheme="majorHAnsi" w:eastAsia="Times New Roman" w:hAnsiTheme="majorHAnsi" w:cstheme="majorHAnsi"/>
          <w:sz w:val="24"/>
          <w:szCs w:val="24"/>
          <w:lang w:val="ru-MD" w:eastAsia="ru-RU"/>
        </w:rPr>
        <w:t xml:space="preserve">млн. леев </w:t>
      </w:r>
      <w:r w:rsidRPr="00575F01">
        <w:rPr>
          <w:rFonts w:asciiTheme="majorHAnsi" w:eastAsia="Times New Roman" w:hAnsiTheme="majorHAnsi" w:cstheme="majorHAnsi"/>
          <w:sz w:val="24"/>
          <w:szCs w:val="24"/>
          <w:lang w:val="ru-MD" w:eastAsia="ru-RU"/>
        </w:rPr>
        <w:t xml:space="preserve">и </w:t>
      </w:r>
      <w:r w:rsidR="00575F01" w:rsidRPr="00575F01">
        <w:rPr>
          <w:rFonts w:asciiTheme="majorHAnsi" w:eastAsia="Times New Roman" w:hAnsiTheme="majorHAnsi" w:cstheme="majorHAnsi"/>
          <w:sz w:val="24"/>
          <w:szCs w:val="24"/>
          <w:lang w:val="ru-MD" w:eastAsia="ru-RU"/>
        </w:rPr>
        <w:t xml:space="preserve">начисленные </w:t>
      </w:r>
      <w:r w:rsidRPr="00575F01">
        <w:rPr>
          <w:rFonts w:asciiTheme="majorHAnsi" w:eastAsia="Times New Roman" w:hAnsiTheme="majorHAnsi" w:cstheme="majorHAnsi"/>
          <w:sz w:val="24"/>
          <w:szCs w:val="24"/>
          <w:lang w:val="ru-MD" w:eastAsia="ru-RU"/>
        </w:rPr>
        <w:t>штрафы</w:t>
      </w:r>
      <w:r w:rsidR="00575F01" w:rsidRPr="00575F01">
        <w:rPr>
          <w:rFonts w:asciiTheme="majorHAnsi" w:eastAsia="Times New Roman" w:hAnsiTheme="majorHAnsi" w:cstheme="majorHAnsi"/>
          <w:sz w:val="24"/>
          <w:szCs w:val="24"/>
          <w:lang w:val="ru-MD" w:eastAsia="ru-RU"/>
        </w:rPr>
        <w:t xml:space="preserve"> за непогашенные</w:t>
      </w:r>
      <w:r w:rsidRPr="00575F01">
        <w:rPr>
          <w:rFonts w:asciiTheme="majorHAnsi" w:eastAsia="Times New Roman" w:hAnsiTheme="majorHAnsi" w:cstheme="majorHAnsi"/>
          <w:sz w:val="24"/>
          <w:szCs w:val="24"/>
          <w:lang w:val="ru-MD" w:eastAsia="ru-RU"/>
        </w:rPr>
        <w:t xml:space="preserve"> долг</w:t>
      </w:r>
      <w:r w:rsidR="00575F01" w:rsidRPr="00575F01">
        <w:rPr>
          <w:rFonts w:asciiTheme="majorHAnsi" w:eastAsia="Times New Roman" w:hAnsiTheme="majorHAnsi" w:cstheme="majorHAnsi"/>
          <w:sz w:val="24"/>
          <w:szCs w:val="24"/>
          <w:lang w:val="ru-MD" w:eastAsia="ru-RU"/>
        </w:rPr>
        <w:t xml:space="preserve">и </w:t>
      </w:r>
      <w:r w:rsidRPr="00575F01">
        <w:rPr>
          <w:rFonts w:asciiTheme="majorHAnsi" w:eastAsia="Times New Roman" w:hAnsiTheme="majorHAnsi" w:cstheme="majorHAnsi"/>
          <w:sz w:val="24"/>
          <w:szCs w:val="24"/>
          <w:lang w:val="ru-MD" w:eastAsia="ru-RU"/>
        </w:rPr>
        <w:t>-</w:t>
      </w:r>
      <w:r w:rsidR="00575F01" w:rsidRPr="00575F01">
        <w:rPr>
          <w:rFonts w:asciiTheme="majorHAnsi" w:eastAsia="Times New Roman" w:hAnsiTheme="majorHAnsi" w:cstheme="majorHAnsi"/>
          <w:sz w:val="24"/>
          <w:szCs w:val="24"/>
          <w:lang w:val="ru-MD" w:eastAsia="ru-RU"/>
        </w:rPr>
        <w:t xml:space="preserve"> </w:t>
      </w:r>
      <w:r w:rsidRPr="00575F01">
        <w:rPr>
          <w:rFonts w:asciiTheme="majorHAnsi" w:eastAsia="Times New Roman" w:hAnsiTheme="majorHAnsi" w:cstheme="majorHAnsi"/>
          <w:sz w:val="24"/>
          <w:szCs w:val="24"/>
          <w:lang w:val="ru-MD" w:eastAsia="ru-RU"/>
        </w:rPr>
        <w:t xml:space="preserve">88,9 </w:t>
      </w:r>
      <w:r w:rsidR="00575F01" w:rsidRPr="00575F01">
        <w:rPr>
          <w:rFonts w:asciiTheme="majorHAnsi" w:eastAsia="Times New Roman" w:hAnsiTheme="majorHAnsi" w:cstheme="majorHAnsi"/>
          <w:sz w:val="24"/>
          <w:szCs w:val="24"/>
          <w:lang w:val="ru-MD" w:eastAsia="ru-RU"/>
        </w:rPr>
        <w:t>млн. леев</w:t>
      </w:r>
      <w:r w:rsidR="00505491" w:rsidRPr="00575F01">
        <w:rPr>
          <w:rFonts w:asciiTheme="majorHAnsi" w:eastAsia="Times New Roman" w:hAnsiTheme="majorHAnsi" w:cstheme="majorHAnsi"/>
          <w:sz w:val="24"/>
          <w:szCs w:val="24"/>
          <w:lang w:val="ru-MD" w:eastAsia="ru-RU"/>
        </w:rPr>
        <w:t xml:space="preserve">. </w:t>
      </w:r>
    </w:p>
    <w:p w14:paraId="2B5451BA" w14:textId="7F2B5094" w:rsidR="00D64B12" w:rsidRPr="009018F6" w:rsidRDefault="009018F6" w:rsidP="009018F6">
      <w:pPr>
        <w:spacing w:after="120"/>
        <w:jc w:val="both"/>
        <w:rPr>
          <w:rFonts w:asciiTheme="majorHAnsi" w:eastAsia="Times New Roman" w:hAnsiTheme="majorHAnsi" w:cstheme="majorHAnsi"/>
          <w:sz w:val="24"/>
          <w:szCs w:val="24"/>
          <w:lang w:val="ro-RO"/>
        </w:rPr>
      </w:pPr>
      <w:r w:rsidRPr="000D1EC2">
        <w:rPr>
          <w:rFonts w:asciiTheme="majorHAnsi" w:eastAsia="SimSun" w:hAnsiTheme="majorHAnsi" w:cstheme="majorHAnsi"/>
          <w:sz w:val="24"/>
          <w:szCs w:val="24"/>
          <w:lang w:val="ru-MD"/>
        </w:rPr>
        <w:t>Одной из основных функций и полномочий ТС в области управления таможенными обязательствами является обеспечение сбора задолженностей в бюджет</w:t>
      </w:r>
      <w:r w:rsidR="00D64B12" w:rsidRPr="000D1EC2">
        <w:rPr>
          <w:rFonts w:asciiTheme="majorHAnsi" w:eastAsia="SimSun" w:hAnsiTheme="majorHAnsi" w:cstheme="majorHAnsi"/>
          <w:sz w:val="24"/>
          <w:szCs w:val="24"/>
          <w:lang w:val="ru-MD"/>
        </w:rPr>
        <w:t xml:space="preserve">, </w:t>
      </w:r>
      <w:r w:rsidRPr="000D1EC2">
        <w:rPr>
          <w:rFonts w:asciiTheme="majorHAnsi" w:eastAsia="SimSun" w:hAnsiTheme="majorHAnsi" w:cstheme="majorHAnsi"/>
          <w:sz w:val="24"/>
          <w:szCs w:val="24"/>
          <w:lang w:val="ru-MD"/>
        </w:rPr>
        <w:t>в том числе путем их принудительного исполнения</w:t>
      </w:r>
      <w:r w:rsidR="00D64B12" w:rsidRPr="000D1EC2">
        <w:rPr>
          <w:rFonts w:asciiTheme="majorHAnsi" w:eastAsia="SimSun" w:hAnsiTheme="majorHAnsi" w:cstheme="majorHAnsi"/>
          <w:sz w:val="24"/>
          <w:szCs w:val="24"/>
          <w:lang w:val="ru-MD"/>
        </w:rPr>
        <w:t xml:space="preserve">. </w:t>
      </w:r>
      <w:r w:rsidRPr="000D1EC2">
        <w:rPr>
          <w:rFonts w:asciiTheme="majorHAnsi" w:eastAsia="SimSun" w:hAnsiTheme="majorHAnsi" w:cstheme="majorHAnsi"/>
          <w:sz w:val="24"/>
          <w:szCs w:val="24"/>
          <w:lang w:val="ru-MD"/>
        </w:rPr>
        <w:t>Согласно Таможенному кодексу</w:t>
      </w:r>
      <w:r w:rsidR="00B860B8" w:rsidRPr="000D1EC2">
        <w:rPr>
          <w:rStyle w:val="FootnoteReference"/>
          <w:rFonts w:asciiTheme="majorHAnsi" w:eastAsia="Times New Roman" w:hAnsiTheme="majorHAnsi" w:cstheme="majorHAnsi"/>
          <w:sz w:val="24"/>
          <w:szCs w:val="24"/>
          <w:lang w:val="ru-MD" w:eastAsia="ru-RU"/>
        </w:rPr>
        <w:footnoteReference w:id="34"/>
      </w:r>
      <w:r w:rsidR="003A2668" w:rsidRPr="000D1EC2">
        <w:rPr>
          <w:rFonts w:asciiTheme="majorHAnsi" w:eastAsia="Times New Roman" w:hAnsiTheme="majorHAnsi" w:cstheme="majorHAnsi"/>
          <w:sz w:val="24"/>
          <w:szCs w:val="24"/>
          <w:lang w:val="ru-MD" w:eastAsia="ru-RU"/>
        </w:rPr>
        <w:t>,</w:t>
      </w:r>
      <w:r w:rsidR="00B860B8" w:rsidRPr="000D1EC2">
        <w:rPr>
          <w:rFonts w:asciiTheme="majorHAnsi" w:eastAsia="Times New Roman" w:hAnsiTheme="majorHAnsi" w:cstheme="majorHAnsi"/>
          <w:sz w:val="24"/>
          <w:szCs w:val="24"/>
          <w:lang w:val="ru-MD" w:eastAsia="ru-RU"/>
        </w:rPr>
        <w:t xml:space="preserve"> </w:t>
      </w:r>
      <w:r w:rsidRPr="000D1EC2">
        <w:rPr>
          <w:rFonts w:asciiTheme="majorHAnsi" w:eastAsia="Times New Roman" w:hAnsiTheme="majorHAnsi" w:cstheme="majorHAnsi"/>
          <w:sz w:val="24"/>
          <w:szCs w:val="24"/>
          <w:lang w:val="ru-MD" w:eastAsia="ru-RU"/>
        </w:rPr>
        <w:t>принудительное исполнение таможенного обязательства применяется при совокупном наличии следующих условий: имеется просроченное таможенное обязательство, подтвержденное актом, имеющим силу исполнительного документа; не истекли установленные сроки давности; в отношении таможенного плательщика не возбуждена процедура несостоятельности с применением приостановления исполнения дебиторских задолженностей в соответствии с законодательством</w:t>
      </w:r>
      <w:r w:rsidR="00B860B8" w:rsidRPr="009018F6">
        <w:rPr>
          <w:rFonts w:asciiTheme="majorHAnsi" w:eastAsia="Times New Roman" w:hAnsiTheme="majorHAnsi" w:cstheme="majorHAnsi"/>
          <w:sz w:val="24"/>
          <w:szCs w:val="24"/>
          <w:lang w:val="ro-RO"/>
        </w:rPr>
        <w:t xml:space="preserve">. </w:t>
      </w:r>
    </w:p>
    <w:p w14:paraId="5CD02968" w14:textId="3F59D8A4" w:rsidR="00B860B8" w:rsidRPr="00575F01" w:rsidRDefault="00E24FFB" w:rsidP="00D418F4">
      <w:pPr>
        <w:spacing w:after="120"/>
        <w:jc w:val="both"/>
        <w:rPr>
          <w:rFonts w:asciiTheme="majorHAnsi" w:eastAsia="Times New Roman" w:hAnsiTheme="majorHAnsi" w:cstheme="majorHAnsi"/>
          <w:sz w:val="24"/>
          <w:szCs w:val="24"/>
          <w:lang w:val="ru-MD"/>
        </w:rPr>
      </w:pPr>
      <w:r w:rsidRPr="00575F01">
        <w:rPr>
          <w:rFonts w:asciiTheme="majorHAnsi" w:eastAsia="Times New Roman" w:hAnsiTheme="majorHAnsi" w:cstheme="majorHAnsi"/>
          <w:sz w:val="24"/>
          <w:szCs w:val="24"/>
          <w:lang w:val="ru-MD"/>
        </w:rPr>
        <w:t>Принудительное исполнение таможенного обязательства осуществляется путем изъятия у таможенного плательщика наличных денежных средств, в том числе в иностранной валюте, обращения взыскания на имущество таможенного плательщика, обращения взыскания на его дебиторскую задолженность</w:t>
      </w:r>
      <w:r w:rsidR="00B860B8" w:rsidRPr="00575F01">
        <w:rPr>
          <w:rFonts w:asciiTheme="majorHAnsi" w:eastAsia="Times New Roman" w:hAnsiTheme="majorHAnsi" w:cstheme="majorHAnsi"/>
          <w:sz w:val="24"/>
          <w:szCs w:val="24"/>
          <w:lang w:val="ru-MD"/>
        </w:rPr>
        <w:t xml:space="preserve">. </w:t>
      </w:r>
      <w:r w:rsidR="00B40CA6" w:rsidRPr="00575F01">
        <w:rPr>
          <w:rFonts w:asciiTheme="majorHAnsi" w:eastAsia="Times New Roman" w:hAnsiTheme="majorHAnsi" w:cstheme="majorHAnsi"/>
          <w:sz w:val="24"/>
          <w:szCs w:val="24"/>
          <w:lang w:val="ru-MD"/>
        </w:rPr>
        <w:t>В случае, когда после применения всех способов принудительного исполнения таможенное обязательство таможенного плательщика не погашено полностью, а последующее применение принудительного исполнения невозможно, ТС вправе инициировать процедуру несостоятельности</w:t>
      </w:r>
      <w:r w:rsidR="00B860B8" w:rsidRPr="00575F01">
        <w:rPr>
          <w:rFonts w:asciiTheme="majorHAnsi" w:eastAsia="Times New Roman" w:hAnsiTheme="majorHAnsi" w:cstheme="majorHAnsi"/>
          <w:sz w:val="24"/>
          <w:szCs w:val="24"/>
          <w:lang w:val="ru-MD"/>
        </w:rPr>
        <w:t xml:space="preserve">. </w:t>
      </w:r>
    </w:p>
    <w:p w14:paraId="38D156A5" w14:textId="00F3C7D4" w:rsidR="00F66B04" w:rsidRPr="004625A3" w:rsidRDefault="00553861" w:rsidP="00566E3F">
      <w:pPr>
        <w:spacing w:after="120"/>
        <w:jc w:val="both"/>
        <w:rPr>
          <w:rFonts w:asciiTheme="majorHAnsi" w:eastAsia="Times New Roman" w:hAnsiTheme="majorHAnsi" w:cstheme="majorHAnsi"/>
          <w:sz w:val="24"/>
          <w:szCs w:val="24"/>
          <w:lang w:val="ru-MD" w:eastAsia="ru-RU"/>
        </w:rPr>
      </w:pPr>
      <w:r w:rsidRPr="004625A3">
        <w:rPr>
          <w:rFonts w:asciiTheme="majorHAnsi" w:hAnsiTheme="majorHAnsi" w:cstheme="majorHAnsi"/>
          <w:sz w:val="24"/>
          <w:szCs w:val="24"/>
          <w:lang w:val="ru-MD"/>
        </w:rPr>
        <w:t>Для получения аудито</w:t>
      </w:r>
      <w:r w:rsidR="004625A3">
        <w:rPr>
          <w:rFonts w:asciiTheme="majorHAnsi" w:hAnsiTheme="majorHAnsi" w:cstheme="majorHAnsi"/>
          <w:sz w:val="24"/>
          <w:szCs w:val="24"/>
          <w:lang w:val="ru-MD"/>
        </w:rPr>
        <w:t>м</w:t>
      </w:r>
      <w:r w:rsidRPr="004625A3">
        <w:rPr>
          <w:rFonts w:asciiTheme="majorHAnsi" w:hAnsiTheme="majorHAnsi" w:cstheme="majorHAnsi"/>
          <w:sz w:val="24"/>
          <w:szCs w:val="24"/>
          <w:lang w:val="ru-MD"/>
        </w:rPr>
        <w:t xml:space="preserve"> </w:t>
      </w:r>
      <w:r w:rsidR="00B7486E" w:rsidRPr="004625A3">
        <w:rPr>
          <w:rFonts w:asciiTheme="majorHAnsi" w:hAnsiTheme="majorHAnsi" w:cstheme="majorHAnsi"/>
          <w:sz w:val="24"/>
          <w:szCs w:val="24"/>
          <w:lang w:val="ru-MD"/>
        </w:rPr>
        <w:t>уверенност</w:t>
      </w:r>
      <w:r w:rsidRPr="004625A3">
        <w:rPr>
          <w:rFonts w:asciiTheme="majorHAnsi" w:hAnsiTheme="majorHAnsi" w:cstheme="majorHAnsi"/>
          <w:sz w:val="24"/>
          <w:szCs w:val="24"/>
          <w:lang w:val="ru-MD"/>
        </w:rPr>
        <w:t xml:space="preserve">и </w:t>
      </w:r>
      <w:r w:rsidR="00B7486E" w:rsidRPr="004625A3">
        <w:rPr>
          <w:rFonts w:asciiTheme="majorHAnsi" w:hAnsiTheme="majorHAnsi" w:cstheme="majorHAnsi"/>
          <w:sz w:val="24"/>
          <w:szCs w:val="24"/>
          <w:lang w:val="ru-MD"/>
        </w:rPr>
        <w:t>в</w:t>
      </w:r>
      <w:r w:rsidRPr="004625A3">
        <w:rPr>
          <w:rFonts w:asciiTheme="majorHAnsi" w:hAnsiTheme="majorHAnsi" w:cstheme="majorHAnsi"/>
          <w:sz w:val="24"/>
          <w:szCs w:val="24"/>
          <w:lang w:val="ru-MD"/>
        </w:rPr>
        <w:t xml:space="preserve"> правильности отчетности и взыскания таможенного обязательства, в том числе путем применения мер </w:t>
      </w:r>
      <w:r w:rsidR="00B7486E" w:rsidRPr="004625A3">
        <w:rPr>
          <w:rFonts w:asciiTheme="majorHAnsi" w:hAnsiTheme="majorHAnsi" w:cstheme="majorHAnsi"/>
          <w:sz w:val="24"/>
          <w:szCs w:val="24"/>
          <w:lang w:val="ru-MD"/>
        </w:rPr>
        <w:t>принудительного исполнения</w:t>
      </w:r>
      <w:r w:rsidRPr="004625A3">
        <w:rPr>
          <w:rFonts w:asciiTheme="majorHAnsi" w:hAnsiTheme="majorHAnsi" w:cstheme="majorHAnsi"/>
          <w:sz w:val="24"/>
          <w:szCs w:val="24"/>
          <w:lang w:val="ru-MD"/>
        </w:rPr>
        <w:t>, аудит п</w:t>
      </w:r>
      <w:r w:rsidR="00B7486E" w:rsidRPr="004625A3">
        <w:rPr>
          <w:rFonts w:asciiTheme="majorHAnsi" w:hAnsiTheme="majorHAnsi" w:cstheme="majorHAnsi"/>
          <w:sz w:val="24"/>
          <w:szCs w:val="24"/>
          <w:lang w:val="ru-MD"/>
        </w:rPr>
        <w:t>одверг</w:t>
      </w:r>
      <w:r w:rsidR="004625A3" w:rsidRPr="004625A3">
        <w:rPr>
          <w:rFonts w:asciiTheme="majorHAnsi" w:hAnsiTheme="majorHAnsi" w:cstheme="majorHAnsi"/>
          <w:sz w:val="24"/>
          <w:szCs w:val="24"/>
          <w:lang w:val="ru-MD"/>
        </w:rPr>
        <w:t>нул</w:t>
      </w:r>
      <w:r w:rsidRPr="004625A3">
        <w:rPr>
          <w:rFonts w:asciiTheme="majorHAnsi" w:hAnsiTheme="majorHAnsi" w:cstheme="majorHAnsi"/>
          <w:sz w:val="24"/>
          <w:szCs w:val="24"/>
          <w:lang w:val="ru-MD"/>
        </w:rPr>
        <w:t xml:space="preserve"> проверк</w:t>
      </w:r>
      <w:r w:rsidR="004625A3" w:rsidRPr="004625A3">
        <w:rPr>
          <w:rFonts w:asciiTheme="majorHAnsi" w:hAnsiTheme="majorHAnsi" w:cstheme="majorHAnsi"/>
          <w:sz w:val="24"/>
          <w:szCs w:val="24"/>
          <w:lang w:val="ru-MD"/>
        </w:rPr>
        <w:t>е</w:t>
      </w:r>
      <w:r w:rsidRPr="004625A3">
        <w:rPr>
          <w:rFonts w:asciiTheme="majorHAnsi" w:hAnsiTheme="majorHAnsi" w:cstheme="majorHAnsi"/>
          <w:sz w:val="24"/>
          <w:szCs w:val="24"/>
          <w:lang w:val="ru-MD"/>
        </w:rPr>
        <w:t xml:space="preserve"> выборк</w:t>
      </w:r>
      <w:r w:rsidR="004625A3" w:rsidRPr="004625A3">
        <w:rPr>
          <w:rFonts w:asciiTheme="majorHAnsi" w:hAnsiTheme="majorHAnsi" w:cstheme="majorHAnsi"/>
          <w:sz w:val="24"/>
          <w:szCs w:val="24"/>
          <w:lang w:val="ru-MD"/>
        </w:rPr>
        <w:t>у</w:t>
      </w:r>
      <w:r w:rsidRPr="004625A3">
        <w:rPr>
          <w:rFonts w:asciiTheme="majorHAnsi" w:hAnsiTheme="majorHAnsi" w:cstheme="majorHAnsi"/>
          <w:sz w:val="24"/>
          <w:szCs w:val="24"/>
          <w:lang w:val="ru-MD"/>
        </w:rPr>
        <w:t xml:space="preserve"> из 41 </w:t>
      </w:r>
      <w:r w:rsidR="004625A3" w:rsidRPr="004625A3">
        <w:rPr>
          <w:rFonts w:asciiTheme="majorHAnsi" w:hAnsiTheme="majorHAnsi" w:cstheme="majorHAnsi"/>
          <w:sz w:val="24"/>
          <w:szCs w:val="24"/>
          <w:lang w:val="ru-MD"/>
        </w:rPr>
        <w:t>экономическо</w:t>
      </w:r>
      <w:r w:rsidRPr="004625A3">
        <w:rPr>
          <w:rFonts w:asciiTheme="majorHAnsi" w:hAnsiTheme="majorHAnsi" w:cstheme="majorHAnsi"/>
          <w:sz w:val="24"/>
          <w:szCs w:val="24"/>
          <w:lang w:val="ru-MD"/>
        </w:rPr>
        <w:t>го субъекта, регистрирующего дебиторскую задолженность на сумму 263,3 млн.</w:t>
      </w:r>
      <w:r w:rsidR="004625A3" w:rsidRPr="004625A3">
        <w:rPr>
          <w:rFonts w:asciiTheme="majorHAnsi" w:hAnsiTheme="majorHAnsi" w:cstheme="majorHAnsi"/>
          <w:sz w:val="24"/>
          <w:szCs w:val="24"/>
          <w:lang w:val="ru-MD"/>
        </w:rPr>
        <w:t xml:space="preserve"> </w:t>
      </w:r>
      <w:r w:rsidRPr="004625A3">
        <w:rPr>
          <w:rFonts w:asciiTheme="majorHAnsi" w:hAnsiTheme="majorHAnsi" w:cstheme="majorHAnsi"/>
          <w:sz w:val="24"/>
          <w:szCs w:val="24"/>
          <w:lang w:val="ru-MD"/>
        </w:rPr>
        <w:t>ле</w:t>
      </w:r>
      <w:r w:rsidR="004625A3" w:rsidRPr="004625A3">
        <w:rPr>
          <w:rFonts w:asciiTheme="majorHAnsi" w:hAnsiTheme="majorHAnsi" w:cstheme="majorHAnsi"/>
          <w:sz w:val="24"/>
          <w:szCs w:val="24"/>
          <w:lang w:val="ru-MD"/>
        </w:rPr>
        <w:t>ев</w:t>
      </w:r>
      <w:r w:rsidRPr="004625A3">
        <w:rPr>
          <w:rFonts w:asciiTheme="majorHAnsi" w:hAnsiTheme="majorHAnsi" w:cstheme="majorHAnsi"/>
          <w:sz w:val="24"/>
          <w:szCs w:val="24"/>
          <w:lang w:val="ru-MD"/>
        </w:rPr>
        <w:t xml:space="preserve">, что составляет 76,5% от общей суммы дебиторской задолженности по состоянию на 31.12.2021. </w:t>
      </w:r>
      <w:r w:rsidR="004625A3" w:rsidRPr="004625A3">
        <w:rPr>
          <w:rFonts w:asciiTheme="majorHAnsi" w:hAnsiTheme="majorHAnsi" w:cstheme="majorHAnsi"/>
          <w:sz w:val="24"/>
          <w:szCs w:val="24"/>
          <w:lang w:val="ru-MD"/>
        </w:rPr>
        <w:t>Остаток</w:t>
      </w:r>
      <w:r w:rsidRPr="004625A3">
        <w:rPr>
          <w:rFonts w:asciiTheme="majorHAnsi" w:hAnsiTheme="majorHAnsi" w:cstheme="majorHAnsi"/>
          <w:sz w:val="24"/>
          <w:szCs w:val="24"/>
          <w:lang w:val="ru-MD"/>
        </w:rPr>
        <w:t xml:space="preserve"> дебиторской задолженности, </w:t>
      </w:r>
      <w:r w:rsidR="004625A3" w:rsidRPr="004625A3">
        <w:rPr>
          <w:rFonts w:asciiTheme="majorHAnsi" w:hAnsiTheme="majorHAnsi" w:cstheme="majorHAnsi"/>
          <w:sz w:val="24"/>
          <w:szCs w:val="24"/>
          <w:lang w:val="ru-MD"/>
        </w:rPr>
        <w:t>отраже</w:t>
      </w:r>
      <w:r w:rsidRPr="004625A3">
        <w:rPr>
          <w:rFonts w:asciiTheme="majorHAnsi" w:hAnsiTheme="majorHAnsi" w:cstheme="majorHAnsi"/>
          <w:sz w:val="24"/>
          <w:szCs w:val="24"/>
          <w:lang w:val="ru-MD"/>
        </w:rPr>
        <w:t xml:space="preserve">нной </w:t>
      </w:r>
      <w:r w:rsidR="004625A3" w:rsidRPr="004625A3">
        <w:rPr>
          <w:rFonts w:asciiTheme="majorHAnsi" w:hAnsiTheme="majorHAnsi" w:cstheme="majorHAnsi"/>
          <w:sz w:val="24"/>
          <w:szCs w:val="24"/>
          <w:lang w:val="ru-MD"/>
        </w:rPr>
        <w:t>ТС по состоянию</w:t>
      </w:r>
      <w:r w:rsidRPr="004625A3">
        <w:rPr>
          <w:rFonts w:asciiTheme="majorHAnsi" w:hAnsiTheme="majorHAnsi" w:cstheme="majorHAnsi"/>
          <w:sz w:val="24"/>
          <w:szCs w:val="24"/>
          <w:lang w:val="ru-MD"/>
        </w:rPr>
        <w:t xml:space="preserve"> на 31.12.2021, составляет 344,0 млн. леев, в том числе </w:t>
      </w:r>
      <w:r w:rsidR="004625A3" w:rsidRPr="004625A3">
        <w:rPr>
          <w:rFonts w:asciiTheme="majorHAnsi" w:hAnsiTheme="majorHAnsi" w:cstheme="majorHAnsi"/>
          <w:sz w:val="24"/>
          <w:szCs w:val="24"/>
          <w:lang w:val="ru-MD"/>
        </w:rPr>
        <w:t>Ц</w:t>
      </w:r>
      <w:r w:rsidRPr="004625A3">
        <w:rPr>
          <w:rFonts w:asciiTheme="majorHAnsi" w:hAnsiTheme="majorHAnsi" w:cstheme="majorHAnsi"/>
          <w:sz w:val="24"/>
          <w:szCs w:val="24"/>
          <w:lang w:val="ru-MD"/>
        </w:rPr>
        <w:t>ентральн</w:t>
      </w:r>
      <w:r w:rsidR="004625A3" w:rsidRPr="004625A3">
        <w:rPr>
          <w:rFonts w:asciiTheme="majorHAnsi" w:hAnsiTheme="majorHAnsi" w:cstheme="majorHAnsi"/>
          <w:sz w:val="24"/>
          <w:szCs w:val="24"/>
          <w:lang w:val="ru-MD"/>
        </w:rPr>
        <w:t>ого</w:t>
      </w:r>
      <w:r w:rsidRPr="004625A3">
        <w:rPr>
          <w:rFonts w:asciiTheme="majorHAnsi" w:hAnsiTheme="majorHAnsi" w:cstheme="majorHAnsi"/>
          <w:sz w:val="24"/>
          <w:szCs w:val="24"/>
          <w:lang w:val="ru-MD"/>
        </w:rPr>
        <w:t xml:space="preserve"> аппарат</w:t>
      </w:r>
      <w:r w:rsidR="004625A3" w:rsidRPr="004625A3">
        <w:rPr>
          <w:rFonts w:asciiTheme="majorHAnsi" w:hAnsiTheme="majorHAnsi" w:cstheme="majorHAnsi"/>
          <w:sz w:val="24"/>
          <w:szCs w:val="24"/>
          <w:lang w:val="ru-MD"/>
        </w:rPr>
        <w:t>а</w:t>
      </w:r>
      <w:r w:rsidRPr="004625A3">
        <w:rPr>
          <w:rFonts w:asciiTheme="majorHAnsi" w:hAnsiTheme="majorHAnsi" w:cstheme="majorHAnsi"/>
          <w:sz w:val="24"/>
          <w:szCs w:val="24"/>
          <w:lang w:val="ru-MD"/>
        </w:rPr>
        <w:t xml:space="preserve"> в сумме 74,2 млн. леев, </w:t>
      </w:r>
      <w:r w:rsidR="004625A3" w:rsidRPr="004625A3">
        <w:rPr>
          <w:rFonts w:asciiTheme="majorHAnsi" w:hAnsiTheme="majorHAnsi" w:cstheme="majorHAnsi"/>
          <w:sz w:val="24"/>
          <w:szCs w:val="24"/>
          <w:lang w:val="ru-MD"/>
        </w:rPr>
        <w:t>Т</w:t>
      </w:r>
      <w:r w:rsidRPr="004625A3">
        <w:rPr>
          <w:rFonts w:asciiTheme="majorHAnsi" w:hAnsiTheme="majorHAnsi" w:cstheme="majorHAnsi"/>
          <w:sz w:val="24"/>
          <w:szCs w:val="24"/>
          <w:lang w:val="ru-MD"/>
        </w:rPr>
        <w:t xml:space="preserve">Б </w:t>
      </w:r>
      <w:r w:rsidR="004625A3" w:rsidRPr="004625A3">
        <w:rPr>
          <w:rFonts w:asciiTheme="majorHAnsi" w:hAnsiTheme="majorHAnsi" w:cstheme="majorHAnsi"/>
          <w:sz w:val="24"/>
          <w:szCs w:val="24"/>
          <w:lang w:val="ru-MD"/>
        </w:rPr>
        <w:t>Ц</w:t>
      </w:r>
      <w:r w:rsidRPr="004625A3">
        <w:rPr>
          <w:rFonts w:asciiTheme="majorHAnsi" w:hAnsiTheme="majorHAnsi" w:cstheme="majorHAnsi"/>
          <w:sz w:val="24"/>
          <w:szCs w:val="24"/>
          <w:lang w:val="ru-MD"/>
        </w:rPr>
        <w:t>ентр</w:t>
      </w:r>
      <w:r w:rsidR="004625A3" w:rsidRPr="004625A3">
        <w:rPr>
          <w:rFonts w:asciiTheme="majorHAnsi" w:hAnsiTheme="majorHAnsi" w:cstheme="majorHAnsi"/>
          <w:sz w:val="24"/>
          <w:szCs w:val="24"/>
          <w:lang w:val="ru-MD"/>
        </w:rPr>
        <w:t xml:space="preserve"> </w:t>
      </w:r>
      <w:r w:rsidRPr="004625A3">
        <w:rPr>
          <w:rFonts w:asciiTheme="majorHAnsi" w:hAnsiTheme="majorHAnsi" w:cstheme="majorHAnsi"/>
          <w:sz w:val="24"/>
          <w:szCs w:val="24"/>
          <w:lang w:val="ru-MD"/>
        </w:rPr>
        <w:t>-</w:t>
      </w:r>
      <w:r w:rsidR="004625A3" w:rsidRPr="004625A3">
        <w:rPr>
          <w:rFonts w:asciiTheme="majorHAnsi" w:hAnsiTheme="majorHAnsi" w:cstheme="majorHAnsi"/>
          <w:sz w:val="24"/>
          <w:szCs w:val="24"/>
          <w:lang w:val="ru-MD"/>
        </w:rPr>
        <w:t xml:space="preserve"> </w:t>
      </w:r>
      <w:r w:rsidRPr="004625A3">
        <w:rPr>
          <w:rFonts w:asciiTheme="majorHAnsi" w:hAnsiTheme="majorHAnsi" w:cstheme="majorHAnsi"/>
          <w:sz w:val="24"/>
          <w:szCs w:val="24"/>
          <w:lang w:val="ru-MD"/>
        </w:rPr>
        <w:t>199,7 млн.</w:t>
      </w:r>
      <w:r w:rsidR="004625A3" w:rsidRPr="004625A3">
        <w:rPr>
          <w:rFonts w:asciiTheme="majorHAnsi" w:hAnsiTheme="majorHAnsi" w:cstheme="majorHAnsi"/>
          <w:sz w:val="24"/>
          <w:szCs w:val="24"/>
          <w:lang w:val="ru-MD"/>
        </w:rPr>
        <w:t xml:space="preserve"> </w:t>
      </w:r>
      <w:r w:rsidRPr="004625A3">
        <w:rPr>
          <w:rFonts w:asciiTheme="majorHAnsi" w:hAnsiTheme="majorHAnsi" w:cstheme="majorHAnsi"/>
          <w:sz w:val="24"/>
          <w:szCs w:val="24"/>
          <w:lang w:val="ru-MD"/>
        </w:rPr>
        <w:t>ле</w:t>
      </w:r>
      <w:r w:rsidR="004625A3" w:rsidRPr="004625A3">
        <w:rPr>
          <w:rFonts w:asciiTheme="majorHAnsi" w:hAnsiTheme="majorHAnsi" w:cstheme="majorHAnsi"/>
          <w:sz w:val="24"/>
          <w:szCs w:val="24"/>
          <w:lang w:val="ru-MD"/>
        </w:rPr>
        <w:t>ев</w:t>
      </w:r>
      <w:r w:rsidRPr="004625A3">
        <w:rPr>
          <w:rFonts w:asciiTheme="majorHAnsi" w:hAnsiTheme="majorHAnsi" w:cstheme="majorHAnsi"/>
          <w:sz w:val="24"/>
          <w:szCs w:val="24"/>
          <w:lang w:val="ru-MD"/>
        </w:rPr>
        <w:t xml:space="preserve">, </w:t>
      </w:r>
      <w:r w:rsidR="004625A3" w:rsidRPr="004625A3">
        <w:rPr>
          <w:rFonts w:asciiTheme="majorHAnsi" w:hAnsiTheme="majorHAnsi" w:cstheme="majorHAnsi"/>
          <w:sz w:val="24"/>
          <w:szCs w:val="24"/>
          <w:lang w:val="ru-MD"/>
        </w:rPr>
        <w:t>ТБ</w:t>
      </w:r>
      <w:r w:rsidRPr="004625A3">
        <w:rPr>
          <w:rFonts w:asciiTheme="majorHAnsi" w:hAnsiTheme="majorHAnsi" w:cstheme="majorHAnsi"/>
          <w:sz w:val="24"/>
          <w:szCs w:val="24"/>
          <w:lang w:val="ru-MD"/>
        </w:rPr>
        <w:t xml:space="preserve"> Север - 42,9 млн.</w:t>
      </w:r>
      <w:r w:rsidR="004625A3" w:rsidRPr="004625A3">
        <w:rPr>
          <w:rFonts w:asciiTheme="majorHAnsi" w:hAnsiTheme="majorHAnsi" w:cstheme="majorHAnsi"/>
          <w:sz w:val="24"/>
          <w:szCs w:val="24"/>
          <w:lang w:val="ru-MD"/>
        </w:rPr>
        <w:t xml:space="preserve"> </w:t>
      </w:r>
      <w:r w:rsidRPr="004625A3">
        <w:rPr>
          <w:rFonts w:asciiTheme="majorHAnsi" w:hAnsiTheme="majorHAnsi" w:cstheme="majorHAnsi"/>
          <w:sz w:val="24"/>
          <w:szCs w:val="24"/>
          <w:lang w:val="ru-MD"/>
        </w:rPr>
        <w:t>ле</w:t>
      </w:r>
      <w:r w:rsidR="004625A3" w:rsidRPr="004625A3">
        <w:rPr>
          <w:rFonts w:asciiTheme="majorHAnsi" w:hAnsiTheme="majorHAnsi" w:cstheme="majorHAnsi"/>
          <w:sz w:val="24"/>
          <w:szCs w:val="24"/>
          <w:lang w:val="ru-MD"/>
        </w:rPr>
        <w:t>ев</w:t>
      </w:r>
      <w:r w:rsidRPr="004625A3">
        <w:rPr>
          <w:rFonts w:asciiTheme="majorHAnsi" w:hAnsiTheme="majorHAnsi" w:cstheme="majorHAnsi"/>
          <w:sz w:val="24"/>
          <w:szCs w:val="24"/>
          <w:lang w:val="ru-MD"/>
        </w:rPr>
        <w:t xml:space="preserve">, </w:t>
      </w:r>
      <w:r w:rsidR="004625A3" w:rsidRPr="004625A3">
        <w:rPr>
          <w:rFonts w:asciiTheme="majorHAnsi" w:hAnsiTheme="majorHAnsi" w:cstheme="majorHAnsi"/>
          <w:sz w:val="24"/>
          <w:szCs w:val="24"/>
          <w:lang w:val="ru-MD"/>
        </w:rPr>
        <w:t>и</w:t>
      </w:r>
      <w:r w:rsidRPr="004625A3">
        <w:rPr>
          <w:rFonts w:asciiTheme="majorHAnsi" w:hAnsiTheme="majorHAnsi" w:cstheme="majorHAnsi"/>
          <w:sz w:val="24"/>
          <w:szCs w:val="24"/>
          <w:lang w:val="ru-MD"/>
        </w:rPr>
        <w:t xml:space="preserve"> </w:t>
      </w:r>
      <w:r w:rsidR="004625A3" w:rsidRPr="004625A3">
        <w:rPr>
          <w:rFonts w:asciiTheme="majorHAnsi" w:hAnsiTheme="majorHAnsi" w:cstheme="majorHAnsi"/>
          <w:sz w:val="24"/>
          <w:szCs w:val="24"/>
          <w:lang w:val="ru-MD"/>
        </w:rPr>
        <w:t>ТБ</w:t>
      </w:r>
      <w:r w:rsidRPr="004625A3">
        <w:rPr>
          <w:rFonts w:asciiTheme="majorHAnsi" w:hAnsiTheme="majorHAnsi" w:cstheme="majorHAnsi"/>
          <w:sz w:val="24"/>
          <w:szCs w:val="24"/>
          <w:lang w:val="ru-MD"/>
        </w:rPr>
        <w:t xml:space="preserve"> Юг-27,3 млн.</w:t>
      </w:r>
      <w:r w:rsidR="004625A3" w:rsidRPr="004625A3">
        <w:rPr>
          <w:rFonts w:asciiTheme="majorHAnsi" w:hAnsiTheme="majorHAnsi" w:cstheme="majorHAnsi"/>
          <w:sz w:val="24"/>
          <w:szCs w:val="24"/>
          <w:lang w:val="ru-MD"/>
        </w:rPr>
        <w:t xml:space="preserve"> </w:t>
      </w:r>
      <w:r w:rsidRPr="004625A3">
        <w:rPr>
          <w:rFonts w:asciiTheme="majorHAnsi" w:hAnsiTheme="majorHAnsi" w:cstheme="majorHAnsi"/>
          <w:sz w:val="24"/>
          <w:szCs w:val="24"/>
          <w:lang w:val="ru-MD"/>
        </w:rPr>
        <w:t>ле</w:t>
      </w:r>
      <w:r w:rsidR="004625A3" w:rsidRPr="004625A3">
        <w:rPr>
          <w:rFonts w:asciiTheme="majorHAnsi" w:hAnsiTheme="majorHAnsi" w:cstheme="majorHAnsi"/>
          <w:sz w:val="24"/>
          <w:szCs w:val="24"/>
          <w:lang w:val="ru-MD"/>
        </w:rPr>
        <w:t>ев</w:t>
      </w:r>
      <w:r w:rsidR="00E437FB" w:rsidRPr="004625A3">
        <w:rPr>
          <w:rFonts w:asciiTheme="majorHAnsi" w:eastAsia="Times New Roman" w:hAnsiTheme="majorHAnsi" w:cstheme="majorHAnsi"/>
          <w:sz w:val="24"/>
          <w:szCs w:val="24"/>
          <w:lang w:val="ru-MD" w:eastAsia="ru-RU"/>
        </w:rPr>
        <w:t xml:space="preserve">. </w:t>
      </w:r>
    </w:p>
    <w:p w14:paraId="3D524EB6" w14:textId="166C4F10" w:rsidR="002C21AE" w:rsidRPr="00162C2A" w:rsidRDefault="00553861" w:rsidP="00566E3F">
      <w:pPr>
        <w:spacing w:after="120"/>
        <w:jc w:val="both"/>
        <w:rPr>
          <w:rFonts w:asciiTheme="majorHAnsi" w:hAnsiTheme="majorHAnsi" w:cstheme="majorHAnsi"/>
          <w:sz w:val="24"/>
          <w:szCs w:val="24"/>
          <w:lang w:val="ro-RO"/>
        </w:rPr>
      </w:pPr>
      <w:r w:rsidRPr="009F5BD0">
        <w:rPr>
          <w:rFonts w:asciiTheme="majorHAnsi" w:hAnsiTheme="majorHAnsi" w:cstheme="majorHAnsi"/>
          <w:sz w:val="24"/>
          <w:szCs w:val="24"/>
          <w:lang w:val="ru-MD"/>
        </w:rPr>
        <w:t xml:space="preserve">Аудиторские доказательства свидетельствуют о том, что в результате применения способов </w:t>
      </w:r>
      <w:r w:rsidR="00EC7B0C" w:rsidRPr="009F5BD0">
        <w:rPr>
          <w:rFonts w:asciiTheme="majorHAnsi" w:hAnsiTheme="majorHAnsi" w:cstheme="majorHAnsi"/>
          <w:sz w:val="24"/>
          <w:szCs w:val="24"/>
          <w:lang w:val="ru-MD"/>
        </w:rPr>
        <w:t>принудительного исполнения</w:t>
      </w:r>
      <w:r w:rsidRPr="009F5BD0">
        <w:rPr>
          <w:rFonts w:asciiTheme="majorHAnsi" w:hAnsiTheme="majorHAnsi" w:cstheme="majorHAnsi"/>
          <w:sz w:val="24"/>
          <w:szCs w:val="24"/>
          <w:lang w:val="ru-MD"/>
        </w:rPr>
        <w:t xml:space="preserve"> с целью погашения не</w:t>
      </w:r>
      <w:r w:rsidR="00EC7B0C" w:rsidRPr="009F5BD0">
        <w:rPr>
          <w:rFonts w:asciiTheme="majorHAnsi" w:hAnsiTheme="majorHAnsi" w:cstheme="majorHAnsi"/>
          <w:sz w:val="24"/>
          <w:szCs w:val="24"/>
          <w:lang w:val="ru-MD"/>
        </w:rPr>
        <w:t>оплач</w:t>
      </w:r>
      <w:r w:rsidRPr="009F5BD0">
        <w:rPr>
          <w:rFonts w:asciiTheme="majorHAnsi" w:hAnsiTheme="majorHAnsi" w:cstheme="majorHAnsi"/>
          <w:sz w:val="24"/>
          <w:szCs w:val="24"/>
          <w:lang w:val="ru-MD"/>
        </w:rPr>
        <w:t>енного таможенного обязательства</w:t>
      </w:r>
      <w:r w:rsidR="00EC7B0C" w:rsidRPr="009F5BD0">
        <w:rPr>
          <w:rFonts w:asciiTheme="majorHAnsi" w:hAnsiTheme="majorHAnsi" w:cstheme="majorHAnsi"/>
          <w:sz w:val="24"/>
          <w:szCs w:val="24"/>
          <w:lang w:val="ru-MD"/>
        </w:rPr>
        <w:t>,</w:t>
      </w:r>
      <w:r w:rsidRPr="009F5BD0">
        <w:rPr>
          <w:rFonts w:asciiTheme="majorHAnsi" w:hAnsiTheme="majorHAnsi" w:cstheme="majorHAnsi"/>
          <w:sz w:val="24"/>
          <w:szCs w:val="24"/>
          <w:lang w:val="ru-MD"/>
        </w:rPr>
        <w:t xml:space="preserve"> </w:t>
      </w:r>
      <w:r w:rsidR="00EC7B0C" w:rsidRPr="009F5BD0">
        <w:rPr>
          <w:rFonts w:asciiTheme="majorHAnsi" w:hAnsiTheme="majorHAnsi" w:cstheme="majorHAnsi"/>
          <w:sz w:val="24"/>
          <w:szCs w:val="24"/>
          <w:lang w:val="ru-MD"/>
        </w:rPr>
        <w:t>ТС</w:t>
      </w:r>
      <w:r w:rsidRPr="009F5BD0">
        <w:rPr>
          <w:rFonts w:asciiTheme="majorHAnsi" w:hAnsiTheme="majorHAnsi" w:cstheme="majorHAnsi"/>
          <w:sz w:val="24"/>
          <w:szCs w:val="24"/>
          <w:lang w:val="ru-MD"/>
        </w:rPr>
        <w:t xml:space="preserve"> в 2021 году собрал</w:t>
      </w:r>
      <w:r w:rsidR="00EC7B0C" w:rsidRPr="009F5BD0">
        <w:rPr>
          <w:rFonts w:asciiTheme="majorHAnsi" w:hAnsiTheme="majorHAnsi" w:cstheme="majorHAnsi"/>
          <w:sz w:val="24"/>
          <w:szCs w:val="24"/>
          <w:lang w:val="ru-MD"/>
        </w:rPr>
        <w:t>а</w:t>
      </w:r>
      <w:r w:rsidRPr="009F5BD0">
        <w:rPr>
          <w:rFonts w:asciiTheme="majorHAnsi" w:hAnsiTheme="majorHAnsi" w:cstheme="majorHAnsi"/>
          <w:sz w:val="24"/>
          <w:szCs w:val="24"/>
          <w:lang w:val="ru-MD"/>
        </w:rPr>
        <w:t xml:space="preserve"> в гос</w:t>
      </w:r>
      <w:r w:rsidR="00EC7B0C" w:rsidRPr="009F5BD0">
        <w:rPr>
          <w:rFonts w:asciiTheme="majorHAnsi" w:hAnsiTheme="majorHAnsi" w:cstheme="majorHAnsi"/>
          <w:sz w:val="24"/>
          <w:szCs w:val="24"/>
          <w:lang w:val="ru-MD"/>
        </w:rPr>
        <w:t xml:space="preserve">ударственный </w:t>
      </w:r>
      <w:r w:rsidRPr="009F5BD0">
        <w:rPr>
          <w:rFonts w:asciiTheme="majorHAnsi" w:hAnsiTheme="majorHAnsi" w:cstheme="majorHAnsi"/>
          <w:sz w:val="24"/>
          <w:szCs w:val="24"/>
          <w:lang w:val="ru-MD"/>
        </w:rPr>
        <w:t>бюджет денежные средства в размере 47,8 млн.</w:t>
      </w:r>
      <w:r w:rsidR="00EC7B0C" w:rsidRPr="009F5BD0">
        <w:rPr>
          <w:rFonts w:asciiTheme="majorHAnsi" w:hAnsiTheme="majorHAnsi" w:cstheme="majorHAnsi"/>
          <w:sz w:val="24"/>
          <w:szCs w:val="24"/>
          <w:lang w:val="ru-MD"/>
        </w:rPr>
        <w:t xml:space="preserve"> </w:t>
      </w:r>
      <w:r w:rsidRPr="009F5BD0">
        <w:rPr>
          <w:rFonts w:asciiTheme="majorHAnsi" w:hAnsiTheme="majorHAnsi" w:cstheme="majorHAnsi"/>
          <w:sz w:val="24"/>
          <w:szCs w:val="24"/>
          <w:lang w:val="ru-MD"/>
        </w:rPr>
        <w:t>ле</w:t>
      </w:r>
      <w:r w:rsidR="00EC7B0C" w:rsidRPr="009F5BD0">
        <w:rPr>
          <w:rFonts w:asciiTheme="majorHAnsi" w:hAnsiTheme="majorHAnsi" w:cstheme="majorHAnsi"/>
          <w:sz w:val="24"/>
          <w:szCs w:val="24"/>
          <w:lang w:val="ru-MD"/>
        </w:rPr>
        <w:t>ев</w:t>
      </w:r>
      <w:r w:rsidRPr="009F5BD0">
        <w:rPr>
          <w:rFonts w:asciiTheme="majorHAnsi" w:hAnsiTheme="majorHAnsi" w:cstheme="majorHAnsi"/>
          <w:sz w:val="24"/>
          <w:szCs w:val="24"/>
          <w:lang w:val="ru-MD"/>
        </w:rPr>
        <w:t xml:space="preserve"> (13,9% от суммы дебиторской задолженности </w:t>
      </w:r>
      <w:r w:rsidR="00EC7B0C" w:rsidRPr="009F5BD0">
        <w:rPr>
          <w:rFonts w:asciiTheme="majorHAnsi" w:hAnsiTheme="majorHAnsi" w:cstheme="majorHAnsi"/>
          <w:sz w:val="24"/>
          <w:szCs w:val="24"/>
          <w:lang w:val="ru-MD"/>
        </w:rPr>
        <w:t xml:space="preserve">в </w:t>
      </w:r>
      <w:r w:rsidRPr="009F5BD0">
        <w:rPr>
          <w:rFonts w:asciiTheme="majorHAnsi" w:hAnsiTheme="majorHAnsi" w:cstheme="majorHAnsi"/>
          <w:sz w:val="24"/>
          <w:szCs w:val="24"/>
          <w:lang w:val="ru-MD"/>
        </w:rPr>
        <w:t>344,0 млн.</w:t>
      </w:r>
      <w:r w:rsidR="00EC7B0C" w:rsidRPr="009F5BD0">
        <w:rPr>
          <w:rFonts w:asciiTheme="majorHAnsi" w:hAnsiTheme="majorHAnsi" w:cstheme="majorHAnsi"/>
          <w:sz w:val="24"/>
          <w:szCs w:val="24"/>
          <w:lang w:val="ru-MD"/>
        </w:rPr>
        <w:t xml:space="preserve"> </w:t>
      </w:r>
      <w:r w:rsidRPr="009F5BD0">
        <w:rPr>
          <w:rFonts w:asciiTheme="majorHAnsi" w:hAnsiTheme="majorHAnsi" w:cstheme="majorHAnsi"/>
          <w:sz w:val="24"/>
          <w:szCs w:val="24"/>
          <w:lang w:val="ru-MD"/>
        </w:rPr>
        <w:t>ле</w:t>
      </w:r>
      <w:r w:rsidR="00EC7B0C" w:rsidRPr="009F5BD0">
        <w:rPr>
          <w:rFonts w:asciiTheme="majorHAnsi" w:hAnsiTheme="majorHAnsi" w:cstheme="majorHAnsi"/>
          <w:sz w:val="24"/>
          <w:szCs w:val="24"/>
          <w:lang w:val="ru-MD"/>
        </w:rPr>
        <w:t>ев</w:t>
      </w:r>
      <w:r w:rsidRPr="009F5BD0">
        <w:rPr>
          <w:rFonts w:asciiTheme="majorHAnsi" w:hAnsiTheme="majorHAnsi" w:cstheme="majorHAnsi"/>
          <w:sz w:val="24"/>
          <w:szCs w:val="24"/>
          <w:lang w:val="ru-MD"/>
        </w:rPr>
        <w:t>)</w:t>
      </w:r>
      <w:r w:rsidR="00EC7B0C" w:rsidRPr="009F5BD0">
        <w:rPr>
          <w:rFonts w:asciiTheme="majorHAnsi" w:hAnsiTheme="majorHAnsi" w:cstheme="majorHAnsi"/>
          <w:sz w:val="24"/>
          <w:szCs w:val="24"/>
          <w:lang w:val="ru-MD"/>
        </w:rPr>
        <w:t>,</w:t>
      </w:r>
      <w:r w:rsidRPr="009F5BD0">
        <w:rPr>
          <w:rFonts w:asciiTheme="majorHAnsi" w:hAnsiTheme="majorHAnsi" w:cstheme="majorHAnsi"/>
          <w:sz w:val="24"/>
          <w:szCs w:val="24"/>
          <w:lang w:val="ru-MD"/>
        </w:rPr>
        <w:t xml:space="preserve"> и в 2020 году</w:t>
      </w:r>
      <w:r w:rsidR="00EC7B0C" w:rsidRPr="009F5BD0">
        <w:rPr>
          <w:rFonts w:asciiTheme="majorHAnsi" w:hAnsiTheme="majorHAnsi" w:cstheme="majorHAnsi"/>
          <w:sz w:val="24"/>
          <w:szCs w:val="24"/>
          <w:lang w:val="ru-MD"/>
        </w:rPr>
        <w:t xml:space="preserve"> </w:t>
      </w:r>
      <w:r w:rsidRPr="009F5BD0">
        <w:rPr>
          <w:rFonts w:asciiTheme="majorHAnsi" w:hAnsiTheme="majorHAnsi" w:cstheme="majorHAnsi"/>
          <w:sz w:val="24"/>
          <w:szCs w:val="24"/>
          <w:lang w:val="ru-MD"/>
        </w:rPr>
        <w:t>-</w:t>
      </w:r>
      <w:r w:rsidR="00EC7B0C" w:rsidRPr="009F5BD0">
        <w:rPr>
          <w:rFonts w:asciiTheme="majorHAnsi" w:hAnsiTheme="majorHAnsi" w:cstheme="majorHAnsi"/>
          <w:sz w:val="24"/>
          <w:szCs w:val="24"/>
          <w:lang w:val="ru-MD"/>
        </w:rPr>
        <w:t xml:space="preserve"> </w:t>
      </w:r>
      <w:r w:rsidRPr="009F5BD0">
        <w:rPr>
          <w:rFonts w:asciiTheme="majorHAnsi" w:hAnsiTheme="majorHAnsi" w:cstheme="majorHAnsi"/>
          <w:sz w:val="24"/>
          <w:szCs w:val="24"/>
          <w:lang w:val="ru-MD"/>
        </w:rPr>
        <w:t xml:space="preserve">12,3 </w:t>
      </w:r>
      <w:r w:rsidR="00EC7B0C" w:rsidRPr="009F5BD0">
        <w:rPr>
          <w:rFonts w:asciiTheme="majorHAnsi" w:hAnsiTheme="majorHAnsi" w:cstheme="majorHAnsi"/>
          <w:sz w:val="24"/>
          <w:szCs w:val="24"/>
          <w:lang w:val="ru-MD"/>
        </w:rPr>
        <w:t>млн. леев</w:t>
      </w:r>
      <w:r w:rsidRPr="009F5BD0">
        <w:rPr>
          <w:rFonts w:asciiTheme="majorHAnsi" w:hAnsiTheme="majorHAnsi" w:cstheme="majorHAnsi"/>
          <w:sz w:val="24"/>
          <w:szCs w:val="24"/>
          <w:lang w:val="ru-MD"/>
        </w:rPr>
        <w:t xml:space="preserve"> (3,0% от суммы дебиторской задолженности </w:t>
      </w:r>
      <w:r w:rsidR="00EC7B0C" w:rsidRPr="009F5BD0">
        <w:rPr>
          <w:rFonts w:asciiTheme="majorHAnsi" w:hAnsiTheme="majorHAnsi" w:cstheme="majorHAnsi"/>
          <w:sz w:val="24"/>
          <w:szCs w:val="24"/>
          <w:lang w:val="ru-MD"/>
        </w:rPr>
        <w:t xml:space="preserve">в </w:t>
      </w:r>
      <w:r w:rsidRPr="009F5BD0">
        <w:rPr>
          <w:rFonts w:asciiTheme="majorHAnsi" w:hAnsiTheme="majorHAnsi" w:cstheme="majorHAnsi"/>
          <w:sz w:val="24"/>
          <w:szCs w:val="24"/>
          <w:lang w:val="ru-MD"/>
        </w:rPr>
        <w:t xml:space="preserve">399,2 </w:t>
      </w:r>
      <w:r w:rsidR="00EC7B0C" w:rsidRPr="009F5BD0">
        <w:rPr>
          <w:rFonts w:asciiTheme="majorHAnsi" w:hAnsiTheme="majorHAnsi" w:cstheme="majorHAnsi"/>
          <w:sz w:val="24"/>
          <w:szCs w:val="24"/>
          <w:lang w:val="ru-MD"/>
        </w:rPr>
        <w:t>млн. леев</w:t>
      </w:r>
      <w:r w:rsidRPr="009F5BD0">
        <w:rPr>
          <w:rFonts w:asciiTheme="majorHAnsi" w:hAnsiTheme="majorHAnsi" w:cstheme="majorHAnsi"/>
          <w:sz w:val="24"/>
          <w:szCs w:val="24"/>
          <w:lang w:val="ru-MD"/>
        </w:rPr>
        <w:t xml:space="preserve">), и </w:t>
      </w:r>
      <w:r w:rsidR="00EC7B0C" w:rsidRPr="009F5BD0">
        <w:rPr>
          <w:rFonts w:asciiTheme="majorHAnsi" w:hAnsiTheme="majorHAnsi" w:cstheme="majorHAnsi"/>
          <w:sz w:val="24"/>
          <w:szCs w:val="24"/>
          <w:lang w:val="ru-MD"/>
        </w:rPr>
        <w:t>это относит</w:t>
      </w:r>
      <w:r w:rsidRPr="009F5BD0">
        <w:rPr>
          <w:rFonts w:asciiTheme="majorHAnsi" w:hAnsiTheme="majorHAnsi" w:cstheme="majorHAnsi"/>
          <w:sz w:val="24"/>
          <w:szCs w:val="24"/>
          <w:lang w:val="ru-MD"/>
        </w:rPr>
        <w:t xml:space="preserve">ся преимущественно </w:t>
      </w:r>
      <w:r w:rsidR="00EC7B0C" w:rsidRPr="009F5BD0">
        <w:rPr>
          <w:rFonts w:asciiTheme="majorHAnsi" w:hAnsiTheme="majorHAnsi" w:cstheme="majorHAnsi"/>
          <w:sz w:val="24"/>
          <w:szCs w:val="24"/>
          <w:lang w:val="ru-MD"/>
        </w:rPr>
        <w:t>к</w:t>
      </w:r>
      <w:r w:rsidRPr="009F5BD0">
        <w:rPr>
          <w:rFonts w:asciiTheme="majorHAnsi" w:hAnsiTheme="majorHAnsi" w:cstheme="majorHAnsi"/>
          <w:sz w:val="24"/>
          <w:szCs w:val="24"/>
          <w:lang w:val="ru-MD"/>
        </w:rPr>
        <w:t xml:space="preserve"> </w:t>
      </w:r>
      <w:r w:rsidR="00EC7B0C" w:rsidRPr="009F5BD0">
        <w:rPr>
          <w:rFonts w:asciiTheme="majorHAnsi" w:hAnsiTheme="majorHAnsi" w:cstheme="majorHAnsi"/>
          <w:sz w:val="24"/>
          <w:szCs w:val="24"/>
          <w:lang w:val="ru-MD"/>
        </w:rPr>
        <w:t xml:space="preserve">текущим </w:t>
      </w:r>
      <w:r w:rsidRPr="009F5BD0">
        <w:rPr>
          <w:rFonts w:asciiTheme="majorHAnsi" w:hAnsiTheme="majorHAnsi" w:cstheme="majorHAnsi"/>
          <w:sz w:val="24"/>
          <w:szCs w:val="24"/>
          <w:lang w:val="ru-MD"/>
        </w:rPr>
        <w:t>таможенным обязательств</w:t>
      </w:r>
      <w:r w:rsidR="00EC7B0C" w:rsidRPr="009F5BD0">
        <w:rPr>
          <w:rFonts w:asciiTheme="majorHAnsi" w:hAnsiTheme="majorHAnsi" w:cstheme="majorHAnsi"/>
          <w:sz w:val="24"/>
          <w:szCs w:val="24"/>
          <w:lang w:val="ru-MD"/>
        </w:rPr>
        <w:t>а</w:t>
      </w:r>
      <w:r w:rsidRPr="009F5BD0">
        <w:rPr>
          <w:rFonts w:asciiTheme="majorHAnsi" w:hAnsiTheme="majorHAnsi" w:cstheme="majorHAnsi"/>
          <w:sz w:val="24"/>
          <w:szCs w:val="24"/>
          <w:lang w:val="ru-MD"/>
        </w:rPr>
        <w:t xml:space="preserve">м. </w:t>
      </w:r>
      <w:r w:rsidR="00EC7B0C" w:rsidRPr="009F5BD0">
        <w:rPr>
          <w:rFonts w:asciiTheme="majorHAnsi" w:hAnsiTheme="majorHAnsi" w:cstheme="majorHAnsi"/>
          <w:sz w:val="24"/>
          <w:szCs w:val="24"/>
          <w:lang w:val="ru-MD"/>
        </w:rPr>
        <w:t>Кроме того, ТС</w:t>
      </w:r>
      <w:r w:rsidRPr="009F5BD0">
        <w:rPr>
          <w:rFonts w:asciiTheme="majorHAnsi" w:hAnsiTheme="majorHAnsi" w:cstheme="majorHAnsi"/>
          <w:sz w:val="24"/>
          <w:szCs w:val="24"/>
          <w:lang w:val="ru-MD"/>
        </w:rPr>
        <w:t>, применяя порядок погашения таможенного обязательства путем аннулирования</w:t>
      </w:r>
      <w:r w:rsidR="003D0E1C" w:rsidRPr="009F5BD0">
        <w:rPr>
          <w:rStyle w:val="FootnoteReference"/>
          <w:rFonts w:asciiTheme="majorHAnsi" w:hAnsiTheme="majorHAnsi" w:cstheme="majorHAnsi"/>
          <w:sz w:val="24"/>
          <w:szCs w:val="24"/>
          <w:lang w:val="ru-MD"/>
        </w:rPr>
        <w:footnoteReference w:id="35"/>
      </w:r>
      <w:r w:rsidRPr="009F5BD0">
        <w:rPr>
          <w:rFonts w:asciiTheme="majorHAnsi" w:hAnsiTheme="majorHAnsi" w:cstheme="majorHAnsi"/>
          <w:sz w:val="24"/>
          <w:szCs w:val="24"/>
          <w:lang w:val="ru-MD"/>
        </w:rPr>
        <w:t>, выч</w:t>
      </w:r>
      <w:r w:rsidR="003D0E1C" w:rsidRPr="009F5BD0">
        <w:rPr>
          <w:rFonts w:asciiTheme="majorHAnsi" w:hAnsiTheme="majorHAnsi" w:cstheme="majorHAnsi"/>
          <w:sz w:val="24"/>
          <w:szCs w:val="24"/>
          <w:lang w:val="ru-MD"/>
        </w:rPr>
        <w:t>ета</w:t>
      </w:r>
      <w:r w:rsidRPr="009F5BD0">
        <w:rPr>
          <w:rFonts w:asciiTheme="majorHAnsi" w:hAnsiTheme="majorHAnsi" w:cstheme="majorHAnsi"/>
          <w:sz w:val="24"/>
          <w:szCs w:val="24"/>
          <w:lang w:val="ru-MD"/>
        </w:rPr>
        <w:t xml:space="preserve"> и </w:t>
      </w:r>
      <w:r w:rsidR="003D0E1C" w:rsidRPr="009F5BD0">
        <w:rPr>
          <w:rFonts w:asciiTheme="majorHAnsi" w:hAnsiTheme="majorHAnsi" w:cstheme="majorHAnsi"/>
          <w:sz w:val="24"/>
          <w:szCs w:val="24"/>
          <w:lang w:val="ru-MD"/>
        </w:rPr>
        <w:t xml:space="preserve">истечения срока </w:t>
      </w:r>
      <w:r w:rsidRPr="009F5BD0">
        <w:rPr>
          <w:rFonts w:asciiTheme="majorHAnsi" w:hAnsiTheme="majorHAnsi" w:cstheme="majorHAnsi"/>
          <w:sz w:val="24"/>
          <w:szCs w:val="24"/>
          <w:lang w:val="ru-MD"/>
        </w:rPr>
        <w:t>исковой давности</w:t>
      </w:r>
      <w:r w:rsidR="003D0E1C" w:rsidRPr="009F5BD0">
        <w:rPr>
          <w:rStyle w:val="FootnoteReference"/>
          <w:rFonts w:asciiTheme="majorHAnsi" w:hAnsiTheme="majorHAnsi" w:cstheme="majorHAnsi"/>
          <w:sz w:val="24"/>
          <w:szCs w:val="24"/>
          <w:lang w:val="ru-MD"/>
        </w:rPr>
        <w:footnoteReference w:id="36"/>
      </w:r>
      <w:r w:rsidR="003D0E1C" w:rsidRPr="009F5BD0">
        <w:rPr>
          <w:rFonts w:asciiTheme="majorHAnsi" w:hAnsiTheme="majorHAnsi" w:cstheme="majorHAnsi"/>
          <w:sz w:val="24"/>
          <w:szCs w:val="24"/>
          <w:lang w:val="ru-MD"/>
        </w:rPr>
        <w:t xml:space="preserve">, </w:t>
      </w:r>
      <w:r w:rsidRPr="009F5BD0">
        <w:rPr>
          <w:rFonts w:asciiTheme="majorHAnsi" w:hAnsiTheme="majorHAnsi" w:cstheme="majorHAnsi"/>
          <w:sz w:val="24"/>
          <w:szCs w:val="24"/>
          <w:lang w:val="ru-MD"/>
        </w:rPr>
        <w:t xml:space="preserve"> в 2020-2021 годах </w:t>
      </w:r>
      <w:r w:rsidR="003D0E1C" w:rsidRPr="009F5BD0">
        <w:rPr>
          <w:rFonts w:asciiTheme="majorHAnsi" w:hAnsiTheme="majorHAnsi" w:cstheme="majorHAnsi"/>
          <w:sz w:val="24"/>
          <w:szCs w:val="24"/>
          <w:lang w:val="ru-MD"/>
        </w:rPr>
        <w:t>исключила из бухгалтерского учета</w:t>
      </w:r>
      <w:r w:rsidRPr="009F5BD0">
        <w:rPr>
          <w:rFonts w:asciiTheme="majorHAnsi" w:hAnsiTheme="majorHAnsi" w:cstheme="majorHAnsi"/>
          <w:sz w:val="24"/>
          <w:szCs w:val="24"/>
          <w:lang w:val="ru-MD"/>
        </w:rPr>
        <w:t xml:space="preserve"> дебиторскую задолженность экономических агентов на общую сумму 172,5 </w:t>
      </w:r>
      <w:r w:rsidR="00EC7B0C" w:rsidRPr="009F5BD0">
        <w:rPr>
          <w:rFonts w:asciiTheme="majorHAnsi" w:hAnsiTheme="majorHAnsi" w:cstheme="majorHAnsi"/>
          <w:sz w:val="24"/>
          <w:szCs w:val="24"/>
          <w:lang w:val="ru-MD"/>
        </w:rPr>
        <w:t>млн. леев</w:t>
      </w:r>
      <w:r w:rsidRPr="009F5BD0">
        <w:rPr>
          <w:rFonts w:asciiTheme="majorHAnsi" w:hAnsiTheme="majorHAnsi" w:cstheme="majorHAnsi"/>
          <w:sz w:val="24"/>
          <w:szCs w:val="24"/>
          <w:lang w:val="ru-MD"/>
        </w:rPr>
        <w:t xml:space="preserve">, в том числе 103,7 </w:t>
      </w:r>
      <w:r w:rsidR="00EC7B0C" w:rsidRPr="009F5BD0">
        <w:rPr>
          <w:rFonts w:asciiTheme="majorHAnsi" w:hAnsiTheme="majorHAnsi" w:cstheme="majorHAnsi"/>
          <w:sz w:val="24"/>
          <w:szCs w:val="24"/>
          <w:lang w:val="ru-MD"/>
        </w:rPr>
        <w:t>млн. леев</w:t>
      </w:r>
      <w:r w:rsidR="009F5BD0">
        <w:rPr>
          <w:rFonts w:asciiTheme="majorHAnsi" w:hAnsiTheme="majorHAnsi" w:cstheme="majorHAnsi"/>
          <w:sz w:val="24"/>
          <w:szCs w:val="24"/>
          <w:lang w:val="ru-MD"/>
        </w:rPr>
        <w:t>,</w:t>
      </w:r>
      <w:r w:rsidRPr="009F5BD0">
        <w:rPr>
          <w:rFonts w:asciiTheme="majorHAnsi" w:hAnsiTheme="majorHAnsi" w:cstheme="majorHAnsi"/>
          <w:sz w:val="24"/>
          <w:szCs w:val="24"/>
          <w:lang w:val="ru-MD"/>
        </w:rPr>
        <w:t xml:space="preserve"> или 22,6% от общей суммы дебиторской задолженности (457,1 </w:t>
      </w:r>
      <w:r w:rsidR="00EC7B0C" w:rsidRPr="009F5BD0">
        <w:rPr>
          <w:rFonts w:asciiTheme="majorHAnsi" w:hAnsiTheme="majorHAnsi" w:cstheme="majorHAnsi"/>
          <w:sz w:val="24"/>
          <w:szCs w:val="24"/>
          <w:lang w:val="ru-MD"/>
        </w:rPr>
        <w:t>млн. леев</w:t>
      </w:r>
      <w:r w:rsidRPr="009F5BD0">
        <w:rPr>
          <w:rFonts w:asciiTheme="majorHAnsi" w:hAnsiTheme="majorHAnsi" w:cstheme="majorHAnsi"/>
          <w:sz w:val="24"/>
          <w:szCs w:val="24"/>
          <w:lang w:val="ru-MD"/>
        </w:rPr>
        <w:t>)</w:t>
      </w:r>
      <w:r w:rsidR="009F5BD0">
        <w:rPr>
          <w:rFonts w:asciiTheme="majorHAnsi" w:hAnsiTheme="majorHAnsi" w:cstheme="majorHAnsi"/>
          <w:sz w:val="24"/>
          <w:szCs w:val="24"/>
          <w:lang w:val="ru-MD"/>
        </w:rPr>
        <w:t xml:space="preserve">, отраженных ТС в отчетности по состоянию на </w:t>
      </w:r>
      <w:r w:rsidRPr="009F5BD0">
        <w:rPr>
          <w:rFonts w:asciiTheme="majorHAnsi" w:hAnsiTheme="majorHAnsi" w:cstheme="majorHAnsi"/>
          <w:sz w:val="24"/>
          <w:szCs w:val="24"/>
          <w:lang w:val="ru-MD"/>
        </w:rPr>
        <w:t>01.01.2020</w:t>
      </w:r>
      <w:r w:rsidR="009F5BD0">
        <w:rPr>
          <w:rFonts w:asciiTheme="majorHAnsi" w:hAnsiTheme="majorHAnsi" w:cstheme="majorHAnsi"/>
          <w:sz w:val="24"/>
          <w:szCs w:val="24"/>
          <w:lang w:val="ru-MD"/>
        </w:rPr>
        <w:t>,</w:t>
      </w:r>
      <w:r w:rsidRPr="009F5BD0">
        <w:rPr>
          <w:rFonts w:asciiTheme="majorHAnsi" w:hAnsiTheme="majorHAnsi" w:cstheme="majorHAnsi"/>
          <w:sz w:val="24"/>
          <w:szCs w:val="24"/>
          <w:lang w:val="ru-MD"/>
        </w:rPr>
        <w:t xml:space="preserve"> и 68,8 </w:t>
      </w:r>
      <w:r w:rsidR="00EC7B0C" w:rsidRPr="009F5BD0">
        <w:rPr>
          <w:rFonts w:asciiTheme="majorHAnsi" w:hAnsiTheme="majorHAnsi" w:cstheme="majorHAnsi"/>
          <w:sz w:val="24"/>
          <w:szCs w:val="24"/>
          <w:lang w:val="ru-MD"/>
        </w:rPr>
        <w:t>млн. леев</w:t>
      </w:r>
      <w:r w:rsidR="009F5BD0">
        <w:rPr>
          <w:rFonts w:asciiTheme="majorHAnsi" w:hAnsiTheme="majorHAnsi" w:cstheme="majorHAnsi"/>
          <w:sz w:val="24"/>
          <w:szCs w:val="24"/>
          <w:lang w:val="ru-MD"/>
        </w:rPr>
        <w:t>,</w:t>
      </w:r>
      <w:r w:rsidRPr="009F5BD0">
        <w:rPr>
          <w:rFonts w:asciiTheme="majorHAnsi" w:hAnsiTheme="majorHAnsi" w:cstheme="majorHAnsi"/>
          <w:sz w:val="24"/>
          <w:szCs w:val="24"/>
          <w:lang w:val="ru-MD"/>
        </w:rPr>
        <w:t xml:space="preserve"> или 17,2% от общей суммы дебиторской задолженности (399,2 </w:t>
      </w:r>
      <w:r w:rsidR="00EC7B0C" w:rsidRPr="009F5BD0">
        <w:rPr>
          <w:rFonts w:asciiTheme="majorHAnsi" w:hAnsiTheme="majorHAnsi" w:cstheme="majorHAnsi"/>
          <w:sz w:val="24"/>
          <w:szCs w:val="24"/>
          <w:lang w:val="ru-MD"/>
        </w:rPr>
        <w:t>млн. леев</w:t>
      </w:r>
      <w:r w:rsidRPr="009F5BD0">
        <w:rPr>
          <w:rFonts w:asciiTheme="majorHAnsi" w:hAnsiTheme="majorHAnsi" w:cstheme="majorHAnsi"/>
          <w:sz w:val="24"/>
          <w:szCs w:val="24"/>
          <w:lang w:val="ru-MD"/>
        </w:rPr>
        <w:t xml:space="preserve">) </w:t>
      </w:r>
      <w:r w:rsidR="009F5BD0">
        <w:rPr>
          <w:rFonts w:asciiTheme="majorHAnsi" w:hAnsiTheme="majorHAnsi" w:cstheme="majorHAnsi"/>
          <w:sz w:val="24"/>
          <w:szCs w:val="24"/>
          <w:lang w:val="ru-MD"/>
        </w:rPr>
        <w:t>отраженной по состоянию на</w:t>
      </w:r>
      <w:r w:rsidRPr="009F5BD0">
        <w:rPr>
          <w:rFonts w:asciiTheme="majorHAnsi" w:hAnsiTheme="majorHAnsi" w:cstheme="majorHAnsi"/>
          <w:sz w:val="24"/>
          <w:szCs w:val="24"/>
          <w:lang w:val="ru-MD"/>
        </w:rPr>
        <w:t xml:space="preserve"> 01.01.2021</w:t>
      </w:r>
      <w:r w:rsidR="00162C2A">
        <w:rPr>
          <w:rFonts w:asciiTheme="majorHAnsi" w:hAnsiTheme="majorHAnsi" w:cstheme="majorHAnsi"/>
          <w:sz w:val="24"/>
          <w:szCs w:val="24"/>
          <w:lang w:val="ro-RO"/>
        </w:rPr>
        <w:t>.</w:t>
      </w:r>
    </w:p>
    <w:p w14:paraId="5CB78BC3" w14:textId="76D96E05" w:rsidR="00505491" w:rsidRPr="00DC25C3" w:rsidRDefault="00553861" w:rsidP="00505491">
      <w:pPr>
        <w:jc w:val="both"/>
        <w:rPr>
          <w:rFonts w:asciiTheme="majorHAnsi" w:eastAsia="Times New Roman" w:hAnsiTheme="majorHAnsi" w:cstheme="majorHAnsi"/>
          <w:sz w:val="24"/>
          <w:szCs w:val="24"/>
          <w:lang w:val="ru-MD" w:eastAsia="ru-RU"/>
        </w:rPr>
      </w:pPr>
      <w:r w:rsidRPr="00DC25C3">
        <w:rPr>
          <w:rFonts w:asciiTheme="majorHAnsi" w:hAnsiTheme="majorHAnsi" w:cstheme="majorHAnsi"/>
          <w:sz w:val="24"/>
          <w:szCs w:val="24"/>
          <w:lang w:val="ru-MD"/>
        </w:rPr>
        <w:t xml:space="preserve">Исторические </w:t>
      </w:r>
      <w:r w:rsidR="009F5BD0" w:rsidRPr="00DC25C3">
        <w:rPr>
          <w:rFonts w:asciiTheme="majorHAnsi" w:hAnsiTheme="majorHAnsi" w:cstheme="majorHAnsi"/>
          <w:sz w:val="24"/>
          <w:szCs w:val="24"/>
          <w:lang w:val="ru-MD"/>
        </w:rPr>
        <w:t>задолженности</w:t>
      </w:r>
      <w:r w:rsidRPr="00DC25C3">
        <w:rPr>
          <w:rFonts w:asciiTheme="majorHAnsi" w:hAnsiTheme="majorHAnsi" w:cstheme="majorHAnsi"/>
          <w:sz w:val="24"/>
          <w:szCs w:val="24"/>
          <w:lang w:val="ru-MD"/>
        </w:rPr>
        <w:t xml:space="preserve">, </w:t>
      </w:r>
      <w:r w:rsidR="009F5BD0" w:rsidRPr="00DC25C3">
        <w:rPr>
          <w:rFonts w:asciiTheme="majorHAnsi" w:hAnsiTheme="majorHAnsi" w:cstheme="majorHAnsi"/>
          <w:sz w:val="24"/>
          <w:szCs w:val="24"/>
          <w:lang w:val="ru-MD"/>
        </w:rPr>
        <w:t>отраженные ТС по состоянию на 31.12.2021</w:t>
      </w:r>
      <w:r w:rsidRPr="00DC25C3">
        <w:rPr>
          <w:rFonts w:asciiTheme="majorHAnsi" w:hAnsiTheme="majorHAnsi" w:cstheme="majorHAnsi"/>
          <w:sz w:val="24"/>
          <w:szCs w:val="24"/>
          <w:lang w:val="ru-MD"/>
        </w:rPr>
        <w:t xml:space="preserve">, составляют 105,7 </w:t>
      </w:r>
      <w:r w:rsidR="00EC7B0C" w:rsidRPr="00DC25C3">
        <w:rPr>
          <w:rFonts w:asciiTheme="majorHAnsi" w:hAnsiTheme="majorHAnsi" w:cstheme="majorHAnsi"/>
          <w:sz w:val="24"/>
          <w:szCs w:val="24"/>
          <w:lang w:val="ru-MD"/>
        </w:rPr>
        <w:t>млн. леев</w:t>
      </w:r>
      <w:r w:rsidRPr="00DC25C3">
        <w:rPr>
          <w:rFonts w:asciiTheme="majorHAnsi" w:hAnsiTheme="majorHAnsi" w:cstheme="majorHAnsi"/>
          <w:sz w:val="24"/>
          <w:szCs w:val="24"/>
          <w:lang w:val="ru-MD"/>
        </w:rPr>
        <w:t xml:space="preserve">, </w:t>
      </w:r>
      <w:r w:rsidR="009F5BD0" w:rsidRPr="00DC25C3">
        <w:rPr>
          <w:rFonts w:asciiTheme="majorHAnsi" w:hAnsiTheme="majorHAnsi" w:cstheme="majorHAnsi"/>
          <w:sz w:val="24"/>
          <w:szCs w:val="24"/>
          <w:lang w:val="ru-MD"/>
        </w:rPr>
        <w:t>и сформированные</w:t>
      </w:r>
      <w:r w:rsidRPr="00DC25C3">
        <w:rPr>
          <w:rFonts w:asciiTheme="majorHAnsi" w:hAnsiTheme="majorHAnsi" w:cstheme="majorHAnsi"/>
          <w:sz w:val="24"/>
          <w:szCs w:val="24"/>
          <w:lang w:val="ru-MD"/>
        </w:rPr>
        <w:t xml:space="preserve"> </w:t>
      </w:r>
      <w:r w:rsidR="009F5BD0" w:rsidRPr="00DC25C3">
        <w:rPr>
          <w:rFonts w:asciiTheme="majorHAnsi" w:hAnsiTheme="majorHAnsi" w:cstheme="majorHAnsi"/>
          <w:sz w:val="24"/>
          <w:szCs w:val="24"/>
          <w:lang w:val="ru-MD"/>
        </w:rPr>
        <w:t>за</w:t>
      </w:r>
      <w:r w:rsidRPr="00DC25C3">
        <w:rPr>
          <w:rFonts w:asciiTheme="majorHAnsi" w:hAnsiTheme="majorHAnsi" w:cstheme="majorHAnsi"/>
          <w:sz w:val="24"/>
          <w:szCs w:val="24"/>
          <w:lang w:val="ru-MD"/>
        </w:rPr>
        <w:t xml:space="preserve"> 1995-2015 г</w:t>
      </w:r>
      <w:r w:rsidR="009F5BD0" w:rsidRPr="00DC25C3">
        <w:rPr>
          <w:rFonts w:asciiTheme="majorHAnsi" w:hAnsiTheme="majorHAnsi" w:cstheme="majorHAnsi"/>
          <w:sz w:val="24"/>
          <w:szCs w:val="24"/>
          <w:lang w:val="ru-MD"/>
        </w:rPr>
        <w:t>оды</w:t>
      </w:r>
      <w:r w:rsidRPr="00DC25C3">
        <w:rPr>
          <w:rFonts w:asciiTheme="majorHAnsi" w:hAnsiTheme="majorHAnsi" w:cstheme="majorHAnsi"/>
          <w:sz w:val="24"/>
          <w:szCs w:val="24"/>
          <w:lang w:val="ru-MD"/>
        </w:rPr>
        <w:t xml:space="preserve">, принадлежат 109 экономическим агентам и представляют собой </w:t>
      </w:r>
      <w:r w:rsidR="00DC25C3" w:rsidRPr="00DC25C3">
        <w:rPr>
          <w:rFonts w:asciiTheme="majorHAnsi" w:hAnsiTheme="majorHAnsi" w:cstheme="majorHAnsi"/>
          <w:sz w:val="24"/>
          <w:szCs w:val="24"/>
          <w:lang w:val="ru-MD"/>
        </w:rPr>
        <w:t>безнадежн</w:t>
      </w:r>
      <w:r w:rsidRPr="00DC25C3">
        <w:rPr>
          <w:rFonts w:asciiTheme="majorHAnsi" w:hAnsiTheme="majorHAnsi" w:cstheme="majorHAnsi"/>
          <w:sz w:val="24"/>
          <w:szCs w:val="24"/>
          <w:lang w:val="ru-MD"/>
        </w:rPr>
        <w:t>ую задолженность</w:t>
      </w:r>
      <w:r w:rsidR="00DC25C3" w:rsidRPr="00DC25C3">
        <w:rPr>
          <w:rFonts w:asciiTheme="majorHAnsi" w:hAnsiTheme="majorHAnsi" w:cstheme="majorHAnsi"/>
          <w:sz w:val="24"/>
          <w:szCs w:val="24"/>
          <w:lang w:val="ru-MD"/>
        </w:rPr>
        <w:t xml:space="preserve">, которую невозможно взыскать </w:t>
      </w:r>
      <w:r w:rsidRPr="00DC25C3">
        <w:rPr>
          <w:rFonts w:asciiTheme="majorHAnsi" w:hAnsiTheme="majorHAnsi" w:cstheme="majorHAnsi"/>
          <w:sz w:val="24"/>
          <w:szCs w:val="24"/>
          <w:lang w:val="ru-MD"/>
        </w:rPr>
        <w:t xml:space="preserve">в государственный бюджет, из которых </w:t>
      </w:r>
      <w:r w:rsidR="00DC25C3" w:rsidRPr="00DC25C3">
        <w:rPr>
          <w:rFonts w:asciiTheme="majorHAnsi" w:hAnsiTheme="majorHAnsi" w:cstheme="majorHAnsi"/>
          <w:sz w:val="24"/>
          <w:szCs w:val="24"/>
          <w:lang w:val="ru-MD"/>
        </w:rPr>
        <w:t xml:space="preserve">долг </w:t>
      </w:r>
      <w:r w:rsidRPr="00DC25C3">
        <w:rPr>
          <w:rFonts w:asciiTheme="majorHAnsi" w:hAnsiTheme="majorHAnsi" w:cstheme="majorHAnsi"/>
          <w:sz w:val="24"/>
          <w:szCs w:val="24"/>
          <w:lang w:val="ru-MD"/>
        </w:rPr>
        <w:t>18 экономических агентов</w:t>
      </w:r>
      <w:r w:rsidR="00DC25C3" w:rsidRPr="00DC25C3">
        <w:rPr>
          <w:rStyle w:val="FootnoteReference"/>
          <w:rFonts w:asciiTheme="majorHAnsi" w:hAnsiTheme="majorHAnsi" w:cstheme="majorHAnsi"/>
          <w:sz w:val="24"/>
          <w:szCs w:val="24"/>
          <w:lang w:val="ru-MD"/>
        </w:rPr>
        <w:footnoteReference w:id="37"/>
      </w:r>
      <w:r w:rsidRPr="00DC25C3">
        <w:rPr>
          <w:rFonts w:asciiTheme="majorHAnsi" w:hAnsiTheme="majorHAnsi" w:cstheme="majorHAnsi"/>
          <w:sz w:val="24"/>
          <w:szCs w:val="24"/>
          <w:lang w:val="ru-MD"/>
        </w:rPr>
        <w:t xml:space="preserve"> </w:t>
      </w:r>
      <w:r w:rsidR="00DC25C3" w:rsidRPr="00DC25C3">
        <w:rPr>
          <w:rFonts w:asciiTheme="majorHAnsi" w:hAnsiTheme="majorHAnsi" w:cstheme="majorHAnsi"/>
          <w:sz w:val="24"/>
          <w:szCs w:val="24"/>
          <w:lang w:val="ru-MD"/>
        </w:rPr>
        <w:t>составляет</w:t>
      </w:r>
      <w:r w:rsidRPr="00DC25C3">
        <w:rPr>
          <w:rFonts w:asciiTheme="majorHAnsi" w:hAnsiTheme="majorHAnsi" w:cstheme="majorHAnsi"/>
          <w:sz w:val="24"/>
          <w:szCs w:val="24"/>
          <w:lang w:val="ru-MD"/>
        </w:rPr>
        <w:t xml:space="preserve"> 82,4 </w:t>
      </w:r>
      <w:r w:rsidR="00EC7B0C" w:rsidRPr="00DC25C3">
        <w:rPr>
          <w:rFonts w:asciiTheme="majorHAnsi" w:hAnsiTheme="majorHAnsi" w:cstheme="majorHAnsi"/>
          <w:sz w:val="24"/>
          <w:szCs w:val="24"/>
          <w:lang w:val="ru-MD"/>
        </w:rPr>
        <w:t>млн. леев</w:t>
      </w:r>
      <w:r w:rsidRPr="00DC25C3">
        <w:rPr>
          <w:rFonts w:asciiTheme="majorHAnsi" w:hAnsiTheme="majorHAnsi" w:cstheme="majorHAnsi"/>
          <w:sz w:val="24"/>
          <w:szCs w:val="24"/>
          <w:lang w:val="ru-MD"/>
        </w:rPr>
        <w:t>, или 78,0% от общей задолженности</w:t>
      </w:r>
      <w:r w:rsidR="00505491" w:rsidRPr="00DC25C3">
        <w:rPr>
          <w:rFonts w:asciiTheme="majorHAnsi" w:eastAsia="Times New Roman" w:hAnsiTheme="majorHAnsi" w:cstheme="majorHAnsi"/>
          <w:sz w:val="24"/>
          <w:szCs w:val="24"/>
          <w:lang w:val="ru-MD" w:eastAsia="ru-RU"/>
        </w:rPr>
        <w:t xml:space="preserve">. </w:t>
      </w:r>
    </w:p>
    <w:p w14:paraId="0879902F" w14:textId="5C11D49A" w:rsidR="003973F9" w:rsidRPr="00D87C90" w:rsidRDefault="00F52E19" w:rsidP="003973F9">
      <w:pPr>
        <w:jc w:val="both"/>
        <w:rPr>
          <w:rFonts w:asciiTheme="majorHAnsi" w:eastAsia="Times New Roman" w:hAnsiTheme="majorHAnsi" w:cstheme="majorHAnsi"/>
          <w:sz w:val="24"/>
          <w:szCs w:val="24"/>
          <w:lang w:val="ru-MD"/>
        </w:rPr>
      </w:pPr>
      <w:r w:rsidRPr="00CF73C0">
        <w:rPr>
          <w:rFonts w:asciiTheme="majorHAnsi" w:hAnsiTheme="majorHAnsi" w:cstheme="majorHAnsi"/>
          <w:sz w:val="24"/>
          <w:szCs w:val="24"/>
          <w:lang w:val="ru-MD"/>
        </w:rPr>
        <w:t>Согласно нормативной базе</w:t>
      </w:r>
      <w:r w:rsidR="00DC25C3" w:rsidRPr="00CF73C0">
        <w:rPr>
          <w:rFonts w:asciiTheme="majorHAnsi" w:hAnsiTheme="majorHAnsi" w:cstheme="majorHAnsi"/>
          <w:sz w:val="24"/>
          <w:szCs w:val="24"/>
          <w:vertAlign w:val="superscript"/>
          <w:lang w:val="ru-MD"/>
        </w:rPr>
        <w:footnoteReference w:id="38"/>
      </w:r>
      <w:r w:rsidRPr="00CF73C0">
        <w:rPr>
          <w:rFonts w:asciiTheme="majorHAnsi" w:hAnsiTheme="majorHAnsi" w:cstheme="majorHAnsi"/>
          <w:sz w:val="24"/>
          <w:szCs w:val="24"/>
          <w:lang w:val="ru-MD"/>
        </w:rPr>
        <w:t xml:space="preserve">, </w:t>
      </w:r>
      <w:r w:rsidR="00DC25C3" w:rsidRPr="00CF73C0">
        <w:rPr>
          <w:rFonts w:asciiTheme="majorHAnsi" w:hAnsiTheme="majorHAnsi" w:cstheme="majorHAnsi"/>
          <w:sz w:val="24"/>
          <w:szCs w:val="24"/>
          <w:lang w:val="ru-MD"/>
        </w:rPr>
        <w:t>администраторы</w:t>
      </w:r>
      <w:r w:rsidRPr="00CF73C0">
        <w:rPr>
          <w:rFonts w:asciiTheme="majorHAnsi" w:hAnsiTheme="majorHAnsi" w:cstheme="majorHAnsi"/>
          <w:sz w:val="24"/>
          <w:szCs w:val="24"/>
          <w:lang w:val="ru-MD"/>
        </w:rPr>
        <w:t xml:space="preserve"> доход</w:t>
      </w:r>
      <w:r w:rsidR="00DC25C3" w:rsidRPr="00CF73C0">
        <w:rPr>
          <w:rFonts w:asciiTheme="majorHAnsi" w:hAnsiTheme="majorHAnsi" w:cstheme="majorHAnsi"/>
          <w:sz w:val="24"/>
          <w:szCs w:val="24"/>
          <w:lang w:val="ru-MD"/>
        </w:rPr>
        <w:t>ов</w:t>
      </w:r>
      <w:r w:rsidRPr="00CF73C0">
        <w:rPr>
          <w:rFonts w:asciiTheme="majorHAnsi" w:hAnsiTheme="majorHAnsi" w:cstheme="majorHAnsi"/>
          <w:sz w:val="24"/>
          <w:szCs w:val="24"/>
          <w:lang w:val="ru-MD"/>
        </w:rPr>
        <w:t xml:space="preserve"> представляют </w:t>
      </w:r>
      <w:r w:rsidR="00DC25C3" w:rsidRPr="00CF73C0">
        <w:rPr>
          <w:rFonts w:asciiTheme="majorHAnsi" w:hAnsiTheme="majorHAnsi" w:cstheme="majorHAnsi"/>
          <w:sz w:val="24"/>
          <w:szCs w:val="24"/>
          <w:lang w:val="ru-MD"/>
        </w:rPr>
        <w:t>МФ</w:t>
      </w:r>
      <w:r w:rsidRPr="00CF73C0">
        <w:rPr>
          <w:rFonts w:asciiTheme="majorHAnsi" w:hAnsiTheme="majorHAnsi" w:cstheme="majorHAnsi"/>
          <w:sz w:val="24"/>
          <w:szCs w:val="24"/>
          <w:lang w:val="ru-MD"/>
        </w:rPr>
        <w:t xml:space="preserve"> информацию о задолженности по платежам, которые они </w:t>
      </w:r>
      <w:r w:rsidR="00DC25C3" w:rsidRPr="00CF73C0">
        <w:rPr>
          <w:rFonts w:asciiTheme="majorHAnsi" w:hAnsiTheme="majorHAnsi" w:cstheme="majorHAnsi"/>
          <w:sz w:val="24"/>
          <w:szCs w:val="24"/>
          <w:lang w:val="ru-MD"/>
        </w:rPr>
        <w:t>администриру</w:t>
      </w:r>
      <w:r w:rsidRPr="00CF73C0">
        <w:rPr>
          <w:rFonts w:asciiTheme="majorHAnsi" w:hAnsiTheme="majorHAnsi" w:cstheme="majorHAnsi"/>
          <w:sz w:val="24"/>
          <w:szCs w:val="24"/>
          <w:lang w:val="ru-MD"/>
        </w:rPr>
        <w:t>ют, ежемесячно</w:t>
      </w:r>
      <w:r w:rsidR="00DC25C3" w:rsidRPr="00CF73C0">
        <w:rPr>
          <w:rFonts w:asciiTheme="majorHAnsi" w:hAnsiTheme="majorHAnsi" w:cstheme="majorHAnsi"/>
          <w:sz w:val="24"/>
          <w:szCs w:val="24"/>
          <w:lang w:val="ru-MD"/>
        </w:rPr>
        <w:t>,</w:t>
      </w:r>
      <w:r w:rsidRPr="00CF73C0">
        <w:rPr>
          <w:rFonts w:asciiTheme="majorHAnsi" w:hAnsiTheme="majorHAnsi" w:cstheme="majorHAnsi"/>
          <w:sz w:val="24"/>
          <w:szCs w:val="24"/>
          <w:lang w:val="ru-MD"/>
        </w:rPr>
        <w:t xml:space="preserve"> до 25 числа месяца, следующего </w:t>
      </w:r>
      <w:r w:rsidR="00CF73C0" w:rsidRPr="00CF73C0">
        <w:rPr>
          <w:rFonts w:asciiTheme="majorHAnsi" w:hAnsiTheme="majorHAnsi" w:cstheme="majorHAnsi"/>
          <w:sz w:val="24"/>
          <w:szCs w:val="24"/>
          <w:lang w:val="ru-MD"/>
        </w:rPr>
        <w:t xml:space="preserve">непосредственно </w:t>
      </w:r>
      <w:r w:rsidRPr="00CF73C0">
        <w:rPr>
          <w:rFonts w:asciiTheme="majorHAnsi" w:hAnsiTheme="majorHAnsi" w:cstheme="majorHAnsi"/>
          <w:sz w:val="24"/>
          <w:szCs w:val="24"/>
          <w:lang w:val="ru-MD"/>
        </w:rPr>
        <w:t>за отчетным месяцем, и ежегодно</w:t>
      </w:r>
      <w:r w:rsidR="00DC25C3" w:rsidRPr="00CF73C0">
        <w:rPr>
          <w:rFonts w:asciiTheme="majorHAnsi" w:hAnsiTheme="majorHAnsi" w:cstheme="majorHAnsi"/>
          <w:sz w:val="24"/>
          <w:szCs w:val="24"/>
          <w:lang w:val="ru-MD"/>
        </w:rPr>
        <w:t>,</w:t>
      </w:r>
      <w:r w:rsidRPr="00CF73C0">
        <w:rPr>
          <w:rFonts w:asciiTheme="majorHAnsi" w:hAnsiTheme="majorHAnsi" w:cstheme="majorHAnsi"/>
          <w:sz w:val="24"/>
          <w:szCs w:val="24"/>
          <w:lang w:val="ru-MD"/>
        </w:rPr>
        <w:t xml:space="preserve"> до 25 февраля года, следующего за отчетным годом.  Хотя администратор </w:t>
      </w:r>
      <w:r w:rsidR="00DC25C3" w:rsidRPr="00CF73C0">
        <w:rPr>
          <w:rFonts w:asciiTheme="majorHAnsi" w:hAnsiTheme="majorHAnsi" w:cstheme="majorHAnsi"/>
          <w:sz w:val="24"/>
          <w:szCs w:val="24"/>
          <w:lang w:val="ru-MD"/>
        </w:rPr>
        <w:t>доходов (ТС</w:t>
      </w:r>
      <w:r w:rsidRPr="00CF73C0">
        <w:rPr>
          <w:rFonts w:asciiTheme="majorHAnsi" w:hAnsiTheme="majorHAnsi" w:cstheme="majorHAnsi"/>
          <w:sz w:val="24"/>
          <w:szCs w:val="24"/>
          <w:lang w:val="ru-MD"/>
        </w:rPr>
        <w:t xml:space="preserve">) представил </w:t>
      </w:r>
      <w:r w:rsidR="00DC25C3" w:rsidRPr="00CF73C0">
        <w:rPr>
          <w:rFonts w:asciiTheme="majorHAnsi" w:hAnsiTheme="majorHAnsi" w:cstheme="majorHAnsi"/>
          <w:sz w:val="24"/>
          <w:szCs w:val="24"/>
          <w:lang w:val="ru-MD"/>
        </w:rPr>
        <w:t>МФ</w:t>
      </w:r>
      <w:r w:rsidRPr="00CF73C0">
        <w:rPr>
          <w:rFonts w:asciiTheme="majorHAnsi" w:hAnsiTheme="majorHAnsi" w:cstheme="majorHAnsi"/>
          <w:sz w:val="24"/>
          <w:szCs w:val="24"/>
          <w:lang w:val="ru-MD"/>
        </w:rPr>
        <w:t xml:space="preserve"> отчеты о задолженности </w:t>
      </w:r>
      <w:r w:rsidR="00DC25C3" w:rsidRPr="00CF73C0">
        <w:rPr>
          <w:rFonts w:asciiTheme="majorHAnsi" w:hAnsiTheme="majorHAnsi" w:cstheme="majorHAnsi"/>
          <w:sz w:val="24"/>
          <w:szCs w:val="24"/>
          <w:lang w:val="ru-MD"/>
        </w:rPr>
        <w:t>перед ГБ</w:t>
      </w:r>
      <w:r w:rsidRPr="00CF73C0">
        <w:rPr>
          <w:rFonts w:asciiTheme="majorHAnsi" w:hAnsiTheme="majorHAnsi" w:cstheme="majorHAnsi"/>
          <w:sz w:val="24"/>
          <w:szCs w:val="24"/>
          <w:lang w:val="ru-MD"/>
        </w:rPr>
        <w:t xml:space="preserve">, </w:t>
      </w:r>
      <w:r w:rsidR="00CF73C0" w:rsidRPr="00CF73C0">
        <w:rPr>
          <w:rFonts w:asciiTheme="majorHAnsi" w:hAnsiTheme="majorHAnsi" w:cstheme="majorHAnsi"/>
          <w:sz w:val="24"/>
          <w:szCs w:val="24"/>
          <w:lang w:val="ru-MD"/>
        </w:rPr>
        <w:t>отмечается</w:t>
      </w:r>
      <w:r w:rsidRPr="00CF73C0">
        <w:rPr>
          <w:rFonts w:asciiTheme="majorHAnsi" w:hAnsiTheme="majorHAnsi" w:cstheme="majorHAnsi"/>
          <w:sz w:val="24"/>
          <w:szCs w:val="24"/>
          <w:lang w:val="ru-MD"/>
        </w:rPr>
        <w:t xml:space="preserve">, что </w:t>
      </w:r>
      <w:r w:rsidR="00DC25C3" w:rsidRPr="00CF73C0">
        <w:rPr>
          <w:rFonts w:asciiTheme="majorHAnsi" w:hAnsiTheme="majorHAnsi" w:cstheme="majorHAnsi"/>
          <w:sz w:val="24"/>
          <w:szCs w:val="24"/>
          <w:lang w:val="ru-MD"/>
        </w:rPr>
        <w:t>МФ</w:t>
      </w:r>
      <w:r w:rsidRPr="00CF73C0">
        <w:rPr>
          <w:rFonts w:asciiTheme="majorHAnsi" w:hAnsiTheme="majorHAnsi" w:cstheme="majorHAnsi"/>
          <w:sz w:val="24"/>
          <w:szCs w:val="24"/>
          <w:lang w:val="ru-MD"/>
        </w:rPr>
        <w:t xml:space="preserve"> не </w:t>
      </w:r>
      <w:r w:rsidR="00DC25C3" w:rsidRPr="00CF73C0">
        <w:rPr>
          <w:rFonts w:asciiTheme="majorHAnsi" w:hAnsiTheme="majorHAnsi" w:cstheme="majorHAnsi"/>
          <w:sz w:val="24"/>
          <w:szCs w:val="24"/>
          <w:lang w:val="ru-MD"/>
        </w:rPr>
        <w:t>влад</w:t>
      </w:r>
      <w:r w:rsidRPr="00CF73C0">
        <w:rPr>
          <w:rFonts w:asciiTheme="majorHAnsi" w:hAnsiTheme="majorHAnsi" w:cstheme="majorHAnsi"/>
          <w:sz w:val="24"/>
          <w:szCs w:val="24"/>
          <w:lang w:val="ru-MD"/>
        </w:rPr>
        <w:t>еет исчерпывающи</w:t>
      </w:r>
      <w:r w:rsidR="00DC25C3" w:rsidRPr="00CF73C0">
        <w:rPr>
          <w:rFonts w:asciiTheme="majorHAnsi" w:hAnsiTheme="majorHAnsi" w:cstheme="majorHAnsi"/>
          <w:sz w:val="24"/>
          <w:szCs w:val="24"/>
          <w:lang w:val="ru-MD"/>
        </w:rPr>
        <w:t>ми</w:t>
      </w:r>
      <w:r w:rsidRPr="00CF73C0">
        <w:rPr>
          <w:rFonts w:asciiTheme="majorHAnsi" w:hAnsiTheme="majorHAnsi" w:cstheme="majorHAnsi"/>
          <w:sz w:val="24"/>
          <w:szCs w:val="24"/>
          <w:lang w:val="ru-MD"/>
        </w:rPr>
        <w:t xml:space="preserve"> правил</w:t>
      </w:r>
      <w:r w:rsidR="00DC25C3" w:rsidRPr="00CF73C0">
        <w:rPr>
          <w:rFonts w:asciiTheme="majorHAnsi" w:hAnsiTheme="majorHAnsi" w:cstheme="majorHAnsi"/>
          <w:sz w:val="24"/>
          <w:szCs w:val="24"/>
          <w:lang w:val="ru-MD"/>
        </w:rPr>
        <w:t>ами</w:t>
      </w:r>
      <w:r w:rsidRPr="00CF73C0">
        <w:rPr>
          <w:rFonts w:asciiTheme="majorHAnsi" w:hAnsiTheme="majorHAnsi" w:cstheme="majorHAnsi"/>
          <w:sz w:val="24"/>
          <w:szCs w:val="24"/>
          <w:lang w:val="ru-MD"/>
        </w:rPr>
        <w:t xml:space="preserve"> о</w:t>
      </w:r>
      <w:r w:rsidR="00DC25C3" w:rsidRPr="00CF73C0">
        <w:rPr>
          <w:rFonts w:asciiTheme="majorHAnsi" w:hAnsiTheme="majorHAnsi" w:cstheme="majorHAnsi"/>
          <w:sz w:val="24"/>
          <w:szCs w:val="24"/>
          <w:lang w:val="ru-MD"/>
        </w:rPr>
        <w:t>тносительно способа</w:t>
      </w:r>
      <w:r w:rsidRPr="00CF73C0">
        <w:rPr>
          <w:rFonts w:asciiTheme="majorHAnsi" w:hAnsiTheme="majorHAnsi" w:cstheme="majorHAnsi"/>
          <w:sz w:val="24"/>
          <w:szCs w:val="24"/>
          <w:lang w:val="ru-MD"/>
        </w:rPr>
        <w:t xml:space="preserve"> и формат</w:t>
      </w:r>
      <w:r w:rsidR="00754711" w:rsidRPr="00CF73C0">
        <w:rPr>
          <w:rFonts w:asciiTheme="majorHAnsi" w:hAnsiTheme="majorHAnsi" w:cstheme="majorHAnsi"/>
          <w:sz w:val="24"/>
          <w:szCs w:val="24"/>
          <w:lang w:val="ru-MD"/>
        </w:rPr>
        <w:t>а</w:t>
      </w:r>
      <w:r w:rsidRPr="00CF73C0">
        <w:rPr>
          <w:rFonts w:asciiTheme="majorHAnsi" w:hAnsiTheme="majorHAnsi" w:cstheme="majorHAnsi"/>
          <w:sz w:val="24"/>
          <w:szCs w:val="24"/>
          <w:lang w:val="ru-MD"/>
        </w:rPr>
        <w:t xml:space="preserve"> </w:t>
      </w:r>
      <w:r w:rsidR="00754711" w:rsidRPr="00CF73C0">
        <w:rPr>
          <w:rFonts w:asciiTheme="majorHAnsi" w:hAnsiTheme="majorHAnsi" w:cstheme="majorHAnsi"/>
          <w:sz w:val="24"/>
          <w:szCs w:val="24"/>
          <w:lang w:val="ru-MD"/>
        </w:rPr>
        <w:t>отчетов для МФ</w:t>
      </w:r>
      <w:r w:rsidRPr="00CF73C0">
        <w:rPr>
          <w:rFonts w:asciiTheme="majorHAnsi" w:hAnsiTheme="majorHAnsi" w:cstheme="majorHAnsi"/>
          <w:sz w:val="24"/>
          <w:szCs w:val="24"/>
          <w:lang w:val="ru-MD"/>
        </w:rPr>
        <w:t xml:space="preserve"> о задолженности п</w:t>
      </w:r>
      <w:r w:rsidR="00754711" w:rsidRPr="00CF73C0">
        <w:rPr>
          <w:rFonts w:asciiTheme="majorHAnsi" w:hAnsiTheme="majorHAnsi" w:cstheme="majorHAnsi"/>
          <w:sz w:val="24"/>
          <w:szCs w:val="24"/>
          <w:lang w:val="ru-MD"/>
        </w:rPr>
        <w:t>еред ГБ</w:t>
      </w:r>
      <w:r w:rsidRPr="00CF73C0">
        <w:rPr>
          <w:rFonts w:asciiTheme="majorHAnsi" w:hAnsiTheme="majorHAnsi" w:cstheme="majorHAnsi"/>
          <w:sz w:val="24"/>
          <w:szCs w:val="24"/>
          <w:lang w:val="ru-MD"/>
        </w:rPr>
        <w:t xml:space="preserve">, хотя </w:t>
      </w:r>
      <w:r w:rsidR="00754711" w:rsidRPr="00CF73C0">
        <w:rPr>
          <w:rFonts w:asciiTheme="majorHAnsi" w:hAnsiTheme="majorHAnsi" w:cstheme="majorHAnsi"/>
          <w:sz w:val="24"/>
          <w:szCs w:val="24"/>
          <w:lang w:val="ru-MD"/>
        </w:rPr>
        <w:t>МФ</w:t>
      </w:r>
      <w:r w:rsidRPr="00CF73C0">
        <w:rPr>
          <w:rFonts w:asciiTheme="majorHAnsi" w:hAnsiTheme="majorHAnsi" w:cstheme="majorHAnsi"/>
          <w:sz w:val="24"/>
          <w:szCs w:val="24"/>
          <w:lang w:val="ru-MD"/>
        </w:rPr>
        <w:t xml:space="preserve"> отвечает</w:t>
      </w:r>
      <w:r w:rsidR="00754711" w:rsidRPr="00CF73C0">
        <w:rPr>
          <w:rFonts w:asciiTheme="majorHAnsi" w:hAnsiTheme="majorHAnsi" w:cstheme="majorHAnsi"/>
          <w:sz w:val="24"/>
          <w:szCs w:val="24"/>
          <w:vertAlign w:val="superscript"/>
          <w:lang w:val="ru-MD"/>
        </w:rPr>
        <w:footnoteReference w:id="39"/>
      </w:r>
      <w:r w:rsidRPr="00CF73C0">
        <w:rPr>
          <w:rFonts w:asciiTheme="majorHAnsi" w:hAnsiTheme="majorHAnsi" w:cstheme="majorHAnsi"/>
          <w:sz w:val="24"/>
          <w:szCs w:val="24"/>
          <w:lang w:val="ru-MD"/>
        </w:rPr>
        <w:t xml:space="preserve"> за разработку документов политик, проектов нормативных актов в областях</w:t>
      </w:r>
      <w:r w:rsidR="00754711" w:rsidRPr="00CF73C0">
        <w:rPr>
          <w:rFonts w:asciiTheme="majorHAnsi" w:hAnsiTheme="majorHAnsi" w:cstheme="majorHAnsi"/>
          <w:sz w:val="24"/>
          <w:szCs w:val="24"/>
          <w:vertAlign w:val="superscript"/>
          <w:lang w:val="ru-MD"/>
        </w:rPr>
        <w:footnoteReference w:id="40"/>
      </w:r>
      <w:r w:rsidRPr="00CF73C0">
        <w:rPr>
          <w:rFonts w:asciiTheme="majorHAnsi" w:hAnsiTheme="majorHAnsi" w:cstheme="majorHAnsi"/>
          <w:sz w:val="24"/>
          <w:szCs w:val="24"/>
          <w:lang w:val="ru-MD"/>
        </w:rPr>
        <w:t xml:space="preserve">, </w:t>
      </w:r>
      <w:r w:rsidR="00754711" w:rsidRPr="00CF73C0">
        <w:rPr>
          <w:rFonts w:asciiTheme="majorHAnsi" w:hAnsiTheme="majorHAnsi" w:cstheme="majorHAnsi"/>
          <w:sz w:val="24"/>
          <w:szCs w:val="24"/>
          <w:lang w:val="ru-MD"/>
        </w:rPr>
        <w:t>специфических для министерства</w:t>
      </w:r>
      <w:r w:rsidR="00754711">
        <w:rPr>
          <w:rFonts w:asciiTheme="majorHAnsi" w:hAnsiTheme="majorHAnsi" w:cstheme="majorHAnsi"/>
          <w:sz w:val="24"/>
          <w:szCs w:val="24"/>
        </w:rPr>
        <w:t xml:space="preserve">. </w:t>
      </w:r>
      <w:r w:rsidR="00CF73C0" w:rsidRPr="00D87C90">
        <w:rPr>
          <w:rFonts w:asciiTheme="majorHAnsi" w:hAnsiTheme="majorHAnsi" w:cstheme="majorHAnsi"/>
          <w:sz w:val="24"/>
          <w:szCs w:val="24"/>
          <w:lang w:val="ru-MD"/>
        </w:rPr>
        <w:t>Эта с</w:t>
      </w:r>
      <w:r w:rsidRPr="00D87C90">
        <w:rPr>
          <w:rFonts w:asciiTheme="majorHAnsi" w:hAnsiTheme="majorHAnsi" w:cstheme="majorHAnsi"/>
          <w:sz w:val="24"/>
          <w:szCs w:val="24"/>
          <w:lang w:val="ru-MD"/>
        </w:rPr>
        <w:t xml:space="preserve">итуация отрицательно </w:t>
      </w:r>
      <w:r w:rsidR="00CF73C0" w:rsidRPr="00D87C90">
        <w:rPr>
          <w:rFonts w:asciiTheme="majorHAnsi" w:hAnsiTheme="majorHAnsi" w:cstheme="majorHAnsi"/>
          <w:sz w:val="24"/>
          <w:szCs w:val="24"/>
          <w:lang w:val="ru-MD"/>
        </w:rPr>
        <w:t>отраж</w:t>
      </w:r>
      <w:r w:rsidRPr="00D87C90">
        <w:rPr>
          <w:rFonts w:asciiTheme="majorHAnsi" w:hAnsiTheme="majorHAnsi" w:cstheme="majorHAnsi"/>
          <w:sz w:val="24"/>
          <w:szCs w:val="24"/>
          <w:lang w:val="ru-MD"/>
        </w:rPr>
        <w:t>ается на точно</w:t>
      </w:r>
      <w:r w:rsidR="00CF73C0" w:rsidRPr="00D87C90">
        <w:rPr>
          <w:rFonts w:asciiTheme="majorHAnsi" w:hAnsiTheme="majorHAnsi" w:cstheme="majorHAnsi"/>
          <w:sz w:val="24"/>
          <w:szCs w:val="24"/>
          <w:lang w:val="ru-MD"/>
        </w:rPr>
        <w:t>сти</w:t>
      </w:r>
      <w:r w:rsidRPr="00D87C90">
        <w:rPr>
          <w:rFonts w:asciiTheme="majorHAnsi" w:hAnsiTheme="majorHAnsi" w:cstheme="majorHAnsi"/>
          <w:sz w:val="24"/>
          <w:szCs w:val="24"/>
          <w:lang w:val="ru-MD"/>
        </w:rPr>
        <w:t xml:space="preserve"> и </w:t>
      </w:r>
      <w:r w:rsidR="00CF73C0" w:rsidRPr="00D87C90">
        <w:rPr>
          <w:rFonts w:asciiTheme="majorHAnsi" w:hAnsiTheme="majorHAnsi" w:cstheme="majorHAnsi"/>
          <w:sz w:val="24"/>
          <w:szCs w:val="24"/>
          <w:lang w:val="ru-MD"/>
        </w:rPr>
        <w:t>достоверности представления</w:t>
      </w:r>
      <w:r w:rsidRPr="00D87C90">
        <w:rPr>
          <w:rFonts w:asciiTheme="majorHAnsi" w:hAnsiTheme="majorHAnsi" w:cstheme="majorHAnsi"/>
          <w:sz w:val="24"/>
          <w:szCs w:val="24"/>
          <w:lang w:val="ru-MD"/>
        </w:rPr>
        <w:t xml:space="preserve"> совокупно</w:t>
      </w:r>
      <w:r w:rsidR="00CF73C0" w:rsidRPr="00D87C90">
        <w:rPr>
          <w:rFonts w:asciiTheme="majorHAnsi" w:hAnsiTheme="majorHAnsi" w:cstheme="majorHAnsi"/>
          <w:sz w:val="24"/>
          <w:szCs w:val="24"/>
          <w:lang w:val="ru-MD"/>
        </w:rPr>
        <w:t>й</w:t>
      </w:r>
      <w:r w:rsidRPr="00D87C90">
        <w:rPr>
          <w:rFonts w:asciiTheme="majorHAnsi" w:hAnsiTheme="majorHAnsi" w:cstheme="majorHAnsi"/>
          <w:sz w:val="24"/>
          <w:szCs w:val="24"/>
          <w:lang w:val="ru-MD"/>
        </w:rPr>
        <w:t xml:space="preserve"> задолженности по обязательствам перед </w:t>
      </w:r>
      <w:r w:rsidR="00CF73C0" w:rsidRPr="00D87C90">
        <w:rPr>
          <w:rFonts w:asciiTheme="majorHAnsi" w:hAnsiTheme="majorHAnsi" w:cstheme="majorHAnsi"/>
          <w:sz w:val="24"/>
          <w:szCs w:val="24"/>
          <w:lang w:val="ru-MD"/>
        </w:rPr>
        <w:t>ГБ</w:t>
      </w:r>
      <w:r w:rsidRPr="00D87C90">
        <w:rPr>
          <w:rFonts w:asciiTheme="majorHAnsi" w:hAnsiTheme="majorHAnsi" w:cstheme="majorHAnsi"/>
          <w:sz w:val="24"/>
          <w:szCs w:val="24"/>
          <w:lang w:val="ru-MD"/>
        </w:rPr>
        <w:t xml:space="preserve">. Вместе с тем, </w:t>
      </w:r>
      <w:r w:rsidR="00CF73C0" w:rsidRPr="00D87C90">
        <w:rPr>
          <w:rFonts w:asciiTheme="majorHAnsi" w:hAnsiTheme="majorHAnsi" w:cstheme="majorHAnsi"/>
          <w:sz w:val="24"/>
          <w:szCs w:val="24"/>
          <w:lang w:val="ru-MD"/>
        </w:rPr>
        <w:t>обращаем внимание на</w:t>
      </w:r>
      <w:r w:rsidRPr="00D87C90">
        <w:rPr>
          <w:rFonts w:asciiTheme="majorHAnsi" w:hAnsiTheme="majorHAnsi" w:cstheme="majorHAnsi"/>
          <w:sz w:val="24"/>
          <w:szCs w:val="24"/>
          <w:lang w:val="ru-MD"/>
        </w:rPr>
        <w:t xml:space="preserve"> ситуацию, обусловленную поступлениями импортно-экспортных </w:t>
      </w:r>
      <w:r w:rsidR="00CF73C0" w:rsidRPr="00D87C90">
        <w:rPr>
          <w:rFonts w:asciiTheme="majorHAnsi" w:hAnsiTheme="majorHAnsi" w:cstheme="majorHAnsi"/>
          <w:sz w:val="24"/>
          <w:szCs w:val="24"/>
          <w:lang w:val="ru-MD"/>
        </w:rPr>
        <w:t>платежей</w:t>
      </w:r>
      <w:r w:rsidRPr="00D87C90">
        <w:rPr>
          <w:rFonts w:asciiTheme="majorHAnsi" w:hAnsiTheme="majorHAnsi" w:cstheme="majorHAnsi"/>
          <w:sz w:val="24"/>
          <w:szCs w:val="24"/>
          <w:lang w:val="ru-MD"/>
        </w:rPr>
        <w:t xml:space="preserve">, уплаченных </w:t>
      </w:r>
      <w:r w:rsidR="00CF73C0" w:rsidRPr="00D87C90">
        <w:rPr>
          <w:rFonts w:asciiTheme="majorHAnsi" w:hAnsiTheme="majorHAnsi" w:cstheme="majorHAnsi"/>
          <w:sz w:val="24"/>
          <w:szCs w:val="24"/>
          <w:lang w:val="ru-MD"/>
        </w:rPr>
        <w:t>авансом</w:t>
      </w:r>
      <w:r w:rsidRPr="00D87C90">
        <w:rPr>
          <w:rFonts w:asciiTheme="majorHAnsi" w:hAnsiTheme="majorHAnsi" w:cstheme="majorHAnsi"/>
          <w:sz w:val="24"/>
          <w:szCs w:val="24"/>
          <w:lang w:val="ru-MD"/>
        </w:rPr>
        <w:t xml:space="preserve"> экономическими агентами и физическими лицами </w:t>
      </w:r>
      <w:r w:rsidR="00CF73C0" w:rsidRPr="00D87C90">
        <w:rPr>
          <w:rFonts w:asciiTheme="majorHAnsi" w:hAnsiTheme="majorHAnsi" w:cstheme="majorHAnsi"/>
          <w:sz w:val="24"/>
          <w:szCs w:val="24"/>
          <w:lang w:val="ru-MD"/>
        </w:rPr>
        <w:t>за</w:t>
      </w:r>
      <w:r w:rsidRPr="00D87C90">
        <w:rPr>
          <w:rFonts w:asciiTheme="majorHAnsi" w:hAnsiTheme="majorHAnsi" w:cstheme="majorHAnsi"/>
          <w:sz w:val="24"/>
          <w:szCs w:val="24"/>
          <w:lang w:val="ru-MD"/>
        </w:rPr>
        <w:t xml:space="preserve"> последние рабочие дни текущего года, после закрытия операций через казначейскую систему МФ, </w:t>
      </w:r>
      <w:r w:rsidR="00CF73C0" w:rsidRPr="00D87C90">
        <w:rPr>
          <w:rFonts w:asciiTheme="majorHAnsi" w:hAnsiTheme="majorHAnsi" w:cstheme="majorHAnsi"/>
          <w:sz w:val="24"/>
          <w:szCs w:val="24"/>
          <w:lang w:val="ru-MD"/>
        </w:rPr>
        <w:t xml:space="preserve">при этом, </w:t>
      </w:r>
      <w:r w:rsidRPr="00D87C90">
        <w:rPr>
          <w:rFonts w:asciiTheme="majorHAnsi" w:hAnsiTheme="majorHAnsi" w:cstheme="majorHAnsi"/>
          <w:sz w:val="24"/>
          <w:szCs w:val="24"/>
          <w:lang w:val="ru-MD"/>
        </w:rPr>
        <w:t xml:space="preserve">соответствующие суммы зачисляются в первый день </w:t>
      </w:r>
      <w:r w:rsidR="00CF73C0" w:rsidRPr="00D87C90">
        <w:rPr>
          <w:rFonts w:asciiTheme="majorHAnsi" w:hAnsiTheme="majorHAnsi" w:cstheme="majorHAnsi"/>
          <w:sz w:val="24"/>
          <w:szCs w:val="24"/>
          <w:lang w:val="ru-MD"/>
        </w:rPr>
        <w:t>следую</w:t>
      </w:r>
      <w:r w:rsidRPr="00D87C90">
        <w:rPr>
          <w:rFonts w:asciiTheme="majorHAnsi" w:hAnsiTheme="majorHAnsi" w:cstheme="majorHAnsi"/>
          <w:sz w:val="24"/>
          <w:szCs w:val="24"/>
          <w:lang w:val="ru-MD"/>
        </w:rPr>
        <w:t xml:space="preserve">щего бюджетного года. Таким образом, в результате сбора доказательств </w:t>
      </w:r>
      <w:r w:rsidR="00CF73C0" w:rsidRPr="00D87C90">
        <w:rPr>
          <w:rFonts w:asciiTheme="majorHAnsi" w:hAnsiTheme="majorHAnsi" w:cstheme="majorHAnsi"/>
          <w:sz w:val="24"/>
          <w:szCs w:val="24"/>
          <w:lang w:val="ru-MD"/>
        </w:rPr>
        <w:t>по</w:t>
      </w:r>
      <w:r w:rsidRPr="00D87C90">
        <w:rPr>
          <w:rFonts w:asciiTheme="majorHAnsi" w:hAnsiTheme="majorHAnsi" w:cstheme="majorHAnsi"/>
          <w:sz w:val="24"/>
          <w:szCs w:val="24"/>
          <w:lang w:val="ru-MD"/>
        </w:rPr>
        <w:t xml:space="preserve"> </w:t>
      </w:r>
      <w:r w:rsidR="00CF73C0" w:rsidRPr="00D87C90">
        <w:rPr>
          <w:rFonts w:asciiTheme="majorHAnsi" w:hAnsiTheme="majorHAnsi" w:cstheme="majorHAnsi"/>
          <w:sz w:val="24"/>
          <w:szCs w:val="24"/>
          <w:lang w:val="ru-MD"/>
        </w:rPr>
        <w:t>администрированию</w:t>
      </w:r>
      <w:r w:rsidRPr="00D87C90">
        <w:rPr>
          <w:rFonts w:asciiTheme="majorHAnsi" w:hAnsiTheme="majorHAnsi" w:cstheme="majorHAnsi"/>
          <w:sz w:val="24"/>
          <w:szCs w:val="24"/>
          <w:lang w:val="ru-MD"/>
        </w:rPr>
        <w:t xml:space="preserve"> доход</w:t>
      </w:r>
      <w:r w:rsidR="00CF73C0" w:rsidRPr="00D87C90">
        <w:rPr>
          <w:rFonts w:asciiTheme="majorHAnsi" w:hAnsiTheme="majorHAnsi" w:cstheme="majorHAnsi"/>
          <w:sz w:val="24"/>
          <w:szCs w:val="24"/>
          <w:lang w:val="ru-MD"/>
        </w:rPr>
        <w:t>ов</w:t>
      </w:r>
      <w:r w:rsidRPr="00D87C90">
        <w:rPr>
          <w:rFonts w:asciiTheme="majorHAnsi" w:hAnsiTheme="majorHAnsi" w:cstheme="majorHAnsi"/>
          <w:sz w:val="24"/>
          <w:szCs w:val="24"/>
          <w:lang w:val="ru-MD"/>
        </w:rPr>
        <w:t xml:space="preserve"> </w:t>
      </w:r>
      <w:r w:rsidR="00CF73C0" w:rsidRPr="00D87C90">
        <w:rPr>
          <w:rFonts w:asciiTheme="majorHAnsi" w:hAnsiTheme="majorHAnsi" w:cstheme="majorHAnsi"/>
          <w:sz w:val="24"/>
          <w:szCs w:val="24"/>
          <w:lang w:val="ru-MD"/>
        </w:rPr>
        <w:t>ТС за 2021 год,</w:t>
      </w:r>
      <w:r w:rsidRPr="00D87C90">
        <w:rPr>
          <w:rFonts w:asciiTheme="majorHAnsi" w:hAnsiTheme="majorHAnsi" w:cstheme="majorHAnsi"/>
          <w:sz w:val="24"/>
          <w:szCs w:val="24"/>
          <w:lang w:val="ru-MD"/>
        </w:rPr>
        <w:t xml:space="preserve"> в </w:t>
      </w:r>
      <w:r w:rsidR="00CF73C0" w:rsidRPr="00D87C90">
        <w:rPr>
          <w:rFonts w:asciiTheme="majorHAnsi" w:hAnsiTheme="majorHAnsi" w:cstheme="majorHAnsi"/>
          <w:sz w:val="24"/>
          <w:szCs w:val="24"/>
          <w:lang w:val="ru-MD"/>
        </w:rPr>
        <w:t>собра</w:t>
      </w:r>
      <w:r w:rsidRPr="00D87C90">
        <w:rPr>
          <w:rFonts w:asciiTheme="majorHAnsi" w:hAnsiTheme="majorHAnsi" w:cstheme="majorHAnsi"/>
          <w:sz w:val="24"/>
          <w:szCs w:val="24"/>
          <w:lang w:val="ru-MD"/>
        </w:rPr>
        <w:t xml:space="preserve">нных </w:t>
      </w:r>
      <w:r w:rsidR="00D87C90" w:rsidRPr="00D87C90">
        <w:rPr>
          <w:rFonts w:asciiTheme="majorHAnsi" w:hAnsiTheme="majorHAnsi" w:cstheme="majorHAnsi"/>
          <w:sz w:val="24"/>
          <w:szCs w:val="24"/>
          <w:lang w:val="ru-MD"/>
        </w:rPr>
        <w:t>доходах на</w:t>
      </w:r>
      <w:r w:rsidRPr="00D87C90">
        <w:rPr>
          <w:rFonts w:asciiTheme="majorHAnsi" w:hAnsiTheme="majorHAnsi" w:cstheme="majorHAnsi"/>
          <w:sz w:val="24"/>
          <w:szCs w:val="24"/>
          <w:lang w:val="ru-MD"/>
        </w:rPr>
        <w:t xml:space="preserve"> начал</w:t>
      </w:r>
      <w:r w:rsidR="00D87C90" w:rsidRPr="00D87C90">
        <w:rPr>
          <w:rFonts w:asciiTheme="majorHAnsi" w:hAnsiTheme="majorHAnsi" w:cstheme="majorHAnsi"/>
          <w:sz w:val="24"/>
          <w:szCs w:val="24"/>
          <w:lang w:val="ru-MD"/>
        </w:rPr>
        <w:t>о</w:t>
      </w:r>
      <w:r w:rsidRPr="00D87C90">
        <w:rPr>
          <w:rFonts w:asciiTheme="majorHAnsi" w:hAnsiTheme="majorHAnsi" w:cstheme="majorHAnsi"/>
          <w:sz w:val="24"/>
          <w:szCs w:val="24"/>
          <w:lang w:val="ru-MD"/>
        </w:rPr>
        <w:t xml:space="preserve"> и </w:t>
      </w:r>
      <w:r w:rsidR="00CF73C0" w:rsidRPr="00D87C90">
        <w:rPr>
          <w:rFonts w:asciiTheme="majorHAnsi" w:hAnsiTheme="majorHAnsi" w:cstheme="majorHAnsi"/>
          <w:sz w:val="24"/>
          <w:szCs w:val="24"/>
          <w:lang w:val="ru-MD"/>
        </w:rPr>
        <w:t xml:space="preserve">на </w:t>
      </w:r>
      <w:r w:rsidRPr="00D87C90">
        <w:rPr>
          <w:rFonts w:asciiTheme="majorHAnsi" w:hAnsiTheme="majorHAnsi" w:cstheme="majorHAnsi"/>
          <w:sz w:val="24"/>
          <w:szCs w:val="24"/>
          <w:lang w:val="ru-MD"/>
        </w:rPr>
        <w:t>кон</w:t>
      </w:r>
      <w:r w:rsidR="00CF73C0" w:rsidRPr="00D87C90">
        <w:rPr>
          <w:rFonts w:asciiTheme="majorHAnsi" w:hAnsiTheme="majorHAnsi" w:cstheme="majorHAnsi"/>
          <w:sz w:val="24"/>
          <w:szCs w:val="24"/>
          <w:lang w:val="ru-MD"/>
        </w:rPr>
        <w:t>е</w:t>
      </w:r>
      <w:r w:rsidRPr="00D87C90">
        <w:rPr>
          <w:rFonts w:asciiTheme="majorHAnsi" w:hAnsiTheme="majorHAnsi" w:cstheme="majorHAnsi"/>
          <w:sz w:val="24"/>
          <w:szCs w:val="24"/>
          <w:lang w:val="ru-MD"/>
        </w:rPr>
        <w:t xml:space="preserve">ц </w:t>
      </w:r>
      <w:r w:rsidR="00CF73C0" w:rsidRPr="00D87C90">
        <w:rPr>
          <w:rFonts w:asciiTheme="majorHAnsi" w:hAnsiTheme="majorHAnsi" w:cstheme="majorHAnsi"/>
          <w:sz w:val="24"/>
          <w:szCs w:val="24"/>
          <w:lang w:val="ru-MD"/>
        </w:rPr>
        <w:t>отчетн</w:t>
      </w:r>
      <w:r w:rsidRPr="00D87C90">
        <w:rPr>
          <w:rFonts w:asciiTheme="majorHAnsi" w:hAnsiTheme="majorHAnsi" w:cstheme="majorHAnsi"/>
          <w:sz w:val="24"/>
          <w:szCs w:val="24"/>
          <w:lang w:val="ru-MD"/>
        </w:rPr>
        <w:t xml:space="preserve">ого периода, в сумме 3,7 </w:t>
      </w:r>
      <w:r w:rsidR="00EC7B0C" w:rsidRPr="00D87C90">
        <w:rPr>
          <w:rFonts w:asciiTheme="majorHAnsi" w:hAnsiTheme="majorHAnsi" w:cstheme="majorHAnsi"/>
          <w:sz w:val="24"/>
          <w:szCs w:val="24"/>
          <w:lang w:val="ru-MD"/>
        </w:rPr>
        <w:t>млн. леев</w:t>
      </w:r>
      <w:r w:rsidRPr="00D87C90">
        <w:rPr>
          <w:rFonts w:asciiTheme="majorHAnsi" w:hAnsiTheme="majorHAnsi" w:cstheme="majorHAnsi"/>
          <w:sz w:val="24"/>
          <w:szCs w:val="24"/>
          <w:lang w:val="ru-MD"/>
        </w:rPr>
        <w:t xml:space="preserve"> и</w:t>
      </w:r>
      <w:r w:rsidR="00CF73C0" w:rsidRPr="00D87C90">
        <w:rPr>
          <w:rFonts w:asciiTheme="majorHAnsi" w:hAnsiTheme="majorHAnsi" w:cstheme="majorHAnsi"/>
          <w:sz w:val="24"/>
          <w:szCs w:val="24"/>
          <w:lang w:val="ru-MD"/>
        </w:rPr>
        <w:t>,</w:t>
      </w:r>
      <w:r w:rsidRPr="00D87C90">
        <w:rPr>
          <w:rFonts w:asciiTheme="majorHAnsi" w:hAnsiTheme="majorHAnsi" w:cstheme="majorHAnsi"/>
          <w:sz w:val="24"/>
          <w:szCs w:val="24"/>
          <w:lang w:val="ru-MD"/>
        </w:rPr>
        <w:t xml:space="preserve"> </w:t>
      </w:r>
      <w:r w:rsidR="00CF73C0" w:rsidRPr="00D87C90">
        <w:rPr>
          <w:rFonts w:asciiTheme="majorHAnsi" w:hAnsiTheme="majorHAnsi" w:cstheme="majorHAnsi"/>
          <w:sz w:val="24"/>
          <w:szCs w:val="24"/>
          <w:lang w:val="ru-MD"/>
        </w:rPr>
        <w:t xml:space="preserve">соответственно, </w:t>
      </w:r>
      <w:r w:rsidRPr="00D87C90">
        <w:rPr>
          <w:rFonts w:asciiTheme="majorHAnsi" w:hAnsiTheme="majorHAnsi" w:cstheme="majorHAnsi"/>
          <w:sz w:val="24"/>
          <w:szCs w:val="24"/>
          <w:lang w:val="ru-MD"/>
        </w:rPr>
        <w:t>5,9 млн.</w:t>
      </w:r>
      <w:r w:rsidR="00D87C90" w:rsidRPr="00D87C90">
        <w:rPr>
          <w:rFonts w:asciiTheme="majorHAnsi" w:hAnsiTheme="majorHAnsi" w:cstheme="majorHAnsi"/>
          <w:sz w:val="24"/>
          <w:szCs w:val="24"/>
          <w:lang w:val="ru-MD"/>
        </w:rPr>
        <w:t xml:space="preserve"> </w:t>
      </w:r>
      <w:r w:rsidRPr="00D87C90">
        <w:rPr>
          <w:rFonts w:asciiTheme="majorHAnsi" w:hAnsiTheme="majorHAnsi" w:cstheme="majorHAnsi"/>
          <w:sz w:val="24"/>
          <w:szCs w:val="24"/>
          <w:lang w:val="ru-MD"/>
        </w:rPr>
        <w:t>ле</w:t>
      </w:r>
      <w:r w:rsidR="00CF73C0" w:rsidRPr="00D87C90">
        <w:rPr>
          <w:rFonts w:asciiTheme="majorHAnsi" w:hAnsiTheme="majorHAnsi" w:cstheme="majorHAnsi"/>
          <w:sz w:val="24"/>
          <w:szCs w:val="24"/>
          <w:lang w:val="ru-MD"/>
        </w:rPr>
        <w:t>ев</w:t>
      </w:r>
      <w:r w:rsidR="00D87C90" w:rsidRPr="00D87C90">
        <w:rPr>
          <w:rFonts w:asciiTheme="majorHAnsi" w:hAnsiTheme="majorHAnsi" w:cstheme="majorHAnsi"/>
          <w:sz w:val="24"/>
          <w:szCs w:val="24"/>
          <w:lang w:val="ru-MD"/>
        </w:rPr>
        <w:t>,</w:t>
      </w:r>
      <w:r w:rsidRPr="00D87C90">
        <w:rPr>
          <w:rFonts w:asciiTheme="majorHAnsi" w:hAnsiTheme="majorHAnsi" w:cstheme="majorHAnsi"/>
          <w:sz w:val="24"/>
          <w:szCs w:val="24"/>
          <w:lang w:val="ru-MD"/>
        </w:rPr>
        <w:t xml:space="preserve"> </w:t>
      </w:r>
      <w:r w:rsidR="00D87C90" w:rsidRPr="00D87C90">
        <w:rPr>
          <w:rFonts w:asciiTheme="majorHAnsi" w:hAnsiTheme="majorHAnsi" w:cstheme="majorHAnsi"/>
          <w:sz w:val="24"/>
          <w:szCs w:val="24"/>
          <w:lang w:val="ru-MD"/>
        </w:rPr>
        <w:t xml:space="preserve">были выявлены расхождения </w:t>
      </w:r>
      <w:r w:rsidRPr="00D87C90">
        <w:rPr>
          <w:rFonts w:asciiTheme="majorHAnsi" w:hAnsiTheme="majorHAnsi" w:cstheme="majorHAnsi"/>
          <w:sz w:val="24"/>
          <w:szCs w:val="24"/>
          <w:lang w:val="ru-MD"/>
        </w:rPr>
        <w:t xml:space="preserve">между данными </w:t>
      </w:r>
      <w:r w:rsidR="00CF73C0" w:rsidRPr="00D87C90">
        <w:rPr>
          <w:rFonts w:asciiTheme="majorHAnsi" w:hAnsiTheme="majorHAnsi" w:cstheme="majorHAnsi"/>
          <w:sz w:val="24"/>
          <w:szCs w:val="24"/>
          <w:lang w:val="ru-MD"/>
        </w:rPr>
        <w:t xml:space="preserve">из </w:t>
      </w:r>
      <w:r w:rsidR="00CF73C0" w:rsidRPr="00D87C90">
        <w:rPr>
          <w:rFonts w:asciiTheme="majorHAnsi" w:eastAsia="Times New Roman" w:hAnsiTheme="majorHAnsi" w:cstheme="majorHAnsi"/>
          <w:sz w:val="24"/>
          <w:szCs w:val="24"/>
          <w:lang w:val="ru-MD"/>
        </w:rPr>
        <w:t>„И</w:t>
      </w:r>
      <w:r w:rsidRPr="00D87C90">
        <w:rPr>
          <w:rFonts w:asciiTheme="majorHAnsi" w:hAnsiTheme="majorHAnsi" w:cstheme="majorHAnsi"/>
          <w:sz w:val="24"/>
          <w:szCs w:val="24"/>
          <w:lang w:val="ru-MD"/>
        </w:rPr>
        <w:t xml:space="preserve">нформации о расшифровке уплаченных авансом </w:t>
      </w:r>
      <w:r w:rsidR="00CF73C0" w:rsidRPr="00D87C90">
        <w:rPr>
          <w:rFonts w:asciiTheme="majorHAnsi" w:hAnsiTheme="majorHAnsi" w:cstheme="majorHAnsi"/>
          <w:sz w:val="24"/>
          <w:szCs w:val="24"/>
          <w:lang w:val="ru-MD"/>
        </w:rPr>
        <w:t xml:space="preserve">сумм </w:t>
      </w:r>
      <w:r w:rsidRPr="00D87C90">
        <w:rPr>
          <w:rFonts w:asciiTheme="majorHAnsi" w:hAnsiTheme="majorHAnsi" w:cstheme="majorHAnsi"/>
          <w:sz w:val="24"/>
          <w:szCs w:val="24"/>
          <w:lang w:val="ru-MD"/>
        </w:rPr>
        <w:t>импорт</w:t>
      </w:r>
      <w:r w:rsidR="00CF73C0" w:rsidRPr="00D87C90">
        <w:rPr>
          <w:rFonts w:asciiTheme="majorHAnsi" w:hAnsiTheme="majorHAnsi" w:cstheme="majorHAnsi"/>
          <w:sz w:val="24"/>
          <w:szCs w:val="24"/>
          <w:lang w:val="ru-MD"/>
        </w:rPr>
        <w:t>н</w:t>
      </w:r>
      <w:r w:rsidR="00D87C90">
        <w:rPr>
          <w:rFonts w:asciiTheme="majorHAnsi" w:hAnsiTheme="majorHAnsi" w:cstheme="majorHAnsi"/>
          <w:sz w:val="24"/>
          <w:szCs w:val="24"/>
          <w:lang w:val="ru-MD"/>
        </w:rPr>
        <w:t>ых</w:t>
      </w:r>
      <w:r w:rsidR="00CF73C0" w:rsidRPr="00D87C90">
        <w:rPr>
          <w:rFonts w:asciiTheme="majorHAnsi" w:hAnsiTheme="majorHAnsi" w:cstheme="majorHAnsi"/>
          <w:sz w:val="24"/>
          <w:szCs w:val="24"/>
          <w:lang w:val="ru-MD"/>
        </w:rPr>
        <w:t>/</w:t>
      </w:r>
      <w:r w:rsidRPr="00D87C90">
        <w:rPr>
          <w:rFonts w:asciiTheme="majorHAnsi" w:hAnsiTheme="majorHAnsi" w:cstheme="majorHAnsi"/>
          <w:sz w:val="24"/>
          <w:szCs w:val="24"/>
          <w:lang w:val="ru-MD"/>
        </w:rPr>
        <w:t>экспорт</w:t>
      </w:r>
      <w:r w:rsidR="00CF73C0" w:rsidRPr="00D87C90">
        <w:rPr>
          <w:rFonts w:asciiTheme="majorHAnsi" w:hAnsiTheme="majorHAnsi" w:cstheme="majorHAnsi"/>
          <w:sz w:val="24"/>
          <w:szCs w:val="24"/>
          <w:lang w:val="ru-MD"/>
        </w:rPr>
        <w:t>ных платежей”</w:t>
      </w:r>
      <w:r w:rsidRPr="00D87C90">
        <w:rPr>
          <w:rFonts w:asciiTheme="majorHAnsi" w:hAnsiTheme="majorHAnsi" w:cstheme="majorHAnsi"/>
          <w:sz w:val="24"/>
          <w:szCs w:val="24"/>
          <w:lang w:val="ru-MD"/>
        </w:rPr>
        <w:t xml:space="preserve"> (</w:t>
      </w:r>
      <w:r w:rsidR="00CF73C0" w:rsidRPr="00D87C90">
        <w:rPr>
          <w:rFonts w:asciiTheme="majorHAnsi" w:hAnsiTheme="majorHAnsi" w:cstheme="majorHAnsi"/>
          <w:sz w:val="24"/>
          <w:szCs w:val="24"/>
          <w:lang w:val="ru-MD"/>
        </w:rPr>
        <w:t>Ф</w:t>
      </w:r>
      <w:r w:rsidRPr="00D87C90">
        <w:rPr>
          <w:rFonts w:asciiTheme="majorHAnsi" w:hAnsiTheme="majorHAnsi" w:cstheme="majorHAnsi"/>
          <w:sz w:val="24"/>
          <w:szCs w:val="24"/>
          <w:lang w:val="ru-MD"/>
        </w:rPr>
        <w:t xml:space="preserve">орма FI-002), представленной </w:t>
      </w:r>
      <w:r w:rsidR="00CF73C0" w:rsidRPr="00D87C90">
        <w:rPr>
          <w:rFonts w:asciiTheme="majorHAnsi" w:hAnsiTheme="majorHAnsi" w:cstheme="majorHAnsi"/>
          <w:sz w:val="24"/>
          <w:szCs w:val="24"/>
          <w:lang w:val="ru-MD"/>
        </w:rPr>
        <w:t>МФ</w:t>
      </w:r>
      <w:r w:rsidRPr="00D87C90">
        <w:rPr>
          <w:rFonts w:asciiTheme="majorHAnsi" w:hAnsiTheme="majorHAnsi" w:cstheme="majorHAnsi"/>
          <w:sz w:val="24"/>
          <w:szCs w:val="24"/>
          <w:lang w:val="ru-MD"/>
        </w:rPr>
        <w:t xml:space="preserve">, и данными </w:t>
      </w:r>
      <w:r w:rsidR="00CF73C0" w:rsidRPr="00D87C90">
        <w:rPr>
          <w:rFonts w:asciiTheme="majorHAnsi" w:hAnsiTheme="majorHAnsi" w:cstheme="majorHAnsi"/>
          <w:sz w:val="24"/>
          <w:szCs w:val="24"/>
          <w:lang w:val="ru-MD"/>
        </w:rPr>
        <w:t>из ИС</w:t>
      </w:r>
      <w:r w:rsidRPr="00D87C90">
        <w:rPr>
          <w:rFonts w:asciiTheme="majorHAnsi" w:hAnsiTheme="majorHAnsi" w:cstheme="majorHAnsi"/>
          <w:sz w:val="24"/>
          <w:szCs w:val="24"/>
          <w:lang w:val="ru-MD"/>
        </w:rPr>
        <w:t xml:space="preserve"> </w:t>
      </w:r>
      <w:r w:rsidR="00CF73C0" w:rsidRPr="00D87C90">
        <w:rPr>
          <w:rFonts w:asciiTheme="majorHAnsi" w:eastAsia="Times New Roman" w:hAnsiTheme="majorHAnsi" w:cstheme="majorHAnsi"/>
          <w:sz w:val="24"/>
          <w:szCs w:val="24"/>
          <w:lang w:val="ru-MD"/>
        </w:rPr>
        <w:t>„</w:t>
      </w:r>
      <w:r w:rsidRPr="00D87C90">
        <w:rPr>
          <w:rFonts w:asciiTheme="majorHAnsi" w:hAnsiTheme="majorHAnsi" w:cstheme="majorHAnsi"/>
          <w:sz w:val="24"/>
          <w:szCs w:val="24"/>
          <w:lang w:val="ru-MD"/>
        </w:rPr>
        <w:t>Economist</w:t>
      </w:r>
      <w:r w:rsidR="00CF73C0" w:rsidRPr="00D87C90">
        <w:rPr>
          <w:rFonts w:asciiTheme="majorHAnsi" w:hAnsiTheme="majorHAnsi" w:cstheme="majorHAnsi"/>
          <w:sz w:val="24"/>
          <w:szCs w:val="24"/>
          <w:lang w:val="ru-MD"/>
        </w:rPr>
        <w:t>”</w:t>
      </w:r>
      <w:r w:rsidRPr="00D87C90">
        <w:rPr>
          <w:rFonts w:asciiTheme="majorHAnsi" w:hAnsiTheme="majorHAnsi" w:cstheme="majorHAnsi"/>
          <w:sz w:val="24"/>
          <w:szCs w:val="24"/>
          <w:lang w:val="ru-MD"/>
        </w:rPr>
        <w:t xml:space="preserve"> </w:t>
      </w:r>
      <w:r w:rsidR="00CF73C0" w:rsidRPr="00D87C90">
        <w:rPr>
          <w:rFonts w:asciiTheme="majorHAnsi" w:hAnsiTheme="majorHAnsi" w:cstheme="majorHAnsi"/>
          <w:sz w:val="24"/>
          <w:szCs w:val="24"/>
          <w:lang w:val="ru-MD"/>
        </w:rPr>
        <w:t>ТС</w:t>
      </w:r>
      <w:r w:rsidR="003973F9" w:rsidRPr="00D87C90">
        <w:rPr>
          <w:rFonts w:asciiTheme="majorHAnsi" w:eastAsia="Times New Roman" w:hAnsiTheme="majorHAnsi" w:cstheme="majorHAnsi"/>
          <w:sz w:val="24"/>
          <w:szCs w:val="24"/>
          <w:lang w:val="ru-MD"/>
        </w:rPr>
        <w:t xml:space="preserve">. </w:t>
      </w:r>
      <w:r w:rsidR="007D5DFF" w:rsidRPr="00D87C90">
        <w:rPr>
          <w:rFonts w:asciiTheme="majorHAnsi" w:eastAsia="Times New Roman" w:hAnsiTheme="majorHAnsi" w:cstheme="majorHAnsi"/>
          <w:sz w:val="24"/>
          <w:szCs w:val="24"/>
          <w:lang w:val="ru-MD"/>
        </w:rPr>
        <w:t xml:space="preserve"> </w:t>
      </w:r>
    </w:p>
    <w:p w14:paraId="3A9D1478" w14:textId="438BDE7C" w:rsidR="00CF02A7" w:rsidRPr="00B20FBD" w:rsidRDefault="00285B4A" w:rsidP="001E456A">
      <w:pPr>
        <w:spacing w:after="120"/>
        <w:ind w:left="284"/>
        <w:jc w:val="both"/>
        <w:outlineLvl w:val="2"/>
        <w:rPr>
          <w:rFonts w:asciiTheme="majorHAnsi" w:hAnsiTheme="majorHAnsi" w:cstheme="majorHAnsi"/>
          <w:b/>
          <w:sz w:val="24"/>
          <w:szCs w:val="24"/>
          <w:lang w:val="ro-MD"/>
        </w:rPr>
      </w:pPr>
      <w:bookmarkStart w:id="52" w:name="_Toc127129407"/>
      <w:r w:rsidRPr="00B20FBD">
        <w:rPr>
          <w:rFonts w:asciiTheme="majorHAnsi" w:hAnsiTheme="majorHAnsi" w:cstheme="majorHAnsi"/>
          <w:b/>
          <w:sz w:val="24"/>
          <w:szCs w:val="24"/>
          <w:lang w:val="ro-MD"/>
        </w:rPr>
        <w:t>4.2.2.</w:t>
      </w:r>
      <w:r w:rsidR="00066910" w:rsidRPr="00B20FBD">
        <w:rPr>
          <w:rFonts w:asciiTheme="majorHAnsi" w:hAnsiTheme="majorHAnsi" w:cstheme="majorHAnsi"/>
          <w:b/>
          <w:sz w:val="24"/>
          <w:szCs w:val="24"/>
          <w:lang w:val="ro-MD"/>
        </w:rPr>
        <w:t xml:space="preserve"> </w:t>
      </w:r>
      <w:r w:rsidR="00BC6916" w:rsidRPr="005579C8">
        <w:rPr>
          <w:rFonts w:asciiTheme="majorHAnsi" w:hAnsiTheme="majorHAnsi" w:cstheme="majorHAnsi"/>
          <w:b/>
          <w:sz w:val="24"/>
          <w:szCs w:val="24"/>
          <w:lang w:val="ru-MD"/>
        </w:rPr>
        <w:t>На соответствие процесса по ведению учета и отчетности задолженностей влияет неначисление увеличения за просрочку основных платежей за неисполнение таможенных обязательств</w:t>
      </w:r>
      <w:r w:rsidR="00C42C53" w:rsidRPr="002E67AC">
        <w:rPr>
          <w:rFonts w:asciiTheme="majorHAnsi" w:hAnsiTheme="majorHAnsi" w:cstheme="majorHAnsi"/>
          <w:b/>
          <w:sz w:val="24"/>
          <w:szCs w:val="24"/>
          <w:lang w:val="ro-MD"/>
        </w:rPr>
        <w:t>.</w:t>
      </w:r>
      <w:bookmarkEnd w:id="52"/>
    </w:p>
    <w:p w14:paraId="37271EAE" w14:textId="00F5F156" w:rsidR="00FD15D3" w:rsidRPr="00435E31" w:rsidRDefault="005579C8" w:rsidP="00E5245E">
      <w:pPr>
        <w:spacing w:after="120"/>
        <w:jc w:val="both"/>
        <w:rPr>
          <w:rFonts w:asciiTheme="majorHAnsi" w:hAnsiTheme="majorHAnsi" w:cstheme="majorHAnsi"/>
          <w:sz w:val="24"/>
          <w:szCs w:val="24"/>
          <w:lang w:val="ru-MD"/>
        </w:rPr>
      </w:pPr>
      <w:r w:rsidRPr="004E65B9">
        <w:rPr>
          <w:rFonts w:asciiTheme="majorHAnsi" w:hAnsiTheme="majorHAnsi" w:cstheme="majorHAnsi"/>
          <w:sz w:val="24"/>
          <w:szCs w:val="24"/>
          <w:lang w:val="ru-MD"/>
        </w:rPr>
        <w:t xml:space="preserve">Аудитом установлено, что на 31.12.2021 в бухгалтерском учете ТС числились 4 информационные системы </w:t>
      </w:r>
      <w:r w:rsidRPr="004E65B9">
        <w:rPr>
          <w:rFonts w:asciiTheme="majorHAnsi" w:hAnsiTheme="majorHAnsi" w:cstheme="majorHAnsi"/>
          <w:iCs/>
          <w:color w:val="000000" w:themeColor="text1"/>
          <w:sz w:val="24"/>
          <w:szCs w:val="24"/>
          <w:lang w:val="ru-MD"/>
        </w:rPr>
        <w:t>„Economist”</w:t>
      </w:r>
      <w:r w:rsidRPr="004E65B9">
        <w:rPr>
          <w:rStyle w:val="FootnoteReference"/>
          <w:rFonts w:asciiTheme="majorHAnsi" w:hAnsiTheme="majorHAnsi" w:cstheme="majorHAnsi"/>
          <w:sz w:val="24"/>
          <w:szCs w:val="24"/>
          <w:lang w:val="ru-MD"/>
        </w:rPr>
        <w:footnoteReference w:id="41"/>
      </w:r>
      <w:r w:rsidRPr="004E65B9">
        <w:rPr>
          <w:rFonts w:asciiTheme="majorHAnsi" w:hAnsiTheme="majorHAnsi" w:cstheme="majorHAnsi"/>
          <w:sz w:val="24"/>
          <w:szCs w:val="24"/>
          <w:lang w:val="ru-MD"/>
        </w:rPr>
        <w:t xml:space="preserve"> с первоначальной балансовой стоимостью 4,2 млн. леев, предназначенные для расчета, учета и отчетности таможенных обязательств, дебиторской задолженности и долгов экономических агентов. Сотрудники ТС, ответственные за информационную безопасность ТИИС „Asycuda </w:t>
      </w:r>
      <w:r w:rsidRPr="004E65B9">
        <w:rPr>
          <w:rFonts w:asciiTheme="majorHAnsi" w:hAnsiTheme="majorHAnsi" w:cstheme="majorHAnsi"/>
          <w:iCs/>
          <w:color w:val="000000" w:themeColor="text1"/>
          <w:sz w:val="24"/>
          <w:szCs w:val="24"/>
          <w:lang w:val="ru-MD"/>
        </w:rPr>
        <w:t>World”</w:t>
      </w:r>
      <w:r w:rsidRPr="004E65B9">
        <w:rPr>
          <w:rFonts w:asciiTheme="majorHAnsi" w:hAnsiTheme="majorHAnsi" w:cstheme="majorHAnsi"/>
          <w:sz w:val="24"/>
          <w:szCs w:val="24"/>
          <w:lang w:val="ru-MD"/>
        </w:rPr>
        <w:t xml:space="preserve">, не смогли объяснить в рамках аудиторской миссии, </w:t>
      </w:r>
      <w:r w:rsidR="004E65B9" w:rsidRPr="004E65B9">
        <w:rPr>
          <w:rFonts w:asciiTheme="majorHAnsi" w:hAnsiTheme="majorHAnsi" w:cstheme="majorHAnsi"/>
          <w:sz w:val="24"/>
          <w:szCs w:val="24"/>
          <w:lang w:val="ru-MD"/>
        </w:rPr>
        <w:t>какой</w:t>
      </w:r>
      <w:r w:rsidRPr="004E65B9">
        <w:rPr>
          <w:rFonts w:asciiTheme="majorHAnsi" w:hAnsiTheme="majorHAnsi" w:cstheme="majorHAnsi"/>
          <w:sz w:val="24"/>
          <w:szCs w:val="24"/>
          <w:lang w:val="ru-MD"/>
        </w:rPr>
        <w:t xml:space="preserve"> и где установлены 4 модуля </w:t>
      </w:r>
      <w:r w:rsidR="004E65B9" w:rsidRPr="00435E31">
        <w:rPr>
          <w:rFonts w:asciiTheme="majorHAnsi" w:hAnsiTheme="majorHAnsi" w:cstheme="majorHAnsi"/>
          <w:sz w:val="24"/>
          <w:szCs w:val="24"/>
          <w:lang w:val="ru-MD"/>
        </w:rPr>
        <w:t>„Economist”,</w:t>
      </w:r>
      <w:r w:rsidRPr="00435E31">
        <w:rPr>
          <w:rFonts w:asciiTheme="majorHAnsi" w:hAnsiTheme="majorHAnsi" w:cstheme="majorHAnsi"/>
          <w:sz w:val="24"/>
          <w:szCs w:val="24"/>
          <w:lang w:val="ru-MD"/>
        </w:rPr>
        <w:t xml:space="preserve"> и какие из них являются функциональными</w:t>
      </w:r>
      <w:r w:rsidR="002E55E2" w:rsidRPr="00435E31">
        <w:rPr>
          <w:rFonts w:asciiTheme="majorHAnsi" w:hAnsiTheme="majorHAnsi" w:cstheme="majorHAnsi"/>
          <w:sz w:val="24"/>
          <w:szCs w:val="24"/>
          <w:lang w:val="ru-MD"/>
        </w:rPr>
        <w:t xml:space="preserve">. </w:t>
      </w:r>
    </w:p>
    <w:p w14:paraId="72D0BFF1" w14:textId="66822656" w:rsidR="00EA3E56" w:rsidRPr="00435E31" w:rsidRDefault="005579C8" w:rsidP="00D418F4">
      <w:pPr>
        <w:spacing w:after="120"/>
        <w:jc w:val="both"/>
        <w:rPr>
          <w:rFonts w:asciiTheme="majorHAnsi" w:hAnsiTheme="majorHAnsi" w:cstheme="majorHAnsi"/>
          <w:sz w:val="24"/>
          <w:szCs w:val="24"/>
          <w:lang w:val="ru-MD"/>
        </w:rPr>
      </w:pPr>
      <w:r w:rsidRPr="00435E31">
        <w:rPr>
          <w:rFonts w:asciiTheme="majorHAnsi" w:hAnsiTheme="majorHAnsi" w:cstheme="majorHAnsi"/>
          <w:sz w:val="24"/>
          <w:szCs w:val="24"/>
          <w:lang w:val="ru-MD"/>
        </w:rPr>
        <w:t>Было установлено, что модуль</w:t>
      </w:r>
      <w:r w:rsidR="004E65B9" w:rsidRPr="00435E31">
        <w:rPr>
          <w:rFonts w:asciiTheme="majorHAnsi" w:hAnsiTheme="majorHAnsi" w:cstheme="majorHAnsi"/>
          <w:sz w:val="24"/>
          <w:szCs w:val="24"/>
          <w:lang w:val="ru-MD"/>
        </w:rPr>
        <w:t xml:space="preserve"> „Economist”</w:t>
      </w:r>
      <w:r w:rsidRPr="00435E31">
        <w:rPr>
          <w:rFonts w:asciiTheme="majorHAnsi" w:hAnsiTheme="majorHAnsi" w:cstheme="majorHAnsi"/>
          <w:sz w:val="24"/>
          <w:szCs w:val="24"/>
          <w:lang w:val="ru-MD"/>
        </w:rPr>
        <w:t xml:space="preserve">, разработанный </w:t>
      </w:r>
      <w:r w:rsidR="004E65B9" w:rsidRPr="00435E31">
        <w:rPr>
          <w:rFonts w:asciiTheme="majorHAnsi" w:hAnsiTheme="majorHAnsi" w:cstheme="majorHAnsi"/>
          <w:sz w:val="24"/>
          <w:szCs w:val="24"/>
          <w:lang w:val="ru-MD"/>
        </w:rPr>
        <w:t>ТС</w:t>
      </w:r>
      <w:r w:rsidRPr="00435E31">
        <w:rPr>
          <w:rFonts w:asciiTheme="majorHAnsi" w:hAnsiTheme="majorHAnsi" w:cstheme="majorHAnsi"/>
          <w:sz w:val="24"/>
          <w:szCs w:val="24"/>
          <w:lang w:val="ru-MD"/>
        </w:rPr>
        <w:t xml:space="preserve"> в 2004 году с первоначальной балансовой стоимостью 98,0 тыс. леев, должен был быть заменен в 2007 году модулем </w:t>
      </w:r>
      <w:r w:rsidR="004E65B9" w:rsidRPr="00435E31">
        <w:rPr>
          <w:rFonts w:asciiTheme="majorHAnsi" w:hAnsiTheme="majorHAnsi" w:cstheme="majorHAnsi"/>
          <w:sz w:val="24"/>
          <w:szCs w:val="24"/>
          <w:lang w:val="ru-MD"/>
        </w:rPr>
        <w:t>„Economist-Cont Unic”</w:t>
      </w:r>
      <w:r w:rsidR="004E65B9" w:rsidRPr="00435E31">
        <w:rPr>
          <w:rStyle w:val="FootnoteReference"/>
          <w:rFonts w:asciiTheme="majorHAnsi" w:hAnsiTheme="majorHAnsi" w:cstheme="majorHAnsi"/>
          <w:sz w:val="24"/>
          <w:szCs w:val="24"/>
          <w:lang w:val="ru-MD"/>
        </w:rPr>
        <w:footnoteReference w:id="42"/>
      </w:r>
      <w:r w:rsidRPr="00435E31">
        <w:rPr>
          <w:rFonts w:asciiTheme="majorHAnsi" w:hAnsiTheme="majorHAnsi" w:cstheme="majorHAnsi"/>
          <w:sz w:val="24"/>
          <w:szCs w:val="24"/>
          <w:lang w:val="ru-MD"/>
        </w:rPr>
        <w:t>, приобретенным по цене 1,1 млн.</w:t>
      </w:r>
      <w:r w:rsidR="004E65B9" w:rsidRPr="00435E31">
        <w:rPr>
          <w:rFonts w:asciiTheme="majorHAnsi" w:hAnsiTheme="majorHAnsi" w:cstheme="majorHAnsi"/>
          <w:sz w:val="24"/>
          <w:szCs w:val="24"/>
          <w:lang w:val="ru-MD"/>
        </w:rPr>
        <w:t xml:space="preserve"> леев</w:t>
      </w:r>
      <w:r w:rsidRPr="00435E31">
        <w:rPr>
          <w:rFonts w:asciiTheme="majorHAnsi" w:hAnsiTheme="majorHAnsi" w:cstheme="majorHAnsi"/>
          <w:sz w:val="24"/>
          <w:szCs w:val="24"/>
          <w:lang w:val="ru-MD"/>
        </w:rPr>
        <w:t xml:space="preserve"> </w:t>
      </w:r>
      <w:r w:rsidR="004E65B9" w:rsidRPr="00435E31">
        <w:rPr>
          <w:rFonts w:asciiTheme="majorHAnsi" w:hAnsiTheme="majorHAnsi" w:cstheme="majorHAnsi"/>
          <w:sz w:val="24"/>
          <w:szCs w:val="24"/>
          <w:lang w:val="ru-MD"/>
        </w:rPr>
        <w:t>у</w:t>
      </w:r>
      <w:r w:rsidRPr="00435E31">
        <w:rPr>
          <w:rFonts w:asciiTheme="majorHAnsi" w:hAnsiTheme="majorHAnsi" w:cstheme="majorHAnsi"/>
          <w:sz w:val="24"/>
          <w:szCs w:val="24"/>
          <w:lang w:val="ru-MD"/>
        </w:rPr>
        <w:t xml:space="preserve"> экономического агента </w:t>
      </w:r>
      <w:r w:rsidR="004E65B9" w:rsidRPr="00435E31">
        <w:rPr>
          <w:rFonts w:asciiTheme="majorHAnsi" w:hAnsiTheme="majorHAnsi" w:cstheme="majorHAnsi"/>
          <w:sz w:val="24"/>
          <w:szCs w:val="24"/>
          <w:lang w:val="ru-MD"/>
        </w:rPr>
        <w:t xml:space="preserve">из Румынии, </w:t>
      </w:r>
      <w:r w:rsidRPr="00435E31">
        <w:rPr>
          <w:rFonts w:asciiTheme="majorHAnsi" w:hAnsiTheme="majorHAnsi" w:cstheme="majorHAnsi"/>
          <w:sz w:val="24"/>
          <w:szCs w:val="24"/>
          <w:lang w:val="ru-MD"/>
        </w:rPr>
        <w:t xml:space="preserve">для </w:t>
      </w:r>
      <w:r w:rsidR="004E65B9" w:rsidRPr="00435E31">
        <w:rPr>
          <w:rFonts w:asciiTheme="majorHAnsi" w:hAnsiTheme="majorHAnsi" w:cstheme="majorHAnsi"/>
          <w:sz w:val="24"/>
          <w:szCs w:val="24"/>
          <w:lang w:val="ru-MD"/>
        </w:rPr>
        <w:t xml:space="preserve">его </w:t>
      </w:r>
      <w:r w:rsidRPr="00435E31">
        <w:rPr>
          <w:rFonts w:asciiTheme="majorHAnsi" w:hAnsiTheme="majorHAnsi" w:cstheme="majorHAnsi"/>
          <w:sz w:val="24"/>
          <w:szCs w:val="24"/>
          <w:lang w:val="ru-MD"/>
        </w:rPr>
        <w:t>интегр</w:t>
      </w:r>
      <w:r w:rsidR="004E65B9" w:rsidRPr="00435E31">
        <w:rPr>
          <w:rFonts w:asciiTheme="majorHAnsi" w:hAnsiTheme="majorHAnsi" w:cstheme="majorHAnsi"/>
          <w:sz w:val="24"/>
          <w:szCs w:val="24"/>
          <w:lang w:val="ru-MD"/>
        </w:rPr>
        <w:t>ирования</w:t>
      </w:r>
      <w:r w:rsidRPr="00435E31">
        <w:rPr>
          <w:rFonts w:asciiTheme="majorHAnsi" w:hAnsiTheme="majorHAnsi" w:cstheme="majorHAnsi"/>
          <w:sz w:val="24"/>
          <w:szCs w:val="24"/>
          <w:lang w:val="ru-MD"/>
        </w:rPr>
        <w:t xml:space="preserve"> на платформ</w:t>
      </w:r>
      <w:r w:rsidR="004E65B9" w:rsidRPr="00435E31">
        <w:rPr>
          <w:rFonts w:asciiTheme="majorHAnsi" w:hAnsiTheme="majorHAnsi" w:cstheme="majorHAnsi"/>
          <w:sz w:val="24"/>
          <w:szCs w:val="24"/>
          <w:lang w:val="ru-MD"/>
        </w:rPr>
        <w:t>е</w:t>
      </w:r>
      <w:r w:rsidRPr="00435E31">
        <w:rPr>
          <w:rFonts w:asciiTheme="majorHAnsi" w:hAnsiTheme="majorHAnsi" w:cstheme="majorHAnsi"/>
          <w:sz w:val="24"/>
          <w:szCs w:val="24"/>
          <w:lang w:val="ru-MD"/>
        </w:rPr>
        <w:t xml:space="preserve"> </w:t>
      </w:r>
      <w:r w:rsidR="004E65B9" w:rsidRPr="00435E31">
        <w:rPr>
          <w:rFonts w:asciiTheme="majorHAnsi" w:hAnsiTheme="majorHAnsi" w:cstheme="majorHAnsi"/>
          <w:sz w:val="24"/>
          <w:szCs w:val="24"/>
          <w:lang w:val="ru-MD"/>
        </w:rPr>
        <w:t>ИС</w:t>
      </w:r>
      <w:r w:rsidRPr="00435E31">
        <w:rPr>
          <w:rFonts w:asciiTheme="majorHAnsi" w:hAnsiTheme="majorHAnsi" w:cstheme="majorHAnsi"/>
          <w:sz w:val="24"/>
          <w:szCs w:val="24"/>
          <w:lang w:val="ru-MD"/>
        </w:rPr>
        <w:t xml:space="preserve"> </w:t>
      </w:r>
      <w:r w:rsidR="00292389" w:rsidRPr="00435E31">
        <w:rPr>
          <w:rFonts w:asciiTheme="majorHAnsi" w:hAnsiTheme="majorHAnsi" w:cstheme="majorHAnsi"/>
          <w:iCs/>
          <w:color w:val="000000" w:themeColor="text1"/>
          <w:sz w:val="24"/>
          <w:szCs w:val="24"/>
          <w:lang w:val="ru-MD"/>
        </w:rPr>
        <w:t>„Asycuda World”</w:t>
      </w:r>
      <w:r w:rsidR="00EA3E56" w:rsidRPr="00435E31">
        <w:rPr>
          <w:rFonts w:asciiTheme="majorHAnsi" w:hAnsiTheme="majorHAnsi" w:cstheme="majorHAnsi"/>
          <w:sz w:val="24"/>
          <w:szCs w:val="24"/>
          <w:lang w:val="ru-MD"/>
        </w:rPr>
        <w:t>.</w:t>
      </w:r>
    </w:p>
    <w:p w14:paraId="4D606C5F" w14:textId="371A8DF3" w:rsidR="003973F9" w:rsidRPr="00435E31" w:rsidRDefault="00C379D1" w:rsidP="003973F9">
      <w:pPr>
        <w:jc w:val="both"/>
        <w:rPr>
          <w:rFonts w:asciiTheme="majorHAnsi" w:eastAsia="Times New Roman" w:hAnsiTheme="majorHAnsi" w:cstheme="majorHAnsi"/>
          <w:sz w:val="24"/>
          <w:szCs w:val="24"/>
          <w:lang w:val="ru-MD"/>
        </w:rPr>
      </w:pPr>
      <w:r w:rsidRPr="00435E31">
        <w:rPr>
          <w:rFonts w:asciiTheme="majorHAnsi" w:hAnsiTheme="majorHAnsi" w:cstheme="majorHAnsi"/>
          <w:sz w:val="24"/>
          <w:szCs w:val="24"/>
          <w:lang w:val="ru-MD"/>
        </w:rPr>
        <w:t>На момент проведения</w:t>
      </w:r>
      <w:r w:rsidR="005579C8" w:rsidRPr="00435E31">
        <w:rPr>
          <w:rFonts w:asciiTheme="majorHAnsi" w:hAnsiTheme="majorHAnsi" w:cstheme="majorHAnsi"/>
          <w:sz w:val="24"/>
          <w:szCs w:val="24"/>
          <w:lang w:val="ru-MD"/>
        </w:rPr>
        <w:t xml:space="preserve"> аудита на платформе </w:t>
      </w:r>
      <w:r w:rsidRPr="00435E31">
        <w:rPr>
          <w:rFonts w:asciiTheme="majorHAnsi" w:hAnsiTheme="majorHAnsi" w:cstheme="majorHAnsi"/>
          <w:sz w:val="24"/>
          <w:szCs w:val="24"/>
          <w:lang w:val="ru-MD"/>
        </w:rPr>
        <w:t xml:space="preserve">ИС </w:t>
      </w:r>
      <w:r w:rsidRPr="00435E31">
        <w:rPr>
          <w:rFonts w:asciiTheme="majorHAnsi" w:hAnsiTheme="majorHAnsi" w:cstheme="majorHAnsi"/>
          <w:iCs/>
          <w:color w:val="000000" w:themeColor="text1"/>
          <w:sz w:val="24"/>
          <w:szCs w:val="24"/>
          <w:lang w:val="ru-MD"/>
        </w:rPr>
        <w:t>„Asycuda World”</w:t>
      </w:r>
      <w:r w:rsidR="005579C8" w:rsidRPr="00435E31">
        <w:rPr>
          <w:rFonts w:asciiTheme="majorHAnsi" w:hAnsiTheme="majorHAnsi" w:cstheme="majorHAnsi"/>
          <w:sz w:val="24"/>
          <w:szCs w:val="24"/>
          <w:lang w:val="ru-MD"/>
        </w:rPr>
        <w:t xml:space="preserve"> был интегрирован модуль „Acounting</w:t>
      </w:r>
      <w:r w:rsidRPr="00435E31">
        <w:rPr>
          <w:rFonts w:asciiTheme="majorHAnsi" w:hAnsiTheme="majorHAnsi" w:cstheme="majorHAnsi"/>
          <w:iCs/>
          <w:color w:val="000000" w:themeColor="text1"/>
          <w:sz w:val="24"/>
          <w:szCs w:val="24"/>
          <w:lang w:val="ru-MD"/>
        </w:rPr>
        <w:t>”</w:t>
      </w:r>
      <w:r w:rsidR="005579C8" w:rsidRPr="00435E31">
        <w:rPr>
          <w:rFonts w:asciiTheme="majorHAnsi" w:hAnsiTheme="majorHAnsi" w:cstheme="majorHAnsi"/>
          <w:sz w:val="24"/>
          <w:szCs w:val="24"/>
          <w:lang w:val="ru-MD"/>
        </w:rPr>
        <w:t>, который</w:t>
      </w:r>
      <w:r w:rsidRPr="00435E31">
        <w:rPr>
          <w:rFonts w:asciiTheme="majorHAnsi" w:hAnsiTheme="majorHAnsi" w:cstheme="majorHAnsi"/>
          <w:sz w:val="24"/>
          <w:szCs w:val="24"/>
          <w:lang w:val="ru-MD"/>
        </w:rPr>
        <w:t xml:space="preserve"> является</w:t>
      </w:r>
      <w:r w:rsidR="005579C8" w:rsidRPr="00435E31">
        <w:rPr>
          <w:rFonts w:asciiTheme="majorHAnsi" w:hAnsiTheme="majorHAnsi" w:cstheme="majorHAnsi"/>
          <w:sz w:val="24"/>
          <w:szCs w:val="24"/>
          <w:lang w:val="ru-MD"/>
        </w:rPr>
        <w:t xml:space="preserve"> частично функцион</w:t>
      </w:r>
      <w:r w:rsidRPr="00435E31">
        <w:rPr>
          <w:rFonts w:asciiTheme="majorHAnsi" w:hAnsiTheme="majorHAnsi" w:cstheme="majorHAnsi"/>
          <w:sz w:val="24"/>
          <w:szCs w:val="24"/>
          <w:lang w:val="ru-MD"/>
        </w:rPr>
        <w:t>альным</w:t>
      </w:r>
      <w:r w:rsidR="005579C8" w:rsidRPr="00435E31">
        <w:rPr>
          <w:rFonts w:asciiTheme="majorHAnsi" w:hAnsiTheme="majorHAnsi" w:cstheme="majorHAnsi"/>
          <w:sz w:val="24"/>
          <w:szCs w:val="24"/>
          <w:lang w:val="ru-MD"/>
        </w:rPr>
        <w:t xml:space="preserve">, не генерирует отчеты и не выполняет расчет </w:t>
      </w:r>
      <w:r w:rsidRPr="00435E31">
        <w:rPr>
          <w:rFonts w:asciiTheme="majorHAnsi" w:hAnsiTheme="majorHAnsi" w:cstheme="majorHAnsi"/>
          <w:sz w:val="24"/>
          <w:szCs w:val="24"/>
          <w:lang w:val="ru-MD"/>
        </w:rPr>
        <w:t>пеней</w:t>
      </w:r>
      <w:r w:rsidR="005579C8" w:rsidRPr="00435E31">
        <w:rPr>
          <w:rFonts w:asciiTheme="majorHAnsi" w:hAnsiTheme="majorHAnsi" w:cstheme="majorHAnsi"/>
          <w:sz w:val="24"/>
          <w:szCs w:val="24"/>
          <w:lang w:val="ru-MD"/>
        </w:rPr>
        <w:t xml:space="preserve"> </w:t>
      </w:r>
      <w:r w:rsidRPr="00435E31">
        <w:rPr>
          <w:rFonts w:asciiTheme="majorHAnsi" w:hAnsiTheme="majorHAnsi" w:cstheme="majorHAnsi"/>
          <w:sz w:val="24"/>
          <w:szCs w:val="24"/>
          <w:lang w:val="ru-MD"/>
        </w:rPr>
        <w:t>к</w:t>
      </w:r>
      <w:r w:rsidR="005579C8" w:rsidRPr="00435E31">
        <w:rPr>
          <w:rFonts w:asciiTheme="majorHAnsi" w:hAnsiTheme="majorHAnsi" w:cstheme="majorHAnsi"/>
          <w:sz w:val="24"/>
          <w:szCs w:val="24"/>
          <w:lang w:val="ru-MD"/>
        </w:rPr>
        <w:t xml:space="preserve"> </w:t>
      </w:r>
      <w:r w:rsidRPr="00435E31">
        <w:rPr>
          <w:rFonts w:asciiTheme="majorHAnsi" w:hAnsiTheme="majorHAnsi" w:cstheme="majorHAnsi"/>
          <w:sz w:val="24"/>
          <w:szCs w:val="24"/>
          <w:lang w:val="ru-MD"/>
        </w:rPr>
        <w:t>начисленным основным</w:t>
      </w:r>
      <w:r w:rsidR="005579C8" w:rsidRPr="00435E31">
        <w:rPr>
          <w:rFonts w:asciiTheme="majorHAnsi" w:hAnsiTheme="majorHAnsi" w:cstheme="majorHAnsi"/>
          <w:sz w:val="24"/>
          <w:szCs w:val="24"/>
          <w:lang w:val="ru-MD"/>
        </w:rPr>
        <w:t xml:space="preserve"> платеж</w:t>
      </w:r>
      <w:r w:rsidRPr="00435E31">
        <w:rPr>
          <w:rFonts w:asciiTheme="majorHAnsi" w:hAnsiTheme="majorHAnsi" w:cstheme="majorHAnsi"/>
          <w:sz w:val="24"/>
          <w:szCs w:val="24"/>
          <w:lang w:val="ru-MD"/>
        </w:rPr>
        <w:t>ам</w:t>
      </w:r>
      <w:r w:rsidR="005579C8" w:rsidRPr="00435E31">
        <w:rPr>
          <w:rFonts w:asciiTheme="majorHAnsi" w:hAnsiTheme="majorHAnsi" w:cstheme="majorHAnsi"/>
          <w:sz w:val="24"/>
          <w:szCs w:val="24"/>
          <w:lang w:val="ru-MD"/>
        </w:rPr>
        <w:t xml:space="preserve">, не имеет подключения и </w:t>
      </w:r>
      <w:r w:rsidRPr="00435E31">
        <w:rPr>
          <w:rFonts w:asciiTheme="majorHAnsi" w:hAnsiTheme="majorHAnsi" w:cstheme="majorHAnsi"/>
          <w:sz w:val="24"/>
          <w:szCs w:val="24"/>
          <w:lang w:val="ru-MD"/>
        </w:rPr>
        <w:t>опции для генерирования</w:t>
      </w:r>
      <w:r w:rsidR="005579C8" w:rsidRPr="00435E31">
        <w:rPr>
          <w:rFonts w:asciiTheme="majorHAnsi" w:hAnsiTheme="majorHAnsi" w:cstheme="majorHAnsi"/>
          <w:sz w:val="24"/>
          <w:szCs w:val="24"/>
          <w:lang w:val="ru-MD"/>
        </w:rPr>
        <w:t xml:space="preserve"> отчетов в </w:t>
      </w:r>
      <w:r w:rsidRPr="00435E31">
        <w:rPr>
          <w:rFonts w:asciiTheme="majorHAnsi" w:hAnsiTheme="majorHAnsi" w:cstheme="majorHAnsi"/>
          <w:sz w:val="24"/>
          <w:szCs w:val="24"/>
          <w:lang w:val="ru-MD"/>
        </w:rPr>
        <w:t>ИС</w:t>
      </w:r>
      <w:r w:rsidR="005579C8" w:rsidRPr="00435E31">
        <w:rPr>
          <w:rFonts w:asciiTheme="majorHAnsi" w:hAnsiTheme="majorHAnsi" w:cstheme="majorHAnsi"/>
          <w:sz w:val="24"/>
          <w:szCs w:val="24"/>
          <w:lang w:val="ru-MD"/>
        </w:rPr>
        <w:t xml:space="preserve"> </w:t>
      </w:r>
      <w:r w:rsidRPr="00435E31">
        <w:rPr>
          <w:rFonts w:asciiTheme="majorHAnsi" w:hAnsiTheme="majorHAnsi" w:cstheme="majorHAnsi"/>
          <w:sz w:val="24"/>
          <w:szCs w:val="24"/>
          <w:lang w:val="ru-MD"/>
        </w:rPr>
        <w:t>„Portal SV”</w:t>
      </w:r>
      <w:r w:rsidR="005579C8" w:rsidRPr="00435E31">
        <w:rPr>
          <w:rFonts w:asciiTheme="majorHAnsi" w:hAnsiTheme="majorHAnsi" w:cstheme="majorHAnsi"/>
          <w:sz w:val="24"/>
          <w:szCs w:val="24"/>
          <w:lang w:val="ru-MD"/>
        </w:rPr>
        <w:t xml:space="preserve">. Информация о расчете таможенных обязательств, связанных с импортно-экспортными </w:t>
      </w:r>
      <w:r w:rsidRPr="00435E31">
        <w:rPr>
          <w:rFonts w:asciiTheme="majorHAnsi" w:hAnsiTheme="majorHAnsi" w:cstheme="majorHAnsi"/>
          <w:sz w:val="24"/>
          <w:szCs w:val="24"/>
          <w:lang w:val="ru-MD"/>
        </w:rPr>
        <w:t>платеж</w:t>
      </w:r>
      <w:r w:rsidR="005579C8" w:rsidRPr="00435E31">
        <w:rPr>
          <w:rFonts w:asciiTheme="majorHAnsi" w:hAnsiTheme="majorHAnsi" w:cstheme="majorHAnsi"/>
          <w:sz w:val="24"/>
          <w:szCs w:val="24"/>
          <w:lang w:val="ru-MD"/>
        </w:rPr>
        <w:t xml:space="preserve">ами, </w:t>
      </w:r>
      <w:r w:rsidR="00DE7261" w:rsidRPr="00435E31">
        <w:rPr>
          <w:rFonts w:asciiTheme="majorHAnsi" w:hAnsiTheme="majorHAnsi" w:cstheme="majorHAnsi"/>
          <w:sz w:val="24"/>
          <w:szCs w:val="24"/>
          <w:lang w:val="ru-MD"/>
        </w:rPr>
        <w:t>переводе</w:t>
      </w:r>
      <w:r w:rsidR="005579C8" w:rsidRPr="00435E31">
        <w:rPr>
          <w:rFonts w:asciiTheme="majorHAnsi" w:hAnsiTheme="majorHAnsi" w:cstheme="majorHAnsi"/>
          <w:sz w:val="24"/>
          <w:szCs w:val="24"/>
          <w:lang w:val="ru-MD"/>
        </w:rPr>
        <w:t xml:space="preserve"> денежных средств, </w:t>
      </w:r>
      <w:r w:rsidR="00DE7261" w:rsidRPr="00435E31">
        <w:rPr>
          <w:rFonts w:asciiTheme="majorHAnsi" w:hAnsiTheme="majorHAnsi" w:cstheme="majorHAnsi"/>
          <w:sz w:val="24"/>
          <w:szCs w:val="24"/>
          <w:lang w:val="ru-MD"/>
        </w:rPr>
        <w:t>состоя</w:t>
      </w:r>
      <w:r w:rsidR="005579C8" w:rsidRPr="00435E31">
        <w:rPr>
          <w:rFonts w:asciiTheme="majorHAnsi" w:hAnsiTheme="majorHAnsi" w:cstheme="majorHAnsi"/>
          <w:sz w:val="24"/>
          <w:szCs w:val="24"/>
          <w:lang w:val="ru-MD"/>
        </w:rPr>
        <w:t>ни</w:t>
      </w:r>
      <w:r w:rsidR="00DE7261" w:rsidRPr="00435E31">
        <w:rPr>
          <w:rFonts w:asciiTheme="majorHAnsi" w:hAnsiTheme="majorHAnsi" w:cstheme="majorHAnsi"/>
          <w:sz w:val="24"/>
          <w:szCs w:val="24"/>
          <w:lang w:val="ru-MD"/>
        </w:rPr>
        <w:t>и обязательств</w:t>
      </w:r>
      <w:r w:rsidR="005579C8" w:rsidRPr="00435E31">
        <w:rPr>
          <w:rFonts w:asciiTheme="majorHAnsi" w:hAnsiTheme="majorHAnsi" w:cstheme="majorHAnsi"/>
          <w:sz w:val="24"/>
          <w:szCs w:val="24"/>
          <w:lang w:val="ru-MD"/>
        </w:rPr>
        <w:t xml:space="preserve"> и долгов экономических агентов и физических лиц</w:t>
      </w:r>
      <w:r w:rsidR="00DE7261" w:rsidRPr="00435E31">
        <w:rPr>
          <w:rFonts w:asciiTheme="majorHAnsi" w:hAnsiTheme="majorHAnsi" w:cstheme="majorHAnsi"/>
          <w:sz w:val="24"/>
          <w:szCs w:val="24"/>
          <w:lang w:val="ru-MD"/>
        </w:rPr>
        <w:t xml:space="preserve"> все еще составляется</w:t>
      </w:r>
      <w:r w:rsidR="005579C8" w:rsidRPr="00435E31">
        <w:rPr>
          <w:rFonts w:asciiTheme="majorHAnsi" w:hAnsiTheme="majorHAnsi" w:cstheme="majorHAnsi"/>
          <w:sz w:val="24"/>
          <w:szCs w:val="24"/>
          <w:lang w:val="ru-MD"/>
        </w:rPr>
        <w:t xml:space="preserve"> Управлением таможенных доходов в модуле </w:t>
      </w:r>
      <w:r w:rsidR="007F3836" w:rsidRPr="00435E31">
        <w:rPr>
          <w:rFonts w:asciiTheme="majorHAnsi" w:hAnsiTheme="majorHAnsi" w:cstheme="majorHAnsi"/>
          <w:sz w:val="24"/>
          <w:szCs w:val="24"/>
          <w:lang w:val="ru-MD"/>
        </w:rPr>
        <w:t>„Economist”</w:t>
      </w:r>
      <w:r w:rsidR="005579C8" w:rsidRPr="00435E31">
        <w:rPr>
          <w:rFonts w:asciiTheme="majorHAnsi" w:hAnsiTheme="majorHAnsi" w:cstheme="majorHAnsi"/>
          <w:sz w:val="24"/>
          <w:szCs w:val="24"/>
          <w:lang w:val="ru-MD"/>
        </w:rPr>
        <w:t xml:space="preserve">, разработанном </w:t>
      </w:r>
      <w:r w:rsidR="00DE7261" w:rsidRPr="00435E31">
        <w:rPr>
          <w:rFonts w:asciiTheme="majorHAnsi" w:hAnsiTheme="majorHAnsi" w:cstheme="majorHAnsi"/>
          <w:sz w:val="24"/>
          <w:szCs w:val="24"/>
          <w:lang w:val="ru-MD"/>
        </w:rPr>
        <w:t>ТС</w:t>
      </w:r>
      <w:r w:rsidR="005579C8" w:rsidRPr="00435E31">
        <w:rPr>
          <w:rFonts w:asciiTheme="majorHAnsi" w:hAnsiTheme="majorHAnsi" w:cstheme="majorHAnsi"/>
          <w:sz w:val="24"/>
          <w:szCs w:val="24"/>
          <w:lang w:val="ru-MD"/>
        </w:rPr>
        <w:t xml:space="preserve"> в 2004 году, который также не имеет </w:t>
      </w:r>
      <w:r w:rsidR="00DE7261" w:rsidRPr="00435E31">
        <w:rPr>
          <w:rFonts w:asciiTheme="majorHAnsi" w:hAnsiTheme="majorHAnsi" w:cstheme="majorHAnsi"/>
          <w:sz w:val="24"/>
          <w:szCs w:val="24"/>
          <w:lang w:val="ru-MD"/>
        </w:rPr>
        <w:t>опци</w:t>
      </w:r>
      <w:r w:rsidR="005579C8" w:rsidRPr="00435E31">
        <w:rPr>
          <w:rFonts w:asciiTheme="majorHAnsi" w:hAnsiTheme="majorHAnsi" w:cstheme="majorHAnsi"/>
          <w:sz w:val="24"/>
          <w:szCs w:val="24"/>
          <w:lang w:val="ru-MD"/>
        </w:rPr>
        <w:t xml:space="preserve">и </w:t>
      </w:r>
      <w:r w:rsidR="00DE7261" w:rsidRPr="00435E31">
        <w:rPr>
          <w:rFonts w:asciiTheme="majorHAnsi" w:hAnsiTheme="majorHAnsi" w:cstheme="majorHAnsi"/>
          <w:sz w:val="24"/>
          <w:szCs w:val="24"/>
          <w:lang w:val="ru-MD"/>
        </w:rPr>
        <w:t xml:space="preserve">для начисления </w:t>
      </w:r>
      <w:r w:rsidR="005579C8" w:rsidRPr="00435E31">
        <w:rPr>
          <w:rFonts w:asciiTheme="majorHAnsi" w:hAnsiTheme="majorHAnsi" w:cstheme="majorHAnsi"/>
          <w:sz w:val="24"/>
          <w:szCs w:val="24"/>
          <w:lang w:val="ru-MD"/>
        </w:rPr>
        <w:t>штраф</w:t>
      </w:r>
      <w:r w:rsidR="00DE7261" w:rsidRPr="00435E31">
        <w:rPr>
          <w:rFonts w:asciiTheme="majorHAnsi" w:hAnsiTheme="majorHAnsi" w:cstheme="majorHAnsi"/>
          <w:sz w:val="24"/>
          <w:szCs w:val="24"/>
          <w:lang w:val="ru-MD"/>
        </w:rPr>
        <w:t>ов</w:t>
      </w:r>
      <w:r w:rsidR="005579C8" w:rsidRPr="00435E31">
        <w:rPr>
          <w:rFonts w:asciiTheme="majorHAnsi" w:hAnsiTheme="majorHAnsi" w:cstheme="majorHAnsi"/>
          <w:sz w:val="24"/>
          <w:szCs w:val="24"/>
          <w:lang w:val="ru-MD"/>
        </w:rPr>
        <w:t>.</w:t>
      </w:r>
      <w:r w:rsidR="00E55B68" w:rsidRPr="00435E31">
        <w:rPr>
          <w:rFonts w:asciiTheme="majorHAnsi" w:hAnsiTheme="majorHAnsi" w:cstheme="majorHAnsi"/>
          <w:sz w:val="24"/>
          <w:szCs w:val="24"/>
          <w:lang w:val="ru-MD"/>
        </w:rPr>
        <w:t xml:space="preserve"> </w:t>
      </w:r>
      <w:r w:rsidR="00DE7261" w:rsidRPr="00435E31">
        <w:rPr>
          <w:rFonts w:asciiTheme="majorHAnsi" w:hAnsiTheme="majorHAnsi" w:cstheme="majorHAnsi"/>
          <w:sz w:val="24"/>
          <w:szCs w:val="24"/>
          <w:lang w:val="ru-MD"/>
        </w:rPr>
        <w:t>Следовательно,</w:t>
      </w:r>
      <w:r w:rsidR="005579C8" w:rsidRPr="00435E31">
        <w:rPr>
          <w:rFonts w:asciiTheme="majorHAnsi" w:hAnsiTheme="majorHAnsi" w:cstheme="majorHAnsi"/>
          <w:sz w:val="24"/>
          <w:szCs w:val="24"/>
          <w:lang w:val="ru-MD"/>
        </w:rPr>
        <w:t xml:space="preserve"> рекомендации Счетной палаты</w:t>
      </w:r>
      <w:r w:rsidR="00DE7261" w:rsidRPr="00435E31">
        <w:rPr>
          <w:rStyle w:val="FootnoteReference"/>
          <w:rFonts w:asciiTheme="majorHAnsi" w:hAnsiTheme="majorHAnsi" w:cstheme="majorHAnsi"/>
          <w:sz w:val="24"/>
          <w:szCs w:val="24"/>
          <w:lang w:val="ru-MD"/>
        </w:rPr>
        <w:footnoteReference w:id="43"/>
      </w:r>
      <w:r w:rsidR="005579C8" w:rsidRPr="00435E31">
        <w:rPr>
          <w:rFonts w:asciiTheme="majorHAnsi" w:hAnsiTheme="majorHAnsi" w:cstheme="majorHAnsi"/>
          <w:sz w:val="24"/>
          <w:szCs w:val="24"/>
          <w:lang w:val="ru-MD"/>
        </w:rPr>
        <w:t xml:space="preserve"> по интеграции модуля </w:t>
      </w:r>
      <w:r w:rsidR="005579C8" w:rsidRPr="00435E31">
        <w:rPr>
          <w:rFonts w:asciiTheme="majorHAnsi" w:hAnsiTheme="majorHAnsi" w:cstheme="majorHAnsi"/>
          <w:iCs/>
          <w:color w:val="000000" w:themeColor="text1"/>
          <w:sz w:val="24"/>
          <w:szCs w:val="24"/>
          <w:lang w:val="ru-MD"/>
        </w:rPr>
        <w:t>„Economist”</w:t>
      </w:r>
      <w:r w:rsidR="005579C8" w:rsidRPr="00435E31">
        <w:rPr>
          <w:rFonts w:asciiTheme="majorHAnsi" w:hAnsiTheme="majorHAnsi" w:cstheme="majorHAnsi"/>
          <w:sz w:val="24"/>
          <w:szCs w:val="24"/>
          <w:lang w:val="ru-MD"/>
        </w:rPr>
        <w:t xml:space="preserve"> в платформу системы </w:t>
      </w:r>
      <w:r w:rsidRPr="00435E31">
        <w:rPr>
          <w:rFonts w:asciiTheme="majorHAnsi" w:hAnsiTheme="majorHAnsi" w:cstheme="majorHAnsi"/>
          <w:sz w:val="24"/>
          <w:szCs w:val="24"/>
          <w:lang w:val="ru-MD"/>
        </w:rPr>
        <w:t xml:space="preserve">ИС </w:t>
      </w:r>
      <w:r w:rsidRPr="00435E31">
        <w:rPr>
          <w:rFonts w:asciiTheme="majorHAnsi" w:hAnsiTheme="majorHAnsi" w:cstheme="majorHAnsi"/>
          <w:iCs/>
          <w:color w:val="000000" w:themeColor="text1"/>
          <w:sz w:val="24"/>
          <w:szCs w:val="24"/>
          <w:lang w:val="ru-MD"/>
        </w:rPr>
        <w:t>„Asycuda World”</w:t>
      </w:r>
      <w:r w:rsidR="005579C8" w:rsidRPr="00435E31">
        <w:rPr>
          <w:rFonts w:asciiTheme="majorHAnsi" w:hAnsiTheme="majorHAnsi" w:cstheme="majorHAnsi"/>
          <w:sz w:val="24"/>
          <w:szCs w:val="24"/>
          <w:lang w:val="ru-MD"/>
        </w:rPr>
        <w:t xml:space="preserve">, как </w:t>
      </w:r>
      <w:r w:rsidR="00DE7261" w:rsidRPr="00435E31">
        <w:rPr>
          <w:rFonts w:asciiTheme="majorHAnsi" w:hAnsiTheme="majorHAnsi" w:cstheme="majorHAnsi"/>
          <w:sz w:val="24"/>
          <w:szCs w:val="24"/>
          <w:lang w:val="ru-MD"/>
        </w:rPr>
        <w:t xml:space="preserve">того </w:t>
      </w:r>
      <w:r w:rsidR="005579C8" w:rsidRPr="00435E31">
        <w:rPr>
          <w:rFonts w:asciiTheme="majorHAnsi" w:hAnsiTheme="majorHAnsi" w:cstheme="majorHAnsi"/>
          <w:sz w:val="24"/>
          <w:szCs w:val="24"/>
          <w:lang w:val="ru-MD"/>
        </w:rPr>
        <w:t xml:space="preserve">предусматривала </w:t>
      </w:r>
      <w:r w:rsidR="00DE7261" w:rsidRPr="00435E31">
        <w:rPr>
          <w:rFonts w:asciiTheme="majorHAnsi" w:hAnsiTheme="majorHAnsi" w:cstheme="majorHAnsi"/>
          <w:sz w:val="24"/>
          <w:szCs w:val="24"/>
          <w:lang w:val="ru-MD"/>
        </w:rPr>
        <w:t>К</w:t>
      </w:r>
      <w:r w:rsidR="005579C8" w:rsidRPr="00435E31">
        <w:rPr>
          <w:rFonts w:asciiTheme="majorHAnsi" w:hAnsiTheme="majorHAnsi" w:cstheme="majorHAnsi"/>
          <w:sz w:val="24"/>
          <w:szCs w:val="24"/>
          <w:lang w:val="ru-MD"/>
        </w:rPr>
        <w:t xml:space="preserve">онцепция </w:t>
      </w:r>
      <w:r w:rsidR="009A660C" w:rsidRPr="00435E31">
        <w:rPr>
          <w:rFonts w:asciiTheme="majorHAnsi" w:hAnsiTheme="majorHAnsi" w:cstheme="majorHAnsi"/>
          <w:sz w:val="24"/>
          <w:szCs w:val="24"/>
          <w:lang w:val="ru-MD"/>
        </w:rPr>
        <w:t xml:space="preserve">Таможенной </w:t>
      </w:r>
      <w:r w:rsidR="005579C8" w:rsidRPr="00435E31">
        <w:rPr>
          <w:rFonts w:asciiTheme="majorHAnsi" w:hAnsiTheme="majorHAnsi" w:cstheme="majorHAnsi"/>
          <w:sz w:val="24"/>
          <w:szCs w:val="24"/>
          <w:lang w:val="ru-MD"/>
        </w:rPr>
        <w:t xml:space="preserve">интегрированной информационной системы, остались невыполненными, </w:t>
      </w:r>
      <w:r w:rsidR="009A660C" w:rsidRPr="00435E31">
        <w:rPr>
          <w:rFonts w:asciiTheme="majorHAnsi" w:hAnsiTheme="majorHAnsi" w:cstheme="majorHAnsi"/>
          <w:sz w:val="24"/>
          <w:szCs w:val="24"/>
          <w:lang w:val="ru-MD"/>
        </w:rPr>
        <w:t>эти</w:t>
      </w:r>
      <w:r w:rsidR="005579C8" w:rsidRPr="00435E31">
        <w:rPr>
          <w:rFonts w:asciiTheme="majorHAnsi" w:hAnsiTheme="majorHAnsi" w:cstheme="majorHAnsi"/>
          <w:sz w:val="24"/>
          <w:szCs w:val="24"/>
          <w:lang w:val="ru-MD"/>
        </w:rPr>
        <w:t xml:space="preserve"> рекомендации повторя</w:t>
      </w:r>
      <w:r w:rsidR="009A660C" w:rsidRPr="00435E31">
        <w:rPr>
          <w:rFonts w:asciiTheme="majorHAnsi" w:hAnsiTheme="majorHAnsi" w:cstheme="majorHAnsi"/>
          <w:sz w:val="24"/>
          <w:szCs w:val="24"/>
          <w:lang w:val="ru-MD"/>
        </w:rPr>
        <w:t>лись</w:t>
      </w:r>
      <w:r w:rsidR="005579C8" w:rsidRPr="00435E31">
        <w:rPr>
          <w:rFonts w:asciiTheme="majorHAnsi" w:hAnsiTheme="majorHAnsi" w:cstheme="majorHAnsi"/>
          <w:sz w:val="24"/>
          <w:szCs w:val="24"/>
          <w:lang w:val="ru-MD"/>
        </w:rPr>
        <w:t xml:space="preserve"> в ходе последующих внешних публичных аудитов. В </w:t>
      </w:r>
      <w:r w:rsidR="009A660C" w:rsidRPr="00435E31">
        <w:rPr>
          <w:rFonts w:asciiTheme="majorHAnsi" w:hAnsiTheme="majorHAnsi" w:cstheme="majorHAnsi"/>
          <w:sz w:val="24"/>
          <w:szCs w:val="24"/>
          <w:lang w:val="ru-MD"/>
        </w:rPr>
        <w:t>итог</w:t>
      </w:r>
      <w:r w:rsidR="005579C8" w:rsidRPr="00435E31">
        <w:rPr>
          <w:rFonts w:asciiTheme="majorHAnsi" w:hAnsiTheme="majorHAnsi" w:cstheme="majorHAnsi"/>
          <w:sz w:val="24"/>
          <w:szCs w:val="24"/>
          <w:lang w:val="ru-MD"/>
        </w:rPr>
        <w:t>е</w:t>
      </w:r>
      <w:r w:rsidR="009A660C" w:rsidRPr="00435E31">
        <w:rPr>
          <w:rFonts w:asciiTheme="majorHAnsi" w:hAnsiTheme="majorHAnsi" w:cstheme="majorHAnsi"/>
          <w:sz w:val="24"/>
          <w:szCs w:val="24"/>
          <w:lang w:val="ru-MD"/>
        </w:rPr>
        <w:t>,</w:t>
      </w:r>
      <w:r w:rsidR="005579C8" w:rsidRPr="00435E31">
        <w:rPr>
          <w:rFonts w:asciiTheme="majorHAnsi" w:hAnsiTheme="majorHAnsi" w:cstheme="majorHAnsi"/>
          <w:sz w:val="24"/>
          <w:szCs w:val="24"/>
          <w:lang w:val="ru-MD"/>
        </w:rPr>
        <w:t xml:space="preserve"> аудит отмечает, что нефункциональность модуля для </w:t>
      </w:r>
      <w:r w:rsidR="009A660C" w:rsidRPr="00435E31">
        <w:rPr>
          <w:rFonts w:asciiTheme="majorHAnsi" w:hAnsiTheme="majorHAnsi" w:cstheme="majorHAnsi"/>
          <w:sz w:val="24"/>
          <w:szCs w:val="24"/>
          <w:lang w:val="ru-MD"/>
        </w:rPr>
        <w:t>начисления пени за</w:t>
      </w:r>
      <w:r w:rsidR="005579C8" w:rsidRPr="00435E31">
        <w:rPr>
          <w:rFonts w:asciiTheme="majorHAnsi" w:hAnsiTheme="majorHAnsi" w:cstheme="majorHAnsi"/>
          <w:sz w:val="24"/>
          <w:szCs w:val="24"/>
          <w:lang w:val="ru-MD"/>
        </w:rPr>
        <w:t xml:space="preserve"> просроч</w:t>
      </w:r>
      <w:r w:rsidR="009A660C" w:rsidRPr="00435E31">
        <w:rPr>
          <w:rFonts w:asciiTheme="majorHAnsi" w:hAnsiTheme="majorHAnsi" w:cstheme="majorHAnsi"/>
          <w:sz w:val="24"/>
          <w:szCs w:val="24"/>
          <w:lang w:val="ru-MD"/>
        </w:rPr>
        <w:t>ку</w:t>
      </w:r>
      <w:r w:rsidR="005579C8" w:rsidRPr="00435E31">
        <w:rPr>
          <w:rFonts w:asciiTheme="majorHAnsi" w:hAnsiTheme="majorHAnsi" w:cstheme="majorHAnsi"/>
          <w:sz w:val="24"/>
          <w:szCs w:val="24"/>
          <w:lang w:val="ru-MD"/>
        </w:rPr>
        <w:t xml:space="preserve"> </w:t>
      </w:r>
      <w:r w:rsidR="009A660C" w:rsidRPr="00435E31">
        <w:rPr>
          <w:rFonts w:asciiTheme="majorHAnsi" w:hAnsiTheme="majorHAnsi" w:cstheme="majorHAnsi"/>
          <w:sz w:val="24"/>
          <w:szCs w:val="24"/>
          <w:lang w:val="ru-MD"/>
        </w:rPr>
        <w:t xml:space="preserve">основных </w:t>
      </w:r>
      <w:r w:rsidR="005579C8" w:rsidRPr="00435E31">
        <w:rPr>
          <w:rFonts w:asciiTheme="majorHAnsi" w:hAnsiTheme="majorHAnsi" w:cstheme="majorHAnsi"/>
          <w:sz w:val="24"/>
          <w:szCs w:val="24"/>
          <w:lang w:val="ru-MD"/>
        </w:rPr>
        <w:t xml:space="preserve">платежей </w:t>
      </w:r>
      <w:r w:rsidR="009A660C" w:rsidRPr="00435E31">
        <w:rPr>
          <w:rFonts w:asciiTheme="majorHAnsi" w:hAnsiTheme="majorHAnsi" w:cstheme="majorHAnsi"/>
          <w:sz w:val="24"/>
          <w:szCs w:val="24"/>
          <w:lang w:val="ru-MD"/>
        </w:rPr>
        <w:t>в ИС</w:t>
      </w:r>
      <w:r w:rsidR="009A660C" w:rsidRPr="00435E31">
        <w:rPr>
          <w:rFonts w:asciiTheme="majorHAnsi" w:hAnsiTheme="majorHAnsi" w:cstheme="majorHAnsi"/>
          <w:sz w:val="24"/>
          <w:szCs w:val="24"/>
          <w:vertAlign w:val="superscript"/>
          <w:lang w:val="ru-MD"/>
        </w:rPr>
        <w:footnoteReference w:id="44"/>
      </w:r>
      <w:r w:rsidR="005579C8" w:rsidRPr="00435E31">
        <w:rPr>
          <w:rFonts w:asciiTheme="majorHAnsi" w:hAnsiTheme="majorHAnsi" w:cstheme="majorHAnsi"/>
          <w:sz w:val="24"/>
          <w:szCs w:val="24"/>
          <w:lang w:val="ru-MD"/>
        </w:rPr>
        <w:t xml:space="preserve"> </w:t>
      </w:r>
      <w:r w:rsidR="009A660C" w:rsidRPr="00435E31">
        <w:rPr>
          <w:rFonts w:asciiTheme="majorHAnsi" w:hAnsiTheme="majorHAnsi" w:cstheme="majorHAnsi"/>
          <w:sz w:val="24"/>
          <w:szCs w:val="24"/>
          <w:lang w:val="ru-MD"/>
        </w:rPr>
        <w:t>ТС</w:t>
      </w:r>
      <w:r w:rsidR="005579C8" w:rsidRPr="00435E31">
        <w:rPr>
          <w:rFonts w:asciiTheme="majorHAnsi" w:hAnsiTheme="majorHAnsi" w:cstheme="majorHAnsi"/>
          <w:sz w:val="24"/>
          <w:szCs w:val="24"/>
          <w:lang w:val="ru-MD"/>
        </w:rPr>
        <w:t xml:space="preserve">, пересчитанных </w:t>
      </w:r>
      <w:r w:rsidR="009A660C" w:rsidRPr="00435E31">
        <w:rPr>
          <w:rFonts w:asciiTheme="majorHAnsi" w:hAnsiTheme="majorHAnsi" w:cstheme="majorHAnsi"/>
          <w:sz w:val="24"/>
          <w:szCs w:val="24"/>
          <w:lang w:val="ru-MD"/>
        </w:rPr>
        <w:t xml:space="preserve">для </w:t>
      </w:r>
      <w:r w:rsidR="005579C8" w:rsidRPr="00435E31">
        <w:rPr>
          <w:rFonts w:asciiTheme="majorHAnsi" w:hAnsiTheme="majorHAnsi" w:cstheme="majorHAnsi"/>
          <w:sz w:val="24"/>
          <w:szCs w:val="24"/>
          <w:lang w:val="ru-MD"/>
        </w:rPr>
        <w:t>19 экономически</w:t>
      </w:r>
      <w:r w:rsidR="009A660C" w:rsidRPr="00435E31">
        <w:rPr>
          <w:rFonts w:asciiTheme="majorHAnsi" w:hAnsiTheme="majorHAnsi" w:cstheme="majorHAnsi"/>
          <w:sz w:val="24"/>
          <w:szCs w:val="24"/>
          <w:lang w:val="ru-MD"/>
        </w:rPr>
        <w:t>х</w:t>
      </w:r>
      <w:r w:rsidR="005579C8" w:rsidRPr="00435E31">
        <w:rPr>
          <w:rFonts w:asciiTheme="majorHAnsi" w:hAnsiTheme="majorHAnsi" w:cstheme="majorHAnsi"/>
          <w:sz w:val="24"/>
          <w:szCs w:val="24"/>
          <w:lang w:val="ru-MD"/>
        </w:rPr>
        <w:t xml:space="preserve"> агент</w:t>
      </w:r>
      <w:r w:rsidR="009A660C" w:rsidRPr="00435E31">
        <w:rPr>
          <w:rFonts w:asciiTheme="majorHAnsi" w:hAnsiTheme="majorHAnsi" w:cstheme="majorHAnsi"/>
          <w:sz w:val="24"/>
          <w:szCs w:val="24"/>
          <w:lang w:val="ru-MD"/>
        </w:rPr>
        <w:t>ов</w:t>
      </w:r>
      <w:r w:rsidR="005579C8" w:rsidRPr="00435E31">
        <w:rPr>
          <w:rFonts w:asciiTheme="majorHAnsi" w:hAnsiTheme="majorHAnsi" w:cstheme="majorHAnsi"/>
          <w:sz w:val="24"/>
          <w:szCs w:val="24"/>
          <w:lang w:val="ru-MD"/>
        </w:rPr>
        <w:t xml:space="preserve">, привела к </w:t>
      </w:r>
      <w:r w:rsidR="009A660C" w:rsidRPr="00435E31">
        <w:rPr>
          <w:rFonts w:asciiTheme="majorHAnsi" w:hAnsiTheme="majorHAnsi" w:cstheme="majorHAnsi"/>
          <w:sz w:val="24"/>
          <w:szCs w:val="24"/>
          <w:lang w:val="ru-MD"/>
        </w:rPr>
        <w:t xml:space="preserve">представлению </w:t>
      </w:r>
      <w:r w:rsidR="005579C8" w:rsidRPr="00435E31">
        <w:rPr>
          <w:rFonts w:asciiTheme="majorHAnsi" w:hAnsiTheme="majorHAnsi" w:cstheme="majorHAnsi"/>
          <w:sz w:val="24"/>
          <w:szCs w:val="24"/>
          <w:lang w:val="ru-MD"/>
        </w:rPr>
        <w:t>ошибочной отчетности МФ по дебиторской задолженности на сумму 47,7 млн.</w:t>
      </w:r>
      <w:r w:rsidR="009A660C" w:rsidRPr="00435E31">
        <w:rPr>
          <w:rFonts w:asciiTheme="majorHAnsi" w:hAnsiTheme="majorHAnsi" w:cstheme="majorHAnsi"/>
          <w:sz w:val="24"/>
          <w:szCs w:val="24"/>
          <w:lang w:val="ru-MD"/>
        </w:rPr>
        <w:t xml:space="preserve"> </w:t>
      </w:r>
      <w:r w:rsidR="005579C8" w:rsidRPr="00435E31">
        <w:rPr>
          <w:rFonts w:asciiTheme="majorHAnsi" w:hAnsiTheme="majorHAnsi" w:cstheme="majorHAnsi"/>
          <w:sz w:val="24"/>
          <w:szCs w:val="24"/>
          <w:lang w:val="ru-MD"/>
        </w:rPr>
        <w:t>ле</w:t>
      </w:r>
      <w:r w:rsidR="009A660C" w:rsidRPr="00435E31">
        <w:rPr>
          <w:rFonts w:asciiTheme="majorHAnsi" w:hAnsiTheme="majorHAnsi" w:cstheme="majorHAnsi"/>
          <w:sz w:val="24"/>
          <w:szCs w:val="24"/>
          <w:lang w:val="ru-MD"/>
        </w:rPr>
        <w:t>ев</w:t>
      </w:r>
      <w:r w:rsidR="009A660C" w:rsidRPr="00435E31">
        <w:rPr>
          <w:rStyle w:val="FootnoteReference"/>
          <w:rFonts w:asciiTheme="majorHAnsi" w:eastAsia="Calibri" w:hAnsiTheme="majorHAnsi" w:cstheme="majorHAnsi"/>
          <w:sz w:val="24"/>
          <w:szCs w:val="24"/>
          <w:lang w:val="ru-MD"/>
        </w:rPr>
        <w:footnoteReference w:id="45"/>
      </w:r>
      <w:r w:rsidR="005579C8" w:rsidRPr="00435E31">
        <w:rPr>
          <w:rFonts w:asciiTheme="majorHAnsi" w:hAnsiTheme="majorHAnsi" w:cstheme="majorHAnsi"/>
          <w:sz w:val="24"/>
          <w:szCs w:val="24"/>
          <w:lang w:val="ru-MD"/>
        </w:rPr>
        <w:t xml:space="preserve"> в „</w:t>
      </w:r>
      <w:r w:rsidR="009A660C" w:rsidRPr="00435E31">
        <w:rPr>
          <w:rFonts w:asciiTheme="majorHAnsi" w:hAnsiTheme="majorHAnsi" w:cstheme="majorHAnsi"/>
          <w:sz w:val="24"/>
          <w:szCs w:val="24"/>
          <w:lang w:val="ru-MD"/>
        </w:rPr>
        <w:t>О</w:t>
      </w:r>
      <w:r w:rsidR="005579C8" w:rsidRPr="00435E31">
        <w:rPr>
          <w:rFonts w:asciiTheme="majorHAnsi" w:hAnsiTheme="majorHAnsi" w:cstheme="majorHAnsi"/>
          <w:sz w:val="24"/>
          <w:szCs w:val="24"/>
          <w:lang w:val="ru-MD"/>
        </w:rPr>
        <w:t xml:space="preserve">тчете о долгах экономических агентов и физических лиц </w:t>
      </w:r>
      <w:r w:rsidR="009A660C" w:rsidRPr="00435E31">
        <w:rPr>
          <w:rFonts w:asciiTheme="majorHAnsi" w:hAnsiTheme="majorHAnsi" w:cstheme="majorHAnsi"/>
          <w:sz w:val="24"/>
          <w:szCs w:val="24"/>
          <w:lang w:val="ru-MD"/>
        </w:rPr>
        <w:t>по состоянию на</w:t>
      </w:r>
      <w:r w:rsidR="005579C8" w:rsidRPr="00435E31">
        <w:rPr>
          <w:rFonts w:asciiTheme="majorHAnsi" w:hAnsiTheme="majorHAnsi" w:cstheme="majorHAnsi"/>
          <w:sz w:val="24"/>
          <w:szCs w:val="24"/>
          <w:lang w:val="ru-MD"/>
        </w:rPr>
        <w:t xml:space="preserve"> 31.12.2021”</w:t>
      </w:r>
      <w:r w:rsidR="00E877D4" w:rsidRPr="00435E31">
        <w:rPr>
          <w:rFonts w:asciiTheme="majorHAnsi" w:eastAsia="Times New Roman" w:hAnsiTheme="majorHAnsi" w:cstheme="majorHAnsi"/>
          <w:sz w:val="24"/>
          <w:szCs w:val="24"/>
          <w:lang w:val="ru-MD"/>
        </w:rPr>
        <w:t xml:space="preserve">. </w:t>
      </w:r>
    </w:p>
    <w:p w14:paraId="072A610A" w14:textId="755EF108" w:rsidR="00C76957" w:rsidRPr="00B20FBD" w:rsidRDefault="00FC0C3F" w:rsidP="00A42541">
      <w:pPr>
        <w:pStyle w:val="ListParagraph"/>
        <w:numPr>
          <w:ilvl w:val="1"/>
          <w:numId w:val="3"/>
        </w:numPr>
        <w:tabs>
          <w:tab w:val="left" w:pos="993"/>
        </w:tabs>
        <w:spacing w:after="120"/>
        <w:ind w:left="0" w:right="-278" w:firstLine="567"/>
        <w:jc w:val="both"/>
        <w:outlineLvl w:val="1"/>
        <w:rPr>
          <w:rFonts w:asciiTheme="majorHAnsi" w:eastAsia="Times New Roman" w:hAnsiTheme="majorHAnsi" w:cstheme="majorHAnsi"/>
          <w:b/>
          <w:sz w:val="24"/>
          <w:szCs w:val="24"/>
        </w:rPr>
      </w:pPr>
      <w:bookmarkStart w:id="53" w:name="_Toc127129408"/>
      <w:r>
        <w:rPr>
          <w:rFonts w:asciiTheme="majorHAnsi" w:hAnsiTheme="majorHAnsi" w:cstheme="majorHAnsi"/>
          <w:b/>
          <w:i/>
          <w:sz w:val="24"/>
          <w:szCs w:val="24"/>
        </w:rPr>
        <w:t>Конкретная задача №</w:t>
      </w:r>
      <w:r w:rsidR="00C76957" w:rsidRPr="00B20FBD">
        <w:rPr>
          <w:rFonts w:asciiTheme="majorHAnsi" w:hAnsiTheme="majorHAnsi" w:cstheme="majorHAnsi"/>
          <w:b/>
          <w:i/>
          <w:sz w:val="24"/>
          <w:szCs w:val="24"/>
        </w:rPr>
        <w:t xml:space="preserve">3. </w:t>
      </w:r>
      <w:r w:rsidRPr="00FC0C3F">
        <w:rPr>
          <w:rFonts w:asciiTheme="majorHAnsi" w:hAnsiTheme="majorHAnsi" w:cstheme="majorHAnsi"/>
          <w:b/>
          <w:sz w:val="24"/>
          <w:szCs w:val="24"/>
          <w:lang w:val="ru-MD"/>
        </w:rPr>
        <w:t>Обеспечил ли таможенный орган организацию таможенного контроля и соответствие процесса определения таможенной стоимости товаров, ввозимых на таможенную территорию Республики</w:t>
      </w:r>
      <w:r w:rsidRPr="009F6DBF">
        <w:rPr>
          <w:rFonts w:asciiTheme="majorHAnsi" w:hAnsiTheme="majorHAnsi" w:cstheme="majorHAnsi"/>
          <w:b/>
          <w:sz w:val="24"/>
          <w:szCs w:val="24"/>
          <w:lang w:val="en-US"/>
        </w:rPr>
        <w:t xml:space="preserve"> </w:t>
      </w:r>
      <w:r w:rsidRPr="00FC0C3F">
        <w:rPr>
          <w:rFonts w:asciiTheme="majorHAnsi" w:hAnsiTheme="majorHAnsi" w:cstheme="majorHAnsi"/>
          <w:b/>
          <w:sz w:val="24"/>
          <w:szCs w:val="24"/>
          <w:lang w:val="ru-MD"/>
        </w:rPr>
        <w:t>Молдова</w:t>
      </w:r>
      <w:r w:rsidR="005514BF" w:rsidRPr="00B20FBD">
        <w:rPr>
          <w:rFonts w:asciiTheme="majorHAnsi" w:eastAsia="Times New Roman" w:hAnsiTheme="majorHAnsi" w:cstheme="majorHAnsi"/>
          <w:b/>
          <w:sz w:val="24"/>
          <w:szCs w:val="24"/>
        </w:rPr>
        <w:t>?</w:t>
      </w:r>
      <w:bookmarkStart w:id="54" w:name="_Toc97104740"/>
      <w:bookmarkEnd w:id="53"/>
    </w:p>
    <w:p w14:paraId="7FD97F04" w14:textId="684FCD1D" w:rsidR="00B32970" w:rsidRPr="00961974" w:rsidRDefault="000B66AF" w:rsidP="0051398D">
      <w:pPr>
        <w:tabs>
          <w:tab w:val="left" w:pos="993"/>
        </w:tabs>
        <w:spacing w:after="120"/>
        <w:ind w:right="-278" w:firstLine="567"/>
        <w:jc w:val="both"/>
        <w:rPr>
          <w:rFonts w:asciiTheme="majorHAnsi" w:eastAsia="Times New Roman" w:hAnsiTheme="majorHAnsi" w:cstheme="majorHAnsi"/>
          <w:i/>
          <w:sz w:val="24"/>
          <w:szCs w:val="24"/>
          <w:lang w:val="ru-MD"/>
        </w:rPr>
      </w:pPr>
      <w:r w:rsidRPr="00961974">
        <w:rPr>
          <w:rFonts w:asciiTheme="majorHAnsi" w:eastAsia="Times New Roman" w:hAnsiTheme="majorHAnsi" w:cstheme="majorHAnsi"/>
          <w:i/>
          <w:sz w:val="24"/>
          <w:szCs w:val="24"/>
          <w:lang w:val="ru-MD"/>
        </w:rPr>
        <w:t>На соответствие процесса определения таможенной стоимости товаров, в</w:t>
      </w:r>
      <w:r w:rsidR="00961974" w:rsidRPr="00961974">
        <w:rPr>
          <w:rFonts w:asciiTheme="majorHAnsi" w:eastAsia="Times New Roman" w:hAnsiTheme="majorHAnsi" w:cstheme="majorHAnsi"/>
          <w:i/>
          <w:sz w:val="24"/>
          <w:szCs w:val="24"/>
          <w:lang w:val="ru-MD"/>
        </w:rPr>
        <w:t>возим</w:t>
      </w:r>
      <w:r w:rsidRPr="00961974">
        <w:rPr>
          <w:rFonts w:asciiTheme="majorHAnsi" w:eastAsia="Times New Roman" w:hAnsiTheme="majorHAnsi" w:cstheme="majorHAnsi"/>
          <w:i/>
          <w:sz w:val="24"/>
          <w:szCs w:val="24"/>
          <w:lang w:val="ru-MD"/>
        </w:rPr>
        <w:t>ых на таможенную территорию Республики Молдова, влияет нераз</w:t>
      </w:r>
      <w:r w:rsidR="00961974" w:rsidRPr="00961974">
        <w:rPr>
          <w:rFonts w:asciiTheme="majorHAnsi" w:eastAsia="Times New Roman" w:hAnsiTheme="majorHAnsi" w:cstheme="majorHAnsi"/>
          <w:i/>
          <w:sz w:val="24"/>
          <w:szCs w:val="24"/>
          <w:lang w:val="ru-MD"/>
        </w:rPr>
        <w:t>работка</w:t>
      </w:r>
      <w:r w:rsidRPr="00961974">
        <w:rPr>
          <w:rFonts w:asciiTheme="majorHAnsi" w:eastAsia="Times New Roman" w:hAnsiTheme="majorHAnsi" w:cstheme="majorHAnsi"/>
          <w:i/>
          <w:sz w:val="24"/>
          <w:szCs w:val="24"/>
          <w:lang w:val="ru-MD"/>
        </w:rPr>
        <w:t xml:space="preserve"> нормативной базы, регулирующей деятельность по таможенному оформлению товаров </w:t>
      </w:r>
      <w:r w:rsidR="00961974" w:rsidRPr="00961974">
        <w:rPr>
          <w:rFonts w:asciiTheme="majorHAnsi" w:eastAsia="Times New Roman" w:hAnsiTheme="majorHAnsi" w:cstheme="majorHAnsi"/>
          <w:i/>
          <w:sz w:val="24"/>
          <w:szCs w:val="24"/>
          <w:lang w:val="ru-MD"/>
        </w:rPr>
        <w:t>от</w:t>
      </w:r>
      <w:r w:rsidRPr="00961974">
        <w:rPr>
          <w:rFonts w:asciiTheme="majorHAnsi" w:eastAsia="Times New Roman" w:hAnsiTheme="majorHAnsi" w:cstheme="majorHAnsi"/>
          <w:i/>
          <w:sz w:val="24"/>
          <w:szCs w:val="24"/>
          <w:lang w:val="ru-MD"/>
        </w:rPr>
        <w:t xml:space="preserve"> </w:t>
      </w:r>
      <w:r w:rsidR="00961974" w:rsidRPr="00961974">
        <w:rPr>
          <w:rFonts w:asciiTheme="majorHAnsi" w:eastAsia="Times New Roman" w:hAnsiTheme="majorHAnsi" w:cstheme="majorHAnsi"/>
          <w:i/>
          <w:sz w:val="24"/>
          <w:szCs w:val="24"/>
          <w:lang w:val="ru-MD"/>
        </w:rPr>
        <w:t>экономически</w:t>
      </w:r>
      <w:r w:rsidRPr="00961974">
        <w:rPr>
          <w:rFonts w:asciiTheme="majorHAnsi" w:eastAsia="Times New Roman" w:hAnsiTheme="majorHAnsi" w:cstheme="majorHAnsi"/>
          <w:i/>
          <w:sz w:val="24"/>
          <w:szCs w:val="24"/>
          <w:lang w:val="ru-MD"/>
        </w:rPr>
        <w:t xml:space="preserve">х операций, а также несоблюдение последовательности применения методов таможенного оформления, </w:t>
      </w:r>
      <w:r w:rsidR="00961974" w:rsidRPr="00961974">
        <w:rPr>
          <w:rFonts w:asciiTheme="majorHAnsi" w:eastAsia="Times New Roman" w:hAnsiTheme="majorHAnsi" w:cstheme="majorHAnsi"/>
          <w:i/>
          <w:sz w:val="24"/>
          <w:szCs w:val="24"/>
          <w:lang w:val="ru-MD"/>
        </w:rPr>
        <w:t>из-за</w:t>
      </w:r>
      <w:r w:rsidRPr="00961974">
        <w:rPr>
          <w:rFonts w:asciiTheme="majorHAnsi" w:eastAsia="Times New Roman" w:hAnsiTheme="majorHAnsi" w:cstheme="majorHAnsi"/>
          <w:i/>
          <w:sz w:val="24"/>
          <w:szCs w:val="24"/>
          <w:lang w:val="ru-MD"/>
        </w:rPr>
        <w:t xml:space="preserve"> </w:t>
      </w:r>
      <w:r w:rsidR="00961974" w:rsidRPr="00961974">
        <w:rPr>
          <w:rFonts w:asciiTheme="majorHAnsi" w:eastAsia="Times New Roman" w:hAnsiTheme="majorHAnsi" w:cstheme="majorHAnsi"/>
          <w:i/>
          <w:sz w:val="24"/>
          <w:szCs w:val="24"/>
          <w:lang w:val="ru-MD"/>
        </w:rPr>
        <w:t>не</w:t>
      </w:r>
      <w:r w:rsidRPr="00961974">
        <w:rPr>
          <w:rFonts w:asciiTheme="majorHAnsi" w:eastAsia="Times New Roman" w:hAnsiTheme="majorHAnsi" w:cstheme="majorHAnsi"/>
          <w:i/>
          <w:sz w:val="24"/>
          <w:szCs w:val="24"/>
          <w:lang w:val="ru-MD"/>
        </w:rPr>
        <w:t xml:space="preserve">внедрения эффективного </w:t>
      </w:r>
      <w:r w:rsidR="00961974" w:rsidRPr="00961974">
        <w:rPr>
          <w:rFonts w:asciiTheme="majorHAnsi" w:eastAsia="Times New Roman" w:hAnsiTheme="majorHAnsi" w:cstheme="majorHAnsi"/>
          <w:i/>
          <w:sz w:val="24"/>
          <w:szCs w:val="24"/>
          <w:lang w:val="ru-MD"/>
        </w:rPr>
        <w:t>менеджмента</w:t>
      </w:r>
      <w:r w:rsidRPr="00961974">
        <w:rPr>
          <w:rFonts w:asciiTheme="majorHAnsi" w:eastAsia="Times New Roman" w:hAnsiTheme="majorHAnsi" w:cstheme="majorHAnsi"/>
          <w:i/>
          <w:sz w:val="24"/>
          <w:szCs w:val="24"/>
          <w:lang w:val="ru-MD"/>
        </w:rPr>
        <w:t xml:space="preserve"> анализ</w:t>
      </w:r>
      <w:r w:rsidR="00961974" w:rsidRPr="00961974">
        <w:rPr>
          <w:rFonts w:asciiTheme="majorHAnsi" w:eastAsia="Times New Roman" w:hAnsiTheme="majorHAnsi" w:cstheme="majorHAnsi"/>
          <w:i/>
          <w:sz w:val="24"/>
          <w:szCs w:val="24"/>
          <w:lang w:val="ru-MD"/>
        </w:rPr>
        <w:t>а</w:t>
      </w:r>
      <w:r w:rsidRPr="00961974">
        <w:rPr>
          <w:rFonts w:asciiTheme="majorHAnsi" w:eastAsia="Times New Roman" w:hAnsiTheme="majorHAnsi" w:cstheme="majorHAnsi"/>
          <w:i/>
          <w:sz w:val="24"/>
          <w:szCs w:val="24"/>
          <w:lang w:val="ru-MD"/>
        </w:rPr>
        <w:t xml:space="preserve"> рисков</w:t>
      </w:r>
      <w:r w:rsidR="00B32970" w:rsidRPr="00961974">
        <w:rPr>
          <w:rFonts w:asciiTheme="majorHAnsi" w:hAnsiTheme="majorHAnsi" w:cstheme="majorHAnsi"/>
          <w:i/>
          <w:sz w:val="24"/>
          <w:szCs w:val="24"/>
          <w:lang w:val="ru-MD"/>
        </w:rPr>
        <w:t>.</w:t>
      </w:r>
    </w:p>
    <w:p w14:paraId="55EABA1B" w14:textId="6F015D45" w:rsidR="001A7AE8" w:rsidRPr="00961974" w:rsidRDefault="005F3BCB" w:rsidP="00D418F4">
      <w:pPr>
        <w:tabs>
          <w:tab w:val="left" w:pos="993"/>
          <w:tab w:val="left" w:pos="1276"/>
        </w:tabs>
        <w:spacing w:after="120"/>
        <w:ind w:right="-278" w:firstLine="567"/>
        <w:jc w:val="both"/>
        <w:outlineLvl w:val="2"/>
        <w:rPr>
          <w:rFonts w:asciiTheme="majorHAnsi" w:eastAsia="Times New Roman" w:hAnsiTheme="majorHAnsi" w:cstheme="majorHAnsi"/>
          <w:b/>
          <w:sz w:val="24"/>
          <w:szCs w:val="24"/>
          <w:lang w:val="ru-MD"/>
        </w:rPr>
      </w:pPr>
      <w:bookmarkStart w:id="55" w:name="_Toc127129409"/>
      <w:r w:rsidRPr="00961974">
        <w:rPr>
          <w:rFonts w:asciiTheme="majorHAnsi" w:eastAsia="Times New Roman" w:hAnsiTheme="majorHAnsi" w:cstheme="majorHAnsi"/>
          <w:b/>
          <w:sz w:val="24"/>
          <w:szCs w:val="24"/>
          <w:lang w:val="ru-MD"/>
        </w:rPr>
        <w:t>4.</w:t>
      </w:r>
      <w:r w:rsidR="00C76957" w:rsidRPr="00961974">
        <w:rPr>
          <w:rFonts w:asciiTheme="majorHAnsi" w:eastAsia="Times New Roman" w:hAnsiTheme="majorHAnsi" w:cstheme="majorHAnsi"/>
          <w:b/>
          <w:sz w:val="24"/>
          <w:szCs w:val="24"/>
          <w:lang w:val="ru-MD"/>
        </w:rPr>
        <w:t>3.</w:t>
      </w:r>
      <w:r w:rsidR="006D64A7" w:rsidRPr="00961974">
        <w:rPr>
          <w:rFonts w:asciiTheme="majorHAnsi" w:eastAsia="Times New Roman" w:hAnsiTheme="majorHAnsi" w:cstheme="majorHAnsi"/>
          <w:b/>
          <w:sz w:val="24"/>
          <w:szCs w:val="24"/>
          <w:lang w:val="ru-MD"/>
        </w:rPr>
        <w:t>1</w:t>
      </w:r>
      <w:r w:rsidR="00C76957" w:rsidRPr="00961974">
        <w:rPr>
          <w:rFonts w:asciiTheme="majorHAnsi" w:eastAsia="Times New Roman" w:hAnsiTheme="majorHAnsi" w:cstheme="majorHAnsi"/>
          <w:b/>
          <w:sz w:val="24"/>
          <w:szCs w:val="24"/>
          <w:lang w:val="ru-MD"/>
        </w:rPr>
        <w:t xml:space="preserve">.  </w:t>
      </w:r>
      <w:r w:rsidR="000B66AF" w:rsidRPr="00961974">
        <w:rPr>
          <w:rFonts w:asciiTheme="majorHAnsi" w:eastAsia="Times New Roman" w:hAnsiTheme="majorHAnsi" w:cstheme="majorHAnsi"/>
          <w:b/>
          <w:sz w:val="24"/>
          <w:szCs w:val="24"/>
          <w:lang w:val="ru-MD"/>
        </w:rPr>
        <w:t>Процесс определения таможенной стоимости и последовательность применения методов таможенного оформления осуществлялся с некоторыми отклонениями</w:t>
      </w:r>
      <w:bookmarkEnd w:id="54"/>
      <w:r w:rsidR="00DD0561" w:rsidRPr="00961974">
        <w:rPr>
          <w:rFonts w:asciiTheme="majorHAnsi" w:hAnsiTheme="majorHAnsi" w:cstheme="majorHAnsi"/>
          <w:b/>
          <w:sz w:val="24"/>
          <w:szCs w:val="24"/>
          <w:lang w:val="ru-MD"/>
        </w:rPr>
        <w:t>.</w:t>
      </w:r>
      <w:bookmarkEnd w:id="55"/>
    </w:p>
    <w:p w14:paraId="28F28F2D" w14:textId="3B5BC541" w:rsidR="00AC574C" w:rsidRPr="00961974" w:rsidRDefault="000B66AF" w:rsidP="00D418F4">
      <w:pPr>
        <w:spacing w:after="120"/>
        <w:contextualSpacing/>
        <w:jc w:val="both"/>
        <w:rPr>
          <w:rFonts w:asciiTheme="majorHAnsi" w:eastAsia="Calibri" w:hAnsiTheme="majorHAnsi" w:cstheme="majorHAnsi"/>
          <w:color w:val="000000"/>
          <w:sz w:val="24"/>
          <w:szCs w:val="24"/>
          <w:lang w:val="ru-MD"/>
        </w:rPr>
      </w:pPr>
      <w:r w:rsidRPr="00961974">
        <w:rPr>
          <w:rFonts w:asciiTheme="majorHAnsi" w:eastAsia="Calibri" w:hAnsiTheme="majorHAnsi" w:cstheme="majorHAnsi"/>
          <w:color w:val="000000"/>
          <w:sz w:val="24"/>
          <w:szCs w:val="24"/>
          <w:lang w:val="ru-MD"/>
        </w:rPr>
        <w:t>В соответствии со ст.117 и ст.122 Таможенного кодекса, основой для исчисления таможенной пошлины является натуральное количественное выражение товаров или их таможенная стоимость, определяемая в соответствии с законодательством. Согласно ст.10 (1) и (2) Закона о таможенном тарифе №1380 от 20.11.1997</w:t>
      </w:r>
      <w:r w:rsidRPr="00961974">
        <w:rPr>
          <w:rStyle w:val="FootnoteReference"/>
          <w:rFonts w:asciiTheme="majorHAnsi" w:eastAsia="Calibri" w:hAnsiTheme="majorHAnsi" w:cstheme="majorHAnsi"/>
          <w:color w:val="000000"/>
          <w:sz w:val="24"/>
          <w:szCs w:val="24"/>
          <w:lang w:val="ru-MD"/>
        </w:rPr>
        <w:footnoteReference w:id="46"/>
      </w:r>
      <w:r w:rsidRPr="00961974">
        <w:rPr>
          <w:rFonts w:asciiTheme="majorHAnsi" w:eastAsia="Calibri" w:hAnsiTheme="majorHAnsi" w:cstheme="majorHAnsi"/>
          <w:color w:val="000000"/>
          <w:sz w:val="24"/>
          <w:szCs w:val="24"/>
          <w:lang w:val="ru-MD"/>
        </w:rPr>
        <w:t xml:space="preserve">, таможенная стоимость ввозимого на таможенную территорию товара определяется следующими методами: 1) по стоимости сделки, то есть по цене, фактически уплаченной или подлежащей уплате; 2) по стоимости сделки, предметом которой является идентичный товар; 3) по стоимости сделки, предметом которой является однородный товар; 4) по единичной стоимости товара; 5) по расчетной стоимости товара; 6) резервным методом. </w:t>
      </w:r>
    </w:p>
    <w:p w14:paraId="7C6B845D" w14:textId="0E6AAA1C" w:rsidR="00AE0269" w:rsidRPr="00961974" w:rsidRDefault="000B66AF" w:rsidP="00D418F4">
      <w:pPr>
        <w:pStyle w:val="tt"/>
        <w:spacing w:after="120" w:line="276" w:lineRule="auto"/>
        <w:jc w:val="both"/>
        <w:rPr>
          <w:rFonts w:asciiTheme="majorHAnsi" w:hAnsiTheme="majorHAnsi" w:cstheme="majorHAnsi"/>
          <w:lang w:val="ru-MD"/>
        </w:rPr>
      </w:pPr>
      <w:r w:rsidRPr="00961974">
        <w:rPr>
          <w:rFonts w:asciiTheme="majorHAnsi" w:hAnsiTheme="majorHAnsi" w:cstheme="majorHAnsi"/>
          <w:b w:val="0"/>
          <w:lang w:val="ru-MD"/>
        </w:rPr>
        <w:t>Таможенная стоимость введенных товаров определяется декларантом, а таможенный орган обязан проверить правильность определения декларантом таможенной стоимости, в том числе правильность выбранного декларантом метода определения таможенной стоимости и целесообразность его применения, а также целостность представленных декларантом документов, при этом таможенный орган имеет право принимать решения о правильности или неправильности заявленной декларантом таможенной стоимости товара</w:t>
      </w:r>
      <w:r w:rsidRPr="00961974">
        <w:rPr>
          <w:rFonts w:asciiTheme="majorHAnsi" w:hAnsiTheme="majorHAnsi" w:cstheme="majorHAnsi"/>
          <w:b w:val="0"/>
          <w:vertAlign w:val="superscript"/>
          <w:lang w:val="ru-MD"/>
        </w:rPr>
        <w:footnoteReference w:id="47"/>
      </w:r>
      <w:r w:rsidR="00AE0269" w:rsidRPr="00961974">
        <w:rPr>
          <w:rFonts w:asciiTheme="majorHAnsi" w:hAnsiTheme="majorHAnsi" w:cstheme="majorHAnsi"/>
          <w:b w:val="0"/>
          <w:lang w:val="ru-MD"/>
        </w:rPr>
        <w:t xml:space="preserve">. </w:t>
      </w:r>
    </w:p>
    <w:p w14:paraId="7643BEF9" w14:textId="77777777" w:rsidR="000B66AF" w:rsidRPr="00961974" w:rsidRDefault="000B66AF" w:rsidP="00D418F4">
      <w:pPr>
        <w:tabs>
          <w:tab w:val="left" w:pos="851"/>
          <w:tab w:val="left" w:pos="1134"/>
        </w:tabs>
        <w:spacing w:after="120"/>
        <w:contextualSpacing/>
        <w:jc w:val="both"/>
        <w:rPr>
          <w:rFonts w:asciiTheme="majorHAnsi" w:eastAsia="Times New Roman" w:hAnsiTheme="majorHAnsi" w:cstheme="majorHAnsi"/>
          <w:color w:val="000000"/>
          <w:sz w:val="24"/>
          <w:szCs w:val="24"/>
          <w:lang w:val="ru-MD" w:eastAsia="ru-RU"/>
        </w:rPr>
      </w:pPr>
      <w:r w:rsidRPr="00961974">
        <w:rPr>
          <w:rFonts w:asciiTheme="majorHAnsi" w:eastAsia="Times New Roman" w:hAnsiTheme="majorHAnsi" w:cstheme="majorHAnsi"/>
          <w:color w:val="000000"/>
          <w:sz w:val="24"/>
          <w:szCs w:val="24"/>
          <w:lang w:val="ru-MD" w:eastAsia="ru-RU"/>
        </w:rPr>
        <w:t>Согласно нормативной базе, основным методом считается метод 1 „определение таможенной стоимости товара по стоимости сделки, предметом которой он является”. Если указанный метод не может быть применен, последовательно используются другие методы. Каждый из последовательных методов применяется только в том случае, если таможенная стоимость товара не может быть определена предыдущим методом. Метод 4 „</w:t>
      </w:r>
      <w:r w:rsidRPr="00961974">
        <w:rPr>
          <w:rFonts w:asciiTheme="majorHAnsi" w:eastAsia="Calibri" w:hAnsiTheme="majorHAnsi" w:cstheme="majorHAnsi"/>
          <w:color w:val="000000"/>
          <w:sz w:val="24"/>
          <w:szCs w:val="24"/>
          <w:lang w:val="ru-MD"/>
        </w:rPr>
        <w:t>по единичной стоимости товара</w:t>
      </w:r>
      <w:r w:rsidRPr="00961974">
        <w:rPr>
          <w:rFonts w:asciiTheme="majorHAnsi" w:eastAsia="Times New Roman" w:hAnsiTheme="majorHAnsi" w:cstheme="majorHAnsi"/>
          <w:color w:val="000000"/>
          <w:sz w:val="24"/>
          <w:szCs w:val="24"/>
          <w:lang w:val="ru-MD" w:eastAsia="ru-RU"/>
        </w:rPr>
        <w:t>”, и метод</w:t>
      </w:r>
      <w:r w:rsidRPr="00961974">
        <w:rPr>
          <w:rFonts w:asciiTheme="majorHAnsi" w:eastAsia="Calibri" w:hAnsiTheme="majorHAnsi" w:cstheme="majorHAnsi"/>
          <w:color w:val="000000"/>
          <w:sz w:val="24"/>
          <w:szCs w:val="24"/>
          <w:lang w:val="ru-MD"/>
        </w:rPr>
        <w:t xml:space="preserve"> 5 </w:t>
      </w:r>
      <w:r w:rsidRPr="00961974">
        <w:rPr>
          <w:rFonts w:asciiTheme="majorHAnsi" w:eastAsia="Times New Roman" w:hAnsiTheme="majorHAnsi" w:cstheme="majorHAnsi"/>
          <w:color w:val="000000"/>
          <w:sz w:val="24"/>
          <w:szCs w:val="24"/>
          <w:lang w:val="ru-MD" w:eastAsia="ru-RU"/>
        </w:rPr>
        <w:t>„</w:t>
      </w:r>
      <w:r w:rsidRPr="00961974">
        <w:rPr>
          <w:rFonts w:asciiTheme="majorHAnsi" w:eastAsia="Calibri" w:hAnsiTheme="majorHAnsi" w:cstheme="majorHAnsi"/>
          <w:color w:val="000000"/>
          <w:sz w:val="24"/>
          <w:szCs w:val="24"/>
          <w:lang w:val="ru-MD"/>
        </w:rPr>
        <w:t>по расчетной стоимости товар</w:t>
      </w:r>
      <w:r w:rsidRPr="00961974">
        <w:rPr>
          <w:rFonts w:asciiTheme="majorHAnsi" w:eastAsia="Times New Roman" w:hAnsiTheme="majorHAnsi" w:cstheme="majorHAnsi"/>
          <w:color w:val="000000"/>
          <w:sz w:val="24"/>
          <w:szCs w:val="24"/>
          <w:lang w:val="ru-MD" w:eastAsia="ru-RU"/>
        </w:rPr>
        <w:t xml:space="preserve">” могут применяться в любой последовательности, по желанию декларанта. </w:t>
      </w:r>
    </w:p>
    <w:p w14:paraId="11D0B9DA" w14:textId="51891F9D" w:rsidR="002B0252" w:rsidRPr="00961974" w:rsidRDefault="000B66AF" w:rsidP="00961974">
      <w:pPr>
        <w:tabs>
          <w:tab w:val="left" w:pos="851"/>
          <w:tab w:val="left" w:pos="1134"/>
        </w:tabs>
        <w:spacing w:after="120"/>
        <w:contextualSpacing/>
        <w:jc w:val="both"/>
        <w:rPr>
          <w:rFonts w:asciiTheme="majorHAnsi" w:eastAsia="Times New Roman" w:hAnsiTheme="majorHAnsi" w:cstheme="majorHAnsi"/>
          <w:b/>
          <w:bCs/>
          <w:i/>
          <w:color w:val="000000"/>
          <w:sz w:val="24"/>
          <w:szCs w:val="24"/>
          <w:lang w:val="ru-MD"/>
        </w:rPr>
      </w:pPr>
      <w:r w:rsidRPr="00961974">
        <w:rPr>
          <w:rFonts w:asciiTheme="majorHAnsi" w:eastAsia="Times New Roman" w:hAnsiTheme="majorHAnsi" w:cstheme="majorHAnsi"/>
          <w:color w:val="000000"/>
          <w:sz w:val="24"/>
          <w:szCs w:val="24"/>
          <w:lang w:val="ru-MD" w:eastAsia="ru-RU"/>
        </w:rPr>
        <w:t>Аудит рассмотрел эволюцию таможенных деклараций, распределенных по методам таможенного оформления, числу и статистической стоимости, в том числе начисленные пошлины на ввозимые товары за 20</w:t>
      </w:r>
      <w:r w:rsidR="00961974" w:rsidRPr="00961974">
        <w:rPr>
          <w:rFonts w:asciiTheme="majorHAnsi" w:eastAsia="Times New Roman" w:hAnsiTheme="majorHAnsi" w:cstheme="majorHAnsi"/>
          <w:color w:val="000000"/>
          <w:sz w:val="24"/>
          <w:szCs w:val="24"/>
          <w:lang w:val="ru-MD" w:eastAsia="ru-RU"/>
        </w:rPr>
        <w:t>19</w:t>
      </w:r>
      <w:r w:rsidRPr="00961974">
        <w:rPr>
          <w:rFonts w:asciiTheme="majorHAnsi" w:eastAsia="Times New Roman" w:hAnsiTheme="majorHAnsi" w:cstheme="majorHAnsi"/>
          <w:color w:val="000000"/>
          <w:sz w:val="24"/>
          <w:szCs w:val="24"/>
          <w:lang w:val="ru-MD" w:eastAsia="ru-RU"/>
        </w:rPr>
        <w:t>-20</w:t>
      </w:r>
      <w:r w:rsidR="00961974" w:rsidRPr="00961974">
        <w:rPr>
          <w:rFonts w:asciiTheme="majorHAnsi" w:eastAsia="Times New Roman" w:hAnsiTheme="majorHAnsi" w:cstheme="majorHAnsi"/>
          <w:color w:val="000000"/>
          <w:sz w:val="24"/>
          <w:szCs w:val="24"/>
          <w:lang w:val="ru-MD" w:eastAsia="ru-RU"/>
        </w:rPr>
        <w:t>21</w:t>
      </w:r>
      <w:r w:rsidRPr="00961974">
        <w:rPr>
          <w:rFonts w:asciiTheme="majorHAnsi" w:eastAsia="Times New Roman" w:hAnsiTheme="majorHAnsi" w:cstheme="majorHAnsi"/>
          <w:color w:val="000000"/>
          <w:sz w:val="24"/>
          <w:szCs w:val="24"/>
          <w:lang w:val="ru-MD" w:eastAsia="ru-RU"/>
        </w:rPr>
        <w:t xml:space="preserve"> годы, которые представлены в таблице №</w:t>
      </w:r>
      <w:r w:rsidR="00961974" w:rsidRPr="00961974">
        <w:rPr>
          <w:rFonts w:asciiTheme="majorHAnsi" w:eastAsia="Times New Roman" w:hAnsiTheme="majorHAnsi" w:cstheme="majorHAnsi"/>
          <w:color w:val="000000"/>
          <w:sz w:val="24"/>
          <w:szCs w:val="24"/>
          <w:lang w:val="ru-MD" w:eastAsia="ru-RU"/>
        </w:rPr>
        <w:t>2</w:t>
      </w:r>
      <w:r w:rsidR="001679E0" w:rsidRPr="00961974">
        <w:rPr>
          <w:rFonts w:asciiTheme="majorHAnsi" w:eastAsia="Times New Roman" w:hAnsiTheme="majorHAnsi" w:cstheme="majorHAnsi"/>
          <w:color w:val="000000"/>
          <w:sz w:val="24"/>
          <w:szCs w:val="24"/>
          <w:lang w:val="ru-MD" w:eastAsia="ru-RU"/>
        </w:rPr>
        <w:t>.</w:t>
      </w:r>
    </w:p>
    <w:p w14:paraId="64D956B9" w14:textId="77777777" w:rsidR="002B0252" w:rsidRPr="00B20FBD" w:rsidRDefault="002B0252" w:rsidP="00856D62">
      <w:pPr>
        <w:tabs>
          <w:tab w:val="left" w:pos="851"/>
          <w:tab w:val="left" w:pos="1134"/>
        </w:tabs>
        <w:spacing w:after="0"/>
        <w:contextualSpacing/>
        <w:jc w:val="both"/>
        <w:rPr>
          <w:rFonts w:asciiTheme="majorHAnsi" w:eastAsia="Times New Roman" w:hAnsiTheme="majorHAnsi" w:cstheme="majorHAnsi"/>
          <w:b/>
          <w:bCs/>
          <w:i/>
          <w:color w:val="000000"/>
          <w:sz w:val="24"/>
          <w:szCs w:val="24"/>
          <w:lang w:val="ro-RO"/>
        </w:rPr>
      </w:pPr>
    </w:p>
    <w:tbl>
      <w:tblPr>
        <w:tblStyle w:val="GridTable2-Accent6"/>
        <w:tblW w:w="0" w:type="auto"/>
        <w:tblInd w:w="142" w:type="dxa"/>
        <w:tblLook w:val="04A0" w:firstRow="1" w:lastRow="0" w:firstColumn="1" w:lastColumn="0" w:noHBand="0" w:noVBand="1"/>
      </w:tblPr>
      <w:tblGrid>
        <w:gridCol w:w="1524"/>
        <w:gridCol w:w="987"/>
        <w:gridCol w:w="1147"/>
        <w:gridCol w:w="696"/>
        <w:gridCol w:w="987"/>
        <w:gridCol w:w="1147"/>
        <w:gridCol w:w="696"/>
        <w:gridCol w:w="987"/>
        <w:gridCol w:w="1147"/>
        <w:gridCol w:w="696"/>
      </w:tblGrid>
      <w:tr w:rsidR="00813663" w:rsidRPr="002D4EC1" w14:paraId="18B5AF2A" w14:textId="77777777" w:rsidTr="00AE57A7">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0" w:type="auto"/>
            <w:gridSpan w:val="10"/>
            <w:tcBorders>
              <w:top w:val="single" w:sz="4" w:space="0" w:color="auto"/>
              <w:left w:val="single" w:sz="4" w:space="0" w:color="auto"/>
              <w:bottom w:val="single" w:sz="4" w:space="0" w:color="auto"/>
              <w:right w:val="single" w:sz="4" w:space="0" w:color="auto"/>
            </w:tcBorders>
            <w:shd w:val="clear" w:color="auto" w:fill="auto"/>
            <w:noWrap/>
            <w:hideMark/>
          </w:tcPr>
          <w:p w14:paraId="0A3B1C34" w14:textId="635254FE" w:rsidR="00813663" w:rsidRPr="00B20FBD" w:rsidRDefault="00C31604" w:rsidP="002D4EC1">
            <w:pPr>
              <w:spacing w:after="0" w:line="240" w:lineRule="auto"/>
              <w:jc w:val="right"/>
              <w:rPr>
                <w:rFonts w:asciiTheme="majorHAnsi" w:eastAsia="Times New Roman" w:hAnsiTheme="majorHAnsi" w:cstheme="majorHAnsi"/>
                <w:bCs w:val="0"/>
                <w:color w:val="FFFFFF" w:themeColor="background1"/>
                <w:sz w:val="18"/>
                <w:szCs w:val="18"/>
                <w:lang w:val="ro-RO"/>
              </w:rPr>
            </w:pPr>
            <w:r>
              <w:rPr>
                <w:rFonts w:asciiTheme="majorHAnsi" w:eastAsia="Times New Roman" w:hAnsiTheme="majorHAnsi" w:cstheme="majorHAnsi"/>
                <w:b w:val="0"/>
                <w:i/>
                <w:color w:val="000000"/>
                <w:sz w:val="24"/>
                <w:szCs w:val="24"/>
                <w:lang w:val="ro-RO"/>
              </w:rPr>
              <w:t>Таблица №</w:t>
            </w:r>
            <w:r w:rsidR="00813663" w:rsidRPr="00B20FBD">
              <w:rPr>
                <w:rFonts w:asciiTheme="majorHAnsi" w:eastAsia="Times New Roman" w:hAnsiTheme="majorHAnsi" w:cstheme="majorHAnsi"/>
                <w:b w:val="0"/>
                <w:i/>
                <w:color w:val="000000"/>
                <w:sz w:val="24"/>
                <w:szCs w:val="24"/>
                <w:lang w:val="ro-RO"/>
              </w:rPr>
              <w:t>2.</w:t>
            </w:r>
            <w:r w:rsidR="00813663" w:rsidRPr="00B20FBD">
              <w:rPr>
                <w:rFonts w:asciiTheme="majorHAnsi" w:eastAsia="Times New Roman" w:hAnsiTheme="majorHAnsi" w:cstheme="majorHAnsi"/>
                <w:b w:val="0"/>
                <w:color w:val="000000"/>
                <w:sz w:val="24"/>
                <w:szCs w:val="24"/>
                <w:lang w:val="ro-RO"/>
              </w:rPr>
              <w:t xml:space="preserve"> </w:t>
            </w:r>
            <w:r w:rsidR="00813663" w:rsidRPr="00B20FBD">
              <w:rPr>
                <w:rFonts w:asciiTheme="majorHAnsi" w:eastAsia="Times New Roman" w:hAnsiTheme="majorHAnsi" w:cstheme="majorHAnsi"/>
                <w:b w:val="0"/>
                <w:i/>
                <w:color w:val="000000"/>
                <w:sz w:val="24"/>
                <w:szCs w:val="24"/>
                <w:lang w:val="ro-RO"/>
              </w:rPr>
              <w:t>(</w:t>
            </w:r>
            <w:r w:rsidR="002D4EC1">
              <w:rPr>
                <w:rFonts w:asciiTheme="majorHAnsi" w:eastAsia="Times New Roman" w:hAnsiTheme="majorHAnsi" w:cstheme="majorHAnsi"/>
                <w:b w:val="0"/>
                <w:i/>
                <w:color w:val="000000"/>
                <w:sz w:val="24"/>
                <w:szCs w:val="24"/>
              </w:rPr>
              <w:t>млн</w:t>
            </w:r>
            <w:r w:rsidR="002D4EC1" w:rsidRPr="002D4EC1">
              <w:rPr>
                <w:rFonts w:asciiTheme="majorHAnsi" w:eastAsia="Times New Roman" w:hAnsiTheme="majorHAnsi" w:cstheme="majorHAnsi"/>
                <w:b w:val="0"/>
                <w:i/>
                <w:color w:val="000000"/>
                <w:sz w:val="24"/>
                <w:szCs w:val="24"/>
                <w:lang w:val="en-US"/>
              </w:rPr>
              <w:t xml:space="preserve">. </w:t>
            </w:r>
            <w:r w:rsidR="002D4EC1">
              <w:rPr>
                <w:rFonts w:asciiTheme="majorHAnsi" w:eastAsia="Times New Roman" w:hAnsiTheme="majorHAnsi" w:cstheme="majorHAnsi"/>
                <w:b w:val="0"/>
                <w:i/>
                <w:color w:val="000000"/>
                <w:sz w:val="24"/>
                <w:szCs w:val="24"/>
              </w:rPr>
              <w:t>леев</w:t>
            </w:r>
            <w:r w:rsidR="00813663" w:rsidRPr="00B20FBD">
              <w:rPr>
                <w:rFonts w:asciiTheme="majorHAnsi" w:eastAsia="Times New Roman" w:hAnsiTheme="majorHAnsi" w:cstheme="majorHAnsi"/>
                <w:b w:val="0"/>
                <w:i/>
                <w:color w:val="000000"/>
                <w:sz w:val="24"/>
                <w:szCs w:val="24"/>
                <w:lang w:val="ro-RO"/>
              </w:rPr>
              <w:t>)</w:t>
            </w:r>
          </w:p>
        </w:tc>
      </w:tr>
      <w:tr w:rsidR="00813663" w:rsidRPr="002D4EC1" w14:paraId="71556431" w14:textId="77777777" w:rsidTr="008022A6">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838" w:type="dxa"/>
            <w:vMerge w:val="restart"/>
            <w:tcBorders>
              <w:top w:val="single" w:sz="4" w:space="0" w:color="auto"/>
              <w:left w:val="single" w:sz="4" w:space="0" w:color="auto"/>
              <w:bottom w:val="single" w:sz="4" w:space="0" w:color="auto"/>
              <w:right w:val="single" w:sz="4" w:space="0" w:color="auto"/>
            </w:tcBorders>
            <w:shd w:val="clear" w:color="auto" w:fill="385623" w:themeFill="accent6" w:themeFillShade="80"/>
            <w:noWrap/>
          </w:tcPr>
          <w:p w14:paraId="65610C69" w14:textId="4BBC3D64" w:rsidR="00813663" w:rsidRPr="00B20FBD" w:rsidRDefault="00526ED5" w:rsidP="00813663">
            <w:pPr>
              <w:spacing w:after="0" w:line="240" w:lineRule="auto"/>
              <w:jc w:val="center"/>
              <w:rPr>
                <w:rFonts w:asciiTheme="majorHAnsi" w:eastAsia="Times New Roman" w:hAnsiTheme="majorHAnsi" w:cstheme="majorHAnsi"/>
                <w:color w:val="FFFFFF" w:themeColor="background1"/>
                <w:sz w:val="18"/>
                <w:szCs w:val="18"/>
                <w:lang w:val="ro-RO"/>
              </w:rPr>
            </w:pPr>
            <w:r w:rsidRPr="00526ED5">
              <w:rPr>
                <w:rFonts w:asciiTheme="majorHAnsi" w:eastAsia="Times New Roman" w:hAnsiTheme="majorHAnsi" w:cstheme="majorHAnsi"/>
                <w:bCs w:val="0"/>
                <w:color w:val="FFFFFF" w:themeColor="background1"/>
                <w:sz w:val="18"/>
                <w:szCs w:val="18"/>
              </w:rPr>
              <w:t>Метод таможенного оформления</w:t>
            </w:r>
          </w:p>
        </w:tc>
        <w:tc>
          <w:tcPr>
            <w:tcW w:w="2918" w:type="dxa"/>
            <w:gridSpan w:val="3"/>
            <w:tcBorders>
              <w:top w:val="single" w:sz="4" w:space="0" w:color="auto"/>
              <w:left w:val="single" w:sz="4" w:space="0" w:color="auto"/>
              <w:bottom w:val="single" w:sz="4" w:space="0" w:color="auto"/>
              <w:right w:val="single" w:sz="4" w:space="0" w:color="auto"/>
            </w:tcBorders>
            <w:shd w:val="clear" w:color="auto" w:fill="385623" w:themeFill="accent6" w:themeFillShade="80"/>
            <w:noWrap/>
          </w:tcPr>
          <w:p w14:paraId="57260F0E" w14:textId="10E50412" w:rsidR="00813663" w:rsidRPr="00526ED5" w:rsidRDefault="00813663" w:rsidP="009B51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FFFFFF" w:themeColor="background1"/>
                <w:sz w:val="18"/>
                <w:szCs w:val="18"/>
              </w:rPr>
            </w:pPr>
            <w:r w:rsidRPr="00B20FBD">
              <w:rPr>
                <w:rFonts w:asciiTheme="majorHAnsi" w:eastAsia="Times New Roman" w:hAnsiTheme="majorHAnsi" w:cstheme="majorHAnsi"/>
                <w:color w:val="FFFFFF" w:themeColor="background1"/>
                <w:sz w:val="18"/>
                <w:szCs w:val="18"/>
                <w:lang w:val="ro-RO"/>
              </w:rPr>
              <w:t>2019</w:t>
            </w:r>
            <w:r w:rsidR="00526ED5">
              <w:rPr>
                <w:rFonts w:asciiTheme="majorHAnsi" w:eastAsia="Times New Roman" w:hAnsiTheme="majorHAnsi" w:cstheme="majorHAnsi"/>
                <w:color w:val="FFFFFF" w:themeColor="background1"/>
                <w:sz w:val="18"/>
                <w:szCs w:val="18"/>
              </w:rPr>
              <w:t xml:space="preserve"> год</w:t>
            </w:r>
          </w:p>
        </w:tc>
        <w:tc>
          <w:tcPr>
            <w:tcW w:w="2629" w:type="dxa"/>
            <w:gridSpan w:val="3"/>
            <w:tcBorders>
              <w:top w:val="single" w:sz="4" w:space="0" w:color="auto"/>
              <w:left w:val="single" w:sz="4" w:space="0" w:color="auto"/>
              <w:bottom w:val="single" w:sz="4" w:space="0" w:color="auto"/>
              <w:right w:val="single" w:sz="4" w:space="0" w:color="auto"/>
            </w:tcBorders>
            <w:shd w:val="clear" w:color="auto" w:fill="385623" w:themeFill="accent6" w:themeFillShade="80"/>
            <w:noWrap/>
          </w:tcPr>
          <w:p w14:paraId="6A1C700A" w14:textId="13065247" w:rsidR="00813663" w:rsidRPr="00526ED5" w:rsidRDefault="00813663" w:rsidP="009B51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FFFFFF" w:themeColor="background1"/>
                <w:sz w:val="18"/>
                <w:szCs w:val="18"/>
              </w:rPr>
            </w:pPr>
            <w:r w:rsidRPr="00B20FBD">
              <w:rPr>
                <w:rFonts w:asciiTheme="majorHAnsi" w:eastAsia="Times New Roman" w:hAnsiTheme="majorHAnsi" w:cstheme="majorHAnsi"/>
                <w:color w:val="FFFFFF" w:themeColor="background1"/>
                <w:sz w:val="18"/>
                <w:szCs w:val="18"/>
                <w:lang w:val="ro-RO"/>
              </w:rPr>
              <w:t>2020</w:t>
            </w:r>
            <w:r w:rsidR="00526ED5">
              <w:rPr>
                <w:rFonts w:asciiTheme="majorHAnsi" w:eastAsia="Times New Roman" w:hAnsiTheme="majorHAnsi" w:cstheme="majorHAnsi"/>
                <w:color w:val="FFFFFF" w:themeColor="background1"/>
                <w:sz w:val="18"/>
                <w:szCs w:val="18"/>
              </w:rPr>
              <w:t xml:space="preserve"> год</w:t>
            </w:r>
          </w:p>
        </w:tc>
        <w:tc>
          <w:tcPr>
            <w:tcW w:w="0" w:type="auto"/>
            <w:gridSpan w:val="3"/>
            <w:tcBorders>
              <w:top w:val="single" w:sz="4" w:space="0" w:color="auto"/>
              <w:left w:val="single" w:sz="4" w:space="0" w:color="auto"/>
              <w:bottom w:val="single" w:sz="4" w:space="0" w:color="auto"/>
              <w:right w:val="single" w:sz="4" w:space="0" w:color="auto"/>
            </w:tcBorders>
            <w:shd w:val="clear" w:color="auto" w:fill="385623" w:themeFill="accent6" w:themeFillShade="80"/>
            <w:noWrap/>
          </w:tcPr>
          <w:p w14:paraId="6003154F" w14:textId="515B3B0D" w:rsidR="00813663" w:rsidRPr="00526ED5" w:rsidRDefault="00813663" w:rsidP="009B516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FFFFFF" w:themeColor="background1"/>
                <w:sz w:val="18"/>
                <w:szCs w:val="18"/>
              </w:rPr>
            </w:pPr>
            <w:r w:rsidRPr="00B20FBD">
              <w:rPr>
                <w:rFonts w:asciiTheme="majorHAnsi" w:eastAsia="Times New Roman" w:hAnsiTheme="majorHAnsi" w:cstheme="majorHAnsi"/>
                <w:color w:val="FFFFFF" w:themeColor="background1"/>
                <w:sz w:val="18"/>
                <w:szCs w:val="18"/>
                <w:lang w:val="ro-RO"/>
              </w:rPr>
              <w:t>2021</w:t>
            </w:r>
            <w:r w:rsidR="00526ED5">
              <w:rPr>
                <w:rFonts w:asciiTheme="majorHAnsi" w:eastAsia="Times New Roman" w:hAnsiTheme="majorHAnsi" w:cstheme="majorHAnsi"/>
                <w:color w:val="FFFFFF" w:themeColor="background1"/>
                <w:sz w:val="18"/>
                <w:szCs w:val="18"/>
              </w:rPr>
              <w:t xml:space="preserve"> год</w:t>
            </w:r>
          </w:p>
        </w:tc>
      </w:tr>
      <w:tr w:rsidR="008022A6" w:rsidRPr="00B20FBD" w14:paraId="6E7A8B81" w14:textId="77777777" w:rsidTr="008022A6">
        <w:trPr>
          <w:trHeight w:val="511"/>
        </w:trPr>
        <w:tc>
          <w:tcPr>
            <w:cnfStyle w:val="001000000000" w:firstRow="0" w:lastRow="0" w:firstColumn="1" w:lastColumn="0" w:oddVBand="0" w:evenVBand="0" w:oddHBand="0" w:evenHBand="0" w:firstRowFirstColumn="0" w:firstRowLastColumn="0" w:lastRowFirstColumn="0" w:lastRowLastColumn="0"/>
            <w:tcW w:w="1838" w:type="dxa"/>
            <w:vMerge/>
            <w:tcBorders>
              <w:top w:val="single" w:sz="4" w:space="0" w:color="auto"/>
              <w:left w:val="single" w:sz="4" w:space="0" w:color="auto"/>
              <w:bottom w:val="single" w:sz="4" w:space="0" w:color="auto"/>
              <w:right w:val="single" w:sz="4" w:space="0" w:color="auto"/>
            </w:tcBorders>
            <w:shd w:val="clear" w:color="auto" w:fill="385623" w:themeFill="accent6" w:themeFillShade="80"/>
            <w:hideMark/>
          </w:tcPr>
          <w:p w14:paraId="73F1AC9A" w14:textId="77777777" w:rsidR="00AE57A7" w:rsidRPr="00B20FBD" w:rsidRDefault="00AE57A7" w:rsidP="00AE57A7">
            <w:pPr>
              <w:spacing w:after="0" w:line="240" w:lineRule="auto"/>
              <w:rPr>
                <w:rFonts w:asciiTheme="majorHAnsi" w:eastAsia="Times New Roman" w:hAnsiTheme="majorHAnsi" w:cstheme="majorHAnsi"/>
                <w:b w:val="0"/>
                <w:bCs w:val="0"/>
                <w:color w:val="FFFFFF" w:themeColor="background1"/>
                <w:sz w:val="18"/>
                <w:szCs w:val="18"/>
                <w:lang w:val="ro-RO"/>
              </w:rPr>
            </w:pPr>
          </w:p>
        </w:tc>
        <w:tc>
          <w:tcPr>
            <w:tcW w:w="1166" w:type="dxa"/>
            <w:tcBorders>
              <w:top w:val="single" w:sz="4" w:space="0" w:color="auto"/>
              <w:left w:val="single" w:sz="4" w:space="0" w:color="auto"/>
              <w:bottom w:val="single" w:sz="4" w:space="0" w:color="auto"/>
              <w:right w:val="single" w:sz="4" w:space="0" w:color="auto"/>
            </w:tcBorders>
            <w:shd w:val="clear" w:color="auto" w:fill="385623" w:themeFill="accent6" w:themeFillShade="80"/>
            <w:noWrap/>
            <w:hideMark/>
          </w:tcPr>
          <w:p w14:paraId="19777314" w14:textId="73C920F9" w:rsidR="00AE57A7" w:rsidRPr="00B20FBD" w:rsidRDefault="00AE57A7" w:rsidP="00AE57A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FFFFFF" w:themeColor="background1"/>
                <w:sz w:val="18"/>
                <w:szCs w:val="18"/>
                <w:lang w:val="ro-RO"/>
              </w:rPr>
            </w:pPr>
            <w:r w:rsidRPr="00526ED5">
              <w:rPr>
                <w:rFonts w:asciiTheme="majorHAnsi" w:eastAsia="Times New Roman" w:hAnsiTheme="majorHAnsi" w:cstheme="majorHAnsi"/>
                <w:b/>
                <w:bCs/>
                <w:color w:val="FFFFFF" w:themeColor="background1"/>
                <w:sz w:val="18"/>
                <w:szCs w:val="18"/>
              </w:rPr>
              <w:t>Число таможенных деклараций</w:t>
            </w:r>
          </w:p>
        </w:tc>
        <w:tc>
          <w:tcPr>
            <w:tcW w:w="1061" w:type="dxa"/>
            <w:tcBorders>
              <w:top w:val="single" w:sz="4" w:space="0" w:color="auto"/>
              <w:left w:val="single" w:sz="4" w:space="0" w:color="auto"/>
              <w:bottom w:val="single" w:sz="4" w:space="0" w:color="auto"/>
              <w:right w:val="single" w:sz="4" w:space="0" w:color="auto"/>
            </w:tcBorders>
            <w:shd w:val="clear" w:color="auto" w:fill="385623" w:themeFill="accent6" w:themeFillShade="80"/>
            <w:hideMark/>
          </w:tcPr>
          <w:p w14:paraId="168685BC" w14:textId="630E09D3" w:rsidR="00AE57A7" w:rsidRPr="00B20FBD" w:rsidRDefault="00AE57A7" w:rsidP="00AE57A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FFFFFF" w:themeColor="background1"/>
                <w:sz w:val="18"/>
                <w:szCs w:val="18"/>
                <w:lang w:val="ro-RO"/>
              </w:rPr>
            </w:pPr>
            <w:r w:rsidRPr="00526ED5">
              <w:rPr>
                <w:rFonts w:asciiTheme="majorHAnsi" w:eastAsia="Times New Roman" w:hAnsiTheme="majorHAnsi" w:cstheme="majorHAnsi"/>
                <w:b/>
                <w:bCs/>
                <w:color w:val="FFFFFF" w:themeColor="background1"/>
                <w:sz w:val="18"/>
                <w:szCs w:val="18"/>
              </w:rPr>
              <w:t>Статистическая стоимость</w:t>
            </w:r>
          </w:p>
        </w:tc>
        <w:tc>
          <w:tcPr>
            <w:tcW w:w="691" w:type="dxa"/>
            <w:tcBorders>
              <w:top w:val="single" w:sz="4" w:space="0" w:color="auto"/>
              <w:left w:val="single" w:sz="4" w:space="0" w:color="auto"/>
              <w:bottom w:val="single" w:sz="4" w:space="0" w:color="auto"/>
              <w:right w:val="single" w:sz="4" w:space="0" w:color="auto"/>
            </w:tcBorders>
            <w:shd w:val="clear" w:color="auto" w:fill="385623" w:themeFill="accent6" w:themeFillShade="80"/>
            <w:hideMark/>
          </w:tcPr>
          <w:p w14:paraId="440F978F" w14:textId="7BD60E59" w:rsidR="00AE57A7" w:rsidRPr="00B20FBD" w:rsidRDefault="00AE57A7" w:rsidP="00AE57A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FFFFFF" w:themeColor="background1"/>
                <w:sz w:val="18"/>
                <w:szCs w:val="18"/>
                <w:lang w:val="ro-RO"/>
              </w:rPr>
            </w:pPr>
            <w:r w:rsidRPr="00526ED5">
              <w:rPr>
                <w:rFonts w:asciiTheme="majorHAnsi" w:eastAsia="Times New Roman" w:hAnsiTheme="majorHAnsi" w:cstheme="majorHAnsi"/>
                <w:b/>
                <w:bCs/>
                <w:color w:val="FFFFFF" w:themeColor="background1"/>
                <w:sz w:val="18"/>
                <w:szCs w:val="18"/>
              </w:rPr>
              <w:t>Всего пошлин</w:t>
            </w:r>
          </w:p>
        </w:tc>
        <w:tc>
          <w:tcPr>
            <w:tcW w:w="916" w:type="dxa"/>
            <w:tcBorders>
              <w:top w:val="single" w:sz="4" w:space="0" w:color="auto"/>
              <w:left w:val="single" w:sz="4" w:space="0" w:color="auto"/>
              <w:bottom w:val="single" w:sz="4" w:space="0" w:color="auto"/>
              <w:right w:val="single" w:sz="4" w:space="0" w:color="auto"/>
            </w:tcBorders>
            <w:shd w:val="clear" w:color="auto" w:fill="385623" w:themeFill="accent6" w:themeFillShade="80"/>
            <w:noWrap/>
            <w:hideMark/>
          </w:tcPr>
          <w:p w14:paraId="2A5FBFDB" w14:textId="1FF84510" w:rsidR="00AE57A7" w:rsidRPr="00B20FBD" w:rsidRDefault="00AE57A7" w:rsidP="00AE57A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FFFFFF" w:themeColor="background1"/>
                <w:sz w:val="18"/>
                <w:szCs w:val="18"/>
                <w:lang w:val="ro-RO"/>
              </w:rPr>
            </w:pPr>
            <w:r w:rsidRPr="00526ED5">
              <w:rPr>
                <w:rFonts w:asciiTheme="majorHAnsi" w:eastAsia="Times New Roman" w:hAnsiTheme="majorHAnsi" w:cstheme="majorHAnsi"/>
                <w:b/>
                <w:bCs/>
                <w:color w:val="FFFFFF" w:themeColor="background1"/>
                <w:sz w:val="18"/>
                <w:szCs w:val="18"/>
              </w:rPr>
              <w:t>Число таможенных деклараций</w:t>
            </w:r>
          </w:p>
        </w:tc>
        <w:tc>
          <w:tcPr>
            <w:tcW w:w="0" w:type="auto"/>
            <w:tcBorders>
              <w:top w:val="single" w:sz="4" w:space="0" w:color="auto"/>
              <w:left w:val="single" w:sz="4" w:space="0" w:color="auto"/>
              <w:bottom w:val="single" w:sz="4" w:space="0" w:color="auto"/>
              <w:right w:val="single" w:sz="4" w:space="0" w:color="auto"/>
            </w:tcBorders>
            <w:shd w:val="clear" w:color="auto" w:fill="385623" w:themeFill="accent6" w:themeFillShade="80"/>
            <w:hideMark/>
          </w:tcPr>
          <w:p w14:paraId="365002EF" w14:textId="0DC74372" w:rsidR="00AE57A7" w:rsidRPr="00B20FBD" w:rsidRDefault="00AE57A7" w:rsidP="00AE57A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FFFFFF" w:themeColor="background1"/>
                <w:sz w:val="18"/>
                <w:szCs w:val="18"/>
                <w:lang w:val="ro-RO"/>
              </w:rPr>
            </w:pPr>
            <w:r w:rsidRPr="00526ED5">
              <w:rPr>
                <w:rFonts w:asciiTheme="majorHAnsi" w:eastAsia="Times New Roman" w:hAnsiTheme="majorHAnsi" w:cstheme="majorHAnsi"/>
                <w:b/>
                <w:bCs/>
                <w:color w:val="FFFFFF" w:themeColor="background1"/>
                <w:sz w:val="18"/>
                <w:szCs w:val="18"/>
              </w:rPr>
              <w:t>Статистическая стоимость</w:t>
            </w:r>
          </w:p>
        </w:tc>
        <w:tc>
          <w:tcPr>
            <w:tcW w:w="652" w:type="dxa"/>
            <w:tcBorders>
              <w:top w:val="single" w:sz="4" w:space="0" w:color="auto"/>
              <w:left w:val="single" w:sz="4" w:space="0" w:color="auto"/>
              <w:bottom w:val="single" w:sz="4" w:space="0" w:color="auto"/>
              <w:right w:val="single" w:sz="4" w:space="0" w:color="auto"/>
            </w:tcBorders>
            <w:shd w:val="clear" w:color="auto" w:fill="385623" w:themeFill="accent6" w:themeFillShade="80"/>
            <w:hideMark/>
          </w:tcPr>
          <w:p w14:paraId="6955DFB0" w14:textId="4C111A32" w:rsidR="00AE57A7" w:rsidRPr="00B20FBD" w:rsidRDefault="00AE57A7" w:rsidP="00AE57A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FFFFFF" w:themeColor="background1"/>
                <w:sz w:val="18"/>
                <w:szCs w:val="18"/>
                <w:lang w:val="ro-RO"/>
              </w:rPr>
            </w:pPr>
            <w:r w:rsidRPr="00526ED5">
              <w:rPr>
                <w:rFonts w:asciiTheme="majorHAnsi" w:eastAsia="Times New Roman" w:hAnsiTheme="majorHAnsi" w:cstheme="majorHAnsi"/>
                <w:b/>
                <w:bCs/>
                <w:color w:val="FFFFFF" w:themeColor="background1"/>
                <w:sz w:val="18"/>
                <w:szCs w:val="18"/>
              </w:rPr>
              <w:t>Всего пошлин</w:t>
            </w:r>
          </w:p>
        </w:tc>
        <w:tc>
          <w:tcPr>
            <w:tcW w:w="916" w:type="dxa"/>
            <w:tcBorders>
              <w:top w:val="single" w:sz="4" w:space="0" w:color="auto"/>
              <w:left w:val="single" w:sz="4" w:space="0" w:color="auto"/>
              <w:bottom w:val="single" w:sz="4" w:space="0" w:color="auto"/>
              <w:right w:val="single" w:sz="4" w:space="0" w:color="auto"/>
            </w:tcBorders>
            <w:shd w:val="clear" w:color="auto" w:fill="385623" w:themeFill="accent6" w:themeFillShade="80"/>
            <w:noWrap/>
            <w:hideMark/>
          </w:tcPr>
          <w:p w14:paraId="471A6284" w14:textId="4A654DE7" w:rsidR="00AE57A7" w:rsidRPr="00B20FBD" w:rsidRDefault="00AE57A7" w:rsidP="00AE57A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FFFFFF" w:themeColor="background1"/>
                <w:sz w:val="18"/>
                <w:szCs w:val="18"/>
                <w:lang w:val="ro-RO"/>
              </w:rPr>
            </w:pPr>
            <w:r w:rsidRPr="00526ED5">
              <w:rPr>
                <w:rFonts w:asciiTheme="majorHAnsi" w:eastAsia="Times New Roman" w:hAnsiTheme="majorHAnsi" w:cstheme="majorHAnsi"/>
                <w:b/>
                <w:bCs/>
                <w:color w:val="FFFFFF" w:themeColor="background1"/>
                <w:sz w:val="18"/>
                <w:szCs w:val="18"/>
              </w:rPr>
              <w:t>Число таможенных деклараций</w:t>
            </w:r>
          </w:p>
        </w:tc>
        <w:tc>
          <w:tcPr>
            <w:tcW w:w="1061" w:type="dxa"/>
            <w:tcBorders>
              <w:top w:val="single" w:sz="4" w:space="0" w:color="auto"/>
              <w:left w:val="single" w:sz="4" w:space="0" w:color="auto"/>
              <w:bottom w:val="single" w:sz="4" w:space="0" w:color="auto"/>
              <w:right w:val="single" w:sz="4" w:space="0" w:color="auto"/>
            </w:tcBorders>
            <w:shd w:val="clear" w:color="auto" w:fill="385623" w:themeFill="accent6" w:themeFillShade="80"/>
            <w:hideMark/>
          </w:tcPr>
          <w:p w14:paraId="5A4234BF" w14:textId="2CFBD995" w:rsidR="00AE57A7" w:rsidRPr="00B20FBD" w:rsidRDefault="00AE57A7" w:rsidP="00AE57A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FFFFFF" w:themeColor="background1"/>
                <w:sz w:val="18"/>
                <w:szCs w:val="18"/>
                <w:lang w:val="ro-RO"/>
              </w:rPr>
            </w:pPr>
            <w:r w:rsidRPr="00526ED5">
              <w:rPr>
                <w:rFonts w:asciiTheme="majorHAnsi" w:eastAsia="Times New Roman" w:hAnsiTheme="majorHAnsi" w:cstheme="majorHAnsi"/>
                <w:b/>
                <w:bCs/>
                <w:color w:val="FFFFFF" w:themeColor="background1"/>
                <w:sz w:val="18"/>
                <w:szCs w:val="18"/>
              </w:rPr>
              <w:t>Статистическая стоимость</w:t>
            </w:r>
          </w:p>
        </w:tc>
        <w:tc>
          <w:tcPr>
            <w:tcW w:w="652" w:type="dxa"/>
            <w:tcBorders>
              <w:top w:val="single" w:sz="4" w:space="0" w:color="auto"/>
              <w:left w:val="single" w:sz="4" w:space="0" w:color="auto"/>
              <w:bottom w:val="single" w:sz="4" w:space="0" w:color="auto"/>
              <w:right w:val="single" w:sz="4" w:space="0" w:color="auto"/>
            </w:tcBorders>
            <w:shd w:val="clear" w:color="auto" w:fill="385623" w:themeFill="accent6" w:themeFillShade="80"/>
            <w:hideMark/>
          </w:tcPr>
          <w:p w14:paraId="2F947C8A" w14:textId="54B9D6DF" w:rsidR="00AE57A7" w:rsidRPr="00B20FBD" w:rsidRDefault="00AE57A7" w:rsidP="00AE57A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FFFFFF" w:themeColor="background1"/>
                <w:sz w:val="18"/>
                <w:szCs w:val="18"/>
                <w:lang w:val="ro-RO"/>
              </w:rPr>
            </w:pPr>
            <w:r w:rsidRPr="00526ED5">
              <w:rPr>
                <w:rFonts w:asciiTheme="majorHAnsi" w:eastAsia="Times New Roman" w:hAnsiTheme="majorHAnsi" w:cstheme="majorHAnsi"/>
                <w:b/>
                <w:bCs/>
                <w:color w:val="FFFFFF" w:themeColor="background1"/>
                <w:sz w:val="18"/>
                <w:szCs w:val="18"/>
              </w:rPr>
              <w:t>Всего пошлин</w:t>
            </w:r>
          </w:p>
        </w:tc>
      </w:tr>
      <w:tr w:rsidR="008022A6" w:rsidRPr="00B20FBD" w14:paraId="0D82C90A" w14:textId="77777777" w:rsidTr="008022A6">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auto"/>
              <w:left w:val="single" w:sz="4" w:space="0" w:color="auto"/>
              <w:bottom w:val="single" w:sz="4" w:space="0" w:color="auto"/>
              <w:right w:val="single" w:sz="4" w:space="0" w:color="auto"/>
            </w:tcBorders>
          </w:tcPr>
          <w:p w14:paraId="6E46B7BD" w14:textId="77777777" w:rsidR="00F25ADE" w:rsidRPr="00B20FBD" w:rsidRDefault="00F25ADE" w:rsidP="00F25ADE">
            <w:pPr>
              <w:spacing w:after="0" w:line="240" w:lineRule="auto"/>
              <w:jc w:val="center"/>
              <w:rPr>
                <w:rFonts w:asciiTheme="majorHAnsi" w:eastAsia="Times New Roman" w:hAnsiTheme="majorHAnsi" w:cstheme="majorHAnsi"/>
                <w:bCs w:val="0"/>
                <w:i/>
                <w:sz w:val="18"/>
                <w:szCs w:val="18"/>
                <w:lang w:val="ro-RO"/>
              </w:rPr>
            </w:pPr>
            <w:r w:rsidRPr="00B20FBD">
              <w:rPr>
                <w:rFonts w:asciiTheme="majorHAnsi" w:eastAsia="Times New Roman" w:hAnsiTheme="majorHAnsi" w:cstheme="majorHAnsi"/>
                <w:bCs w:val="0"/>
                <w:i/>
                <w:sz w:val="18"/>
                <w:szCs w:val="18"/>
                <w:lang w:val="ro-RO"/>
              </w:rPr>
              <w:t>1</w:t>
            </w:r>
          </w:p>
        </w:tc>
        <w:tc>
          <w:tcPr>
            <w:tcW w:w="1166" w:type="dxa"/>
            <w:tcBorders>
              <w:top w:val="single" w:sz="4" w:space="0" w:color="auto"/>
              <w:left w:val="single" w:sz="4" w:space="0" w:color="auto"/>
              <w:bottom w:val="single" w:sz="4" w:space="0" w:color="auto"/>
              <w:right w:val="single" w:sz="4" w:space="0" w:color="auto"/>
            </w:tcBorders>
            <w:noWrap/>
          </w:tcPr>
          <w:p w14:paraId="2A03D2CF" w14:textId="77777777" w:rsidR="00F25ADE" w:rsidRPr="00B20FBD" w:rsidRDefault="00F25ADE" w:rsidP="00F25A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i/>
                <w:sz w:val="18"/>
                <w:szCs w:val="18"/>
                <w:lang w:val="ro-RO"/>
              </w:rPr>
            </w:pPr>
            <w:r w:rsidRPr="00B20FBD">
              <w:rPr>
                <w:rFonts w:asciiTheme="majorHAnsi" w:eastAsia="Times New Roman" w:hAnsiTheme="majorHAnsi" w:cstheme="majorHAnsi"/>
                <w:b/>
                <w:bCs/>
                <w:i/>
                <w:sz w:val="18"/>
                <w:szCs w:val="18"/>
                <w:lang w:val="ro-RO"/>
              </w:rPr>
              <w:t>2</w:t>
            </w:r>
          </w:p>
        </w:tc>
        <w:tc>
          <w:tcPr>
            <w:tcW w:w="1061" w:type="dxa"/>
            <w:tcBorders>
              <w:top w:val="single" w:sz="4" w:space="0" w:color="auto"/>
              <w:left w:val="single" w:sz="4" w:space="0" w:color="auto"/>
              <w:bottom w:val="single" w:sz="4" w:space="0" w:color="auto"/>
              <w:right w:val="single" w:sz="4" w:space="0" w:color="auto"/>
            </w:tcBorders>
          </w:tcPr>
          <w:p w14:paraId="6FBB207E" w14:textId="77777777" w:rsidR="00F25ADE" w:rsidRPr="00B20FBD" w:rsidRDefault="00F25ADE" w:rsidP="00F25A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i/>
                <w:sz w:val="18"/>
                <w:szCs w:val="18"/>
                <w:lang w:val="ro-RO"/>
              </w:rPr>
            </w:pPr>
            <w:r w:rsidRPr="00B20FBD">
              <w:rPr>
                <w:rFonts w:asciiTheme="majorHAnsi" w:eastAsia="Times New Roman" w:hAnsiTheme="majorHAnsi" w:cstheme="majorHAnsi"/>
                <w:b/>
                <w:bCs/>
                <w:i/>
                <w:sz w:val="18"/>
                <w:szCs w:val="18"/>
                <w:lang w:val="ro-RO"/>
              </w:rPr>
              <w:t>3</w:t>
            </w:r>
          </w:p>
        </w:tc>
        <w:tc>
          <w:tcPr>
            <w:tcW w:w="691" w:type="dxa"/>
            <w:tcBorders>
              <w:top w:val="single" w:sz="4" w:space="0" w:color="auto"/>
              <w:left w:val="single" w:sz="4" w:space="0" w:color="auto"/>
              <w:bottom w:val="single" w:sz="4" w:space="0" w:color="auto"/>
              <w:right w:val="single" w:sz="4" w:space="0" w:color="auto"/>
            </w:tcBorders>
          </w:tcPr>
          <w:p w14:paraId="78DA850B" w14:textId="77777777" w:rsidR="00F25ADE" w:rsidRPr="00B20FBD" w:rsidRDefault="00F25ADE" w:rsidP="00F25A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i/>
                <w:sz w:val="18"/>
                <w:szCs w:val="18"/>
                <w:lang w:val="ro-RO"/>
              </w:rPr>
            </w:pPr>
            <w:r w:rsidRPr="00B20FBD">
              <w:rPr>
                <w:rFonts w:asciiTheme="majorHAnsi" w:eastAsia="Times New Roman" w:hAnsiTheme="majorHAnsi" w:cstheme="majorHAnsi"/>
                <w:b/>
                <w:bCs/>
                <w:i/>
                <w:sz w:val="18"/>
                <w:szCs w:val="18"/>
                <w:lang w:val="ro-RO"/>
              </w:rPr>
              <w:t>4</w:t>
            </w:r>
          </w:p>
        </w:tc>
        <w:tc>
          <w:tcPr>
            <w:tcW w:w="916" w:type="dxa"/>
            <w:tcBorders>
              <w:top w:val="single" w:sz="4" w:space="0" w:color="auto"/>
              <w:left w:val="single" w:sz="4" w:space="0" w:color="auto"/>
              <w:bottom w:val="single" w:sz="4" w:space="0" w:color="auto"/>
              <w:right w:val="single" w:sz="4" w:space="0" w:color="auto"/>
            </w:tcBorders>
            <w:noWrap/>
          </w:tcPr>
          <w:p w14:paraId="722F0030" w14:textId="77777777" w:rsidR="00F25ADE" w:rsidRPr="00B20FBD" w:rsidRDefault="00F25ADE" w:rsidP="00F25A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i/>
                <w:sz w:val="18"/>
                <w:szCs w:val="18"/>
                <w:lang w:val="ro-RO"/>
              </w:rPr>
            </w:pPr>
            <w:r w:rsidRPr="00B20FBD">
              <w:rPr>
                <w:rFonts w:asciiTheme="majorHAnsi" w:eastAsia="Times New Roman" w:hAnsiTheme="majorHAnsi" w:cstheme="majorHAnsi"/>
                <w:b/>
                <w:bCs/>
                <w:i/>
                <w:sz w:val="18"/>
                <w:szCs w:val="18"/>
                <w:lang w:val="ro-RO"/>
              </w:rPr>
              <w:t>5</w:t>
            </w:r>
          </w:p>
        </w:tc>
        <w:tc>
          <w:tcPr>
            <w:tcW w:w="0" w:type="auto"/>
            <w:tcBorders>
              <w:top w:val="single" w:sz="4" w:space="0" w:color="auto"/>
              <w:left w:val="single" w:sz="4" w:space="0" w:color="auto"/>
              <w:bottom w:val="single" w:sz="4" w:space="0" w:color="auto"/>
              <w:right w:val="single" w:sz="4" w:space="0" w:color="auto"/>
            </w:tcBorders>
          </w:tcPr>
          <w:p w14:paraId="102721C2" w14:textId="77777777" w:rsidR="00F25ADE" w:rsidRPr="00B20FBD" w:rsidRDefault="00F25ADE" w:rsidP="00F25A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i/>
                <w:sz w:val="18"/>
                <w:szCs w:val="18"/>
                <w:lang w:val="ro-RO"/>
              </w:rPr>
            </w:pPr>
            <w:r w:rsidRPr="00B20FBD">
              <w:rPr>
                <w:rFonts w:asciiTheme="majorHAnsi" w:eastAsia="Times New Roman" w:hAnsiTheme="majorHAnsi" w:cstheme="majorHAnsi"/>
                <w:b/>
                <w:bCs/>
                <w:i/>
                <w:sz w:val="18"/>
                <w:szCs w:val="18"/>
                <w:lang w:val="ro-RO"/>
              </w:rPr>
              <w:t>6</w:t>
            </w:r>
          </w:p>
        </w:tc>
        <w:tc>
          <w:tcPr>
            <w:tcW w:w="0" w:type="auto"/>
            <w:tcBorders>
              <w:top w:val="single" w:sz="4" w:space="0" w:color="auto"/>
              <w:left w:val="single" w:sz="4" w:space="0" w:color="auto"/>
              <w:bottom w:val="single" w:sz="4" w:space="0" w:color="auto"/>
              <w:right w:val="single" w:sz="4" w:space="0" w:color="auto"/>
            </w:tcBorders>
          </w:tcPr>
          <w:p w14:paraId="4846CDBE" w14:textId="77777777" w:rsidR="00F25ADE" w:rsidRPr="00B20FBD" w:rsidRDefault="00F25ADE" w:rsidP="00F25A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i/>
                <w:sz w:val="18"/>
                <w:szCs w:val="18"/>
                <w:lang w:val="ro-RO"/>
              </w:rPr>
            </w:pPr>
            <w:r w:rsidRPr="00B20FBD">
              <w:rPr>
                <w:rFonts w:asciiTheme="majorHAnsi" w:eastAsia="Times New Roman" w:hAnsiTheme="majorHAnsi" w:cstheme="majorHAnsi"/>
                <w:b/>
                <w:bCs/>
                <w:i/>
                <w:sz w:val="18"/>
                <w:szCs w:val="18"/>
                <w:lang w:val="ro-RO"/>
              </w:rPr>
              <w:t>7</w:t>
            </w:r>
          </w:p>
        </w:tc>
        <w:tc>
          <w:tcPr>
            <w:tcW w:w="916" w:type="dxa"/>
            <w:tcBorders>
              <w:top w:val="single" w:sz="4" w:space="0" w:color="auto"/>
              <w:left w:val="single" w:sz="4" w:space="0" w:color="auto"/>
              <w:bottom w:val="single" w:sz="4" w:space="0" w:color="auto"/>
              <w:right w:val="single" w:sz="4" w:space="0" w:color="auto"/>
            </w:tcBorders>
            <w:noWrap/>
          </w:tcPr>
          <w:p w14:paraId="5F4FC9B0" w14:textId="77777777" w:rsidR="00F25ADE" w:rsidRPr="00B20FBD" w:rsidRDefault="00F25ADE" w:rsidP="00F25A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i/>
                <w:sz w:val="18"/>
                <w:szCs w:val="18"/>
                <w:lang w:val="ro-RO"/>
              </w:rPr>
            </w:pPr>
            <w:r w:rsidRPr="00B20FBD">
              <w:rPr>
                <w:rFonts w:asciiTheme="majorHAnsi" w:eastAsia="Times New Roman" w:hAnsiTheme="majorHAnsi" w:cstheme="majorHAnsi"/>
                <w:b/>
                <w:bCs/>
                <w:i/>
                <w:sz w:val="18"/>
                <w:szCs w:val="18"/>
                <w:lang w:val="ro-RO"/>
              </w:rPr>
              <w:t>8</w:t>
            </w:r>
          </w:p>
        </w:tc>
        <w:tc>
          <w:tcPr>
            <w:tcW w:w="1061" w:type="dxa"/>
            <w:tcBorders>
              <w:top w:val="single" w:sz="4" w:space="0" w:color="auto"/>
              <w:left w:val="single" w:sz="4" w:space="0" w:color="auto"/>
              <w:bottom w:val="single" w:sz="4" w:space="0" w:color="auto"/>
              <w:right w:val="single" w:sz="4" w:space="0" w:color="auto"/>
            </w:tcBorders>
          </w:tcPr>
          <w:p w14:paraId="12F952B6" w14:textId="77777777" w:rsidR="00F25ADE" w:rsidRPr="00B20FBD" w:rsidRDefault="00F25ADE" w:rsidP="00F25A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i/>
                <w:sz w:val="18"/>
                <w:szCs w:val="18"/>
                <w:lang w:val="ro-RO"/>
              </w:rPr>
            </w:pPr>
            <w:r w:rsidRPr="00B20FBD">
              <w:rPr>
                <w:rFonts w:asciiTheme="majorHAnsi" w:eastAsia="Times New Roman" w:hAnsiTheme="majorHAnsi" w:cstheme="majorHAnsi"/>
                <w:b/>
                <w:bCs/>
                <w:i/>
                <w:sz w:val="18"/>
                <w:szCs w:val="18"/>
                <w:lang w:val="ro-RO"/>
              </w:rPr>
              <w:t>9</w:t>
            </w:r>
          </w:p>
        </w:tc>
        <w:tc>
          <w:tcPr>
            <w:tcW w:w="652" w:type="dxa"/>
            <w:tcBorders>
              <w:top w:val="single" w:sz="4" w:space="0" w:color="auto"/>
              <w:left w:val="single" w:sz="4" w:space="0" w:color="auto"/>
              <w:bottom w:val="single" w:sz="4" w:space="0" w:color="auto"/>
              <w:right w:val="single" w:sz="4" w:space="0" w:color="auto"/>
            </w:tcBorders>
          </w:tcPr>
          <w:p w14:paraId="01E6C791" w14:textId="77777777" w:rsidR="00F25ADE" w:rsidRPr="00B20FBD" w:rsidRDefault="00F25ADE" w:rsidP="00F25AD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i/>
                <w:sz w:val="18"/>
                <w:szCs w:val="18"/>
                <w:lang w:val="ro-RO"/>
              </w:rPr>
            </w:pPr>
            <w:r w:rsidRPr="00B20FBD">
              <w:rPr>
                <w:rFonts w:asciiTheme="majorHAnsi" w:eastAsia="Times New Roman" w:hAnsiTheme="majorHAnsi" w:cstheme="majorHAnsi"/>
                <w:b/>
                <w:bCs/>
                <w:i/>
                <w:sz w:val="18"/>
                <w:szCs w:val="18"/>
                <w:lang w:val="ro-RO"/>
              </w:rPr>
              <w:t>10</w:t>
            </w:r>
          </w:p>
        </w:tc>
      </w:tr>
      <w:tr w:rsidR="008022A6" w:rsidRPr="00B20FBD" w14:paraId="2ABB9833" w14:textId="77777777" w:rsidTr="008022A6">
        <w:trPr>
          <w:trHeight w:val="230"/>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auto"/>
              <w:left w:val="single" w:sz="4" w:space="0" w:color="auto"/>
              <w:bottom w:val="single" w:sz="4" w:space="0" w:color="auto"/>
              <w:right w:val="single" w:sz="4" w:space="0" w:color="auto"/>
            </w:tcBorders>
            <w:noWrap/>
            <w:hideMark/>
          </w:tcPr>
          <w:p w14:paraId="6D67436C" w14:textId="77777777" w:rsidR="00E0022E" w:rsidRPr="00B20FBD" w:rsidRDefault="00E0022E" w:rsidP="00E0022E">
            <w:pPr>
              <w:spacing w:after="0" w:line="240" w:lineRule="auto"/>
              <w:jc w:val="center"/>
              <w:rPr>
                <w:rFonts w:asciiTheme="majorHAnsi" w:eastAsia="Times New Roman" w:hAnsiTheme="majorHAnsi" w:cstheme="majorHAnsi"/>
                <w:color w:val="000000"/>
                <w:sz w:val="18"/>
                <w:szCs w:val="18"/>
                <w:lang w:val="ro-RO"/>
              </w:rPr>
            </w:pPr>
            <w:r w:rsidRPr="00B20FBD">
              <w:rPr>
                <w:rFonts w:asciiTheme="majorHAnsi" w:eastAsia="Times New Roman" w:hAnsiTheme="majorHAnsi" w:cstheme="majorHAnsi"/>
                <w:color w:val="000000"/>
                <w:sz w:val="18"/>
                <w:szCs w:val="18"/>
                <w:lang w:val="ro-RO"/>
              </w:rPr>
              <w:t>1</w:t>
            </w:r>
          </w:p>
        </w:tc>
        <w:tc>
          <w:tcPr>
            <w:tcW w:w="1166" w:type="dxa"/>
            <w:tcBorders>
              <w:top w:val="single" w:sz="4" w:space="0" w:color="auto"/>
              <w:left w:val="single" w:sz="4" w:space="0" w:color="auto"/>
              <w:bottom w:val="single" w:sz="4" w:space="0" w:color="auto"/>
              <w:right w:val="single" w:sz="4" w:space="0" w:color="auto"/>
            </w:tcBorders>
            <w:noWrap/>
          </w:tcPr>
          <w:p w14:paraId="2D927F52" w14:textId="77777777" w:rsidR="00E0022E" w:rsidRPr="00B20FBD" w:rsidRDefault="00E0022E" w:rsidP="00E0022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RO"/>
              </w:rPr>
            </w:pPr>
            <w:r w:rsidRPr="00B20FBD">
              <w:rPr>
                <w:rFonts w:asciiTheme="majorHAnsi" w:eastAsia="Times New Roman" w:hAnsiTheme="majorHAnsi" w:cstheme="majorHAnsi"/>
                <w:color w:val="000000"/>
                <w:sz w:val="18"/>
                <w:szCs w:val="18"/>
                <w:lang w:val="ro-RO"/>
              </w:rPr>
              <w:t>270717</w:t>
            </w:r>
          </w:p>
        </w:tc>
        <w:tc>
          <w:tcPr>
            <w:tcW w:w="1061" w:type="dxa"/>
            <w:tcBorders>
              <w:top w:val="single" w:sz="4" w:space="0" w:color="auto"/>
              <w:left w:val="single" w:sz="4" w:space="0" w:color="auto"/>
              <w:bottom w:val="single" w:sz="4" w:space="0" w:color="auto"/>
              <w:right w:val="single" w:sz="4" w:space="0" w:color="auto"/>
            </w:tcBorders>
            <w:noWrap/>
          </w:tcPr>
          <w:p w14:paraId="682B34A5" w14:textId="77777777" w:rsidR="00E0022E" w:rsidRPr="00B20FBD" w:rsidRDefault="00E0022E" w:rsidP="00E0022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RO"/>
              </w:rPr>
            </w:pPr>
            <w:r w:rsidRPr="00B20FBD">
              <w:rPr>
                <w:rFonts w:asciiTheme="majorHAnsi" w:eastAsia="Times New Roman" w:hAnsiTheme="majorHAnsi" w:cstheme="majorHAnsi"/>
                <w:color w:val="000000"/>
                <w:sz w:val="18"/>
                <w:szCs w:val="18"/>
                <w:lang w:val="ro-RO"/>
              </w:rPr>
              <w:t>87913,0</w:t>
            </w:r>
          </w:p>
        </w:tc>
        <w:tc>
          <w:tcPr>
            <w:tcW w:w="691" w:type="dxa"/>
            <w:tcBorders>
              <w:top w:val="single" w:sz="4" w:space="0" w:color="auto"/>
              <w:left w:val="single" w:sz="4" w:space="0" w:color="auto"/>
              <w:bottom w:val="single" w:sz="4" w:space="0" w:color="auto"/>
              <w:right w:val="single" w:sz="4" w:space="0" w:color="auto"/>
            </w:tcBorders>
            <w:noWrap/>
          </w:tcPr>
          <w:p w14:paraId="5C8F7F32" w14:textId="77777777" w:rsidR="00E0022E" w:rsidRPr="00B20FBD" w:rsidRDefault="00E0022E" w:rsidP="00E0022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RO"/>
              </w:rPr>
            </w:pPr>
            <w:r w:rsidRPr="00B20FBD">
              <w:rPr>
                <w:rFonts w:asciiTheme="majorHAnsi" w:eastAsia="Times New Roman" w:hAnsiTheme="majorHAnsi" w:cstheme="majorHAnsi"/>
                <w:color w:val="000000"/>
                <w:sz w:val="18"/>
                <w:szCs w:val="18"/>
                <w:lang w:val="ro-RO"/>
              </w:rPr>
              <w:t>19873,9</w:t>
            </w:r>
          </w:p>
        </w:tc>
        <w:tc>
          <w:tcPr>
            <w:tcW w:w="916" w:type="dxa"/>
            <w:tcBorders>
              <w:top w:val="single" w:sz="4" w:space="0" w:color="auto"/>
              <w:left w:val="single" w:sz="4" w:space="0" w:color="auto"/>
              <w:bottom w:val="single" w:sz="4" w:space="0" w:color="auto"/>
              <w:right w:val="single" w:sz="4" w:space="0" w:color="auto"/>
            </w:tcBorders>
            <w:noWrap/>
          </w:tcPr>
          <w:p w14:paraId="080F9887" w14:textId="77777777" w:rsidR="00E0022E" w:rsidRPr="00B20FBD" w:rsidRDefault="00E0022E" w:rsidP="00E0022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RO"/>
              </w:rPr>
            </w:pPr>
            <w:r w:rsidRPr="00B20FBD">
              <w:rPr>
                <w:rFonts w:asciiTheme="majorHAnsi" w:eastAsia="Times New Roman" w:hAnsiTheme="majorHAnsi" w:cstheme="majorHAnsi"/>
                <w:color w:val="000000"/>
                <w:sz w:val="18"/>
                <w:szCs w:val="18"/>
                <w:lang w:val="ro-RO"/>
              </w:rPr>
              <w:t>289373</w:t>
            </w:r>
          </w:p>
        </w:tc>
        <w:tc>
          <w:tcPr>
            <w:tcW w:w="0" w:type="auto"/>
            <w:tcBorders>
              <w:top w:val="single" w:sz="4" w:space="0" w:color="auto"/>
              <w:left w:val="single" w:sz="4" w:space="0" w:color="auto"/>
              <w:bottom w:val="single" w:sz="4" w:space="0" w:color="auto"/>
              <w:right w:val="single" w:sz="4" w:space="0" w:color="auto"/>
            </w:tcBorders>
            <w:noWrap/>
          </w:tcPr>
          <w:p w14:paraId="595B3414" w14:textId="77777777" w:rsidR="00E0022E" w:rsidRPr="00B20FBD" w:rsidRDefault="00E0022E" w:rsidP="00E0022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RO"/>
              </w:rPr>
            </w:pPr>
            <w:r w:rsidRPr="00B20FBD">
              <w:rPr>
                <w:rFonts w:asciiTheme="majorHAnsi" w:eastAsia="Times New Roman" w:hAnsiTheme="majorHAnsi" w:cstheme="majorHAnsi"/>
                <w:color w:val="000000"/>
                <w:sz w:val="18"/>
                <w:szCs w:val="18"/>
                <w:lang w:val="ro-RO"/>
              </w:rPr>
              <w:t>85168,0</w:t>
            </w:r>
          </w:p>
        </w:tc>
        <w:tc>
          <w:tcPr>
            <w:tcW w:w="0" w:type="auto"/>
            <w:tcBorders>
              <w:top w:val="single" w:sz="4" w:space="0" w:color="auto"/>
              <w:left w:val="single" w:sz="4" w:space="0" w:color="auto"/>
              <w:bottom w:val="single" w:sz="4" w:space="0" w:color="auto"/>
              <w:right w:val="single" w:sz="4" w:space="0" w:color="auto"/>
            </w:tcBorders>
            <w:noWrap/>
          </w:tcPr>
          <w:p w14:paraId="1AE9D695" w14:textId="77777777" w:rsidR="00E0022E" w:rsidRPr="00B20FBD" w:rsidRDefault="00E0022E" w:rsidP="00E0022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RO"/>
              </w:rPr>
            </w:pPr>
            <w:r w:rsidRPr="00B20FBD">
              <w:rPr>
                <w:rFonts w:asciiTheme="majorHAnsi" w:eastAsia="Times New Roman" w:hAnsiTheme="majorHAnsi" w:cstheme="majorHAnsi"/>
                <w:color w:val="000000"/>
                <w:sz w:val="18"/>
                <w:szCs w:val="18"/>
                <w:lang w:val="ro-RO"/>
              </w:rPr>
              <w:t>19634,9</w:t>
            </w:r>
          </w:p>
        </w:tc>
        <w:tc>
          <w:tcPr>
            <w:tcW w:w="916" w:type="dxa"/>
            <w:tcBorders>
              <w:top w:val="single" w:sz="4" w:space="0" w:color="auto"/>
              <w:left w:val="single" w:sz="4" w:space="0" w:color="auto"/>
              <w:bottom w:val="single" w:sz="4" w:space="0" w:color="auto"/>
              <w:right w:val="single" w:sz="4" w:space="0" w:color="auto"/>
            </w:tcBorders>
            <w:noWrap/>
          </w:tcPr>
          <w:p w14:paraId="17D9DA83" w14:textId="77777777" w:rsidR="00E0022E" w:rsidRPr="00B20FBD" w:rsidRDefault="00E0022E" w:rsidP="00E0022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RO"/>
              </w:rPr>
            </w:pPr>
            <w:r w:rsidRPr="00B20FBD">
              <w:rPr>
                <w:rFonts w:asciiTheme="majorHAnsi" w:eastAsia="Times New Roman" w:hAnsiTheme="majorHAnsi" w:cstheme="majorHAnsi"/>
                <w:color w:val="000000"/>
                <w:sz w:val="18"/>
                <w:szCs w:val="18"/>
                <w:lang w:val="ro-RO"/>
              </w:rPr>
              <w:t>319772</w:t>
            </w:r>
          </w:p>
        </w:tc>
        <w:tc>
          <w:tcPr>
            <w:tcW w:w="1061" w:type="dxa"/>
            <w:tcBorders>
              <w:top w:val="single" w:sz="4" w:space="0" w:color="auto"/>
              <w:left w:val="single" w:sz="4" w:space="0" w:color="auto"/>
              <w:bottom w:val="single" w:sz="4" w:space="0" w:color="auto"/>
              <w:right w:val="single" w:sz="4" w:space="0" w:color="auto"/>
            </w:tcBorders>
            <w:noWrap/>
          </w:tcPr>
          <w:p w14:paraId="1BA098E7" w14:textId="77777777" w:rsidR="00E0022E" w:rsidRPr="00B20FBD" w:rsidRDefault="00E0022E" w:rsidP="00E0022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RO"/>
              </w:rPr>
            </w:pPr>
            <w:r w:rsidRPr="00B20FBD">
              <w:rPr>
                <w:rFonts w:asciiTheme="majorHAnsi" w:eastAsia="Times New Roman" w:hAnsiTheme="majorHAnsi" w:cstheme="majorHAnsi"/>
                <w:color w:val="000000"/>
                <w:sz w:val="18"/>
                <w:szCs w:val="18"/>
                <w:lang w:val="ro-RO"/>
              </w:rPr>
              <w:t>115535,2</w:t>
            </w:r>
          </w:p>
        </w:tc>
        <w:tc>
          <w:tcPr>
            <w:tcW w:w="652" w:type="dxa"/>
            <w:tcBorders>
              <w:top w:val="single" w:sz="4" w:space="0" w:color="auto"/>
              <w:left w:val="single" w:sz="4" w:space="0" w:color="auto"/>
              <w:bottom w:val="single" w:sz="4" w:space="0" w:color="auto"/>
              <w:right w:val="single" w:sz="4" w:space="0" w:color="auto"/>
            </w:tcBorders>
            <w:noWrap/>
          </w:tcPr>
          <w:p w14:paraId="7B168A11" w14:textId="77777777" w:rsidR="00E0022E" w:rsidRPr="00B20FBD" w:rsidRDefault="00E0022E" w:rsidP="00E0022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RO"/>
              </w:rPr>
            </w:pPr>
            <w:r w:rsidRPr="00B20FBD">
              <w:rPr>
                <w:rFonts w:asciiTheme="majorHAnsi" w:eastAsia="Times New Roman" w:hAnsiTheme="majorHAnsi" w:cstheme="majorHAnsi"/>
                <w:color w:val="000000"/>
                <w:sz w:val="18"/>
                <w:szCs w:val="18"/>
                <w:lang w:val="ro-RO"/>
              </w:rPr>
              <w:t>24915,2</w:t>
            </w:r>
          </w:p>
        </w:tc>
      </w:tr>
      <w:tr w:rsidR="008022A6" w:rsidRPr="00B20FBD" w14:paraId="18B17BCD" w14:textId="77777777" w:rsidTr="008022A6">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auto"/>
              <w:left w:val="single" w:sz="4" w:space="0" w:color="auto"/>
              <w:bottom w:val="single" w:sz="4" w:space="0" w:color="auto"/>
              <w:right w:val="single" w:sz="4" w:space="0" w:color="auto"/>
            </w:tcBorders>
            <w:noWrap/>
            <w:hideMark/>
          </w:tcPr>
          <w:p w14:paraId="79CAB743" w14:textId="77777777" w:rsidR="00E0022E" w:rsidRPr="00B20FBD" w:rsidRDefault="00E0022E" w:rsidP="00E0022E">
            <w:pPr>
              <w:spacing w:after="0" w:line="240" w:lineRule="auto"/>
              <w:jc w:val="center"/>
              <w:rPr>
                <w:rFonts w:asciiTheme="majorHAnsi" w:eastAsia="Times New Roman" w:hAnsiTheme="majorHAnsi" w:cstheme="majorHAnsi"/>
                <w:color w:val="000000"/>
                <w:sz w:val="18"/>
                <w:szCs w:val="18"/>
                <w:lang w:val="ro-RO"/>
              </w:rPr>
            </w:pPr>
            <w:r w:rsidRPr="00B20FBD">
              <w:rPr>
                <w:rFonts w:asciiTheme="majorHAnsi" w:eastAsia="Times New Roman" w:hAnsiTheme="majorHAnsi" w:cstheme="majorHAnsi"/>
                <w:color w:val="000000"/>
                <w:sz w:val="18"/>
                <w:szCs w:val="18"/>
                <w:lang w:val="ro-RO"/>
              </w:rPr>
              <w:t>2</w:t>
            </w:r>
          </w:p>
        </w:tc>
        <w:tc>
          <w:tcPr>
            <w:tcW w:w="1166" w:type="dxa"/>
            <w:tcBorders>
              <w:top w:val="single" w:sz="4" w:space="0" w:color="auto"/>
              <w:left w:val="single" w:sz="4" w:space="0" w:color="auto"/>
              <w:bottom w:val="single" w:sz="4" w:space="0" w:color="auto"/>
              <w:right w:val="single" w:sz="4" w:space="0" w:color="auto"/>
            </w:tcBorders>
            <w:noWrap/>
          </w:tcPr>
          <w:p w14:paraId="70E58444" w14:textId="77777777" w:rsidR="00E0022E" w:rsidRPr="00B20FBD" w:rsidRDefault="00E0022E" w:rsidP="00E0022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RO"/>
              </w:rPr>
            </w:pPr>
            <w:r w:rsidRPr="00B20FBD">
              <w:rPr>
                <w:rFonts w:asciiTheme="majorHAnsi" w:eastAsia="Times New Roman" w:hAnsiTheme="majorHAnsi" w:cstheme="majorHAnsi"/>
                <w:color w:val="000000"/>
                <w:sz w:val="18"/>
                <w:szCs w:val="18"/>
                <w:lang w:val="ro-RO"/>
              </w:rPr>
              <w:t>206</w:t>
            </w:r>
          </w:p>
        </w:tc>
        <w:tc>
          <w:tcPr>
            <w:tcW w:w="1061" w:type="dxa"/>
            <w:tcBorders>
              <w:top w:val="single" w:sz="4" w:space="0" w:color="auto"/>
              <w:left w:val="single" w:sz="4" w:space="0" w:color="auto"/>
              <w:bottom w:val="single" w:sz="4" w:space="0" w:color="auto"/>
              <w:right w:val="single" w:sz="4" w:space="0" w:color="auto"/>
            </w:tcBorders>
            <w:noWrap/>
          </w:tcPr>
          <w:p w14:paraId="30101985" w14:textId="77777777" w:rsidR="00E0022E" w:rsidRPr="00B20FBD" w:rsidRDefault="00E0022E" w:rsidP="00E0022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RO"/>
              </w:rPr>
            </w:pPr>
            <w:r w:rsidRPr="00B20FBD">
              <w:rPr>
                <w:rFonts w:asciiTheme="majorHAnsi" w:eastAsia="Times New Roman" w:hAnsiTheme="majorHAnsi" w:cstheme="majorHAnsi"/>
                <w:color w:val="000000"/>
                <w:sz w:val="18"/>
                <w:szCs w:val="18"/>
                <w:lang w:val="ro-RO"/>
              </w:rPr>
              <w:t>162,6</w:t>
            </w:r>
          </w:p>
        </w:tc>
        <w:tc>
          <w:tcPr>
            <w:tcW w:w="691" w:type="dxa"/>
            <w:tcBorders>
              <w:top w:val="single" w:sz="4" w:space="0" w:color="auto"/>
              <w:left w:val="single" w:sz="4" w:space="0" w:color="auto"/>
              <w:bottom w:val="single" w:sz="4" w:space="0" w:color="auto"/>
              <w:right w:val="single" w:sz="4" w:space="0" w:color="auto"/>
            </w:tcBorders>
            <w:noWrap/>
          </w:tcPr>
          <w:p w14:paraId="74AFBDAF" w14:textId="77777777" w:rsidR="00E0022E" w:rsidRPr="00B20FBD" w:rsidRDefault="00E0022E" w:rsidP="00E0022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RO"/>
              </w:rPr>
            </w:pPr>
            <w:r w:rsidRPr="00B20FBD">
              <w:rPr>
                <w:rFonts w:asciiTheme="majorHAnsi" w:eastAsia="Times New Roman" w:hAnsiTheme="majorHAnsi" w:cstheme="majorHAnsi"/>
                <w:color w:val="000000"/>
                <w:sz w:val="18"/>
                <w:szCs w:val="18"/>
                <w:lang w:val="ro-RO"/>
              </w:rPr>
              <w:t>33,5</w:t>
            </w:r>
          </w:p>
        </w:tc>
        <w:tc>
          <w:tcPr>
            <w:tcW w:w="916" w:type="dxa"/>
            <w:tcBorders>
              <w:top w:val="single" w:sz="4" w:space="0" w:color="auto"/>
              <w:left w:val="single" w:sz="4" w:space="0" w:color="auto"/>
              <w:bottom w:val="single" w:sz="4" w:space="0" w:color="auto"/>
              <w:right w:val="single" w:sz="4" w:space="0" w:color="auto"/>
            </w:tcBorders>
            <w:noWrap/>
          </w:tcPr>
          <w:p w14:paraId="150CCF86" w14:textId="77777777" w:rsidR="00E0022E" w:rsidRPr="00B20FBD" w:rsidRDefault="00E0022E" w:rsidP="00E0022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RO"/>
              </w:rPr>
            </w:pPr>
            <w:r w:rsidRPr="00B20FBD">
              <w:rPr>
                <w:rFonts w:asciiTheme="majorHAnsi" w:eastAsia="Times New Roman" w:hAnsiTheme="majorHAnsi" w:cstheme="majorHAnsi"/>
                <w:color w:val="000000"/>
                <w:sz w:val="18"/>
                <w:szCs w:val="18"/>
                <w:lang w:val="ro-RO"/>
              </w:rPr>
              <w:t>78</w:t>
            </w:r>
          </w:p>
        </w:tc>
        <w:tc>
          <w:tcPr>
            <w:tcW w:w="0" w:type="auto"/>
            <w:tcBorders>
              <w:top w:val="single" w:sz="4" w:space="0" w:color="auto"/>
              <w:left w:val="single" w:sz="4" w:space="0" w:color="auto"/>
              <w:bottom w:val="single" w:sz="4" w:space="0" w:color="auto"/>
              <w:right w:val="single" w:sz="4" w:space="0" w:color="auto"/>
            </w:tcBorders>
            <w:noWrap/>
          </w:tcPr>
          <w:p w14:paraId="2781FF5A" w14:textId="77777777" w:rsidR="00E0022E" w:rsidRPr="00B20FBD" w:rsidRDefault="00E0022E" w:rsidP="00E0022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RO"/>
              </w:rPr>
            </w:pPr>
            <w:r w:rsidRPr="00B20FBD">
              <w:rPr>
                <w:rFonts w:asciiTheme="majorHAnsi" w:eastAsia="Times New Roman" w:hAnsiTheme="majorHAnsi" w:cstheme="majorHAnsi"/>
                <w:color w:val="000000"/>
                <w:sz w:val="18"/>
                <w:szCs w:val="18"/>
                <w:lang w:val="ro-RO"/>
              </w:rPr>
              <w:t>49,8</w:t>
            </w:r>
          </w:p>
        </w:tc>
        <w:tc>
          <w:tcPr>
            <w:tcW w:w="0" w:type="auto"/>
            <w:tcBorders>
              <w:top w:val="single" w:sz="4" w:space="0" w:color="auto"/>
              <w:left w:val="single" w:sz="4" w:space="0" w:color="auto"/>
              <w:bottom w:val="single" w:sz="4" w:space="0" w:color="auto"/>
              <w:right w:val="single" w:sz="4" w:space="0" w:color="auto"/>
            </w:tcBorders>
            <w:noWrap/>
          </w:tcPr>
          <w:p w14:paraId="412DF7F6" w14:textId="77777777" w:rsidR="00E0022E" w:rsidRPr="00B20FBD" w:rsidRDefault="00E0022E" w:rsidP="00E0022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RO"/>
              </w:rPr>
            </w:pPr>
            <w:r w:rsidRPr="00B20FBD">
              <w:rPr>
                <w:rFonts w:asciiTheme="majorHAnsi" w:eastAsia="Times New Roman" w:hAnsiTheme="majorHAnsi" w:cstheme="majorHAnsi"/>
                <w:color w:val="000000"/>
                <w:sz w:val="18"/>
                <w:szCs w:val="18"/>
                <w:lang w:val="ro-RO"/>
              </w:rPr>
              <w:t>10,2</w:t>
            </w:r>
          </w:p>
        </w:tc>
        <w:tc>
          <w:tcPr>
            <w:tcW w:w="916" w:type="dxa"/>
            <w:tcBorders>
              <w:top w:val="single" w:sz="4" w:space="0" w:color="auto"/>
              <w:left w:val="single" w:sz="4" w:space="0" w:color="auto"/>
              <w:bottom w:val="single" w:sz="4" w:space="0" w:color="auto"/>
              <w:right w:val="single" w:sz="4" w:space="0" w:color="auto"/>
            </w:tcBorders>
            <w:noWrap/>
          </w:tcPr>
          <w:p w14:paraId="1B8E7129" w14:textId="77777777" w:rsidR="00E0022E" w:rsidRPr="00B20FBD" w:rsidRDefault="00E0022E" w:rsidP="00E0022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RO"/>
              </w:rPr>
            </w:pPr>
            <w:r w:rsidRPr="00B20FBD">
              <w:rPr>
                <w:rFonts w:asciiTheme="majorHAnsi" w:eastAsia="Times New Roman" w:hAnsiTheme="majorHAnsi" w:cstheme="majorHAnsi"/>
                <w:color w:val="000000"/>
                <w:sz w:val="18"/>
                <w:szCs w:val="18"/>
                <w:lang w:val="ro-RO"/>
              </w:rPr>
              <w:t>60</w:t>
            </w:r>
          </w:p>
        </w:tc>
        <w:tc>
          <w:tcPr>
            <w:tcW w:w="1061" w:type="dxa"/>
            <w:tcBorders>
              <w:top w:val="single" w:sz="4" w:space="0" w:color="auto"/>
              <w:left w:val="single" w:sz="4" w:space="0" w:color="auto"/>
              <w:bottom w:val="single" w:sz="4" w:space="0" w:color="auto"/>
              <w:right w:val="single" w:sz="4" w:space="0" w:color="auto"/>
            </w:tcBorders>
            <w:noWrap/>
          </w:tcPr>
          <w:p w14:paraId="4297EEBD" w14:textId="77777777" w:rsidR="00E0022E" w:rsidRPr="00B20FBD" w:rsidRDefault="00E0022E" w:rsidP="00E0022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RO"/>
              </w:rPr>
            </w:pPr>
            <w:r w:rsidRPr="00B20FBD">
              <w:rPr>
                <w:rFonts w:asciiTheme="majorHAnsi" w:eastAsia="Times New Roman" w:hAnsiTheme="majorHAnsi" w:cstheme="majorHAnsi"/>
                <w:color w:val="000000"/>
                <w:sz w:val="18"/>
                <w:szCs w:val="18"/>
                <w:lang w:val="ro-RO"/>
              </w:rPr>
              <w:t>6,7</w:t>
            </w:r>
          </w:p>
        </w:tc>
        <w:tc>
          <w:tcPr>
            <w:tcW w:w="652" w:type="dxa"/>
            <w:tcBorders>
              <w:top w:val="single" w:sz="4" w:space="0" w:color="auto"/>
              <w:left w:val="single" w:sz="4" w:space="0" w:color="auto"/>
              <w:bottom w:val="single" w:sz="4" w:space="0" w:color="auto"/>
              <w:right w:val="single" w:sz="4" w:space="0" w:color="auto"/>
            </w:tcBorders>
            <w:noWrap/>
          </w:tcPr>
          <w:p w14:paraId="59AE8F04" w14:textId="77777777" w:rsidR="00E0022E" w:rsidRPr="00B20FBD" w:rsidRDefault="00E0022E" w:rsidP="00E0022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RO"/>
              </w:rPr>
            </w:pPr>
            <w:r w:rsidRPr="00B20FBD">
              <w:rPr>
                <w:rFonts w:asciiTheme="majorHAnsi" w:eastAsia="Times New Roman" w:hAnsiTheme="majorHAnsi" w:cstheme="majorHAnsi"/>
                <w:color w:val="000000"/>
                <w:sz w:val="18"/>
                <w:szCs w:val="18"/>
                <w:lang w:val="ro-RO"/>
              </w:rPr>
              <w:t>1,0</w:t>
            </w:r>
          </w:p>
        </w:tc>
      </w:tr>
      <w:tr w:rsidR="008022A6" w:rsidRPr="00B20FBD" w14:paraId="3A06E78E" w14:textId="77777777" w:rsidTr="008022A6">
        <w:trPr>
          <w:trHeight w:val="230"/>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auto"/>
              <w:left w:val="single" w:sz="4" w:space="0" w:color="auto"/>
              <w:bottom w:val="single" w:sz="4" w:space="0" w:color="auto"/>
              <w:right w:val="single" w:sz="4" w:space="0" w:color="auto"/>
            </w:tcBorders>
            <w:noWrap/>
            <w:hideMark/>
          </w:tcPr>
          <w:p w14:paraId="6BE717CD" w14:textId="77777777" w:rsidR="00E0022E" w:rsidRPr="00B20FBD" w:rsidRDefault="00E0022E" w:rsidP="00E0022E">
            <w:pPr>
              <w:spacing w:after="0" w:line="240" w:lineRule="auto"/>
              <w:jc w:val="center"/>
              <w:rPr>
                <w:rFonts w:asciiTheme="majorHAnsi" w:eastAsia="Times New Roman" w:hAnsiTheme="majorHAnsi" w:cstheme="majorHAnsi"/>
                <w:color w:val="000000"/>
                <w:sz w:val="18"/>
                <w:szCs w:val="18"/>
                <w:lang w:val="ro-RO"/>
              </w:rPr>
            </w:pPr>
            <w:r w:rsidRPr="00B20FBD">
              <w:rPr>
                <w:rFonts w:asciiTheme="majorHAnsi" w:eastAsia="Times New Roman" w:hAnsiTheme="majorHAnsi" w:cstheme="majorHAnsi"/>
                <w:color w:val="000000"/>
                <w:sz w:val="18"/>
                <w:szCs w:val="18"/>
                <w:lang w:val="ro-RO"/>
              </w:rPr>
              <w:t>3</w:t>
            </w:r>
          </w:p>
        </w:tc>
        <w:tc>
          <w:tcPr>
            <w:tcW w:w="1166" w:type="dxa"/>
            <w:tcBorders>
              <w:top w:val="single" w:sz="4" w:space="0" w:color="auto"/>
              <w:left w:val="single" w:sz="4" w:space="0" w:color="auto"/>
              <w:bottom w:val="single" w:sz="4" w:space="0" w:color="auto"/>
              <w:right w:val="single" w:sz="4" w:space="0" w:color="auto"/>
            </w:tcBorders>
            <w:noWrap/>
          </w:tcPr>
          <w:p w14:paraId="1B88F362" w14:textId="77777777" w:rsidR="00E0022E" w:rsidRPr="00B20FBD" w:rsidRDefault="00E0022E" w:rsidP="00E0022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RO"/>
              </w:rPr>
            </w:pPr>
            <w:r w:rsidRPr="00B20FBD">
              <w:rPr>
                <w:rFonts w:asciiTheme="majorHAnsi" w:eastAsia="Times New Roman" w:hAnsiTheme="majorHAnsi" w:cstheme="majorHAnsi"/>
                <w:color w:val="000000"/>
                <w:sz w:val="18"/>
                <w:szCs w:val="18"/>
                <w:lang w:val="ro-RO"/>
              </w:rPr>
              <w:t>26</w:t>
            </w:r>
          </w:p>
        </w:tc>
        <w:tc>
          <w:tcPr>
            <w:tcW w:w="1061" w:type="dxa"/>
            <w:tcBorders>
              <w:top w:val="single" w:sz="4" w:space="0" w:color="auto"/>
              <w:left w:val="single" w:sz="4" w:space="0" w:color="auto"/>
              <w:bottom w:val="single" w:sz="4" w:space="0" w:color="auto"/>
              <w:right w:val="single" w:sz="4" w:space="0" w:color="auto"/>
            </w:tcBorders>
            <w:noWrap/>
          </w:tcPr>
          <w:p w14:paraId="6FEDBD42" w14:textId="77777777" w:rsidR="00E0022E" w:rsidRPr="00B20FBD" w:rsidRDefault="00E0022E" w:rsidP="00E0022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RO"/>
              </w:rPr>
            </w:pPr>
            <w:r w:rsidRPr="00B20FBD">
              <w:rPr>
                <w:rFonts w:asciiTheme="majorHAnsi" w:eastAsia="Times New Roman" w:hAnsiTheme="majorHAnsi" w:cstheme="majorHAnsi"/>
                <w:color w:val="000000"/>
                <w:sz w:val="18"/>
                <w:szCs w:val="18"/>
                <w:lang w:val="ro-RO"/>
              </w:rPr>
              <w:t>5,7</w:t>
            </w:r>
          </w:p>
        </w:tc>
        <w:tc>
          <w:tcPr>
            <w:tcW w:w="691" w:type="dxa"/>
            <w:tcBorders>
              <w:top w:val="single" w:sz="4" w:space="0" w:color="auto"/>
              <w:left w:val="single" w:sz="4" w:space="0" w:color="auto"/>
              <w:bottom w:val="single" w:sz="4" w:space="0" w:color="auto"/>
              <w:right w:val="single" w:sz="4" w:space="0" w:color="auto"/>
            </w:tcBorders>
            <w:noWrap/>
          </w:tcPr>
          <w:p w14:paraId="0E8271D5" w14:textId="77777777" w:rsidR="00E0022E" w:rsidRPr="00B20FBD" w:rsidRDefault="00E0022E" w:rsidP="00E0022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RO"/>
              </w:rPr>
            </w:pPr>
            <w:r w:rsidRPr="00B20FBD">
              <w:rPr>
                <w:rFonts w:asciiTheme="majorHAnsi" w:eastAsia="Times New Roman" w:hAnsiTheme="majorHAnsi" w:cstheme="majorHAnsi"/>
                <w:color w:val="000000"/>
                <w:sz w:val="18"/>
                <w:szCs w:val="18"/>
                <w:lang w:val="ro-RO"/>
              </w:rPr>
              <w:t>0,1</w:t>
            </w:r>
          </w:p>
        </w:tc>
        <w:tc>
          <w:tcPr>
            <w:tcW w:w="916" w:type="dxa"/>
            <w:tcBorders>
              <w:top w:val="single" w:sz="4" w:space="0" w:color="auto"/>
              <w:left w:val="single" w:sz="4" w:space="0" w:color="auto"/>
              <w:bottom w:val="single" w:sz="4" w:space="0" w:color="auto"/>
              <w:right w:val="single" w:sz="4" w:space="0" w:color="auto"/>
            </w:tcBorders>
            <w:noWrap/>
          </w:tcPr>
          <w:p w14:paraId="3D55BEBD" w14:textId="77777777" w:rsidR="00E0022E" w:rsidRPr="00B20FBD" w:rsidRDefault="00E0022E" w:rsidP="00E0022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RO"/>
              </w:rPr>
            </w:pPr>
            <w:r w:rsidRPr="00B20FBD">
              <w:rPr>
                <w:rFonts w:asciiTheme="majorHAnsi" w:eastAsia="Times New Roman" w:hAnsiTheme="majorHAnsi" w:cstheme="majorHAnsi"/>
                <w:color w:val="000000"/>
                <w:sz w:val="18"/>
                <w:szCs w:val="18"/>
                <w:lang w:val="ro-RO"/>
              </w:rPr>
              <w:t>25</w:t>
            </w:r>
          </w:p>
        </w:tc>
        <w:tc>
          <w:tcPr>
            <w:tcW w:w="0" w:type="auto"/>
            <w:tcBorders>
              <w:top w:val="single" w:sz="4" w:space="0" w:color="auto"/>
              <w:left w:val="single" w:sz="4" w:space="0" w:color="auto"/>
              <w:bottom w:val="single" w:sz="4" w:space="0" w:color="auto"/>
              <w:right w:val="single" w:sz="4" w:space="0" w:color="auto"/>
            </w:tcBorders>
            <w:noWrap/>
          </w:tcPr>
          <w:p w14:paraId="1D8321A5" w14:textId="77777777" w:rsidR="00E0022E" w:rsidRPr="00B20FBD" w:rsidRDefault="00E0022E" w:rsidP="00E0022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RO"/>
              </w:rPr>
            </w:pPr>
            <w:r w:rsidRPr="00B20FBD">
              <w:rPr>
                <w:rFonts w:asciiTheme="majorHAnsi" w:eastAsia="Times New Roman" w:hAnsiTheme="majorHAnsi" w:cstheme="majorHAnsi"/>
                <w:color w:val="000000"/>
                <w:sz w:val="18"/>
                <w:szCs w:val="18"/>
                <w:lang w:val="ro-RO"/>
              </w:rPr>
              <w:t>3,6</w:t>
            </w:r>
          </w:p>
        </w:tc>
        <w:tc>
          <w:tcPr>
            <w:tcW w:w="0" w:type="auto"/>
            <w:tcBorders>
              <w:top w:val="single" w:sz="4" w:space="0" w:color="auto"/>
              <w:left w:val="single" w:sz="4" w:space="0" w:color="auto"/>
              <w:bottom w:val="single" w:sz="4" w:space="0" w:color="auto"/>
              <w:right w:val="single" w:sz="4" w:space="0" w:color="auto"/>
            </w:tcBorders>
            <w:noWrap/>
          </w:tcPr>
          <w:p w14:paraId="4AAE6745" w14:textId="77777777" w:rsidR="00E0022E" w:rsidRPr="00B20FBD" w:rsidRDefault="00E0022E" w:rsidP="00E0022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RO"/>
              </w:rPr>
            </w:pPr>
            <w:r w:rsidRPr="00B20FBD">
              <w:rPr>
                <w:rFonts w:asciiTheme="majorHAnsi" w:eastAsia="Times New Roman" w:hAnsiTheme="majorHAnsi" w:cstheme="majorHAnsi"/>
                <w:color w:val="000000"/>
                <w:sz w:val="18"/>
                <w:szCs w:val="18"/>
                <w:lang w:val="ro-RO"/>
              </w:rPr>
              <w:t>0,9</w:t>
            </w:r>
          </w:p>
        </w:tc>
        <w:tc>
          <w:tcPr>
            <w:tcW w:w="916" w:type="dxa"/>
            <w:tcBorders>
              <w:top w:val="single" w:sz="4" w:space="0" w:color="auto"/>
              <w:left w:val="single" w:sz="4" w:space="0" w:color="auto"/>
              <w:bottom w:val="single" w:sz="4" w:space="0" w:color="auto"/>
              <w:right w:val="single" w:sz="4" w:space="0" w:color="auto"/>
            </w:tcBorders>
            <w:noWrap/>
          </w:tcPr>
          <w:p w14:paraId="1FBCA1FA" w14:textId="77777777" w:rsidR="00E0022E" w:rsidRPr="00B20FBD" w:rsidRDefault="00E0022E" w:rsidP="00E0022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RO"/>
              </w:rPr>
            </w:pPr>
            <w:r w:rsidRPr="00B20FBD">
              <w:rPr>
                <w:rFonts w:asciiTheme="majorHAnsi" w:eastAsia="Times New Roman" w:hAnsiTheme="majorHAnsi" w:cstheme="majorHAnsi"/>
                <w:color w:val="000000"/>
                <w:sz w:val="18"/>
                <w:szCs w:val="18"/>
                <w:lang w:val="ro-RO"/>
              </w:rPr>
              <w:t>33</w:t>
            </w:r>
          </w:p>
        </w:tc>
        <w:tc>
          <w:tcPr>
            <w:tcW w:w="1061" w:type="dxa"/>
            <w:tcBorders>
              <w:top w:val="single" w:sz="4" w:space="0" w:color="auto"/>
              <w:left w:val="single" w:sz="4" w:space="0" w:color="auto"/>
              <w:bottom w:val="single" w:sz="4" w:space="0" w:color="auto"/>
              <w:right w:val="single" w:sz="4" w:space="0" w:color="auto"/>
            </w:tcBorders>
            <w:noWrap/>
          </w:tcPr>
          <w:p w14:paraId="229EBA7B" w14:textId="77777777" w:rsidR="00E0022E" w:rsidRPr="00B20FBD" w:rsidRDefault="00E0022E" w:rsidP="00E0022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RO"/>
              </w:rPr>
            </w:pPr>
            <w:r w:rsidRPr="00B20FBD">
              <w:rPr>
                <w:rFonts w:asciiTheme="majorHAnsi" w:eastAsia="Times New Roman" w:hAnsiTheme="majorHAnsi" w:cstheme="majorHAnsi"/>
                <w:color w:val="000000"/>
                <w:sz w:val="18"/>
                <w:szCs w:val="18"/>
                <w:lang w:val="ro-RO"/>
              </w:rPr>
              <w:t>2,7</w:t>
            </w:r>
          </w:p>
        </w:tc>
        <w:tc>
          <w:tcPr>
            <w:tcW w:w="652" w:type="dxa"/>
            <w:tcBorders>
              <w:top w:val="single" w:sz="4" w:space="0" w:color="auto"/>
              <w:left w:val="single" w:sz="4" w:space="0" w:color="auto"/>
              <w:bottom w:val="single" w:sz="4" w:space="0" w:color="auto"/>
              <w:right w:val="single" w:sz="4" w:space="0" w:color="auto"/>
            </w:tcBorders>
            <w:noWrap/>
          </w:tcPr>
          <w:p w14:paraId="3E64BF2D" w14:textId="77777777" w:rsidR="00E0022E" w:rsidRPr="00B20FBD" w:rsidRDefault="00E0022E" w:rsidP="00E0022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RO"/>
              </w:rPr>
            </w:pPr>
            <w:r w:rsidRPr="00B20FBD">
              <w:rPr>
                <w:rFonts w:asciiTheme="majorHAnsi" w:eastAsia="Times New Roman" w:hAnsiTheme="majorHAnsi" w:cstheme="majorHAnsi"/>
                <w:color w:val="000000"/>
                <w:sz w:val="18"/>
                <w:szCs w:val="18"/>
                <w:lang w:val="ro-RO"/>
              </w:rPr>
              <w:t>0,7</w:t>
            </w:r>
          </w:p>
        </w:tc>
      </w:tr>
      <w:tr w:rsidR="008022A6" w:rsidRPr="00B20FBD" w14:paraId="340BF82A" w14:textId="77777777" w:rsidTr="008022A6">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auto"/>
              <w:left w:val="single" w:sz="4" w:space="0" w:color="auto"/>
              <w:bottom w:val="single" w:sz="4" w:space="0" w:color="auto"/>
              <w:right w:val="single" w:sz="4" w:space="0" w:color="auto"/>
            </w:tcBorders>
            <w:noWrap/>
            <w:hideMark/>
          </w:tcPr>
          <w:p w14:paraId="35EE13FE" w14:textId="77777777" w:rsidR="00E0022E" w:rsidRPr="00B20FBD" w:rsidRDefault="00E0022E" w:rsidP="00E0022E">
            <w:pPr>
              <w:spacing w:after="0" w:line="240" w:lineRule="auto"/>
              <w:jc w:val="center"/>
              <w:rPr>
                <w:rFonts w:asciiTheme="majorHAnsi" w:eastAsia="Times New Roman" w:hAnsiTheme="majorHAnsi" w:cstheme="majorHAnsi"/>
                <w:color w:val="000000"/>
                <w:sz w:val="18"/>
                <w:szCs w:val="18"/>
                <w:lang w:val="ro-RO"/>
              </w:rPr>
            </w:pPr>
            <w:r w:rsidRPr="00B20FBD">
              <w:rPr>
                <w:rFonts w:asciiTheme="majorHAnsi" w:eastAsia="Times New Roman" w:hAnsiTheme="majorHAnsi" w:cstheme="majorHAnsi"/>
                <w:color w:val="000000"/>
                <w:sz w:val="18"/>
                <w:szCs w:val="18"/>
                <w:lang w:val="ro-RO"/>
              </w:rPr>
              <w:t>4</w:t>
            </w:r>
          </w:p>
        </w:tc>
        <w:tc>
          <w:tcPr>
            <w:tcW w:w="1166" w:type="dxa"/>
            <w:tcBorders>
              <w:top w:val="single" w:sz="4" w:space="0" w:color="auto"/>
              <w:left w:val="single" w:sz="4" w:space="0" w:color="auto"/>
              <w:bottom w:val="single" w:sz="4" w:space="0" w:color="auto"/>
              <w:right w:val="single" w:sz="4" w:space="0" w:color="auto"/>
            </w:tcBorders>
            <w:noWrap/>
          </w:tcPr>
          <w:p w14:paraId="0981D636" w14:textId="77777777" w:rsidR="00E0022E" w:rsidRPr="00B20FBD" w:rsidRDefault="00E0022E" w:rsidP="00E0022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RO"/>
              </w:rPr>
            </w:pPr>
            <w:r w:rsidRPr="00B20FBD">
              <w:rPr>
                <w:rFonts w:asciiTheme="majorHAnsi" w:eastAsia="Times New Roman" w:hAnsiTheme="majorHAnsi" w:cstheme="majorHAnsi"/>
                <w:color w:val="000000"/>
                <w:sz w:val="18"/>
                <w:szCs w:val="18"/>
                <w:lang w:val="ro-RO"/>
              </w:rPr>
              <w:t>47</w:t>
            </w:r>
          </w:p>
        </w:tc>
        <w:tc>
          <w:tcPr>
            <w:tcW w:w="1061" w:type="dxa"/>
            <w:tcBorders>
              <w:top w:val="single" w:sz="4" w:space="0" w:color="auto"/>
              <w:left w:val="single" w:sz="4" w:space="0" w:color="auto"/>
              <w:bottom w:val="single" w:sz="4" w:space="0" w:color="auto"/>
              <w:right w:val="single" w:sz="4" w:space="0" w:color="auto"/>
            </w:tcBorders>
            <w:noWrap/>
          </w:tcPr>
          <w:p w14:paraId="55038E69" w14:textId="77777777" w:rsidR="00E0022E" w:rsidRPr="00B20FBD" w:rsidRDefault="00E0022E" w:rsidP="00E0022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RO"/>
              </w:rPr>
            </w:pPr>
            <w:r w:rsidRPr="00B20FBD">
              <w:rPr>
                <w:rFonts w:asciiTheme="majorHAnsi" w:eastAsia="Times New Roman" w:hAnsiTheme="majorHAnsi" w:cstheme="majorHAnsi"/>
                <w:color w:val="000000"/>
                <w:sz w:val="18"/>
                <w:szCs w:val="18"/>
                <w:lang w:val="ro-RO"/>
              </w:rPr>
              <w:t>1,7</w:t>
            </w:r>
          </w:p>
        </w:tc>
        <w:tc>
          <w:tcPr>
            <w:tcW w:w="691" w:type="dxa"/>
            <w:tcBorders>
              <w:top w:val="single" w:sz="4" w:space="0" w:color="auto"/>
              <w:left w:val="single" w:sz="4" w:space="0" w:color="auto"/>
              <w:bottom w:val="single" w:sz="4" w:space="0" w:color="auto"/>
              <w:right w:val="single" w:sz="4" w:space="0" w:color="auto"/>
            </w:tcBorders>
            <w:noWrap/>
          </w:tcPr>
          <w:p w14:paraId="047B4636" w14:textId="77777777" w:rsidR="00E0022E" w:rsidRPr="00B20FBD" w:rsidRDefault="00E0022E" w:rsidP="00E0022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RO"/>
              </w:rPr>
            </w:pPr>
            <w:r w:rsidRPr="00B20FBD">
              <w:rPr>
                <w:rFonts w:asciiTheme="majorHAnsi" w:eastAsia="Times New Roman" w:hAnsiTheme="majorHAnsi" w:cstheme="majorHAnsi"/>
                <w:color w:val="000000"/>
                <w:sz w:val="18"/>
                <w:szCs w:val="18"/>
                <w:lang w:val="ro-RO"/>
              </w:rPr>
              <w:t>0,4</w:t>
            </w:r>
          </w:p>
        </w:tc>
        <w:tc>
          <w:tcPr>
            <w:tcW w:w="916" w:type="dxa"/>
            <w:tcBorders>
              <w:top w:val="single" w:sz="4" w:space="0" w:color="auto"/>
              <w:left w:val="single" w:sz="4" w:space="0" w:color="auto"/>
              <w:bottom w:val="single" w:sz="4" w:space="0" w:color="auto"/>
              <w:right w:val="single" w:sz="4" w:space="0" w:color="auto"/>
            </w:tcBorders>
            <w:noWrap/>
          </w:tcPr>
          <w:p w14:paraId="084146F5" w14:textId="77777777" w:rsidR="00E0022E" w:rsidRPr="00B20FBD" w:rsidRDefault="00E0022E" w:rsidP="00E0022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RO"/>
              </w:rPr>
            </w:pPr>
            <w:r w:rsidRPr="00B20FBD">
              <w:rPr>
                <w:rFonts w:asciiTheme="majorHAnsi" w:eastAsia="Times New Roman" w:hAnsiTheme="majorHAnsi" w:cstheme="majorHAnsi"/>
                <w:color w:val="000000"/>
                <w:sz w:val="18"/>
                <w:szCs w:val="18"/>
                <w:lang w:val="ro-RO"/>
              </w:rPr>
              <w:t>57</w:t>
            </w:r>
          </w:p>
        </w:tc>
        <w:tc>
          <w:tcPr>
            <w:tcW w:w="0" w:type="auto"/>
            <w:tcBorders>
              <w:top w:val="single" w:sz="4" w:space="0" w:color="auto"/>
              <w:left w:val="single" w:sz="4" w:space="0" w:color="auto"/>
              <w:bottom w:val="single" w:sz="4" w:space="0" w:color="auto"/>
              <w:right w:val="single" w:sz="4" w:space="0" w:color="auto"/>
            </w:tcBorders>
            <w:noWrap/>
          </w:tcPr>
          <w:p w14:paraId="4B4BE777" w14:textId="77777777" w:rsidR="00E0022E" w:rsidRPr="00B20FBD" w:rsidRDefault="00E0022E" w:rsidP="00E0022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RO"/>
              </w:rPr>
            </w:pPr>
            <w:r w:rsidRPr="00B20FBD">
              <w:rPr>
                <w:rFonts w:asciiTheme="majorHAnsi" w:eastAsia="Times New Roman" w:hAnsiTheme="majorHAnsi" w:cstheme="majorHAnsi"/>
                <w:color w:val="000000"/>
                <w:sz w:val="18"/>
                <w:szCs w:val="18"/>
                <w:lang w:val="ro-RO"/>
              </w:rPr>
              <w:t>4,0</w:t>
            </w:r>
          </w:p>
        </w:tc>
        <w:tc>
          <w:tcPr>
            <w:tcW w:w="0" w:type="auto"/>
            <w:tcBorders>
              <w:top w:val="single" w:sz="4" w:space="0" w:color="auto"/>
              <w:left w:val="single" w:sz="4" w:space="0" w:color="auto"/>
              <w:bottom w:val="single" w:sz="4" w:space="0" w:color="auto"/>
              <w:right w:val="single" w:sz="4" w:space="0" w:color="auto"/>
            </w:tcBorders>
            <w:noWrap/>
          </w:tcPr>
          <w:p w14:paraId="39FB9E7E" w14:textId="77777777" w:rsidR="00E0022E" w:rsidRPr="00B20FBD" w:rsidRDefault="00E0022E" w:rsidP="00E0022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RO"/>
              </w:rPr>
            </w:pPr>
            <w:r w:rsidRPr="00B20FBD">
              <w:rPr>
                <w:rFonts w:asciiTheme="majorHAnsi" w:eastAsia="Times New Roman" w:hAnsiTheme="majorHAnsi" w:cstheme="majorHAnsi"/>
                <w:color w:val="000000"/>
                <w:sz w:val="18"/>
                <w:szCs w:val="18"/>
                <w:lang w:val="ro-RO"/>
              </w:rPr>
              <w:t>0,6</w:t>
            </w:r>
          </w:p>
        </w:tc>
        <w:tc>
          <w:tcPr>
            <w:tcW w:w="916" w:type="dxa"/>
            <w:tcBorders>
              <w:top w:val="single" w:sz="4" w:space="0" w:color="auto"/>
              <w:left w:val="single" w:sz="4" w:space="0" w:color="auto"/>
              <w:bottom w:val="single" w:sz="4" w:space="0" w:color="auto"/>
              <w:right w:val="single" w:sz="4" w:space="0" w:color="auto"/>
            </w:tcBorders>
            <w:noWrap/>
          </w:tcPr>
          <w:p w14:paraId="04FC0E96" w14:textId="77777777" w:rsidR="00E0022E" w:rsidRPr="00B20FBD" w:rsidRDefault="00E0022E" w:rsidP="00E0022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RO"/>
              </w:rPr>
            </w:pPr>
            <w:r w:rsidRPr="00B20FBD">
              <w:rPr>
                <w:rFonts w:asciiTheme="majorHAnsi" w:eastAsia="Times New Roman" w:hAnsiTheme="majorHAnsi" w:cstheme="majorHAnsi"/>
                <w:color w:val="000000"/>
                <w:sz w:val="18"/>
                <w:szCs w:val="18"/>
                <w:lang w:val="ro-RO"/>
              </w:rPr>
              <w:t>71</w:t>
            </w:r>
          </w:p>
        </w:tc>
        <w:tc>
          <w:tcPr>
            <w:tcW w:w="1061" w:type="dxa"/>
            <w:tcBorders>
              <w:top w:val="single" w:sz="4" w:space="0" w:color="auto"/>
              <w:left w:val="single" w:sz="4" w:space="0" w:color="auto"/>
              <w:bottom w:val="single" w:sz="4" w:space="0" w:color="auto"/>
              <w:right w:val="single" w:sz="4" w:space="0" w:color="auto"/>
            </w:tcBorders>
            <w:noWrap/>
          </w:tcPr>
          <w:p w14:paraId="54C8368E" w14:textId="77777777" w:rsidR="00E0022E" w:rsidRPr="00B20FBD" w:rsidRDefault="00E0022E" w:rsidP="00E0022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RO"/>
              </w:rPr>
            </w:pPr>
            <w:r w:rsidRPr="00B20FBD">
              <w:rPr>
                <w:rFonts w:asciiTheme="majorHAnsi" w:eastAsia="Times New Roman" w:hAnsiTheme="majorHAnsi" w:cstheme="majorHAnsi"/>
                <w:color w:val="000000"/>
                <w:sz w:val="18"/>
                <w:szCs w:val="18"/>
                <w:lang w:val="ro-RO"/>
              </w:rPr>
              <w:t>5,4</w:t>
            </w:r>
          </w:p>
        </w:tc>
        <w:tc>
          <w:tcPr>
            <w:tcW w:w="652" w:type="dxa"/>
            <w:tcBorders>
              <w:top w:val="single" w:sz="4" w:space="0" w:color="auto"/>
              <w:left w:val="single" w:sz="4" w:space="0" w:color="auto"/>
              <w:bottom w:val="single" w:sz="4" w:space="0" w:color="auto"/>
              <w:right w:val="single" w:sz="4" w:space="0" w:color="auto"/>
            </w:tcBorders>
            <w:noWrap/>
          </w:tcPr>
          <w:p w14:paraId="1FE1C9EB" w14:textId="77777777" w:rsidR="00E0022E" w:rsidRPr="00B20FBD" w:rsidRDefault="00E0022E" w:rsidP="00E0022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RO"/>
              </w:rPr>
            </w:pPr>
            <w:r w:rsidRPr="00B20FBD">
              <w:rPr>
                <w:rFonts w:asciiTheme="majorHAnsi" w:eastAsia="Times New Roman" w:hAnsiTheme="majorHAnsi" w:cstheme="majorHAnsi"/>
                <w:color w:val="000000"/>
                <w:sz w:val="18"/>
                <w:szCs w:val="18"/>
                <w:lang w:val="ro-RO"/>
              </w:rPr>
              <w:t>1,6</w:t>
            </w:r>
          </w:p>
        </w:tc>
      </w:tr>
      <w:tr w:rsidR="008022A6" w:rsidRPr="00B20FBD" w14:paraId="1E246B1D" w14:textId="77777777" w:rsidTr="008022A6">
        <w:trPr>
          <w:trHeight w:val="230"/>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auto"/>
              <w:left w:val="single" w:sz="4" w:space="0" w:color="auto"/>
              <w:bottom w:val="single" w:sz="4" w:space="0" w:color="auto"/>
              <w:right w:val="single" w:sz="4" w:space="0" w:color="auto"/>
            </w:tcBorders>
            <w:noWrap/>
            <w:hideMark/>
          </w:tcPr>
          <w:p w14:paraId="4A3C3B26" w14:textId="77777777" w:rsidR="00E0022E" w:rsidRPr="00B20FBD" w:rsidRDefault="00E0022E" w:rsidP="00E0022E">
            <w:pPr>
              <w:spacing w:after="0" w:line="240" w:lineRule="auto"/>
              <w:jc w:val="center"/>
              <w:rPr>
                <w:rFonts w:asciiTheme="majorHAnsi" w:eastAsia="Times New Roman" w:hAnsiTheme="majorHAnsi" w:cstheme="majorHAnsi"/>
                <w:color w:val="000000"/>
                <w:sz w:val="18"/>
                <w:szCs w:val="18"/>
                <w:lang w:val="ro-RO"/>
              </w:rPr>
            </w:pPr>
            <w:r w:rsidRPr="00B20FBD">
              <w:rPr>
                <w:rFonts w:asciiTheme="majorHAnsi" w:eastAsia="Times New Roman" w:hAnsiTheme="majorHAnsi" w:cstheme="majorHAnsi"/>
                <w:color w:val="000000"/>
                <w:sz w:val="18"/>
                <w:szCs w:val="18"/>
                <w:lang w:val="ro-RO"/>
              </w:rPr>
              <w:t>5</w:t>
            </w:r>
          </w:p>
        </w:tc>
        <w:tc>
          <w:tcPr>
            <w:tcW w:w="1166" w:type="dxa"/>
            <w:tcBorders>
              <w:top w:val="single" w:sz="4" w:space="0" w:color="auto"/>
              <w:left w:val="single" w:sz="4" w:space="0" w:color="auto"/>
              <w:bottom w:val="single" w:sz="4" w:space="0" w:color="auto"/>
              <w:right w:val="single" w:sz="4" w:space="0" w:color="auto"/>
            </w:tcBorders>
            <w:noWrap/>
          </w:tcPr>
          <w:p w14:paraId="03B5FD1F" w14:textId="77777777" w:rsidR="00E0022E" w:rsidRPr="00B20FBD" w:rsidRDefault="00E0022E" w:rsidP="00E0022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RO"/>
              </w:rPr>
            </w:pPr>
            <w:r w:rsidRPr="00B20FBD">
              <w:rPr>
                <w:rFonts w:asciiTheme="majorHAnsi" w:eastAsia="Times New Roman" w:hAnsiTheme="majorHAnsi" w:cstheme="majorHAnsi"/>
                <w:color w:val="000000"/>
                <w:sz w:val="18"/>
                <w:szCs w:val="18"/>
                <w:lang w:val="ro-RO"/>
              </w:rPr>
              <w:t>41</w:t>
            </w:r>
          </w:p>
        </w:tc>
        <w:tc>
          <w:tcPr>
            <w:tcW w:w="1061" w:type="dxa"/>
            <w:tcBorders>
              <w:top w:val="single" w:sz="4" w:space="0" w:color="auto"/>
              <w:left w:val="single" w:sz="4" w:space="0" w:color="auto"/>
              <w:bottom w:val="single" w:sz="4" w:space="0" w:color="auto"/>
              <w:right w:val="single" w:sz="4" w:space="0" w:color="auto"/>
            </w:tcBorders>
            <w:noWrap/>
          </w:tcPr>
          <w:p w14:paraId="77BC3958" w14:textId="77777777" w:rsidR="00E0022E" w:rsidRPr="00B20FBD" w:rsidRDefault="00E0022E" w:rsidP="00E0022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RO"/>
              </w:rPr>
            </w:pPr>
            <w:r w:rsidRPr="00B20FBD">
              <w:rPr>
                <w:rFonts w:asciiTheme="majorHAnsi" w:eastAsia="Times New Roman" w:hAnsiTheme="majorHAnsi" w:cstheme="majorHAnsi"/>
                <w:color w:val="000000"/>
                <w:sz w:val="18"/>
                <w:szCs w:val="18"/>
                <w:lang w:val="ro-RO"/>
              </w:rPr>
              <w:t>1,1</w:t>
            </w:r>
          </w:p>
        </w:tc>
        <w:tc>
          <w:tcPr>
            <w:tcW w:w="691" w:type="dxa"/>
            <w:tcBorders>
              <w:top w:val="single" w:sz="4" w:space="0" w:color="auto"/>
              <w:left w:val="single" w:sz="4" w:space="0" w:color="auto"/>
              <w:bottom w:val="single" w:sz="4" w:space="0" w:color="auto"/>
              <w:right w:val="single" w:sz="4" w:space="0" w:color="auto"/>
            </w:tcBorders>
            <w:noWrap/>
          </w:tcPr>
          <w:p w14:paraId="0AF0CFD2" w14:textId="77777777" w:rsidR="00E0022E" w:rsidRPr="00B20FBD" w:rsidRDefault="00E0022E" w:rsidP="00E0022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RO"/>
              </w:rPr>
            </w:pPr>
            <w:r w:rsidRPr="00B20FBD">
              <w:rPr>
                <w:rFonts w:asciiTheme="majorHAnsi" w:eastAsia="Times New Roman" w:hAnsiTheme="majorHAnsi" w:cstheme="majorHAnsi"/>
                <w:color w:val="000000"/>
                <w:sz w:val="18"/>
                <w:szCs w:val="18"/>
                <w:lang w:val="ro-RO"/>
              </w:rPr>
              <w:t>0,3</w:t>
            </w:r>
          </w:p>
        </w:tc>
        <w:tc>
          <w:tcPr>
            <w:tcW w:w="916" w:type="dxa"/>
            <w:tcBorders>
              <w:top w:val="single" w:sz="4" w:space="0" w:color="auto"/>
              <w:left w:val="single" w:sz="4" w:space="0" w:color="auto"/>
              <w:bottom w:val="single" w:sz="4" w:space="0" w:color="auto"/>
              <w:right w:val="single" w:sz="4" w:space="0" w:color="auto"/>
            </w:tcBorders>
            <w:noWrap/>
          </w:tcPr>
          <w:p w14:paraId="53615FAA" w14:textId="77777777" w:rsidR="00E0022E" w:rsidRPr="00B20FBD" w:rsidRDefault="00E0022E" w:rsidP="00E0022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RO"/>
              </w:rPr>
            </w:pPr>
            <w:r w:rsidRPr="00B20FBD">
              <w:rPr>
                <w:rFonts w:asciiTheme="majorHAnsi" w:eastAsia="Times New Roman" w:hAnsiTheme="majorHAnsi" w:cstheme="majorHAnsi"/>
                <w:color w:val="000000"/>
                <w:sz w:val="18"/>
                <w:szCs w:val="18"/>
                <w:lang w:val="ro-RO"/>
              </w:rPr>
              <w:t>19</w:t>
            </w:r>
          </w:p>
        </w:tc>
        <w:tc>
          <w:tcPr>
            <w:tcW w:w="0" w:type="auto"/>
            <w:tcBorders>
              <w:top w:val="single" w:sz="4" w:space="0" w:color="auto"/>
              <w:left w:val="single" w:sz="4" w:space="0" w:color="auto"/>
              <w:bottom w:val="single" w:sz="4" w:space="0" w:color="auto"/>
              <w:right w:val="single" w:sz="4" w:space="0" w:color="auto"/>
            </w:tcBorders>
            <w:noWrap/>
          </w:tcPr>
          <w:p w14:paraId="599FD552" w14:textId="77777777" w:rsidR="00E0022E" w:rsidRPr="00B20FBD" w:rsidRDefault="00E0022E" w:rsidP="00E0022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RO"/>
              </w:rPr>
            </w:pPr>
            <w:r w:rsidRPr="00B20FBD">
              <w:rPr>
                <w:rFonts w:asciiTheme="majorHAnsi" w:eastAsia="Times New Roman" w:hAnsiTheme="majorHAnsi" w:cstheme="majorHAnsi"/>
                <w:color w:val="000000"/>
                <w:sz w:val="18"/>
                <w:szCs w:val="18"/>
                <w:lang w:val="ro-RO"/>
              </w:rPr>
              <w:t>0,8</w:t>
            </w:r>
          </w:p>
        </w:tc>
        <w:tc>
          <w:tcPr>
            <w:tcW w:w="0" w:type="auto"/>
            <w:tcBorders>
              <w:top w:val="single" w:sz="4" w:space="0" w:color="auto"/>
              <w:left w:val="single" w:sz="4" w:space="0" w:color="auto"/>
              <w:bottom w:val="single" w:sz="4" w:space="0" w:color="auto"/>
              <w:right w:val="single" w:sz="4" w:space="0" w:color="auto"/>
            </w:tcBorders>
            <w:noWrap/>
          </w:tcPr>
          <w:p w14:paraId="63C79F73" w14:textId="77777777" w:rsidR="00E0022E" w:rsidRPr="00B20FBD" w:rsidRDefault="00E0022E" w:rsidP="00E0022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RO"/>
              </w:rPr>
            </w:pPr>
            <w:r w:rsidRPr="00B20FBD">
              <w:rPr>
                <w:rFonts w:asciiTheme="majorHAnsi" w:eastAsia="Times New Roman" w:hAnsiTheme="majorHAnsi" w:cstheme="majorHAnsi"/>
                <w:color w:val="000000"/>
                <w:sz w:val="18"/>
                <w:szCs w:val="18"/>
                <w:lang w:val="ro-RO"/>
              </w:rPr>
              <w:t>0,2</w:t>
            </w:r>
          </w:p>
        </w:tc>
        <w:tc>
          <w:tcPr>
            <w:tcW w:w="916" w:type="dxa"/>
            <w:tcBorders>
              <w:top w:val="single" w:sz="4" w:space="0" w:color="auto"/>
              <w:left w:val="single" w:sz="4" w:space="0" w:color="auto"/>
              <w:bottom w:val="single" w:sz="4" w:space="0" w:color="auto"/>
              <w:right w:val="single" w:sz="4" w:space="0" w:color="auto"/>
            </w:tcBorders>
            <w:noWrap/>
          </w:tcPr>
          <w:p w14:paraId="7C3CF7DC" w14:textId="77777777" w:rsidR="00E0022E" w:rsidRPr="00B20FBD" w:rsidRDefault="00E0022E" w:rsidP="00E0022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RO"/>
              </w:rPr>
            </w:pPr>
            <w:r w:rsidRPr="00B20FBD">
              <w:rPr>
                <w:rFonts w:asciiTheme="majorHAnsi" w:eastAsia="Times New Roman" w:hAnsiTheme="majorHAnsi" w:cstheme="majorHAnsi"/>
                <w:color w:val="000000"/>
                <w:sz w:val="18"/>
                <w:szCs w:val="18"/>
                <w:lang w:val="ro-RO"/>
              </w:rPr>
              <w:t>40</w:t>
            </w:r>
          </w:p>
        </w:tc>
        <w:tc>
          <w:tcPr>
            <w:tcW w:w="1061" w:type="dxa"/>
            <w:tcBorders>
              <w:top w:val="single" w:sz="4" w:space="0" w:color="auto"/>
              <w:left w:val="single" w:sz="4" w:space="0" w:color="auto"/>
              <w:bottom w:val="single" w:sz="4" w:space="0" w:color="auto"/>
              <w:right w:val="single" w:sz="4" w:space="0" w:color="auto"/>
            </w:tcBorders>
            <w:noWrap/>
          </w:tcPr>
          <w:p w14:paraId="49FDA124" w14:textId="77777777" w:rsidR="00E0022E" w:rsidRPr="00B20FBD" w:rsidRDefault="00E0022E" w:rsidP="00E0022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RO"/>
              </w:rPr>
            </w:pPr>
            <w:r w:rsidRPr="00B20FBD">
              <w:rPr>
                <w:rFonts w:asciiTheme="majorHAnsi" w:eastAsia="Times New Roman" w:hAnsiTheme="majorHAnsi" w:cstheme="majorHAnsi"/>
                <w:color w:val="000000"/>
                <w:sz w:val="18"/>
                <w:szCs w:val="18"/>
                <w:lang w:val="ro-RO"/>
              </w:rPr>
              <w:t>1,2</w:t>
            </w:r>
          </w:p>
        </w:tc>
        <w:tc>
          <w:tcPr>
            <w:tcW w:w="652" w:type="dxa"/>
            <w:tcBorders>
              <w:top w:val="single" w:sz="4" w:space="0" w:color="auto"/>
              <w:left w:val="single" w:sz="4" w:space="0" w:color="auto"/>
              <w:bottom w:val="single" w:sz="4" w:space="0" w:color="auto"/>
              <w:right w:val="single" w:sz="4" w:space="0" w:color="auto"/>
            </w:tcBorders>
            <w:noWrap/>
          </w:tcPr>
          <w:p w14:paraId="221BC36A" w14:textId="77777777" w:rsidR="00E0022E" w:rsidRPr="00B20FBD" w:rsidRDefault="00E0022E" w:rsidP="00E0022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RO"/>
              </w:rPr>
            </w:pPr>
            <w:r w:rsidRPr="00B20FBD">
              <w:rPr>
                <w:rFonts w:asciiTheme="majorHAnsi" w:eastAsia="Times New Roman" w:hAnsiTheme="majorHAnsi" w:cstheme="majorHAnsi"/>
                <w:color w:val="000000"/>
                <w:sz w:val="18"/>
                <w:szCs w:val="18"/>
                <w:lang w:val="ro-RO"/>
              </w:rPr>
              <w:t>0,4</w:t>
            </w:r>
          </w:p>
        </w:tc>
      </w:tr>
      <w:tr w:rsidR="008022A6" w:rsidRPr="00B20FBD" w14:paraId="2284C800" w14:textId="77777777" w:rsidTr="008022A6">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auto"/>
              <w:left w:val="single" w:sz="4" w:space="0" w:color="auto"/>
              <w:bottom w:val="single" w:sz="4" w:space="0" w:color="auto"/>
              <w:right w:val="single" w:sz="4" w:space="0" w:color="auto"/>
            </w:tcBorders>
            <w:noWrap/>
            <w:hideMark/>
          </w:tcPr>
          <w:p w14:paraId="762DF473" w14:textId="77777777" w:rsidR="00E0022E" w:rsidRPr="00B20FBD" w:rsidRDefault="00E0022E" w:rsidP="00E0022E">
            <w:pPr>
              <w:spacing w:after="0" w:line="240" w:lineRule="auto"/>
              <w:jc w:val="center"/>
              <w:rPr>
                <w:rFonts w:asciiTheme="majorHAnsi" w:eastAsia="Times New Roman" w:hAnsiTheme="majorHAnsi" w:cstheme="majorHAnsi"/>
                <w:color w:val="000000"/>
                <w:sz w:val="18"/>
                <w:szCs w:val="18"/>
                <w:lang w:val="ro-RO"/>
              </w:rPr>
            </w:pPr>
            <w:r w:rsidRPr="00B20FBD">
              <w:rPr>
                <w:rFonts w:asciiTheme="majorHAnsi" w:eastAsia="Times New Roman" w:hAnsiTheme="majorHAnsi" w:cstheme="majorHAnsi"/>
                <w:color w:val="000000"/>
                <w:sz w:val="18"/>
                <w:szCs w:val="18"/>
                <w:lang w:val="ro-RO"/>
              </w:rPr>
              <w:t>6</w:t>
            </w:r>
          </w:p>
        </w:tc>
        <w:tc>
          <w:tcPr>
            <w:tcW w:w="1166" w:type="dxa"/>
            <w:tcBorders>
              <w:top w:val="single" w:sz="4" w:space="0" w:color="auto"/>
              <w:left w:val="single" w:sz="4" w:space="0" w:color="auto"/>
              <w:bottom w:val="single" w:sz="4" w:space="0" w:color="auto"/>
              <w:right w:val="single" w:sz="4" w:space="0" w:color="auto"/>
            </w:tcBorders>
            <w:noWrap/>
          </w:tcPr>
          <w:p w14:paraId="5C07D377" w14:textId="77777777" w:rsidR="00E0022E" w:rsidRPr="00B20FBD" w:rsidRDefault="00E0022E" w:rsidP="00E0022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RO"/>
              </w:rPr>
            </w:pPr>
            <w:r w:rsidRPr="00B20FBD">
              <w:rPr>
                <w:rFonts w:asciiTheme="majorHAnsi" w:eastAsia="Times New Roman" w:hAnsiTheme="majorHAnsi" w:cstheme="majorHAnsi"/>
                <w:color w:val="000000"/>
                <w:sz w:val="18"/>
                <w:szCs w:val="18"/>
                <w:lang w:val="ro-RO"/>
              </w:rPr>
              <w:t>38431</w:t>
            </w:r>
          </w:p>
        </w:tc>
        <w:tc>
          <w:tcPr>
            <w:tcW w:w="1061" w:type="dxa"/>
            <w:tcBorders>
              <w:top w:val="single" w:sz="4" w:space="0" w:color="auto"/>
              <w:left w:val="single" w:sz="4" w:space="0" w:color="auto"/>
              <w:bottom w:val="single" w:sz="4" w:space="0" w:color="auto"/>
              <w:right w:val="single" w:sz="4" w:space="0" w:color="auto"/>
            </w:tcBorders>
            <w:noWrap/>
          </w:tcPr>
          <w:p w14:paraId="33486774" w14:textId="77777777" w:rsidR="00E0022E" w:rsidRPr="00B20FBD" w:rsidRDefault="00E0022E" w:rsidP="00E0022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RO"/>
              </w:rPr>
            </w:pPr>
            <w:r w:rsidRPr="00B20FBD">
              <w:rPr>
                <w:rFonts w:asciiTheme="majorHAnsi" w:eastAsia="Times New Roman" w:hAnsiTheme="majorHAnsi" w:cstheme="majorHAnsi"/>
                <w:color w:val="000000"/>
                <w:sz w:val="18"/>
                <w:szCs w:val="18"/>
                <w:lang w:val="ro-RO"/>
              </w:rPr>
              <w:t>7334,2</w:t>
            </w:r>
          </w:p>
        </w:tc>
        <w:tc>
          <w:tcPr>
            <w:tcW w:w="691" w:type="dxa"/>
            <w:tcBorders>
              <w:top w:val="single" w:sz="4" w:space="0" w:color="auto"/>
              <w:left w:val="single" w:sz="4" w:space="0" w:color="auto"/>
              <w:bottom w:val="single" w:sz="4" w:space="0" w:color="auto"/>
              <w:right w:val="single" w:sz="4" w:space="0" w:color="auto"/>
            </w:tcBorders>
            <w:noWrap/>
          </w:tcPr>
          <w:p w14:paraId="7BB5A434" w14:textId="77777777" w:rsidR="00E0022E" w:rsidRPr="00B20FBD" w:rsidRDefault="00E0022E" w:rsidP="00E0022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RO"/>
              </w:rPr>
            </w:pPr>
            <w:r w:rsidRPr="00B20FBD">
              <w:rPr>
                <w:rFonts w:asciiTheme="majorHAnsi" w:eastAsia="Times New Roman" w:hAnsiTheme="majorHAnsi" w:cstheme="majorHAnsi"/>
                <w:color w:val="000000"/>
                <w:sz w:val="18"/>
                <w:szCs w:val="18"/>
                <w:lang w:val="ro-RO"/>
              </w:rPr>
              <w:t>1630,4</w:t>
            </w:r>
          </w:p>
        </w:tc>
        <w:tc>
          <w:tcPr>
            <w:tcW w:w="916" w:type="dxa"/>
            <w:tcBorders>
              <w:top w:val="single" w:sz="4" w:space="0" w:color="auto"/>
              <w:left w:val="single" w:sz="4" w:space="0" w:color="auto"/>
              <w:bottom w:val="single" w:sz="4" w:space="0" w:color="auto"/>
              <w:right w:val="single" w:sz="4" w:space="0" w:color="auto"/>
            </w:tcBorders>
            <w:noWrap/>
          </w:tcPr>
          <w:p w14:paraId="026961A5" w14:textId="77777777" w:rsidR="00E0022E" w:rsidRPr="00B20FBD" w:rsidRDefault="00E0022E" w:rsidP="00E0022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RO"/>
              </w:rPr>
            </w:pPr>
            <w:r w:rsidRPr="00B20FBD">
              <w:rPr>
                <w:rFonts w:asciiTheme="majorHAnsi" w:eastAsia="Times New Roman" w:hAnsiTheme="majorHAnsi" w:cstheme="majorHAnsi"/>
                <w:color w:val="000000"/>
                <w:sz w:val="18"/>
                <w:szCs w:val="18"/>
                <w:lang w:val="ro-RO"/>
              </w:rPr>
              <w:t>35883</w:t>
            </w:r>
          </w:p>
        </w:tc>
        <w:tc>
          <w:tcPr>
            <w:tcW w:w="0" w:type="auto"/>
            <w:tcBorders>
              <w:top w:val="single" w:sz="4" w:space="0" w:color="auto"/>
              <w:left w:val="single" w:sz="4" w:space="0" w:color="auto"/>
              <w:bottom w:val="single" w:sz="4" w:space="0" w:color="auto"/>
              <w:right w:val="single" w:sz="4" w:space="0" w:color="auto"/>
            </w:tcBorders>
            <w:noWrap/>
          </w:tcPr>
          <w:p w14:paraId="1FD3A912" w14:textId="77777777" w:rsidR="00E0022E" w:rsidRPr="00B20FBD" w:rsidRDefault="00E0022E" w:rsidP="00E0022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RO"/>
              </w:rPr>
            </w:pPr>
            <w:r w:rsidRPr="00B20FBD">
              <w:rPr>
                <w:rFonts w:asciiTheme="majorHAnsi" w:eastAsia="Times New Roman" w:hAnsiTheme="majorHAnsi" w:cstheme="majorHAnsi"/>
                <w:color w:val="000000"/>
                <w:sz w:val="18"/>
                <w:szCs w:val="18"/>
                <w:lang w:val="ro-RO"/>
              </w:rPr>
              <w:t>7036,0</w:t>
            </w:r>
          </w:p>
        </w:tc>
        <w:tc>
          <w:tcPr>
            <w:tcW w:w="0" w:type="auto"/>
            <w:tcBorders>
              <w:top w:val="single" w:sz="4" w:space="0" w:color="auto"/>
              <w:left w:val="single" w:sz="4" w:space="0" w:color="auto"/>
              <w:bottom w:val="single" w:sz="4" w:space="0" w:color="auto"/>
              <w:right w:val="single" w:sz="4" w:space="0" w:color="auto"/>
            </w:tcBorders>
            <w:noWrap/>
          </w:tcPr>
          <w:p w14:paraId="1609DEE0" w14:textId="77777777" w:rsidR="00E0022E" w:rsidRPr="00B20FBD" w:rsidRDefault="00E0022E" w:rsidP="00E0022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RO"/>
              </w:rPr>
            </w:pPr>
            <w:r w:rsidRPr="00B20FBD">
              <w:rPr>
                <w:rFonts w:asciiTheme="majorHAnsi" w:eastAsia="Times New Roman" w:hAnsiTheme="majorHAnsi" w:cstheme="majorHAnsi"/>
                <w:color w:val="000000"/>
                <w:sz w:val="18"/>
                <w:szCs w:val="18"/>
                <w:lang w:val="ro-RO"/>
              </w:rPr>
              <w:t>1556,9</w:t>
            </w:r>
          </w:p>
        </w:tc>
        <w:tc>
          <w:tcPr>
            <w:tcW w:w="916" w:type="dxa"/>
            <w:tcBorders>
              <w:top w:val="single" w:sz="4" w:space="0" w:color="auto"/>
              <w:left w:val="single" w:sz="4" w:space="0" w:color="auto"/>
              <w:bottom w:val="single" w:sz="4" w:space="0" w:color="auto"/>
              <w:right w:val="single" w:sz="4" w:space="0" w:color="auto"/>
            </w:tcBorders>
            <w:noWrap/>
          </w:tcPr>
          <w:p w14:paraId="13B7FEDC" w14:textId="77777777" w:rsidR="00E0022E" w:rsidRPr="00B20FBD" w:rsidRDefault="00E0022E" w:rsidP="00E0022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RO"/>
              </w:rPr>
            </w:pPr>
            <w:r w:rsidRPr="00B20FBD">
              <w:rPr>
                <w:rFonts w:asciiTheme="majorHAnsi" w:eastAsia="Times New Roman" w:hAnsiTheme="majorHAnsi" w:cstheme="majorHAnsi"/>
                <w:color w:val="000000"/>
                <w:sz w:val="18"/>
                <w:szCs w:val="18"/>
                <w:lang w:val="ro-RO"/>
              </w:rPr>
              <w:t>35577</w:t>
            </w:r>
          </w:p>
        </w:tc>
        <w:tc>
          <w:tcPr>
            <w:tcW w:w="1061" w:type="dxa"/>
            <w:tcBorders>
              <w:top w:val="single" w:sz="4" w:space="0" w:color="auto"/>
              <w:left w:val="single" w:sz="4" w:space="0" w:color="auto"/>
              <w:bottom w:val="single" w:sz="4" w:space="0" w:color="auto"/>
              <w:right w:val="single" w:sz="4" w:space="0" w:color="auto"/>
            </w:tcBorders>
            <w:noWrap/>
          </w:tcPr>
          <w:p w14:paraId="14B8FC57" w14:textId="77777777" w:rsidR="00E0022E" w:rsidRPr="00B20FBD" w:rsidRDefault="00E0022E" w:rsidP="00E0022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RO"/>
              </w:rPr>
            </w:pPr>
            <w:r w:rsidRPr="00B20FBD">
              <w:rPr>
                <w:rFonts w:asciiTheme="majorHAnsi" w:eastAsia="Times New Roman" w:hAnsiTheme="majorHAnsi" w:cstheme="majorHAnsi"/>
                <w:color w:val="000000"/>
                <w:sz w:val="18"/>
                <w:szCs w:val="18"/>
                <w:lang w:val="ro-RO"/>
              </w:rPr>
              <w:t>8244,</w:t>
            </w:r>
            <w:r w:rsidR="00117C63" w:rsidRPr="00B20FBD">
              <w:rPr>
                <w:rFonts w:asciiTheme="majorHAnsi" w:eastAsia="Times New Roman" w:hAnsiTheme="majorHAnsi" w:cstheme="majorHAnsi"/>
                <w:color w:val="000000"/>
                <w:sz w:val="18"/>
                <w:szCs w:val="18"/>
                <w:lang w:val="ro-RO"/>
              </w:rPr>
              <w:t>9</w:t>
            </w:r>
          </w:p>
        </w:tc>
        <w:tc>
          <w:tcPr>
            <w:tcW w:w="652" w:type="dxa"/>
            <w:tcBorders>
              <w:top w:val="single" w:sz="4" w:space="0" w:color="auto"/>
              <w:left w:val="single" w:sz="4" w:space="0" w:color="auto"/>
              <w:bottom w:val="single" w:sz="4" w:space="0" w:color="auto"/>
              <w:right w:val="single" w:sz="4" w:space="0" w:color="auto"/>
            </w:tcBorders>
            <w:noWrap/>
          </w:tcPr>
          <w:p w14:paraId="17B554D9" w14:textId="77777777" w:rsidR="00E0022E" w:rsidRPr="00B20FBD" w:rsidRDefault="00E0022E" w:rsidP="00E0022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val="ro-RO"/>
              </w:rPr>
            </w:pPr>
            <w:r w:rsidRPr="00B20FBD">
              <w:rPr>
                <w:rFonts w:asciiTheme="majorHAnsi" w:eastAsia="Times New Roman" w:hAnsiTheme="majorHAnsi" w:cstheme="majorHAnsi"/>
                <w:color w:val="000000"/>
                <w:sz w:val="18"/>
                <w:szCs w:val="18"/>
                <w:lang w:val="ro-RO"/>
              </w:rPr>
              <w:t>1905,0</w:t>
            </w:r>
          </w:p>
        </w:tc>
      </w:tr>
      <w:tr w:rsidR="008022A6" w:rsidRPr="00B20FBD" w14:paraId="11725CA2" w14:textId="77777777" w:rsidTr="008022A6">
        <w:trPr>
          <w:trHeight w:val="230"/>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auto"/>
            </w:tcBorders>
            <w:noWrap/>
            <w:hideMark/>
          </w:tcPr>
          <w:p w14:paraId="5AF96032" w14:textId="77777777" w:rsidR="00E0022E" w:rsidRPr="00B20FBD" w:rsidRDefault="00E0022E" w:rsidP="00E0022E">
            <w:pPr>
              <w:spacing w:after="0" w:line="240" w:lineRule="auto"/>
              <w:jc w:val="center"/>
              <w:rPr>
                <w:rFonts w:asciiTheme="majorHAnsi" w:eastAsia="Times New Roman" w:hAnsiTheme="majorHAnsi" w:cstheme="majorHAnsi"/>
                <w:color w:val="000000"/>
                <w:sz w:val="18"/>
                <w:szCs w:val="18"/>
                <w:lang w:val="ro-RO"/>
              </w:rPr>
            </w:pPr>
            <w:r w:rsidRPr="00B20FBD">
              <w:rPr>
                <w:rFonts w:asciiTheme="majorHAnsi" w:eastAsia="Times New Roman" w:hAnsiTheme="majorHAnsi" w:cstheme="majorHAnsi"/>
                <w:color w:val="000000"/>
                <w:sz w:val="18"/>
                <w:szCs w:val="18"/>
                <w:lang w:val="ro-RO"/>
              </w:rPr>
              <w:t>A</w:t>
            </w:r>
          </w:p>
        </w:tc>
        <w:tc>
          <w:tcPr>
            <w:tcW w:w="1166" w:type="dxa"/>
            <w:tcBorders>
              <w:top w:val="single" w:sz="4" w:space="0" w:color="auto"/>
            </w:tcBorders>
            <w:noWrap/>
          </w:tcPr>
          <w:p w14:paraId="2BEC40D9" w14:textId="77777777" w:rsidR="00E0022E" w:rsidRPr="00B20FBD" w:rsidRDefault="00E0022E" w:rsidP="00E0022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RO"/>
              </w:rPr>
            </w:pPr>
            <w:r w:rsidRPr="00B20FBD">
              <w:rPr>
                <w:rFonts w:asciiTheme="majorHAnsi" w:eastAsia="Times New Roman" w:hAnsiTheme="majorHAnsi" w:cstheme="majorHAnsi"/>
                <w:color w:val="000000"/>
                <w:sz w:val="18"/>
                <w:szCs w:val="18"/>
                <w:lang w:val="ro-RO"/>
              </w:rPr>
              <w:t>41</w:t>
            </w:r>
          </w:p>
        </w:tc>
        <w:tc>
          <w:tcPr>
            <w:tcW w:w="1061" w:type="dxa"/>
            <w:tcBorders>
              <w:top w:val="single" w:sz="4" w:space="0" w:color="auto"/>
            </w:tcBorders>
            <w:noWrap/>
          </w:tcPr>
          <w:p w14:paraId="218080C7" w14:textId="77777777" w:rsidR="00E0022E" w:rsidRPr="00B20FBD" w:rsidRDefault="00E0022E" w:rsidP="00E0022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RO"/>
              </w:rPr>
            </w:pPr>
            <w:r w:rsidRPr="00B20FBD">
              <w:rPr>
                <w:rFonts w:asciiTheme="majorHAnsi" w:eastAsia="Times New Roman" w:hAnsiTheme="majorHAnsi" w:cstheme="majorHAnsi"/>
                <w:color w:val="000000"/>
                <w:sz w:val="18"/>
                <w:szCs w:val="18"/>
                <w:lang w:val="ro-RO"/>
              </w:rPr>
              <w:t>9,1</w:t>
            </w:r>
          </w:p>
        </w:tc>
        <w:tc>
          <w:tcPr>
            <w:tcW w:w="691" w:type="dxa"/>
            <w:tcBorders>
              <w:top w:val="single" w:sz="4" w:space="0" w:color="auto"/>
            </w:tcBorders>
            <w:noWrap/>
          </w:tcPr>
          <w:p w14:paraId="59D911C2" w14:textId="77777777" w:rsidR="00E0022E" w:rsidRPr="00B20FBD" w:rsidRDefault="00E0022E" w:rsidP="00E0022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RO"/>
              </w:rPr>
            </w:pPr>
            <w:r w:rsidRPr="00B20FBD">
              <w:rPr>
                <w:rFonts w:asciiTheme="majorHAnsi" w:eastAsia="Times New Roman" w:hAnsiTheme="majorHAnsi" w:cstheme="majorHAnsi"/>
                <w:color w:val="000000"/>
                <w:sz w:val="18"/>
                <w:szCs w:val="18"/>
                <w:lang w:val="ro-RO"/>
              </w:rPr>
              <w:t>3,1</w:t>
            </w:r>
          </w:p>
        </w:tc>
        <w:tc>
          <w:tcPr>
            <w:tcW w:w="916" w:type="dxa"/>
            <w:tcBorders>
              <w:top w:val="single" w:sz="4" w:space="0" w:color="auto"/>
            </w:tcBorders>
            <w:noWrap/>
          </w:tcPr>
          <w:p w14:paraId="778B138B" w14:textId="77777777" w:rsidR="00E0022E" w:rsidRPr="00B20FBD" w:rsidRDefault="00E0022E" w:rsidP="00E0022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RO"/>
              </w:rPr>
            </w:pPr>
            <w:r w:rsidRPr="00B20FBD">
              <w:rPr>
                <w:rFonts w:asciiTheme="majorHAnsi" w:eastAsia="Times New Roman" w:hAnsiTheme="majorHAnsi" w:cstheme="majorHAnsi"/>
                <w:color w:val="000000"/>
                <w:sz w:val="18"/>
                <w:szCs w:val="18"/>
                <w:lang w:val="ro-RO"/>
              </w:rPr>
              <w:t>15</w:t>
            </w:r>
          </w:p>
        </w:tc>
        <w:tc>
          <w:tcPr>
            <w:tcW w:w="0" w:type="auto"/>
            <w:tcBorders>
              <w:top w:val="single" w:sz="4" w:space="0" w:color="auto"/>
            </w:tcBorders>
            <w:noWrap/>
          </w:tcPr>
          <w:p w14:paraId="2D79B40F" w14:textId="77777777" w:rsidR="00E0022E" w:rsidRPr="00B20FBD" w:rsidRDefault="00E0022E" w:rsidP="00E0022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RO"/>
              </w:rPr>
            </w:pPr>
            <w:r w:rsidRPr="00B20FBD">
              <w:rPr>
                <w:rFonts w:asciiTheme="majorHAnsi" w:eastAsia="Times New Roman" w:hAnsiTheme="majorHAnsi" w:cstheme="majorHAnsi"/>
                <w:color w:val="000000"/>
                <w:sz w:val="18"/>
                <w:szCs w:val="18"/>
                <w:lang w:val="ro-RO"/>
              </w:rPr>
              <w:t>9,7</w:t>
            </w:r>
          </w:p>
        </w:tc>
        <w:tc>
          <w:tcPr>
            <w:tcW w:w="0" w:type="auto"/>
            <w:tcBorders>
              <w:top w:val="single" w:sz="4" w:space="0" w:color="auto"/>
            </w:tcBorders>
            <w:noWrap/>
          </w:tcPr>
          <w:p w14:paraId="30FD60F7" w14:textId="77777777" w:rsidR="00E0022E" w:rsidRPr="00B20FBD" w:rsidRDefault="00E0022E" w:rsidP="00E0022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RO"/>
              </w:rPr>
            </w:pPr>
            <w:r w:rsidRPr="00B20FBD">
              <w:rPr>
                <w:rFonts w:asciiTheme="majorHAnsi" w:eastAsia="Times New Roman" w:hAnsiTheme="majorHAnsi" w:cstheme="majorHAnsi"/>
                <w:color w:val="000000"/>
                <w:sz w:val="18"/>
                <w:szCs w:val="18"/>
                <w:lang w:val="ro-RO"/>
              </w:rPr>
              <w:t>3,3</w:t>
            </w:r>
          </w:p>
        </w:tc>
        <w:tc>
          <w:tcPr>
            <w:tcW w:w="916" w:type="dxa"/>
            <w:tcBorders>
              <w:top w:val="single" w:sz="4" w:space="0" w:color="auto"/>
            </w:tcBorders>
            <w:noWrap/>
          </w:tcPr>
          <w:p w14:paraId="037DC272" w14:textId="77777777" w:rsidR="00E0022E" w:rsidRPr="00B20FBD" w:rsidRDefault="00E0022E" w:rsidP="00E0022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RO"/>
              </w:rPr>
            </w:pPr>
            <w:r w:rsidRPr="00B20FBD">
              <w:rPr>
                <w:rFonts w:asciiTheme="majorHAnsi" w:eastAsia="Times New Roman" w:hAnsiTheme="majorHAnsi" w:cstheme="majorHAnsi"/>
                <w:color w:val="000000"/>
                <w:sz w:val="18"/>
                <w:szCs w:val="18"/>
                <w:lang w:val="ro-RO"/>
              </w:rPr>
              <w:t>21</w:t>
            </w:r>
          </w:p>
        </w:tc>
        <w:tc>
          <w:tcPr>
            <w:tcW w:w="1061" w:type="dxa"/>
            <w:tcBorders>
              <w:top w:val="single" w:sz="4" w:space="0" w:color="auto"/>
            </w:tcBorders>
            <w:noWrap/>
          </w:tcPr>
          <w:p w14:paraId="0A99334F" w14:textId="77777777" w:rsidR="00E0022E" w:rsidRPr="00B20FBD" w:rsidRDefault="00E0022E" w:rsidP="00E0022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RO"/>
              </w:rPr>
            </w:pPr>
            <w:r w:rsidRPr="00B20FBD">
              <w:rPr>
                <w:rFonts w:asciiTheme="majorHAnsi" w:eastAsia="Times New Roman" w:hAnsiTheme="majorHAnsi" w:cstheme="majorHAnsi"/>
                <w:color w:val="000000"/>
                <w:sz w:val="18"/>
                <w:szCs w:val="18"/>
                <w:lang w:val="ro-RO"/>
              </w:rPr>
              <w:t>10,9</w:t>
            </w:r>
          </w:p>
        </w:tc>
        <w:tc>
          <w:tcPr>
            <w:tcW w:w="652" w:type="dxa"/>
            <w:tcBorders>
              <w:top w:val="single" w:sz="4" w:space="0" w:color="auto"/>
            </w:tcBorders>
            <w:noWrap/>
          </w:tcPr>
          <w:p w14:paraId="32521167" w14:textId="77777777" w:rsidR="00E0022E" w:rsidRPr="00B20FBD" w:rsidRDefault="00E0022E" w:rsidP="00E0022E">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RO"/>
              </w:rPr>
            </w:pPr>
            <w:r w:rsidRPr="00B20FBD">
              <w:rPr>
                <w:rFonts w:asciiTheme="majorHAnsi" w:eastAsia="Times New Roman" w:hAnsiTheme="majorHAnsi" w:cstheme="majorHAnsi"/>
                <w:color w:val="000000"/>
                <w:sz w:val="18"/>
                <w:szCs w:val="18"/>
                <w:lang w:val="ro-RO"/>
              </w:rPr>
              <w:t>3,5</w:t>
            </w:r>
          </w:p>
        </w:tc>
      </w:tr>
      <w:tr w:rsidR="008022A6" w:rsidRPr="00B20FBD" w14:paraId="6DF5C462" w14:textId="77777777" w:rsidTr="008022A6">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838" w:type="dxa"/>
            <w:noWrap/>
            <w:hideMark/>
          </w:tcPr>
          <w:p w14:paraId="6B587FE0" w14:textId="77777777" w:rsidR="00E0022E" w:rsidRPr="00B20FBD" w:rsidRDefault="00E0022E" w:rsidP="00E0022E">
            <w:pPr>
              <w:spacing w:after="0" w:line="240" w:lineRule="auto"/>
              <w:jc w:val="center"/>
              <w:rPr>
                <w:rFonts w:asciiTheme="majorHAnsi" w:eastAsia="Times New Roman" w:hAnsiTheme="majorHAnsi" w:cstheme="majorHAnsi"/>
                <w:b w:val="0"/>
                <w:bCs w:val="0"/>
                <w:color w:val="000000"/>
                <w:sz w:val="18"/>
                <w:szCs w:val="18"/>
                <w:lang w:val="ro-RO"/>
              </w:rPr>
            </w:pPr>
            <w:r w:rsidRPr="00B20FBD">
              <w:rPr>
                <w:rFonts w:asciiTheme="majorHAnsi" w:eastAsia="Times New Roman" w:hAnsiTheme="majorHAnsi" w:cstheme="majorHAnsi"/>
                <w:b w:val="0"/>
                <w:bCs w:val="0"/>
                <w:color w:val="000000"/>
                <w:sz w:val="18"/>
                <w:szCs w:val="18"/>
                <w:lang w:val="ro-RO"/>
              </w:rPr>
              <w:t>TOTAL</w:t>
            </w:r>
          </w:p>
        </w:tc>
        <w:tc>
          <w:tcPr>
            <w:tcW w:w="1166" w:type="dxa"/>
            <w:noWrap/>
          </w:tcPr>
          <w:p w14:paraId="3D2EAA16" w14:textId="77777777" w:rsidR="00E0022E" w:rsidRPr="00B20FBD" w:rsidRDefault="00E0022E" w:rsidP="00E0022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18"/>
                <w:szCs w:val="18"/>
                <w:lang w:val="ro-RO"/>
              </w:rPr>
            </w:pPr>
            <w:r w:rsidRPr="00B20FBD">
              <w:rPr>
                <w:rFonts w:asciiTheme="majorHAnsi" w:eastAsia="Times New Roman" w:hAnsiTheme="majorHAnsi" w:cstheme="majorHAnsi"/>
                <w:b/>
                <w:bCs/>
                <w:color w:val="000000"/>
                <w:sz w:val="18"/>
                <w:szCs w:val="18"/>
                <w:lang w:val="ro-RO"/>
              </w:rPr>
              <w:t>309509</w:t>
            </w:r>
          </w:p>
        </w:tc>
        <w:tc>
          <w:tcPr>
            <w:tcW w:w="1061" w:type="dxa"/>
            <w:noWrap/>
          </w:tcPr>
          <w:p w14:paraId="423FF59E" w14:textId="77777777" w:rsidR="00E0022E" w:rsidRPr="00B20FBD" w:rsidRDefault="00E0022E" w:rsidP="00E0022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18"/>
                <w:szCs w:val="18"/>
                <w:lang w:val="ro-RO"/>
              </w:rPr>
            </w:pPr>
            <w:r w:rsidRPr="00B20FBD">
              <w:rPr>
                <w:rFonts w:asciiTheme="majorHAnsi" w:eastAsia="Times New Roman" w:hAnsiTheme="majorHAnsi" w:cstheme="majorHAnsi"/>
                <w:b/>
                <w:bCs/>
                <w:color w:val="000000"/>
                <w:sz w:val="18"/>
                <w:szCs w:val="18"/>
                <w:lang w:val="ro-RO"/>
              </w:rPr>
              <w:t>95422,4</w:t>
            </w:r>
          </w:p>
        </w:tc>
        <w:tc>
          <w:tcPr>
            <w:tcW w:w="691" w:type="dxa"/>
            <w:noWrap/>
          </w:tcPr>
          <w:p w14:paraId="2ABE9042" w14:textId="77777777" w:rsidR="00E0022E" w:rsidRPr="00B20FBD" w:rsidRDefault="00E0022E" w:rsidP="00E0022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18"/>
                <w:szCs w:val="18"/>
                <w:lang w:val="ro-RO"/>
              </w:rPr>
            </w:pPr>
            <w:r w:rsidRPr="00B20FBD">
              <w:rPr>
                <w:rFonts w:asciiTheme="majorHAnsi" w:eastAsia="Times New Roman" w:hAnsiTheme="majorHAnsi" w:cstheme="majorHAnsi"/>
                <w:b/>
                <w:bCs/>
                <w:color w:val="000000"/>
                <w:sz w:val="18"/>
                <w:szCs w:val="18"/>
                <w:lang w:val="ro-RO"/>
              </w:rPr>
              <w:t>21541,7</w:t>
            </w:r>
          </w:p>
        </w:tc>
        <w:tc>
          <w:tcPr>
            <w:tcW w:w="916" w:type="dxa"/>
            <w:noWrap/>
          </w:tcPr>
          <w:p w14:paraId="6BB0EFFE" w14:textId="77777777" w:rsidR="00E0022E" w:rsidRPr="00B20FBD" w:rsidRDefault="00E0022E" w:rsidP="00E0022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18"/>
                <w:szCs w:val="18"/>
                <w:lang w:val="ro-RO"/>
              </w:rPr>
            </w:pPr>
            <w:r w:rsidRPr="00B20FBD">
              <w:rPr>
                <w:rFonts w:asciiTheme="majorHAnsi" w:eastAsia="Times New Roman" w:hAnsiTheme="majorHAnsi" w:cstheme="majorHAnsi"/>
                <w:b/>
                <w:bCs/>
                <w:color w:val="000000"/>
                <w:sz w:val="18"/>
                <w:szCs w:val="18"/>
                <w:lang w:val="ro-RO"/>
              </w:rPr>
              <w:t>325450</w:t>
            </w:r>
          </w:p>
        </w:tc>
        <w:tc>
          <w:tcPr>
            <w:tcW w:w="0" w:type="auto"/>
            <w:noWrap/>
          </w:tcPr>
          <w:p w14:paraId="7DF3D011" w14:textId="77777777" w:rsidR="00E0022E" w:rsidRPr="00B20FBD" w:rsidRDefault="00E0022E" w:rsidP="00E0022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18"/>
                <w:szCs w:val="18"/>
                <w:lang w:val="ro-RO"/>
              </w:rPr>
            </w:pPr>
            <w:r w:rsidRPr="00B20FBD">
              <w:rPr>
                <w:rFonts w:asciiTheme="majorHAnsi" w:eastAsia="Times New Roman" w:hAnsiTheme="majorHAnsi" w:cstheme="majorHAnsi"/>
                <w:b/>
                <w:bCs/>
                <w:color w:val="000000"/>
                <w:sz w:val="18"/>
                <w:szCs w:val="18"/>
                <w:lang w:val="ro-RO"/>
              </w:rPr>
              <w:t>92271,9</w:t>
            </w:r>
          </w:p>
        </w:tc>
        <w:tc>
          <w:tcPr>
            <w:tcW w:w="0" w:type="auto"/>
            <w:noWrap/>
          </w:tcPr>
          <w:p w14:paraId="0D82127E" w14:textId="77777777" w:rsidR="00E0022E" w:rsidRPr="00B20FBD" w:rsidRDefault="00E0022E" w:rsidP="00E0022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18"/>
                <w:szCs w:val="18"/>
                <w:lang w:val="ro-RO"/>
              </w:rPr>
            </w:pPr>
            <w:r w:rsidRPr="00B20FBD">
              <w:rPr>
                <w:rFonts w:asciiTheme="majorHAnsi" w:eastAsia="Times New Roman" w:hAnsiTheme="majorHAnsi" w:cstheme="majorHAnsi"/>
                <w:b/>
                <w:bCs/>
                <w:color w:val="000000"/>
                <w:sz w:val="18"/>
                <w:szCs w:val="18"/>
                <w:lang w:val="ro-RO"/>
              </w:rPr>
              <w:t>21207,2</w:t>
            </w:r>
          </w:p>
        </w:tc>
        <w:tc>
          <w:tcPr>
            <w:tcW w:w="916" w:type="dxa"/>
            <w:noWrap/>
          </w:tcPr>
          <w:p w14:paraId="520C180E" w14:textId="77777777" w:rsidR="00E0022E" w:rsidRPr="00B20FBD" w:rsidRDefault="00E0022E" w:rsidP="00E0022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18"/>
                <w:szCs w:val="18"/>
                <w:lang w:val="ro-RO"/>
              </w:rPr>
            </w:pPr>
            <w:r w:rsidRPr="00B20FBD">
              <w:rPr>
                <w:rFonts w:asciiTheme="majorHAnsi" w:eastAsia="Times New Roman" w:hAnsiTheme="majorHAnsi" w:cstheme="majorHAnsi"/>
                <w:b/>
                <w:bCs/>
                <w:color w:val="000000"/>
                <w:sz w:val="18"/>
                <w:szCs w:val="18"/>
                <w:lang w:val="ro-RO"/>
              </w:rPr>
              <w:t>355574</w:t>
            </w:r>
          </w:p>
        </w:tc>
        <w:tc>
          <w:tcPr>
            <w:tcW w:w="1061" w:type="dxa"/>
            <w:noWrap/>
          </w:tcPr>
          <w:p w14:paraId="3503B857" w14:textId="77777777" w:rsidR="00E0022E" w:rsidRPr="00B20FBD" w:rsidRDefault="00E0022E" w:rsidP="00E0022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18"/>
                <w:szCs w:val="18"/>
                <w:lang w:val="ro-RO"/>
              </w:rPr>
            </w:pPr>
            <w:r w:rsidRPr="00B20FBD">
              <w:rPr>
                <w:rFonts w:asciiTheme="majorHAnsi" w:eastAsia="Times New Roman" w:hAnsiTheme="majorHAnsi" w:cstheme="majorHAnsi"/>
                <w:b/>
                <w:bCs/>
                <w:color w:val="000000"/>
                <w:sz w:val="18"/>
                <w:szCs w:val="18"/>
                <w:lang w:val="ro-RO"/>
              </w:rPr>
              <w:t>123807,2</w:t>
            </w:r>
          </w:p>
        </w:tc>
        <w:tc>
          <w:tcPr>
            <w:tcW w:w="652" w:type="dxa"/>
            <w:noWrap/>
          </w:tcPr>
          <w:p w14:paraId="6AC3A09E" w14:textId="77777777" w:rsidR="00E0022E" w:rsidRPr="00B20FBD" w:rsidRDefault="00E0022E" w:rsidP="00E0022E">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18"/>
                <w:szCs w:val="18"/>
                <w:lang w:val="ro-RO"/>
              </w:rPr>
            </w:pPr>
            <w:r w:rsidRPr="00B20FBD">
              <w:rPr>
                <w:rFonts w:asciiTheme="majorHAnsi" w:eastAsia="Times New Roman" w:hAnsiTheme="majorHAnsi" w:cstheme="majorHAnsi"/>
                <w:b/>
                <w:bCs/>
                <w:color w:val="000000"/>
                <w:sz w:val="18"/>
                <w:szCs w:val="18"/>
                <w:lang w:val="ro-RO"/>
              </w:rPr>
              <w:t>26827,4</w:t>
            </w:r>
          </w:p>
        </w:tc>
      </w:tr>
    </w:tbl>
    <w:p w14:paraId="087BCE87" w14:textId="3A4037FF" w:rsidR="0077598D" w:rsidRPr="00B20FBD" w:rsidRDefault="00965D67" w:rsidP="0077598D">
      <w:pPr>
        <w:tabs>
          <w:tab w:val="left" w:pos="851"/>
          <w:tab w:val="left" w:pos="1134"/>
        </w:tabs>
        <w:spacing w:after="0" w:line="240" w:lineRule="auto"/>
        <w:contextualSpacing/>
        <w:jc w:val="both"/>
        <w:rPr>
          <w:rFonts w:asciiTheme="majorHAnsi" w:eastAsia="Times New Roman" w:hAnsiTheme="majorHAnsi" w:cstheme="majorHAnsi"/>
          <w:i/>
          <w:sz w:val="24"/>
          <w:szCs w:val="24"/>
          <w:lang w:val="ro-RO" w:eastAsia="ru-RU"/>
        </w:rPr>
      </w:pPr>
      <w:r w:rsidRPr="00B55223">
        <w:rPr>
          <w:rFonts w:asciiTheme="majorHAnsi" w:hAnsiTheme="majorHAnsi" w:cstheme="majorHAnsi"/>
          <w:b/>
          <w:i/>
          <w:sz w:val="20"/>
          <w:szCs w:val="20"/>
          <w:lang w:val="ru-MD"/>
        </w:rPr>
        <w:t xml:space="preserve">    </w:t>
      </w:r>
      <w:r w:rsidR="00723462" w:rsidRPr="00B55223">
        <w:rPr>
          <w:rFonts w:asciiTheme="majorHAnsi" w:hAnsiTheme="majorHAnsi" w:cstheme="majorHAnsi"/>
          <w:b/>
          <w:i/>
          <w:sz w:val="20"/>
          <w:szCs w:val="20"/>
          <w:lang w:val="ru-MD"/>
        </w:rPr>
        <w:t>Источник</w:t>
      </w:r>
      <w:r w:rsidR="0077598D" w:rsidRPr="00B55223">
        <w:rPr>
          <w:rFonts w:asciiTheme="majorHAnsi" w:hAnsiTheme="majorHAnsi" w:cstheme="majorHAnsi"/>
          <w:b/>
          <w:i/>
          <w:sz w:val="20"/>
          <w:szCs w:val="20"/>
          <w:lang w:val="ru-MD"/>
        </w:rPr>
        <w:t>:</w:t>
      </w:r>
      <w:r w:rsidR="0077598D" w:rsidRPr="00B55223">
        <w:rPr>
          <w:rFonts w:asciiTheme="majorHAnsi" w:hAnsiTheme="majorHAnsi" w:cstheme="majorHAnsi"/>
          <w:i/>
          <w:sz w:val="20"/>
          <w:szCs w:val="20"/>
          <w:lang w:val="ru-MD"/>
        </w:rPr>
        <w:t xml:space="preserve"> </w:t>
      </w:r>
      <w:r w:rsidR="007908CA" w:rsidRPr="00B55223">
        <w:rPr>
          <w:rFonts w:asciiTheme="majorHAnsi" w:hAnsiTheme="majorHAnsi" w:cstheme="majorHAnsi"/>
          <w:i/>
          <w:sz w:val="20"/>
          <w:szCs w:val="20"/>
          <w:lang w:val="ru-MD"/>
        </w:rPr>
        <w:t>Данные, обобщенные аудиторской группой на основе статистических данных ТС за 2019-2021 годы</w:t>
      </w:r>
      <w:r w:rsidR="0077598D" w:rsidRPr="00B20FBD">
        <w:rPr>
          <w:rFonts w:asciiTheme="majorHAnsi" w:hAnsiTheme="majorHAnsi" w:cstheme="majorHAnsi"/>
          <w:i/>
          <w:sz w:val="24"/>
          <w:szCs w:val="24"/>
          <w:lang w:val="ro-RO"/>
        </w:rPr>
        <w:t>.</w:t>
      </w:r>
      <w:r w:rsidR="0077598D" w:rsidRPr="00B20FBD">
        <w:rPr>
          <w:rFonts w:asciiTheme="majorHAnsi" w:eastAsia="Times New Roman" w:hAnsiTheme="majorHAnsi" w:cstheme="majorHAnsi"/>
          <w:i/>
          <w:sz w:val="24"/>
          <w:szCs w:val="24"/>
          <w:lang w:val="ro-RO" w:eastAsia="ru-RU"/>
        </w:rPr>
        <w:t xml:space="preserve"> </w:t>
      </w:r>
    </w:p>
    <w:p w14:paraId="10AECC51" w14:textId="77777777" w:rsidR="0077598D" w:rsidRPr="00B20FBD" w:rsidRDefault="0077598D" w:rsidP="001A7AE8">
      <w:pPr>
        <w:tabs>
          <w:tab w:val="left" w:pos="851"/>
          <w:tab w:val="left" w:pos="1134"/>
        </w:tabs>
        <w:spacing w:after="0" w:line="240" w:lineRule="auto"/>
        <w:contextualSpacing/>
        <w:jc w:val="both"/>
        <w:rPr>
          <w:rFonts w:asciiTheme="majorHAnsi" w:eastAsia="Times New Roman" w:hAnsiTheme="majorHAnsi" w:cstheme="majorHAnsi"/>
          <w:color w:val="000000"/>
          <w:sz w:val="24"/>
          <w:szCs w:val="24"/>
          <w:lang w:val="ro-RO" w:eastAsia="ru-RU"/>
        </w:rPr>
      </w:pPr>
    </w:p>
    <w:p w14:paraId="1CE0E68A" w14:textId="72AE1AA2" w:rsidR="00B57B20" w:rsidRPr="00B55223" w:rsidRDefault="007908CA" w:rsidP="00CD7CAE">
      <w:pPr>
        <w:tabs>
          <w:tab w:val="left" w:pos="851"/>
          <w:tab w:val="left" w:pos="1134"/>
        </w:tabs>
        <w:spacing w:after="0"/>
        <w:contextualSpacing/>
        <w:jc w:val="both"/>
        <w:rPr>
          <w:rFonts w:asciiTheme="majorHAnsi" w:eastAsia="Times New Roman" w:hAnsiTheme="majorHAnsi" w:cstheme="majorHAnsi"/>
          <w:color w:val="000000"/>
          <w:sz w:val="24"/>
          <w:szCs w:val="24"/>
          <w:lang w:val="ru-MD" w:eastAsia="ru-RU"/>
        </w:rPr>
      </w:pPr>
      <w:r w:rsidRPr="00B55223">
        <w:rPr>
          <w:rFonts w:asciiTheme="majorHAnsi" w:eastAsia="Times New Roman" w:hAnsiTheme="majorHAnsi" w:cstheme="majorHAnsi"/>
          <w:color w:val="000000"/>
          <w:sz w:val="24"/>
          <w:szCs w:val="24"/>
          <w:lang w:val="ru-MD" w:eastAsia="ru-RU"/>
        </w:rPr>
        <w:t>Согласно статистическим данным, представленным в таблице, в 2021 году было зарегистрировано 355,6 тыс.</w:t>
      </w:r>
      <w:r w:rsidR="00B55223">
        <w:rPr>
          <w:rFonts w:asciiTheme="majorHAnsi" w:eastAsia="Times New Roman" w:hAnsiTheme="majorHAnsi" w:cstheme="majorHAnsi"/>
          <w:color w:val="000000"/>
          <w:sz w:val="24"/>
          <w:szCs w:val="24"/>
          <w:lang w:val="ru-MD" w:eastAsia="ru-RU"/>
        </w:rPr>
        <w:t xml:space="preserve"> </w:t>
      </w:r>
      <w:r w:rsidRPr="00B55223">
        <w:rPr>
          <w:rFonts w:asciiTheme="majorHAnsi" w:eastAsia="Times New Roman" w:hAnsiTheme="majorHAnsi" w:cstheme="majorHAnsi"/>
          <w:color w:val="000000"/>
          <w:sz w:val="24"/>
          <w:szCs w:val="24"/>
          <w:lang w:val="ru-MD" w:eastAsia="ru-RU"/>
        </w:rPr>
        <w:t>таможенных деклараций, что на 30,1 тыс. больше по сравнению с 2020 годом и на 46,1 тыс. больше по сравнению с 2019 годом. Отмечается, что в отчетном году из числа таможенных деклараций, оформленных ТС, методом №1 были подтверждены в общей сложности 319,8 тыс. деклараций (89,9%), или на 30,4 тыс. больше по сравнению с 2020 годом, и на 49,1 тыс. больше по сравнению с 2019 годом. В 2021 году таможенная стоимость, определяемая таможенными органами этим методом, составила 115.535,2 млн. леев, на которые были начислены сборы в бюджет в сумме 24.915,2 млн. леев</w:t>
      </w:r>
      <w:r w:rsidR="00B57B20" w:rsidRPr="00B55223">
        <w:rPr>
          <w:rFonts w:asciiTheme="majorHAnsi" w:eastAsia="Times New Roman" w:hAnsiTheme="majorHAnsi" w:cstheme="majorHAnsi"/>
          <w:color w:val="000000"/>
          <w:sz w:val="24"/>
          <w:szCs w:val="24"/>
          <w:lang w:val="ru-MD" w:eastAsia="ru-RU"/>
        </w:rPr>
        <w:t>.</w:t>
      </w:r>
    </w:p>
    <w:p w14:paraId="7AF90EED" w14:textId="77777777" w:rsidR="001A7AE8" w:rsidRPr="00B20FBD" w:rsidRDefault="001A7AE8" w:rsidP="00CD7CAE">
      <w:pPr>
        <w:tabs>
          <w:tab w:val="left" w:pos="851"/>
          <w:tab w:val="left" w:pos="1134"/>
        </w:tabs>
        <w:spacing w:after="0"/>
        <w:contextualSpacing/>
        <w:jc w:val="both"/>
        <w:rPr>
          <w:rFonts w:asciiTheme="majorHAnsi" w:eastAsia="Times New Roman" w:hAnsiTheme="majorHAnsi" w:cstheme="majorHAnsi"/>
          <w:color w:val="000000"/>
          <w:sz w:val="8"/>
          <w:szCs w:val="8"/>
          <w:lang w:val="ro-RO" w:eastAsia="ru-RU"/>
        </w:rPr>
      </w:pPr>
    </w:p>
    <w:p w14:paraId="3FBE8F49" w14:textId="11503F29" w:rsidR="001A7AE8" w:rsidRPr="00CD2111" w:rsidRDefault="00B55223" w:rsidP="00CD7CAE">
      <w:pPr>
        <w:tabs>
          <w:tab w:val="left" w:pos="851"/>
          <w:tab w:val="left" w:pos="1134"/>
        </w:tabs>
        <w:spacing w:after="0"/>
        <w:contextualSpacing/>
        <w:jc w:val="both"/>
        <w:rPr>
          <w:rFonts w:asciiTheme="majorHAnsi" w:eastAsia="Times New Roman" w:hAnsiTheme="majorHAnsi" w:cstheme="majorHAnsi"/>
          <w:color w:val="000000"/>
          <w:sz w:val="24"/>
          <w:szCs w:val="24"/>
          <w:lang w:val="ru-MD" w:eastAsia="ru-RU"/>
        </w:rPr>
      </w:pPr>
      <w:r w:rsidRPr="00CD2111">
        <w:rPr>
          <w:rFonts w:asciiTheme="majorHAnsi" w:eastAsia="Times New Roman" w:hAnsiTheme="majorHAnsi" w:cstheme="majorHAnsi"/>
          <w:color w:val="000000"/>
          <w:sz w:val="24"/>
          <w:szCs w:val="24"/>
          <w:lang w:val="ru-MD" w:eastAsia="ru-RU"/>
        </w:rPr>
        <w:t xml:space="preserve">Еще одним методом, который значительно повлиял на </w:t>
      </w:r>
      <w:r w:rsidR="00CD2111" w:rsidRPr="00CD2111">
        <w:rPr>
          <w:rFonts w:asciiTheme="majorHAnsi" w:eastAsia="Times New Roman" w:hAnsiTheme="majorHAnsi" w:cstheme="majorHAnsi"/>
          <w:color w:val="000000"/>
          <w:sz w:val="24"/>
          <w:szCs w:val="24"/>
          <w:lang w:val="ru-MD" w:eastAsia="ru-RU"/>
        </w:rPr>
        <w:t xml:space="preserve">таможенные </w:t>
      </w:r>
      <w:r w:rsidRPr="00CD2111">
        <w:rPr>
          <w:rFonts w:asciiTheme="majorHAnsi" w:eastAsia="Times New Roman" w:hAnsiTheme="majorHAnsi" w:cstheme="majorHAnsi"/>
          <w:color w:val="000000"/>
          <w:sz w:val="24"/>
          <w:szCs w:val="24"/>
          <w:lang w:val="ru-MD" w:eastAsia="ru-RU"/>
        </w:rPr>
        <w:t>доходы, является метод №6, „резервный”, в соответствии с которым в 20</w:t>
      </w:r>
      <w:r w:rsidR="00CD2111" w:rsidRPr="00CD2111">
        <w:rPr>
          <w:rFonts w:asciiTheme="majorHAnsi" w:eastAsia="Times New Roman" w:hAnsiTheme="majorHAnsi" w:cstheme="majorHAnsi"/>
          <w:color w:val="000000"/>
          <w:sz w:val="24"/>
          <w:szCs w:val="24"/>
          <w:lang w:val="ru-MD" w:eastAsia="ru-RU"/>
        </w:rPr>
        <w:t>21</w:t>
      </w:r>
      <w:r w:rsidRPr="00CD2111">
        <w:rPr>
          <w:rFonts w:asciiTheme="majorHAnsi" w:eastAsia="Times New Roman" w:hAnsiTheme="majorHAnsi" w:cstheme="majorHAnsi"/>
          <w:color w:val="000000"/>
          <w:sz w:val="24"/>
          <w:szCs w:val="24"/>
          <w:lang w:val="ru-MD" w:eastAsia="ru-RU"/>
        </w:rPr>
        <w:t xml:space="preserve"> году была определена таможенная стоимость 3</w:t>
      </w:r>
      <w:r w:rsidR="00CD2111" w:rsidRPr="00CD2111">
        <w:rPr>
          <w:rFonts w:asciiTheme="majorHAnsi" w:eastAsia="Times New Roman" w:hAnsiTheme="majorHAnsi" w:cstheme="majorHAnsi"/>
          <w:color w:val="000000"/>
          <w:sz w:val="24"/>
          <w:szCs w:val="24"/>
          <w:lang w:val="ru-MD" w:eastAsia="ru-RU"/>
        </w:rPr>
        <w:t>5</w:t>
      </w:r>
      <w:r w:rsidRPr="00CD2111">
        <w:rPr>
          <w:rFonts w:asciiTheme="majorHAnsi" w:eastAsia="Times New Roman" w:hAnsiTheme="majorHAnsi" w:cstheme="majorHAnsi"/>
          <w:color w:val="000000"/>
          <w:sz w:val="24"/>
          <w:szCs w:val="24"/>
          <w:lang w:val="ru-MD" w:eastAsia="ru-RU"/>
        </w:rPr>
        <w:t>,</w:t>
      </w:r>
      <w:r w:rsidR="00CD2111" w:rsidRPr="00CD2111">
        <w:rPr>
          <w:rFonts w:asciiTheme="majorHAnsi" w:eastAsia="Times New Roman" w:hAnsiTheme="majorHAnsi" w:cstheme="majorHAnsi"/>
          <w:color w:val="000000"/>
          <w:sz w:val="24"/>
          <w:szCs w:val="24"/>
          <w:lang w:val="ru-MD" w:eastAsia="ru-RU"/>
        </w:rPr>
        <w:t>6</w:t>
      </w:r>
      <w:r w:rsidRPr="00CD2111">
        <w:rPr>
          <w:rFonts w:asciiTheme="majorHAnsi" w:eastAsia="Times New Roman" w:hAnsiTheme="majorHAnsi" w:cstheme="majorHAnsi"/>
          <w:color w:val="000000"/>
          <w:sz w:val="24"/>
          <w:szCs w:val="24"/>
          <w:lang w:val="ru-MD" w:eastAsia="ru-RU"/>
        </w:rPr>
        <w:t xml:space="preserve"> тыс. деклараций, или на </w:t>
      </w:r>
      <w:r w:rsidR="00CD2111" w:rsidRPr="00CD2111">
        <w:rPr>
          <w:rFonts w:asciiTheme="majorHAnsi" w:eastAsia="Times New Roman" w:hAnsiTheme="majorHAnsi" w:cstheme="majorHAnsi"/>
          <w:color w:val="000000"/>
          <w:sz w:val="24"/>
          <w:szCs w:val="24"/>
          <w:lang w:val="ru-MD" w:eastAsia="ru-RU"/>
        </w:rPr>
        <w:t>0</w:t>
      </w:r>
      <w:r w:rsidRPr="00CD2111">
        <w:rPr>
          <w:rFonts w:asciiTheme="majorHAnsi" w:eastAsia="Times New Roman" w:hAnsiTheme="majorHAnsi" w:cstheme="majorHAnsi"/>
          <w:color w:val="000000"/>
          <w:sz w:val="24"/>
          <w:szCs w:val="24"/>
          <w:lang w:val="ru-MD" w:eastAsia="ru-RU"/>
        </w:rPr>
        <w:t xml:space="preserve">,3 тыс. </w:t>
      </w:r>
      <w:r w:rsidR="00CD2111" w:rsidRPr="00CD2111">
        <w:rPr>
          <w:rFonts w:asciiTheme="majorHAnsi" w:eastAsia="Times New Roman" w:hAnsiTheme="majorHAnsi" w:cstheme="majorHAnsi"/>
          <w:color w:val="000000"/>
          <w:sz w:val="24"/>
          <w:szCs w:val="24"/>
          <w:lang w:val="ru-MD" w:eastAsia="ru-RU"/>
        </w:rPr>
        <w:t>деклараций мен</w:t>
      </w:r>
      <w:r w:rsidRPr="00CD2111">
        <w:rPr>
          <w:rFonts w:asciiTheme="majorHAnsi" w:eastAsia="Times New Roman" w:hAnsiTheme="majorHAnsi" w:cstheme="majorHAnsi"/>
          <w:color w:val="000000"/>
          <w:sz w:val="24"/>
          <w:szCs w:val="24"/>
          <w:lang w:val="ru-MD" w:eastAsia="ru-RU"/>
        </w:rPr>
        <w:t>ьше, чем в 20</w:t>
      </w:r>
      <w:r w:rsidR="00CD2111" w:rsidRPr="00CD2111">
        <w:rPr>
          <w:rFonts w:asciiTheme="majorHAnsi" w:eastAsia="Times New Roman" w:hAnsiTheme="majorHAnsi" w:cstheme="majorHAnsi"/>
          <w:color w:val="000000"/>
          <w:sz w:val="24"/>
          <w:szCs w:val="24"/>
          <w:lang w:val="ru-MD" w:eastAsia="ru-RU"/>
        </w:rPr>
        <w:t>20</w:t>
      </w:r>
      <w:r w:rsidRPr="00CD2111">
        <w:rPr>
          <w:rFonts w:asciiTheme="majorHAnsi" w:eastAsia="Times New Roman" w:hAnsiTheme="majorHAnsi" w:cstheme="majorHAnsi"/>
          <w:color w:val="000000"/>
          <w:sz w:val="24"/>
          <w:szCs w:val="24"/>
          <w:lang w:val="ru-MD" w:eastAsia="ru-RU"/>
        </w:rPr>
        <w:t xml:space="preserve"> году</w:t>
      </w:r>
      <w:r w:rsidR="00CD2111" w:rsidRPr="00CD2111">
        <w:rPr>
          <w:rFonts w:asciiTheme="majorHAnsi" w:eastAsia="Times New Roman" w:hAnsiTheme="majorHAnsi" w:cstheme="majorHAnsi"/>
          <w:color w:val="000000"/>
          <w:sz w:val="24"/>
          <w:szCs w:val="24"/>
          <w:lang w:val="ru-MD" w:eastAsia="ru-RU"/>
        </w:rPr>
        <w:t xml:space="preserve">. </w:t>
      </w:r>
    </w:p>
    <w:p w14:paraId="0C8BC0A9" w14:textId="6C79B709" w:rsidR="00FC36C1" w:rsidRPr="00CD2111" w:rsidRDefault="00B55223" w:rsidP="00D418F4">
      <w:pPr>
        <w:tabs>
          <w:tab w:val="left" w:pos="851"/>
          <w:tab w:val="left" w:pos="1134"/>
        </w:tabs>
        <w:spacing w:after="120"/>
        <w:contextualSpacing/>
        <w:jc w:val="both"/>
        <w:rPr>
          <w:rFonts w:asciiTheme="majorHAnsi" w:eastAsia="Times New Roman" w:hAnsiTheme="majorHAnsi" w:cstheme="majorHAnsi"/>
          <w:color w:val="000000"/>
          <w:sz w:val="24"/>
          <w:szCs w:val="24"/>
          <w:lang w:val="ru-MD" w:eastAsia="ru-RU"/>
        </w:rPr>
      </w:pPr>
      <w:r w:rsidRPr="00CD2111">
        <w:rPr>
          <w:rFonts w:asciiTheme="majorHAnsi" w:eastAsia="Times New Roman" w:hAnsiTheme="majorHAnsi" w:cstheme="majorHAnsi"/>
          <w:color w:val="000000"/>
          <w:sz w:val="24"/>
          <w:szCs w:val="24"/>
          <w:lang w:val="ru-MD" w:eastAsia="ru-RU"/>
        </w:rPr>
        <w:t xml:space="preserve">Аудиторский анализ данных из </w:t>
      </w:r>
      <w:r w:rsidR="00CD2111" w:rsidRPr="00CD2111">
        <w:rPr>
          <w:rFonts w:asciiTheme="majorHAnsi" w:eastAsia="Times New Roman" w:hAnsiTheme="majorHAnsi" w:cstheme="majorHAnsi"/>
          <w:color w:val="000000"/>
          <w:sz w:val="24"/>
          <w:szCs w:val="24"/>
          <w:lang w:val="ru-MD" w:eastAsia="ru-RU"/>
        </w:rPr>
        <w:t>ТИ</w:t>
      </w:r>
      <w:r w:rsidRPr="00CD2111">
        <w:rPr>
          <w:rFonts w:asciiTheme="majorHAnsi" w:eastAsia="Times New Roman" w:hAnsiTheme="majorHAnsi" w:cstheme="majorHAnsi"/>
          <w:color w:val="000000"/>
          <w:sz w:val="24"/>
          <w:szCs w:val="24"/>
          <w:lang w:val="ru-MD" w:eastAsia="ru-RU"/>
        </w:rPr>
        <w:t xml:space="preserve">ИС </w:t>
      </w:r>
      <w:r w:rsidRPr="00CD2111">
        <w:rPr>
          <w:rFonts w:asciiTheme="majorHAnsi" w:eastAsia="Calibri" w:hAnsiTheme="majorHAnsi" w:cstheme="majorHAnsi"/>
          <w:sz w:val="24"/>
          <w:szCs w:val="24"/>
          <w:lang w:val="ru-MD"/>
        </w:rPr>
        <w:t>„ASYCUDA World”</w:t>
      </w:r>
      <w:r w:rsidRPr="00CD2111">
        <w:rPr>
          <w:rFonts w:asciiTheme="majorHAnsi" w:eastAsia="Times New Roman" w:hAnsiTheme="majorHAnsi" w:cstheme="majorHAnsi"/>
          <w:color w:val="000000"/>
          <w:sz w:val="24"/>
          <w:szCs w:val="24"/>
          <w:lang w:val="ru-MD" w:eastAsia="ru-RU"/>
        </w:rPr>
        <w:t xml:space="preserve"> показал, что за аудируемый период из </w:t>
      </w:r>
      <w:r w:rsidR="00CD2111" w:rsidRPr="00CD2111">
        <w:rPr>
          <w:rFonts w:asciiTheme="majorHAnsi" w:eastAsia="Times New Roman" w:hAnsiTheme="majorHAnsi" w:cstheme="majorHAnsi"/>
          <w:color w:val="000000"/>
          <w:sz w:val="24"/>
          <w:szCs w:val="24"/>
          <w:lang w:val="ru-MD" w:eastAsia="ru-RU"/>
        </w:rPr>
        <w:t xml:space="preserve">355,6 </w:t>
      </w:r>
      <w:r w:rsidRPr="00CD2111">
        <w:rPr>
          <w:rFonts w:asciiTheme="majorHAnsi" w:eastAsia="Times New Roman" w:hAnsiTheme="majorHAnsi" w:cstheme="majorHAnsi"/>
          <w:color w:val="000000"/>
          <w:sz w:val="24"/>
          <w:szCs w:val="24"/>
          <w:lang w:val="ru-MD" w:eastAsia="ru-RU"/>
        </w:rPr>
        <w:t xml:space="preserve">тыс. оформленных таможенных деклараций, наибольшая часть была подтверждена методом №1 - </w:t>
      </w:r>
      <w:r w:rsidR="00CD2111" w:rsidRPr="00CD2111">
        <w:rPr>
          <w:rFonts w:asciiTheme="majorHAnsi" w:eastAsia="Times New Roman" w:hAnsiTheme="majorHAnsi" w:cstheme="majorHAnsi"/>
          <w:color w:val="000000"/>
          <w:sz w:val="24"/>
          <w:szCs w:val="24"/>
          <w:lang w:val="ru-MD" w:eastAsia="ru-RU"/>
        </w:rPr>
        <w:t xml:space="preserve">319,8 </w:t>
      </w:r>
      <w:r w:rsidRPr="00CD2111">
        <w:rPr>
          <w:rFonts w:asciiTheme="majorHAnsi" w:eastAsia="Times New Roman" w:hAnsiTheme="majorHAnsi" w:cstheme="majorHAnsi"/>
          <w:color w:val="000000"/>
          <w:sz w:val="24"/>
          <w:szCs w:val="24"/>
          <w:lang w:val="ru-MD" w:eastAsia="ru-RU"/>
        </w:rPr>
        <w:t>тыс. деклараций, а остальные методы были использованы незначительно, а именно: методом №2 - 6</w:t>
      </w:r>
      <w:r w:rsidR="00CD2111" w:rsidRPr="00CD2111">
        <w:rPr>
          <w:rFonts w:asciiTheme="majorHAnsi" w:eastAsia="Times New Roman" w:hAnsiTheme="majorHAnsi" w:cstheme="majorHAnsi"/>
          <w:color w:val="000000"/>
          <w:sz w:val="24"/>
          <w:szCs w:val="24"/>
          <w:lang w:val="ru-MD" w:eastAsia="ru-RU"/>
        </w:rPr>
        <w:t>0</w:t>
      </w:r>
      <w:r w:rsidRPr="00CD2111">
        <w:rPr>
          <w:rFonts w:asciiTheme="majorHAnsi" w:eastAsia="Times New Roman" w:hAnsiTheme="majorHAnsi" w:cstheme="majorHAnsi"/>
          <w:color w:val="000000"/>
          <w:sz w:val="24"/>
          <w:szCs w:val="24"/>
          <w:lang w:val="ru-MD" w:eastAsia="ru-RU"/>
        </w:rPr>
        <w:t xml:space="preserve"> деклараций, методом №3 - </w:t>
      </w:r>
      <w:r w:rsidR="00CD2111" w:rsidRPr="00CD2111">
        <w:rPr>
          <w:rFonts w:asciiTheme="majorHAnsi" w:eastAsia="Times New Roman" w:hAnsiTheme="majorHAnsi" w:cstheme="majorHAnsi"/>
          <w:color w:val="000000"/>
          <w:sz w:val="24"/>
          <w:szCs w:val="24"/>
          <w:lang w:val="ru-MD" w:eastAsia="ru-RU"/>
        </w:rPr>
        <w:t>33</w:t>
      </w:r>
      <w:r w:rsidRPr="00CD2111">
        <w:rPr>
          <w:rFonts w:asciiTheme="majorHAnsi" w:eastAsia="Times New Roman" w:hAnsiTheme="majorHAnsi" w:cstheme="majorHAnsi"/>
          <w:color w:val="000000"/>
          <w:sz w:val="24"/>
          <w:szCs w:val="24"/>
          <w:lang w:val="ru-MD" w:eastAsia="ru-RU"/>
        </w:rPr>
        <w:t xml:space="preserve"> деклараций, методом №4 - </w:t>
      </w:r>
      <w:r w:rsidR="00CD2111" w:rsidRPr="00CD2111">
        <w:rPr>
          <w:rFonts w:asciiTheme="majorHAnsi" w:eastAsia="Times New Roman" w:hAnsiTheme="majorHAnsi" w:cstheme="majorHAnsi"/>
          <w:color w:val="000000"/>
          <w:sz w:val="24"/>
          <w:szCs w:val="24"/>
          <w:lang w:val="ru-MD" w:eastAsia="ru-RU"/>
        </w:rPr>
        <w:t>71</w:t>
      </w:r>
      <w:r w:rsidRPr="00CD2111">
        <w:rPr>
          <w:rFonts w:asciiTheme="majorHAnsi" w:eastAsia="Times New Roman" w:hAnsiTheme="majorHAnsi" w:cstheme="majorHAnsi"/>
          <w:color w:val="000000"/>
          <w:sz w:val="24"/>
          <w:szCs w:val="24"/>
          <w:lang w:val="ru-MD" w:eastAsia="ru-RU"/>
        </w:rPr>
        <w:t xml:space="preserve"> деклараций, методом №5 - 4</w:t>
      </w:r>
      <w:r w:rsidR="00CD2111" w:rsidRPr="00CD2111">
        <w:rPr>
          <w:rFonts w:asciiTheme="majorHAnsi" w:eastAsia="Times New Roman" w:hAnsiTheme="majorHAnsi" w:cstheme="majorHAnsi"/>
          <w:color w:val="000000"/>
          <w:sz w:val="24"/>
          <w:szCs w:val="24"/>
          <w:lang w:val="ru-MD" w:eastAsia="ru-RU"/>
        </w:rPr>
        <w:t>0</w:t>
      </w:r>
      <w:r w:rsidRPr="00CD2111">
        <w:rPr>
          <w:rFonts w:asciiTheme="majorHAnsi" w:eastAsia="Times New Roman" w:hAnsiTheme="majorHAnsi" w:cstheme="majorHAnsi"/>
          <w:color w:val="000000"/>
          <w:sz w:val="24"/>
          <w:szCs w:val="24"/>
          <w:lang w:val="ru-MD" w:eastAsia="ru-RU"/>
        </w:rPr>
        <w:t xml:space="preserve"> деклараци</w:t>
      </w:r>
      <w:r w:rsidR="00CD2111" w:rsidRPr="00CD2111">
        <w:rPr>
          <w:rFonts w:asciiTheme="majorHAnsi" w:eastAsia="Times New Roman" w:hAnsiTheme="majorHAnsi" w:cstheme="majorHAnsi"/>
          <w:color w:val="000000"/>
          <w:sz w:val="24"/>
          <w:szCs w:val="24"/>
          <w:lang w:val="ru-MD" w:eastAsia="ru-RU"/>
        </w:rPr>
        <w:t>й</w:t>
      </w:r>
      <w:r w:rsidRPr="00CD2111">
        <w:rPr>
          <w:rFonts w:asciiTheme="majorHAnsi" w:eastAsia="Times New Roman" w:hAnsiTheme="majorHAnsi" w:cstheme="majorHAnsi"/>
          <w:color w:val="000000"/>
          <w:sz w:val="24"/>
          <w:szCs w:val="24"/>
          <w:lang w:val="ru-MD" w:eastAsia="ru-RU"/>
        </w:rPr>
        <w:t>, и методом №6 – 3</w:t>
      </w:r>
      <w:r w:rsidR="00CD2111" w:rsidRPr="00CD2111">
        <w:rPr>
          <w:rFonts w:asciiTheme="majorHAnsi" w:eastAsia="Times New Roman" w:hAnsiTheme="majorHAnsi" w:cstheme="majorHAnsi"/>
          <w:color w:val="000000"/>
          <w:sz w:val="24"/>
          <w:szCs w:val="24"/>
          <w:lang w:val="ru-MD" w:eastAsia="ru-RU"/>
        </w:rPr>
        <w:t>5</w:t>
      </w:r>
      <w:r w:rsidRPr="00CD2111">
        <w:rPr>
          <w:rFonts w:asciiTheme="majorHAnsi" w:eastAsia="Times New Roman" w:hAnsiTheme="majorHAnsi" w:cstheme="majorHAnsi"/>
          <w:color w:val="000000"/>
          <w:sz w:val="24"/>
          <w:szCs w:val="24"/>
          <w:lang w:val="ru-MD" w:eastAsia="ru-RU"/>
        </w:rPr>
        <w:t>,</w:t>
      </w:r>
      <w:r w:rsidR="00CD2111" w:rsidRPr="00CD2111">
        <w:rPr>
          <w:rFonts w:asciiTheme="majorHAnsi" w:eastAsia="Times New Roman" w:hAnsiTheme="majorHAnsi" w:cstheme="majorHAnsi"/>
          <w:color w:val="000000"/>
          <w:sz w:val="24"/>
          <w:szCs w:val="24"/>
          <w:lang w:val="ru-MD" w:eastAsia="ru-RU"/>
        </w:rPr>
        <w:t>6</w:t>
      </w:r>
      <w:r w:rsidRPr="00CD2111">
        <w:rPr>
          <w:rFonts w:asciiTheme="majorHAnsi" w:eastAsia="Times New Roman" w:hAnsiTheme="majorHAnsi" w:cstheme="majorHAnsi"/>
          <w:color w:val="000000"/>
          <w:sz w:val="24"/>
          <w:szCs w:val="24"/>
          <w:lang w:val="ru-MD" w:eastAsia="ru-RU"/>
        </w:rPr>
        <w:t xml:space="preserve"> тыс. деклараций. Эволюция таможенных деклараций, по методам таможенного оформления, представлена в диаграмме №</w:t>
      </w:r>
      <w:r w:rsidR="00CD2111" w:rsidRPr="00CD2111">
        <w:rPr>
          <w:rFonts w:asciiTheme="majorHAnsi" w:eastAsia="Times New Roman" w:hAnsiTheme="majorHAnsi" w:cstheme="majorHAnsi"/>
          <w:color w:val="000000"/>
          <w:sz w:val="24"/>
          <w:szCs w:val="24"/>
          <w:lang w:val="ru-MD" w:eastAsia="ru-RU"/>
        </w:rPr>
        <w:t>6</w:t>
      </w:r>
      <w:r w:rsidR="007F550A" w:rsidRPr="00CD2111">
        <w:rPr>
          <w:rFonts w:asciiTheme="majorHAnsi" w:eastAsia="Times New Roman" w:hAnsiTheme="majorHAnsi" w:cstheme="majorHAnsi"/>
          <w:color w:val="000000"/>
          <w:sz w:val="24"/>
          <w:szCs w:val="24"/>
          <w:lang w:val="ru-MD" w:eastAsia="ru-RU"/>
        </w:rPr>
        <w:t>.</w:t>
      </w:r>
      <w:r w:rsidR="009328F3" w:rsidRPr="00CD2111">
        <w:rPr>
          <w:rFonts w:asciiTheme="majorHAnsi" w:eastAsia="Times New Roman" w:hAnsiTheme="majorHAnsi" w:cstheme="majorHAnsi"/>
          <w:color w:val="000000"/>
          <w:sz w:val="24"/>
          <w:szCs w:val="24"/>
          <w:lang w:val="ru-MD" w:eastAsia="ru-RU"/>
        </w:rPr>
        <w:t xml:space="preserve">  </w:t>
      </w:r>
    </w:p>
    <w:p w14:paraId="686ABE67" w14:textId="2B2F120B" w:rsidR="00FC36C1" w:rsidRPr="00CD2111" w:rsidRDefault="00FC36C1" w:rsidP="00FC36C1">
      <w:pPr>
        <w:spacing w:after="0"/>
        <w:ind w:right="-2"/>
        <w:jc w:val="center"/>
        <w:rPr>
          <w:rFonts w:asciiTheme="majorHAnsi" w:eastAsia="Times New Roman" w:hAnsiTheme="majorHAnsi" w:cstheme="majorHAnsi"/>
          <w:color w:val="000000"/>
          <w:sz w:val="24"/>
          <w:szCs w:val="24"/>
          <w:lang w:val="ru-MD" w:eastAsia="ru-RU"/>
        </w:rPr>
      </w:pPr>
      <w:r w:rsidRPr="00CD2111">
        <w:rPr>
          <w:rFonts w:asciiTheme="majorHAnsi" w:hAnsiTheme="majorHAnsi" w:cstheme="majorHAnsi"/>
          <w:i/>
          <w:sz w:val="24"/>
          <w:szCs w:val="24"/>
          <w:lang w:val="ru-MD"/>
        </w:rPr>
        <w:t xml:space="preserve">                                                                                                      </w:t>
      </w:r>
      <w:r w:rsidR="00146A62" w:rsidRPr="00CD2111">
        <w:rPr>
          <w:rFonts w:asciiTheme="majorHAnsi" w:hAnsiTheme="majorHAnsi" w:cstheme="majorHAnsi"/>
          <w:i/>
          <w:sz w:val="24"/>
          <w:szCs w:val="24"/>
          <w:lang w:val="ru-MD"/>
        </w:rPr>
        <w:t>Диаграмма №</w:t>
      </w:r>
      <w:r w:rsidRPr="00CD2111">
        <w:rPr>
          <w:rFonts w:asciiTheme="majorHAnsi" w:hAnsiTheme="majorHAnsi" w:cstheme="majorHAnsi"/>
          <w:i/>
          <w:sz w:val="24"/>
          <w:szCs w:val="24"/>
          <w:lang w:val="ru-MD"/>
        </w:rPr>
        <w:t>6.</w:t>
      </w:r>
    </w:p>
    <w:p w14:paraId="6217594C" w14:textId="77777777" w:rsidR="007F550A" w:rsidRPr="00B20FBD" w:rsidRDefault="00701286" w:rsidP="00701286">
      <w:pPr>
        <w:tabs>
          <w:tab w:val="left" w:pos="851"/>
          <w:tab w:val="left" w:pos="1134"/>
        </w:tabs>
        <w:spacing w:after="0"/>
        <w:contextualSpacing/>
        <w:jc w:val="center"/>
        <w:rPr>
          <w:rFonts w:asciiTheme="majorHAnsi" w:eastAsia="Calibri" w:hAnsiTheme="majorHAnsi" w:cstheme="majorHAnsi"/>
          <w:sz w:val="24"/>
          <w:szCs w:val="24"/>
          <w:lang w:val="ro-RO"/>
        </w:rPr>
      </w:pPr>
      <w:r w:rsidRPr="00B20FBD">
        <w:rPr>
          <w:rFonts w:asciiTheme="majorHAnsi" w:hAnsiTheme="majorHAnsi" w:cstheme="majorHAnsi"/>
          <w:noProof/>
          <w:sz w:val="24"/>
          <w:szCs w:val="24"/>
          <w:lang w:val="en-US"/>
        </w:rPr>
        <w:drawing>
          <wp:inline distT="0" distB="0" distL="0" distR="0" wp14:anchorId="40890F7E" wp14:editId="77FDD9CE">
            <wp:extent cx="5081905" cy="1623060"/>
            <wp:effectExtent l="0" t="0" r="4445" b="1524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4C99752" w14:textId="1109EC21" w:rsidR="00705DC6" w:rsidRPr="0002455E" w:rsidRDefault="00723462" w:rsidP="00705DC6">
      <w:pPr>
        <w:tabs>
          <w:tab w:val="left" w:pos="851"/>
          <w:tab w:val="left" w:pos="1134"/>
        </w:tabs>
        <w:spacing w:after="0" w:line="240" w:lineRule="auto"/>
        <w:contextualSpacing/>
        <w:jc w:val="center"/>
        <w:rPr>
          <w:rFonts w:asciiTheme="majorHAnsi" w:eastAsia="Times New Roman" w:hAnsiTheme="majorHAnsi" w:cstheme="majorHAnsi"/>
          <w:color w:val="000000"/>
          <w:sz w:val="20"/>
          <w:szCs w:val="20"/>
          <w:lang w:val="ru-MD" w:eastAsia="ru-RU"/>
        </w:rPr>
      </w:pPr>
      <w:r w:rsidRPr="0002455E">
        <w:rPr>
          <w:rFonts w:asciiTheme="majorHAnsi" w:eastAsia="Times New Roman" w:hAnsiTheme="majorHAnsi" w:cstheme="majorHAnsi"/>
          <w:b/>
          <w:color w:val="000000"/>
          <w:sz w:val="20"/>
          <w:szCs w:val="20"/>
          <w:lang w:val="ru-MD" w:eastAsia="ru-RU"/>
        </w:rPr>
        <w:t>Источник</w:t>
      </w:r>
      <w:r w:rsidR="00705DC6" w:rsidRPr="0002455E">
        <w:rPr>
          <w:rFonts w:asciiTheme="majorHAnsi" w:eastAsia="Times New Roman" w:hAnsiTheme="majorHAnsi" w:cstheme="majorHAnsi"/>
          <w:b/>
          <w:color w:val="000000"/>
          <w:sz w:val="20"/>
          <w:szCs w:val="20"/>
          <w:lang w:val="ru-MD" w:eastAsia="ru-RU"/>
        </w:rPr>
        <w:t>:</w:t>
      </w:r>
      <w:r w:rsidR="00705DC6" w:rsidRPr="00B20FBD">
        <w:rPr>
          <w:rFonts w:asciiTheme="majorHAnsi" w:eastAsia="Times New Roman" w:hAnsiTheme="majorHAnsi" w:cstheme="majorHAnsi"/>
          <w:color w:val="000000"/>
          <w:sz w:val="20"/>
          <w:szCs w:val="20"/>
          <w:lang w:val="ro-MD" w:eastAsia="ru-RU"/>
        </w:rPr>
        <w:t xml:space="preserve"> </w:t>
      </w:r>
      <w:r w:rsidR="0002455E" w:rsidRPr="0002455E">
        <w:rPr>
          <w:rFonts w:asciiTheme="majorHAnsi" w:eastAsia="Times New Roman" w:hAnsiTheme="majorHAnsi" w:cstheme="majorHAnsi"/>
          <w:color w:val="000000"/>
          <w:sz w:val="20"/>
          <w:szCs w:val="20"/>
          <w:lang w:val="ru-MD" w:eastAsia="ru-RU"/>
        </w:rPr>
        <w:t xml:space="preserve">Данные, полученные из Отчетов ТС о контроле таможенной стоимости товаров за </w:t>
      </w:r>
      <w:r w:rsidR="00705DC6" w:rsidRPr="0002455E">
        <w:rPr>
          <w:rFonts w:asciiTheme="majorHAnsi" w:eastAsia="Times New Roman" w:hAnsiTheme="majorHAnsi" w:cstheme="majorHAnsi"/>
          <w:color w:val="000000"/>
          <w:sz w:val="20"/>
          <w:szCs w:val="20"/>
          <w:lang w:val="ru-MD" w:eastAsia="ru-RU"/>
        </w:rPr>
        <w:t>2021</w:t>
      </w:r>
      <w:r w:rsidR="0002455E" w:rsidRPr="0002455E">
        <w:rPr>
          <w:rFonts w:asciiTheme="majorHAnsi" w:eastAsia="Times New Roman" w:hAnsiTheme="majorHAnsi" w:cstheme="majorHAnsi"/>
          <w:color w:val="000000"/>
          <w:sz w:val="20"/>
          <w:szCs w:val="20"/>
          <w:lang w:val="ru-MD" w:eastAsia="ru-RU"/>
        </w:rPr>
        <w:t xml:space="preserve"> год</w:t>
      </w:r>
      <w:r w:rsidR="00705DC6" w:rsidRPr="0002455E">
        <w:rPr>
          <w:rFonts w:asciiTheme="majorHAnsi" w:eastAsia="Times New Roman" w:hAnsiTheme="majorHAnsi" w:cstheme="majorHAnsi"/>
          <w:color w:val="000000"/>
          <w:sz w:val="20"/>
          <w:szCs w:val="20"/>
          <w:lang w:val="ru-MD" w:eastAsia="ru-RU"/>
        </w:rPr>
        <w:t>.</w:t>
      </w:r>
    </w:p>
    <w:p w14:paraId="34BEEF0B" w14:textId="77777777" w:rsidR="007F550A" w:rsidRPr="0002455E" w:rsidRDefault="007F550A" w:rsidP="002C6FEE">
      <w:pPr>
        <w:tabs>
          <w:tab w:val="left" w:pos="851"/>
          <w:tab w:val="left" w:pos="1134"/>
        </w:tabs>
        <w:spacing w:after="0"/>
        <w:contextualSpacing/>
        <w:jc w:val="both"/>
        <w:rPr>
          <w:rFonts w:asciiTheme="majorHAnsi" w:eastAsia="Calibri" w:hAnsiTheme="majorHAnsi" w:cstheme="majorHAnsi"/>
          <w:sz w:val="24"/>
          <w:szCs w:val="24"/>
          <w:lang w:val="ru-MD"/>
        </w:rPr>
      </w:pPr>
    </w:p>
    <w:p w14:paraId="1BE55310" w14:textId="4FB00FD3" w:rsidR="002C6FEE" w:rsidRPr="009B0EA7" w:rsidRDefault="004D2600" w:rsidP="00D418F4">
      <w:pPr>
        <w:tabs>
          <w:tab w:val="left" w:pos="851"/>
          <w:tab w:val="left" w:pos="1134"/>
        </w:tabs>
        <w:spacing w:after="120"/>
        <w:contextualSpacing/>
        <w:jc w:val="both"/>
        <w:rPr>
          <w:rFonts w:asciiTheme="majorHAnsi" w:eastAsia="Calibri" w:hAnsiTheme="majorHAnsi" w:cstheme="majorHAnsi"/>
          <w:sz w:val="24"/>
          <w:szCs w:val="24"/>
          <w:lang w:val="ru-MD"/>
        </w:rPr>
      </w:pPr>
      <w:r w:rsidRPr="009B0EA7">
        <w:rPr>
          <w:rFonts w:asciiTheme="majorHAnsi" w:eastAsia="Calibri" w:hAnsiTheme="majorHAnsi" w:cstheme="majorHAnsi"/>
          <w:sz w:val="24"/>
          <w:szCs w:val="24"/>
          <w:lang w:val="ru-MD"/>
        </w:rPr>
        <w:t>Следует отметить, что доля пере</w:t>
      </w:r>
      <w:r w:rsidR="00B67BF2" w:rsidRPr="009B0EA7">
        <w:rPr>
          <w:rFonts w:asciiTheme="majorHAnsi" w:eastAsia="Calibri" w:hAnsiTheme="majorHAnsi" w:cstheme="majorHAnsi"/>
          <w:sz w:val="24"/>
          <w:szCs w:val="24"/>
          <w:lang w:val="ru-MD"/>
        </w:rPr>
        <w:t>направле</w:t>
      </w:r>
      <w:r w:rsidRPr="009B0EA7">
        <w:rPr>
          <w:rFonts w:asciiTheme="majorHAnsi" w:eastAsia="Calibri" w:hAnsiTheme="majorHAnsi" w:cstheme="majorHAnsi"/>
          <w:sz w:val="24"/>
          <w:szCs w:val="24"/>
          <w:lang w:val="ru-MD"/>
        </w:rPr>
        <w:t xml:space="preserve">нных таможенных деклараций по </w:t>
      </w:r>
      <w:r w:rsidR="00B67BF2" w:rsidRPr="009B0EA7">
        <w:rPr>
          <w:rFonts w:asciiTheme="majorHAnsi" w:eastAsia="Calibri" w:hAnsiTheme="majorHAnsi" w:cstheme="majorHAnsi"/>
          <w:sz w:val="24"/>
          <w:szCs w:val="24"/>
          <w:lang w:val="ru-MD"/>
        </w:rPr>
        <w:t>к</w:t>
      </w:r>
      <w:r w:rsidRPr="009B0EA7">
        <w:rPr>
          <w:rFonts w:asciiTheme="majorHAnsi" w:eastAsia="Calibri" w:hAnsiTheme="majorHAnsi" w:cstheme="majorHAnsi"/>
          <w:sz w:val="24"/>
          <w:szCs w:val="24"/>
          <w:lang w:val="ru-MD"/>
        </w:rPr>
        <w:t xml:space="preserve">расному </w:t>
      </w:r>
      <w:r w:rsidR="00B67BF2" w:rsidRPr="009B0EA7">
        <w:rPr>
          <w:rFonts w:asciiTheme="majorHAnsi" w:eastAsia="Calibri" w:hAnsiTheme="majorHAnsi" w:cstheme="majorHAnsi"/>
          <w:sz w:val="24"/>
          <w:szCs w:val="24"/>
          <w:lang w:val="ru-MD"/>
        </w:rPr>
        <w:t>коридор</w:t>
      </w:r>
      <w:r w:rsidRPr="009B0EA7">
        <w:rPr>
          <w:rFonts w:asciiTheme="majorHAnsi" w:eastAsia="Calibri" w:hAnsiTheme="majorHAnsi" w:cstheme="majorHAnsi"/>
          <w:sz w:val="24"/>
          <w:szCs w:val="24"/>
          <w:lang w:val="ru-MD"/>
        </w:rPr>
        <w:t xml:space="preserve">у составила 4,7% от общего объема импортных таможенных деклараций, по желтому </w:t>
      </w:r>
      <w:r w:rsidR="00B67BF2" w:rsidRPr="009B0EA7">
        <w:rPr>
          <w:rFonts w:asciiTheme="majorHAnsi" w:eastAsia="Calibri" w:hAnsiTheme="majorHAnsi" w:cstheme="majorHAnsi"/>
          <w:sz w:val="24"/>
          <w:szCs w:val="24"/>
          <w:lang w:val="ru-MD"/>
        </w:rPr>
        <w:t>коридор</w:t>
      </w:r>
      <w:r w:rsidRPr="009B0EA7">
        <w:rPr>
          <w:rFonts w:asciiTheme="majorHAnsi" w:eastAsia="Calibri" w:hAnsiTheme="majorHAnsi" w:cstheme="majorHAnsi"/>
          <w:sz w:val="24"/>
          <w:szCs w:val="24"/>
          <w:lang w:val="ru-MD"/>
        </w:rPr>
        <w:t xml:space="preserve">у-18,0%, а по зеленому </w:t>
      </w:r>
      <w:r w:rsidR="00B67BF2" w:rsidRPr="009B0EA7">
        <w:rPr>
          <w:rFonts w:asciiTheme="majorHAnsi" w:eastAsia="Calibri" w:hAnsiTheme="majorHAnsi" w:cstheme="majorHAnsi"/>
          <w:sz w:val="24"/>
          <w:szCs w:val="24"/>
          <w:lang w:val="ru-MD"/>
        </w:rPr>
        <w:t>коридор</w:t>
      </w:r>
      <w:r w:rsidRPr="009B0EA7">
        <w:rPr>
          <w:rFonts w:asciiTheme="majorHAnsi" w:eastAsia="Calibri" w:hAnsiTheme="majorHAnsi" w:cstheme="majorHAnsi"/>
          <w:sz w:val="24"/>
          <w:szCs w:val="24"/>
          <w:lang w:val="ru-MD"/>
        </w:rPr>
        <w:t xml:space="preserve">у – 77,4%. </w:t>
      </w:r>
      <w:r w:rsidR="00B67BF2" w:rsidRPr="009B0EA7">
        <w:rPr>
          <w:rFonts w:asciiTheme="majorHAnsi" w:eastAsia="Calibri" w:hAnsiTheme="majorHAnsi" w:cstheme="majorHAnsi"/>
          <w:sz w:val="24"/>
          <w:szCs w:val="24"/>
          <w:lang w:val="ru-MD"/>
        </w:rPr>
        <w:t>По</w:t>
      </w:r>
      <w:r w:rsidRPr="009B0EA7">
        <w:rPr>
          <w:rFonts w:asciiTheme="majorHAnsi" w:eastAsia="Calibri" w:hAnsiTheme="majorHAnsi" w:cstheme="majorHAnsi"/>
          <w:sz w:val="24"/>
          <w:szCs w:val="24"/>
          <w:lang w:val="ru-MD"/>
        </w:rPr>
        <w:t xml:space="preserve"> синем</w:t>
      </w:r>
      <w:r w:rsidR="00B67BF2" w:rsidRPr="009B0EA7">
        <w:rPr>
          <w:rFonts w:asciiTheme="majorHAnsi" w:eastAsia="Calibri" w:hAnsiTheme="majorHAnsi" w:cstheme="majorHAnsi"/>
          <w:sz w:val="24"/>
          <w:szCs w:val="24"/>
          <w:lang w:val="ru-MD"/>
        </w:rPr>
        <w:t>у</w:t>
      </w:r>
      <w:r w:rsidRPr="009B0EA7">
        <w:rPr>
          <w:rFonts w:asciiTheme="majorHAnsi" w:eastAsia="Calibri" w:hAnsiTheme="majorHAnsi" w:cstheme="majorHAnsi"/>
          <w:sz w:val="24"/>
          <w:szCs w:val="24"/>
          <w:lang w:val="ru-MD"/>
        </w:rPr>
        <w:t xml:space="preserve"> </w:t>
      </w:r>
      <w:r w:rsidR="00B67BF2" w:rsidRPr="009B0EA7">
        <w:rPr>
          <w:rFonts w:asciiTheme="majorHAnsi" w:eastAsia="Calibri" w:hAnsiTheme="majorHAnsi" w:cstheme="majorHAnsi"/>
          <w:sz w:val="24"/>
          <w:szCs w:val="24"/>
          <w:lang w:val="ru-MD"/>
        </w:rPr>
        <w:t>коридору</w:t>
      </w:r>
      <w:r w:rsidRPr="009B0EA7">
        <w:rPr>
          <w:rFonts w:asciiTheme="majorHAnsi" w:eastAsia="Calibri" w:hAnsiTheme="majorHAnsi" w:cstheme="majorHAnsi"/>
          <w:sz w:val="24"/>
          <w:szCs w:val="24"/>
          <w:lang w:val="ru-MD"/>
        </w:rPr>
        <w:t>, предусматривающем</w:t>
      </w:r>
      <w:r w:rsidR="00B67BF2" w:rsidRPr="009B0EA7">
        <w:rPr>
          <w:rFonts w:asciiTheme="majorHAnsi" w:eastAsia="Calibri" w:hAnsiTheme="majorHAnsi" w:cstheme="majorHAnsi"/>
          <w:sz w:val="24"/>
          <w:szCs w:val="24"/>
          <w:lang w:val="ru-MD"/>
        </w:rPr>
        <w:t>у</w:t>
      </w:r>
      <w:r w:rsidRPr="009B0EA7">
        <w:rPr>
          <w:rFonts w:asciiTheme="majorHAnsi" w:eastAsia="Calibri" w:hAnsiTheme="majorHAnsi" w:cstheme="majorHAnsi"/>
          <w:sz w:val="24"/>
          <w:szCs w:val="24"/>
          <w:lang w:val="ru-MD"/>
        </w:rPr>
        <w:t xml:space="preserve"> отбор деклараций повышенного риска для их проверки в рамках пос</w:t>
      </w:r>
      <w:r w:rsidR="00B67BF2" w:rsidRPr="009B0EA7">
        <w:rPr>
          <w:rFonts w:asciiTheme="majorHAnsi" w:eastAsia="Calibri" w:hAnsiTheme="majorHAnsi" w:cstheme="majorHAnsi"/>
          <w:sz w:val="24"/>
          <w:szCs w:val="24"/>
          <w:lang w:val="ru-MD"/>
        </w:rPr>
        <w:t>ттаможенного контроля</w:t>
      </w:r>
      <w:r w:rsidRPr="009B0EA7">
        <w:rPr>
          <w:rFonts w:asciiTheme="majorHAnsi" w:eastAsia="Calibri" w:hAnsiTheme="majorHAnsi" w:cstheme="majorHAnsi"/>
          <w:sz w:val="24"/>
          <w:szCs w:val="24"/>
          <w:lang w:val="ru-MD"/>
        </w:rPr>
        <w:t xml:space="preserve"> в 2020-2021 годах </w:t>
      </w:r>
      <w:r w:rsidR="00B67BF2" w:rsidRPr="009B0EA7">
        <w:rPr>
          <w:rFonts w:asciiTheme="majorHAnsi" w:eastAsia="Calibri" w:hAnsiTheme="majorHAnsi" w:cstheme="majorHAnsi"/>
          <w:sz w:val="24"/>
          <w:szCs w:val="24"/>
          <w:lang w:val="ru-MD"/>
        </w:rPr>
        <w:t xml:space="preserve">не была перенаправлена ни одна </w:t>
      </w:r>
      <w:r w:rsidRPr="009B0EA7">
        <w:rPr>
          <w:rFonts w:asciiTheme="majorHAnsi" w:eastAsia="Calibri" w:hAnsiTheme="majorHAnsi" w:cstheme="majorHAnsi"/>
          <w:sz w:val="24"/>
          <w:szCs w:val="24"/>
          <w:lang w:val="ru-MD"/>
        </w:rPr>
        <w:t xml:space="preserve">таможенная декларация, поскольку не была разработана </w:t>
      </w:r>
      <w:r w:rsidR="00B67BF2" w:rsidRPr="009B0EA7">
        <w:rPr>
          <w:rFonts w:asciiTheme="majorHAnsi" w:eastAsia="Calibri" w:hAnsiTheme="majorHAnsi" w:cstheme="majorHAnsi"/>
          <w:sz w:val="24"/>
          <w:szCs w:val="24"/>
          <w:lang w:val="ru-MD"/>
        </w:rPr>
        <w:t>А</w:t>
      </w:r>
      <w:r w:rsidRPr="009B0EA7">
        <w:rPr>
          <w:rFonts w:asciiTheme="majorHAnsi" w:eastAsia="Calibri" w:hAnsiTheme="majorHAnsi" w:cstheme="majorHAnsi"/>
          <w:sz w:val="24"/>
          <w:szCs w:val="24"/>
          <w:lang w:val="ru-MD"/>
        </w:rPr>
        <w:t>втоматизированная информационная система, специализир</w:t>
      </w:r>
      <w:r w:rsidR="00B67BF2" w:rsidRPr="009B0EA7">
        <w:rPr>
          <w:rFonts w:asciiTheme="majorHAnsi" w:eastAsia="Calibri" w:hAnsiTheme="majorHAnsi" w:cstheme="majorHAnsi"/>
          <w:sz w:val="24"/>
          <w:szCs w:val="24"/>
          <w:lang w:val="ru-MD"/>
        </w:rPr>
        <w:t>ованна</w:t>
      </w:r>
      <w:r w:rsidRPr="009B0EA7">
        <w:rPr>
          <w:rFonts w:asciiTheme="majorHAnsi" w:eastAsia="Calibri" w:hAnsiTheme="majorHAnsi" w:cstheme="majorHAnsi"/>
          <w:sz w:val="24"/>
          <w:szCs w:val="24"/>
          <w:lang w:val="ru-MD"/>
        </w:rPr>
        <w:t xml:space="preserve">я </w:t>
      </w:r>
      <w:r w:rsidR="00B67BF2" w:rsidRPr="009B0EA7">
        <w:rPr>
          <w:rFonts w:asciiTheme="majorHAnsi" w:eastAsia="Calibri" w:hAnsiTheme="majorHAnsi" w:cstheme="majorHAnsi"/>
          <w:sz w:val="24"/>
          <w:szCs w:val="24"/>
          <w:lang w:val="ru-MD"/>
        </w:rPr>
        <w:t>в</w:t>
      </w:r>
      <w:r w:rsidRPr="009B0EA7">
        <w:rPr>
          <w:rFonts w:asciiTheme="majorHAnsi" w:eastAsia="Calibri" w:hAnsiTheme="majorHAnsi" w:cstheme="majorHAnsi"/>
          <w:sz w:val="24"/>
          <w:szCs w:val="24"/>
          <w:lang w:val="ru-MD"/>
        </w:rPr>
        <w:t xml:space="preserve"> проведении анализа рисков и отборе экономических агентов для осуществления пос</w:t>
      </w:r>
      <w:r w:rsidR="00B67BF2" w:rsidRPr="009B0EA7">
        <w:rPr>
          <w:rFonts w:asciiTheme="majorHAnsi" w:eastAsia="Calibri" w:hAnsiTheme="majorHAnsi" w:cstheme="majorHAnsi"/>
          <w:sz w:val="24"/>
          <w:szCs w:val="24"/>
          <w:lang w:val="ru-MD"/>
        </w:rPr>
        <w:t>ттаможенно</w:t>
      </w:r>
      <w:r w:rsidRPr="009B0EA7">
        <w:rPr>
          <w:rFonts w:asciiTheme="majorHAnsi" w:eastAsia="Calibri" w:hAnsiTheme="majorHAnsi" w:cstheme="majorHAnsi"/>
          <w:sz w:val="24"/>
          <w:szCs w:val="24"/>
          <w:lang w:val="ru-MD"/>
        </w:rPr>
        <w:t>го контроля, что противор</w:t>
      </w:r>
      <w:r w:rsidR="00B67BF2" w:rsidRPr="009B0EA7">
        <w:rPr>
          <w:rFonts w:asciiTheme="majorHAnsi" w:eastAsia="Calibri" w:hAnsiTheme="majorHAnsi" w:cstheme="majorHAnsi"/>
          <w:sz w:val="24"/>
          <w:szCs w:val="24"/>
          <w:lang w:val="ru-MD"/>
        </w:rPr>
        <w:t>ечит законодательным положениям</w:t>
      </w:r>
      <w:r w:rsidR="00841D6A" w:rsidRPr="009B0EA7">
        <w:rPr>
          <w:rStyle w:val="FootnoteReference"/>
          <w:rFonts w:asciiTheme="majorHAnsi" w:eastAsia="Calibri" w:hAnsiTheme="majorHAnsi" w:cstheme="majorHAnsi"/>
          <w:sz w:val="24"/>
          <w:szCs w:val="24"/>
          <w:lang w:val="ru-MD"/>
        </w:rPr>
        <w:footnoteReference w:id="48"/>
      </w:r>
      <w:r w:rsidR="002C6FEE" w:rsidRPr="009B0EA7">
        <w:rPr>
          <w:rFonts w:asciiTheme="majorHAnsi" w:eastAsia="Calibri" w:hAnsiTheme="majorHAnsi" w:cstheme="majorHAnsi"/>
          <w:sz w:val="24"/>
          <w:szCs w:val="24"/>
          <w:lang w:val="ru-MD"/>
        </w:rPr>
        <w:t>.</w:t>
      </w:r>
    </w:p>
    <w:p w14:paraId="47B04D07" w14:textId="38F75A05" w:rsidR="00117C63" w:rsidRPr="009B0EA7" w:rsidRDefault="004D2600" w:rsidP="00D418F4">
      <w:pPr>
        <w:spacing w:after="120"/>
        <w:jc w:val="both"/>
        <w:rPr>
          <w:rFonts w:asciiTheme="majorHAnsi" w:eastAsia="Times New Roman" w:hAnsiTheme="majorHAnsi" w:cstheme="majorHAnsi"/>
          <w:color w:val="000000"/>
          <w:sz w:val="24"/>
          <w:szCs w:val="24"/>
          <w:lang w:val="ru-MD" w:eastAsia="ru-RU"/>
        </w:rPr>
      </w:pPr>
      <w:r w:rsidRPr="009B0EA7">
        <w:rPr>
          <w:rFonts w:asciiTheme="majorHAnsi" w:eastAsia="Times New Roman" w:hAnsiTheme="majorHAnsi" w:cstheme="majorHAnsi"/>
          <w:color w:val="000000"/>
          <w:sz w:val="24"/>
          <w:szCs w:val="24"/>
          <w:lang w:val="ru-MD" w:eastAsia="ru-RU"/>
        </w:rPr>
        <w:t>При анализе данных из Отчета контроля таможенной стоимости было установлено, что в случае 2</w:t>
      </w:r>
      <w:r w:rsidR="0099165B" w:rsidRPr="009B0EA7">
        <w:rPr>
          <w:rFonts w:asciiTheme="majorHAnsi" w:eastAsia="Times New Roman" w:hAnsiTheme="majorHAnsi" w:cstheme="majorHAnsi"/>
          <w:color w:val="000000"/>
          <w:sz w:val="24"/>
          <w:szCs w:val="24"/>
          <w:lang w:val="ru-MD" w:eastAsia="ru-RU"/>
        </w:rPr>
        <w:t>1</w:t>
      </w:r>
      <w:r w:rsidRPr="009B0EA7">
        <w:rPr>
          <w:rFonts w:asciiTheme="majorHAnsi" w:eastAsia="Times New Roman" w:hAnsiTheme="majorHAnsi" w:cstheme="majorHAnsi"/>
          <w:color w:val="000000"/>
          <w:sz w:val="24"/>
          <w:szCs w:val="24"/>
          <w:lang w:val="ru-MD" w:eastAsia="ru-RU"/>
        </w:rPr>
        <w:t>,</w:t>
      </w:r>
      <w:r w:rsidR="0099165B" w:rsidRPr="009B0EA7">
        <w:rPr>
          <w:rFonts w:asciiTheme="majorHAnsi" w:eastAsia="Times New Roman" w:hAnsiTheme="majorHAnsi" w:cstheme="majorHAnsi"/>
          <w:color w:val="000000"/>
          <w:sz w:val="24"/>
          <w:szCs w:val="24"/>
          <w:lang w:val="ru-MD" w:eastAsia="ru-RU"/>
        </w:rPr>
        <w:t>2</w:t>
      </w:r>
      <w:r w:rsidRPr="009B0EA7">
        <w:rPr>
          <w:rFonts w:asciiTheme="majorHAnsi" w:eastAsia="Times New Roman" w:hAnsiTheme="majorHAnsi" w:cstheme="majorHAnsi"/>
          <w:color w:val="000000"/>
          <w:sz w:val="24"/>
          <w:szCs w:val="24"/>
          <w:lang w:val="ru-MD" w:eastAsia="ru-RU"/>
        </w:rPr>
        <w:t xml:space="preserve"> тыс. таможенных деклараций ввозимые товары были оценены по резервному методу, из которых таможенная стоимость товаров</w:t>
      </w:r>
      <w:r w:rsidR="00117C63" w:rsidRPr="009B0EA7">
        <w:rPr>
          <w:rFonts w:asciiTheme="majorHAnsi" w:eastAsia="Times New Roman" w:hAnsiTheme="majorHAnsi" w:cstheme="majorHAnsi"/>
          <w:color w:val="000000"/>
          <w:sz w:val="24"/>
          <w:szCs w:val="24"/>
          <w:lang w:val="ru-MD" w:eastAsia="ru-RU"/>
        </w:rPr>
        <w:t>:</w:t>
      </w:r>
    </w:p>
    <w:p w14:paraId="5187D292" w14:textId="7178CDFD" w:rsidR="004868AC" w:rsidRPr="009B0EA7" w:rsidRDefault="0074738A" w:rsidP="003937C7">
      <w:pPr>
        <w:pStyle w:val="ListParagraph"/>
        <w:numPr>
          <w:ilvl w:val="0"/>
          <w:numId w:val="2"/>
        </w:numPr>
        <w:tabs>
          <w:tab w:val="left" w:pos="851"/>
          <w:tab w:val="left" w:pos="1134"/>
        </w:tabs>
        <w:spacing w:line="276" w:lineRule="auto"/>
        <w:ind w:left="0" w:firstLine="426"/>
        <w:jc w:val="both"/>
        <w:rPr>
          <w:rFonts w:asciiTheme="majorHAnsi" w:eastAsia="Times New Roman" w:hAnsiTheme="majorHAnsi" w:cstheme="majorHAnsi"/>
          <w:color w:val="000000"/>
          <w:sz w:val="24"/>
          <w:szCs w:val="24"/>
          <w:lang w:val="ru-MD" w:eastAsia="ru-RU"/>
        </w:rPr>
      </w:pPr>
      <w:r w:rsidRPr="009B0EA7">
        <w:rPr>
          <w:rFonts w:asciiTheme="majorHAnsi" w:eastAsia="Times New Roman" w:hAnsiTheme="majorHAnsi" w:cstheme="majorHAnsi"/>
          <w:color w:val="000000"/>
          <w:sz w:val="24"/>
          <w:szCs w:val="24"/>
          <w:lang w:val="ru-MD" w:eastAsia="ru-RU"/>
        </w:rPr>
        <w:t>из 7,</w:t>
      </w:r>
      <w:r w:rsidR="0099165B" w:rsidRPr="009B0EA7">
        <w:rPr>
          <w:rFonts w:asciiTheme="majorHAnsi" w:eastAsia="Times New Roman" w:hAnsiTheme="majorHAnsi" w:cstheme="majorHAnsi"/>
          <w:color w:val="000000"/>
          <w:sz w:val="24"/>
          <w:szCs w:val="24"/>
          <w:lang w:val="ru-MD" w:eastAsia="ru-RU"/>
        </w:rPr>
        <w:t>3</w:t>
      </w:r>
      <w:r w:rsidRPr="009B0EA7">
        <w:rPr>
          <w:rFonts w:asciiTheme="majorHAnsi" w:eastAsia="Times New Roman" w:hAnsiTheme="majorHAnsi" w:cstheme="majorHAnsi"/>
          <w:color w:val="000000"/>
          <w:sz w:val="24"/>
          <w:szCs w:val="24"/>
          <w:lang w:val="ru-MD" w:eastAsia="ru-RU"/>
        </w:rPr>
        <w:t xml:space="preserve"> тыс. таможенных деклараций, поданных экономическими агентами </w:t>
      </w:r>
      <w:r w:rsidR="0099165B" w:rsidRPr="009B0EA7">
        <w:rPr>
          <w:rFonts w:asciiTheme="majorHAnsi" w:eastAsia="Times New Roman" w:hAnsiTheme="majorHAnsi" w:cstheme="majorHAnsi"/>
          <w:color w:val="000000"/>
          <w:sz w:val="24"/>
          <w:szCs w:val="24"/>
          <w:lang w:val="ru-MD" w:eastAsia="ru-RU"/>
        </w:rPr>
        <w:t xml:space="preserve">по </w:t>
      </w:r>
      <w:r w:rsidRPr="009B0EA7">
        <w:rPr>
          <w:rFonts w:asciiTheme="majorHAnsi" w:eastAsia="Times New Roman" w:hAnsiTheme="majorHAnsi" w:cstheme="majorHAnsi"/>
          <w:color w:val="000000"/>
          <w:sz w:val="24"/>
          <w:szCs w:val="24"/>
          <w:lang w:val="ru-MD" w:eastAsia="ru-RU"/>
        </w:rPr>
        <w:t>метод</w:t>
      </w:r>
      <w:r w:rsidR="0099165B" w:rsidRPr="009B0EA7">
        <w:rPr>
          <w:rFonts w:asciiTheme="majorHAnsi" w:eastAsia="Times New Roman" w:hAnsiTheme="majorHAnsi" w:cstheme="majorHAnsi"/>
          <w:color w:val="000000"/>
          <w:sz w:val="24"/>
          <w:szCs w:val="24"/>
          <w:lang w:val="ru-MD" w:eastAsia="ru-RU"/>
        </w:rPr>
        <w:t>у</w:t>
      </w:r>
      <w:r w:rsidRPr="009B0EA7">
        <w:rPr>
          <w:rFonts w:asciiTheme="majorHAnsi" w:eastAsia="Times New Roman" w:hAnsiTheme="majorHAnsi" w:cstheme="majorHAnsi"/>
          <w:color w:val="000000"/>
          <w:sz w:val="24"/>
          <w:szCs w:val="24"/>
          <w:lang w:val="ru-MD" w:eastAsia="ru-RU"/>
        </w:rPr>
        <w:t xml:space="preserve"> №1, были приняты таможенным органом по методу №6, в результате чего таможенная стоимость импортируемых товаров была увеличена на </w:t>
      </w:r>
      <w:r w:rsidR="0099165B" w:rsidRPr="009B0EA7">
        <w:rPr>
          <w:rFonts w:asciiTheme="majorHAnsi" w:eastAsia="Times New Roman" w:hAnsiTheme="majorHAnsi" w:cstheme="majorHAnsi"/>
          <w:color w:val="000000"/>
          <w:sz w:val="24"/>
          <w:szCs w:val="24"/>
          <w:lang w:val="ru-MD" w:eastAsia="ru-RU"/>
        </w:rPr>
        <w:t>1.106,8</w:t>
      </w:r>
      <w:r w:rsidRPr="009B0EA7">
        <w:rPr>
          <w:rFonts w:asciiTheme="majorHAnsi" w:eastAsia="Times New Roman" w:hAnsiTheme="majorHAnsi" w:cstheme="majorHAnsi"/>
          <w:color w:val="000000"/>
          <w:sz w:val="24"/>
          <w:szCs w:val="24"/>
          <w:lang w:val="ru-MD" w:eastAsia="ru-RU"/>
        </w:rPr>
        <w:t xml:space="preserve"> млн. леев, с взиманием дополнительных таможенных платежей на сумму </w:t>
      </w:r>
      <w:r w:rsidR="0099165B" w:rsidRPr="009B0EA7">
        <w:rPr>
          <w:rFonts w:asciiTheme="majorHAnsi" w:eastAsia="Times New Roman" w:hAnsiTheme="majorHAnsi" w:cstheme="majorHAnsi"/>
          <w:color w:val="000000"/>
          <w:sz w:val="24"/>
          <w:szCs w:val="24"/>
          <w:lang w:val="ru-MD" w:eastAsia="ru-RU"/>
        </w:rPr>
        <w:t xml:space="preserve">289,5 </w:t>
      </w:r>
      <w:r w:rsidRPr="009B0EA7">
        <w:rPr>
          <w:rFonts w:asciiTheme="majorHAnsi" w:eastAsia="Times New Roman" w:hAnsiTheme="majorHAnsi" w:cstheme="majorHAnsi"/>
          <w:color w:val="000000"/>
          <w:sz w:val="24"/>
          <w:szCs w:val="24"/>
          <w:lang w:val="ru-MD" w:eastAsia="ru-RU"/>
        </w:rPr>
        <w:t>млн. леев</w:t>
      </w:r>
      <w:r w:rsidR="00117C63" w:rsidRPr="009B0EA7">
        <w:rPr>
          <w:rFonts w:asciiTheme="majorHAnsi" w:eastAsia="Times New Roman" w:hAnsiTheme="majorHAnsi" w:cstheme="majorHAnsi"/>
          <w:color w:val="000000"/>
          <w:sz w:val="24"/>
          <w:szCs w:val="24"/>
          <w:lang w:val="ru-MD" w:eastAsia="ru-RU"/>
        </w:rPr>
        <w:t>;</w:t>
      </w:r>
    </w:p>
    <w:p w14:paraId="62A5FA63" w14:textId="5D45EA76" w:rsidR="00117C63" w:rsidRPr="009B0EA7" w:rsidRDefault="0074738A" w:rsidP="00D418F4">
      <w:pPr>
        <w:pStyle w:val="ListParagraph"/>
        <w:numPr>
          <w:ilvl w:val="0"/>
          <w:numId w:val="2"/>
        </w:numPr>
        <w:tabs>
          <w:tab w:val="left" w:pos="851"/>
          <w:tab w:val="left" w:pos="1134"/>
        </w:tabs>
        <w:spacing w:after="120" w:line="276" w:lineRule="auto"/>
        <w:ind w:left="0" w:firstLine="425"/>
        <w:jc w:val="both"/>
        <w:rPr>
          <w:rFonts w:asciiTheme="majorHAnsi" w:eastAsia="Times New Roman" w:hAnsiTheme="majorHAnsi" w:cstheme="majorHAnsi"/>
          <w:color w:val="000000"/>
          <w:sz w:val="24"/>
          <w:szCs w:val="24"/>
          <w:lang w:val="ru-MD" w:eastAsia="ru-RU"/>
        </w:rPr>
      </w:pPr>
      <w:r w:rsidRPr="009B0EA7">
        <w:rPr>
          <w:rFonts w:asciiTheme="majorHAnsi" w:eastAsia="Times New Roman" w:hAnsiTheme="majorHAnsi" w:cstheme="majorHAnsi"/>
          <w:color w:val="000000"/>
          <w:sz w:val="24"/>
          <w:szCs w:val="24"/>
          <w:lang w:val="ru-MD" w:eastAsia="ru-RU"/>
        </w:rPr>
        <w:t xml:space="preserve">из </w:t>
      </w:r>
      <w:r w:rsidR="0099165B" w:rsidRPr="009B0EA7">
        <w:rPr>
          <w:rFonts w:asciiTheme="majorHAnsi" w:eastAsia="Times New Roman" w:hAnsiTheme="majorHAnsi" w:cstheme="majorHAnsi"/>
          <w:color w:val="000000"/>
          <w:sz w:val="24"/>
          <w:szCs w:val="24"/>
          <w:lang w:val="ru-MD" w:eastAsia="ru-RU"/>
        </w:rPr>
        <w:t xml:space="preserve">13,9 </w:t>
      </w:r>
      <w:r w:rsidRPr="009B0EA7">
        <w:rPr>
          <w:rFonts w:asciiTheme="majorHAnsi" w:eastAsia="Times New Roman" w:hAnsiTheme="majorHAnsi" w:cstheme="majorHAnsi"/>
          <w:color w:val="000000"/>
          <w:sz w:val="24"/>
          <w:szCs w:val="24"/>
          <w:lang w:val="ru-MD" w:eastAsia="ru-RU"/>
        </w:rPr>
        <w:t>тыс. таможенных деклараций, поданных экономическими агентами по методу №6 и, одновременно, принятых таможенным органом тем же методом, однако без последовательного применения методов, предусмотренных нормативной базой</w:t>
      </w:r>
      <w:r w:rsidRPr="009B0EA7">
        <w:rPr>
          <w:rStyle w:val="FootnoteReference"/>
          <w:rFonts w:asciiTheme="majorHAnsi" w:eastAsia="Times New Roman" w:hAnsiTheme="majorHAnsi" w:cstheme="majorHAnsi"/>
          <w:color w:val="000000"/>
          <w:sz w:val="24"/>
          <w:szCs w:val="24"/>
          <w:lang w:val="ru-MD" w:eastAsia="ru-RU"/>
        </w:rPr>
        <w:footnoteReference w:id="49"/>
      </w:r>
      <w:r w:rsidRPr="009B0EA7">
        <w:rPr>
          <w:rFonts w:asciiTheme="majorHAnsi" w:eastAsia="Times New Roman" w:hAnsiTheme="majorHAnsi" w:cstheme="majorHAnsi"/>
          <w:color w:val="000000"/>
          <w:sz w:val="24"/>
          <w:szCs w:val="24"/>
          <w:lang w:val="ru-MD" w:eastAsia="ru-RU"/>
        </w:rPr>
        <w:t xml:space="preserve">. Увеличение таможенной стоимости по этим декларациям составило около 710,6 млн. леев, с взиманием дополнительных таможенных пошлин на сумму </w:t>
      </w:r>
      <w:r w:rsidR="0099165B" w:rsidRPr="009B0EA7">
        <w:rPr>
          <w:rFonts w:asciiTheme="majorHAnsi" w:eastAsia="Times New Roman" w:hAnsiTheme="majorHAnsi" w:cstheme="majorHAnsi"/>
          <w:color w:val="000000"/>
          <w:sz w:val="24"/>
          <w:szCs w:val="24"/>
          <w:lang w:val="ru-MD" w:eastAsia="ru-RU"/>
        </w:rPr>
        <w:t xml:space="preserve">171,1 </w:t>
      </w:r>
      <w:r w:rsidRPr="009B0EA7">
        <w:rPr>
          <w:rFonts w:asciiTheme="majorHAnsi" w:eastAsia="Times New Roman" w:hAnsiTheme="majorHAnsi" w:cstheme="majorHAnsi"/>
          <w:color w:val="000000"/>
          <w:sz w:val="24"/>
          <w:szCs w:val="24"/>
          <w:lang w:val="ru-MD" w:eastAsia="ru-RU"/>
        </w:rPr>
        <w:t>млн. леев</w:t>
      </w:r>
      <w:r w:rsidR="00117C63" w:rsidRPr="009B0EA7">
        <w:rPr>
          <w:rFonts w:asciiTheme="majorHAnsi" w:eastAsia="Times New Roman" w:hAnsiTheme="majorHAnsi" w:cstheme="majorHAnsi"/>
          <w:color w:val="000000"/>
          <w:sz w:val="24"/>
          <w:szCs w:val="24"/>
          <w:lang w:val="ru-MD" w:eastAsia="ru-RU"/>
        </w:rPr>
        <w:t xml:space="preserve">. </w:t>
      </w:r>
    </w:p>
    <w:p w14:paraId="14838F85" w14:textId="3F4C389A" w:rsidR="00AE43F8" w:rsidRPr="009B0EA7" w:rsidRDefault="0074738A" w:rsidP="002E1013">
      <w:pPr>
        <w:tabs>
          <w:tab w:val="left" w:pos="851"/>
          <w:tab w:val="left" w:pos="1134"/>
        </w:tabs>
        <w:spacing w:after="120"/>
        <w:jc w:val="both"/>
        <w:rPr>
          <w:rFonts w:asciiTheme="majorHAnsi" w:eastAsia="Times New Roman" w:hAnsiTheme="majorHAnsi" w:cstheme="majorHAnsi"/>
          <w:color w:val="000000"/>
          <w:sz w:val="24"/>
          <w:szCs w:val="24"/>
          <w:lang w:val="ru-MD" w:eastAsia="ru-RU"/>
        </w:rPr>
      </w:pPr>
      <w:r w:rsidRPr="009B0EA7">
        <w:rPr>
          <w:rFonts w:asciiTheme="majorHAnsi" w:eastAsia="Times New Roman" w:hAnsiTheme="majorHAnsi" w:cstheme="majorHAnsi"/>
          <w:color w:val="000000"/>
          <w:sz w:val="24"/>
          <w:szCs w:val="24"/>
          <w:lang w:val="ru-MD" w:eastAsia="ru-RU"/>
        </w:rPr>
        <w:t>В этом контексте, за 20</w:t>
      </w:r>
      <w:r w:rsidR="0099165B" w:rsidRPr="009B0EA7">
        <w:rPr>
          <w:rFonts w:asciiTheme="majorHAnsi" w:eastAsia="Times New Roman" w:hAnsiTheme="majorHAnsi" w:cstheme="majorHAnsi"/>
          <w:color w:val="000000"/>
          <w:sz w:val="24"/>
          <w:szCs w:val="24"/>
          <w:lang w:val="ru-MD" w:eastAsia="ru-RU"/>
        </w:rPr>
        <w:t>21</w:t>
      </w:r>
      <w:r w:rsidRPr="009B0EA7">
        <w:rPr>
          <w:rFonts w:asciiTheme="majorHAnsi" w:eastAsia="Times New Roman" w:hAnsiTheme="majorHAnsi" w:cstheme="majorHAnsi"/>
          <w:color w:val="000000"/>
          <w:sz w:val="24"/>
          <w:szCs w:val="24"/>
          <w:lang w:val="ru-MD" w:eastAsia="ru-RU"/>
        </w:rPr>
        <w:t xml:space="preserve"> год таможенная стоимость </w:t>
      </w:r>
      <w:r w:rsidR="0099165B" w:rsidRPr="009B0EA7">
        <w:rPr>
          <w:rFonts w:asciiTheme="majorHAnsi" w:eastAsia="Times New Roman" w:hAnsiTheme="majorHAnsi" w:cstheme="majorHAnsi"/>
          <w:color w:val="000000"/>
          <w:sz w:val="24"/>
          <w:szCs w:val="24"/>
          <w:lang w:val="ru-MD" w:eastAsia="ru-RU"/>
        </w:rPr>
        <w:t xml:space="preserve">на основании поданных таможенных деклараций </w:t>
      </w:r>
      <w:r w:rsidRPr="009B0EA7">
        <w:rPr>
          <w:rFonts w:asciiTheme="majorHAnsi" w:eastAsia="Times New Roman" w:hAnsiTheme="majorHAnsi" w:cstheme="majorHAnsi"/>
          <w:color w:val="000000"/>
          <w:sz w:val="24"/>
          <w:szCs w:val="24"/>
          <w:lang w:val="ru-MD" w:eastAsia="ru-RU"/>
        </w:rPr>
        <w:t xml:space="preserve">была увеличена в общей сложности примерно на </w:t>
      </w:r>
      <w:r w:rsidR="0099165B" w:rsidRPr="009B0EA7">
        <w:rPr>
          <w:rFonts w:asciiTheme="majorHAnsi" w:eastAsia="Times New Roman" w:hAnsiTheme="majorHAnsi" w:cstheme="majorHAnsi"/>
          <w:color w:val="000000"/>
          <w:sz w:val="24"/>
          <w:szCs w:val="24"/>
          <w:lang w:val="ru-MD" w:eastAsia="ru-RU"/>
        </w:rPr>
        <w:t xml:space="preserve">1.860,6 </w:t>
      </w:r>
      <w:r w:rsidRPr="009B0EA7">
        <w:rPr>
          <w:rFonts w:asciiTheme="majorHAnsi" w:eastAsia="Times New Roman" w:hAnsiTheme="majorHAnsi" w:cstheme="majorHAnsi"/>
          <w:color w:val="000000"/>
          <w:sz w:val="24"/>
          <w:szCs w:val="24"/>
          <w:lang w:val="ru-MD" w:eastAsia="ru-RU"/>
        </w:rPr>
        <w:t>млн. леев, с взиманием дополнительных таможенных пошлин на сумму 4</w:t>
      </w:r>
      <w:r w:rsidR="0099165B" w:rsidRPr="009B0EA7">
        <w:rPr>
          <w:rFonts w:asciiTheme="majorHAnsi" w:eastAsia="Times New Roman" w:hAnsiTheme="majorHAnsi" w:cstheme="majorHAnsi"/>
          <w:color w:val="000000"/>
          <w:sz w:val="24"/>
          <w:szCs w:val="24"/>
          <w:lang w:val="ru-MD" w:eastAsia="ru-RU"/>
        </w:rPr>
        <w:t>60</w:t>
      </w:r>
      <w:r w:rsidRPr="009B0EA7">
        <w:rPr>
          <w:rFonts w:asciiTheme="majorHAnsi" w:eastAsia="Times New Roman" w:hAnsiTheme="majorHAnsi" w:cstheme="majorHAnsi"/>
          <w:color w:val="000000"/>
          <w:sz w:val="24"/>
          <w:szCs w:val="24"/>
          <w:lang w:val="ru-MD" w:eastAsia="ru-RU"/>
        </w:rPr>
        <w:t>,</w:t>
      </w:r>
      <w:r w:rsidR="0099165B" w:rsidRPr="009B0EA7">
        <w:rPr>
          <w:rFonts w:asciiTheme="majorHAnsi" w:eastAsia="Times New Roman" w:hAnsiTheme="majorHAnsi" w:cstheme="majorHAnsi"/>
          <w:color w:val="000000"/>
          <w:sz w:val="24"/>
          <w:szCs w:val="24"/>
          <w:lang w:val="ru-MD" w:eastAsia="ru-RU"/>
        </w:rPr>
        <w:t>6</w:t>
      </w:r>
      <w:r w:rsidRPr="009B0EA7">
        <w:rPr>
          <w:rFonts w:asciiTheme="majorHAnsi" w:eastAsia="Times New Roman" w:hAnsiTheme="majorHAnsi" w:cstheme="majorHAnsi"/>
          <w:color w:val="000000"/>
          <w:sz w:val="24"/>
          <w:szCs w:val="24"/>
          <w:lang w:val="ru-MD" w:eastAsia="ru-RU"/>
        </w:rPr>
        <w:t xml:space="preserve"> млн. леев</w:t>
      </w:r>
      <w:r w:rsidR="00117C63" w:rsidRPr="009B0EA7">
        <w:rPr>
          <w:rFonts w:asciiTheme="majorHAnsi" w:eastAsia="Times New Roman" w:hAnsiTheme="majorHAnsi" w:cstheme="majorHAnsi"/>
          <w:color w:val="000000"/>
          <w:sz w:val="24"/>
          <w:szCs w:val="24"/>
          <w:lang w:val="ru-MD" w:eastAsia="ru-RU"/>
        </w:rPr>
        <w:t xml:space="preserve">. </w:t>
      </w:r>
      <w:r w:rsidR="0099165B" w:rsidRPr="009B0EA7">
        <w:rPr>
          <w:rFonts w:asciiTheme="majorHAnsi" w:eastAsia="Times New Roman" w:hAnsiTheme="majorHAnsi" w:cstheme="majorHAnsi"/>
          <w:color w:val="000000"/>
          <w:sz w:val="24"/>
          <w:szCs w:val="24"/>
          <w:lang w:val="ru-MD" w:eastAsia="ru-RU"/>
        </w:rPr>
        <w:t>Таким образом, таможенная стоимость по сравнению с 2020 годом выросла на 0,5% (8,6 млн. леев), а взимаемые импортные пошлины - на 1,0% (5,8 млн. леев)</w:t>
      </w:r>
      <w:r w:rsidR="00AE43F8" w:rsidRPr="009B0EA7">
        <w:rPr>
          <w:rFonts w:asciiTheme="majorHAnsi" w:eastAsia="Times New Roman" w:hAnsiTheme="majorHAnsi" w:cstheme="majorHAnsi"/>
          <w:color w:val="000000"/>
          <w:sz w:val="24"/>
          <w:szCs w:val="24"/>
          <w:lang w:val="ru-MD" w:eastAsia="ru-RU"/>
        </w:rPr>
        <w:t>.</w:t>
      </w:r>
    </w:p>
    <w:p w14:paraId="162595D8" w14:textId="7392516D" w:rsidR="002E1013" w:rsidRPr="00610EC0" w:rsidRDefault="0074738A" w:rsidP="002E1013">
      <w:pPr>
        <w:spacing w:after="120"/>
        <w:jc w:val="both"/>
        <w:rPr>
          <w:rFonts w:asciiTheme="majorHAnsi" w:eastAsia="Times New Roman" w:hAnsiTheme="majorHAnsi" w:cstheme="majorHAnsi"/>
          <w:color w:val="000000"/>
          <w:sz w:val="24"/>
          <w:szCs w:val="24"/>
          <w:lang w:val="ru-MD" w:eastAsia="ru-RU"/>
        </w:rPr>
      </w:pPr>
      <w:r w:rsidRPr="00610EC0">
        <w:rPr>
          <w:rFonts w:asciiTheme="majorHAnsi" w:eastAsia="Times New Roman" w:hAnsiTheme="majorHAnsi" w:cstheme="majorHAnsi"/>
          <w:color w:val="000000"/>
          <w:sz w:val="24"/>
          <w:szCs w:val="24"/>
          <w:lang w:val="ru-MD" w:eastAsia="ru-RU"/>
        </w:rPr>
        <w:t>В результате проверки таможенных деклараций на импорт в аспекте правильности определения таможенной стоимости, аудит констатировал, что таможенные органы, приняв таможенную стоимость согласно методу №6 „резервный”, не применяли последовательно методы №2, №3, №4 и №5, в соответствии со ст.12-16 Закона №1380 от 20.11.1997 и Постановлением Правительства №</w:t>
      </w:r>
      <w:r w:rsidR="00610EC0" w:rsidRPr="00610EC0">
        <w:rPr>
          <w:rFonts w:asciiTheme="majorHAnsi" w:eastAsia="Times New Roman" w:hAnsiTheme="majorHAnsi" w:cstheme="majorHAnsi"/>
          <w:color w:val="000000"/>
          <w:sz w:val="24"/>
          <w:szCs w:val="24"/>
          <w:lang w:val="ru-MD" w:eastAsia="ru-RU"/>
        </w:rPr>
        <w:t>974 от 15.08.2016</w:t>
      </w:r>
      <w:r w:rsidR="00806633" w:rsidRPr="00610EC0">
        <w:rPr>
          <w:rFonts w:asciiTheme="majorHAnsi" w:eastAsia="Times New Roman" w:hAnsiTheme="majorHAnsi" w:cstheme="majorHAnsi"/>
          <w:color w:val="000000"/>
          <w:sz w:val="24"/>
          <w:szCs w:val="24"/>
          <w:lang w:val="ru-MD" w:eastAsia="ru-RU"/>
        </w:rPr>
        <w:t xml:space="preserve">, </w:t>
      </w:r>
      <w:r w:rsidRPr="00610EC0">
        <w:rPr>
          <w:rFonts w:asciiTheme="majorHAnsi" w:eastAsia="Times New Roman" w:hAnsiTheme="majorHAnsi" w:cstheme="majorHAnsi"/>
          <w:color w:val="000000"/>
          <w:sz w:val="24"/>
          <w:szCs w:val="24"/>
          <w:lang w:val="ru-MD" w:eastAsia="ru-RU"/>
        </w:rPr>
        <w:t>а в некоторых случаях сотрудники таможни не документировали в акте инспекции причину неприменения пре</w:t>
      </w:r>
      <w:r w:rsidR="00610EC0" w:rsidRPr="00610EC0">
        <w:rPr>
          <w:rFonts w:asciiTheme="majorHAnsi" w:eastAsia="Times New Roman" w:hAnsiTheme="majorHAnsi" w:cstheme="majorHAnsi"/>
          <w:color w:val="000000"/>
          <w:sz w:val="24"/>
          <w:szCs w:val="24"/>
          <w:lang w:val="ru-MD" w:eastAsia="ru-RU"/>
        </w:rPr>
        <w:t>дыдущ</w:t>
      </w:r>
      <w:r w:rsidRPr="00610EC0">
        <w:rPr>
          <w:rFonts w:asciiTheme="majorHAnsi" w:eastAsia="Times New Roman" w:hAnsiTheme="majorHAnsi" w:cstheme="majorHAnsi"/>
          <w:color w:val="000000"/>
          <w:sz w:val="24"/>
          <w:szCs w:val="24"/>
          <w:lang w:val="ru-MD" w:eastAsia="ru-RU"/>
        </w:rPr>
        <w:t xml:space="preserve">их методов, </w:t>
      </w:r>
      <w:r w:rsidR="00610EC0" w:rsidRPr="00610EC0">
        <w:rPr>
          <w:rFonts w:asciiTheme="majorHAnsi" w:eastAsia="Times New Roman" w:hAnsiTheme="majorHAnsi" w:cstheme="majorHAnsi"/>
          <w:color w:val="000000"/>
          <w:sz w:val="24"/>
          <w:szCs w:val="24"/>
          <w:lang w:val="ru-MD" w:eastAsia="ru-RU"/>
        </w:rPr>
        <w:t xml:space="preserve">с </w:t>
      </w:r>
      <w:r w:rsidRPr="00610EC0">
        <w:rPr>
          <w:rFonts w:asciiTheme="majorHAnsi" w:eastAsia="Times New Roman" w:hAnsiTheme="majorHAnsi" w:cstheme="majorHAnsi"/>
          <w:color w:val="000000"/>
          <w:sz w:val="24"/>
          <w:szCs w:val="24"/>
          <w:lang w:val="ru-MD" w:eastAsia="ru-RU"/>
        </w:rPr>
        <w:t>сохран</w:t>
      </w:r>
      <w:r w:rsidR="00610EC0" w:rsidRPr="00610EC0">
        <w:rPr>
          <w:rFonts w:asciiTheme="majorHAnsi" w:eastAsia="Times New Roman" w:hAnsiTheme="majorHAnsi" w:cstheme="majorHAnsi"/>
          <w:color w:val="000000"/>
          <w:sz w:val="24"/>
          <w:szCs w:val="24"/>
          <w:lang w:val="ru-MD" w:eastAsia="ru-RU"/>
        </w:rPr>
        <w:t>ением</w:t>
      </w:r>
      <w:r w:rsidRPr="00610EC0">
        <w:rPr>
          <w:rFonts w:asciiTheme="majorHAnsi" w:eastAsia="Times New Roman" w:hAnsiTheme="majorHAnsi" w:cstheme="majorHAnsi"/>
          <w:color w:val="000000"/>
          <w:sz w:val="24"/>
          <w:szCs w:val="24"/>
          <w:lang w:val="ru-MD" w:eastAsia="ru-RU"/>
        </w:rPr>
        <w:t xml:space="preserve"> риск</w:t>
      </w:r>
      <w:r w:rsidR="00610EC0" w:rsidRPr="00610EC0">
        <w:rPr>
          <w:rFonts w:asciiTheme="majorHAnsi" w:eastAsia="Times New Roman" w:hAnsiTheme="majorHAnsi" w:cstheme="majorHAnsi"/>
          <w:color w:val="000000"/>
          <w:sz w:val="24"/>
          <w:szCs w:val="24"/>
          <w:lang w:val="ru-MD" w:eastAsia="ru-RU"/>
        </w:rPr>
        <w:t>а</w:t>
      </w:r>
      <w:r w:rsidRPr="00610EC0">
        <w:rPr>
          <w:rFonts w:asciiTheme="majorHAnsi" w:eastAsia="Times New Roman" w:hAnsiTheme="majorHAnsi" w:cstheme="majorHAnsi"/>
          <w:color w:val="000000"/>
          <w:sz w:val="24"/>
          <w:szCs w:val="24"/>
          <w:lang w:val="ru-MD" w:eastAsia="ru-RU"/>
        </w:rPr>
        <w:t xml:space="preserve"> </w:t>
      </w:r>
      <w:r w:rsidR="00610EC0" w:rsidRPr="00610EC0">
        <w:rPr>
          <w:rFonts w:asciiTheme="majorHAnsi" w:eastAsia="Times New Roman" w:hAnsiTheme="majorHAnsi" w:cstheme="majorHAnsi"/>
          <w:color w:val="000000"/>
          <w:sz w:val="24"/>
          <w:szCs w:val="24"/>
          <w:lang w:val="ru-MD" w:eastAsia="ru-RU"/>
        </w:rPr>
        <w:t>упущения</w:t>
      </w:r>
      <w:r w:rsidRPr="00610EC0">
        <w:rPr>
          <w:rFonts w:asciiTheme="majorHAnsi" w:eastAsia="Times New Roman" w:hAnsiTheme="majorHAnsi" w:cstheme="majorHAnsi"/>
          <w:color w:val="000000"/>
          <w:sz w:val="24"/>
          <w:szCs w:val="24"/>
          <w:lang w:val="ru-MD" w:eastAsia="ru-RU"/>
        </w:rPr>
        <w:t xml:space="preserve"> некоторых доходов гос</w:t>
      </w:r>
      <w:r w:rsidR="00610EC0" w:rsidRPr="00610EC0">
        <w:rPr>
          <w:rFonts w:asciiTheme="majorHAnsi" w:eastAsia="Times New Roman" w:hAnsiTheme="majorHAnsi" w:cstheme="majorHAnsi"/>
          <w:color w:val="000000"/>
          <w:sz w:val="24"/>
          <w:szCs w:val="24"/>
          <w:lang w:val="ru-MD" w:eastAsia="ru-RU"/>
        </w:rPr>
        <w:t xml:space="preserve">ударственного </w:t>
      </w:r>
      <w:r w:rsidRPr="00610EC0">
        <w:rPr>
          <w:rFonts w:asciiTheme="majorHAnsi" w:eastAsia="Times New Roman" w:hAnsiTheme="majorHAnsi" w:cstheme="majorHAnsi"/>
          <w:color w:val="000000"/>
          <w:sz w:val="24"/>
          <w:szCs w:val="24"/>
          <w:lang w:val="ru-MD" w:eastAsia="ru-RU"/>
        </w:rPr>
        <w:t>бюджет</w:t>
      </w:r>
      <w:r w:rsidR="00610EC0" w:rsidRPr="00610EC0">
        <w:rPr>
          <w:rFonts w:asciiTheme="majorHAnsi" w:eastAsia="Times New Roman" w:hAnsiTheme="majorHAnsi" w:cstheme="majorHAnsi"/>
          <w:color w:val="000000"/>
          <w:sz w:val="24"/>
          <w:szCs w:val="24"/>
          <w:lang w:val="ru-MD" w:eastAsia="ru-RU"/>
        </w:rPr>
        <w:t>а</w:t>
      </w:r>
      <w:r w:rsidRPr="00610EC0">
        <w:rPr>
          <w:rFonts w:asciiTheme="majorHAnsi" w:eastAsia="Times New Roman" w:hAnsiTheme="majorHAnsi" w:cstheme="majorHAnsi"/>
          <w:color w:val="000000"/>
          <w:sz w:val="24"/>
          <w:szCs w:val="24"/>
          <w:lang w:val="ru-MD" w:eastAsia="ru-RU"/>
        </w:rPr>
        <w:t>. Так, на основании 99 таможенных деклараций в 2021 году было импортировано 10,9 тыс. единиц бетономешал</w:t>
      </w:r>
      <w:r w:rsidR="00610EC0" w:rsidRPr="00610EC0">
        <w:rPr>
          <w:rFonts w:asciiTheme="majorHAnsi" w:eastAsia="Times New Roman" w:hAnsiTheme="majorHAnsi" w:cstheme="majorHAnsi"/>
          <w:color w:val="000000"/>
          <w:sz w:val="24"/>
          <w:szCs w:val="24"/>
          <w:lang w:val="ru-MD" w:eastAsia="ru-RU"/>
        </w:rPr>
        <w:t>о</w:t>
      </w:r>
      <w:r w:rsidRPr="00610EC0">
        <w:rPr>
          <w:rFonts w:asciiTheme="majorHAnsi" w:eastAsia="Times New Roman" w:hAnsiTheme="majorHAnsi" w:cstheme="majorHAnsi"/>
          <w:color w:val="000000"/>
          <w:sz w:val="24"/>
          <w:szCs w:val="24"/>
          <w:lang w:val="ru-MD" w:eastAsia="ru-RU"/>
        </w:rPr>
        <w:t>к и оборудования для смешивания цемента</w:t>
      </w:r>
      <w:r w:rsidR="00610EC0" w:rsidRPr="00610EC0">
        <w:rPr>
          <w:rStyle w:val="FootnoteReference"/>
          <w:rFonts w:asciiTheme="majorHAnsi" w:hAnsiTheme="majorHAnsi" w:cstheme="majorHAnsi"/>
          <w:sz w:val="24"/>
          <w:szCs w:val="24"/>
          <w:lang w:val="ru-MD"/>
        </w:rPr>
        <w:footnoteReference w:id="50"/>
      </w:r>
      <w:r w:rsidR="00610EC0" w:rsidRPr="00610EC0">
        <w:rPr>
          <w:rFonts w:asciiTheme="majorHAnsi" w:eastAsia="Times New Roman" w:hAnsiTheme="majorHAnsi" w:cstheme="majorHAnsi"/>
          <w:color w:val="000000"/>
          <w:sz w:val="24"/>
          <w:szCs w:val="24"/>
          <w:lang w:val="ru-MD" w:eastAsia="ru-RU"/>
        </w:rPr>
        <w:t>,</w:t>
      </w:r>
      <w:r w:rsidRPr="00610EC0">
        <w:rPr>
          <w:rFonts w:asciiTheme="majorHAnsi" w:eastAsia="Times New Roman" w:hAnsiTheme="majorHAnsi" w:cstheme="majorHAnsi"/>
          <w:color w:val="000000"/>
          <w:sz w:val="24"/>
          <w:szCs w:val="24"/>
          <w:lang w:val="ru-MD" w:eastAsia="ru-RU"/>
        </w:rPr>
        <w:t xml:space="preserve"> со статистической стоимостью 33,3 млн.</w:t>
      </w:r>
      <w:r w:rsidR="00610EC0" w:rsidRPr="00610EC0">
        <w:rPr>
          <w:rFonts w:asciiTheme="majorHAnsi" w:eastAsia="Times New Roman" w:hAnsiTheme="majorHAnsi" w:cstheme="majorHAnsi"/>
          <w:color w:val="000000"/>
          <w:sz w:val="24"/>
          <w:szCs w:val="24"/>
          <w:lang w:val="ru-MD" w:eastAsia="ru-RU"/>
        </w:rPr>
        <w:t xml:space="preserve"> </w:t>
      </w:r>
      <w:r w:rsidRPr="00610EC0">
        <w:rPr>
          <w:rFonts w:asciiTheme="majorHAnsi" w:eastAsia="Times New Roman" w:hAnsiTheme="majorHAnsi" w:cstheme="majorHAnsi"/>
          <w:color w:val="000000"/>
          <w:sz w:val="24"/>
          <w:szCs w:val="24"/>
          <w:lang w:val="ru-MD" w:eastAsia="ru-RU"/>
        </w:rPr>
        <w:t>ле</w:t>
      </w:r>
      <w:r w:rsidR="00610EC0" w:rsidRPr="00610EC0">
        <w:rPr>
          <w:rFonts w:asciiTheme="majorHAnsi" w:eastAsia="Times New Roman" w:hAnsiTheme="majorHAnsi" w:cstheme="majorHAnsi"/>
          <w:color w:val="000000"/>
          <w:sz w:val="24"/>
          <w:szCs w:val="24"/>
          <w:lang w:val="ru-MD" w:eastAsia="ru-RU"/>
        </w:rPr>
        <w:t>ев</w:t>
      </w:r>
      <w:r w:rsidRPr="00610EC0">
        <w:rPr>
          <w:rFonts w:asciiTheme="majorHAnsi" w:eastAsia="Times New Roman" w:hAnsiTheme="majorHAnsi" w:cstheme="majorHAnsi"/>
          <w:color w:val="000000"/>
          <w:sz w:val="24"/>
          <w:szCs w:val="24"/>
          <w:lang w:val="ru-MD" w:eastAsia="ru-RU"/>
        </w:rPr>
        <w:t xml:space="preserve">. Выборочный анализ таможенных деклараций, распределенных по красному или желтому </w:t>
      </w:r>
      <w:r w:rsidR="00610EC0" w:rsidRPr="00610EC0">
        <w:rPr>
          <w:rFonts w:asciiTheme="majorHAnsi" w:eastAsia="Times New Roman" w:hAnsiTheme="majorHAnsi" w:cstheme="majorHAnsi"/>
          <w:color w:val="000000"/>
          <w:sz w:val="24"/>
          <w:szCs w:val="24"/>
          <w:lang w:val="ru-MD" w:eastAsia="ru-RU"/>
        </w:rPr>
        <w:t>коридорам</w:t>
      </w:r>
      <w:r w:rsidRPr="00610EC0">
        <w:rPr>
          <w:rFonts w:asciiTheme="majorHAnsi" w:eastAsia="Times New Roman" w:hAnsiTheme="majorHAnsi" w:cstheme="majorHAnsi"/>
          <w:color w:val="000000"/>
          <w:sz w:val="24"/>
          <w:szCs w:val="24"/>
          <w:lang w:val="ru-MD" w:eastAsia="ru-RU"/>
        </w:rPr>
        <w:t xml:space="preserve"> по критерию </w:t>
      </w:r>
      <w:r w:rsidR="00610EC0" w:rsidRPr="00610EC0">
        <w:rPr>
          <w:rFonts w:asciiTheme="majorHAnsi" w:eastAsia="Times New Roman" w:hAnsiTheme="majorHAnsi" w:cstheme="majorHAnsi"/>
          <w:color w:val="000000"/>
          <w:sz w:val="24"/>
          <w:szCs w:val="24"/>
          <w:lang w:val="ru-MD" w:eastAsia="ru-RU"/>
        </w:rPr>
        <w:t xml:space="preserve">отбора </w:t>
      </w:r>
      <w:r w:rsidRPr="00610EC0">
        <w:rPr>
          <w:rFonts w:asciiTheme="majorHAnsi" w:eastAsia="Times New Roman" w:hAnsiTheme="majorHAnsi" w:cstheme="majorHAnsi"/>
          <w:color w:val="000000"/>
          <w:sz w:val="24"/>
          <w:szCs w:val="24"/>
          <w:lang w:val="ru-MD" w:eastAsia="ru-RU"/>
        </w:rPr>
        <w:t>-</w:t>
      </w:r>
      <w:r w:rsidR="00610EC0" w:rsidRPr="00610EC0">
        <w:rPr>
          <w:rFonts w:asciiTheme="majorHAnsi" w:eastAsia="Times New Roman" w:hAnsiTheme="majorHAnsi" w:cstheme="majorHAnsi"/>
          <w:color w:val="000000"/>
          <w:sz w:val="24"/>
          <w:szCs w:val="24"/>
          <w:lang w:val="ru-MD" w:eastAsia="ru-RU"/>
        </w:rPr>
        <w:t xml:space="preserve"> </w:t>
      </w:r>
      <w:r w:rsidRPr="00610EC0">
        <w:rPr>
          <w:rFonts w:asciiTheme="majorHAnsi" w:eastAsia="Times New Roman" w:hAnsiTheme="majorHAnsi" w:cstheme="majorHAnsi"/>
          <w:color w:val="000000"/>
          <w:sz w:val="24"/>
          <w:szCs w:val="24"/>
          <w:lang w:val="ru-MD" w:eastAsia="ru-RU"/>
        </w:rPr>
        <w:t xml:space="preserve">риск подозрения на недооцененный товар, </w:t>
      </w:r>
      <w:r w:rsidR="00610EC0" w:rsidRPr="00610EC0">
        <w:rPr>
          <w:rFonts w:asciiTheme="majorHAnsi" w:eastAsia="Times New Roman" w:hAnsiTheme="majorHAnsi" w:cstheme="majorHAnsi"/>
          <w:color w:val="000000"/>
          <w:sz w:val="24"/>
          <w:szCs w:val="24"/>
          <w:lang w:val="ru-MD" w:eastAsia="ru-RU"/>
        </w:rPr>
        <w:t>показал</w:t>
      </w:r>
      <w:r w:rsidRPr="00610EC0">
        <w:rPr>
          <w:rFonts w:asciiTheme="majorHAnsi" w:eastAsia="Times New Roman" w:hAnsiTheme="majorHAnsi" w:cstheme="majorHAnsi"/>
          <w:color w:val="000000"/>
          <w:sz w:val="24"/>
          <w:szCs w:val="24"/>
          <w:lang w:val="ru-MD" w:eastAsia="ru-RU"/>
        </w:rPr>
        <w:t xml:space="preserve">, что не во всех случаях обязательное заполнение акта проверки аргументировалось выбором </w:t>
      </w:r>
      <w:r w:rsidR="00610EC0" w:rsidRPr="00610EC0">
        <w:rPr>
          <w:rFonts w:asciiTheme="majorHAnsi" w:eastAsia="Times New Roman" w:hAnsiTheme="majorHAnsi" w:cstheme="majorHAnsi"/>
          <w:color w:val="000000"/>
          <w:sz w:val="24"/>
          <w:szCs w:val="24"/>
          <w:lang w:val="ru-MD" w:eastAsia="ru-RU"/>
        </w:rPr>
        <w:t>метод</w:t>
      </w:r>
      <w:r w:rsidRPr="00610EC0">
        <w:rPr>
          <w:rFonts w:asciiTheme="majorHAnsi" w:eastAsia="Times New Roman" w:hAnsiTheme="majorHAnsi" w:cstheme="majorHAnsi"/>
          <w:color w:val="000000"/>
          <w:sz w:val="24"/>
          <w:szCs w:val="24"/>
          <w:lang w:val="ru-MD" w:eastAsia="ru-RU"/>
        </w:rPr>
        <w:t>а определения таможенной стоимости товара</w:t>
      </w:r>
      <w:r w:rsidR="00590A8F" w:rsidRPr="00610EC0">
        <w:rPr>
          <w:rFonts w:asciiTheme="majorHAnsi" w:hAnsiTheme="majorHAnsi" w:cstheme="majorHAnsi"/>
          <w:sz w:val="24"/>
          <w:szCs w:val="24"/>
          <w:lang w:val="ru-MD"/>
        </w:rPr>
        <w:t>.</w:t>
      </w:r>
      <w:r w:rsidR="00F70271" w:rsidRPr="00610EC0">
        <w:rPr>
          <w:rFonts w:asciiTheme="majorHAnsi" w:hAnsiTheme="majorHAnsi" w:cstheme="majorHAnsi"/>
          <w:sz w:val="24"/>
          <w:szCs w:val="24"/>
          <w:lang w:val="ru-MD"/>
        </w:rPr>
        <w:t xml:space="preserve"> </w:t>
      </w:r>
      <w:r w:rsidRPr="00610EC0">
        <w:rPr>
          <w:rFonts w:asciiTheme="majorHAnsi" w:eastAsia="Times New Roman" w:hAnsiTheme="majorHAnsi" w:cstheme="majorHAnsi"/>
          <w:color w:val="000000"/>
          <w:sz w:val="24"/>
          <w:szCs w:val="24"/>
          <w:lang w:val="ru-MD" w:eastAsia="ru-RU"/>
        </w:rPr>
        <w:t>Следует отметить, что подобные ситуации применяются в последние годы, аналогичные выводы были сформулированы и в предыдущих отчетах Счетной палаты</w:t>
      </w:r>
      <w:r w:rsidR="002E1013" w:rsidRPr="00610EC0">
        <w:rPr>
          <w:rFonts w:asciiTheme="majorHAnsi" w:eastAsia="Times New Roman" w:hAnsiTheme="majorHAnsi" w:cstheme="majorHAnsi"/>
          <w:color w:val="000000"/>
          <w:sz w:val="24"/>
          <w:szCs w:val="24"/>
          <w:lang w:val="ru-MD" w:eastAsia="ru-RU"/>
        </w:rPr>
        <w:t>.</w:t>
      </w:r>
    </w:p>
    <w:p w14:paraId="3AF23F9C" w14:textId="65FE6E69" w:rsidR="00741525" w:rsidRPr="00B20FBD" w:rsidRDefault="0074738A" w:rsidP="007C2BA8">
      <w:pPr>
        <w:spacing w:after="120"/>
        <w:jc w:val="both"/>
        <w:rPr>
          <w:rFonts w:asciiTheme="majorHAnsi" w:hAnsiTheme="majorHAnsi" w:cstheme="majorHAnsi"/>
          <w:b/>
          <w:sz w:val="24"/>
          <w:szCs w:val="24"/>
          <w:lang w:val="ro-RO"/>
        </w:rPr>
      </w:pPr>
      <w:r w:rsidRPr="00862458">
        <w:rPr>
          <w:rFonts w:asciiTheme="majorHAnsi" w:hAnsiTheme="majorHAnsi" w:cstheme="majorHAnsi"/>
          <w:sz w:val="24"/>
          <w:szCs w:val="24"/>
          <w:lang w:val="ru-MD"/>
        </w:rPr>
        <w:t xml:space="preserve">Аудит констатировал, что в 2021 году 89,9% </w:t>
      </w:r>
      <w:r w:rsidR="00610EC0" w:rsidRPr="00862458">
        <w:rPr>
          <w:rFonts w:asciiTheme="majorHAnsi" w:hAnsiTheme="majorHAnsi" w:cstheme="majorHAnsi"/>
          <w:sz w:val="24"/>
          <w:szCs w:val="24"/>
          <w:lang w:val="ru-MD"/>
        </w:rPr>
        <w:t xml:space="preserve">от </w:t>
      </w:r>
      <w:r w:rsidRPr="00862458">
        <w:rPr>
          <w:rFonts w:asciiTheme="majorHAnsi" w:hAnsiTheme="majorHAnsi" w:cstheme="majorHAnsi"/>
          <w:sz w:val="24"/>
          <w:szCs w:val="24"/>
          <w:lang w:val="ru-MD"/>
        </w:rPr>
        <w:t>объема импортных операций (319,8 тыс. таможенных деклараций) было осуществлено путем применения метода №1, который предусматривает определение таможенной стоимости на основе стоимости сделки, соответственно, на основе фактической цены, уплаченной или</w:t>
      </w:r>
      <w:r w:rsidR="00610EC0" w:rsidRPr="00862458">
        <w:rPr>
          <w:rFonts w:asciiTheme="majorHAnsi" w:hAnsiTheme="majorHAnsi" w:cstheme="majorHAnsi"/>
          <w:sz w:val="24"/>
          <w:szCs w:val="24"/>
          <w:lang w:val="ru-MD"/>
        </w:rPr>
        <w:t xml:space="preserve"> к уплате</w:t>
      </w:r>
      <w:r w:rsidRPr="00862458">
        <w:rPr>
          <w:rFonts w:asciiTheme="majorHAnsi" w:hAnsiTheme="majorHAnsi" w:cstheme="majorHAnsi"/>
          <w:sz w:val="24"/>
          <w:szCs w:val="24"/>
          <w:lang w:val="ru-MD"/>
        </w:rPr>
        <w:t>, из котор</w:t>
      </w:r>
      <w:r w:rsidR="00610EC0" w:rsidRPr="00862458">
        <w:rPr>
          <w:rFonts w:asciiTheme="majorHAnsi" w:hAnsiTheme="majorHAnsi" w:cstheme="majorHAnsi"/>
          <w:sz w:val="24"/>
          <w:szCs w:val="24"/>
          <w:lang w:val="ru-MD"/>
        </w:rPr>
        <w:t>ых</w:t>
      </w:r>
      <w:r w:rsidRPr="00862458">
        <w:rPr>
          <w:rFonts w:asciiTheme="majorHAnsi" w:hAnsiTheme="majorHAnsi" w:cstheme="majorHAnsi"/>
          <w:sz w:val="24"/>
          <w:szCs w:val="24"/>
          <w:lang w:val="ru-MD"/>
        </w:rPr>
        <w:t xml:space="preserve"> </w:t>
      </w:r>
      <w:r w:rsidR="00610EC0" w:rsidRPr="00862458">
        <w:rPr>
          <w:rFonts w:asciiTheme="majorHAnsi" w:hAnsiTheme="majorHAnsi" w:cstheme="majorHAnsi"/>
          <w:sz w:val="24"/>
          <w:szCs w:val="24"/>
          <w:lang w:val="ru-MD"/>
        </w:rPr>
        <w:t>по</w:t>
      </w:r>
      <w:r w:rsidRPr="00862458">
        <w:rPr>
          <w:rFonts w:asciiTheme="majorHAnsi" w:hAnsiTheme="majorHAnsi" w:cstheme="majorHAnsi"/>
          <w:sz w:val="24"/>
          <w:szCs w:val="24"/>
          <w:lang w:val="ru-MD"/>
        </w:rPr>
        <w:t xml:space="preserve"> зелен</w:t>
      </w:r>
      <w:r w:rsidR="00610EC0" w:rsidRPr="00862458">
        <w:rPr>
          <w:rFonts w:asciiTheme="majorHAnsi" w:hAnsiTheme="majorHAnsi" w:cstheme="majorHAnsi"/>
          <w:sz w:val="24"/>
          <w:szCs w:val="24"/>
          <w:lang w:val="ru-MD"/>
        </w:rPr>
        <w:t>ому</w:t>
      </w:r>
      <w:r w:rsidRPr="00862458">
        <w:rPr>
          <w:rFonts w:asciiTheme="majorHAnsi" w:hAnsiTheme="majorHAnsi" w:cstheme="majorHAnsi"/>
          <w:sz w:val="24"/>
          <w:szCs w:val="24"/>
          <w:lang w:val="ru-MD"/>
        </w:rPr>
        <w:t xml:space="preserve"> </w:t>
      </w:r>
      <w:r w:rsidR="00610EC0" w:rsidRPr="00862458">
        <w:rPr>
          <w:rFonts w:asciiTheme="majorHAnsi" w:hAnsiTheme="majorHAnsi" w:cstheme="majorHAnsi"/>
          <w:sz w:val="24"/>
          <w:szCs w:val="24"/>
          <w:lang w:val="ru-MD"/>
        </w:rPr>
        <w:t>коридору,</w:t>
      </w:r>
      <w:r w:rsidRPr="00862458">
        <w:rPr>
          <w:rFonts w:asciiTheme="majorHAnsi" w:hAnsiTheme="majorHAnsi" w:cstheme="majorHAnsi"/>
          <w:sz w:val="24"/>
          <w:szCs w:val="24"/>
          <w:lang w:val="ru-MD"/>
        </w:rPr>
        <w:t xml:space="preserve"> без документального контроля и физического </w:t>
      </w:r>
      <w:r w:rsidR="00610EC0" w:rsidRPr="00862458">
        <w:rPr>
          <w:rFonts w:asciiTheme="majorHAnsi" w:hAnsiTheme="majorHAnsi" w:cstheme="majorHAnsi"/>
          <w:sz w:val="24"/>
          <w:szCs w:val="24"/>
          <w:lang w:val="ru-MD"/>
        </w:rPr>
        <w:t>осмотра</w:t>
      </w:r>
      <w:r w:rsidRPr="00862458">
        <w:rPr>
          <w:rFonts w:asciiTheme="majorHAnsi" w:hAnsiTheme="majorHAnsi" w:cstheme="majorHAnsi"/>
          <w:sz w:val="24"/>
          <w:szCs w:val="24"/>
          <w:lang w:val="ru-MD"/>
        </w:rPr>
        <w:t xml:space="preserve"> импортируемы</w:t>
      </w:r>
      <w:r w:rsidR="00610EC0" w:rsidRPr="00862458">
        <w:rPr>
          <w:rFonts w:asciiTheme="majorHAnsi" w:hAnsiTheme="majorHAnsi" w:cstheme="majorHAnsi"/>
          <w:sz w:val="24"/>
          <w:szCs w:val="24"/>
          <w:lang w:val="ru-MD"/>
        </w:rPr>
        <w:t>х</w:t>
      </w:r>
      <w:r w:rsidRPr="00862458">
        <w:rPr>
          <w:rFonts w:asciiTheme="majorHAnsi" w:hAnsiTheme="majorHAnsi" w:cstheme="majorHAnsi"/>
          <w:sz w:val="24"/>
          <w:szCs w:val="24"/>
          <w:lang w:val="ru-MD"/>
        </w:rPr>
        <w:t xml:space="preserve"> товар</w:t>
      </w:r>
      <w:r w:rsidR="00610EC0" w:rsidRPr="00862458">
        <w:rPr>
          <w:rFonts w:asciiTheme="majorHAnsi" w:hAnsiTheme="majorHAnsi" w:cstheme="majorHAnsi"/>
          <w:sz w:val="24"/>
          <w:szCs w:val="24"/>
          <w:lang w:val="ru-MD"/>
        </w:rPr>
        <w:t>ов,</w:t>
      </w:r>
      <w:r w:rsidRPr="00862458">
        <w:rPr>
          <w:rFonts w:asciiTheme="majorHAnsi" w:hAnsiTheme="majorHAnsi" w:cstheme="majorHAnsi"/>
          <w:sz w:val="24"/>
          <w:szCs w:val="24"/>
          <w:lang w:val="ru-MD"/>
        </w:rPr>
        <w:t xml:space="preserve"> было направлено 77,4% деклараций. По мнению аудита, с целью подтверждения или опровержения потенциального риска недооценки таможенной стоимости товаров, ввозимых по зеленому </w:t>
      </w:r>
      <w:r w:rsidR="00862458" w:rsidRPr="00862458">
        <w:rPr>
          <w:rFonts w:asciiTheme="majorHAnsi" w:hAnsiTheme="majorHAnsi" w:cstheme="majorHAnsi"/>
          <w:sz w:val="24"/>
          <w:szCs w:val="24"/>
          <w:lang w:val="ru-MD"/>
        </w:rPr>
        <w:t>коридор</w:t>
      </w:r>
      <w:r w:rsidRPr="00862458">
        <w:rPr>
          <w:rFonts w:asciiTheme="majorHAnsi" w:hAnsiTheme="majorHAnsi" w:cstheme="majorHAnsi"/>
          <w:sz w:val="24"/>
          <w:szCs w:val="24"/>
          <w:lang w:val="ru-MD"/>
        </w:rPr>
        <w:t xml:space="preserve">у таможенного оформления, следует рассмотреть </w:t>
      </w:r>
      <w:r w:rsidR="00862458" w:rsidRPr="00862458">
        <w:rPr>
          <w:rFonts w:asciiTheme="majorHAnsi" w:hAnsiTheme="majorHAnsi" w:cstheme="majorHAnsi"/>
          <w:sz w:val="24"/>
          <w:szCs w:val="24"/>
          <w:lang w:val="ru-MD"/>
        </w:rPr>
        <w:t>целесообраз</w:t>
      </w:r>
      <w:r w:rsidRPr="00862458">
        <w:rPr>
          <w:rFonts w:asciiTheme="majorHAnsi" w:hAnsiTheme="majorHAnsi" w:cstheme="majorHAnsi"/>
          <w:sz w:val="24"/>
          <w:szCs w:val="24"/>
          <w:lang w:val="ru-MD"/>
        </w:rPr>
        <w:t>ность планирования последующих проверок, в том числе на основе автоматизированной информационной системы, специализиру</w:t>
      </w:r>
      <w:r w:rsidR="00862458" w:rsidRPr="00862458">
        <w:rPr>
          <w:rFonts w:asciiTheme="majorHAnsi" w:hAnsiTheme="majorHAnsi" w:cstheme="majorHAnsi"/>
          <w:sz w:val="24"/>
          <w:szCs w:val="24"/>
          <w:lang w:val="ru-MD"/>
        </w:rPr>
        <w:t>емой</w:t>
      </w:r>
      <w:r w:rsidRPr="00862458">
        <w:rPr>
          <w:rFonts w:asciiTheme="majorHAnsi" w:hAnsiTheme="majorHAnsi" w:cstheme="majorHAnsi"/>
          <w:sz w:val="24"/>
          <w:szCs w:val="24"/>
          <w:lang w:val="ru-MD"/>
        </w:rPr>
        <w:t xml:space="preserve"> </w:t>
      </w:r>
      <w:r w:rsidR="00862458" w:rsidRPr="00862458">
        <w:rPr>
          <w:rFonts w:asciiTheme="majorHAnsi" w:hAnsiTheme="majorHAnsi" w:cstheme="majorHAnsi"/>
          <w:sz w:val="24"/>
          <w:szCs w:val="24"/>
          <w:lang w:val="ru-MD"/>
        </w:rPr>
        <w:t>в</w:t>
      </w:r>
      <w:r w:rsidRPr="00862458">
        <w:rPr>
          <w:rFonts w:asciiTheme="majorHAnsi" w:hAnsiTheme="majorHAnsi" w:cstheme="majorHAnsi"/>
          <w:sz w:val="24"/>
          <w:szCs w:val="24"/>
          <w:lang w:val="ru-MD"/>
        </w:rPr>
        <w:t xml:space="preserve"> проведении анализа рисков и отборе экономических агентов для осуществления пос</w:t>
      </w:r>
      <w:r w:rsidR="00862458" w:rsidRPr="00862458">
        <w:rPr>
          <w:rFonts w:asciiTheme="majorHAnsi" w:hAnsiTheme="majorHAnsi" w:cstheme="majorHAnsi"/>
          <w:sz w:val="24"/>
          <w:szCs w:val="24"/>
          <w:lang w:val="ru-MD"/>
        </w:rPr>
        <w:t>таможенного</w:t>
      </w:r>
      <w:r w:rsidRPr="00862458">
        <w:rPr>
          <w:rFonts w:asciiTheme="majorHAnsi" w:hAnsiTheme="majorHAnsi" w:cstheme="majorHAnsi"/>
          <w:sz w:val="24"/>
          <w:szCs w:val="24"/>
          <w:lang w:val="ru-MD"/>
        </w:rPr>
        <w:t xml:space="preserve"> контроля, в результате </w:t>
      </w:r>
      <w:r w:rsidR="00862458" w:rsidRPr="00862458">
        <w:rPr>
          <w:rFonts w:asciiTheme="majorHAnsi" w:hAnsiTheme="majorHAnsi" w:cstheme="majorHAnsi"/>
          <w:sz w:val="24"/>
          <w:szCs w:val="24"/>
          <w:lang w:val="ru-MD"/>
        </w:rPr>
        <w:t>которых</w:t>
      </w:r>
      <w:r w:rsidRPr="00862458">
        <w:rPr>
          <w:rFonts w:asciiTheme="majorHAnsi" w:hAnsiTheme="majorHAnsi" w:cstheme="majorHAnsi"/>
          <w:sz w:val="24"/>
          <w:szCs w:val="24"/>
          <w:lang w:val="ru-MD"/>
        </w:rPr>
        <w:t xml:space="preserve"> импорт</w:t>
      </w:r>
      <w:r w:rsidR="00862458" w:rsidRPr="00862458">
        <w:rPr>
          <w:rFonts w:asciiTheme="majorHAnsi" w:hAnsiTheme="majorHAnsi" w:cstheme="majorHAnsi"/>
          <w:sz w:val="24"/>
          <w:szCs w:val="24"/>
          <w:lang w:val="ru-MD"/>
        </w:rPr>
        <w:t>ные пошлины</w:t>
      </w:r>
      <w:r w:rsidRPr="00862458">
        <w:rPr>
          <w:rFonts w:asciiTheme="majorHAnsi" w:hAnsiTheme="majorHAnsi" w:cstheme="majorHAnsi"/>
          <w:sz w:val="24"/>
          <w:szCs w:val="24"/>
          <w:lang w:val="ru-MD"/>
        </w:rPr>
        <w:t xml:space="preserve"> могут увелич</w:t>
      </w:r>
      <w:r w:rsidR="00862458">
        <w:rPr>
          <w:rFonts w:asciiTheme="majorHAnsi" w:hAnsiTheme="majorHAnsi" w:cstheme="majorHAnsi"/>
          <w:sz w:val="24"/>
          <w:szCs w:val="24"/>
          <w:lang w:val="ru-MD"/>
        </w:rPr>
        <w:t>иться</w:t>
      </w:r>
      <w:r w:rsidRPr="0074738A">
        <w:rPr>
          <w:rFonts w:asciiTheme="majorHAnsi" w:hAnsiTheme="majorHAnsi" w:cstheme="majorHAnsi"/>
          <w:sz w:val="24"/>
          <w:szCs w:val="24"/>
          <w:lang w:val="ro-RO"/>
        </w:rPr>
        <w:t>.</w:t>
      </w:r>
      <w:r>
        <w:rPr>
          <w:rFonts w:asciiTheme="majorHAnsi" w:hAnsiTheme="majorHAnsi" w:cstheme="majorHAnsi"/>
          <w:sz w:val="24"/>
          <w:szCs w:val="24"/>
          <w:lang w:val="ro-RO"/>
        </w:rPr>
        <w:t xml:space="preserve"> </w:t>
      </w:r>
    </w:p>
    <w:p w14:paraId="7A7F09BA" w14:textId="2D2F412C" w:rsidR="00287B8C" w:rsidRPr="00B20FBD" w:rsidRDefault="005F3BCB" w:rsidP="00522974">
      <w:pPr>
        <w:spacing w:after="120"/>
        <w:ind w:firstLine="567"/>
        <w:jc w:val="both"/>
        <w:outlineLvl w:val="2"/>
        <w:rPr>
          <w:rFonts w:asciiTheme="majorHAnsi" w:hAnsiTheme="majorHAnsi" w:cstheme="majorHAnsi"/>
          <w:sz w:val="24"/>
          <w:szCs w:val="24"/>
          <w:lang w:val="ro-RO"/>
        </w:rPr>
      </w:pPr>
      <w:bookmarkStart w:id="56" w:name="_Toc127129410"/>
      <w:r w:rsidRPr="00B20FBD">
        <w:rPr>
          <w:rFonts w:asciiTheme="majorHAnsi" w:hAnsiTheme="majorHAnsi" w:cstheme="majorHAnsi"/>
          <w:b/>
          <w:sz w:val="24"/>
          <w:szCs w:val="24"/>
          <w:lang w:val="ro-RO"/>
        </w:rPr>
        <w:t>4.</w:t>
      </w:r>
      <w:r w:rsidR="00287B8C" w:rsidRPr="00B20FBD">
        <w:rPr>
          <w:rFonts w:asciiTheme="majorHAnsi" w:hAnsiTheme="majorHAnsi" w:cstheme="majorHAnsi"/>
          <w:b/>
          <w:sz w:val="24"/>
          <w:szCs w:val="24"/>
          <w:lang w:val="ro-RO"/>
        </w:rPr>
        <w:t>3.</w:t>
      </w:r>
      <w:r w:rsidR="006D64A7" w:rsidRPr="00B20FBD">
        <w:rPr>
          <w:rFonts w:asciiTheme="majorHAnsi" w:hAnsiTheme="majorHAnsi" w:cstheme="majorHAnsi"/>
          <w:b/>
          <w:sz w:val="24"/>
          <w:szCs w:val="24"/>
          <w:lang w:val="ro-RO"/>
        </w:rPr>
        <w:t>2</w:t>
      </w:r>
      <w:r w:rsidR="00287B8C" w:rsidRPr="00B20FBD">
        <w:rPr>
          <w:rFonts w:asciiTheme="majorHAnsi" w:hAnsiTheme="majorHAnsi" w:cstheme="majorHAnsi"/>
          <w:b/>
          <w:sz w:val="24"/>
          <w:szCs w:val="24"/>
          <w:lang w:val="ro-RO"/>
        </w:rPr>
        <w:t xml:space="preserve">. </w:t>
      </w:r>
      <w:r w:rsidR="0074738A" w:rsidRPr="00D719E6">
        <w:rPr>
          <w:rFonts w:asciiTheme="majorHAnsi" w:hAnsiTheme="majorHAnsi" w:cstheme="majorHAnsi"/>
          <w:b/>
          <w:sz w:val="24"/>
          <w:szCs w:val="24"/>
          <w:lang w:val="ru-MD"/>
        </w:rPr>
        <w:t xml:space="preserve">Управление рисками в области таможенной стоимости, классификации и происхождения импортируемых товаров должно быть усилено </w:t>
      </w:r>
      <w:r w:rsidR="00D719E6" w:rsidRPr="00D719E6">
        <w:rPr>
          <w:rFonts w:asciiTheme="majorHAnsi" w:hAnsiTheme="majorHAnsi" w:cstheme="majorHAnsi"/>
          <w:b/>
          <w:sz w:val="24"/>
          <w:szCs w:val="24"/>
          <w:lang w:val="ru-MD"/>
        </w:rPr>
        <w:t xml:space="preserve">путем </w:t>
      </w:r>
      <w:r w:rsidR="0074738A" w:rsidRPr="00D719E6">
        <w:rPr>
          <w:rFonts w:asciiTheme="majorHAnsi" w:hAnsiTheme="majorHAnsi" w:cstheme="majorHAnsi"/>
          <w:b/>
          <w:sz w:val="24"/>
          <w:szCs w:val="24"/>
          <w:lang w:val="ru-MD"/>
        </w:rPr>
        <w:t>применени</w:t>
      </w:r>
      <w:r w:rsidR="00D719E6" w:rsidRPr="00D719E6">
        <w:rPr>
          <w:rFonts w:asciiTheme="majorHAnsi" w:hAnsiTheme="majorHAnsi" w:cstheme="majorHAnsi"/>
          <w:b/>
          <w:sz w:val="24"/>
          <w:szCs w:val="24"/>
          <w:lang w:val="ru-MD"/>
        </w:rPr>
        <w:t>я</w:t>
      </w:r>
      <w:r w:rsidR="0074738A" w:rsidRPr="00D719E6">
        <w:rPr>
          <w:rFonts w:asciiTheme="majorHAnsi" w:hAnsiTheme="majorHAnsi" w:cstheme="majorHAnsi"/>
          <w:b/>
          <w:sz w:val="24"/>
          <w:szCs w:val="24"/>
          <w:lang w:val="ru-MD"/>
        </w:rPr>
        <w:t xml:space="preserve"> современных таможенных инструментов </w:t>
      </w:r>
      <w:r w:rsidR="00D719E6" w:rsidRPr="00D719E6">
        <w:rPr>
          <w:rFonts w:asciiTheme="majorHAnsi" w:hAnsiTheme="majorHAnsi" w:cstheme="majorHAnsi"/>
          <w:b/>
          <w:sz w:val="24"/>
          <w:szCs w:val="24"/>
          <w:lang w:val="ru-MD"/>
        </w:rPr>
        <w:t xml:space="preserve">для </w:t>
      </w:r>
      <w:r w:rsidR="0074738A" w:rsidRPr="00D719E6">
        <w:rPr>
          <w:rFonts w:asciiTheme="majorHAnsi" w:hAnsiTheme="majorHAnsi" w:cstheme="majorHAnsi"/>
          <w:b/>
          <w:sz w:val="24"/>
          <w:szCs w:val="24"/>
          <w:lang w:val="ru-MD"/>
        </w:rPr>
        <w:t>анализа рисков</w:t>
      </w:r>
      <w:r w:rsidR="00F5516C" w:rsidRPr="00D719E6">
        <w:rPr>
          <w:rFonts w:asciiTheme="majorHAnsi" w:hAnsiTheme="majorHAnsi" w:cstheme="majorHAnsi"/>
          <w:b/>
          <w:sz w:val="24"/>
          <w:szCs w:val="24"/>
          <w:lang w:val="ru-MD"/>
        </w:rPr>
        <w:t>.</w:t>
      </w:r>
      <w:bookmarkEnd w:id="56"/>
    </w:p>
    <w:p w14:paraId="76A51E67" w14:textId="348352D2" w:rsidR="00C1765D" w:rsidRPr="003F2935" w:rsidRDefault="00BA178C" w:rsidP="00C764AA">
      <w:pPr>
        <w:numPr>
          <w:ilvl w:val="1"/>
          <w:numId w:val="26"/>
        </w:numPr>
        <w:spacing w:after="120"/>
        <w:jc w:val="both"/>
        <w:rPr>
          <w:rFonts w:asciiTheme="majorHAnsi" w:hAnsiTheme="majorHAnsi" w:cstheme="majorHAnsi"/>
          <w:sz w:val="24"/>
          <w:szCs w:val="24"/>
          <w:lang w:val="ru-MD"/>
        </w:rPr>
      </w:pPr>
      <w:r w:rsidRPr="003F2935">
        <w:rPr>
          <w:rFonts w:asciiTheme="majorHAnsi" w:hAnsiTheme="majorHAnsi" w:cstheme="majorHAnsi"/>
          <w:sz w:val="24"/>
          <w:szCs w:val="24"/>
          <w:lang w:val="ru-MD"/>
        </w:rPr>
        <w:t>Согласно ст</w:t>
      </w:r>
      <w:r w:rsidR="0003402D" w:rsidRPr="003F2935">
        <w:rPr>
          <w:rFonts w:asciiTheme="majorHAnsi" w:hAnsiTheme="majorHAnsi" w:cstheme="majorHAnsi"/>
          <w:sz w:val="24"/>
          <w:szCs w:val="24"/>
          <w:lang w:val="ru-MD"/>
        </w:rPr>
        <w:t xml:space="preserve">.193 </w:t>
      </w:r>
      <w:r w:rsidR="009508D6" w:rsidRPr="003F2935">
        <w:rPr>
          <w:rFonts w:asciiTheme="majorHAnsi" w:hAnsiTheme="majorHAnsi" w:cstheme="majorHAnsi"/>
          <w:sz w:val="24"/>
          <w:szCs w:val="24"/>
          <w:lang w:val="ru-MD"/>
        </w:rPr>
        <w:t>Национального Плана действий по внедрению Соглашения об ассоциации Республика Молдова - Европейский Союз</w:t>
      </w:r>
      <w:r w:rsidR="0003402D" w:rsidRPr="003F2935">
        <w:rPr>
          <w:rStyle w:val="FootnoteReference"/>
          <w:rFonts w:asciiTheme="majorHAnsi" w:hAnsiTheme="majorHAnsi" w:cstheme="majorHAnsi"/>
          <w:sz w:val="24"/>
          <w:szCs w:val="24"/>
          <w:lang w:val="ru-MD"/>
        </w:rPr>
        <w:footnoteReference w:id="51"/>
      </w:r>
      <w:r w:rsidR="005E177C" w:rsidRPr="003F2935">
        <w:rPr>
          <w:rFonts w:asciiTheme="majorHAnsi" w:hAnsiTheme="majorHAnsi" w:cstheme="majorHAnsi"/>
          <w:sz w:val="24"/>
          <w:szCs w:val="24"/>
          <w:lang w:val="ru-MD"/>
        </w:rPr>
        <w:t>,</w:t>
      </w:r>
      <w:r w:rsidR="00D42BD4" w:rsidRPr="003F2935">
        <w:rPr>
          <w:rFonts w:asciiTheme="majorHAnsi" w:hAnsiTheme="majorHAnsi" w:cstheme="majorHAnsi"/>
          <w:sz w:val="24"/>
          <w:szCs w:val="24"/>
          <w:lang w:val="ru-MD"/>
        </w:rPr>
        <w:t xml:space="preserve"> </w:t>
      </w:r>
      <w:r w:rsidR="00C764AA" w:rsidRPr="003F2935">
        <w:rPr>
          <w:rFonts w:asciiTheme="majorHAnsi" w:hAnsiTheme="majorHAnsi" w:cstheme="majorHAnsi"/>
          <w:sz w:val="24"/>
          <w:szCs w:val="24"/>
          <w:lang w:val="ru-MD"/>
        </w:rPr>
        <w:t>в целях принятия общего подхода к вопросам определения таможенной стоимости, ТС должна была обеспечить внедрение современных методов контроля таможенной стоимости</w:t>
      </w:r>
      <w:r w:rsidR="004A281F" w:rsidRPr="003F2935">
        <w:rPr>
          <w:rFonts w:asciiTheme="majorHAnsi" w:hAnsiTheme="majorHAnsi" w:cstheme="majorHAnsi"/>
          <w:sz w:val="24"/>
          <w:szCs w:val="24"/>
          <w:lang w:val="ru-MD"/>
        </w:rPr>
        <w:t xml:space="preserve">. </w:t>
      </w:r>
      <w:r w:rsidR="00D42BD4" w:rsidRPr="003F2935">
        <w:rPr>
          <w:rFonts w:asciiTheme="majorHAnsi" w:hAnsiTheme="majorHAnsi" w:cstheme="majorHAnsi"/>
          <w:sz w:val="24"/>
          <w:szCs w:val="24"/>
          <w:lang w:val="ru-MD"/>
        </w:rPr>
        <w:t xml:space="preserve"> </w:t>
      </w:r>
      <w:r w:rsidR="00C764AA" w:rsidRPr="003F2935">
        <w:rPr>
          <w:rFonts w:asciiTheme="majorHAnsi" w:hAnsiTheme="majorHAnsi" w:cstheme="majorHAnsi"/>
          <w:sz w:val="24"/>
          <w:szCs w:val="24"/>
          <w:lang w:val="ru-MD"/>
        </w:rPr>
        <w:t xml:space="preserve">Было установлено, что в целях </w:t>
      </w:r>
      <w:r w:rsidR="00081BD2" w:rsidRPr="003F2935">
        <w:rPr>
          <w:rFonts w:asciiTheme="majorHAnsi" w:hAnsiTheme="majorHAnsi" w:cstheme="majorHAnsi"/>
          <w:sz w:val="24"/>
          <w:szCs w:val="24"/>
          <w:lang w:val="ru-MD"/>
        </w:rPr>
        <w:t>от</w:t>
      </w:r>
      <w:r w:rsidR="00C764AA" w:rsidRPr="003F2935">
        <w:rPr>
          <w:rFonts w:asciiTheme="majorHAnsi" w:hAnsiTheme="majorHAnsi" w:cstheme="majorHAnsi"/>
          <w:sz w:val="24"/>
          <w:szCs w:val="24"/>
          <w:lang w:val="ru-MD"/>
        </w:rPr>
        <w:t xml:space="preserve">бора сделок с потенциальным риском </w:t>
      </w:r>
      <w:r w:rsidR="00081BD2" w:rsidRPr="003F2935">
        <w:rPr>
          <w:rFonts w:asciiTheme="majorHAnsi" w:hAnsiTheme="majorHAnsi" w:cstheme="majorHAnsi"/>
          <w:sz w:val="24"/>
          <w:szCs w:val="24"/>
          <w:lang w:val="ru-MD"/>
        </w:rPr>
        <w:t>за</w:t>
      </w:r>
      <w:r w:rsidR="00C764AA" w:rsidRPr="003F2935">
        <w:rPr>
          <w:rFonts w:asciiTheme="majorHAnsi" w:hAnsiTheme="majorHAnsi" w:cstheme="majorHAnsi"/>
          <w:sz w:val="24"/>
          <w:szCs w:val="24"/>
          <w:lang w:val="ru-MD"/>
        </w:rPr>
        <w:t>нижения таможенной стоимости товаров</w:t>
      </w:r>
      <w:r w:rsidR="00081BD2" w:rsidRPr="003F2935">
        <w:rPr>
          <w:rFonts w:asciiTheme="majorHAnsi" w:hAnsiTheme="majorHAnsi" w:cstheme="majorHAnsi"/>
          <w:sz w:val="24"/>
          <w:szCs w:val="24"/>
          <w:lang w:val="ru-MD"/>
        </w:rPr>
        <w:t>,</w:t>
      </w:r>
      <w:r w:rsidR="00C764AA" w:rsidRPr="003F2935">
        <w:rPr>
          <w:rFonts w:asciiTheme="majorHAnsi" w:hAnsiTheme="majorHAnsi" w:cstheme="majorHAnsi"/>
          <w:sz w:val="24"/>
          <w:szCs w:val="24"/>
          <w:lang w:val="ru-MD"/>
        </w:rPr>
        <w:t xml:space="preserve"> </w:t>
      </w:r>
      <w:r w:rsidR="00081BD2" w:rsidRPr="003F2935">
        <w:rPr>
          <w:rFonts w:asciiTheme="majorHAnsi" w:hAnsiTheme="majorHAnsi" w:cstheme="majorHAnsi"/>
          <w:sz w:val="24"/>
          <w:szCs w:val="24"/>
          <w:lang w:val="ru-MD"/>
        </w:rPr>
        <w:t>ввозимых экономическими агентами, ТС</w:t>
      </w:r>
      <w:r w:rsidR="00C764AA" w:rsidRPr="003F2935">
        <w:rPr>
          <w:rFonts w:asciiTheme="majorHAnsi" w:hAnsiTheme="majorHAnsi" w:cstheme="majorHAnsi"/>
          <w:sz w:val="24"/>
          <w:szCs w:val="24"/>
          <w:lang w:val="ru-MD"/>
        </w:rPr>
        <w:t xml:space="preserve"> закупила 13.01.2015 модуль „</w:t>
      </w:r>
      <w:r w:rsidR="00081BD2" w:rsidRPr="003F2935">
        <w:rPr>
          <w:rFonts w:asciiTheme="majorHAnsi" w:hAnsiTheme="majorHAnsi" w:cstheme="majorHAnsi"/>
          <w:sz w:val="24"/>
          <w:szCs w:val="24"/>
          <w:lang w:val="ru-MD"/>
        </w:rPr>
        <w:t>Т</w:t>
      </w:r>
      <w:r w:rsidR="00C764AA" w:rsidRPr="003F2935">
        <w:rPr>
          <w:rFonts w:asciiTheme="majorHAnsi" w:hAnsiTheme="majorHAnsi" w:cstheme="majorHAnsi"/>
          <w:sz w:val="24"/>
          <w:szCs w:val="24"/>
          <w:lang w:val="ru-MD"/>
        </w:rPr>
        <w:t>аможенная стоимость”, на который</w:t>
      </w:r>
      <w:r w:rsidR="00C764AA" w:rsidRPr="00C764AA">
        <w:rPr>
          <w:rFonts w:asciiTheme="majorHAnsi" w:hAnsiTheme="majorHAnsi" w:cstheme="majorHAnsi"/>
          <w:sz w:val="24"/>
          <w:szCs w:val="24"/>
          <w:lang w:val="ro-RO"/>
        </w:rPr>
        <w:t xml:space="preserve"> </w:t>
      </w:r>
      <w:r w:rsidR="00C764AA" w:rsidRPr="003F2935">
        <w:rPr>
          <w:rFonts w:asciiTheme="majorHAnsi" w:hAnsiTheme="majorHAnsi" w:cstheme="majorHAnsi"/>
          <w:sz w:val="24"/>
          <w:szCs w:val="24"/>
          <w:lang w:val="ru-MD"/>
        </w:rPr>
        <w:t xml:space="preserve">потратила 1,6 </w:t>
      </w:r>
      <w:r w:rsidR="00081BD2" w:rsidRPr="003F2935">
        <w:rPr>
          <w:rFonts w:asciiTheme="majorHAnsi" w:hAnsiTheme="majorHAnsi" w:cstheme="majorHAnsi"/>
          <w:sz w:val="24"/>
          <w:szCs w:val="24"/>
          <w:lang w:val="ru-MD"/>
        </w:rPr>
        <w:t>млн. леев</w:t>
      </w:r>
      <w:r w:rsidR="00C764AA" w:rsidRPr="003F2935">
        <w:rPr>
          <w:rFonts w:asciiTheme="majorHAnsi" w:hAnsiTheme="majorHAnsi" w:cstheme="majorHAnsi"/>
          <w:sz w:val="24"/>
          <w:szCs w:val="24"/>
          <w:lang w:val="ru-MD"/>
        </w:rPr>
        <w:t xml:space="preserve">, </w:t>
      </w:r>
      <w:r w:rsidR="00081BD2" w:rsidRPr="003F2935">
        <w:rPr>
          <w:rFonts w:asciiTheme="majorHAnsi" w:hAnsiTheme="majorHAnsi" w:cstheme="majorHAnsi"/>
          <w:sz w:val="24"/>
          <w:szCs w:val="24"/>
          <w:lang w:val="ru-MD"/>
        </w:rPr>
        <w:t>который должен был быть</w:t>
      </w:r>
      <w:r w:rsidR="00C764AA" w:rsidRPr="003F2935">
        <w:rPr>
          <w:rFonts w:asciiTheme="majorHAnsi" w:hAnsiTheme="majorHAnsi" w:cstheme="majorHAnsi"/>
          <w:sz w:val="24"/>
          <w:szCs w:val="24"/>
          <w:lang w:val="ru-MD"/>
        </w:rPr>
        <w:t xml:space="preserve"> интегрирован </w:t>
      </w:r>
      <w:r w:rsidR="00081BD2" w:rsidRPr="003F2935">
        <w:rPr>
          <w:rFonts w:asciiTheme="majorHAnsi" w:hAnsiTheme="majorHAnsi" w:cstheme="majorHAnsi"/>
          <w:sz w:val="24"/>
          <w:szCs w:val="24"/>
          <w:lang w:val="ru-MD"/>
        </w:rPr>
        <w:t>на</w:t>
      </w:r>
      <w:r w:rsidR="00C764AA" w:rsidRPr="003F2935">
        <w:rPr>
          <w:rFonts w:asciiTheme="majorHAnsi" w:hAnsiTheme="majorHAnsi" w:cstheme="majorHAnsi"/>
          <w:sz w:val="24"/>
          <w:szCs w:val="24"/>
          <w:lang w:val="ru-MD"/>
        </w:rPr>
        <w:t xml:space="preserve"> платформ</w:t>
      </w:r>
      <w:r w:rsidR="00081BD2" w:rsidRPr="003F2935">
        <w:rPr>
          <w:rFonts w:asciiTheme="majorHAnsi" w:hAnsiTheme="majorHAnsi" w:cstheme="majorHAnsi"/>
          <w:sz w:val="24"/>
          <w:szCs w:val="24"/>
          <w:lang w:val="ru-MD"/>
        </w:rPr>
        <w:t>е</w:t>
      </w:r>
      <w:r w:rsidR="00C764AA" w:rsidRPr="003F2935">
        <w:rPr>
          <w:rFonts w:asciiTheme="majorHAnsi" w:hAnsiTheme="majorHAnsi" w:cstheme="majorHAnsi"/>
          <w:sz w:val="24"/>
          <w:szCs w:val="24"/>
          <w:lang w:val="ru-MD"/>
        </w:rPr>
        <w:t xml:space="preserve"> </w:t>
      </w:r>
      <w:r w:rsidR="00081BD2" w:rsidRPr="003F2935">
        <w:rPr>
          <w:rFonts w:asciiTheme="majorHAnsi" w:hAnsiTheme="majorHAnsi" w:cstheme="majorHAnsi"/>
          <w:sz w:val="24"/>
          <w:szCs w:val="24"/>
          <w:lang w:val="ru-MD"/>
        </w:rPr>
        <w:t xml:space="preserve">ИС „Asycuda </w:t>
      </w:r>
      <w:r w:rsidR="00081BD2" w:rsidRPr="003F2935">
        <w:rPr>
          <w:rFonts w:asciiTheme="majorHAnsi" w:hAnsiTheme="majorHAnsi" w:cstheme="majorHAnsi"/>
          <w:iCs/>
          <w:color w:val="000000" w:themeColor="text1"/>
          <w:sz w:val="24"/>
          <w:szCs w:val="24"/>
          <w:lang w:val="ru-MD"/>
        </w:rPr>
        <w:t>World”</w:t>
      </w:r>
      <w:r w:rsidR="00C764AA" w:rsidRPr="003F2935">
        <w:rPr>
          <w:rFonts w:asciiTheme="majorHAnsi" w:hAnsiTheme="majorHAnsi" w:cstheme="majorHAnsi"/>
          <w:sz w:val="24"/>
          <w:szCs w:val="24"/>
          <w:lang w:val="ru-MD"/>
        </w:rPr>
        <w:t xml:space="preserve">. Таким образом, </w:t>
      </w:r>
      <w:r w:rsidR="00081BD2" w:rsidRPr="003F2935">
        <w:rPr>
          <w:rFonts w:asciiTheme="majorHAnsi" w:hAnsiTheme="majorHAnsi" w:cstheme="majorHAnsi"/>
          <w:sz w:val="24"/>
          <w:szCs w:val="24"/>
          <w:lang w:val="ru-MD"/>
        </w:rPr>
        <w:t xml:space="preserve">модуль „Таможенная стоимость” </w:t>
      </w:r>
      <w:r w:rsidR="00C764AA" w:rsidRPr="003F2935">
        <w:rPr>
          <w:rFonts w:asciiTheme="majorHAnsi" w:hAnsiTheme="majorHAnsi" w:cstheme="majorHAnsi"/>
          <w:sz w:val="24"/>
          <w:szCs w:val="24"/>
          <w:lang w:val="ru-MD"/>
        </w:rPr>
        <w:t xml:space="preserve">с 2016 года, или </w:t>
      </w:r>
      <w:r w:rsidR="00081BD2" w:rsidRPr="003F2935">
        <w:rPr>
          <w:rFonts w:asciiTheme="majorHAnsi" w:hAnsiTheme="majorHAnsi" w:cstheme="majorHAnsi"/>
          <w:sz w:val="24"/>
          <w:szCs w:val="24"/>
          <w:lang w:val="ru-MD"/>
        </w:rPr>
        <w:t>на протяжении</w:t>
      </w:r>
      <w:r w:rsidR="00C764AA" w:rsidRPr="003F2935">
        <w:rPr>
          <w:rFonts w:asciiTheme="majorHAnsi" w:hAnsiTheme="majorHAnsi" w:cstheme="majorHAnsi"/>
          <w:sz w:val="24"/>
          <w:szCs w:val="24"/>
          <w:lang w:val="ru-MD"/>
        </w:rPr>
        <w:t xml:space="preserve"> 8 лет, находится на экспериментальн</w:t>
      </w:r>
      <w:r w:rsidR="00081BD2" w:rsidRPr="003F2935">
        <w:rPr>
          <w:rFonts w:asciiTheme="majorHAnsi" w:hAnsiTheme="majorHAnsi" w:cstheme="majorHAnsi"/>
          <w:sz w:val="24"/>
          <w:szCs w:val="24"/>
          <w:lang w:val="ru-MD"/>
        </w:rPr>
        <w:t>ом</w:t>
      </w:r>
      <w:r w:rsidR="00C764AA" w:rsidRPr="003F2935">
        <w:rPr>
          <w:rFonts w:asciiTheme="majorHAnsi" w:hAnsiTheme="majorHAnsi" w:cstheme="majorHAnsi"/>
          <w:sz w:val="24"/>
          <w:szCs w:val="24"/>
          <w:lang w:val="ru-MD"/>
        </w:rPr>
        <w:t xml:space="preserve"> испытани</w:t>
      </w:r>
      <w:r w:rsidR="00081BD2" w:rsidRPr="003F2935">
        <w:rPr>
          <w:rFonts w:asciiTheme="majorHAnsi" w:hAnsiTheme="majorHAnsi" w:cstheme="majorHAnsi"/>
          <w:sz w:val="24"/>
          <w:szCs w:val="24"/>
          <w:lang w:val="ru-MD"/>
        </w:rPr>
        <w:t>и</w:t>
      </w:r>
      <w:r w:rsidR="00C764AA" w:rsidRPr="003F2935">
        <w:rPr>
          <w:rFonts w:asciiTheme="majorHAnsi" w:hAnsiTheme="majorHAnsi" w:cstheme="majorHAnsi"/>
          <w:sz w:val="24"/>
          <w:szCs w:val="24"/>
          <w:lang w:val="ru-MD"/>
        </w:rPr>
        <w:t xml:space="preserve">, </w:t>
      </w:r>
      <w:r w:rsidR="00081BD2" w:rsidRPr="003F2935">
        <w:rPr>
          <w:rFonts w:asciiTheme="majorHAnsi" w:hAnsiTheme="majorHAnsi" w:cstheme="majorHAnsi"/>
          <w:sz w:val="24"/>
          <w:szCs w:val="24"/>
          <w:lang w:val="ru-MD"/>
        </w:rPr>
        <w:t xml:space="preserve">и </w:t>
      </w:r>
      <w:r w:rsidR="00C764AA" w:rsidRPr="003F2935">
        <w:rPr>
          <w:rFonts w:asciiTheme="majorHAnsi" w:hAnsiTheme="majorHAnsi" w:cstheme="majorHAnsi"/>
          <w:sz w:val="24"/>
          <w:szCs w:val="24"/>
          <w:lang w:val="ru-MD"/>
        </w:rPr>
        <w:t xml:space="preserve">не </w:t>
      </w:r>
      <w:r w:rsidR="00081BD2" w:rsidRPr="003F2935">
        <w:rPr>
          <w:rFonts w:asciiTheme="majorHAnsi" w:hAnsiTheme="majorHAnsi" w:cstheme="majorHAnsi"/>
          <w:sz w:val="24"/>
          <w:szCs w:val="24"/>
          <w:lang w:val="ru-MD"/>
        </w:rPr>
        <w:t xml:space="preserve">был </w:t>
      </w:r>
      <w:r w:rsidR="00C764AA" w:rsidRPr="003F2935">
        <w:rPr>
          <w:rFonts w:asciiTheme="majorHAnsi" w:hAnsiTheme="majorHAnsi" w:cstheme="majorHAnsi"/>
          <w:sz w:val="24"/>
          <w:szCs w:val="24"/>
          <w:lang w:val="ru-MD"/>
        </w:rPr>
        <w:t>сда</w:t>
      </w:r>
      <w:r w:rsidR="00081BD2" w:rsidRPr="003F2935">
        <w:rPr>
          <w:rFonts w:asciiTheme="majorHAnsi" w:hAnsiTheme="majorHAnsi" w:cstheme="majorHAnsi"/>
          <w:sz w:val="24"/>
          <w:szCs w:val="24"/>
          <w:lang w:val="ru-MD"/>
        </w:rPr>
        <w:t>н</w:t>
      </w:r>
      <w:r w:rsidR="00C764AA" w:rsidRPr="003F2935">
        <w:rPr>
          <w:rFonts w:asciiTheme="majorHAnsi" w:hAnsiTheme="majorHAnsi" w:cstheme="majorHAnsi"/>
          <w:sz w:val="24"/>
          <w:szCs w:val="24"/>
          <w:lang w:val="ru-MD"/>
        </w:rPr>
        <w:t xml:space="preserve"> в эксплуатацию. </w:t>
      </w:r>
      <w:r w:rsidR="00081BD2" w:rsidRPr="003F2935">
        <w:rPr>
          <w:rFonts w:asciiTheme="majorHAnsi" w:hAnsiTheme="majorHAnsi" w:cstheme="majorHAnsi"/>
          <w:sz w:val="24"/>
          <w:szCs w:val="24"/>
          <w:lang w:val="ru-MD"/>
        </w:rPr>
        <w:t>Вопреки тому</w:t>
      </w:r>
      <w:r w:rsidR="00C764AA" w:rsidRPr="003F2935">
        <w:rPr>
          <w:rFonts w:asciiTheme="majorHAnsi" w:hAnsiTheme="majorHAnsi" w:cstheme="majorHAnsi"/>
          <w:sz w:val="24"/>
          <w:szCs w:val="24"/>
          <w:lang w:val="ru-MD"/>
        </w:rPr>
        <w:t xml:space="preserve">, что в период 2016-2021 гг. Управление таможенной стоимости, классификации и происхождения товаров направило 4 </w:t>
      </w:r>
      <w:r w:rsidR="00081BD2" w:rsidRPr="003F2935">
        <w:rPr>
          <w:rFonts w:asciiTheme="majorHAnsi" w:hAnsiTheme="majorHAnsi" w:cstheme="majorHAnsi"/>
          <w:sz w:val="24"/>
          <w:szCs w:val="24"/>
          <w:lang w:val="ru-MD"/>
        </w:rPr>
        <w:t>запроса</w:t>
      </w:r>
      <w:r w:rsidR="00C764AA" w:rsidRPr="003F2935">
        <w:rPr>
          <w:rFonts w:asciiTheme="majorHAnsi" w:hAnsiTheme="majorHAnsi" w:cstheme="majorHAnsi"/>
          <w:sz w:val="24"/>
          <w:szCs w:val="24"/>
          <w:lang w:val="ru-MD"/>
        </w:rPr>
        <w:t xml:space="preserve"> в </w:t>
      </w:r>
      <w:r w:rsidR="00081BD2" w:rsidRPr="003F2935">
        <w:rPr>
          <w:rFonts w:asciiTheme="majorHAnsi" w:hAnsiTheme="majorHAnsi" w:cstheme="majorHAnsi"/>
          <w:sz w:val="24"/>
          <w:szCs w:val="24"/>
          <w:lang w:val="ru-MD"/>
        </w:rPr>
        <w:t xml:space="preserve">адрес </w:t>
      </w:r>
      <w:r w:rsidR="00C764AA" w:rsidRPr="003F2935">
        <w:rPr>
          <w:rFonts w:asciiTheme="majorHAnsi" w:hAnsiTheme="majorHAnsi" w:cstheme="majorHAnsi"/>
          <w:sz w:val="24"/>
          <w:szCs w:val="24"/>
          <w:lang w:val="ru-MD"/>
        </w:rPr>
        <w:t>Управлени</w:t>
      </w:r>
      <w:r w:rsidR="00081BD2" w:rsidRPr="003F2935">
        <w:rPr>
          <w:rFonts w:asciiTheme="majorHAnsi" w:hAnsiTheme="majorHAnsi" w:cstheme="majorHAnsi"/>
          <w:sz w:val="24"/>
          <w:szCs w:val="24"/>
          <w:lang w:val="ru-MD"/>
        </w:rPr>
        <w:t>я</w:t>
      </w:r>
      <w:r w:rsidR="00C764AA" w:rsidRPr="003F2935">
        <w:rPr>
          <w:rFonts w:asciiTheme="majorHAnsi" w:hAnsiTheme="majorHAnsi" w:cstheme="majorHAnsi"/>
          <w:sz w:val="24"/>
          <w:szCs w:val="24"/>
          <w:lang w:val="ru-MD"/>
        </w:rPr>
        <w:t xml:space="preserve"> развития и информационной безопасности</w:t>
      </w:r>
      <w:r w:rsidR="00081BD2" w:rsidRPr="003F2935">
        <w:rPr>
          <w:rStyle w:val="FootnoteReference"/>
          <w:rFonts w:asciiTheme="majorHAnsi" w:hAnsiTheme="majorHAnsi" w:cstheme="majorHAnsi"/>
          <w:sz w:val="24"/>
          <w:szCs w:val="24"/>
          <w:lang w:val="ru-MD"/>
        </w:rPr>
        <w:footnoteReference w:id="52"/>
      </w:r>
      <w:r w:rsidR="00081BD2" w:rsidRPr="003F2935">
        <w:rPr>
          <w:rFonts w:asciiTheme="majorHAnsi" w:hAnsiTheme="majorHAnsi" w:cstheme="majorHAnsi"/>
          <w:sz w:val="24"/>
          <w:szCs w:val="24"/>
          <w:lang w:val="ru-MD"/>
        </w:rPr>
        <w:t>,</w:t>
      </w:r>
      <w:r w:rsidR="00C764AA" w:rsidRPr="003F2935">
        <w:rPr>
          <w:rFonts w:asciiTheme="majorHAnsi" w:hAnsiTheme="majorHAnsi" w:cstheme="majorHAnsi"/>
          <w:sz w:val="24"/>
          <w:szCs w:val="24"/>
          <w:lang w:val="ru-MD"/>
        </w:rPr>
        <w:t xml:space="preserve"> с требованием устран</w:t>
      </w:r>
      <w:r w:rsidR="00081BD2" w:rsidRPr="003F2935">
        <w:rPr>
          <w:rFonts w:asciiTheme="majorHAnsi" w:hAnsiTheme="majorHAnsi" w:cstheme="majorHAnsi"/>
          <w:sz w:val="24"/>
          <w:szCs w:val="24"/>
          <w:lang w:val="ru-MD"/>
        </w:rPr>
        <w:t>ить</w:t>
      </w:r>
      <w:r w:rsidR="00C764AA" w:rsidRPr="003F2935">
        <w:rPr>
          <w:rFonts w:asciiTheme="majorHAnsi" w:hAnsiTheme="majorHAnsi" w:cstheme="majorHAnsi"/>
          <w:sz w:val="24"/>
          <w:szCs w:val="24"/>
          <w:lang w:val="ru-MD"/>
        </w:rPr>
        <w:t xml:space="preserve"> </w:t>
      </w:r>
      <w:r w:rsidR="00081BD2" w:rsidRPr="003F2935">
        <w:rPr>
          <w:rFonts w:asciiTheme="majorHAnsi" w:hAnsiTheme="majorHAnsi" w:cstheme="majorHAnsi"/>
          <w:sz w:val="24"/>
          <w:szCs w:val="24"/>
          <w:lang w:val="ru-MD"/>
        </w:rPr>
        <w:t xml:space="preserve">выявленные </w:t>
      </w:r>
      <w:r w:rsidR="00C764AA" w:rsidRPr="003F2935">
        <w:rPr>
          <w:rFonts w:asciiTheme="majorHAnsi" w:hAnsiTheme="majorHAnsi" w:cstheme="majorHAnsi"/>
          <w:sz w:val="24"/>
          <w:szCs w:val="24"/>
          <w:lang w:val="ru-MD"/>
        </w:rPr>
        <w:t>недостатк</w:t>
      </w:r>
      <w:r w:rsidR="00081BD2" w:rsidRPr="003F2935">
        <w:rPr>
          <w:rFonts w:asciiTheme="majorHAnsi" w:hAnsiTheme="majorHAnsi" w:cstheme="majorHAnsi"/>
          <w:sz w:val="24"/>
          <w:szCs w:val="24"/>
          <w:lang w:val="ru-MD"/>
        </w:rPr>
        <w:t>и</w:t>
      </w:r>
      <w:r w:rsidR="00C764AA" w:rsidRPr="003F2935">
        <w:rPr>
          <w:rFonts w:asciiTheme="majorHAnsi" w:hAnsiTheme="majorHAnsi" w:cstheme="majorHAnsi"/>
          <w:sz w:val="24"/>
          <w:szCs w:val="24"/>
          <w:lang w:val="ru-MD"/>
        </w:rPr>
        <w:t xml:space="preserve"> </w:t>
      </w:r>
      <w:r w:rsidR="00081BD2" w:rsidRPr="003F2935">
        <w:rPr>
          <w:rFonts w:asciiTheme="majorHAnsi" w:hAnsiTheme="majorHAnsi" w:cstheme="majorHAnsi"/>
          <w:sz w:val="24"/>
          <w:szCs w:val="24"/>
          <w:lang w:val="ru-MD"/>
        </w:rPr>
        <w:t xml:space="preserve">путем </w:t>
      </w:r>
      <w:r w:rsidR="00C764AA" w:rsidRPr="003F2935">
        <w:rPr>
          <w:rFonts w:asciiTheme="majorHAnsi" w:hAnsiTheme="majorHAnsi" w:cstheme="majorHAnsi"/>
          <w:sz w:val="24"/>
          <w:szCs w:val="24"/>
          <w:lang w:val="ru-MD"/>
        </w:rPr>
        <w:t>разработк</w:t>
      </w:r>
      <w:r w:rsidR="00081BD2" w:rsidRPr="003F2935">
        <w:rPr>
          <w:rFonts w:asciiTheme="majorHAnsi" w:hAnsiTheme="majorHAnsi" w:cstheme="majorHAnsi"/>
          <w:sz w:val="24"/>
          <w:szCs w:val="24"/>
          <w:lang w:val="ru-MD"/>
        </w:rPr>
        <w:t>и</w:t>
      </w:r>
      <w:r w:rsidR="00C764AA" w:rsidRPr="003F2935">
        <w:rPr>
          <w:rFonts w:asciiTheme="majorHAnsi" w:hAnsiTheme="majorHAnsi" w:cstheme="majorHAnsi"/>
          <w:sz w:val="24"/>
          <w:szCs w:val="24"/>
          <w:lang w:val="ru-MD"/>
        </w:rPr>
        <w:t>/модернизации модуля „</w:t>
      </w:r>
      <w:r w:rsidR="00081BD2" w:rsidRPr="003F2935">
        <w:rPr>
          <w:rFonts w:asciiTheme="majorHAnsi" w:hAnsiTheme="majorHAnsi" w:cstheme="majorHAnsi"/>
          <w:sz w:val="24"/>
          <w:szCs w:val="24"/>
          <w:lang w:val="ru-MD"/>
        </w:rPr>
        <w:t>Т</w:t>
      </w:r>
      <w:r w:rsidR="00C764AA" w:rsidRPr="003F2935">
        <w:rPr>
          <w:rFonts w:asciiTheme="majorHAnsi" w:hAnsiTheme="majorHAnsi" w:cstheme="majorHAnsi"/>
          <w:sz w:val="24"/>
          <w:szCs w:val="24"/>
          <w:lang w:val="ru-MD"/>
        </w:rPr>
        <w:t xml:space="preserve">аможенная стоимость”, в том числе </w:t>
      </w:r>
      <w:r w:rsidR="00081BD2" w:rsidRPr="003F2935">
        <w:rPr>
          <w:rFonts w:asciiTheme="majorHAnsi" w:hAnsiTheme="majorHAnsi" w:cstheme="majorHAnsi"/>
          <w:sz w:val="24"/>
          <w:szCs w:val="24"/>
          <w:lang w:val="ru-MD"/>
        </w:rPr>
        <w:t xml:space="preserve">связанные с </w:t>
      </w:r>
      <w:r w:rsidR="00C764AA" w:rsidRPr="003F2935">
        <w:rPr>
          <w:rFonts w:asciiTheme="majorHAnsi" w:hAnsiTheme="majorHAnsi" w:cstheme="majorHAnsi"/>
          <w:sz w:val="24"/>
          <w:szCs w:val="24"/>
          <w:lang w:val="ru-MD"/>
        </w:rPr>
        <w:t>функциональност</w:t>
      </w:r>
      <w:r w:rsidR="00081BD2" w:rsidRPr="003F2935">
        <w:rPr>
          <w:rFonts w:asciiTheme="majorHAnsi" w:hAnsiTheme="majorHAnsi" w:cstheme="majorHAnsi"/>
          <w:sz w:val="24"/>
          <w:szCs w:val="24"/>
          <w:lang w:val="ru-MD"/>
        </w:rPr>
        <w:t>ью</w:t>
      </w:r>
      <w:r w:rsidR="00C764AA" w:rsidRPr="003F2935">
        <w:rPr>
          <w:rFonts w:asciiTheme="majorHAnsi" w:hAnsiTheme="majorHAnsi" w:cstheme="majorHAnsi"/>
          <w:sz w:val="24"/>
          <w:szCs w:val="24"/>
          <w:lang w:val="ru-MD"/>
        </w:rPr>
        <w:t xml:space="preserve"> критериев избирательности, необходимых в деятельности по таможенному оформлению товаров, в течение 6 лет модуль не разрабатывался/модернизировался.</w:t>
      </w:r>
      <w:r w:rsidR="002922AA" w:rsidRPr="003F2935">
        <w:rPr>
          <w:rFonts w:asciiTheme="majorHAnsi" w:hAnsiTheme="majorHAnsi" w:cstheme="majorHAnsi"/>
          <w:sz w:val="24"/>
          <w:szCs w:val="24"/>
          <w:lang w:val="ru-MD"/>
        </w:rPr>
        <w:t xml:space="preserve"> </w:t>
      </w:r>
      <w:r w:rsidR="003F2935" w:rsidRPr="003F2935">
        <w:rPr>
          <w:rFonts w:asciiTheme="majorHAnsi" w:hAnsiTheme="majorHAnsi" w:cstheme="majorHAnsi"/>
          <w:sz w:val="24"/>
          <w:szCs w:val="24"/>
          <w:lang w:val="ru-MD"/>
        </w:rPr>
        <w:t>Следовательно</w:t>
      </w:r>
      <w:r w:rsidR="00C764AA" w:rsidRPr="003F2935">
        <w:rPr>
          <w:rFonts w:asciiTheme="majorHAnsi" w:hAnsiTheme="majorHAnsi" w:cstheme="majorHAnsi"/>
          <w:sz w:val="24"/>
          <w:szCs w:val="24"/>
          <w:lang w:val="ru-MD"/>
        </w:rPr>
        <w:t>, таможенный орган, вопреки нормативной базе</w:t>
      </w:r>
      <w:r w:rsidR="003F2935" w:rsidRPr="003F2935">
        <w:rPr>
          <w:rStyle w:val="FootnoteReference"/>
          <w:rFonts w:asciiTheme="majorHAnsi" w:eastAsia="Times New Roman" w:hAnsiTheme="majorHAnsi" w:cstheme="majorHAnsi"/>
          <w:sz w:val="24"/>
          <w:szCs w:val="24"/>
          <w:lang w:val="ru-MD"/>
        </w:rPr>
        <w:footnoteReference w:id="53"/>
      </w:r>
      <w:r w:rsidR="00C764AA" w:rsidRPr="003F2935">
        <w:rPr>
          <w:rFonts w:asciiTheme="majorHAnsi" w:hAnsiTheme="majorHAnsi" w:cstheme="majorHAnsi"/>
          <w:sz w:val="24"/>
          <w:szCs w:val="24"/>
          <w:lang w:val="ru-MD"/>
        </w:rPr>
        <w:t xml:space="preserve">, не разработал </w:t>
      </w:r>
      <w:r w:rsidR="003F2935" w:rsidRPr="003F2935">
        <w:rPr>
          <w:rFonts w:asciiTheme="majorHAnsi" w:hAnsiTheme="majorHAnsi" w:cstheme="majorHAnsi"/>
          <w:sz w:val="24"/>
          <w:szCs w:val="24"/>
          <w:lang w:val="ru-MD"/>
        </w:rPr>
        <w:t xml:space="preserve">полностью </w:t>
      </w:r>
      <w:r w:rsidR="00C764AA" w:rsidRPr="003F2935">
        <w:rPr>
          <w:rFonts w:asciiTheme="majorHAnsi" w:hAnsiTheme="majorHAnsi" w:cstheme="majorHAnsi"/>
          <w:sz w:val="24"/>
          <w:szCs w:val="24"/>
          <w:lang w:val="ru-MD"/>
        </w:rPr>
        <w:t xml:space="preserve">национальную базу данных </w:t>
      </w:r>
      <w:r w:rsidR="003F2935" w:rsidRPr="003F2935">
        <w:rPr>
          <w:rFonts w:asciiTheme="majorHAnsi" w:hAnsiTheme="majorHAnsi" w:cstheme="majorHAnsi"/>
          <w:sz w:val="24"/>
          <w:szCs w:val="24"/>
          <w:lang w:val="ru-MD"/>
        </w:rPr>
        <w:t xml:space="preserve">по </w:t>
      </w:r>
      <w:r w:rsidR="00C764AA" w:rsidRPr="003F2935">
        <w:rPr>
          <w:rFonts w:asciiTheme="majorHAnsi" w:hAnsiTheme="majorHAnsi" w:cstheme="majorHAnsi"/>
          <w:sz w:val="24"/>
          <w:szCs w:val="24"/>
          <w:lang w:val="ru-MD"/>
        </w:rPr>
        <w:t>определени</w:t>
      </w:r>
      <w:r w:rsidR="003F2935" w:rsidRPr="003F2935">
        <w:rPr>
          <w:rFonts w:asciiTheme="majorHAnsi" w:hAnsiTheme="majorHAnsi" w:cstheme="majorHAnsi"/>
          <w:sz w:val="24"/>
          <w:szCs w:val="24"/>
          <w:lang w:val="ru-MD"/>
        </w:rPr>
        <w:t>ю</w:t>
      </w:r>
      <w:r w:rsidR="00C764AA" w:rsidRPr="003F2935">
        <w:rPr>
          <w:rFonts w:asciiTheme="majorHAnsi" w:hAnsiTheme="majorHAnsi" w:cstheme="majorHAnsi"/>
          <w:sz w:val="24"/>
          <w:szCs w:val="24"/>
          <w:lang w:val="ru-MD"/>
        </w:rPr>
        <w:t xml:space="preserve"> таможенной стоимости, используемую в качестве инструмента, основанного на концепции оценки и управления потенциальным риском с точки зрения правильности за</w:t>
      </w:r>
      <w:r w:rsidR="003F2935" w:rsidRPr="003F2935">
        <w:rPr>
          <w:rFonts w:asciiTheme="majorHAnsi" w:hAnsiTheme="majorHAnsi" w:cstheme="majorHAnsi"/>
          <w:sz w:val="24"/>
          <w:szCs w:val="24"/>
          <w:lang w:val="ru-MD"/>
        </w:rPr>
        <w:t>декларирова</w:t>
      </w:r>
      <w:r w:rsidR="00C764AA" w:rsidRPr="003F2935">
        <w:rPr>
          <w:rFonts w:asciiTheme="majorHAnsi" w:hAnsiTheme="majorHAnsi" w:cstheme="majorHAnsi"/>
          <w:sz w:val="24"/>
          <w:szCs w:val="24"/>
          <w:lang w:val="ru-MD"/>
        </w:rPr>
        <w:t>нной таможенной стоимости. Эта ситуация повлияла на полноту поступления таможенных доходов в государственный бюджет</w:t>
      </w:r>
      <w:r w:rsidR="00C1765D" w:rsidRPr="003F2935">
        <w:rPr>
          <w:rFonts w:asciiTheme="majorHAnsi" w:hAnsiTheme="majorHAnsi" w:cstheme="majorHAnsi"/>
          <w:sz w:val="24"/>
          <w:szCs w:val="24"/>
          <w:lang w:val="ru-MD"/>
        </w:rPr>
        <w:t>.</w:t>
      </w:r>
    </w:p>
    <w:p w14:paraId="378C3CBF" w14:textId="6EBB1547" w:rsidR="00BA5A24" w:rsidRPr="003F2935" w:rsidRDefault="00C764AA" w:rsidP="00BA5A24">
      <w:pPr>
        <w:spacing w:after="120"/>
        <w:jc w:val="both"/>
        <w:rPr>
          <w:rFonts w:asciiTheme="majorHAnsi" w:hAnsiTheme="majorHAnsi" w:cstheme="majorHAnsi"/>
          <w:sz w:val="24"/>
          <w:szCs w:val="24"/>
          <w:lang w:val="ru-MD"/>
        </w:rPr>
      </w:pPr>
      <w:r w:rsidRPr="003F2935">
        <w:rPr>
          <w:rFonts w:asciiTheme="majorHAnsi" w:hAnsiTheme="majorHAnsi" w:cstheme="majorHAnsi"/>
          <w:sz w:val="24"/>
          <w:szCs w:val="24"/>
          <w:lang w:val="ru-MD"/>
        </w:rPr>
        <w:t>Аналог</w:t>
      </w:r>
      <w:r w:rsidR="003F2935" w:rsidRPr="003F2935">
        <w:rPr>
          <w:rFonts w:asciiTheme="majorHAnsi" w:hAnsiTheme="majorHAnsi" w:cstheme="majorHAnsi"/>
          <w:sz w:val="24"/>
          <w:szCs w:val="24"/>
          <w:lang w:val="ru-MD"/>
        </w:rPr>
        <w:t>ично</w:t>
      </w:r>
      <w:r w:rsidRPr="003F2935">
        <w:rPr>
          <w:rFonts w:asciiTheme="majorHAnsi" w:hAnsiTheme="majorHAnsi" w:cstheme="majorHAnsi"/>
          <w:sz w:val="24"/>
          <w:szCs w:val="24"/>
          <w:lang w:val="ru-MD"/>
        </w:rPr>
        <w:t xml:space="preserve">, еще 31.12.2007 </w:t>
      </w:r>
      <w:r w:rsidR="003F2935" w:rsidRPr="003F2935">
        <w:rPr>
          <w:rFonts w:asciiTheme="majorHAnsi" w:hAnsiTheme="majorHAnsi" w:cstheme="majorHAnsi"/>
          <w:sz w:val="24"/>
          <w:szCs w:val="24"/>
          <w:lang w:val="ru-MD"/>
        </w:rPr>
        <w:t>ТС</w:t>
      </w:r>
      <w:r w:rsidRPr="003F2935">
        <w:rPr>
          <w:rFonts w:asciiTheme="majorHAnsi" w:hAnsiTheme="majorHAnsi" w:cstheme="majorHAnsi"/>
          <w:sz w:val="24"/>
          <w:szCs w:val="24"/>
          <w:lang w:val="ru-MD"/>
        </w:rPr>
        <w:t xml:space="preserve"> приобрела модуль </w:t>
      </w:r>
      <w:r w:rsidR="003F2935" w:rsidRPr="003F2935">
        <w:rPr>
          <w:rFonts w:asciiTheme="majorHAnsi" w:hAnsiTheme="majorHAnsi" w:cstheme="majorHAnsi"/>
          <w:sz w:val="24"/>
          <w:szCs w:val="24"/>
          <w:lang w:val="ru-MD"/>
        </w:rPr>
        <w:t>„SICOM”</w:t>
      </w:r>
      <w:r w:rsidRPr="003F2935">
        <w:rPr>
          <w:rFonts w:asciiTheme="majorHAnsi" w:hAnsiTheme="majorHAnsi" w:cstheme="majorHAnsi"/>
          <w:sz w:val="24"/>
          <w:szCs w:val="24"/>
          <w:lang w:val="ru-MD"/>
        </w:rPr>
        <w:t xml:space="preserve">, на который потратила 1,0 </w:t>
      </w:r>
      <w:r w:rsidR="003F2935" w:rsidRPr="003F2935">
        <w:rPr>
          <w:rFonts w:asciiTheme="majorHAnsi" w:hAnsiTheme="majorHAnsi" w:cstheme="majorHAnsi"/>
          <w:sz w:val="24"/>
          <w:szCs w:val="24"/>
          <w:lang w:val="ru-MD"/>
        </w:rPr>
        <w:t>млн. леев</w:t>
      </w:r>
      <w:r w:rsidRPr="003F2935">
        <w:rPr>
          <w:rFonts w:asciiTheme="majorHAnsi" w:hAnsiTheme="majorHAnsi" w:cstheme="majorHAnsi"/>
          <w:sz w:val="24"/>
          <w:szCs w:val="24"/>
          <w:lang w:val="ru-MD"/>
        </w:rPr>
        <w:t>, предназначенный для автоматизированного учета сертификатов преимущественного происхождения экспорт</w:t>
      </w:r>
      <w:r w:rsidR="003F2935" w:rsidRPr="003F2935">
        <w:rPr>
          <w:rFonts w:asciiTheme="majorHAnsi" w:hAnsiTheme="majorHAnsi" w:cstheme="majorHAnsi"/>
          <w:sz w:val="24"/>
          <w:szCs w:val="24"/>
          <w:lang w:val="ru-MD"/>
        </w:rPr>
        <w:t>ируем</w:t>
      </w:r>
      <w:r w:rsidRPr="003F2935">
        <w:rPr>
          <w:rFonts w:asciiTheme="majorHAnsi" w:hAnsiTheme="majorHAnsi" w:cstheme="majorHAnsi"/>
          <w:sz w:val="24"/>
          <w:szCs w:val="24"/>
          <w:lang w:val="ru-MD"/>
        </w:rPr>
        <w:t xml:space="preserve">ых товаров. Несмотря на то, что </w:t>
      </w:r>
      <w:r w:rsidR="003F2935" w:rsidRPr="003F2935">
        <w:rPr>
          <w:rFonts w:asciiTheme="majorHAnsi" w:hAnsiTheme="majorHAnsi" w:cstheme="majorHAnsi"/>
          <w:sz w:val="24"/>
          <w:szCs w:val="24"/>
          <w:lang w:val="ru-MD"/>
        </w:rPr>
        <w:t>за 2014-2021 годы Управление таможенной стоимости, классификации и происхождения товаров направило 10 запросов в адрес Управления развития и информационной безопасности</w:t>
      </w:r>
      <w:r w:rsidR="003F2935" w:rsidRPr="003F2935">
        <w:rPr>
          <w:rStyle w:val="FootnoteReference"/>
          <w:rFonts w:asciiTheme="majorHAnsi" w:hAnsiTheme="majorHAnsi" w:cstheme="majorHAnsi"/>
          <w:sz w:val="24"/>
          <w:szCs w:val="24"/>
          <w:lang w:val="ru-MD"/>
        </w:rPr>
        <w:footnoteReference w:id="54"/>
      </w:r>
      <w:r w:rsidR="003F2935" w:rsidRPr="003F2935">
        <w:rPr>
          <w:rFonts w:asciiTheme="majorHAnsi" w:hAnsiTheme="majorHAnsi" w:cstheme="majorHAnsi"/>
          <w:sz w:val="24"/>
          <w:szCs w:val="24"/>
          <w:lang w:val="ru-MD"/>
        </w:rPr>
        <w:t xml:space="preserve"> </w:t>
      </w:r>
      <w:r w:rsidRPr="003F2935">
        <w:rPr>
          <w:rFonts w:asciiTheme="majorHAnsi" w:hAnsiTheme="majorHAnsi" w:cstheme="majorHAnsi"/>
          <w:sz w:val="24"/>
          <w:szCs w:val="24"/>
          <w:lang w:val="ru-MD"/>
        </w:rPr>
        <w:t xml:space="preserve">и </w:t>
      </w:r>
      <w:r w:rsidR="003F2935" w:rsidRPr="003F2935">
        <w:rPr>
          <w:rFonts w:asciiTheme="majorHAnsi" w:hAnsiTheme="majorHAnsi" w:cstheme="majorHAnsi"/>
          <w:sz w:val="24"/>
          <w:szCs w:val="24"/>
          <w:lang w:val="ru-MD"/>
        </w:rPr>
        <w:t xml:space="preserve">одно </w:t>
      </w:r>
      <w:r w:rsidRPr="003F2935">
        <w:rPr>
          <w:rFonts w:asciiTheme="majorHAnsi" w:hAnsiTheme="majorHAnsi" w:cstheme="majorHAnsi"/>
          <w:sz w:val="24"/>
          <w:szCs w:val="24"/>
          <w:lang w:val="ru-MD"/>
        </w:rPr>
        <w:t xml:space="preserve">ходатайство </w:t>
      </w:r>
      <w:r w:rsidR="003F2935" w:rsidRPr="003F2935">
        <w:rPr>
          <w:rFonts w:asciiTheme="majorHAnsi" w:hAnsiTheme="majorHAnsi" w:cstheme="majorHAnsi"/>
          <w:sz w:val="24"/>
          <w:szCs w:val="24"/>
          <w:lang w:val="ru-MD"/>
        </w:rPr>
        <w:t>в адрес У</w:t>
      </w:r>
      <w:r w:rsidRPr="003F2935">
        <w:rPr>
          <w:rFonts w:asciiTheme="majorHAnsi" w:hAnsiTheme="majorHAnsi" w:cstheme="majorHAnsi"/>
          <w:sz w:val="24"/>
          <w:szCs w:val="24"/>
          <w:lang w:val="ru-MD"/>
        </w:rPr>
        <w:t>правления по организации таможенного контроля и содействию торговле</w:t>
      </w:r>
      <w:r w:rsidR="003F2935" w:rsidRPr="003F2935">
        <w:rPr>
          <w:rStyle w:val="FootnoteReference"/>
          <w:rFonts w:asciiTheme="majorHAnsi" w:hAnsiTheme="majorHAnsi" w:cstheme="majorHAnsi"/>
          <w:sz w:val="24"/>
          <w:szCs w:val="24"/>
          <w:lang w:val="ru-MD"/>
        </w:rPr>
        <w:footnoteReference w:id="55"/>
      </w:r>
      <w:r w:rsidRPr="003F2935">
        <w:rPr>
          <w:rFonts w:asciiTheme="majorHAnsi" w:hAnsiTheme="majorHAnsi" w:cstheme="majorHAnsi"/>
          <w:sz w:val="24"/>
          <w:szCs w:val="24"/>
          <w:lang w:val="ru-MD"/>
        </w:rPr>
        <w:t>, недостатки не были устранены, а модуль не был разработан/модернизирован, мотивир</w:t>
      </w:r>
      <w:r w:rsidR="003F2935" w:rsidRPr="003F2935">
        <w:rPr>
          <w:rFonts w:asciiTheme="majorHAnsi" w:hAnsiTheme="majorHAnsi" w:cstheme="majorHAnsi"/>
          <w:sz w:val="24"/>
          <w:szCs w:val="24"/>
          <w:lang w:val="ru-MD"/>
        </w:rPr>
        <w:t>уя</w:t>
      </w:r>
      <w:r w:rsidRPr="003F2935">
        <w:rPr>
          <w:rFonts w:asciiTheme="majorHAnsi" w:hAnsiTheme="majorHAnsi" w:cstheme="majorHAnsi"/>
          <w:sz w:val="24"/>
          <w:szCs w:val="24"/>
          <w:lang w:val="ru-MD"/>
        </w:rPr>
        <w:t xml:space="preserve"> нехватк</w:t>
      </w:r>
      <w:r w:rsidR="003F2935" w:rsidRPr="003F2935">
        <w:rPr>
          <w:rFonts w:asciiTheme="majorHAnsi" w:hAnsiTheme="majorHAnsi" w:cstheme="majorHAnsi"/>
          <w:sz w:val="24"/>
          <w:szCs w:val="24"/>
          <w:lang w:val="ru-MD"/>
        </w:rPr>
        <w:t>ой</w:t>
      </w:r>
      <w:r w:rsidRPr="003F2935">
        <w:rPr>
          <w:rFonts w:asciiTheme="majorHAnsi" w:hAnsiTheme="majorHAnsi" w:cstheme="majorHAnsi"/>
          <w:sz w:val="24"/>
          <w:szCs w:val="24"/>
          <w:lang w:val="ru-MD"/>
        </w:rPr>
        <w:t xml:space="preserve"> специалистов в области </w:t>
      </w:r>
      <w:r w:rsidR="003F2935" w:rsidRPr="003F2935">
        <w:rPr>
          <w:rFonts w:asciiTheme="majorHAnsi" w:hAnsiTheme="majorHAnsi" w:cstheme="majorHAnsi"/>
          <w:sz w:val="24"/>
          <w:szCs w:val="24"/>
          <w:lang w:val="ru-MD"/>
        </w:rPr>
        <w:t>ИТ</w:t>
      </w:r>
      <w:r w:rsidRPr="003F2935">
        <w:rPr>
          <w:rFonts w:asciiTheme="majorHAnsi" w:hAnsiTheme="majorHAnsi" w:cstheme="majorHAnsi"/>
          <w:sz w:val="24"/>
          <w:szCs w:val="24"/>
          <w:lang w:val="ru-MD"/>
        </w:rPr>
        <w:t xml:space="preserve">, хотя за последние 3 года на услуги поддержки, администрирования и обеспечения функциональности </w:t>
      </w:r>
      <w:r w:rsidR="003F2935" w:rsidRPr="003F2935">
        <w:rPr>
          <w:rFonts w:asciiTheme="majorHAnsi" w:hAnsiTheme="majorHAnsi" w:cstheme="majorHAnsi"/>
          <w:sz w:val="24"/>
          <w:szCs w:val="24"/>
          <w:lang w:val="ru-MD"/>
        </w:rPr>
        <w:t xml:space="preserve">ТИИС „Asycuda </w:t>
      </w:r>
      <w:r w:rsidR="003F2935" w:rsidRPr="003F2935">
        <w:rPr>
          <w:rFonts w:asciiTheme="majorHAnsi" w:hAnsiTheme="majorHAnsi" w:cstheme="majorHAnsi"/>
          <w:iCs/>
          <w:color w:val="000000" w:themeColor="text1"/>
          <w:sz w:val="24"/>
          <w:szCs w:val="24"/>
          <w:lang w:val="ru-MD"/>
        </w:rPr>
        <w:t>World”</w:t>
      </w:r>
      <w:r w:rsidRPr="003F2935">
        <w:rPr>
          <w:rFonts w:asciiTheme="majorHAnsi" w:hAnsiTheme="majorHAnsi" w:cstheme="majorHAnsi"/>
          <w:sz w:val="24"/>
          <w:szCs w:val="24"/>
          <w:lang w:val="ru-MD"/>
        </w:rPr>
        <w:t xml:space="preserve"> </w:t>
      </w:r>
      <w:r w:rsidR="003F2935" w:rsidRPr="003F2935">
        <w:rPr>
          <w:rFonts w:asciiTheme="majorHAnsi" w:hAnsiTheme="majorHAnsi" w:cstheme="majorHAnsi"/>
          <w:sz w:val="24"/>
          <w:szCs w:val="24"/>
          <w:lang w:val="ru-MD"/>
        </w:rPr>
        <w:t>ТС</w:t>
      </w:r>
      <w:r w:rsidRPr="003F2935">
        <w:rPr>
          <w:rFonts w:asciiTheme="majorHAnsi" w:hAnsiTheme="majorHAnsi" w:cstheme="majorHAnsi"/>
          <w:sz w:val="24"/>
          <w:szCs w:val="24"/>
          <w:lang w:val="ru-MD"/>
        </w:rPr>
        <w:t xml:space="preserve"> потратила 74,4 </w:t>
      </w:r>
      <w:r w:rsidR="003F2935" w:rsidRPr="003F2935">
        <w:rPr>
          <w:rFonts w:asciiTheme="majorHAnsi" w:hAnsiTheme="majorHAnsi" w:cstheme="majorHAnsi"/>
          <w:sz w:val="24"/>
          <w:szCs w:val="24"/>
          <w:lang w:val="ru-MD"/>
        </w:rPr>
        <w:t>млн. леев</w:t>
      </w:r>
      <w:r w:rsidR="002F384D" w:rsidRPr="003F2935">
        <w:rPr>
          <w:rFonts w:asciiTheme="majorHAnsi" w:hAnsiTheme="majorHAnsi" w:cstheme="majorHAnsi"/>
          <w:sz w:val="24"/>
          <w:szCs w:val="24"/>
          <w:lang w:val="ru-MD"/>
        </w:rPr>
        <w:t>.</w:t>
      </w:r>
      <w:r w:rsidR="00BA5A24" w:rsidRPr="003F2935">
        <w:rPr>
          <w:rFonts w:asciiTheme="majorHAnsi" w:hAnsiTheme="majorHAnsi" w:cstheme="majorHAnsi"/>
          <w:sz w:val="24"/>
          <w:szCs w:val="24"/>
          <w:lang w:val="ru-MD"/>
        </w:rPr>
        <w:t xml:space="preserve"> </w:t>
      </w:r>
    </w:p>
    <w:p w14:paraId="1A033173" w14:textId="54C7691E" w:rsidR="006A573A" w:rsidRPr="00A77BEB" w:rsidRDefault="00AE17F4" w:rsidP="009211F2">
      <w:pPr>
        <w:tabs>
          <w:tab w:val="left" w:pos="851"/>
          <w:tab w:val="left" w:pos="1134"/>
        </w:tabs>
        <w:spacing w:after="0"/>
        <w:contextualSpacing/>
        <w:jc w:val="both"/>
        <w:rPr>
          <w:rFonts w:asciiTheme="majorHAnsi" w:hAnsiTheme="majorHAnsi" w:cstheme="majorHAnsi"/>
          <w:sz w:val="24"/>
          <w:szCs w:val="24"/>
          <w:lang w:val="ru-MD"/>
        </w:rPr>
      </w:pPr>
      <w:r w:rsidRPr="00A77BEB">
        <w:rPr>
          <w:rFonts w:asciiTheme="majorHAnsi" w:hAnsiTheme="majorHAnsi" w:cstheme="majorHAnsi"/>
          <w:sz w:val="24"/>
          <w:szCs w:val="24"/>
          <w:lang w:val="ru-MD"/>
        </w:rPr>
        <w:t>Согласно законодательной базе</w:t>
      </w:r>
      <w:r w:rsidRPr="00A77BEB">
        <w:rPr>
          <w:rStyle w:val="FootnoteReference"/>
          <w:rFonts w:asciiTheme="majorHAnsi" w:hAnsiTheme="majorHAnsi" w:cstheme="majorHAnsi"/>
          <w:sz w:val="24"/>
          <w:szCs w:val="24"/>
          <w:lang w:val="ru-MD"/>
        </w:rPr>
        <w:footnoteReference w:id="56"/>
      </w:r>
      <w:r w:rsidRPr="00A77BEB">
        <w:rPr>
          <w:rFonts w:asciiTheme="majorHAnsi" w:hAnsiTheme="majorHAnsi" w:cstheme="majorHAnsi"/>
          <w:sz w:val="24"/>
          <w:szCs w:val="24"/>
          <w:lang w:val="ru-MD"/>
        </w:rPr>
        <w:t>, с целью проверки происхождения товаров, импортируемых в РМ в льготном режиме, и обеспечения контроля над правильностью предоставления тариф</w:t>
      </w:r>
      <w:r w:rsidR="00A906E6" w:rsidRPr="00A77BEB">
        <w:rPr>
          <w:rFonts w:asciiTheme="majorHAnsi" w:hAnsiTheme="majorHAnsi" w:cstheme="majorHAnsi"/>
          <w:sz w:val="24"/>
          <w:szCs w:val="24"/>
          <w:lang w:val="ru-MD"/>
        </w:rPr>
        <w:t>ных</w:t>
      </w:r>
      <w:r w:rsidRPr="00A77BEB">
        <w:rPr>
          <w:rFonts w:asciiTheme="majorHAnsi" w:hAnsiTheme="majorHAnsi" w:cstheme="majorHAnsi"/>
          <w:sz w:val="24"/>
          <w:szCs w:val="24"/>
          <w:lang w:val="ru-MD"/>
        </w:rPr>
        <w:t xml:space="preserve"> </w:t>
      </w:r>
      <w:r w:rsidR="00A906E6" w:rsidRPr="00A77BEB">
        <w:rPr>
          <w:rFonts w:asciiTheme="majorHAnsi" w:hAnsiTheme="majorHAnsi" w:cstheme="majorHAnsi"/>
          <w:sz w:val="24"/>
          <w:szCs w:val="24"/>
          <w:lang w:val="ru-MD"/>
        </w:rPr>
        <w:t>льгот при ввозе товаров</w:t>
      </w:r>
      <w:r w:rsidRPr="00A77BEB">
        <w:rPr>
          <w:rFonts w:asciiTheme="majorHAnsi" w:hAnsiTheme="majorHAnsi" w:cstheme="majorHAnsi"/>
          <w:sz w:val="24"/>
          <w:szCs w:val="24"/>
          <w:lang w:val="ru-MD"/>
        </w:rPr>
        <w:t xml:space="preserve">, сотрудники таможни анализируют информацию, поступившую в рамках подразделения, касающуюся доказательств происхождения, представленных при импорте товаров. Если у сотрудника таможни есть обоснованные подозрения в отношении данных, включенных в документ, подтверждающий </w:t>
      </w:r>
      <w:r w:rsidR="00A906E6" w:rsidRPr="00A77BEB">
        <w:rPr>
          <w:rFonts w:asciiTheme="majorHAnsi" w:hAnsiTheme="majorHAnsi" w:cstheme="majorHAnsi"/>
          <w:sz w:val="24"/>
          <w:szCs w:val="24"/>
          <w:lang w:val="ru-MD"/>
        </w:rPr>
        <w:t>льгот</w:t>
      </w:r>
      <w:r w:rsidRPr="00A77BEB">
        <w:rPr>
          <w:rFonts w:asciiTheme="majorHAnsi" w:hAnsiTheme="majorHAnsi" w:cstheme="majorHAnsi"/>
          <w:sz w:val="24"/>
          <w:szCs w:val="24"/>
          <w:lang w:val="ru-MD"/>
        </w:rPr>
        <w:t xml:space="preserve">ное происхождение товаров, он может запросить дополнительные документы, подтверждающие происхождение товаров, в том числе </w:t>
      </w:r>
      <w:r w:rsidR="00A906E6" w:rsidRPr="00A77BEB">
        <w:rPr>
          <w:rFonts w:asciiTheme="majorHAnsi" w:hAnsiTheme="majorHAnsi" w:cstheme="majorHAnsi"/>
          <w:sz w:val="24"/>
          <w:szCs w:val="24"/>
          <w:lang w:val="ru-MD"/>
        </w:rPr>
        <w:t>путем</w:t>
      </w:r>
      <w:r w:rsidRPr="00A77BEB">
        <w:rPr>
          <w:rFonts w:asciiTheme="majorHAnsi" w:hAnsiTheme="majorHAnsi" w:cstheme="majorHAnsi"/>
          <w:sz w:val="24"/>
          <w:szCs w:val="24"/>
          <w:lang w:val="ru-MD"/>
        </w:rPr>
        <w:t xml:space="preserve"> </w:t>
      </w:r>
      <w:r w:rsidR="00A906E6" w:rsidRPr="00A77BEB">
        <w:rPr>
          <w:rFonts w:asciiTheme="majorHAnsi" w:hAnsiTheme="majorHAnsi" w:cstheme="majorHAnsi"/>
          <w:sz w:val="24"/>
          <w:szCs w:val="24"/>
          <w:lang w:val="ru-MD"/>
        </w:rPr>
        <w:t>обращения</w:t>
      </w:r>
      <w:r w:rsidRPr="00A77BEB">
        <w:rPr>
          <w:rFonts w:asciiTheme="majorHAnsi" w:hAnsiTheme="majorHAnsi" w:cstheme="majorHAnsi"/>
          <w:sz w:val="24"/>
          <w:szCs w:val="24"/>
          <w:lang w:val="ru-MD"/>
        </w:rPr>
        <w:t xml:space="preserve"> </w:t>
      </w:r>
      <w:r w:rsidR="00A906E6" w:rsidRPr="00A77BEB">
        <w:rPr>
          <w:rFonts w:asciiTheme="majorHAnsi" w:hAnsiTheme="majorHAnsi" w:cstheme="majorHAnsi"/>
          <w:sz w:val="24"/>
          <w:szCs w:val="24"/>
          <w:lang w:val="ru-MD"/>
        </w:rPr>
        <w:t xml:space="preserve">в </w:t>
      </w:r>
      <w:r w:rsidRPr="00A77BEB">
        <w:rPr>
          <w:rFonts w:asciiTheme="majorHAnsi" w:hAnsiTheme="majorHAnsi" w:cstheme="majorHAnsi"/>
          <w:sz w:val="24"/>
          <w:szCs w:val="24"/>
          <w:lang w:val="ru-MD"/>
        </w:rPr>
        <w:t>компетентны</w:t>
      </w:r>
      <w:r w:rsidR="00A906E6" w:rsidRPr="00A77BEB">
        <w:rPr>
          <w:rFonts w:asciiTheme="majorHAnsi" w:hAnsiTheme="majorHAnsi" w:cstheme="majorHAnsi"/>
          <w:sz w:val="24"/>
          <w:szCs w:val="24"/>
          <w:lang w:val="ru-MD"/>
        </w:rPr>
        <w:t>е</w:t>
      </w:r>
      <w:r w:rsidRPr="00A77BEB">
        <w:rPr>
          <w:rFonts w:asciiTheme="majorHAnsi" w:hAnsiTheme="majorHAnsi" w:cstheme="majorHAnsi"/>
          <w:sz w:val="24"/>
          <w:szCs w:val="24"/>
          <w:lang w:val="ru-MD"/>
        </w:rPr>
        <w:t xml:space="preserve"> орган</w:t>
      </w:r>
      <w:r w:rsidR="00A906E6" w:rsidRPr="00A77BEB">
        <w:rPr>
          <w:rFonts w:asciiTheme="majorHAnsi" w:hAnsiTheme="majorHAnsi" w:cstheme="majorHAnsi"/>
          <w:sz w:val="24"/>
          <w:szCs w:val="24"/>
          <w:lang w:val="ru-MD"/>
        </w:rPr>
        <w:t>ы</w:t>
      </w:r>
      <w:r w:rsidRPr="00A77BEB">
        <w:rPr>
          <w:rFonts w:asciiTheme="majorHAnsi" w:hAnsiTheme="majorHAnsi" w:cstheme="majorHAnsi"/>
          <w:sz w:val="24"/>
          <w:szCs w:val="24"/>
          <w:lang w:val="ru-MD"/>
        </w:rPr>
        <w:t xml:space="preserve"> </w:t>
      </w:r>
      <w:r w:rsidR="00A906E6" w:rsidRPr="00A77BEB">
        <w:rPr>
          <w:rFonts w:asciiTheme="majorHAnsi" w:hAnsiTheme="majorHAnsi" w:cstheme="majorHAnsi"/>
          <w:sz w:val="24"/>
          <w:szCs w:val="24"/>
          <w:lang w:val="ru-MD"/>
        </w:rPr>
        <w:t>страны</w:t>
      </w:r>
      <w:r w:rsidRPr="00A77BEB">
        <w:rPr>
          <w:rFonts w:asciiTheme="majorHAnsi" w:hAnsiTheme="majorHAnsi" w:cstheme="majorHAnsi"/>
          <w:sz w:val="24"/>
          <w:szCs w:val="24"/>
          <w:lang w:val="ru-MD"/>
        </w:rPr>
        <w:t>-экспортера</w:t>
      </w:r>
      <w:r w:rsidR="006A573A" w:rsidRPr="00A77BEB">
        <w:rPr>
          <w:rFonts w:asciiTheme="majorHAnsi" w:hAnsiTheme="majorHAnsi" w:cstheme="majorHAnsi"/>
          <w:sz w:val="24"/>
          <w:szCs w:val="24"/>
          <w:lang w:val="ru-MD"/>
        </w:rPr>
        <w:t xml:space="preserve">. </w:t>
      </w:r>
    </w:p>
    <w:p w14:paraId="078CB5E3" w14:textId="1189419B" w:rsidR="0086355E" w:rsidRPr="00A77BEB" w:rsidRDefault="00A906E6" w:rsidP="00D418F4">
      <w:pPr>
        <w:tabs>
          <w:tab w:val="left" w:pos="851"/>
          <w:tab w:val="left" w:pos="1134"/>
        </w:tabs>
        <w:spacing w:after="120"/>
        <w:contextualSpacing/>
        <w:jc w:val="both"/>
        <w:rPr>
          <w:rFonts w:asciiTheme="majorHAnsi" w:eastAsia="Times New Roman" w:hAnsiTheme="majorHAnsi" w:cstheme="majorHAnsi"/>
          <w:sz w:val="24"/>
          <w:szCs w:val="24"/>
          <w:lang w:val="ru-MD"/>
        </w:rPr>
      </w:pPr>
      <w:r w:rsidRPr="00A77BEB">
        <w:rPr>
          <w:rFonts w:asciiTheme="majorHAnsi" w:hAnsiTheme="majorHAnsi" w:cstheme="majorHAnsi"/>
          <w:sz w:val="24"/>
          <w:szCs w:val="24"/>
          <w:lang w:val="ru-MD"/>
        </w:rPr>
        <w:t>Аудит</w:t>
      </w:r>
      <w:r w:rsidR="00E8765C" w:rsidRPr="00A77BEB">
        <w:rPr>
          <w:rFonts w:asciiTheme="majorHAnsi" w:hAnsiTheme="majorHAnsi" w:cstheme="majorHAnsi"/>
          <w:sz w:val="24"/>
          <w:szCs w:val="24"/>
          <w:lang w:val="ru-MD"/>
        </w:rPr>
        <w:t>ом</w:t>
      </w:r>
      <w:r w:rsidRPr="00A77BEB">
        <w:rPr>
          <w:rFonts w:asciiTheme="majorHAnsi" w:hAnsiTheme="majorHAnsi" w:cstheme="majorHAnsi"/>
          <w:sz w:val="24"/>
          <w:szCs w:val="24"/>
          <w:lang w:val="ru-MD"/>
        </w:rPr>
        <w:t xml:space="preserve"> установ</w:t>
      </w:r>
      <w:r w:rsidR="00E8765C" w:rsidRPr="00A77BEB">
        <w:rPr>
          <w:rFonts w:asciiTheme="majorHAnsi" w:hAnsiTheme="majorHAnsi" w:cstheme="majorHAnsi"/>
          <w:sz w:val="24"/>
          <w:szCs w:val="24"/>
          <w:lang w:val="ru-MD"/>
        </w:rPr>
        <w:t>лено</w:t>
      </w:r>
      <w:r w:rsidRPr="00A77BEB">
        <w:rPr>
          <w:rFonts w:asciiTheme="majorHAnsi" w:hAnsiTheme="majorHAnsi" w:cstheme="majorHAnsi"/>
          <w:sz w:val="24"/>
          <w:szCs w:val="24"/>
          <w:lang w:val="ru-MD"/>
        </w:rPr>
        <w:t xml:space="preserve"> наличие </w:t>
      </w:r>
      <w:r w:rsidR="00E8765C" w:rsidRPr="00A77BEB">
        <w:rPr>
          <w:rFonts w:asciiTheme="majorHAnsi" w:hAnsiTheme="majorHAnsi" w:cstheme="majorHAnsi"/>
          <w:sz w:val="24"/>
          <w:szCs w:val="24"/>
          <w:lang w:val="ru-MD"/>
        </w:rPr>
        <w:t>возмож</w:t>
      </w:r>
      <w:r w:rsidRPr="00A77BEB">
        <w:rPr>
          <w:rFonts w:asciiTheme="majorHAnsi" w:hAnsiTheme="majorHAnsi" w:cstheme="majorHAnsi"/>
          <w:sz w:val="24"/>
          <w:szCs w:val="24"/>
          <w:lang w:val="ru-MD"/>
        </w:rPr>
        <w:t>ных рисков мошенничества с преференциальным происхождением товаров, ввозимых в страну</w:t>
      </w:r>
      <w:r w:rsidR="00E8765C" w:rsidRPr="00A77BEB">
        <w:rPr>
          <w:rFonts w:asciiTheme="majorHAnsi" w:hAnsiTheme="majorHAnsi" w:cstheme="majorHAnsi"/>
          <w:sz w:val="24"/>
          <w:szCs w:val="24"/>
          <w:lang w:val="ru-MD"/>
        </w:rPr>
        <w:t>,</w:t>
      </w:r>
      <w:r w:rsidRPr="00A77BEB">
        <w:rPr>
          <w:rFonts w:asciiTheme="majorHAnsi" w:hAnsiTheme="majorHAnsi" w:cstheme="majorHAnsi"/>
          <w:sz w:val="24"/>
          <w:szCs w:val="24"/>
          <w:lang w:val="ru-MD"/>
        </w:rPr>
        <w:t xml:space="preserve"> и выявленных в 2020-2021 гг., исходя из того, что 31,6% и</w:t>
      </w:r>
      <w:r w:rsidR="00E8765C" w:rsidRPr="00A77BEB">
        <w:rPr>
          <w:rFonts w:asciiTheme="majorHAnsi" w:hAnsiTheme="majorHAnsi" w:cstheme="majorHAnsi"/>
          <w:sz w:val="24"/>
          <w:szCs w:val="24"/>
          <w:lang w:val="ru-MD"/>
        </w:rPr>
        <w:t>, соответственно,</w:t>
      </w:r>
      <w:r w:rsidRPr="00A77BEB">
        <w:rPr>
          <w:rFonts w:asciiTheme="majorHAnsi" w:hAnsiTheme="majorHAnsi" w:cstheme="majorHAnsi"/>
          <w:sz w:val="24"/>
          <w:szCs w:val="24"/>
          <w:lang w:val="ru-MD"/>
        </w:rPr>
        <w:t xml:space="preserve"> 34,6% </w:t>
      </w:r>
      <w:r w:rsidR="00E8765C" w:rsidRPr="00A77BEB">
        <w:rPr>
          <w:rFonts w:asciiTheme="majorHAnsi" w:hAnsiTheme="majorHAnsi" w:cstheme="majorHAnsi"/>
          <w:sz w:val="24"/>
          <w:szCs w:val="24"/>
          <w:lang w:val="ru-MD"/>
        </w:rPr>
        <w:t>ежегодн</w:t>
      </w:r>
      <w:r w:rsidRPr="00A77BEB">
        <w:rPr>
          <w:rFonts w:asciiTheme="majorHAnsi" w:hAnsiTheme="majorHAnsi" w:cstheme="majorHAnsi"/>
          <w:sz w:val="24"/>
          <w:szCs w:val="24"/>
          <w:lang w:val="ru-MD"/>
        </w:rPr>
        <w:t xml:space="preserve">ых запросов, направленных </w:t>
      </w:r>
      <w:r w:rsidR="00E8765C" w:rsidRPr="00A77BEB">
        <w:rPr>
          <w:rFonts w:asciiTheme="majorHAnsi" w:hAnsiTheme="majorHAnsi" w:cstheme="majorHAnsi"/>
          <w:sz w:val="24"/>
          <w:szCs w:val="24"/>
          <w:lang w:val="ru-MD"/>
        </w:rPr>
        <w:t>ТС</w:t>
      </w:r>
      <w:r w:rsidRPr="00A77BEB">
        <w:rPr>
          <w:rFonts w:asciiTheme="majorHAnsi" w:hAnsiTheme="majorHAnsi" w:cstheme="majorHAnsi"/>
          <w:sz w:val="24"/>
          <w:szCs w:val="24"/>
          <w:lang w:val="ru-MD"/>
        </w:rPr>
        <w:t xml:space="preserve"> таможенны</w:t>
      </w:r>
      <w:r w:rsidR="00E8765C" w:rsidRPr="00A77BEB">
        <w:rPr>
          <w:rFonts w:asciiTheme="majorHAnsi" w:hAnsiTheme="majorHAnsi" w:cstheme="majorHAnsi"/>
          <w:sz w:val="24"/>
          <w:szCs w:val="24"/>
          <w:lang w:val="ru-MD"/>
        </w:rPr>
        <w:t>м</w:t>
      </w:r>
      <w:r w:rsidRPr="00A77BEB">
        <w:rPr>
          <w:rFonts w:asciiTheme="majorHAnsi" w:hAnsiTheme="majorHAnsi" w:cstheme="majorHAnsi"/>
          <w:sz w:val="24"/>
          <w:szCs w:val="24"/>
          <w:lang w:val="ru-MD"/>
        </w:rPr>
        <w:t xml:space="preserve"> орган</w:t>
      </w:r>
      <w:r w:rsidR="00E8765C" w:rsidRPr="00A77BEB">
        <w:rPr>
          <w:rFonts w:asciiTheme="majorHAnsi" w:hAnsiTheme="majorHAnsi" w:cstheme="majorHAnsi"/>
          <w:sz w:val="24"/>
          <w:szCs w:val="24"/>
          <w:lang w:val="ru-MD"/>
        </w:rPr>
        <w:t>ам</w:t>
      </w:r>
      <w:r w:rsidRPr="00A77BEB">
        <w:rPr>
          <w:rFonts w:asciiTheme="majorHAnsi" w:hAnsiTheme="majorHAnsi" w:cstheme="majorHAnsi"/>
          <w:sz w:val="24"/>
          <w:szCs w:val="24"/>
          <w:lang w:val="ru-MD"/>
        </w:rPr>
        <w:t xml:space="preserve"> других стран, происхождение импортируемых товаров не было подтверждено или частично подтверждено, что свидетельствует о том, что экономические агенты представляют таможенному органу </w:t>
      </w:r>
      <w:r w:rsidR="00E8765C" w:rsidRPr="00A77BEB">
        <w:rPr>
          <w:rFonts w:asciiTheme="majorHAnsi" w:hAnsiTheme="majorHAnsi" w:cstheme="majorHAnsi"/>
          <w:sz w:val="24"/>
          <w:szCs w:val="24"/>
          <w:lang w:val="ru-MD"/>
        </w:rPr>
        <w:t xml:space="preserve">недостоверные </w:t>
      </w:r>
      <w:r w:rsidRPr="00A77BEB">
        <w:rPr>
          <w:rFonts w:asciiTheme="majorHAnsi" w:hAnsiTheme="majorHAnsi" w:cstheme="majorHAnsi"/>
          <w:sz w:val="24"/>
          <w:szCs w:val="24"/>
          <w:lang w:val="ru-MD"/>
        </w:rPr>
        <w:t>сертификаты происхождения товаров с точки зрения фактического происхождения товаров</w:t>
      </w:r>
      <w:r w:rsidR="00E8765C" w:rsidRPr="00A77BEB">
        <w:rPr>
          <w:rFonts w:asciiTheme="majorHAnsi" w:hAnsiTheme="majorHAnsi" w:cstheme="majorHAnsi"/>
          <w:sz w:val="24"/>
          <w:szCs w:val="24"/>
          <w:lang w:val="ru-MD"/>
        </w:rPr>
        <w:t>, ссылаясь на то</w:t>
      </w:r>
      <w:r w:rsidRPr="00A77BEB">
        <w:rPr>
          <w:rFonts w:asciiTheme="majorHAnsi" w:hAnsiTheme="majorHAnsi" w:cstheme="majorHAnsi"/>
          <w:sz w:val="24"/>
          <w:szCs w:val="24"/>
          <w:lang w:val="ru-MD"/>
        </w:rPr>
        <w:t>, что экспортер не представил достаточно информации, подтверждающей преимущественное происхождение товаров</w:t>
      </w:r>
      <w:r w:rsidR="006D07B5" w:rsidRPr="00A77BEB">
        <w:rPr>
          <w:rFonts w:asciiTheme="majorHAnsi" w:eastAsia="Times New Roman" w:hAnsiTheme="majorHAnsi" w:cstheme="majorHAnsi"/>
          <w:sz w:val="24"/>
          <w:szCs w:val="24"/>
          <w:lang w:val="ru-MD"/>
        </w:rPr>
        <w:t xml:space="preserve">. </w:t>
      </w:r>
    </w:p>
    <w:p w14:paraId="3C2A8647" w14:textId="5E3E6218" w:rsidR="00B3263D" w:rsidRPr="00EF1B38" w:rsidRDefault="00A906E6" w:rsidP="002F384D">
      <w:pPr>
        <w:tabs>
          <w:tab w:val="left" w:pos="851"/>
          <w:tab w:val="left" w:pos="1134"/>
        </w:tabs>
        <w:spacing w:after="0"/>
        <w:contextualSpacing/>
        <w:jc w:val="both"/>
        <w:rPr>
          <w:rFonts w:asciiTheme="majorHAnsi" w:hAnsiTheme="majorHAnsi" w:cstheme="majorHAnsi"/>
          <w:sz w:val="24"/>
          <w:szCs w:val="24"/>
          <w:lang w:val="ru-MD"/>
        </w:rPr>
      </w:pPr>
      <w:r w:rsidRPr="00EF1B38">
        <w:rPr>
          <w:rFonts w:asciiTheme="majorHAnsi" w:eastAsia="Times New Roman" w:hAnsiTheme="majorHAnsi" w:cstheme="majorHAnsi"/>
          <w:sz w:val="24"/>
          <w:szCs w:val="24"/>
          <w:lang w:val="ru-MD"/>
        </w:rPr>
        <w:t>Так, в целях подтверждения преимущественного происхождения импортируемых товаров</w:t>
      </w:r>
      <w:r w:rsidR="00EF1B38" w:rsidRPr="00EF1B38">
        <w:rPr>
          <w:rFonts w:asciiTheme="majorHAnsi" w:eastAsia="Times New Roman" w:hAnsiTheme="majorHAnsi" w:cstheme="majorHAnsi"/>
          <w:sz w:val="24"/>
          <w:szCs w:val="24"/>
          <w:lang w:val="ru-MD"/>
        </w:rPr>
        <w:t>,</w:t>
      </w:r>
      <w:r w:rsidRPr="00EF1B38">
        <w:rPr>
          <w:rFonts w:asciiTheme="majorHAnsi" w:eastAsia="Times New Roman" w:hAnsiTheme="majorHAnsi" w:cstheme="majorHAnsi"/>
          <w:sz w:val="24"/>
          <w:szCs w:val="24"/>
          <w:lang w:val="ru-MD"/>
        </w:rPr>
        <w:t xml:space="preserve"> </w:t>
      </w:r>
      <w:r w:rsidR="00EF1B38" w:rsidRPr="00EF1B38">
        <w:rPr>
          <w:rFonts w:asciiTheme="majorHAnsi" w:eastAsia="Times New Roman" w:hAnsiTheme="majorHAnsi" w:cstheme="majorHAnsi"/>
          <w:sz w:val="24"/>
          <w:szCs w:val="24"/>
          <w:lang w:val="ru-MD"/>
        </w:rPr>
        <w:t xml:space="preserve">ТС </w:t>
      </w:r>
      <w:r w:rsidRPr="00EF1B38">
        <w:rPr>
          <w:rFonts w:asciiTheme="majorHAnsi" w:eastAsia="Times New Roman" w:hAnsiTheme="majorHAnsi" w:cstheme="majorHAnsi"/>
          <w:sz w:val="24"/>
          <w:szCs w:val="24"/>
          <w:lang w:val="ru-MD"/>
        </w:rPr>
        <w:t xml:space="preserve">в 2021 году направила таможенным органам других стран для проверки 251 запрос, содержащий 1342 </w:t>
      </w:r>
      <w:r w:rsidR="00EF1B38" w:rsidRPr="00EF1B38">
        <w:rPr>
          <w:rFonts w:asciiTheme="majorHAnsi" w:eastAsia="Times New Roman" w:hAnsiTheme="majorHAnsi" w:cstheme="majorHAnsi"/>
          <w:sz w:val="24"/>
          <w:szCs w:val="24"/>
          <w:lang w:val="ru-MD"/>
        </w:rPr>
        <w:t>доказа</w:t>
      </w:r>
      <w:r w:rsidRPr="00EF1B38">
        <w:rPr>
          <w:rFonts w:asciiTheme="majorHAnsi" w:eastAsia="Times New Roman" w:hAnsiTheme="majorHAnsi" w:cstheme="majorHAnsi"/>
          <w:sz w:val="24"/>
          <w:szCs w:val="24"/>
          <w:lang w:val="ru-MD"/>
        </w:rPr>
        <w:t xml:space="preserve">тельства происхождения товаров. Впоследствии таможенный орган получил </w:t>
      </w:r>
      <w:r w:rsidR="00EF1B38" w:rsidRPr="00EF1B38">
        <w:rPr>
          <w:rFonts w:asciiTheme="majorHAnsi" w:eastAsia="Times New Roman" w:hAnsiTheme="majorHAnsi" w:cstheme="majorHAnsi"/>
          <w:sz w:val="24"/>
          <w:szCs w:val="24"/>
          <w:lang w:val="ru-MD"/>
        </w:rPr>
        <w:t xml:space="preserve">от иностранных компетентных органов </w:t>
      </w:r>
      <w:r w:rsidRPr="00EF1B38">
        <w:rPr>
          <w:rFonts w:asciiTheme="majorHAnsi" w:eastAsia="Times New Roman" w:hAnsiTheme="majorHAnsi" w:cstheme="majorHAnsi"/>
          <w:sz w:val="24"/>
          <w:szCs w:val="24"/>
          <w:lang w:val="ru-MD"/>
        </w:rPr>
        <w:t xml:space="preserve">257 ответов, согласно которым в 168 случаях (65,4%) подтверждено происхождение импортируемых товаров; в 69 случаях (26,8%) - происхождение импортируемых товаров не подтверждено, а в 20 случаях (7,8%) - </w:t>
      </w:r>
      <w:r w:rsidR="00EF1B38" w:rsidRPr="00EF1B38">
        <w:rPr>
          <w:rFonts w:asciiTheme="majorHAnsi" w:eastAsia="Times New Roman" w:hAnsiTheme="majorHAnsi" w:cstheme="majorHAnsi"/>
          <w:sz w:val="24"/>
          <w:szCs w:val="24"/>
          <w:lang w:val="ru-MD"/>
        </w:rPr>
        <w:t xml:space="preserve">частично подтверждено </w:t>
      </w:r>
      <w:r w:rsidRPr="00EF1B38">
        <w:rPr>
          <w:rFonts w:asciiTheme="majorHAnsi" w:eastAsia="Times New Roman" w:hAnsiTheme="majorHAnsi" w:cstheme="majorHAnsi"/>
          <w:sz w:val="24"/>
          <w:szCs w:val="24"/>
          <w:lang w:val="ru-MD"/>
        </w:rPr>
        <w:t>происхождение импортируемых товаров.</w:t>
      </w:r>
      <w:r w:rsidR="003B0CB6" w:rsidRPr="00EF1B38">
        <w:rPr>
          <w:rFonts w:asciiTheme="majorHAnsi" w:eastAsia="Times New Roman" w:hAnsiTheme="majorHAnsi" w:cstheme="majorHAnsi"/>
          <w:sz w:val="24"/>
          <w:szCs w:val="24"/>
          <w:lang w:val="ru-MD"/>
        </w:rPr>
        <w:t xml:space="preserve"> </w:t>
      </w:r>
      <w:r w:rsidRPr="00EF1B38">
        <w:rPr>
          <w:rFonts w:asciiTheme="majorHAnsi" w:eastAsia="Times New Roman" w:hAnsiTheme="majorHAnsi" w:cstheme="majorHAnsi"/>
          <w:sz w:val="24"/>
          <w:szCs w:val="24"/>
          <w:lang w:val="ru-MD"/>
        </w:rPr>
        <w:t>Аналогично</w:t>
      </w:r>
      <w:r w:rsidR="00E37A48" w:rsidRPr="00EF1B38">
        <w:rPr>
          <w:rFonts w:asciiTheme="majorHAnsi" w:eastAsia="Times New Roman" w:hAnsiTheme="majorHAnsi" w:cstheme="majorHAnsi"/>
          <w:sz w:val="24"/>
          <w:szCs w:val="24"/>
          <w:lang w:val="ru-MD"/>
        </w:rPr>
        <w:t>,</w:t>
      </w:r>
      <w:r w:rsidRPr="00EF1B38">
        <w:rPr>
          <w:rFonts w:asciiTheme="majorHAnsi" w:eastAsia="Times New Roman" w:hAnsiTheme="majorHAnsi" w:cstheme="majorHAnsi"/>
          <w:sz w:val="24"/>
          <w:szCs w:val="24"/>
          <w:lang w:val="ru-MD"/>
        </w:rPr>
        <w:t xml:space="preserve"> и в 2020 году из 219 запросов, содержащих 1636 доказательств происхождения товаров, переданных </w:t>
      </w:r>
      <w:r w:rsidR="00E37A48" w:rsidRPr="00EF1B38">
        <w:rPr>
          <w:rFonts w:asciiTheme="majorHAnsi" w:eastAsia="Times New Roman" w:hAnsiTheme="majorHAnsi" w:cstheme="majorHAnsi"/>
          <w:sz w:val="24"/>
          <w:szCs w:val="24"/>
          <w:lang w:val="ru-MD"/>
        </w:rPr>
        <w:t>ТС</w:t>
      </w:r>
      <w:r w:rsidRPr="00EF1B38">
        <w:rPr>
          <w:rFonts w:asciiTheme="majorHAnsi" w:eastAsia="Times New Roman" w:hAnsiTheme="majorHAnsi" w:cstheme="majorHAnsi"/>
          <w:sz w:val="24"/>
          <w:szCs w:val="24"/>
          <w:lang w:val="ru-MD"/>
        </w:rPr>
        <w:t xml:space="preserve"> для проверки таможенным органам других стран, было получено 310 ответов от соответствующих органов, из которых в 210 случаях (67,7%) происхождение импортируемых товаров было подтверждено</w:t>
      </w:r>
      <w:r w:rsidR="00E37A48" w:rsidRPr="00EF1B38">
        <w:rPr>
          <w:rFonts w:asciiTheme="majorHAnsi" w:eastAsia="Times New Roman" w:hAnsiTheme="majorHAnsi" w:cstheme="majorHAnsi"/>
          <w:sz w:val="24"/>
          <w:szCs w:val="24"/>
          <w:lang w:val="ru-MD"/>
        </w:rPr>
        <w:t>,</w:t>
      </w:r>
      <w:r w:rsidRPr="00EF1B38">
        <w:rPr>
          <w:rFonts w:asciiTheme="majorHAnsi" w:eastAsia="Times New Roman" w:hAnsiTheme="majorHAnsi" w:cstheme="majorHAnsi"/>
          <w:sz w:val="24"/>
          <w:szCs w:val="24"/>
          <w:lang w:val="ru-MD"/>
        </w:rPr>
        <w:t xml:space="preserve"> в 80 случаях (25,8%) - происхождение импортируемых товаров не подтверждено, </w:t>
      </w:r>
      <w:r w:rsidR="00E37A48" w:rsidRPr="00EF1B38">
        <w:rPr>
          <w:rFonts w:asciiTheme="majorHAnsi" w:eastAsia="Times New Roman" w:hAnsiTheme="majorHAnsi" w:cstheme="majorHAnsi"/>
          <w:sz w:val="24"/>
          <w:szCs w:val="24"/>
          <w:lang w:val="ru-MD"/>
        </w:rPr>
        <w:t>и</w:t>
      </w:r>
      <w:r w:rsidRPr="00EF1B38">
        <w:rPr>
          <w:rFonts w:asciiTheme="majorHAnsi" w:eastAsia="Times New Roman" w:hAnsiTheme="majorHAnsi" w:cstheme="majorHAnsi"/>
          <w:sz w:val="24"/>
          <w:szCs w:val="24"/>
          <w:lang w:val="ru-MD"/>
        </w:rPr>
        <w:t xml:space="preserve"> в 18 случаях (5,8%) - происхождение импортируемых товаров </w:t>
      </w:r>
      <w:r w:rsidR="00E37A48" w:rsidRPr="00EF1B38">
        <w:rPr>
          <w:rFonts w:asciiTheme="majorHAnsi" w:eastAsia="Times New Roman" w:hAnsiTheme="majorHAnsi" w:cstheme="majorHAnsi"/>
          <w:sz w:val="24"/>
          <w:szCs w:val="24"/>
          <w:lang w:val="ru-MD"/>
        </w:rPr>
        <w:t xml:space="preserve">частично </w:t>
      </w:r>
      <w:r w:rsidRPr="00EF1B38">
        <w:rPr>
          <w:rFonts w:asciiTheme="majorHAnsi" w:eastAsia="Times New Roman" w:hAnsiTheme="majorHAnsi" w:cstheme="majorHAnsi"/>
          <w:sz w:val="24"/>
          <w:szCs w:val="24"/>
          <w:lang w:val="ru-MD"/>
        </w:rPr>
        <w:t>подтверждено. Таким образом, таможенн</w:t>
      </w:r>
      <w:r w:rsidR="00E37A48" w:rsidRPr="00EF1B38">
        <w:rPr>
          <w:rFonts w:asciiTheme="majorHAnsi" w:eastAsia="Times New Roman" w:hAnsiTheme="majorHAnsi" w:cstheme="majorHAnsi"/>
          <w:sz w:val="24"/>
          <w:szCs w:val="24"/>
          <w:lang w:val="ru-MD"/>
        </w:rPr>
        <w:t>ому</w:t>
      </w:r>
      <w:r w:rsidRPr="00EF1B38">
        <w:rPr>
          <w:rFonts w:asciiTheme="majorHAnsi" w:eastAsia="Times New Roman" w:hAnsiTheme="majorHAnsi" w:cstheme="majorHAnsi"/>
          <w:sz w:val="24"/>
          <w:szCs w:val="24"/>
          <w:lang w:val="ru-MD"/>
        </w:rPr>
        <w:t xml:space="preserve"> орган</w:t>
      </w:r>
      <w:r w:rsidR="00E37A48" w:rsidRPr="00EF1B38">
        <w:rPr>
          <w:rFonts w:asciiTheme="majorHAnsi" w:eastAsia="Times New Roman" w:hAnsiTheme="majorHAnsi" w:cstheme="majorHAnsi"/>
          <w:sz w:val="24"/>
          <w:szCs w:val="24"/>
          <w:lang w:val="ru-MD"/>
        </w:rPr>
        <w:t>у</w:t>
      </w:r>
      <w:r w:rsidRPr="00EF1B38">
        <w:rPr>
          <w:rFonts w:asciiTheme="majorHAnsi" w:eastAsia="Times New Roman" w:hAnsiTheme="majorHAnsi" w:cstheme="majorHAnsi"/>
          <w:sz w:val="24"/>
          <w:szCs w:val="24"/>
          <w:lang w:val="ru-MD"/>
        </w:rPr>
        <w:t xml:space="preserve"> </w:t>
      </w:r>
      <w:r w:rsidR="00E37A48" w:rsidRPr="00EF1B38">
        <w:rPr>
          <w:rFonts w:asciiTheme="majorHAnsi" w:eastAsia="Times New Roman" w:hAnsiTheme="majorHAnsi" w:cstheme="majorHAnsi"/>
          <w:sz w:val="24"/>
          <w:szCs w:val="24"/>
          <w:lang w:val="ru-MD"/>
        </w:rPr>
        <w:t>необходимо</w:t>
      </w:r>
      <w:r w:rsidRPr="00EF1B38">
        <w:rPr>
          <w:rFonts w:asciiTheme="majorHAnsi" w:eastAsia="Times New Roman" w:hAnsiTheme="majorHAnsi" w:cstheme="majorHAnsi"/>
          <w:sz w:val="24"/>
          <w:szCs w:val="24"/>
          <w:lang w:val="ru-MD"/>
        </w:rPr>
        <w:t xml:space="preserve"> </w:t>
      </w:r>
      <w:r w:rsidR="00E37A48" w:rsidRPr="00EF1B38">
        <w:rPr>
          <w:rFonts w:asciiTheme="majorHAnsi" w:eastAsia="Times New Roman" w:hAnsiTheme="majorHAnsi" w:cstheme="majorHAnsi"/>
          <w:sz w:val="24"/>
          <w:szCs w:val="24"/>
          <w:lang w:val="ru-MD"/>
        </w:rPr>
        <w:t>усили</w:t>
      </w:r>
      <w:r w:rsidRPr="00EF1B38">
        <w:rPr>
          <w:rFonts w:asciiTheme="majorHAnsi" w:eastAsia="Times New Roman" w:hAnsiTheme="majorHAnsi" w:cstheme="majorHAnsi"/>
          <w:sz w:val="24"/>
          <w:szCs w:val="24"/>
          <w:lang w:val="ru-MD"/>
        </w:rPr>
        <w:t xml:space="preserve">ть меры </w:t>
      </w:r>
      <w:r w:rsidR="00E37A48" w:rsidRPr="00EF1B38">
        <w:rPr>
          <w:rFonts w:asciiTheme="majorHAnsi" w:eastAsia="Times New Roman" w:hAnsiTheme="majorHAnsi" w:cstheme="majorHAnsi"/>
          <w:sz w:val="24"/>
          <w:szCs w:val="24"/>
          <w:lang w:val="ru-MD"/>
        </w:rPr>
        <w:t xml:space="preserve">посттаможенного </w:t>
      </w:r>
      <w:r w:rsidRPr="00EF1B38">
        <w:rPr>
          <w:rFonts w:asciiTheme="majorHAnsi" w:eastAsia="Times New Roman" w:hAnsiTheme="majorHAnsi" w:cstheme="majorHAnsi"/>
          <w:sz w:val="24"/>
          <w:szCs w:val="24"/>
          <w:lang w:val="ru-MD"/>
        </w:rPr>
        <w:t>контроля для подтверждения соответствия сертификата происхождения, представленного таможенному органу для импорт</w:t>
      </w:r>
      <w:r w:rsidR="00E37A48" w:rsidRPr="00EF1B38">
        <w:rPr>
          <w:rFonts w:asciiTheme="majorHAnsi" w:eastAsia="Times New Roman" w:hAnsiTheme="majorHAnsi" w:cstheme="majorHAnsi"/>
          <w:sz w:val="24"/>
          <w:szCs w:val="24"/>
          <w:lang w:val="ru-MD"/>
        </w:rPr>
        <w:t>ируем</w:t>
      </w:r>
      <w:r w:rsidRPr="00EF1B38">
        <w:rPr>
          <w:rFonts w:asciiTheme="majorHAnsi" w:eastAsia="Times New Roman" w:hAnsiTheme="majorHAnsi" w:cstheme="majorHAnsi"/>
          <w:sz w:val="24"/>
          <w:szCs w:val="24"/>
          <w:lang w:val="ru-MD"/>
        </w:rPr>
        <w:t>ых товаров</w:t>
      </w:r>
      <w:r w:rsidR="002B5970" w:rsidRPr="00EF1B38">
        <w:rPr>
          <w:rFonts w:asciiTheme="majorHAnsi" w:eastAsia="Times New Roman" w:hAnsiTheme="majorHAnsi" w:cstheme="majorHAnsi"/>
          <w:sz w:val="24"/>
          <w:szCs w:val="24"/>
          <w:lang w:val="ru-MD"/>
        </w:rPr>
        <w:t>.</w:t>
      </w:r>
      <w:r w:rsidR="00B3263D" w:rsidRPr="00EF1B38">
        <w:rPr>
          <w:rFonts w:asciiTheme="majorHAnsi" w:eastAsia="Times New Roman" w:hAnsiTheme="majorHAnsi" w:cstheme="majorHAnsi"/>
          <w:sz w:val="24"/>
          <w:szCs w:val="24"/>
          <w:lang w:val="ru-MD"/>
        </w:rPr>
        <w:t xml:space="preserve">  </w:t>
      </w:r>
    </w:p>
    <w:p w14:paraId="466E3034" w14:textId="5DB823A4" w:rsidR="005C6705" w:rsidRPr="00EF1B38" w:rsidRDefault="00A906E6" w:rsidP="002F384D">
      <w:pPr>
        <w:tabs>
          <w:tab w:val="left" w:pos="851"/>
          <w:tab w:val="left" w:pos="1134"/>
        </w:tabs>
        <w:spacing w:after="0"/>
        <w:contextualSpacing/>
        <w:jc w:val="both"/>
        <w:rPr>
          <w:rFonts w:asciiTheme="majorHAnsi" w:hAnsiTheme="majorHAnsi" w:cstheme="majorHAnsi"/>
          <w:sz w:val="24"/>
          <w:szCs w:val="24"/>
          <w:lang w:val="ru-MD"/>
        </w:rPr>
      </w:pPr>
      <w:r w:rsidRPr="00EF1B38">
        <w:rPr>
          <w:rFonts w:asciiTheme="majorHAnsi" w:hAnsiTheme="majorHAnsi" w:cstheme="majorHAnsi"/>
          <w:sz w:val="24"/>
          <w:szCs w:val="24"/>
          <w:lang w:val="ru-MD"/>
        </w:rPr>
        <w:t>В то же время, для улучшения таможенной деятельности и увеличения поступлений в государственный бюджет</w:t>
      </w:r>
      <w:r w:rsidR="003633A5" w:rsidRPr="00EF1B38">
        <w:rPr>
          <w:rFonts w:asciiTheme="majorHAnsi" w:hAnsiTheme="majorHAnsi" w:cstheme="majorHAnsi"/>
          <w:sz w:val="24"/>
          <w:szCs w:val="24"/>
          <w:lang w:val="ru-MD"/>
        </w:rPr>
        <w:t>,</w:t>
      </w:r>
      <w:r w:rsidRPr="00EF1B38">
        <w:rPr>
          <w:rFonts w:asciiTheme="majorHAnsi" w:hAnsiTheme="majorHAnsi" w:cstheme="majorHAnsi"/>
          <w:sz w:val="24"/>
          <w:szCs w:val="24"/>
          <w:lang w:val="ru-MD"/>
        </w:rPr>
        <w:t xml:space="preserve"> необходимо минимизировать таможенную декларацию в деталях отобранн</w:t>
      </w:r>
      <w:r w:rsidR="003633A5" w:rsidRPr="00EF1B38">
        <w:rPr>
          <w:rFonts w:asciiTheme="majorHAnsi" w:hAnsiTheme="majorHAnsi" w:cstheme="majorHAnsi"/>
          <w:sz w:val="24"/>
          <w:szCs w:val="24"/>
          <w:lang w:val="ru-MD"/>
        </w:rPr>
        <w:t>ую</w:t>
      </w:r>
      <w:r w:rsidRPr="00EF1B38">
        <w:rPr>
          <w:rFonts w:asciiTheme="majorHAnsi" w:hAnsiTheme="majorHAnsi" w:cstheme="majorHAnsi"/>
          <w:sz w:val="24"/>
          <w:szCs w:val="24"/>
          <w:lang w:val="ru-MD"/>
        </w:rPr>
        <w:t xml:space="preserve"> на основе критериев потенциального риска </w:t>
      </w:r>
      <w:r w:rsidR="003633A5" w:rsidRPr="00EF1B38">
        <w:rPr>
          <w:rFonts w:asciiTheme="majorHAnsi" w:hAnsiTheme="majorHAnsi" w:cstheme="majorHAnsi"/>
          <w:sz w:val="24"/>
          <w:szCs w:val="24"/>
          <w:lang w:val="ru-MD"/>
        </w:rPr>
        <w:t>за</w:t>
      </w:r>
      <w:r w:rsidRPr="00EF1B38">
        <w:rPr>
          <w:rFonts w:asciiTheme="majorHAnsi" w:hAnsiTheme="majorHAnsi" w:cstheme="majorHAnsi"/>
          <w:sz w:val="24"/>
          <w:szCs w:val="24"/>
          <w:lang w:val="ru-MD"/>
        </w:rPr>
        <w:t xml:space="preserve">нижения таможенной стоимости импортируемых товаров, путем пересмотра критериев </w:t>
      </w:r>
      <w:r w:rsidR="003633A5" w:rsidRPr="00EF1B38">
        <w:rPr>
          <w:rFonts w:asciiTheme="majorHAnsi" w:hAnsiTheme="majorHAnsi" w:cstheme="majorHAnsi"/>
          <w:sz w:val="24"/>
          <w:szCs w:val="24"/>
          <w:lang w:val="ru-MD"/>
        </w:rPr>
        <w:t>отбора</w:t>
      </w:r>
      <w:r w:rsidRPr="00EF1B38">
        <w:rPr>
          <w:rFonts w:asciiTheme="majorHAnsi" w:hAnsiTheme="majorHAnsi" w:cstheme="majorHAnsi"/>
          <w:sz w:val="24"/>
          <w:szCs w:val="24"/>
          <w:lang w:val="ru-MD"/>
        </w:rPr>
        <w:t xml:space="preserve"> и модуля </w:t>
      </w:r>
      <w:r w:rsidR="003633A5" w:rsidRPr="00EF1B38">
        <w:rPr>
          <w:rFonts w:asciiTheme="majorHAnsi" w:hAnsiTheme="majorHAnsi" w:cstheme="majorHAnsi"/>
          <w:sz w:val="24"/>
          <w:szCs w:val="24"/>
          <w:lang w:val="ru-MD"/>
        </w:rPr>
        <w:t>„Т</w:t>
      </w:r>
      <w:r w:rsidRPr="00EF1B38">
        <w:rPr>
          <w:rFonts w:asciiTheme="majorHAnsi" w:hAnsiTheme="majorHAnsi" w:cstheme="majorHAnsi"/>
          <w:sz w:val="24"/>
          <w:szCs w:val="24"/>
          <w:lang w:val="ru-MD"/>
        </w:rPr>
        <w:t>аможенная стоимость</w:t>
      </w:r>
      <w:r w:rsidR="003633A5" w:rsidRPr="00EF1B38">
        <w:rPr>
          <w:rFonts w:asciiTheme="majorHAnsi" w:hAnsiTheme="majorHAnsi" w:cstheme="majorHAnsi"/>
          <w:sz w:val="24"/>
          <w:szCs w:val="24"/>
          <w:lang w:val="ru-MD"/>
        </w:rPr>
        <w:t>”,</w:t>
      </w:r>
      <w:r w:rsidRPr="00EF1B38">
        <w:rPr>
          <w:rFonts w:asciiTheme="majorHAnsi" w:hAnsiTheme="majorHAnsi" w:cstheme="majorHAnsi"/>
          <w:sz w:val="24"/>
          <w:szCs w:val="24"/>
          <w:lang w:val="ru-MD"/>
        </w:rPr>
        <w:t xml:space="preserve"> для </w:t>
      </w:r>
      <w:r w:rsidR="003633A5" w:rsidRPr="00EF1B38">
        <w:rPr>
          <w:rFonts w:asciiTheme="majorHAnsi" w:hAnsiTheme="majorHAnsi" w:cstheme="majorHAnsi"/>
          <w:sz w:val="24"/>
          <w:szCs w:val="24"/>
          <w:lang w:val="ru-MD"/>
        </w:rPr>
        <w:t>от</w:t>
      </w:r>
      <w:r w:rsidRPr="00EF1B38">
        <w:rPr>
          <w:rFonts w:asciiTheme="majorHAnsi" w:hAnsiTheme="majorHAnsi" w:cstheme="majorHAnsi"/>
          <w:sz w:val="24"/>
          <w:szCs w:val="24"/>
          <w:lang w:val="ru-MD"/>
        </w:rPr>
        <w:t>бора сделок со средним и высоким риском</w:t>
      </w:r>
      <w:r w:rsidR="00BA5A24" w:rsidRPr="00EF1B38">
        <w:rPr>
          <w:rFonts w:asciiTheme="majorHAnsi" w:hAnsiTheme="majorHAnsi" w:cstheme="majorHAnsi"/>
          <w:sz w:val="24"/>
          <w:szCs w:val="24"/>
          <w:lang w:val="ru-MD"/>
        </w:rPr>
        <w:t>.</w:t>
      </w:r>
    </w:p>
    <w:p w14:paraId="0C3C0FA3" w14:textId="77777777" w:rsidR="005C6705" w:rsidRPr="00B20FBD" w:rsidRDefault="005C6705" w:rsidP="00BB44F2">
      <w:pPr>
        <w:tabs>
          <w:tab w:val="left" w:pos="851"/>
          <w:tab w:val="left" w:pos="1134"/>
        </w:tabs>
        <w:spacing w:after="0"/>
        <w:ind w:firstLine="567"/>
        <w:contextualSpacing/>
        <w:jc w:val="both"/>
        <w:rPr>
          <w:rFonts w:asciiTheme="majorHAnsi" w:hAnsiTheme="majorHAnsi" w:cstheme="majorHAnsi"/>
          <w:sz w:val="24"/>
          <w:szCs w:val="24"/>
          <w:lang w:val="ro-RO"/>
        </w:rPr>
      </w:pPr>
    </w:p>
    <w:p w14:paraId="7730A466" w14:textId="41DA8AEE" w:rsidR="004374F3" w:rsidRPr="007202AA" w:rsidRDefault="005F3BCB" w:rsidP="00BB44F2">
      <w:pPr>
        <w:spacing w:after="0"/>
        <w:ind w:firstLine="567"/>
        <w:jc w:val="both"/>
        <w:outlineLvl w:val="1"/>
        <w:rPr>
          <w:rFonts w:asciiTheme="majorHAnsi" w:hAnsiTheme="majorHAnsi" w:cstheme="majorHAnsi"/>
          <w:b/>
          <w:sz w:val="24"/>
          <w:szCs w:val="24"/>
          <w:lang w:val="ru-MD"/>
        </w:rPr>
      </w:pPr>
      <w:bookmarkStart w:id="57" w:name="_Toc127129411"/>
      <w:r w:rsidRPr="00B20FBD">
        <w:rPr>
          <w:rFonts w:asciiTheme="majorHAnsi" w:hAnsiTheme="majorHAnsi" w:cstheme="majorHAnsi"/>
          <w:b/>
          <w:sz w:val="24"/>
          <w:szCs w:val="24"/>
          <w:lang w:val="ro-RO"/>
        </w:rPr>
        <w:t>4.</w:t>
      </w:r>
      <w:r w:rsidR="004374F3" w:rsidRPr="00B20FBD">
        <w:rPr>
          <w:rFonts w:asciiTheme="majorHAnsi" w:hAnsiTheme="majorHAnsi" w:cstheme="majorHAnsi"/>
          <w:b/>
          <w:sz w:val="24"/>
          <w:szCs w:val="24"/>
          <w:lang w:val="ro-RO"/>
        </w:rPr>
        <w:t>3.</w:t>
      </w:r>
      <w:r w:rsidR="006D64A7" w:rsidRPr="00B20FBD">
        <w:rPr>
          <w:rFonts w:asciiTheme="majorHAnsi" w:hAnsiTheme="majorHAnsi" w:cstheme="majorHAnsi"/>
          <w:b/>
          <w:sz w:val="24"/>
          <w:szCs w:val="24"/>
          <w:lang w:val="ro-RO"/>
        </w:rPr>
        <w:t>3</w:t>
      </w:r>
      <w:r w:rsidR="004374F3" w:rsidRPr="00B20FBD">
        <w:rPr>
          <w:rFonts w:asciiTheme="majorHAnsi" w:hAnsiTheme="majorHAnsi" w:cstheme="majorHAnsi"/>
          <w:b/>
          <w:sz w:val="24"/>
          <w:szCs w:val="24"/>
          <w:lang w:val="ro-RO"/>
        </w:rPr>
        <w:t>.</w:t>
      </w:r>
      <w:r w:rsidR="00BB44F2" w:rsidRPr="00B20FBD">
        <w:rPr>
          <w:rFonts w:asciiTheme="majorHAnsi" w:hAnsiTheme="majorHAnsi" w:cstheme="majorHAnsi"/>
          <w:b/>
          <w:sz w:val="24"/>
          <w:szCs w:val="24"/>
          <w:lang w:val="ro-RO"/>
        </w:rPr>
        <w:t xml:space="preserve"> </w:t>
      </w:r>
      <w:r w:rsidR="00D15E81" w:rsidRPr="007202AA">
        <w:rPr>
          <w:rFonts w:asciiTheme="majorHAnsi" w:hAnsiTheme="majorHAnsi" w:cstheme="majorHAnsi"/>
          <w:b/>
          <w:sz w:val="24"/>
          <w:szCs w:val="24"/>
          <w:lang w:val="ru-MD"/>
        </w:rPr>
        <w:t>Некоторые сделки с нефтепродуктами не прозрачны, таможенная стоимость за</w:t>
      </w:r>
      <w:r w:rsidR="001556F9" w:rsidRPr="007202AA">
        <w:rPr>
          <w:rFonts w:asciiTheme="majorHAnsi" w:hAnsiTheme="majorHAnsi" w:cstheme="majorHAnsi"/>
          <w:b/>
          <w:sz w:val="24"/>
          <w:szCs w:val="24"/>
          <w:lang w:val="ru-MD"/>
        </w:rPr>
        <w:t>декларирова</w:t>
      </w:r>
      <w:r w:rsidR="00D15E81" w:rsidRPr="007202AA">
        <w:rPr>
          <w:rFonts w:asciiTheme="majorHAnsi" w:hAnsiTheme="majorHAnsi" w:cstheme="majorHAnsi"/>
          <w:b/>
          <w:sz w:val="24"/>
          <w:szCs w:val="24"/>
          <w:lang w:val="ru-MD"/>
        </w:rPr>
        <w:t>нного товара варьирует в зависимости от страны сделки, а импорт монополизир</w:t>
      </w:r>
      <w:r w:rsidR="001556F9" w:rsidRPr="007202AA">
        <w:rPr>
          <w:rFonts w:asciiTheme="majorHAnsi" w:hAnsiTheme="majorHAnsi" w:cstheme="majorHAnsi"/>
          <w:b/>
          <w:sz w:val="24"/>
          <w:szCs w:val="24"/>
          <w:lang w:val="ru-MD"/>
        </w:rPr>
        <w:t>ован</w:t>
      </w:r>
      <w:r w:rsidR="00D15E81" w:rsidRPr="007202AA">
        <w:rPr>
          <w:rFonts w:asciiTheme="majorHAnsi" w:hAnsiTheme="majorHAnsi" w:cstheme="majorHAnsi"/>
          <w:b/>
          <w:sz w:val="24"/>
          <w:szCs w:val="24"/>
          <w:lang w:val="ru-MD"/>
        </w:rPr>
        <w:t xml:space="preserve"> тремя экономическими агентами</w:t>
      </w:r>
      <w:r w:rsidR="001556F9" w:rsidRPr="007202AA">
        <w:rPr>
          <w:rFonts w:asciiTheme="majorHAnsi" w:hAnsiTheme="majorHAnsi" w:cstheme="majorHAnsi"/>
          <w:b/>
          <w:sz w:val="24"/>
          <w:szCs w:val="24"/>
          <w:lang w:val="ru-MD"/>
        </w:rPr>
        <w:t>-резидентами.</w:t>
      </w:r>
      <w:bookmarkEnd w:id="57"/>
      <w:r w:rsidR="001556F9" w:rsidRPr="007202AA">
        <w:rPr>
          <w:rFonts w:asciiTheme="majorHAnsi" w:hAnsiTheme="majorHAnsi" w:cstheme="majorHAnsi"/>
          <w:b/>
          <w:sz w:val="24"/>
          <w:szCs w:val="24"/>
          <w:lang w:val="ru-MD"/>
        </w:rPr>
        <w:t xml:space="preserve"> </w:t>
      </w:r>
      <w:r w:rsidR="00D15E81" w:rsidRPr="007202AA">
        <w:rPr>
          <w:rFonts w:asciiTheme="majorHAnsi" w:hAnsiTheme="majorHAnsi" w:cstheme="majorHAnsi"/>
          <w:b/>
          <w:sz w:val="24"/>
          <w:szCs w:val="24"/>
          <w:lang w:val="ru-MD"/>
        </w:rPr>
        <w:t xml:space="preserve"> </w:t>
      </w:r>
    </w:p>
    <w:p w14:paraId="7D676D89" w14:textId="2E3EE8F5" w:rsidR="00B46454" w:rsidRPr="007202AA" w:rsidRDefault="00830947" w:rsidP="003B3D3B">
      <w:pPr>
        <w:spacing w:after="120"/>
        <w:jc w:val="both"/>
        <w:rPr>
          <w:rFonts w:asciiTheme="majorHAnsi" w:hAnsiTheme="majorHAnsi" w:cstheme="majorHAnsi"/>
          <w:sz w:val="24"/>
          <w:szCs w:val="24"/>
          <w:lang w:val="ru-MD"/>
        </w:rPr>
      </w:pPr>
      <w:r w:rsidRPr="007202AA">
        <w:rPr>
          <w:rFonts w:asciiTheme="majorHAnsi" w:hAnsiTheme="majorHAnsi" w:cstheme="majorHAnsi"/>
          <w:sz w:val="24"/>
          <w:szCs w:val="24"/>
          <w:lang w:val="ru-MD"/>
        </w:rPr>
        <w:t>Согласно</w:t>
      </w:r>
      <w:r w:rsidR="00D15E81" w:rsidRPr="007202AA">
        <w:rPr>
          <w:rFonts w:asciiTheme="majorHAnsi" w:hAnsiTheme="majorHAnsi" w:cstheme="majorHAnsi"/>
          <w:sz w:val="24"/>
          <w:szCs w:val="24"/>
          <w:lang w:val="ru-MD"/>
        </w:rPr>
        <w:t xml:space="preserve"> данным </w:t>
      </w:r>
      <w:r w:rsidRPr="007202AA">
        <w:rPr>
          <w:rFonts w:asciiTheme="majorHAnsi" w:hAnsiTheme="majorHAnsi" w:cstheme="majorHAnsi"/>
          <w:sz w:val="24"/>
          <w:szCs w:val="24"/>
          <w:lang w:val="ru-MD"/>
        </w:rPr>
        <w:t>из ТИИС</w:t>
      </w:r>
      <w:r w:rsidR="00D15E81" w:rsidRPr="007202AA">
        <w:rPr>
          <w:rFonts w:asciiTheme="majorHAnsi" w:hAnsiTheme="majorHAnsi" w:cstheme="majorHAnsi"/>
          <w:sz w:val="24"/>
          <w:szCs w:val="24"/>
          <w:lang w:val="ru-MD"/>
        </w:rPr>
        <w:t xml:space="preserve"> „Asycuda World”, в 2020 году было импортировано 778,4 тыс. тонн нефтепродуктов</w:t>
      </w:r>
      <w:r w:rsidRPr="007202AA">
        <w:rPr>
          <w:rStyle w:val="FootnoteReference"/>
          <w:rFonts w:asciiTheme="majorHAnsi" w:hAnsiTheme="majorHAnsi" w:cstheme="majorHAnsi"/>
          <w:sz w:val="24"/>
          <w:szCs w:val="24"/>
          <w:lang w:val="ru-MD"/>
        </w:rPr>
        <w:footnoteReference w:id="57"/>
      </w:r>
      <w:r w:rsidRPr="007202AA">
        <w:rPr>
          <w:rFonts w:asciiTheme="majorHAnsi" w:hAnsiTheme="majorHAnsi" w:cstheme="majorHAnsi"/>
          <w:sz w:val="24"/>
          <w:szCs w:val="24"/>
          <w:lang w:val="ru-MD"/>
        </w:rPr>
        <w:t xml:space="preserve"> </w:t>
      </w:r>
      <w:r w:rsidR="00D15E81" w:rsidRPr="007202AA">
        <w:rPr>
          <w:rFonts w:asciiTheme="majorHAnsi" w:hAnsiTheme="majorHAnsi" w:cstheme="majorHAnsi"/>
          <w:sz w:val="24"/>
          <w:szCs w:val="24"/>
          <w:lang w:val="ru-MD"/>
        </w:rPr>
        <w:t xml:space="preserve"> со стоимостью товара в сумме 5,7 млрд.</w:t>
      </w:r>
      <w:r w:rsidRPr="007202AA">
        <w:rPr>
          <w:rFonts w:asciiTheme="majorHAnsi" w:hAnsiTheme="majorHAnsi" w:cstheme="majorHAnsi"/>
          <w:sz w:val="24"/>
          <w:szCs w:val="24"/>
          <w:lang w:val="ru-MD"/>
        </w:rPr>
        <w:t xml:space="preserve"> леев, с </w:t>
      </w:r>
      <w:r w:rsidR="00D15E81" w:rsidRPr="007202AA">
        <w:rPr>
          <w:rFonts w:asciiTheme="majorHAnsi" w:hAnsiTheme="majorHAnsi" w:cstheme="majorHAnsi"/>
          <w:sz w:val="24"/>
          <w:szCs w:val="24"/>
          <w:lang w:val="ru-MD"/>
        </w:rPr>
        <w:t>взима</w:t>
      </w:r>
      <w:r w:rsidRPr="007202AA">
        <w:rPr>
          <w:rFonts w:asciiTheme="majorHAnsi" w:hAnsiTheme="majorHAnsi" w:cstheme="majorHAnsi"/>
          <w:sz w:val="24"/>
          <w:szCs w:val="24"/>
          <w:lang w:val="ru-MD"/>
        </w:rPr>
        <w:t>нием</w:t>
      </w:r>
      <w:r w:rsidR="00D15E81" w:rsidRPr="007202AA">
        <w:rPr>
          <w:rFonts w:asciiTheme="majorHAnsi" w:hAnsiTheme="majorHAnsi" w:cstheme="majorHAnsi"/>
          <w:sz w:val="24"/>
          <w:szCs w:val="24"/>
          <w:lang w:val="ru-MD"/>
        </w:rPr>
        <w:t xml:space="preserve"> акциз</w:t>
      </w:r>
      <w:r w:rsidRPr="007202AA">
        <w:rPr>
          <w:rFonts w:asciiTheme="majorHAnsi" w:hAnsiTheme="majorHAnsi" w:cstheme="majorHAnsi"/>
          <w:sz w:val="24"/>
          <w:szCs w:val="24"/>
          <w:lang w:val="ru-MD"/>
        </w:rPr>
        <w:t>ов</w:t>
      </w:r>
      <w:r w:rsidR="00D15E81" w:rsidRPr="007202AA">
        <w:rPr>
          <w:rFonts w:asciiTheme="majorHAnsi" w:hAnsiTheme="majorHAnsi" w:cstheme="majorHAnsi"/>
          <w:sz w:val="24"/>
          <w:szCs w:val="24"/>
          <w:lang w:val="ru-MD"/>
        </w:rPr>
        <w:t xml:space="preserve"> в размере 2,5 млрд. леев. Также</w:t>
      </w:r>
      <w:r w:rsidRPr="007202AA">
        <w:rPr>
          <w:rFonts w:asciiTheme="majorHAnsi" w:hAnsiTheme="majorHAnsi" w:cstheme="majorHAnsi"/>
          <w:sz w:val="24"/>
          <w:szCs w:val="24"/>
          <w:lang w:val="ru-MD"/>
        </w:rPr>
        <w:t>,</w:t>
      </w:r>
      <w:r w:rsidR="00D15E81" w:rsidRPr="007202AA">
        <w:rPr>
          <w:rFonts w:asciiTheme="majorHAnsi" w:hAnsiTheme="majorHAnsi" w:cstheme="majorHAnsi"/>
          <w:sz w:val="24"/>
          <w:szCs w:val="24"/>
          <w:lang w:val="ru-MD"/>
        </w:rPr>
        <w:t xml:space="preserve"> в 2021 году было импортировано 868,7 тыс. тонн нефтепродуктов</w:t>
      </w:r>
      <w:r w:rsidRPr="007202AA">
        <w:rPr>
          <w:rStyle w:val="FootnoteReference"/>
          <w:rFonts w:asciiTheme="majorHAnsi" w:hAnsiTheme="majorHAnsi" w:cstheme="majorHAnsi"/>
          <w:sz w:val="24"/>
          <w:szCs w:val="24"/>
          <w:lang w:val="ru-MD"/>
        </w:rPr>
        <w:footnoteReference w:id="58"/>
      </w:r>
      <w:r w:rsidR="00D15E81" w:rsidRPr="007202AA">
        <w:rPr>
          <w:rFonts w:asciiTheme="majorHAnsi" w:hAnsiTheme="majorHAnsi" w:cstheme="majorHAnsi"/>
          <w:sz w:val="24"/>
          <w:szCs w:val="24"/>
          <w:lang w:val="ru-MD"/>
        </w:rPr>
        <w:t xml:space="preserve"> с</w:t>
      </w:r>
      <w:r w:rsidRPr="007202AA">
        <w:rPr>
          <w:rFonts w:asciiTheme="majorHAnsi" w:hAnsiTheme="majorHAnsi" w:cstheme="majorHAnsi"/>
          <w:sz w:val="24"/>
          <w:szCs w:val="24"/>
          <w:lang w:val="ru-MD"/>
        </w:rPr>
        <w:t>о</w:t>
      </w:r>
      <w:r w:rsidR="00D15E81" w:rsidRPr="007202AA">
        <w:rPr>
          <w:rFonts w:asciiTheme="majorHAnsi" w:hAnsiTheme="majorHAnsi" w:cstheme="majorHAnsi"/>
          <w:sz w:val="24"/>
          <w:szCs w:val="24"/>
          <w:lang w:val="ru-MD"/>
        </w:rPr>
        <w:t xml:space="preserve"> стоимостью </w:t>
      </w:r>
      <w:r w:rsidRPr="007202AA">
        <w:rPr>
          <w:rFonts w:asciiTheme="majorHAnsi" w:hAnsiTheme="majorHAnsi" w:cstheme="majorHAnsi"/>
          <w:sz w:val="24"/>
          <w:szCs w:val="24"/>
          <w:lang w:val="ru-MD"/>
        </w:rPr>
        <w:t xml:space="preserve">товара </w:t>
      </w:r>
      <w:r w:rsidR="00D15E81" w:rsidRPr="007202AA">
        <w:rPr>
          <w:rFonts w:asciiTheme="majorHAnsi" w:hAnsiTheme="majorHAnsi" w:cstheme="majorHAnsi"/>
          <w:sz w:val="24"/>
          <w:szCs w:val="24"/>
          <w:lang w:val="ru-MD"/>
        </w:rPr>
        <w:t xml:space="preserve">10,1 млрд. леев, </w:t>
      </w:r>
      <w:r w:rsidR="007202AA" w:rsidRPr="007202AA">
        <w:rPr>
          <w:rFonts w:asciiTheme="majorHAnsi" w:hAnsiTheme="majorHAnsi" w:cstheme="majorHAnsi"/>
          <w:sz w:val="24"/>
          <w:szCs w:val="24"/>
          <w:lang w:val="ru-MD"/>
        </w:rPr>
        <w:t xml:space="preserve">с </w:t>
      </w:r>
      <w:r w:rsidR="00D15E81" w:rsidRPr="007202AA">
        <w:rPr>
          <w:rFonts w:asciiTheme="majorHAnsi" w:hAnsiTheme="majorHAnsi" w:cstheme="majorHAnsi"/>
          <w:sz w:val="24"/>
          <w:szCs w:val="24"/>
          <w:lang w:val="ru-MD"/>
        </w:rPr>
        <w:t>взима</w:t>
      </w:r>
      <w:r w:rsidR="007202AA" w:rsidRPr="007202AA">
        <w:rPr>
          <w:rFonts w:asciiTheme="majorHAnsi" w:hAnsiTheme="majorHAnsi" w:cstheme="majorHAnsi"/>
          <w:sz w:val="24"/>
          <w:szCs w:val="24"/>
          <w:lang w:val="ru-MD"/>
        </w:rPr>
        <w:t>нием</w:t>
      </w:r>
      <w:r w:rsidR="00D15E81" w:rsidRPr="007202AA">
        <w:rPr>
          <w:rFonts w:asciiTheme="majorHAnsi" w:hAnsiTheme="majorHAnsi" w:cstheme="majorHAnsi"/>
          <w:sz w:val="24"/>
          <w:szCs w:val="24"/>
          <w:lang w:val="ru-MD"/>
        </w:rPr>
        <w:t xml:space="preserve"> акциз</w:t>
      </w:r>
      <w:r w:rsidR="007202AA" w:rsidRPr="007202AA">
        <w:rPr>
          <w:rFonts w:asciiTheme="majorHAnsi" w:hAnsiTheme="majorHAnsi" w:cstheme="majorHAnsi"/>
          <w:sz w:val="24"/>
          <w:szCs w:val="24"/>
          <w:lang w:val="ru-MD"/>
        </w:rPr>
        <w:t>ов</w:t>
      </w:r>
      <w:r w:rsidR="00D15E81" w:rsidRPr="007202AA">
        <w:rPr>
          <w:rFonts w:asciiTheme="majorHAnsi" w:hAnsiTheme="majorHAnsi" w:cstheme="majorHAnsi"/>
          <w:sz w:val="24"/>
          <w:szCs w:val="24"/>
          <w:lang w:val="ru-MD"/>
        </w:rPr>
        <w:t xml:space="preserve"> в размере 2,9 млрд. леев. </w:t>
      </w:r>
      <w:r w:rsidR="007202AA" w:rsidRPr="007202AA">
        <w:rPr>
          <w:rFonts w:asciiTheme="majorHAnsi" w:hAnsiTheme="majorHAnsi" w:cstheme="majorHAnsi"/>
          <w:sz w:val="24"/>
          <w:szCs w:val="24"/>
          <w:lang w:val="ru-MD"/>
        </w:rPr>
        <w:t>Необходимо</w:t>
      </w:r>
      <w:r w:rsidR="00D15E81" w:rsidRPr="007202AA">
        <w:rPr>
          <w:rFonts w:asciiTheme="majorHAnsi" w:hAnsiTheme="majorHAnsi" w:cstheme="majorHAnsi"/>
          <w:sz w:val="24"/>
          <w:szCs w:val="24"/>
          <w:lang w:val="ru-MD"/>
        </w:rPr>
        <w:t xml:space="preserve"> отметить, что в 2021 году импорт вырос по сравнению с предыдущим годом на 90,3 тыс. тонн, стоимость товара</w:t>
      </w:r>
      <w:r w:rsidR="007202AA" w:rsidRPr="007202AA">
        <w:rPr>
          <w:rFonts w:asciiTheme="majorHAnsi" w:hAnsiTheme="majorHAnsi" w:cstheme="majorHAnsi"/>
          <w:sz w:val="24"/>
          <w:szCs w:val="24"/>
          <w:lang w:val="ru-MD"/>
        </w:rPr>
        <w:t xml:space="preserve"> </w:t>
      </w:r>
      <w:r w:rsidR="00D15E81" w:rsidRPr="007202AA">
        <w:rPr>
          <w:rFonts w:asciiTheme="majorHAnsi" w:hAnsiTheme="majorHAnsi" w:cstheme="majorHAnsi"/>
          <w:sz w:val="24"/>
          <w:szCs w:val="24"/>
          <w:lang w:val="ru-MD"/>
        </w:rPr>
        <w:t>-</w:t>
      </w:r>
      <w:r w:rsidR="007202AA" w:rsidRPr="007202AA">
        <w:rPr>
          <w:rFonts w:asciiTheme="majorHAnsi" w:hAnsiTheme="majorHAnsi" w:cstheme="majorHAnsi"/>
          <w:sz w:val="24"/>
          <w:szCs w:val="24"/>
          <w:lang w:val="ru-MD"/>
        </w:rPr>
        <w:t xml:space="preserve"> </w:t>
      </w:r>
      <w:r w:rsidR="00D15E81" w:rsidRPr="007202AA">
        <w:rPr>
          <w:rFonts w:asciiTheme="majorHAnsi" w:hAnsiTheme="majorHAnsi" w:cstheme="majorHAnsi"/>
          <w:sz w:val="24"/>
          <w:szCs w:val="24"/>
          <w:lang w:val="ru-MD"/>
        </w:rPr>
        <w:t>на 4,5 млрд.</w:t>
      </w:r>
      <w:r w:rsidR="007202AA" w:rsidRPr="007202AA">
        <w:rPr>
          <w:rFonts w:asciiTheme="majorHAnsi" w:hAnsiTheme="majorHAnsi" w:cstheme="majorHAnsi"/>
          <w:sz w:val="24"/>
          <w:szCs w:val="24"/>
          <w:lang w:val="ru-MD"/>
        </w:rPr>
        <w:t xml:space="preserve"> </w:t>
      </w:r>
      <w:r w:rsidR="00D15E81" w:rsidRPr="007202AA">
        <w:rPr>
          <w:rFonts w:asciiTheme="majorHAnsi" w:hAnsiTheme="majorHAnsi" w:cstheme="majorHAnsi"/>
          <w:sz w:val="24"/>
          <w:szCs w:val="24"/>
          <w:lang w:val="ru-MD"/>
        </w:rPr>
        <w:t xml:space="preserve">леев, а взимаемые акцизы – на 444,8 млн. леев. </w:t>
      </w:r>
    </w:p>
    <w:p w14:paraId="03E22326" w14:textId="07C744CB" w:rsidR="004374F3" w:rsidRPr="007202AA" w:rsidRDefault="007202AA" w:rsidP="003B3D3B">
      <w:pPr>
        <w:spacing w:after="120"/>
        <w:jc w:val="both"/>
        <w:rPr>
          <w:rFonts w:asciiTheme="majorHAnsi" w:hAnsiTheme="majorHAnsi" w:cstheme="majorHAnsi"/>
          <w:sz w:val="24"/>
          <w:szCs w:val="24"/>
          <w:lang w:val="ru-MD"/>
        </w:rPr>
      </w:pPr>
      <w:r w:rsidRPr="007202AA">
        <w:rPr>
          <w:rFonts w:asciiTheme="majorHAnsi" w:hAnsiTheme="majorHAnsi" w:cstheme="majorHAnsi"/>
          <w:sz w:val="24"/>
          <w:szCs w:val="24"/>
          <w:lang w:val="ru-MD"/>
        </w:rPr>
        <w:t>Отмечается</w:t>
      </w:r>
      <w:r w:rsidR="00D15E81" w:rsidRPr="007202AA">
        <w:rPr>
          <w:rFonts w:asciiTheme="majorHAnsi" w:hAnsiTheme="majorHAnsi" w:cstheme="majorHAnsi"/>
          <w:sz w:val="24"/>
          <w:szCs w:val="24"/>
          <w:lang w:val="ru-MD"/>
        </w:rPr>
        <w:t xml:space="preserve">, что 74% (172,3 тыс. тонн) импорта бензина, 56% (370,2 тыс. тонн) импорта дизельного топлива и 60% (24,9 тыс. тонн) Jet Fuel </w:t>
      </w:r>
      <w:r w:rsidRPr="007202AA">
        <w:rPr>
          <w:rFonts w:asciiTheme="majorHAnsi" w:hAnsiTheme="majorHAnsi" w:cstheme="majorHAnsi"/>
          <w:sz w:val="24"/>
          <w:szCs w:val="24"/>
          <w:lang w:val="ru-MD"/>
        </w:rPr>
        <w:t>А</w:t>
      </w:r>
      <w:r w:rsidR="00D15E81" w:rsidRPr="007202AA">
        <w:rPr>
          <w:rFonts w:asciiTheme="majorHAnsi" w:hAnsiTheme="majorHAnsi" w:cstheme="majorHAnsi"/>
          <w:sz w:val="24"/>
          <w:szCs w:val="24"/>
          <w:lang w:val="ru-MD"/>
        </w:rPr>
        <w:t xml:space="preserve"> 1 были импортированы из Румынии. В то же время</w:t>
      </w:r>
      <w:r w:rsidRPr="007202AA">
        <w:rPr>
          <w:rFonts w:asciiTheme="majorHAnsi" w:hAnsiTheme="majorHAnsi" w:cstheme="majorHAnsi"/>
          <w:sz w:val="24"/>
          <w:szCs w:val="24"/>
          <w:lang w:val="ru-MD"/>
        </w:rPr>
        <w:t>,</w:t>
      </w:r>
      <w:r w:rsidR="00D15E81" w:rsidRPr="007202AA">
        <w:rPr>
          <w:rFonts w:asciiTheme="majorHAnsi" w:hAnsiTheme="majorHAnsi" w:cstheme="majorHAnsi"/>
          <w:sz w:val="24"/>
          <w:szCs w:val="24"/>
          <w:lang w:val="ru-MD"/>
        </w:rPr>
        <w:t xml:space="preserve"> 26,0% (58,6 тыс. тонн) импорта бензина, 44% (284,8 тыс. тонн) импорта дизельного топлива и 40% (16,8 тыс. тонн) Jet Fuel </w:t>
      </w:r>
      <w:r w:rsidRPr="007202AA">
        <w:rPr>
          <w:rFonts w:asciiTheme="majorHAnsi" w:hAnsiTheme="majorHAnsi" w:cstheme="majorHAnsi"/>
          <w:sz w:val="24"/>
          <w:szCs w:val="24"/>
          <w:lang w:val="ru-MD"/>
        </w:rPr>
        <w:t>А</w:t>
      </w:r>
      <w:r w:rsidR="00D15E81" w:rsidRPr="007202AA">
        <w:rPr>
          <w:rFonts w:asciiTheme="majorHAnsi" w:hAnsiTheme="majorHAnsi" w:cstheme="majorHAnsi"/>
          <w:sz w:val="24"/>
          <w:szCs w:val="24"/>
          <w:lang w:val="ru-MD"/>
        </w:rPr>
        <w:t xml:space="preserve"> 1 были импортированы из Болгарии, Республики Беларусь и Российской Федерации. Рынок нефтепродуктов Республики Молдова принадлежит трем экономическим агентам-резидентам</w:t>
      </w:r>
      <w:r w:rsidRPr="007202AA">
        <w:rPr>
          <w:rStyle w:val="FootnoteReference"/>
          <w:rFonts w:asciiTheme="majorHAnsi" w:hAnsiTheme="majorHAnsi" w:cstheme="majorHAnsi"/>
          <w:sz w:val="24"/>
          <w:szCs w:val="24"/>
          <w:lang w:val="ru-MD"/>
        </w:rPr>
        <w:footnoteReference w:id="59"/>
      </w:r>
      <w:r w:rsidR="00D15E81" w:rsidRPr="007202AA">
        <w:rPr>
          <w:rFonts w:asciiTheme="majorHAnsi" w:hAnsiTheme="majorHAnsi" w:cstheme="majorHAnsi"/>
          <w:sz w:val="24"/>
          <w:szCs w:val="24"/>
          <w:lang w:val="ru-MD"/>
        </w:rPr>
        <w:t>, которые импортируют в</w:t>
      </w:r>
      <w:r w:rsidRPr="007202AA">
        <w:rPr>
          <w:rFonts w:asciiTheme="majorHAnsi" w:hAnsiTheme="majorHAnsi" w:cstheme="majorHAnsi"/>
          <w:sz w:val="24"/>
          <w:szCs w:val="24"/>
          <w:lang w:val="ru-MD"/>
        </w:rPr>
        <w:t>есь объем</w:t>
      </w:r>
      <w:r w:rsidR="00D15E81" w:rsidRPr="007202AA">
        <w:rPr>
          <w:rFonts w:asciiTheme="majorHAnsi" w:hAnsiTheme="majorHAnsi" w:cstheme="majorHAnsi"/>
          <w:sz w:val="24"/>
          <w:szCs w:val="24"/>
          <w:lang w:val="ru-MD"/>
        </w:rPr>
        <w:t xml:space="preserve"> нефтепродуктов</w:t>
      </w:r>
      <w:r w:rsidR="00C4098D" w:rsidRPr="007202AA">
        <w:rPr>
          <w:rFonts w:asciiTheme="majorHAnsi" w:hAnsiTheme="majorHAnsi" w:cstheme="majorHAnsi"/>
          <w:sz w:val="24"/>
          <w:szCs w:val="24"/>
          <w:lang w:val="ru-MD"/>
        </w:rPr>
        <w:t>.</w:t>
      </w:r>
    </w:p>
    <w:p w14:paraId="156B1E62" w14:textId="7616F4D9" w:rsidR="004374F3" w:rsidRPr="00DD254A" w:rsidRDefault="00D15E81" w:rsidP="003B3D3B">
      <w:pPr>
        <w:spacing w:after="120"/>
        <w:jc w:val="both"/>
        <w:rPr>
          <w:rFonts w:asciiTheme="majorHAnsi" w:eastAsia="Times New Roman" w:hAnsiTheme="majorHAnsi" w:cstheme="majorHAnsi"/>
          <w:sz w:val="24"/>
          <w:szCs w:val="24"/>
          <w:lang w:val="ru-MD" w:eastAsia="ru-RU"/>
        </w:rPr>
      </w:pPr>
      <w:r w:rsidRPr="00DD254A">
        <w:rPr>
          <w:rFonts w:asciiTheme="majorHAnsi" w:hAnsiTheme="majorHAnsi" w:cstheme="majorHAnsi"/>
          <w:sz w:val="24"/>
          <w:szCs w:val="24"/>
          <w:lang w:val="ru-MD"/>
        </w:rPr>
        <w:t xml:space="preserve">Аудиторский анализ операций по </w:t>
      </w:r>
      <w:r w:rsidR="007202AA" w:rsidRPr="00DD254A">
        <w:rPr>
          <w:rFonts w:asciiTheme="majorHAnsi" w:hAnsiTheme="majorHAnsi" w:cstheme="majorHAnsi"/>
          <w:sz w:val="24"/>
          <w:szCs w:val="24"/>
          <w:lang w:val="ru-MD"/>
        </w:rPr>
        <w:t>импорт</w:t>
      </w:r>
      <w:r w:rsidRPr="00DD254A">
        <w:rPr>
          <w:rFonts w:asciiTheme="majorHAnsi" w:hAnsiTheme="majorHAnsi" w:cstheme="majorHAnsi"/>
          <w:sz w:val="24"/>
          <w:szCs w:val="24"/>
          <w:lang w:val="ru-MD"/>
        </w:rPr>
        <w:t xml:space="preserve">у бензина </w:t>
      </w:r>
      <w:r w:rsidR="007202AA" w:rsidRPr="00DD254A">
        <w:rPr>
          <w:rFonts w:asciiTheme="majorHAnsi" w:hAnsiTheme="majorHAnsi" w:cstheme="majorHAnsi"/>
          <w:sz w:val="24"/>
          <w:szCs w:val="24"/>
          <w:lang w:val="ru-MD"/>
        </w:rPr>
        <w:t>за</w:t>
      </w:r>
      <w:r w:rsidRPr="00DD254A">
        <w:rPr>
          <w:rFonts w:asciiTheme="majorHAnsi" w:hAnsiTheme="majorHAnsi" w:cstheme="majorHAnsi"/>
          <w:sz w:val="24"/>
          <w:szCs w:val="24"/>
          <w:lang w:val="ru-MD"/>
        </w:rPr>
        <w:t xml:space="preserve"> 2020 год показ</w:t>
      </w:r>
      <w:r w:rsidR="007202AA" w:rsidRPr="00DD254A">
        <w:rPr>
          <w:rFonts w:asciiTheme="majorHAnsi" w:hAnsiTheme="majorHAnsi" w:cstheme="majorHAnsi"/>
          <w:sz w:val="24"/>
          <w:szCs w:val="24"/>
          <w:lang w:val="ru-MD"/>
        </w:rPr>
        <w:t>ал</w:t>
      </w:r>
      <w:r w:rsidRPr="00DD254A">
        <w:rPr>
          <w:rFonts w:asciiTheme="majorHAnsi" w:hAnsiTheme="majorHAnsi" w:cstheme="majorHAnsi"/>
          <w:sz w:val="24"/>
          <w:szCs w:val="24"/>
          <w:lang w:val="ru-MD"/>
        </w:rPr>
        <w:t xml:space="preserve">, что </w:t>
      </w:r>
      <w:r w:rsidR="007202AA" w:rsidRPr="00DD254A">
        <w:rPr>
          <w:rFonts w:asciiTheme="majorHAnsi" w:hAnsiTheme="majorHAnsi" w:cstheme="majorHAnsi"/>
          <w:sz w:val="24"/>
          <w:szCs w:val="24"/>
          <w:lang w:val="ru-MD"/>
        </w:rPr>
        <w:t xml:space="preserve">импортеры -экономические агенты </w:t>
      </w:r>
      <w:r w:rsidRPr="00DD254A">
        <w:rPr>
          <w:rFonts w:asciiTheme="majorHAnsi" w:hAnsiTheme="majorHAnsi" w:cstheme="majorHAnsi"/>
          <w:sz w:val="24"/>
          <w:szCs w:val="24"/>
          <w:lang w:val="ru-MD"/>
        </w:rPr>
        <w:t>резиденты</w:t>
      </w:r>
      <w:r w:rsidR="007202AA" w:rsidRPr="00DD254A">
        <w:rPr>
          <w:rStyle w:val="FootnoteReference"/>
          <w:rFonts w:asciiTheme="majorHAnsi" w:eastAsia="Times New Roman" w:hAnsiTheme="majorHAnsi" w:cstheme="majorHAnsi"/>
          <w:sz w:val="24"/>
          <w:szCs w:val="24"/>
          <w:lang w:val="ru-MD" w:eastAsia="ru-RU"/>
        </w:rPr>
        <w:footnoteReference w:id="60"/>
      </w:r>
      <w:r w:rsidR="007202AA" w:rsidRPr="00DD254A">
        <w:rPr>
          <w:rFonts w:asciiTheme="majorHAnsi" w:eastAsia="Times New Roman" w:hAnsiTheme="majorHAnsi" w:cstheme="majorHAnsi"/>
          <w:sz w:val="24"/>
          <w:szCs w:val="24"/>
          <w:lang w:val="ru-MD" w:eastAsia="ru-RU"/>
        </w:rPr>
        <w:t xml:space="preserve">, </w:t>
      </w:r>
      <w:r w:rsidR="007202AA" w:rsidRPr="00DD254A">
        <w:rPr>
          <w:rFonts w:asciiTheme="majorHAnsi" w:hAnsiTheme="majorHAnsi" w:cstheme="majorHAnsi"/>
          <w:sz w:val="24"/>
          <w:szCs w:val="24"/>
          <w:lang w:val="ru-MD"/>
        </w:rPr>
        <w:t>задекларирова</w:t>
      </w:r>
      <w:r w:rsidRPr="00DD254A">
        <w:rPr>
          <w:rFonts w:asciiTheme="majorHAnsi" w:hAnsiTheme="majorHAnsi" w:cstheme="majorHAnsi"/>
          <w:sz w:val="24"/>
          <w:szCs w:val="24"/>
          <w:lang w:val="ru-MD"/>
        </w:rPr>
        <w:t xml:space="preserve">ли бензин </w:t>
      </w:r>
      <w:r w:rsidR="007202AA" w:rsidRPr="00DD254A">
        <w:rPr>
          <w:rFonts w:asciiTheme="majorHAnsi" w:hAnsiTheme="majorHAnsi" w:cstheme="majorHAnsi"/>
          <w:sz w:val="24"/>
          <w:szCs w:val="24"/>
          <w:lang w:val="ru-MD"/>
        </w:rPr>
        <w:t>по</w:t>
      </w:r>
      <w:r w:rsidRPr="00DD254A">
        <w:rPr>
          <w:rFonts w:asciiTheme="majorHAnsi" w:hAnsiTheme="majorHAnsi" w:cstheme="majorHAnsi"/>
          <w:sz w:val="24"/>
          <w:szCs w:val="24"/>
          <w:lang w:val="ru-MD"/>
        </w:rPr>
        <w:t xml:space="preserve"> разным ценам, которые колеблются от 7,0 до 8,0 лея за литр, а при ввозе дизельного топлива </w:t>
      </w:r>
      <w:r w:rsidR="007202AA" w:rsidRPr="00DD254A">
        <w:rPr>
          <w:rFonts w:asciiTheme="majorHAnsi" w:hAnsiTheme="majorHAnsi" w:cstheme="majorHAnsi"/>
          <w:sz w:val="24"/>
          <w:szCs w:val="24"/>
          <w:lang w:val="ru-MD"/>
        </w:rPr>
        <w:t>задекларирова</w:t>
      </w:r>
      <w:r w:rsidRPr="00DD254A">
        <w:rPr>
          <w:rFonts w:asciiTheme="majorHAnsi" w:hAnsiTheme="majorHAnsi" w:cstheme="majorHAnsi"/>
          <w:sz w:val="24"/>
          <w:szCs w:val="24"/>
          <w:lang w:val="ru-MD"/>
        </w:rPr>
        <w:t>нная таможенная стоимость варьировала от 6,9 лея до 7,3 лея за литр. Аналог</w:t>
      </w:r>
      <w:r w:rsidR="007202AA" w:rsidRPr="00DD254A">
        <w:rPr>
          <w:rFonts w:asciiTheme="majorHAnsi" w:hAnsiTheme="majorHAnsi" w:cstheme="majorHAnsi"/>
          <w:sz w:val="24"/>
          <w:szCs w:val="24"/>
          <w:lang w:val="ru-MD"/>
        </w:rPr>
        <w:t>ично,</w:t>
      </w:r>
      <w:r w:rsidRPr="00DD254A">
        <w:rPr>
          <w:rFonts w:asciiTheme="majorHAnsi" w:hAnsiTheme="majorHAnsi" w:cstheme="majorHAnsi"/>
          <w:sz w:val="24"/>
          <w:szCs w:val="24"/>
          <w:lang w:val="ru-MD"/>
        </w:rPr>
        <w:t xml:space="preserve"> и в 2021 году при импорте бензина </w:t>
      </w:r>
      <w:r w:rsidR="007202AA" w:rsidRPr="00DD254A">
        <w:rPr>
          <w:rFonts w:asciiTheme="majorHAnsi" w:hAnsiTheme="majorHAnsi" w:cstheme="majorHAnsi"/>
          <w:sz w:val="24"/>
          <w:szCs w:val="24"/>
          <w:lang w:val="ru-MD"/>
        </w:rPr>
        <w:t>задекларирова</w:t>
      </w:r>
      <w:r w:rsidRPr="00DD254A">
        <w:rPr>
          <w:rFonts w:asciiTheme="majorHAnsi" w:hAnsiTheme="majorHAnsi" w:cstheme="majorHAnsi"/>
          <w:sz w:val="24"/>
          <w:szCs w:val="24"/>
          <w:lang w:val="ru-MD"/>
        </w:rPr>
        <w:t xml:space="preserve">нная таможенная стоимость варьировала от 11,85 лея до 12,9 лея за литр, а литр дизельного топлива был </w:t>
      </w:r>
      <w:r w:rsidR="007202AA" w:rsidRPr="00DD254A">
        <w:rPr>
          <w:rFonts w:asciiTheme="majorHAnsi" w:hAnsiTheme="majorHAnsi" w:cstheme="majorHAnsi"/>
          <w:sz w:val="24"/>
          <w:szCs w:val="24"/>
          <w:lang w:val="ru-MD"/>
        </w:rPr>
        <w:t>задекларирова</w:t>
      </w:r>
      <w:r w:rsidRPr="00DD254A">
        <w:rPr>
          <w:rFonts w:asciiTheme="majorHAnsi" w:hAnsiTheme="majorHAnsi" w:cstheme="majorHAnsi"/>
          <w:sz w:val="24"/>
          <w:szCs w:val="24"/>
          <w:lang w:val="ru-MD"/>
        </w:rPr>
        <w:t xml:space="preserve">н по цене от 10,56 лея до 11,0 </w:t>
      </w:r>
      <w:r w:rsidR="007202AA" w:rsidRPr="00DD254A">
        <w:rPr>
          <w:rFonts w:asciiTheme="majorHAnsi" w:hAnsiTheme="majorHAnsi" w:cstheme="majorHAnsi"/>
          <w:sz w:val="24"/>
          <w:szCs w:val="24"/>
          <w:lang w:val="ru-MD"/>
        </w:rPr>
        <w:t>л</w:t>
      </w:r>
      <w:r w:rsidRPr="00DD254A">
        <w:rPr>
          <w:rFonts w:asciiTheme="majorHAnsi" w:hAnsiTheme="majorHAnsi" w:cstheme="majorHAnsi"/>
          <w:sz w:val="24"/>
          <w:szCs w:val="24"/>
          <w:lang w:val="ru-MD"/>
        </w:rPr>
        <w:t xml:space="preserve">ея. </w:t>
      </w:r>
      <w:r w:rsidR="007202AA" w:rsidRPr="00DD254A">
        <w:rPr>
          <w:rFonts w:asciiTheme="majorHAnsi" w:hAnsiTheme="majorHAnsi" w:cstheme="majorHAnsi"/>
          <w:sz w:val="24"/>
          <w:szCs w:val="24"/>
          <w:lang w:val="ru-MD"/>
        </w:rPr>
        <w:t>Одно</w:t>
      </w:r>
      <w:r w:rsidRPr="00DD254A">
        <w:rPr>
          <w:rFonts w:asciiTheme="majorHAnsi" w:hAnsiTheme="majorHAnsi" w:cstheme="majorHAnsi"/>
          <w:sz w:val="24"/>
          <w:szCs w:val="24"/>
          <w:lang w:val="ru-MD"/>
        </w:rPr>
        <w:t>врем</w:t>
      </w:r>
      <w:r w:rsidR="007202AA" w:rsidRPr="00DD254A">
        <w:rPr>
          <w:rFonts w:asciiTheme="majorHAnsi" w:hAnsiTheme="majorHAnsi" w:cstheme="majorHAnsi"/>
          <w:sz w:val="24"/>
          <w:szCs w:val="24"/>
          <w:lang w:val="ru-MD"/>
        </w:rPr>
        <w:t>енно,</w:t>
      </w:r>
      <w:r w:rsidRPr="00DD254A">
        <w:rPr>
          <w:rFonts w:asciiTheme="majorHAnsi" w:hAnsiTheme="majorHAnsi" w:cstheme="majorHAnsi"/>
          <w:sz w:val="24"/>
          <w:szCs w:val="24"/>
          <w:lang w:val="ru-MD"/>
        </w:rPr>
        <w:t xml:space="preserve"> </w:t>
      </w:r>
      <w:r w:rsidR="007202AA" w:rsidRPr="00DD254A">
        <w:rPr>
          <w:rFonts w:asciiTheme="majorHAnsi" w:hAnsiTheme="majorHAnsi" w:cstheme="majorHAnsi"/>
          <w:sz w:val="24"/>
          <w:szCs w:val="24"/>
          <w:lang w:val="ru-MD"/>
        </w:rPr>
        <w:t xml:space="preserve">один </w:t>
      </w:r>
      <w:r w:rsidRPr="00DD254A">
        <w:rPr>
          <w:rFonts w:asciiTheme="majorHAnsi" w:hAnsiTheme="majorHAnsi" w:cstheme="majorHAnsi"/>
          <w:sz w:val="24"/>
          <w:szCs w:val="24"/>
          <w:lang w:val="ru-MD"/>
        </w:rPr>
        <w:t xml:space="preserve">экономический агент </w:t>
      </w:r>
      <w:r w:rsidR="007202AA" w:rsidRPr="00DD254A">
        <w:rPr>
          <w:rFonts w:asciiTheme="majorHAnsi" w:hAnsiTheme="majorHAnsi" w:cstheme="majorHAnsi"/>
          <w:sz w:val="24"/>
          <w:szCs w:val="24"/>
          <w:lang w:val="ru-MD"/>
        </w:rPr>
        <w:t>резидент</w:t>
      </w:r>
      <w:r w:rsidR="007202AA" w:rsidRPr="00DD254A">
        <w:rPr>
          <w:rStyle w:val="FootnoteReference"/>
          <w:rFonts w:asciiTheme="majorHAnsi" w:eastAsia="Times New Roman" w:hAnsiTheme="majorHAnsi" w:cstheme="majorHAnsi"/>
          <w:sz w:val="24"/>
          <w:szCs w:val="24"/>
          <w:lang w:val="ru-MD" w:eastAsia="ru-RU"/>
        </w:rPr>
        <w:footnoteReference w:id="61"/>
      </w:r>
      <w:r w:rsidR="007202AA" w:rsidRPr="00DD254A">
        <w:rPr>
          <w:rFonts w:asciiTheme="majorHAnsi" w:hAnsiTheme="majorHAnsi" w:cstheme="majorHAnsi"/>
          <w:sz w:val="24"/>
          <w:szCs w:val="24"/>
          <w:lang w:val="ru-MD"/>
        </w:rPr>
        <w:t xml:space="preserve"> </w:t>
      </w:r>
      <w:r w:rsidRPr="00DD254A">
        <w:rPr>
          <w:rFonts w:asciiTheme="majorHAnsi" w:hAnsiTheme="majorHAnsi" w:cstheme="majorHAnsi"/>
          <w:sz w:val="24"/>
          <w:szCs w:val="24"/>
          <w:lang w:val="ru-MD"/>
        </w:rPr>
        <w:t xml:space="preserve">импортирует </w:t>
      </w:r>
      <w:r w:rsidR="007202AA" w:rsidRPr="00DD254A">
        <w:rPr>
          <w:rFonts w:asciiTheme="majorHAnsi" w:hAnsiTheme="majorHAnsi" w:cstheme="majorHAnsi"/>
          <w:sz w:val="24"/>
          <w:szCs w:val="24"/>
          <w:lang w:val="ru-MD"/>
        </w:rPr>
        <w:t xml:space="preserve">недорогие нефтепродукты </w:t>
      </w:r>
      <w:r w:rsidRPr="00DD254A">
        <w:rPr>
          <w:rFonts w:asciiTheme="majorHAnsi" w:hAnsiTheme="majorHAnsi" w:cstheme="majorHAnsi"/>
          <w:sz w:val="24"/>
          <w:szCs w:val="24"/>
          <w:lang w:val="ru-MD"/>
        </w:rPr>
        <w:t xml:space="preserve">в </w:t>
      </w:r>
      <w:r w:rsidR="007202AA" w:rsidRPr="00DD254A">
        <w:rPr>
          <w:rFonts w:asciiTheme="majorHAnsi" w:hAnsiTheme="majorHAnsi" w:cstheme="majorHAnsi"/>
          <w:sz w:val="24"/>
          <w:szCs w:val="24"/>
          <w:lang w:val="ru-MD"/>
        </w:rPr>
        <w:t>С</w:t>
      </w:r>
      <w:r w:rsidRPr="00DD254A">
        <w:rPr>
          <w:rFonts w:asciiTheme="majorHAnsi" w:hAnsiTheme="majorHAnsi" w:cstheme="majorHAnsi"/>
          <w:sz w:val="24"/>
          <w:szCs w:val="24"/>
          <w:lang w:val="ru-MD"/>
        </w:rPr>
        <w:t>вободный международный порт Джурджулешть, которы</w:t>
      </w:r>
      <w:r w:rsidR="007202AA" w:rsidRPr="00DD254A">
        <w:rPr>
          <w:rFonts w:asciiTheme="majorHAnsi" w:hAnsiTheme="majorHAnsi" w:cstheme="majorHAnsi"/>
          <w:sz w:val="24"/>
          <w:szCs w:val="24"/>
          <w:lang w:val="ru-MD"/>
        </w:rPr>
        <w:t>х</w:t>
      </w:r>
      <w:r w:rsidRPr="00DD254A">
        <w:rPr>
          <w:rFonts w:asciiTheme="majorHAnsi" w:hAnsiTheme="majorHAnsi" w:cstheme="majorHAnsi"/>
          <w:sz w:val="24"/>
          <w:szCs w:val="24"/>
          <w:lang w:val="ru-MD"/>
        </w:rPr>
        <w:t xml:space="preserve"> продает </w:t>
      </w:r>
      <w:r w:rsidR="007202AA" w:rsidRPr="00DD254A">
        <w:rPr>
          <w:rFonts w:asciiTheme="majorHAnsi" w:hAnsiTheme="majorHAnsi" w:cstheme="majorHAnsi"/>
          <w:sz w:val="24"/>
          <w:szCs w:val="24"/>
          <w:lang w:val="ru-MD"/>
        </w:rPr>
        <w:t>по другой цене други</w:t>
      </w:r>
      <w:r w:rsidRPr="00DD254A">
        <w:rPr>
          <w:rFonts w:asciiTheme="majorHAnsi" w:hAnsiTheme="majorHAnsi" w:cstheme="majorHAnsi"/>
          <w:sz w:val="24"/>
          <w:szCs w:val="24"/>
          <w:lang w:val="ru-MD"/>
        </w:rPr>
        <w:t>м экономическим агентам-резидентам. Импорт дизельного топлива и бензина в</w:t>
      </w:r>
      <w:r w:rsidR="00DD254A" w:rsidRPr="00DD254A">
        <w:rPr>
          <w:rFonts w:asciiTheme="majorHAnsi" w:hAnsiTheme="majorHAnsi" w:cstheme="majorHAnsi"/>
          <w:sz w:val="24"/>
          <w:szCs w:val="24"/>
          <w:lang w:val="ru-MD"/>
        </w:rPr>
        <w:t xml:space="preserve"> СМПД</w:t>
      </w:r>
      <w:r w:rsidRPr="00DD254A">
        <w:rPr>
          <w:rFonts w:asciiTheme="majorHAnsi" w:hAnsiTheme="majorHAnsi" w:cstheme="majorHAnsi"/>
          <w:sz w:val="24"/>
          <w:szCs w:val="24"/>
          <w:lang w:val="ru-MD"/>
        </w:rPr>
        <w:t>, осуществленный экономическ</w:t>
      </w:r>
      <w:r w:rsidR="00DD254A" w:rsidRPr="00DD254A">
        <w:rPr>
          <w:rFonts w:asciiTheme="majorHAnsi" w:hAnsiTheme="majorHAnsi" w:cstheme="majorHAnsi"/>
          <w:sz w:val="24"/>
          <w:szCs w:val="24"/>
          <w:lang w:val="ru-MD"/>
        </w:rPr>
        <w:t>им</w:t>
      </w:r>
      <w:r w:rsidRPr="00DD254A">
        <w:rPr>
          <w:rFonts w:asciiTheme="majorHAnsi" w:hAnsiTheme="majorHAnsi" w:cstheme="majorHAnsi"/>
          <w:sz w:val="24"/>
          <w:szCs w:val="24"/>
          <w:lang w:val="ru-MD"/>
        </w:rPr>
        <w:t xml:space="preserve"> агент</w:t>
      </w:r>
      <w:r w:rsidR="00DD254A" w:rsidRPr="00DD254A">
        <w:rPr>
          <w:rFonts w:asciiTheme="majorHAnsi" w:hAnsiTheme="majorHAnsi" w:cstheme="majorHAnsi"/>
          <w:sz w:val="24"/>
          <w:szCs w:val="24"/>
          <w:lang w:val="ru-MD"/>
        </w:rPr>
        <w:t>ом резидентом</w:t>
      </w:r>
      <w:r w:rsidRPr="00DD254A">
        <w:rPr>
          <w:rFonts w:asciiTheme="majorHAnsi" w:hAnsiTheme="majorHAnsi" w:cstheme="majorHAnsi"/>
          <w:sz w:val="24"/>
          <w:szCs w:val="24"/>
          <w:lang w:val="ru-MD"/>
        </w:rPr>
        <w:t xml:space="preserve">, был </w:t>
      </w:r>
      <w:r w:rsidR="00DD254A" w:rsidRPr="00DD254A">
        <w:rPr>
          <w:rFonts w:asciiTheme="majorHAnsi" w:hAnsiTheme="majorHAnsi" w:cstheme="majorHAnsi"/>
          <w:sz w:val="24"/>
          <w:szCs w:val="24"/>
          <w:lang w:val="ru-MD"/>
        </w:rPr>
        <w:t>ото</w:t>
      </w:r>
      <w:r w:rsidRPr="00DD254A">
        <w:rPr>
          <w:rFonts w:asciiTheme="majorHAnsi" w:hAnsiTheme="majorHAnsi" w:cstheme="majorHAnsi"/>
          <w:sz w:val="24"/>
          <w:szCs w:val="24"/>
          <w:lang w:val="ru-MD"/>
        </w:rPr>
        <w:t xml:space="preserve">бран </w:t>
      </w:r>
      <w:r w:rsidR="00DD254A" w:rsidRPr="00DD254A">
        <w:rPr>
          <w:rFonts w:asciiTheme="majorHAnsi" w:hAnsiTheme="majorHAnsi" w:cstheme="majorHAnsi"/>
          <w:sz w:val="24"/>
          <w:szCs w:val="24"/>
          <w:lang w:val="ru-MD"/>
        </w:rPr>
        <w:t>для таможенного</w:t>
      </w:r>
      <w:r w:rsidRPr="00DD254A">
        <w:rPr>
          <w:rFonts w:asciiTheme="majorHAnsi" w:hAnsiTheme="majorHAnsi" w:cstheme="majorHAnsi"/>
          <w:sz w:val="24"/>
          <w:szCs w:val="24"/>
          <w:lang w:val="ru-MD"/>
        </w:rPr>
        <w:t xml:space="preserve"> оформлен</w:t>
      </w:r>
      <w:r w:rsidR="00DD254A" w:rsidRPr="00DD254A">
        <w:rPr>
          <w:rFonts w:asciiTheme="majorHAnsi" w:hAnsiTheme="majorHAnsi" w:cstheme="majorHAnsi"/>
          <w:sz w:val="24"/>
          <w:szCs w:val="24"/>
          <w:lang w:val="ru-MD"/>
        </w:rPr>
        <w:t>ия</w:t>
      </w:r>
      <w:r w:rsidRPr="00DD254A">
        <w:rPr>
          <w:rFonts w:asciiTheme="majorHAnsi" w:hAnsiTheme="majorHAnsi" w:cstheme="majorHAnsi"/>
          <w:sz w:val="24"/>
          <w:szCs w:val="24"/>
          <w:lang w:val="ru-MD"/>
        </w:rPr>
        <w:t xml:space="preserve"> </w:t>
      </w:r>
      <w:r w:rsidR="00DD254A" w:rsidRPr="00DD254A">
        <w:rPr>
          <w:rFonts w:asciiTheme="majorHAnsi" w:hAnsiTheme="majorHAnsi" w:cstheme="majorHAnsi"/>
          <w:sz w:val="24"/>
          <w:szCs w:val="24"/>
          <w:lang w:val="ru-MD"/>
        </w:rPr>
        <w:t>по</w:t>
      </w:r>
      <w:r w:rsidRPr="00DD254A">
        <w:rPr>
          <w:rFonts w:asciiTheme="majorHAnsi" w:hAnsiTheme="majorHAnsi" w:cstheme="majorHAnsi"/>
          <w:sz w:val="24"/>
          <w:szCs w:val="24"/>
          <w:lang w:val="ru-MD"/>
        </w:rPr>
        <w:t xml:space="preserve"> зеленом</w:t>
      </w:r>
      <w:r w:rsidR="00DD254A" w:rsidRPr="00DD254A">
        <w:rPr>
          <w:rFonts w:asciiTheme="majorHAnsi" w:hAnsiTheme="majorHAnsi" w:cstheme="majorHAnsi"/>
          <w:sz w:val="24"/>
          <w:szCs w:val="24"/>
          <w:lang w:val="ru-MD"/>
        </w:rPr>
        <w:t>у</w:t>
      </w:r>
      <w:r w:rsidRPr="00DD254A">
        <w:rPr>
          <w:rFonts w:asciiTheme="majorHAnsi" w:hAnsiTheme="majorHAnsi" w:cstheme="majorHAnsi"/>
          <w:sz w:val="24"/>
          <w:szCs w:val="24"/>
          <w:lang w:val="ru-MD"/>
        </w:rPr>
        <w:t xml:space="preserve"> </w:t>
      </w:r>
      <w:r w:rsidR="00DD254A" w:rsidRPr="00DD254A">
        <w:rPr>
          <w:rFonts w:asciiTheme="majorHAnsi" w:hAnsiTheme="majorHAnsi" w:cstheme="majorHAnsi"/>
          <w:sz w:val="24"/>
          <w:szCs w:val="24"/>
          <w:lang w:val="ru-MD"/>
        </w:rPr>
        <w:t>коридору,</w:t>
      </w:r>
      <w:r w:rsidRPr="00DD254A">
        <w:rPr>
          <w:rFonts w:asciiTheme="majorHAnsi" w:hAnsiTheme="majorHAnsi" w:cstheme="majorHAnsi"/>
          <w:sz w:val="24"/>
          <w:szCs w:val="24"/>
          <w:lang w:val="ru-MD"/>
        </w:rPr>
        <w:t xml:space="preserve"> в </w:t>
      </w:r>
      <w:r w:rsidR="00DD254A" w:rsidRPr="00DD254A">
        <w:rPr>
          <w:rFonts w:asciiTheme="majorHAnsi" w:hAnsiTheme="majorHAnsi" w:cstheme="majorHAnsi"/>
          <w:sz w:val="24"/>
          <w:szCs w:val="24"/>
          <w:lang w:val="ru-MD"/>
        </w:rPr>
        <w:t>объеме</w:t>
      </w:r>
      <w:r w:rsidRPr="00DD254A">
        <w:rPr>
          <w:rFonts w:asciiTheme="majorHAnsi" w:hAnsiTheme="majorHAnsi" w:cstheme="majorHAnsi"/>
          <w:sz w:val="24"/>
          <w:szCs w:val="24"/>
          <w:lang w:val="ru-MD"/>
        </w:rPr>
        <w:t xml:space="preserve"> 92,% в 2020 году и 94,2% </w:t>
      </w:r>
      <w:r w:rsidR="00DD254A" w:rsidRPr="00DD254A">
        <w:rPr>
          <w:rFonts w:asciiTheme="majorHAnsi" w:hAnsiTheme="majorHAnsi" w:cstheme="majorHAnsi"/>
          <w:sz w:val="24"/>
          <w:szCs w:val="24"/>
          <w:lang w:val="ru-MD"/>
        </w:rPr>
        <w:t xml:space="preserve">- </w:t>
      </w:r>
      <w:r w:rsidRPr="00DD254A">
        <w:rPr>
          <w:rFonts w:asciiTheme="majorHAnsi" w:hAnsiTheme="majorHAnsi" w:cstheme="majorHAnsi"/>
          <w:sz w:val="24"/>
          <w:szCs w:val="24"/>
          <w:lang w:val="ru-MD"/>
        </w:rPr>
        <w:t xml:space="preserve">в 2021 году, при этом декларации </w:t>
      </w:r>
      <w:r w:rsidR="00DD254A" w:rsidRPr="00DD254A">
        <w:rPr>
          <w:rFonts w:asciiTheme="majorHAnsi" w:hAnsiTheme="majorHAnsi" w:cstheme="majorHAnsi"/>
          <w:sz w:val="24"/>
          <w:szCs w:val="24"/>
          <w:lang w:val="ru-MD"/>
        </w:rPr>
        <w:t xml:space="preserve">были </w:t>
      </w:r>
      <w:r w:rsidRPr="00DD254A">
        <w:rPr>
          <w:rFonts w:asciiTheme="majorHAnsi" w:hAnsiTheme="majorHAnsi" w:cstheme="majorHAnsi"/>
          <w:sz w:val="24"/>
          <w:szCs w:val="24"/>
          <w:lang w:val="ru-MD"/>
        </w:rPr>
        <w:t>подтвержд</w:t>
      </w:r>
      <w:r w:rsidR="00DD254A" w:rsidRPr="00DD254A">
        <w:rPr>
          <w:rFonts w:asciiTheme="majorHAnsi" w:hAnsiTheme="majorHAnsi" w:cstheme="majorHAnsi"/>
          <w:sz w:val="24"/>
          <w:szCs w:val="24"/>
          <w:lang w:val="ru-MD"/>
        </w:rPr>
        <w:t>ены</w:t>
      </w:r>
      <w:r w:rsidRPr="00DD254A">
        <w:rPr>
          <w:rFonts w:asciiTheme="majorHAnsi" w:hAnsiTheme="majorHAnsi" w:cstheme="majorHAnsi"/>
          <w:sz w:val="24"/>
          <w:szCs w:val="24"/>
          <w:lang w:val="ru-MD"/>
        </w:rPr>
        <w:t xml:space="preserve"> без проведения таможенного контроля</w:t>
      </w:r>
      <w:r w:rsidR="00350648" w:rsidRPr="00DD254A">
        <w:rPr>
          <w:rFonts w:asciiTheme="majorHAnsi" w:eastAsia="Times New Roman" w:hAnsiTheme="majorHAnsi" w:cstheme="majorHAnsi"/>
          <w:sz w:val="24"/>
          <w:szCs w:val="24"/>
          <w:lang w:val="ru-MD" w:eastAsia="ru-RU"/>
        </w:rPr>
        <w:t>.</w:t>
      </w:r>
      <w:r w:rsidR="00D75396" w:rsidRPr="00DD254A">
        <w:rPr>
          <w:rFonts w:asciiTheme="majorHAnsi" w:eastAsia="Times New Roman" w:hAnsiTheme="majorHAnsi" w:cstheme="majorHAnsi"/>
          <w:sz w:val="24"/>
          <w:szCs w:val="24"/>
          <w:lang w:val="ru-MD" w:eastAsia="ru-RU"/>
        </w:rPr>
        <w:t xml:space="preserve"> </w:t>
      </w:r>
      <w:r w:rsidR="00303D0F" w:rsidRPr="00DD254A">
        <w:rPr>
          <w:rFonts w:asciiTheme="majorHAnsi" w:eastAsia="Times New Roman" w:hAnsiTheme="majorHAnsi" w:cstheme="majorHAnsi"/>
          <w:sz w:val="24"/>
          <w:szCs w:val="24"/>
          <w:lang w:val="ru-MD" w:eastAsia="ru-RU"/>
        </w:rPr>
        <w:t xml:space="preserve">   </w:t>
      </w:r>
    </w:p>
    <w:p w14:paraId="49794435" w14:textId="21C0FDC5" w:rsidR="00F554D9" w:rsidRPr="00DD254A" w:rsidRDefault="00D15E81" w:rsidP="00D309BF">
      <w:pPr>
        <w:spacing w:after="120"/>
        <w:jc w:val="both"/>
        <w:rPr>
          <w:rFonts w:asciiTheme="majorHAnsi" w:eastAsia="Times New Roman" w:hAnsiTheme="majorHAnsi" w:cstheme="majorHAnsi"/>
          <w:sz w:val="24"/>
          <w:szCs w:val="24"/>
          <w:lang w:val="ru-MD" w:eastAsia="ro-RO"/>
        </w:rPr>
      </w:pPr>
      <w:r w:rsidRPr="00DD254A">
        <w:rPr>
          <w:rFonts w:asciiTheme="majorHAnsi" w:eastAsia="Times New Roman" w:hAnsiTheme="majorHAnsi" w:cstheme="majorHAnsi"/>
          <w:sz w:val="24"/>
          <w:szCs w:val="24"/>
          <w:lang w:val="ru-MD" w:eastAsia="ro-RO"/>
        </w:rPr>
        <w:t>Аудит отмечает, что, хотя бензин и дизельное топливо в основном были импортированы из Румынии (Плоешт</w:t>
      </w:r>
      <w:r w:rsidR="00DD254A" w:rsidRPr="00DD254A">
        <w:rPr>
          <w:rFonts w:asciiTheme="majorHAnsi" w:eastAsia="Times New Roman" w:hAnsiTheme="majorHAnsi" w:cstheme="majorHAnsi"/>
          <w:sz w:val="24"/>
          <w:szCs w:val="24"/>
          <w:lang w:val="ru-MD" w:eastAsia="ro-RO"/>
        </w:rPr>
        <w:t>ь</w:t>
      </w:r>
      <w:r w:rsidRPr="00DD254A">
        <w:rPr>
          <w:rFonts w:asciiTheme="majorHAnsi" w:eastAsia="Times New Roman" w:hAnsiTheme="majorHAnsi" w:cstheme="majorHAnsi"/>
          <w:sz w:val="24"/>
          <w:szCs w:val="24"/>
          <w:lang w:val="ru-MD" w:eastAsia="ro-RO"/>
        </w:rPr>
        <w:t xml:space="preserve">), цены разные, в </w:t>
      </w:r>
      <w:r w:rsidR="00DD254A" w:rsidRPr="00DD254A">
        <w:rPr>
          <w:rFonts w:asciiTheme="majorHAnsi" w:eastAsia="Times New Roman" w:hAnsiTheme="majorHAnsi" w:cstheme="majorHAnsi"/>
          <w:sz w:val="24"/>
          <w:szCs w:val="24"/>
          <w:lang w:val="ru-MD" w:eastAsia="ro-RO"/>
        </w:rPr>
        <w:t xml:space="preserve">частности для </w:t>
      </w:r>
      <w:r w:rsidRPr="00DD254A">
        <w:rPr>
          <w:rFonts w:asciiTheme="majorHAnsi" w:eastAsia="Times New Roman" w:hAnsiTheme="majorHAnsi" w:cstheme="majorHAnsi"/>
          <w:sz w:val="24"/>
          <w:szCs w:val="24"/>
          <w:lang w:val="ru-MD" w:eastAsia="ro-RO"/>
        </w:rPr>
        <w:t xml:space="preserve">импорта, в котором страна сделки является </w:t>
      </w:r>
      <w:r w:rsidR="00DD254A" w:rsidRPr="00DD254A">
        <w:rPr>
          <w:rFonts w:asciiTheme="majorHAnsi" w:eastAsia="Times New Roman" w:hAnsiTheme="majorHAnsi" w:cstheme="majorHAnsi"/>
          <w:sz w:val="24"/>
          <w:szCs w:val="24"/>
          <w:lang w:val="ru-MD" w:eastAsia="ro-RO"/>
        </w:rPr>
        <w:t xml:space="preserve">другой </w:t>
      </w:r>
      <w:r w:rsidRPr="00DD254A">
        <w:rPr>
          <w:rFonts w:asciiTheme="majorHAnsi" w:eastAsia="Times New Roman" w:hAnsiTheme="majorHAnsi" w:cstheme="majorHAnsi"/>
          <w:sz w:val="24"/>
          <w:szCs w:val="24"/>
          <w:lang w:val="ru-MD" w:eastAsia="ro-RO"/>
        </w:rPr>
        <w:t xml:space="preserve">страной, </w:t>
      </w:r>
      <w:r w:rsidR="00DD254A" w:rsidRPr="00DD254A">
        <w:rPr>
          <w:rFonts w:asciiTheme="majorHAnsi" w:eastAsia="Times New Roman" w:hAnsiTheme="majorHAnsi" w:cstheme="majorHAnsi"/>
          <w:sz w:val="24"/>
          <w:szCs w:val="24"/>
          <w:lang w:val="ru-MD" w:eastAsia="ro-RO"/>
        </w:rPr>
        <w:t>чем с</w:t>
      </w:r>
      <w:r w:rsidRPr="00DD254A">
        <w:rPr>
          <w:rFonts w:asciiTheme="majorHAnsi" w:eastAsia="Times New Roman" w:hAnsiTheme="majorHAnsi" w:cstheme="majorHAnsi"/>
          <w:sz w:val="24"/>
          <w:szCs w:val="24"/>
          <w:lang w:val="ru-MD" w:eastAsia="ro-RO"/>
        </w:rPr>
        <w:t>тран</w:t>
      </w:r>
      <w:r w:rsidR="00DD254A" w:rsidRPr="00DD254A">
        <w:rPr>
          <w:rFonts w:asciiTheme="majorHAnsi" w:eastAsia="Times New Roman" w:hAnsiTheme="majorHAnsi" w:cstheme="majorHAnsi"/>
          <w:sz w:val="24"/>
          <w:szCs w:val="24"/>
          <w:lang w:val="ru-MD" w:eastAsia="ro-RO"/>
        </w:rPr>
        <w:t>а</w:t>
      </w:r>
      <w:r w:rsidRPr="00DD254A">
        <w:rPr>
          <w:rFonts w:asciiTheme="majorHAnsi" w:eastAsia="Times New Roman" w:hAnsiTheme="majorHAnsi" w:cstheme="majorHAnsi"/>
          <w:sz w:val="24"/>
          <w:szCs w:val="24"/>
          <w:lang w:val="ru-MD" w:eastAsia="ro-RO"/>
        </w:rPr>
        <w:t xml:space="preserve"> экспедиции и стран</w:t>
      </w:r>
      <w:r w:rsidR="00DD254A" w:rsidRPr="00DD254A">
        <w:rPr>
          <w:rFonts w:asciiTheme="majorHAnsi" w:eastAsia="Times New Roman" w:hAnsiTheme="majorHAnsi" w:cstheme="majorHAnsi"/>
          <w:sz w:val="24"/>
          <w:szCs w:val="24"/>
          <w:lang w:val="ru-MD" w:eastAsia="ro-RO"/>
        </w:rPr>
        <w:t>а</w:t>
      </w:r>
      <w:r w:rsidRPr="00DD254A">
        <w:rPr>
          <w:rFonts w:asciiTheme="majorHAnsi" w:eastAsia="Times New Roman" w:hAnsiTheme="majorHAnsi" w:cstheme="majorHAnsi"/>
          <w:sz w:val="24"/>
          <w:szCs w:val="24"/>
          <w:lang w:val="ru-MD" w:eastAsia="ro-RO"/>
        </w:rPr>
        <w:t xml:space="preserve"> происхождения товара, в этом смысле о</w:t>
      </w:r>
      <w:r w:rsidR="00DD254A" w:rsidRPr="00DD254A">
        <w:rPr>
          <w:rFonts w:asciiTheme="majorHAnsi" w:eastAsia="Times New Roman" w:hAnsiTheme="majorHAnsi" w:cstheme="majorHAnsi"/>
          <w:sz w:val="24"/>
          <w:szCs w:val="24"/>
          <w:lang w:val="ru-MD" w:eastAsia="ro-RO"/>
        </w:rPr>
        <w:t>тмеч</w:t>
      </w:r>
      <w:r w:rsidRPr="00DD254A">
        <w:rPr>
          <w:rFonts w:asciiTheme="majorHAnsi" w:eastAsia="Times New Roman" w:hAnsiTheme="majorHAnsi" w:cstheme="majorHAnsi"/>
          <w:sz w:val="24"/>
          <w:szCs w:val="24"/>
          <w:lang w:val="ru-MD" w:eastAsia="ro-RO"/>
        </w:rPr>
        <w:t xml:space="preserve">ается потенциальный риск </w:t>
      </w:r>
      <w:r w:rsidR="00DD254A" w:rsidRPr="00DD254A">
        <w:rPr>
          <w:rFonts w:asciiTheme="majorHAnsi" w:eastAsia="Times New Roman" w:hAnsiTheme="majorHAnsi" w:cstheme="majorHAnsi"/>
          <w:sz w:val="24"/>
          <w:szCs w:val="24"/>
          <w:lang w:val="ru-MD" w:eastAsia="ro-RO"/>
        </w:rPr>
        <w:t>за</w:t>
      </w:r>
      <w:r w:rsidRPr="00DD254A">
        <w:rPr>
          <w:rFonts w:asciiTheme="majorHAnsi" w:eastAsia="Times New Roman" w:hAnsiTheme="majorHAnsi" w:cstheme="majorHAnsi"/>
          <w:sz w:val="24"/>
          <w:szCs w:val="24"/>
          <w:lang w:val="ru-MD" w:eastAsia="ro-RO"/>
        </w:rPr>
        <w:t>нижения таможенной стоимости товаров на сумму 216,5 млн.</w:t>
      </w:r>
      <w:r w:rsidR="00DD254A" w:rsidRPr="00DD254A">
        <w:rPr>
          <w:rFonts w:asciiTheme="majorHAnsi" w:eastAsia="Times New Roman" w:hAnsiTheme="majorHAnsi" w:cstheme="majorHAnsi"/>
          <w:sz w:val="24"/>
          <w:szCs w:val="24"/>
          <w:lang w:val="ru-MD" w:eastAsia="ro-RO"/>
        </w:rPr>
        <w:t xml:space="preserve"> </w:t>
      </w:r>
      <w:r w:rsidRPr="00DD254A">
        <w:rPr>
          <w:rFonts w:asciiTheme="majorHAnsi" w:eastAsia="Times New Roman" w:hAnsiTheme="majorHAnsi" w:cstheme="majorHAnsi"/>
          <w:sz w:val="24"/>
          <w:szCs w:val="24"/>
          <w:lang w:val="ru-MD" w:eastAsia="ro-RO"/>
        </w:rPr>
        <w:t>ле</w:t>
      </w:r>
      <w:r w:rsidR="00DD254A" w:rsidRPr="00DD254A">
        <w:rPr>
          <w:rFonts w:asciiTheme="majorHAnsi" w:eastAsia="Times New Roman" w:hAnsiTheme="majorHAnsi" w:cstheme="majorHAnsi"/>
          <w:sz w:val="24"/>
          <w:szCs w:val="24"/>
          <w:lang w:val="ru-MD" w:eastAsia="ro-RO"/>
        </w:rPr>
        <w:t>ев</w:t>
      </w:r>
      <w:r w:rsidRPr="00DD254A">
        <w:rPr>
          <w:rFonts w:asciiTheme="majorHAnsi" w:eastAsia="Times New Roman" w:hAnsiTheme="majorHAnsi" w:cstheme="majorHAnsi"/>
          <w:sz w:val="24"/>
          <w:szCs w:val="24"/>
          <w:lang w:val="ru-MD" w:eastAsia="ro-RO"/>
        </w:rPr>
        <w:t xml:space="preserve"> и </w:t>
      </w:r>
      <w:r w:rsidR="00DD254A" w:rsidRPr="00DD254A">
        <w:rPr>
          <w:rFonts w:asciiTheme="majorHAnsi" w:eastAsia="Times New Roman" w:hAnsiTheme="majorHAnsi" w:cstheme="majorHAnsi"/>
          <w:sz w:val="24"/>
          <w:szCs w:val="24"/>
          <w:lang w:val="ru-MD" w:eastAsia="ro-RO"/>
        </w:rPr>
        <w:t>вероятность упущения</w:t>
      </w:r>
      <w:r w:rsidRPr="00DD254A">
        <w:rPr>
          <w:rFonts w:asciiTheme="majorHAnsi" w:eastAsia="Times New Roman" w:hAnsiTheme="majorHAnsi" w:cstheme="majorHAnsi"/>
          <w:sz w:val="24"/>
          <w:szCs w:val="24"/>
          <w:lang w:val="ru-MD" w:eastAsia="ro-RO"/>
        </w:rPr>
        <w:t xml:space="preserve"> доходов, рассчитанных аудитом как </w:t>
      </w:r>
      <w:r w:rsidR="00DD254A" w:rsidRPr="00DD254A">
        <w:rPr>
          <w:rFonts w:asciiTheme="majorHAnsi" w:eastAsia="Times New Roman" w:hAnsiTheme="majorHAnsi" w:cstheme="majorHAnsi"/>
          <w:sz w:val="24"/>
          <w:szCs w:val="24"/>
          <w:lang w:val="ru-MD" w:eastAsia="ro-RO"/>
        </w:rPr>
        <w:t>ввозные пошлины</w:t>
      </w:r>
      <w:r w:rsidRPr="00DD254A">
        <w:rPr>
          <w:rFonts w:asciiTheme="majorHAnsi" w:eastAsia="Times New Roman" w:hAnsiTheme="majorHAnsi" w:cstheme="majorHAnsi"/>
          <w:sz w:val="24"/>
          <w:szCs w:val="24"/>
          <w:lang w:val="ru-MD" w:eastAsia="ro-RO"/>
        </w:rPr>
        <w:t xml:space="preserve"> в размере </w:t>
      </w:r>
      <w:r w:rsidRPr="00DD254A">
        <w:rPr>
          <w:rFonts w:asciiTheme="majorHAnsi" w:eastAsia="Times New Roman" w:hAnsiTheme="majorHAnsi" w:cstheme="majorHAnsi"/>
          <w:b/>
          <w:sz w:val="24"/>
          <w:szCs w:val="24"/>
          <w:lang w:val="ru-MD" w:eastAsia="ro-RO"/>
        </w:rPr>
        <w:t>46,4 млн. леев</w:t>
      </w:r>
      <w:r w:rsidRPr="00DD254A">
        <w:rPr>
          <w:rFonts w:asciiTheme="majorHAnsi" w:eastAsia="Times New Roman" w:hAnsiTheme="majorHAnsi" w:cstheme="majorHAnsi"/>
          <w:sz w:val="24"/>
          <w:szCs w:val="24"/>
          <w:lang w:val="ru-MD" w:eastAsia="ro-RO"/>
        </w:rPr>
        <w:t>. В то же время</w:t>
      </w:r>
      <w:r w:rsidR="00DD254A" w:rsidRPr="00DD254A">
        <w:rPr>
          <w:rFonts w:asciiTheme="majorHAnsi" w:eastAsia="Times New Roman" w:hAnsiTheme="majorHAnsi" w:cstheme="majorHAnsi"/>
          <w:sz w:val="24"/>
          <w:szCs w:val="24"/>
          <w:lang w:val="ru-MD" w:eastAsia="ro-RO"/>
        </w:rPr>
        <w:t>,</w:t>
      </w:r>
      <w:r w:rsidRPr="00DD254A">
        <w:rPr>
          <w:rFonts w:asciiTheme="majorHAnsi" w:eastAsia="Times New Roman" w:hAnsiTheme="majorHAnsi" w:cstheme="majorHAnsi"/>
          <w:sz w:val="24"/>
          <w:szCs w:val="24"/>
          <w:lang w:val="ru-MD" w:eastAsia="ro-RO"/>
        </w:rPr>
        <w:t xml:space="preserve"> в ходе аудита было установлено, что не во всех случаях к таможенным декларациям была приложена </w:t>
      </w:r>
      <w:r w:rsidR="00DD254A" w:rsidRPr="00DD254A">
        <w:rPr>
          <w:rFonts w:asciiTheme="majorHAnsi" w:eastAsia="Times New Roman" w:hAnsiTheme="majorHAnsi" w:cstheme="majorHAnsi"/>
          <w:sz w:val="24"/>
          <w:szCs w:val="24"/>
          <w:lang w:val="ru-MD" w:eastAsia="ro-RO"/>
        </w:rPr>
        <w:t>достоверн</w:t>
      </w:r>
      <w:r w:rsidRPr="00DD254A">
        <w:rPr>
          <w:rFonts w:asciiTheme="majorHAnsi" w:eastAsia="Times New Roman" w:hAnsiTheme="majorHAnsi" w:cstheme="majorHAnsi"/>
          <w:sz w:val="24"/>
          <w:szCs w:val="24"/>
          <w:lang w:val="ru-MD" w:eastAsia="ro-RO"/>
        </w:rPr>
        <w:t xml:space="preserve">ая информация, а именно таможенная декларация страны экспорта, </w:t>
      </w:r>
      <w:r w:rsidR="00DD254A" w:rsidRPr="00DD254A">
        <w:rPr>
          <w:rFonts w:asciiTheme="majorHAnsi" w:eastAsia="Times New Roman" w:hAnsiTheme="majorHAnsi" w:cstheme="majorHAnsi"/>
          <w:sz w:val="24"/>
          <w:szCs w:val="24"/>
          <w:lang w:val="ru-MD" w:eastAsia="ro-RO"/>
        </w:rPr>
        <w:t>что</w:t>
      </w:r>
      <w:r w:rsidRPr="00DD254A">
        <w:rPr>
          <w:rFonts w:asciiTheme="majorHAnsi" w:eastAsia="Times New Roman" w:hAnsiTheme="majorHAnsi" w:cstheme="majorHAnsi"/>
          <w:sz w:val="24"/>
          <w:szCs w:val="24"/>
          <w:lang w:val="ru-MD" w:eastAsia="ro-RO"/>
        </w:rPr>
        <w:t xml:space="preserve"> обеспечи</w:t>
      </w:r>
      <w:r w:rsidR="00DD254A" w:rsidRPr="00DD254A">
        <w:rPr>
          <w:rFonts w:asciiTheme="majorHAnsi" w:eastAsia="Times New Roman" w:hAnsiTheme="majorHAnsi" w:cstheme="majorHAnsi"/>
          <w:sz w:val="24"/>
          <w:szCs w:val="24"/>
          <w:lang w:val="ru-MD" w:eastAsia="ro-RO"/>
        </w:rPr>
        <w:t>ло бы</w:t>
      </w:r>
      <w:r w:rsidRPr="00DD254A">
        <w:rPr>
          <w:rFonts w:asciiTheme="majorHAnsi" w:eastAsia="Times New Roman" w:hAnsiTheme="majorHAnsi" w:cstheme="majorHAnsi"/>
          <w:sz w:val="24"/>
          <w:szCs w:val="24"/>
          <w:lang w:val="ru-MD" w:eastAsia="ro-RO"/>
        </w:rPr>
        <w:t xml:space="preserve"> подтверждение статистической стоимости нефтепродуктов</w:t>
      </w:r>
      <w:r w:rsidR="00DD254A" w:rsidRPr="00DD254A">
        <w:rPr>
          <w:rFonts w:asciiTheme="majorHAnsi" w:eastAsia="Times New Roman" w:hAnsiTheme="majorHAnsi" w:cstheme="majorHAnsi"/>
          <w:sz w:val="24"/>
          <w:szCs w:val="24"/>
          <w:lang w:val="ru-MD" w:eastAsia="ro-RO"/>
        </w:rPr>
        <w:t xml:space="preserve"> на таможне</w:t>
      </w:r>
      <w:r w:rsidRPr="00DD254A">
        <w:rPr>
          <w:rFonts w:asciiTheme="majorHAnsi" w:eastAsia="Times New Roman" w:hAnsiTheme="majorHAnsi" w:cstheme="majorHAnsi"/>
          <w:sz w:val="24"/>
          <w:szCs w:val="24"/>
          <w:lang w:val="ru-MD" w:eastAsia="ro-RO"/>
        </w:rPr>
        <w:t xml:space="preserve">, </w:t>
      </w:r>
      <w:r w:rsidR="00DD254A" w:rsidRPr="00DD254A">
        <w:rPr>
          <w:rFonts w:asciiTheme="majorHAnsi" w:eastAsia="Times New Roman" w:hAnsiTheme="majorHAnsi" w:cstheme="majorHAnsi"/>
          <w:sz w:val="24"/>
          <w:szCs w:val="24"/>
          <w:lang w:val="ru-MD" w:eastAsia="ro-RO"/>
        </w:rPr>
        <w:t>за</w:t>
      </w:r>
      <w:r w:rsidRPr="00DD254A">
        <w:rPr>
          <w:rFonts w:asciiTheme="majorHAnsi" w:eastAsia="Times New Roman" w:hAnsiTheme="majorHAnsi" w:cstheme="majorHAnsi"/>
          <w:sz w:val="24"/>
          <w:szCs w:val="24"/>
          <w:lang w:val="ru-MD" w:eastAsia="ro-RO"/>
        </w:rPr>
        <w:t>явленн</w:t>
      </w:r>
      <w:r w:rsidR="00DD254A" w:rsidRPr="00DD254A">
        <w:rPr>
          <w:rFonts w:asciiTheme="majorHAnsi" w:eastAsia="Times New Roman" w:hAnsiTheme="majorHAnsi" w:cstheme="majorHAnsi"/>
          <w:sz w:val="24"/>
          <w:szCs w:val="24"/>
          <w:lang w:val="ru-MD" w:eastAsia="ro-RO"/>
        </w:rPr>
        <w:t>ой</w:t>
      </w:r>
      <w:r w:rsidRPr="00DD254A">
        <w:rPr>
          <w:rFonts w:asciiTheme="majorHAnsi" w:eastAsia="Times New Roman" w:hAnsiTheme="majorHAnsi" w:cstheme="majorHAnsi"/>
          <w:sz w:val="24"/>
          <w:szCs w:val="24"/>
          <w:lang w:val="ru-MD" w:eastAsia="ro-RO"/>
        </w:rPr>
        <w:t xml:space="preserve"> декларантом</w:t>
      </w:r>
      <w:r w:rsidR="00F554D9" w:rsidRPr="00DD254A">
        <w:rPr>
          <w:rFonts w:asciiTheme="majorHAnsi" w:eastAsia="Times New Roman" w:hAnsiTheme="majorHAnsi" w:cstheme="majorHAnsi"/>
          <w:sz w:val="24"/>
          <w:szCs w:val="24"/>
          <w:lang w:val="ru-MD" w:eastAsia="ru-RU"/>
        </w:rPr>
        <w:t>.</w:t>
      </w:r>
      <w:r w:rsidR="00F554D9" w:rsidRPr="00DD254A">
        <w:rPr>
          <w:rFonts w:asciiTheme="majorHAnsi" w:eastAsia="Times New Roman" w:hAnsiTheme="majorHAnsi" w:cstheme="majorHAnsi"/>
          <w:sz w:val="24"/>
          <w:szCs w:val="24"/>
          <w:lang w:val="ru-MD" w:eastAsia="ro-RO"/>
        </w:rPr>
        <w:t xml:space="preserve"> </w:t>
      </w:r>
    </w:p>
    <w:p w14:paraId="4C3A7E58" w14:textId="5C220C44" w:rsidR="00C76D7B" w:rsidRPr="00B20FBD" w:rsidRDefault="00D15E81" w:rsidP="0021133C">
      <w:pPr>
        <w:spacing w:after="120"/>
        <w:jc w:val="both"/>
        <w:rPr>
          <w:rFonts w:asciiTheme="majorHAnsi" w:eastAsia="Times New Roman" w:hAnsiTheme="majorHAnsi" w:cstheme="majorHAnsi"/>
          <w:sz w:val="24"/>
          <w:szCs w:val="24"/>
          <w:lang w:val="ro-RO" w:eastAsia="ro-RO"/>
        </w:rPr>
      </w:pPr>
      <w:r w:rsidRPr="00DD254A">
        <w:rPr>
          <w:rFonts w:asciiTheme="majorHAnsi" w:eastAsia="Times New Roman" w:hAnsiTheme="majorHAnsi" w:cstheme="majorHAnsi"/>
          <w:sz w:val="24"/>
          <w:szCs w:val="24"/>
          <w:lang w:val="ru-MD" w:eastAsia="ro-RO"/>
        </w:rPr>
        <w:t>Аудит</w:t>
      </w:r>
      <w:r w:rsidR="00DD254A" w:rsidRPr="00DD254A">
        <w:rPr>
          <w:rFonts w:asciiTheme="majorHAnsi" w:eastAsia="Times New Roman" w:hAnsiTheme="majorHAnsi" w:cstheme="majorHAnsi"/>
          <w:sz w:val="24"/>
          <w:szCs w:val="24"/>
          <w:lang w:val="ru-MD" w:eastAsia="ro-RO"/>
        </w:rPr>
        <w:t>ом</w:t>
      </w:r>
      <w:r w:rsidRPr="00DD254A">
        <w:rPr>
          <w:rFonts w:asciiTheme="majorHAnsi" w:eastAsia="Times New Roman" w:hAnsiTheme="majorHAnsi" w:cstheme="majorHAnsi"/>
          <w:sz w:val="24"/>
          <w:szCs w:val="24"/>
          <w:lang w:val="ru-MD" w:eastAsia="ro-RO"/>
        </w:rPr>
        <w:t xml:space="preserve"> установ</w:t>
      </w:r>
      <w:r w:rsidR="00DD254A" w:rsidRPr="00DD254A">
        <w:rPr>
          <w:rFonts w:asciiTheme="majorHAnsi" w:eastAsia="Times New Roman" w:hAnsiTheme="majorHAnsi" w:cstheme="majorHAnsi"/>
          <w:sz w:val="24"/>
          <w:szCs w:val="24"/>
          <w:lang w:val="ru-MD" w:eastAsia="ro-RO"/>
        </w:rPr>
        <w:t>лено</w:t>
      </w:r>
      <w:r w:rsidRPr="00DD254A">
        <w:rPr>
          <w:rFonts w:asciiTheme="majorHAnsi" w:eastAsia="Times New Roman" w:hAnsiTheme="majorHAnsi" w:cstheme="majorHAnsi"/>
          <w:sz w:val="24"/>
          <w:szCs w:val="24"/>
          <w:lang w:val="ru-MD" w:eastAsia="ro-RO"/>
        </w:rPr>
        <w:t>, что из общего объема 231,0 тыс. тонн бензина, импортированного в 2021 году, три экономических агента импортировали 17,2 тыс. тонн бензина на сумму 234,6 млн.</w:t>
      </w:r>
      <w:r w:rsidR="00DD254A" w:rsidRPr="00DD254A">
        <w:rPr>
          <w:rFonts w:asciiTheme="majorHAnsi" w:eastAsia="Times New Roman" w:hAnsiTheme="majorHAnsi" w:cstheme="majorHAnsi"/>
          <w:sz w:val="24"/>
          <w:szCs w:val="24"/>
          <w:lang w:val="ru-MD" w:eastAsia="ro-RO"/>
        </w:rPr>
        <w:t xml:space="preserve"> </w:t>
      </w:r>
      <w:r w:rsidRPr="00DD254A">
        <w:rPr>
          <w:rFonts w:asciiTheme="majorHAnsi" w:eastAsia="Times New Roman" w:hAnsiTheme="majorHAnsi" w:cstheme="majorHAnsi"/>
          <w:sz w:val="24"/>
          <w:szCs w:val="24"/>
          <w:lang w:val="ru-MD" w:eastAsia="ro-RO"/>
        </w:rPr>
        <w:t>ле</w:t>
      </w:r>
      <w:r w:rsidR="00DD254A" w:rsidRPr="00DD254A">
        <w:rPr>
          <w:rFonts w:asciiTheme="majorHAnsi" w:eastAsia="Times New Roman" w:hAnsiTheme="majorHAnsi" w:cstheme="majorHAnsi"/>
          <w:sz w:val="24"/>
          <w:szCs w:val="24"/>
          <w:lang w:val="ru-MD" w:eastAsia="ro-RO"/>
        </w:rPr>
        <w:t>ев</w:t>
      </w:r>
      <w:r w:rsidRPr="00DD254A">
        <w:rPr>
          <w:rFonts w:asciiTheme="majorHAnsi" w:eastAsia="Times New Roman" w:hAnsiTheme="majorHAnsi" w:cstheme="majorHAnsi"/>
          <w:sz w:val="24"/>
          <w:szCs w:val="24"/>
          <w:lang w:val="ru-MD" w:eastAsia="ro-RO"/>
        </w:rPr>
        <w:t>,</w:t>
      </w:r>
      <w:r w:rsidRPr="00D15E81">
        <w:rPr>
          <w:rFonts w:asciiTheme="majorHAnsi" w:eastAsia="Times New Roman" w:hAnsiTheme="majorHAnsi" w:cstheme="majorHAnsi"/>
          <w:sz w:val="24"/>
          <w:szCs w:val="24"/>
          <w:lang w:val="ro-RO" w:eastAsia="ro-RO"/>
        </w:rPr>
        <w:t xml:space="preserve"> </w:t>
      </w:r>
      <w:r w:rsidR="00DD254A" w:rsidRPr="00EC4370">
        <w:rPr>
          <w:rFonts w:asciiTheme="majorHAnsi" w:eastAsia="Times New Roman" w:hAnsiTheme="majorHAnsi" w:cstheme="majorHAnsi"/>
          <w:sz w:val="24"/>
          <w:szCs w:val="24"/>
          <w:lang w:val="ru-MD" w:eastAsia="ro-RO"/>
        </w:rPr>
        <w:t>при</w:t>
      </w:r>
      <w:r w:rsidRPr="00EC4370">
        <w:rPr>
          <w:rFonts w:asciiTheme="majorHAnsi" w:eastAsia="Times New Roman" w:hAnsiTheme="majorHAnsi" w:cstheme="majorHAnsi"/>
          <w:sz w:val="24"/>
          <w:szCs w:val="24"/>
          <w:lang w:val="ru-MD" w:eastAsia="ro-RO"/>
        </w:rPr>
        <w:t xml:space="preserve"> котор</w:t>
      </w:r>
      <w:r w:rsidR="00DD254A" w:rsidRPr="00EC4370">
        <w:rPr>
          <w:rFonts w:asciiTheme="majorHAnsi" w:eastAsia="Times New Roman" w:hAnsiTheme="majorHAnsi" w:cstheme="majorHAnsi"/>
          <w:sz w:val="24"/>
          <w:szCs w:val="24"/>
          <w:lang w:val="ru-MD" w:eastAsia="ro-RO"/>
        </w:rPr>
        <w:t>ых</w:t>
      </w:r>
      <w:r w:rsidRPr="00EC4370">
        <w:rPr>
          <w:rFonts w:asciiTheme="majorHAnsi" w:eastAsia="Times New Roman" w:hAnsiTheme="majorHAnsi" w:cstheme="majorHAnsi"/>
          <w:sz w:val="24"/>
          <w:szCs w:val="24"/>
          <w:lang w:val="ru-MD" w:eastAsia="ro-RO"/>
        </w:rPr>
        <w:t xml:space="preserve"> в таможенных декларациях </w:t>
      </w:r>
      <w:r w:rsidR="00DD254A" w:rsidRPr="00EC4370">
        <w:rPr>
          <w:rFonts w:asciiTheme="majorHAnsi" w:eastAsia="Times New Roman" w:hAnsiTheme="majorHAnsi" w:cstheme="majorHAnsi"/>
          <w:sz w:val="24"/>
          <w:szCs w:val="24"/>
          <w:lang w:val="ru-MD" w:eastAsia="ro-RO"/>
        </w:rPr>
        <w:t xml:space="preserve">на импорт </w:t>
      </w:r>
      <w:r w:rsidRPr="00EC4370">
        <w:rPr>
          <w:rFonts w:asciiTheme="majorHAnsi" w:eastAsia="Times New Roman" w:hAnsiTheme="majorHAnsi" w:cstheme="majorHAnsi"/>
          <w:sz w:val="24"/>
          <w:szCs w:val="24"/>
          <w:lang w:val="ru-MD" w:eastAsia="ro-RO"/>
        </w:rPr>
        <w:t>стран</w:t>
      </w:r>
      <w:r w:rsidR="00DD254A" w:rsidRPr="00EC4370">
        <w:rPr>
          <w:rFonts w:asciiTheme="majorHAnsi" w:eastAsia="Times New Roman" w:hAnsiTheme="majorHAnsi" w:cstheme="majorHAnsi"/>
          <w:sz w:val="24"/>
          <w:szCs w:val="24"/>
          <w:lang w:val="ru-MD" w:eastAsia="ro-RO"/>
        </w:rPr>
        <w:t>ой</w:t>
      </w:r>
      <w:r w:rsidRPr="00EC4370">
        <w:rPr>
          <w:rFonts w:asciiTheme="majorHAnsi" w:eastAsia="Times New Roman" w:hAnsiTheme="majorHAnsi" w:cstheme="majorHAnsi"/>
          <w:sz w:val="24"/>
          <w:szCs w:val="24"/>
          <w:lang w:val="ru-MD" w:eastAsia="ro-RO"/>
        </w:rPr>
        <w:t xml:space="preserve"> сделки является стран</w:t>
      </w:r>
      <w:r w:rsidR="00DD254A" w:rsidRPr="00EC4370">
        <w:rPr>
          <w:rFonts w:asciiTheme="majorHAnsi" w:eastAsia="Times New Roman" w:hAnsiTheme="majorHAnsi" w:cstheme="majorHAnsi"/>
          <w:sz w:val="24"/>
          <w:szCs w:val="24"/>
          <w:lang w:val="ru-MD" w:eastAsia="ro-RO"/>
        </w:rPr>
        <w:t>а</w:t>
      </w:r>
      <w:r w:rsidRPr="00EC4370">
        <w:rPr>
          <w:rFonts w:asciiTheme="majorHAnsi" w:eastAsia="Times New Roman" w:hAnsiTheme="majorHAnsi" w:cstheme="majorHAnsi"/>
          <w:sz w:val="24"/>
          <w:szCs w:val="24"/>
          <w:lang w:val="ru-MD" w:eastAsia="ro-RO"/>
        </w:rPr>
        <w:t xml:space="preserve">, </w:t>
      </w:r>
      <w:r w:rsidR="00DD254A" w:rsidRPr="00EC4370">
        <w:rPr>
          <w:rFonts w:asciiTheme="majorHAnsi" w:eastAsia="Times New Roman" w:hAnsiTheme="majorHAnsi" w:cstheme="majorHAnsi"/>
          <w:sz w:val="24"/>
          <w:szCs w:val="24"/>
          <w:lang w:val="ru-MD" w:eastAsia="ro-RO"/>
        </w:rPr>
        <w:t>иная чем</w:t>
      </w:r>
      <w:r w:rsidRPr="00EC4370">
        <w:rPr>
          <w:rFonts w:asciiTheme="majorHAnsi" w:eastAsia="Times New Roman" w:hAnsiTheme="majorHAnsi" w:cstheme="majorHAnsi"/>
          <w:sz w:val="24"/>
          <w:szCs w:val="24"/>
          <w:lang w:val="ru-MD" w:eastAsia="ro-RO"/>
        </w:rPr>
        <w:t xml:space="preserve"> стран</w:t>
      </w:r>
      <w:r w:rsidR="00DD254A" w:rsidRPr="00EC4370">
        <w:rPr>
          <w:rFonts w:asciiTheme="majorHAnsi" w:eastAsia="Times New Roman" w:hAnsiTheme="majorHAnsi" w:cstheme="majorHAnsi"/>
          <w:sz w:val="24"/>
          <w:szCs w:val="24"/>
          <w:lang w:val="ru-MD" w:eastAsia="ro-RO"/>
        </w:rPr>
        <w:t>а</w:t>
      </w:r>
      <w:r w:rsidRPr="00EC4370">
        <w:rPr>
          <w:rFonts w:asciiTheme="majorHAnsi" w:eastAsia="Times New Roman" w:hAnsiTheme="majorHAnsi" w:cstheme="majorHAnsi"/>
          <w:sz w:val="24"/>
          <w:szCs w:val="24"/>
          <w:lang w:val="ru-MD" w:eastAsia="ro-RO"/>
        </w:rPr>
        <w:t xml:space="preserve"> экспедиции и стран</w:t>
      </w:r>
      <w:r w:rsidR="00DD254A" w:rsidRPr="00EC4370">
        <w:rPr>
          <w:rFonts w:asciiTheme="majorHAnsi" w:eastAsia="Times New Roman" w:hAnsiTheme="majorHAnsi" w:cstheme="majorHAnsi"/>
          <w:sz w:val="24"/>
          <w:szCs w:val="24"/>
          <w:lang w:val="ru-MD" w:eastAsia="ro-RO"/>
        </w:rPr>
        <w:t>а</w:t>
      </w:r>
      <w:r w:rsidRPr="00EC4370">
        <w:rPr>
          <w:rFonts w:asciiTheme="majorHAnsi" w:eastAsia="Times New Roman" w:hAnsiTheme="majorHAnsi" w:cstheme="majorHAnsi"/>
          <w:sz w:val="24"/>
          <w:szCs w:val="24"/>
          <w:lang w:val="ru-MD" w:eastAsia="ro-RO"/>
        </w:rPr>
        <w:t xml:space="preserve"> происхождения товара, в</w:t>
      </w:r>
      <w:r w:rsidR="00EC4370" w:rsidRPr="00EC4370">
        <w:rPr>
          <w:rFonts w:asciiTheme="majorHAnsi" w:eastAsia="Times New Roman" w:hAnsiTheme="majorHAnsi" w:cstheme="majorHAnsi"/>
          <w:sz w:val="24"/>
          <w:szCs w:val="24"/>
          <w:lang w:val="ru-MD" w:eastAsia="ro-RO"/>
        </w:rPr>
        <w:t xml:space="preserve"> том числе</w:t>
      </w:r>
      <w:r w:rsidRPr="00EC4370">
        <w:rPr>
          <w:rFonts w:asciiTheme="majorHAnsi" w:eastAsia="Times New Roman" w:hAnsiTheme="majorHAnsi" w:cstheme="majorHAnsi"/>
          <w:sz w:val="24"/>
          <w:szCs w:val="24"/>
          <w:lang w:val="ru-MD" w:eastAsia="ro-RO"/>
        </w:rPr>
        <w:t xml:space="preserve"> некоторые транзакции были осуществлены через юрисдикции, которые не внедряют международные стандарты прозрачности</w:t>
      </w:r>
      <w:r w:rsidR="00EC4370" w:rsidRPr="00EC4370">
        <w:rPr>
          <w:rStyle w:val="FootnoteReference"/>
          <w:rFonts w:asciiTheme="majorHAnsi" w:eastAsia="Times New Roman" w:hAnsiTheme="majorHAnsi" w:cstheme="majorHAnsi"/>
          <w:sz w:val="24"/>
          <w:szCs w:val="24"/>
          <w:lang w:val="ru-MD" w:eastAsia="ro-RO"/>
        </w:rPr>
        <w:footnoteReference w:id="62"/>
      </w:r>
      <w:r w:rsidRPr="00EC4370">
        <w:rPr>
          <w:rFonts w:asciiTheme="majorHAnsi" w:eastAsia="Times New Roman" w:hAnsiTheme="majorHAnsi" w:cstheme="majorHAnsi"/>
          <w:sz w:val="24"/>
          <w:szCs w:val="24"/>
          <w:lang w:val="ru-MD" w:eastAsia="ro-RO"/>
        </w:rPr>
        <w:t xml:space="preserve">, </w:t>
      </w:r>
      <w:r w:rsidR="00EC4370" w:rsidRPr="00EC4370">
        <w:rPr>
          <w:rFonts w:asciiTheme="majorHAnsi" w:eastAsia="Times New Roman" w:hAnsiTheme="majorHAnsi" w:cstheme="majorHAnsi"/>
          <w:sz w:val="24"/>
          <w:szCs w:val="24"/>
          <w:lang w:val="ru-MD" w:eastAsia="ro-RO"/>
        </w:rPr>
        <w:t>ч</w:t>
      </w:r>
      <w:r w:rsidRPr="00EC4370">
        <w:rPr>
          <w:rFonts w:asciiTheme="majorHAnsi" w:eastAsia="Times New Roman" w:hAnsiTheme="majorHAnsi" w:cstheme="majorHAnsi"/>
          <w:sz w:val="24"/>
          <w:szCs w:val="24"/>
          <w:lang w:val="ru-MD" w:eastAsia="ro-RO"/>
        </w:rPr>
        <w:t>то противоречит нормативным актам</w:t>
      </w:r>
      <w:r w:rsidR="00EC4370" w:rsidRPr="00EC4370">
        <w:rPr>
          <w:rStyle w:val="FootnoteReference"/>
          <w:rFonts w:asciiTheme="majorHAnsi" w:eastAsia="Times New Roman" w:hAnsiTheme="majorHAnsi" w:cstheme="majorHAnsi"/>
          <w:sz w:val="24"/>
          <w:szCs w:val="24"/>
          <w:lang w:val="ru-MD" w:eastAsia="ro-RO"/>
        </w:rPr>
        <w:footnoteReference w:id="63"/>
      </w:r>
      <w:r w:rsidRPr="00EC4370">
        <w:rPr>
          <w:rFonts w:asciiTheme="majorHAnsi" w:eastAsia="Times New Roman" w:hAnsiTheme="majorHAnsi" w:cstheme="majorHAnsi"/>
          <w:sz w:val="24"/>
          <w:szCs w:val="24"/>
          <w:lang w:val="ru-MD" w:eastAsia="ro-RO"/>
        </w:rPr>
        <w:t>, предусматриваю</w:t>
      </w:r>
      <w:r w:rsidR="00EC4370" w:rsidRPr="00EC4370">
        <w:rPr>
          <w:rFonts w:asciiTheme="majorHAnsi" w:eastAsia="Times New Roman" w:hAnsiTheme="majorHAnsi" w:cstheme="majorHAnsi"/>
          <w:sz w:val="24"/>
          <w:szCs w:val="24"/>
          <w:lang w:val="ru-MD" w:eastAsia="ro-RO"/>
        </w:rPr>
        <w:t>щим</w:t>
      </w:r>
      <w:r w:rsidRPr="00EC4370">
        <w:rPr>
          <w:rFonts w:asciiTheme="majorHAnsi" w:eastAsia="Times New Roman" w:hAnsiTheme="majorHAnsi" w:cstheme="majorHAnsi"/>
          <w:sz w:val="24"/>
          <w:szCs w:val="24"/>
          <w:lang w:val="ru-MD" w:eastAsia="ro-RO"/>
        </w:rPr>
        <w:t xml:space="preserve">, что таможенный орган </w:t>
      </w:r>
      <w:r w:rsidR="00EC4370" w:rsidRPr="00EC4370">
        <w:rPr>
          <w:rFonts w:asciiTheme="majorHAnsi" w:eastAsia="Times New Roman" w:hAnsiTheme="majorHAnsi" w:cstheme="majorHAnsi"/>
          <w:sz w:val="24"/>
          <w:szCs w:val="24"/>
          <w:lang w:val="ru-MD" w:eastAsia="ro-RO"/>
        </w:rPr>
        <w:t>защищ</w:t>
      </w:r>
      <w:r w:rsidRPr="00EC4370">
        <w:rPr>
          <w:rFonts w:asciiTheme="majorHAnsi" w:eastAsia="Times New Roman" w:hAnsiTheme="majorHAnsi" w:cstheme="majorHAnsi"/>
          <w:sz w:val="24"/>
          <w:szCs w:val="24"/>
          <w:lang w:val="ru-MD" w:eastAsia="ro-RO"/>
        </w:rPr>
        <w:t xml:space="preserve">ает экономические интересы государства и способствует предотвращению и борьбе с отмыванием денег. Аналогично, и в 2020 году из общего </w:t>
      </w:r>
      <w:r w:rsidR="00EC4370" w:rsidRPr="00EC4370">
        <w:rPr>
          <w:rFonts w:asciiTheme="majorHAnsi" w:eastAsia="Times New Roman" w:hAnsiTheme="majorHAnsi" w:cstheme="majorHAnsi"/>
          <w:sz w:val="24"/>
          <w:szCs w:val="24"/>
          <w:lang w:val="ru-MD" w:eastAsia="ro-RO"/>
        </w:rPr>
        <w:t>объем</w:t>
      </w:r>
      <w:r w:rsidRPr="00EC4370">
        <w:rPr>
          <w:rFonts w:asciiTheme="majorHAnsi" w:eastAsia="Times New Roman" w:hAnsiTheme="majorHAnsi" w:cstheme="majorHAnsi"/>
          <w:sz w:val="24"/>
          <w:szCs w:val="24"/>
          <w:lang w:val="ru-MD" w:eastAsia="ro-RO"/>
        </w:rPr>
        <w:t xml:space="preserve">а </w:t>
      </w:r>
      <w:r w:rsidR="00EC4370" w:rsidRPr="00EC4370">
        <w:rPr>
          <w:rFonts w:asciiTheme="majorHAnsi" w:eastAsia="Times New Roman" w:hAnsiTheme="majorHAnsi" w:cstheme="majorHAnsi"/>
          <w:sz w:val="24"/>
          <w:szCs w:val="24"/>
          <w:lang w:val="ru-MD" w:eastAsia="ro-RO"/>
        </w:rPr>
        <w:t xml:space="preserve">603,5 тыс. тонн </w:t>
      </w:r>
      <w:r w:rsidRPr="00EC4370">
        <w:rPr>
          <w:rFonts w:asciiTheme="majorHAnsi" w:eastAsia="Times New Roman" w:hAnsiTheme="majorHAnsi" w:cstheme="majorHAnsi"/>
          <w:sz w:val="24"/>
          <w:szCs w:val="24"/>
          <w:lang w:val="ru-MD" w:eastAsia="ro-RO"/>
        </w:rPr>
        <w:t>импортируем</w:t>
      </w:r>
      <w:r w:rsidR="00EC4370" w:rsidRPr="00EC4370">
        <w:rPr>
          <w:rFonts w:asciiTheme="majorHAnsi" w:eastAsia="Times New Roman" w:hAnsiTheme="majorHAnsi" w:cstheme="majorHAnsi"/>
          <w:sz w:val="24"/>
          <w:szCs w:val="24"/>
          <w:lang w:val="ru-MD" w:eastAsia="ro-RO"/>
        </w:rPr>
        <w:t>ого</w:t>
      </w:r>
      <w:r w:rsidRPr="00EC4370">
        <w:rPr>
          <w:rFonts w:asciiTheme="majorHAnsi" w:eastAsia="Times New Roman" w:hAnsiTheme="majorHAnsi" w:cstheme="majorHAnsi"/>
          <w:sz w:val="24"/>
          <w:szCs w:val="24"/>
          <w:lang w:val="ru-MD" w:eastAsia="ro-RO"/>
        </w:rPr>
        <w:t xml:space="preserve"> дизельного топлива</w:t>
      </w:r>
      <w:r w:rsidR="00EC4370" w:rsidRPr="00EC4370">
        <w:rPr>
          <w:rFonts w:asciiTheme="majorHAnsi" w:eastAsia="Times New Roman" w:hAnsiTheme="majorHAnsi" w:cstheme="majorHAnsi"/>
          <w:sz w:val="24"/>
          <w:szCs w:val="24"/>
          <w:lang w:val="ru-MD" w:eastAsia="ro-RO"/>
        </w:rPr>
        <w:t>,</w:t>
      </w:r>
      <w:r w:rsidRPr="00EC4370">
        <w:rPr>
          <w:rFonts w:asciiTheme="majorHAnsi" w:eastAsia="Times New Roman" w:hAnsiTheme="majorHAnsi" w:cstheme="majorHAnsi"/>
          <w:sz w:val="24"/>
          <w:szCs w:val="24"/>
          <w:lang w:val="ru-MD" w:eastAsia="ro-RO"/>
        </w:rPr>
        <w:t xml:space="preserve"> три экономических агента импортировали 21,8 тыс. тонн дизельного топлива на сумму 171,9 млн.</w:t>
      </w:r>
      <w:r w:rsidR="00EC4370" w:rsidRPr="00EC4370">
        <w:rPr>
          <w:rFonts w:asciiTheme="majorHAnsi" w:eastAsia="Times New Roman" w:hAnsiTheme="majorHAnsi" w:cstheme="majorHAnsi"/>
          <w:sz w:val="24"/>
          <w:szCs w:val="24"/>
          <w:lang w:val="ru-MD" w:eastAsia="ro-RO"/>
        </w:rPr>
        <w:t xml:space="preserve"> </w:t>
      </w:r>
      <w:r w:rsidRPr="00EC4370">
        <w:rPr>
          <w:rFonts w:asciiTheme="majorHAnsi" w:eastAsia="Times New Roman" w:hAnsiTheme="majorHAnsi" w:cstheme="majorHAnsi"/>
          <w:sz w:val="24"/>
          <w:szCs w:val="24"/>
          <w:lang w:val="ru-MD" w:eastAsia="ro-RO"/>
        </w:rPr>
        <w:t>ле</w:t>
      </w:r>
      <w:r w:rsidR="00EC4370" w:rsidRPr="00EC4370">
        <w:rPr>
          <w:rFonts w:asciiTheme="majorHAnsi" w:eastAsia="Times New Roman" w:hAnsiTheme="majorHAnsi" w:cstheme="majorHAnsi"/>
          <w:sz w:val="24"/>
          <w:szCs w:val="24"/>
          <w:lang w:val="ru-MD" w:eastAsia="ro-RO"/>
        </w:rPr>
        <w:t>ев</w:t>
      </w:r>
      <w:r w:rsidRPr="00EC4370">
        <w:rPr>
          <w:rFonts w:asciiTheme="majorHAnsi" w:eastAsia="Times New Roman" w:hAnsiTheme="majorHAnsi" w:cstheme="majorHAnsi"/>
          <w:sz w:val="24"/>
          <w:szCs w:val="24"/>
          <w:lang w:val="ru-MD" w:eastAsia="ro-RO"/>
        </w:rPr>
        <w:t xml:space="preserve"> через посредников, в том числе некоторые сделки осуществлялись через юрисдикции, которые не внедряют международные стандарты прозрачности</w:t>
      </w:r>
      <w:r w:rsidR="00F554D9" w:rsidRPr="00EC4370">
        <w:rPr>
          <w:rStyle w:val="FootnoteReference"/>
          <w:rFonts w:asciiTheme="majorHAnsi" w:eastAsia="Times New Roman" w:hAnsiTheme="majorHAnsi" w:cstheme="majorHAnsi"/>
          <w:sz w:val="24"/>
          <w:szCs w:val="24"/>
          <w:lang w:val="ru-MD" w:eastAsia="ro-RO"/>
        </w:rPr>
        <w:footnoteReference w:id="64"/>
      </w:r>
      <w:r w:rsidR="0021133C" w:rsidRPr="00EC4370">
        <w:rPr>
          <w:rFonts w:asciiTheme="majorHAnsi" w:eastAsia="Times New Roman" w:hAnsiTheme="majorHAnsi" w:cstheme="majorHAnsi"/>
          <w:sz w:val="24"/>
          <w:szCs w:val="24"/>
          <w:lang w:val="ru-MD" w:eastAsia="ro-RO"/>
        </w:rPr>
        <w:t>.</w:t>
      </w:r>
    </w:p>
    <w:p w14:paraId="7B0DCEAE" w14:textId="05C19054" w:rsidR="00A42541" w:rsidRDefault="00522974" w:rsidP="00522974">
      <w:pPr>
        <w:tabs>
          <w:tab w:val="left" w:pos="851"/>
          <w:tab w:val="left" w:pos="1134"/>
        </w:tabs>
        <w:spacing w:after="120"/>
        <w:ind w:firstLine="567"/>
        <w:contextualSpacing/>
        <w:jc w:val="both"/>
        <w:outlineLvl w:val="2"/>
        <w:rPr>
          <w:rFonts w:asciiTheme="majorHAnsi" w:hAnsiTheme="majorHAnsi" w:cstheme="majorHAnsi"/>
          <w:b/>
          <w:sz w:val="24"/>
          <w:szCs w:val="24"/>
          <w:lang w:val="ro-RO"/>
        </w:rPr>
      </w:pPr>
      <w:bookmarkStart w:id="58" w:name="_Toc127129412"/>
      <w:r w:rsidRPr="00B20FBD">
        <w:rPr>
          <w:rFonts w:asciiTheme="majorHAnsi" w:hAnsiTheme="majorHAnsi" w:cstheme="majorHAnsi"/>
          <w:b/>
          <w:sz w:val="24"/>
          <w:szCs w:val="24"/>
          <w:lang w:val="ro-RO"/>
        </w:rPr>
        <w:t>4.3.</w:t>
      </w:r>
      <w:r w:rsidR="006D64A7" w:rsidRPr="00B20FBD">
        <w:rPr>
          <w:rFonts w:asciiTheme="majorHAnsi" w:hAnsiTheme="majorHAnsi" w:cstheme="majorHAnsi"/>
          <w:b/>
          <w:sz w:val="24"/>
          <w:szCs w:val="24"/>
          <w:lang w:val="ro-RO"/>
        </w:rPr>
        <w:t>4</w:t>
      </w:r>
      <w:r w:rsidRPr="00B20FBD">
        <w:rPr>
          <w:rFonts w:asciiTheme="majorHAnsi" w:hAnsiTheme="majorHAnsi" w:cstheme="majorHAnsi"/>
          <w:b/>
          <w:sz w:val="24"/>
          <w:szCs w:val="24"/>
          <w:lang w:val="ro-RO"/>
        </w:rPr>
        <w:t xml:space="preserve">. </w:t>
      </w:r>
      <w:r w:rsidR="00A42541" w:rsidRPr="00B20FBD">
        <w:rPr>
          <w:rFonts w:asciiTheme="majorHAnsi" w:hAnsiTheme="majorHAnsi" w:cstheme="majorHAnsi"/>
          <w:b/>
          <w:sz w:val="24"/>
          <w:szCs w:val="24"/>
          <w:lang w:val="ro-RO"/>
        </w:rPr>
        <w:t xml:space="preserve"> </w:t>
      </w:r>
      <w:r w:rsidR="00D15E81" w:rsidRPr="00DA4815">
        <w:rPr>
          <w:rFonts w:asciiTheme="majorHAnsi" w:hAnsiTheme="majorHAnsi" w:cstheme="majorHAnsi"/>
          <w:b/>
          <w:sz w:val="24"/>
          <w:szCs w:val="24"/>
          <w:lang w:val="ru-MD"/>
        </w:rPr>
        <w:t>Нормативная база, регулирующая деятельность по таможенному оформлению товаров, п</w:t>
      </w:r>
      <w:r w:rsidR="00DA4815" w:rsidRPr="00DA4815">
        <w:rPr>
          <w:rFonts w:asciiTheme="majorHAnsi" w:hAnsiTheme="majorHAnsi" w:cstheme="majorHAnsi"/>
          <w:b/>
          <w:sz w:val="24"/>
          <w:szCs w:val="24"/>
          <w:lang w:val="ru-MD"/>
        </w:rPr>
        <w:t>роисходящих от</w:t>
      </w:r>
      <w:r w:rsidR="00D15E81" w:rsidRPr="00DA4815">
        <w:rPr>
          <w:rFonts w:asciiTheme="majorHAnsi" w:hAnsiTheme="majorHAnsi" w:cstheme="majorHAnsi"/>
          <w:b/>
          <w:sz w:val="24"/>
          <w:szCs w:val="24"/>
          <w:lang w:val="ru-MD"/>
        </w:rPr>
        <w:t xml:space="preserve"> внешнеэкономических операций, и содействи</w:t>
      </w:r>
      <w:r w:rsidR="00DA4815" w:rsidRPr="00DA4815">
        <w:rPr>
          <w:rFonts w:asciiTheme="majorHAnsi" w:hAnsiTheme="majorHAnsi" w:cstheme="majorHAnsi"/>
          <w:b/>
          <w:sz w:val="24"/>
          <w:szCs w:val="24"/>
          <w:lang w:val="ru-MD"/>
        </w:rPr>
        <w:t>ю</w:t>
      </w:r>
      <w:r w:rsidR="00D15E81" w:rsidRPr="00DA4815">
        <w:rPr>
          <w:rFonts w:asciiTheme="majorHAnsi" w:hAnsiTheme="majorHAnsi" w:cstheme="majorHAnsi"/>
          <w:b/>
          <w:sz w:val="24"/>
          <w:szCs w:val="24"/>
          <w:lang w:val="ru-MD"/>
        </w:rPr>
        <w:t xml:space="preserve"> торговле требует улучшения</w:t>
      </w:r>
      <w:r w:rsidR="00A42541" w:rsidRPr="00B20FBD">
        <w:rPr>
          <w:rFonts w:asciiTheme="majorHAnsi" w:hAnsiTheme="majorHAnsi" w:cstheme="majorHAnsi"/>
          <w:b/>
          <w:sz w:val="24"/>
          <w:szCs w:val="24"/>
          <w:lang w:val="ro-RO"/>
        </w:rPr>
        <w:t>.</w:t>
      </w:r>
      <w:bookmarkEnd w:id="58"/>
    </w:p>
    <w:p w14:paraId="5BBEEBCF" w14:textId="77777777" w:rsidR="008C07BF" w:rsidRPr="00EB3AB7" w:rsidRDefault="008C07BF" w:rsidP="00522974">
      <w:pPr>
        <w:tabs>
          <w:tab w:val="left" w:pos="851"/>
          <w:tab w:val="left" w:pos="1134"/>
        </w:tabs>
        <w:spacing w:after="120"/>
        <w:ind w:firstLine="567"/>
        <w:contextualSpacing/>
        <w:jc w:val="both"/>
        <w:outlineLvl w:val="2"/>
        <w:rPr>
          <w:rFonts w:asciiTheme="majorHAnsi" w:hAnsiTheme="majorHAnsi" w:cstheme="majorHAnsi"/>
          <w:b/>
          <w:sz w:val="24"/>
          <w:szCs w:val="24"/>
          <w:lang w:val="ru-MD"/>
        </w:rPr>
      </w:pPr>
    </w:p>
    <w:p w14:paraId="4669551E" w14:textId="4FEB4410" w:rsidR="008A28A2" w:rsidRPr="00EB3AB7" w:rsidRDefault="00AE7A3B" w:rsidP="008A28A2">
      <w:pPr>
        <w:spacing w:after="120"/>
        <w:jc w:val="both"/>
        <w:rPr>
          <w:rFonts w:asciiTheme="majorHAnsi" w:eastAsia="Times New Roman" w:hAnsiTheme="majorHAnsi" w:cstheme="majorHAnsi"/>
          <w:sz w:val="24"/>
          <w:szCs w:val="24"/>
          <w:lang w:val="ru-MD"/>
        </w:rPr>
      </w:pPr>
      <w:r w:rsidRPr="00EB3AB7">
        <w:rPr>
          <w:rFonts w:asciiTheme="majorHAnsi" w:hAnsiTheme="majorHAnsi" w:cstheme="majorHAnsi"/>
          <w:sz w:val="24"/>
          <w:szCs w:val="24"/>
          <w:lang w:val="ru-MD"/>
        </w:rPr>
        <w:t>З</w:t>
      </w:r>
      <w:r w:rsidR="001F207A" w:rsidRPr="00EB3AB7">
        <w:rPr>
          <w:rFonts w:asciiTheme="majorHAnsi" w:hAnsiTheme="majorHAnsi" w:cstheme="majorHAnsi"/>
          <w:sz w:val="24"/>
          <w:szCs w:val="24"/>
          <w:lang w:val="ru-MD"/>
        </w:rPr>
        <w:t>акон</w:t>
      </w:r>
      <w:r w:rsidRPr="00EB3AB7">
        <w:rPr>
          <w:rFonts w:asciiTheme="majorHAnsi" w:hAnsiTheme="majorHAnsi" w:cstheme="majorHAnsi"/>
          <w:sz w:val="24"/>
          <w:szCs w:val="24"/>
          <w:lang w:val="ru-MD"/>
        </w:rPr>
        <w:t>ом</w:t>
      </w:r>
      <w:r w:rsidR="001F207A" w:rsidRPr="00EB3AB7">
        <w:rPr>
          <w:rFonts w:asciiTheme="majorHAnsi" w:hAnsiTheme="majorHAnsi" w:cstheme="majorHAnsi"/>
          <w:sz w:val="24"/>
          <w:szCs w:val="24"/>
          <w:lang w:val="ru-MD"/>
        </w:rPr>
        <w:t xml:space="preserve"> №112 от 02.07.2014 Республика Молдова ратифицировала </w:t>
      </w:r>
      <w:r w:rsidRPr="00EB3AB7">
        <w:rPr>
          <w:rFonts w:asciiTheme="majorHAnsi" w:hAnsiTheme="majorHAnsi" w:cstheme="majorHAnsi"/>
          <w:sz w:val="24"/>
          <w:szCs w:val="24"/>
          <w:lang w:val="ru-MD"/>
        </w:rPr>
        <w:t>С</w:t>
      </w:r>
      <w:r w:rsidR="001F207A" w:rsidRPr="00EB3AB7">
        <w:rPr>
          <w:rFonts w:asciiTheme="majorHAnsi" w:hAnsiTheme="majorHAnsi" w:cstheme="majorHAnsi"/>
          <w:sz w:val="24"/>
          <w:szCs w:val="24"/>
          <w:lang w:val="ru-MD"/>
        </w:rPr>
        <w:t>оглашение об ассоциации между Европейским Союзом и Европейским Сообществом по атомной энергии</w:t>
      </w:r>
      <w:r w:rsidRPr="00EB3AB7">
        <w:rPr>
          <w:rStyle w:val="FootnoteReference"/>
          <w:rFonts w:asciiTheme="majorHAnsi" w:hAnsiTheme="majorHAnsi" w:cstheme="majorHAnsi"/>
          <w:sz w:val="24"/>
          <w:szCs w:val="24"/>
          <w:lang w:val="ru-MD"/>
        </w:rPr>
        <w:footnoteReference w:id="65"/>
      </w:r>
      <w:r w:rsidR="001F207A" w:rsidRPr="00EB3AB7">
        <w:rPr>
          <w:rFonts w:asciiTheme="majorHAnsi" w:hAnsiTheme="majorHAnsi" w:cstheme="majorHAnsi"/>
          <w:sz w:val="24"/>
          <w:szCs w:val="24"/>
          <w:lang w:val="ru-MD"/>
        </w:rPr>
        <w:t>, а Постановлениями Правительства</w:t>
      </w:r>
      <w:r w:rsidRPr="00EB3AB7">
        <w:rPr>
          <w:rStyle w:val="FootnoteReference"/>
          <w:rFonts w:asciiTheme="majorHAnsi" w:hAnsiTheme="majorHAnsi" w:cstheme="majorHAnsi"/>
          <w:sz w:val="24"/>
          <w:szCs w:val="24"/>
          <w:lang w:val="ru-MD"/>
        </w:rPr>
        <w:footnoteReference w:id="66"/>
      </w:r>
      <w:r w:rsidR="001F207A" w:rsidRPr="00EB3AB7">
        <w:rPr>
          <w:rFonts w:asciiTheme="majorHAnsi" w:hAnsiTheme="majorHAnsi" w:cstheme="majorHAnsi"/>
          <w:sz w:val="24"/>
          <w:szCs w:val="24"/>
          <w:lang w:val="ru-MD"/>
        </w:rPr>
        <w:t xml:space="preserve"> были утверждены два </w:t>
      </w:r>
      <w:r w:rsidRPr="00EB3AB7">
        <w:rPr>
          <w:rFonts w:asciiTheme="majorHAnsi" w:hAnsiTheme="majorHAnsi" w:cstheme="majorHAnsi"/>
          <w:sz w:val="24"/>
          <w:szCs w:val="24"/>
          <w:lang w:val="ru-MD"/>
        </w:rPr>
        <w:t>Н</w:t>
      </w:r>
      <w:r w:rsidR="001F207A" w:rsidRPr="00EB3AB7">
        <w:rPr>
          <w:rFonts w:asciiTheme="majorHAnsi" w:hAnsiTheme="majorHAnsi" w:cstheme="majorHAnsi"/>
          <w:sz w:val="24"/>
          <w:szCs w:val="24"/>
          <w:lang w:val="ru-MD"/>
        </w:rPr>
        <w:t>ациональных плана действий по внедрению Соглашения об ассоциации Республика Молдова-Европейский Союз, согласно котор</w:t>
      </w:r>
      <w:r w:rsidRPr="00EB3AB7">
        <w:rPr>
          <w:rFonts w:asciiTheme="majorHAnsi" w:hAnsiTheme="majorHAnsi" w:cstheme="majorHAnsi"/>
          <w:sz w:val="24"/>
          <w:szCs w:val="24"/>
          <w:lang w:val="ru-MD"/>
        </w:rPr>
        <w:t>ым</w:t>
      </w:r>
      <w:r w:rsidR="001F207A" w:rsidRPr="00EB3AB7">
        <w:rPr>
          <w:rFonts w:asciiTheme="majorHAnsi" w:hAnsiTheme="majorHAnsi" w:cstheme="majorHAnsi"/>
          <w:sz w:val="24"/>
          <w:szCs w:val="24"/>
          <w:lang w:val="ru-MD"/>
        </w:rPr>
        <w:t xml:space="preserve"> для </w:t>
      </w:r>
      <w:r w:rsidRPr="00EB3AB7">
        <w:rPr>
          <w:rFonts w:asciiTheme="majorHAnsi" w:hAnsiTheme="majorHAnsi" w:cstheme="majorHAnsi"/>
          <w:sz w:val="24"/>
          <w:szCs w:val="24"/>
          <w:lang w:val="ru-MD"/>
        </w:rPr>
        <w:t>глав, касающихся Т</w:t>
      </w:r>
      <w:r w:rsidR="001F207A" w:rsidRPr="00EB3AB7">
        <w:rPr>
          <w:rFonts w:asciiTheme="majorHAnsi" w:hAnsiTheme="majorHAnsi" w:cstheme="majorHAnsi"/>
          <w:sz w:val="24"/>
          <w:szCs w:val="24"/>
          <w:lang w:val="ru-MD"/>
        </w:rPr>
        <w:t>аможенной службы</w:t>
      </w:r>
      <w:r w:rsidRPr="00EB3AB7">
        <w:rPr>
          <w:rFonts w:asciiTheme="majorHAnsi" w:hAnsiTheme="majorHAnsi" w:cstheme="majorHAnsi"/>
          <w:sz w:val="24"/>
          <w:szCs w:val="24"/>
          <w:lang w:val="ru-MD"/>
        </w:rPr>
        <w:t>,</w:t>
      </w:r>
      <w:r w:rsidR="001F207A" w:rsidRPr="00EB3AB7">
        <w:rPr>
          <w:rFonts w:asciiTheme="majorHAnsi" w:hAnsiTheme="majorHAnsi" w:cstheme="majorHAnsi"/>
          <w:sz w:val="24"/>
          <w:szCs w:val="24"/>
          <w:lang w:val="ru-MD"/>
        </w:rPr>
        <w:t xml:space="preserve"> были установлены два срока реализации, 2014-2016 и</w:t>
      </w:r>
      <w:r w:rsidRPr="00EB3AB7">
        <w:rPr>
          <w:rFonts w:asciiTheme="majorHAnsi" w:hAnsiTheme="majorHAnsi" w:cstheme="majorHAnsi"/>
          <w:sz w:val="24"/>
          <w:szCs w:val="24"/>
          <w:lang w:val="ru-MD"/>
        </w:rPr>
        <w:t>,</w:t>
      </w:r>
      <w:r w:rsidR="001F207A" w:rsidRPr="00EB3AB7">
        <w:rPr>
          <w:rFonts w:asciiTheme="majorHAnsi" w:hAnsiTheme="majorHAnsi" w:cstheme="majorHAnsi"/>
          <w:sz w:val="24"/>
          <w:szCs w:val="24"/>
          <w:lang w:val="ru-MD"/>
        </w:rPr>
        <w:t xml:space="preserve"> </w:t>
      </w:r>
      <w:r w:rsidRPr="00EB3AB7">
        <w:rPr>
          <w:rFonts w:asciiTheme="majorHAnsi" w:hAnsiTheme="majorHAnsi" w:cstheme="majorHAnsi"/>
          <w:sz w:val="24"/>
          <w:szCs w:val="24"/>
          <w:lang w:val="ru-MD"/>
        </w:rPr>
        <w:t xml:space="preserve">соответственно, </w:t>
      </w:r>
      <w:r w:rsidR="001F207A" w:rsidRPr="00EB3AB7">
        <w:rPr>
          <w:rFonts w:asciiTheme="majorHAnsi" w:hAnsiTheme="majorHAnsi" w:cstheme="majorHAnsi"/>
          <w:sz w:val="24"/>
          <w:szCs w:val="24"/>
          <w:lang w:val="ru-MD"/>
        </w:rPr>
        <w:t xml:space="preserve">2017-2019 годы. Так, согласно </w:t>
      </w:r>
      <w:r w:rsidRPr="00EB3AB7">
        <w:rPr>
          <w:rFonts w:asciiTheme="majorHAnsi" w:hAnsiTheme="majorHAnsi" w:cstheme="majorHAnsi"/>
          <w:sz w:val="24"/>
          <w:szCs w:val="24"/>
          <w:lang w:val="ru-MD"/>
        </w:rPr>
        <w:t>Г</w:t>
      </w:r>
      <w:r w:rsidR="001F207A" w:rsidRPr="00EB3AB7">
        <w:rPr>
          <w:rFonts w:asciiTheme="majorHAnsi" w:hAnsiTheme="majorHAnsi" w:cstheme="majorHAnsi"/>
          <w:sz w:val="24"/>
          <w:szCs w:val="24"/>
          <w:lang w:val="ru-MD"/>
        </w:rPr>
        <w:t>лаве 5</w:t>
      </w:r>
      <w:r w:rsidRPr="00EB3AB7">
        <w:rPr>
          <w:rFonts w:asciiTheme="majorHAnsi" w:hAnsiTheme="majorHAnsi" w:cstheme="majorHAnsi"/>
          <w:sz w:val="24"/>
          <w:szCs w:val="24"/>
          <w:lang w:val="ru-MD"/>
        </w:rPr>
        <w:t xml:space="preserve"> „Таможенные вопросы и содействие торговле</w:t>
      </w:r>
      <w:r w:rsidR="001F207A" w:rsidRPr="00EB3AB7">
        <w:rPr>
          <w:rFonts w:asciiTheme="majorHAnsi" w:hAnsiTheme="majorHAnsi" w:cstheme="majorHAnsi"/>
          <w:sz w:val="24"/>
          <w:szCs w:val="24"/>
          <w:lang w:val="ru-MD"/>
        </w:rPr>
        <w:t xml:space="preserve">” </w:t>
      </w:r>
      <w:r w:rsidRPr="00EB3AB7">
        <w:rPr>
          <w:rFonts w:asciiTheme="majorHAnsi" w:hAnsiTheme="majorHAnsi" w:cstheme="majorHAnsi"/>
          <w:sz w:val="24"/>
          <w:szCs w:val="24"/>
          <w:lang w:val="ru-MD"/>
        </w:rPr>
        <w:t>соответствующих Н</w:t>
      </w:r>
      <w:r w:rsidR="001F207A" w:rsidRPr="00EB3AB7">
        <w:rPr>
          <w:rFonts w:asciiTheme="majorHAnsi" w:hAnsiTheme="majorHAnsi" w:cstheme="majorHAnsi"/>
          <w:sz w:val="24"/>
          <w:szCs w:val="24"/>
          <w:lang w:val="ru-MD"/>
        </w:rPr>
        <w:t>ациональных планов действий, предусм</w:t>
      </w:r>
      <w:r w:rsidRPr="00EB3AB7">
        <w:rPr>
          <w:rFonts w:asciiTheme="majorHAnsi" w:hAnsiTheme="majorHAnsi" w:cstheme="majorHAnsi"/>
          <w:sz w:val="24"/>
          <w:szCs w:val="24"/>
          <w:lang w:val="ru-MD"/>
        </w:rPr>
        <w:t>атривалось, что ТС</w:t>
      </w:r>
      <w:r w:rsidR="001F207A" w:rsidRPr="00EB3AB7">
        <w:rPr>
          <w:rFonts w:asciiTheme="majorHAnsi" w:hAnsiTheme="majorHAnsi" w:cstheme="majorHAnsi"/>
          <w:sz w:val="24"/>
          <w:szCs w:val="24"/>
          <w:lang w:val="ru-MD"/>
        </w:rPr>
        <w:t xml:space="preserve"> должн</w:t>
      </w:r>
      <w:r w:rsidRPr="00EB3AB7">
        <w:rPr>
          <w:rFonts w:asciiTheme="majorHAnsi" w:hAnsiTheme="majorHAnsi" w:cstheme="majorHAnsi"/>
          <w:sz w:val="24"/>
          <w:szCs w:val="24"/>
          <w:lang w:val="ru-MD"/>
        </w:rPr>
        <w:t>а</w:t>
      </w:r>
      <w:r w:rsidR="001F207A" w:rsidRPr="00EB3AB7">
        <w:rPr>
          <w:rFonts w:asciiTheme="majorHAnsi" w:hAnsiTheme="majorHAnsi" w:cstheme="majorHAnsi"/>
          <w:sz w:val="24"/>
          <w:szCs w:val="24"/>
          <w:lang w:val="ru-MD"/>
        </w:rPr>
        <w:t xml:space="preserve"> был</w:t>
      </w:r>
      <w:r w:rsidRPr="00EB3AB7">
        <w:rPr>
          <w:rFonts w:asciiTheme="majorHAnsi" w:hAnsiTheme="majorHAnsi" w:cstheme="majorHAnsi"/>
          <w:sz w:val="24"/>
          <w:szCs w:val="24"/>
          <w:lang w:val="ru-MD"/>
        </w:rPr>
        <w:t>а</w:t>
      </w:r>
      <w:r w:rsidR="001F207A" w:rsidRPr="00EB3AB7">
        <w:rPr>
          <w:rFonts w:asciiTheme="majorHAnsi" w:hAnsiTheme="majorHAnsi" w:cstheme="majorHAnsi"/>
          <w:sz w:val="24"/>
          <w:szCs w:val="24"/>
          <w:lang w:val="ru-MD"/>
        </w:rPr>
        <w:t xml:space="preserve"> </w:t>
      </w:r>
      <w:r w:rsidR="00854D0A" w:rsidRPr="00EB3AB7">
        <w:rPr>
          <w:rFonts w:asciiTheme="majorHAnsi" w:hAnsiTheme="majorHAnsi" w:cstheme="majorHAnsi"/>
          <w:sz w:val="24"/>
          <w:szCs w:val="24"/>
          <w:lang w:val="ru-MD"/>
        </w:rPr>
        <w:t>реализова</w:t>
      </w:r>
      <w:r w:rsidR="001F207A" w:rsidRPr="00EB3AB7">
        <w:rPr>
          <w:rFonts w:asciiTheme="majorHAnsi" w:hAnsiTheme="majorHAnsi" w:cstheme="majorHAnsi"/>
          <w:sz w:val="24"/>
          <w:szCs w:val="24"/>
          <w:lang w:val="ru-MD"/>
        </w:rPr>
        <w:t>ть 10 действий</w:t>
      </w:r>
      <w:r w:rsidR="00854D0A" w:rsidRPr="00EB3AB7">
        <w:rPr>
          <w:rFonts w:asciiTheme="majorHAnsi" w:hAnsiTheme="majorHAnsi" w:cstheme="majorHAnsi"/>
          <w:sz w:val="24"/>
          <w:szCs w:val="24"/>
          <w:lang w:val="ru-MD"/>
        </w:rPr>
        <w:t>,</w:t>
      </w:r>
      <w:r w:rsidR="001F207A" w:rsidRPr="00EB3AB7">
        <w:rPr>
          <w:rFonts w:asciiTheme="majorHAnsi" w:hAnsiTheme="majorHAnsi" w:cstheme="majorHAnsi"/>
          <w:sz w:val="24"/>
          <w:szCs w:val="24"/>
          <w:lang w:val="ru-MD"/>
        </w:rPr>
        <w:t xml:space="preserve"> с крайним сроком реализации 2016 и</w:t>
      </w:r>
      <w:r w:rsidR="00854D0A" w:rsidRPr="00EB3AB7">
        <w:rPr>
          <w:rFonts w:asciiTheme="majorHAnsi" w:hAnsiTheme="majorHAnsi" w:cstheme="majorHAnsi"/>
          <w:sz w:val="24"/>
          <w:szCs w:val="24"/>
          <w:lang w:val="ru-MD"/>
        </w:rPr>
        <w:t>,</w:t>
      </w:r>
      <w:r w:rsidR="001F207A" w:rsidRPr="00EB3AB7">
        <w:rPr>
          <w:rFonts w:asciiTheme="majorHAnsi" w:hAnsiTheme="majorHAnsi" w:cstheme="majorHAnsi"/>
          <w:sz w:val="24"/>
          <w:szCs w:val="24"/>
          <w:lang w:val="ru-MD"/>
        </w:rPr>
        <w:t xml:space="preserve"> </w:t>
      </w:r>
      <w:r w:rsidR="00854D0A" w:rsidRPr="00EB3AB7">
        <w:rPr>
          <w:rFonts w:asciiTheme="majorHAnsi" w:hAnsiTheme="majorHAnsi" w:cstheme="majorHAnsi"/>
          <w:sz w:val="24"/>
          <w:szCs w:val="24"/>
          <w:lang w:val="ru-MD"/>
        </w:rPr>
        <w:t xml:space="preserve">соответственно, </w:t>
      </w:r>
      <w:r w:rsidR="001F207A" w:rsidRPr="00EB3AB7">
        <w:rPr>
          <w:rFonts w:asciiTheme="majorHAnsi" w:hAnsiTheme="majorHAnsi" w:cstheme="majorHAnsi"/>
          <w:sz w:val="24"/>
          <w:szCs w:val="24"/>
          <w:lang w:val="ru-MD"/>
        </w:rPr>
        <w:t>2019 год</w:t>
      </w:r>
      <w:r w:rsidR="00854D0A" w:rsidRPr="00EB3AB7">
        <w:rPr>
          <w:rFonts w:asciiTheme="majorHAnsi" w:hAnsiTheme="majorHAnsi" w:cstheme="majorHAnsi"/>
          <w:sz w:val="24"/>
          <w:szCs w:val="24"/>
          <w:lang w:val="ru-MD"/>
        </w:rPr>
        <w:t>ы,</w:t>
      </w:r>
      <w:r w:rsidR="001F207A" w:rsidRPr="00EB3AB7">
        <w:rPr>
          <w:rFonts w:asciiTheme="majorHAnsi" w:hAnsiTheme="majorHAnsi" w:cstheme="majorHAnsi"/>
          <w:sz w:val="24"/>
          <w:szCs w:val="24"/>
          <w:lang w:val="ru-MD"/>
        </w:rPr>
        <w:t xml:space="preserve"> </w:t>
      </w:r>
      <w:r w:rsidR="00854D0A" w:rsidRPr="00EB3AB7">
        <w:rPr>
          <w:rFonts w:asciiTheme="majorHAnsi" w:hAnsiTheme="majorHAnsi" w:cstheme="majorHAnsi"/>
          <w:sz w:val="24"/>
          <w:szCs w:val="24"/>
          <w:lang w:val="ru-MD"/>
        </w:rPr>
        <w:t xml:space="preserve">а </w:t>
      </w:r>
      <w:r w:rsidR="001F207A" w:rsidRPr="00EB3AB7">
        <w:rPr>
          <w:rFonts w:asciiTheme="majorHAnsi" w:hAnsiTheme="majorHAnsi" w:cstheme="majorHAnsi"/>
          <w:sz w:val="24"/>
          <w:szCs w:val="24"/>
          <w:lang w:val="ru-MD"/>
        </w:rPr>
        <w:t>одной из наиболее важных целей</w:t>
      </w:r>
      <w:r w:rsidR="00854D0A" w:rsidRPr="00EB3AB7">
        <w:rPr>
          <w:rStyle w:val="FootnoteReference"/>
          <w:rFonts w:asciiTheme="majorHAnsi" w:hAnsiTheme="majorHAnsi" w:cstheme="majorHAnsi"/>
          <w:sz w:val="24"/>
          <w:szCs w:val="24"/>
          <w:lang w:val="ru-MD"/>
        </w:rPr>
        <w:footnoteReference w:id="67"/>
      </w:r>
      <w:r w:rsidR="001F207A" w:rsidRPr="00EB3AB7">
        <w:rPr>
          <w:rFonts w:asciiTheme="majorHAnsi" w:hAnsiTheme="majorHAnsi" w:cstheme="majorHAnsi"/>
          <w:sz w:val="24"/>
          <w:szCs w:val="24"/>
          <w:lang w:val="ru-MD"/>
        </w:rPr>
        <w:t xml:space="preserve"> явля</w:t>
      </w:r>
      <w:r w:rsidR="00854D0A" w:rsidRPr="00EB3AB7">
        <w:rPr>
          <w:rFonts w:asciiTheme="majorHAnsi" w:hAnsiTheme="majorHAnsi" w:cstheme="majorHAnsi"/>
          <w:sz w:val="24"/>
          <w:szCs w:val="24"/>
          <w:lang w:val="ru-MD"/>
        </w:rPr>
        <w:t>лось</w:t>
      </w:r>
      <w:r w:rsidR="001F207A" w:rsidRPr="00EB3AB7">
        <w:rPr>
          <w:rFonts w:asciiTheme="majorHAnsi" w:hAnsiTheme="majorHAnsi" w:cstheme="majorHAnsi"/>
          <w:sz w:val="24"/>
          <w:szCs w:val="24"/>
          <w:lang w:val="ru-MD"/>
        </w:rPr>
        <w:t xml:space="preserve"> содействие торговле путем при</w:t>
      </w:r>
      <w:r w:rsidR="00854D0A" w:rsidRPr="00EB3AB7">
        <w:rPr>
          <w:rFonts w:asciiTheme="majorHAnsi" w:hAnsiTheme="majorHAnsi" w:cstheme="majorHAnsi"/>
          <w:sz w:val="24"/>
          <w:szCs w:val="24"/>
          <w:lang w:val="ru-MD"/>
        </w:rPr>
        <w:t>вед</w:t>
      </w:r>
      <w:r w:rsidR="001F207A" w:rsidRPr="00EB3AB7">
        <w:rPr>
          <w:rFonts w:asciiTheme="majorHAnsi" w:hAnsiTheme="majorHAnsi" w:cstheme="majorHAnsi"/>
          <w:sz w:val="24"/>
          <w:szCs w:val="24"/>
          <w:lang w:val="ru-MD"/>
        </w:rPr>
        <w:t xml:space="preserve">ения таможенного законодательства Республики Молдова </w:t>
      </w:r>
      <w:r w:rsidR="00854D0A" w:rsidRPr="00EB3AB7">
        <w:rPr>
          <w:rFonts w:asciiTheme="majorHAnsi" w:hAnsiTheme="majorHAnsi" w:cstheme="majorHAnsi"/>
          <w:sz w:val="24"/>
          <w:szCs w:val="24"/>
          <w:lang w:val="ru-MD"/>
        </w:rPr>
        <w:t xml:space="preserve">в соответствие </w:t>
      </w:r>
      <w:r w:rsidR="001F207A" w:rsidRPr="00EB3AB7">
        <w:rPr>
          <w:rFonts w:asciiTheme="majorHAnsi" w:hAnsiTheme="majorHAnsi" w:cstheme="majorHAnsi"/>
          <w:sz w:val="24"/>
          <w:szCs w:val="24"/>
          <w:lang w:val="ru-MD"/>
        </w:rPr>
        <w:t>Таможенному кодексу Европейского Союза</w:t>
      </w:r>
      <w:r w:rsidR="008A28A2" w:rsidRPr="00EB3AB7">
        <w:rPr>
          <w:rFonts w:asciiTheme="majorHAnsi" w:hAnsiTheme="majorHAnsi" w:cstheme="majorHAnsi"/>
          <w:sz w:val="24"/>
          <w:szCs w:val="24"/>
          <w:lang w:val="ru-MD"/>
        </w:rPr>
        <w:t xml:space="preserve">. </w:t>
      </w:r>
    </w:p>
    <w:p w14:paraId="51F32F79" w14:textId="271F8E6B" w:rsidR="008A28A2" w:rsidRPr="00EB3AB7" w:rsidRDefault="001F207A" w:rsidP="008A28A2">
      <w:pPr>
        <w:spacing w:after="120"/>
        <w:jc w:val="both"/>
        <w:rPr>
          <w:rFonts w:asciiTheme="majorHAnsi" w:hAnsiTheme="majorHAnsi" w:cstheme="majorHAnsi"/>
          <w:sz w:val="24"/>
          <w:szCs w:val="24"/>
          <w:lang w:val="ru-MD"/>
        </w:rPr>
      </w:pPr>
      <w:r w:rsidRPr="00EB3AB7">
        <w:rPr>
          <w:rFonts w:asciiTheme="majorHAnsi" w:hAnsiTheme="majorHAnsi" w:cstheme="majorHAnsi"/>
          <w:sz w:val="24"/>
          <w:szCs w:val="24"/>
          <w:lang w:val="ru-MD"/>
        </w:rPr>
        <w:t xml:space="preserve">В соответствии с положениями </w:t>
      </w:r>
      <w:r w:rsidR="00EB3AB7" w:rsidRPr="00EB3AB7">
        <w:rPr>
          <w:rFonts w:asciiTheme="majorHAnsi" w:hAnsiTheme="majorHAnsi" w:cstheme="majorHAnsi"/>
          <w:sz w:val="24"/>
          <w:szCs w:val="24"/>
          <w:lang w:val="ru-MD"/>
        </w:rPr>
        <w:t>Н</w:t>
      </w:r>
      <w:r w:rsidRPr="00EB3AB7">
        <w:rPr>
          <w:rFonts w:asciiTheme="majorHAnsi" w:hAnsiTheme="majorHAnsi" w:cstheme="majorHAnsi"/>
          <w:sz w:val="24"/>
          <w:szCs w:val="24"/>
          <w:lang w:val="ru-MD"/>
        </w:rPr>
        <w:t>ационального плана действий по внедрению Соглашения об ассоциации Республика Молдова - Европейский Союз</w:t>
      </w:r>
      <w:r w:rsidR="00EB3AB7" w:rsidRPr="00EB3AB7">
        <w:rPr>
          <w:rStyle w:val="FootnoteReference"/>
          <w:rFonts w:asciiTheme="majorHAnsi" w:hAnsiTheme="majorHAnsi" w:cstheme="majorHAnsi"/>
          <w:sz w:val="24"/>
          <w:szCs w:val="24"/>
          <w:lang w:val="ru-MD"/>
        </w:rPr>
        <w:footnoteReference w:id="68"/>
      </w:r>
      <w:r w:rsidRPr="00EB3AB7">
        <w:rPr>
          <w:rFonts w:asciiTheme="majorHAnsi" w:hAnsiTheme="majorHAnsi" w:cstheme="majorHAnsi"/>
          <w:sz w:val="24"/>
          <w:szCs w:val="24"/>
          <w:lang w:val="ru-MD"/>
        </w:rPr>
        <w:t xml:space="preserve">, </w:t>
      </w:r>
      <w:r w:rsidR="00EB3AB7" w:rsidRPr="00EB3AB7">
        <w:rPr>
          <w:rFonts w:asciiTheme="majorHAnsi" w:hAnsiTheme="majorHAnsi" w:cstheme="majorHAnsi"/>
          <w:sz w:val="24"/>
          <w:szCs w:val="24"/>
          <w:lang w:val="ru-MD"/>
        </w:rPr>
        <w:t>П</w:t>
      </w:r>
      <w:r w:rsidRPr="00EB3AB7">
        <w:rPr>
          <w:rFonts w:asciiTheme="majorHAnsi" w:hAnsiTheme="majorHAnsi" w:cstheme="majorHAnsi"/>
          <w:sz w:val="24"/>
          <w:szCs w:val="24"/>
          <w:lang w:val="ru-MD"/>
        </w:rPr>
        <w:t>арламент принял 24 августа 2021 года новый Таможенный кодекс</w:t>
      </w:r>
      <w:r w:rsidR="00EB3AB7" w:rsidRPr="00EB3AB7">
        <w:rPr>
          <w:rStyle w:val="FootnoteReference"/>
          <w:rFonts w:asciiTheme="majorHAnsi" w:hAnsiTheme="majorHAnsi" w:cstheme="majorHAnsi"/>
          <w:bCs/>
          <w:color w:val="000000" w:themeColor="text1"/>
          <w:sz w:val="24"/>
          <w:szCs w:val="24"/>
          <w:lang w:val="ru-MD"/>
        </w:rPr>
        <w:footnoteReference w:id="69"/>
      </w:r>
      <w:r w:rsidRPr="00EB3AB7">
        <w:rPr>
          <w:rFonts w:asciiTheme="majorHAnsi" w:hAnsiTheme="majorHAnsi" w:cstheme="majorHAnsi"/>
          <w:sz w:val="24"/>
          <w:szCs w:val="24"/>
          <w:lang w:val="ru-MD"/>
        </w:rPr>
        <w:t xml:space="preserve">, который должен вступить в силу 1 января 2023 года, </w:t>
      </w:r>
      <w:r w:rsidR="00EB3AB7" w:rsidRPr="00EB3AB7">
        <w:rPr>
          <w:rFonts w:asciiTheme="majorHAnsi" w:hAnsiTheme="majorHAnsi" w:cstheme="majorHAnsi"/>
          <w:sz w:val="24"/>
          <w:szCs w:val="24"/>
          <w:lang w:val="ru-MD"/>
        </w:rPr>
        <w:t xml:space="preserve">при этом, предельный </w:t>
      </w:r>
      <w:r w:rsidRPr="00EB3AB7">
        <w:rPr>
          <w:rFonts w:asciiTheme="majorHAnsi" w:hAnsiTheme="majorHAnsi" w:cstheme="majorHAnsi"/>
          <w:sz w:val="24"/>
          <w:szCs w:val="24"/>
          <w:lang w:val="ru-MD"/>
        </w:rPr>
        <w:t xml:space="preserve">срок </w:t>
      </w:r>
      <w:r w:rsidR="00EB3AB7" w:rsidRPr="00EB3AB7">
        <w:rPr>
          <w:rFonts w:asciiTheme="majorHAnsi" w:hAnsiTheme="majorHAnsi" w:cstheme="majorHAnsi"/>
          <w:sz w:val="24"/>
          <w:szCs w:val="24"/>
          <w:lang w:val="ru-MD"/>
        </w:rPr>
        <w:t xml:space="preserve">его </w:t>
      </w:r>
      <w:r w:rsidRPr="00EB3AB7">
        <w:rPr>
          <w:rFonts w:asciiTheme="majorHAnsi" w:hAnsiTheme="majorHAnsi" w:cstheme="majorHAnsi"/>
          <w:sz w:val="24"/>
          <w:szCs w:val="24"/>
          <w:lang w:val="ru-MD"/>
        </w:rPr>
        <w:t xml:space="preserve">принятия </w:t>
      </w:r>
      <w:r w:rsidR="00EB3AB7" w:rsidRPr="00EB3AB7">
        <w:rPr>
          <w:rFonts w:asciiTheme="majorHAnsi" w:hAnsiTheme="majorHAnsi" w:cstheme="majorHAnsi"/>
          <w:sz w:val="24"/>
          <w:szCs w:val="24"/>
          <w:lang w:val="ru-MD"/>
        </w:rPr>
        <w:t xml:space="preserve">был </w:t>
      </w:r>
      <w:r w:rsidRPr="00EB3AB7">
        <w:rPr>
          <w:rFonts w:asciiTheme="majorHAnsi" w:hAnsiTheme="majorHAnsi" w:cstheme="majorHAnsi"/>
          <w:sz w:val="24"/>
          <w:szCs w:val="24"/>
          <w:lang w:val="ru-MD"/>
        </w:rPr>
        <w:t>превыш</w:t>
      </w:r>
      <w:r w:rsidR="00EB3AB7" w:rsidRPr="00EB3AB7">
        <w:rPr>
          <w:rFonts w:asciiTheme="majorHAnsi" w:hAnsiTheme="majorHAnsi" w:cstheme="majorHAnsi"/>
          <w:sz w:val="24"/>
          <w:szCs w:val="24"/>
          <w:lang w:val="ru-MD"/>
        </w:rPr>
        <w:t>ен на</w:t>
      </w:r>
      <w:r w:rsidRPr="00EB3AB7">
        <w:rPr>
          <w:rFonts w:asciiTheme="majorHAnsi" w:hAnsiTheme="majorHAnsi" w:cstheme="majorHAnsi"/>
          <w:sz w:val="24"/>
          <w:szCs w:val="24"/>
          <w:lang w:val="ru-MD"/>
        </w:rPr>
        <w:t xml:space="preserve"> 5 лет. Этот закон частично переносит пять </w:t>
      </w:r>
      <w:r w:rsidR="00EB3AB7" w:rsidRPr="00EB3AB7">
        <w:rPr>
          <w:rFonts w:asciiTheme="majorHAnsi" w:hAnsiTheme="majorHAnsi" w:cstheme="majorHAnsi"/>
          <w:sz w:val="24"/>
          <w:szCs w:val="24"/>
          <w:lang w:val="ru-MD"/>
        </w:rPr>
        <w:t>Регламентов</w:t>
      </w:r>
      <w:r w:rsidRPr="00EB3AB7">
        <w:rPr>
          <w:rFonts w:asciiTheme="majorHAnsi" w:hAnsiTheme="majorHAnsi" w:cstheme="majorHAnsi"/>
          <w:sz w:val="24"/>
          <w:szCs w:val="24"/>
          <w:lang w:val="ru-MD"/>
        </w:rPr>
        <w:t xml:space="preserve"> и три Директивы Европейского парламента и Совета по установлению Таможенного кодекса Союза. Кроме того, до конца 2021 года не было разработано, принято и опубликовано законодательство о применении нового Таможенного кодекса</w:t>
      </w:r>
      <w:r w:rsidR="00EB3AB7" w:rsidRPr="00EB3AB7">
        <w:rPr>
          <w:rFonts w:asciiTheme="majorHAnsi" w:hAnsiTheme="majorHAnsi" w:cstheme="majorHAnsi"/>
          <w:sz w:val="24"/>
          <w:szCs w:val="24"/>
          <w:lang w:val="ru-MD"/>
        </w:rPr>
        <w:t>,</w:t>
      </w:r>
      <w:r w:rsidRPr="00EB3AB7">
        <w:rPr>
          <w:rFonts w:asciiTheme="majorHAnsi" w:hAnsiTheme="majorHAnsi" w:cstheme="majorHAnsi"/>
          <w:sz w:val="24"/>
          <w:szCs w:val="24"/>
          <w:lang w:val="ru-MD"/>
        </w:rPr>
        <w:t xml:space="preserve"> в соответствии с требованиями </w:t>
      </w:r>
      <w:r w:rsidR="00EB3AB7" w:rsidRPr="00EB3AB7">
        <w:rPr>
          <w:rFonts w:asciiTheme="majorHAnsi" w:hAnsiTheme="majorHAnsi" w:cstheme="majorHAnsi"/>
          <w:sz w:val="24"/>
          <w:szCs w:val="24"/>
          <w:lang w:val="ru-MD"/>
        </w:rPr>
        <w:t>Н</w:t>
      </w:r>
      <w:r w:rsidRPr="00EB3AB7">
        <w:rPr>
          <w:rFonts w:asciiTheme="majorHAnsi" w:hAnsiTheme="majorHAnsi" w:cstheme="majorHAnsi"/>
          <w:sz w:val="24"/>
          <w:szCs w:val="24"/>
          <w:lang w:val="ru-MD"/>
        </w:rPr>
        <w:t>ационального плана действий в области содействия торговле на 2018-2020 годы</w:t>
      </w:r>
      <w:r w:rsidR="00EB3AB7" w:rsidRPr="00EB3AB7">
        <w:rPr>
          <w:rStyle w:val="FootnoteReference"/>
          <w:rFonts w:asciiTheme="majorHAnsi" w:hAnsiTheme="majorHAnsi" w:cstheme="majorHAnsi"/>
          <w:sz w:val="24"/>
          <w:szCs w:val="24"/>
          <w:lang w:val="ru-MD"/>
        </w:rPr>
        <w:footnoteReference w:id="70"/>
      </w:r>
      <w:r w:rsidRPr="00EB3AB7">
        <w:rPr>
          <w:rFonts w:asciiTheme="majorHAnsi" w:hAnsiTheme="majorHAnsi" w:cstheme="majorHAnsi"/>
          <w:sz w:val="24"/>
          <w:szCs w:val="24"/>
          <w:lang w:val="ru-MD"/>
        </w:rPr>
        <w:t>, эти сроки затягива</w:t>
      </w:r>
      <w:r w:rsidR="00EB3AB7" w:rsidRPr="00EB3AB7">
        <w:rPr>
          <w:rFonts w:asciiTheme="majorHAnsi" w:hAnsiTheme="majorHAnsi" w:cstheme="majorHAnsi"/>
          <w:sz w:val="24"/>
          <w:szCs w:val="24"/>
          <w:lang w:val="ru-MD"/>
        </w:rPr>
        <w:t>лись</w:t>
      </w:r>
      <w:r w:rsidR="008A28A2" w:rsidRPr="00EB3AB7">
        <w:rPr>
          <w:rFonts w:asciiTheme="majorHAnsi" w:eastAsia="Times New Roman" w:hAnsiTheme="majorHAnsi" w:cstheme="majorHAnsi"/>
          <w:sz w:val="24"/>
          <w:szCs w:val="24"/>
          <w:lang w:val="ru-MD"/>
        </w:rPr>
        <w:t>.</w:t>
      </w:r>
    </w:p>
    <w:p w14:paraId="79710B0C" w14:textId="2C4BC763" w:rsidR="008A28A2" w:rsidRPr="00DF6046" w:rsidRDefault="007D3C96" w:rsidP="008A28A2">
      <w:pPr>
        <w:spacing w:after="120"/>
        <w:jc w:val="both"/>
        <w:rPr>
          <w:rFonts w:asciiTheme="majorHAnsi" w:hAnsiTheme="majorHAnsi" w:cstheme="majorHAnsi"/>
          <w:sz w:val="24"/>
          <w:szCs w:val="24"/>
          <w:lang w:val="ru-MD"/>
        </w:rPr>
      </w:pPr>
      <w:r w:rsidRPr="00DF6046">
        <w:rPr>
          <w:rFonts w:asciiTheme="majorHAnsi" w:hAnsiTheme="majorHAnsi" w:cstheme="majorHAnsi"/>
          <w:sz w:val="24"/>
          <w:szCs w:val="24"/>
          <w:lang w:val="ru-MD"/>
        </w:rPr>
        <w:t>Аудитом</w:t>
      </w:r>
      <w:r w:rsidR="001F207A" w:rsidRPr="00DF6046">
        <w:rPr>
          <w:rFonts w:asciiTheme="majorHAnsi" w:hAnsiTheme="majorHAnsi" w:cstheme="majorHAnsi"/>
          <w:sz w:val="24"/>
          <w:szCs w:val="24"/>
          <w:lang w:val="ru-MD"/>
        </w:rPr>
        <w:t xml:space="preserve"> установлено, что </w:t>
      </w:r>
      <w:r w:rsidRPr="00DF6046">
        <w:rPr>
          <w:rFonts w:asciiTheme="majorHAnsi" w:hAnsiTheme="majorHAnsi" w:cstheme="majorHAnsi"/>
          <w:sz w:val="24"/>
          <w:szCs w:val="24"/>
          <w:lang w:val="ru-MD"/>
        </w:rPr>
        <w:t>ТС</w:t>
      </w:r>
      <w:r w:rsidR="001F207A" w:rsidRPr="00DF6046">
        <w:rPr>
          <w:rFonts w:asciiTheme="majorHAnsi" w:hAnsiTheme="majorHAnsi" w:cstheme="majorHAnsi"/>
          <w:sz w:val="24"/>
          <w:szCs w:val="24"/>
          <w:lang w:val="ru-MD"/>
        </w:rPr>
        <w:t xml:space="preserve"> отстает </w:t>
      </w:r>
      <w:r w:rsidRPr="00DF6046">
        <w:rPr>
          <w:rFonts w:asciiTheme="majorHAnsi" w:hAnsiTheme="majorHAnsi" w:cstheme="majorHAnsi"/>
          <w:sz w:val="24"/>
          <w:szCs w:val="24"/>
          <w:lang w:val="ru-MD"/>
        </w:rPr>
        <w:t>по</w:t>
      </w:r>
      <w:r w:rsidR="001F207A" w:rsidRPr="00DF6046">
        <w:rPr>
          <w:rFonts w:asciiTheme="majorHAnsi" w:hAnsiTheme="majorHAnsi" w:cstheme="majorHAnsi"/>
          <w:sz w:val="24"/>
          <w:szCs w:val="24"/>
          <w:lang w:val="ru-MD"/>
        </w:rPr>
        <w:t xml:space="preserve"> нескольк</w:t>
      </w:r>
      <w:r w:rsidRPr="00DF6046">
        <w:rPr>
          <w:rFonts w:asciiTheme="majorHAnsi" w:hAnsiTheme="majorHAnsi" w:cstheme="majorHAnsi"/>
          <w:sz w:val="24"/>
          <w:szCs w:val="24"/>
          <w:lang w:val="ru-MD"/>
        </w:rPr>
        <w:t>им</w:t>
      </w:r>
      <w:r w:rsidR="001F207A" w:rsidRPr="00DF6046">
        <w:rPr>
          <w:rFonts w:asciiTheme="majorHAnsi" w:hAnsiTheme="majorHAnsi" w:cstheme="majorHAnsi"/>
          <w:sz w:val="24"/>
          <w:szCs w:val="24"/>
          <w:lang w:val="ru-MD"/>
        </w:rPr>
        <w:t xml:space="preserve"> стат</w:t>
      </w:r>
      <w:r w:rsidRPr="00DF6046">
        <w:rPr>
          <w:rFonts w:asciiTheme="majorHAnsi" w:hAnsiTheme="majorHAnsi" w:cstheme="majorHAnsi"/>
          <w:sz w:val="24"/>
          <w:szCs w:val="24"/>
          <w:lang w:val="ru-MD"/>
        </w:rPr>
        <w:t>ьям из</w:t>
      </w:r>
      <w:r w:rsidR="001F207A" w:rsidRPr="00DF6046">
        <w:rPr>
          <w:rFonts w:asciiTheme="majorHAnsi" w:hAnsiTheme="majorHAnsi" w:cstheme="majorHAnsi"/>
          <w:sz w:val="24"/>
          <w:szCs w:val="24"/>
          <w:lang w:val="ru-MD"/>
        </w:rPr>
        <w:t xml:space="preserve"> </w:t>
      </w:r>
      <w:r w:rsidRPr="00DF6046">
        <w:rPr>
          <w:rFonts w:asciiTheme="majorHAnsi" w:hAnsiTheme="majorHAnsi" w:cstheme="majorHAnsi"/>
          <w:sz w:val="24"/>
          <w:szCs w:val="24"/>
          <w:lang w:val="ru-MD"/>
        </w:rPr>
        <w:t>Н</w:t>
      </w:r>
      <w:r w:rsidR="001F207A" w:rsidRPr="00DF6046">
        <w:rPr>
          <w:rFonts w:asciiTheme="majorHAnsi" w:hAnsiTheme="majorHAnsi" w:cstheme="majorHAnsi"/>
          <w:sz w:val="24"/>
          <w:szCs w:val="24"/>
          <w:lang w:val="ru-MD"/>
        </w:rPr>
        <w:t>ационально</w:t>
      </w:r>
      <w:r w:rsidRPr="00DF6046">
        <w:rPr>
          <w:rFonts w:asciiTheme="majorHAnsi" w:hAnsiTheme="majorHAnsi" w:cstheme="majorHAnsi"/>
          <w:sz w:val="24"/>
          <w:szCs w:val="24"/>
          <w:lang w:val="ru-MD"/>
        </w:rPr>
        <w:t>го</w:t>
      </w:r>
      <w:r w:rsidR="001F207A" w:rsidRPr="00DF6046">
        <w:rPr>
          <w:rFonts w:asciiTheme="majorHAnsi" w:hAnsiTheme="majorHAnsi" w:cstheme="majorHAnsi"/>
          <w:sz w:val="24"/>
          <w:szCs w:val="24"/>
          <w:lang w:val="ru-MD"/>
        </w:rPr>
        <w:t xml:space="preserve"> план</w:t>
      </w:r>
      <w:r w:rsidRPr="00DF6046">
        <w:rPr>
          <w:rFonts w:asciiTheme="majorHAnsi" w:hAnsiTheme="majorHAnsi" w:cstheme="majorHAnsi"/>
          <w:sz w:val="24"/>
          <w:szCs w:val="24"/>
          <w:lang w:val="ru-MD"/>
        </w:rPr>
        <w:t>а</w:t>
      </w:r>
      <w:r w:rsidR="001F207A" w:rsidRPr="00DF6046">
        <w:rPr>
          <w:rFonts w:asciiTheme="majorHAnsi" w:hAnsiTheme="majorHAnsi" w:cstheme="majorHAnsi"/>
          <w:sz w:val="24"/>
          <w:szCs w:val="24"/>
          <w:lang w:val="ru-MD"/>
        </w:rPr>
        <w:t xml:space="preserve"> действий по внедрению Соглашения об Ассоциации Республика Молдова - Европейский Союз, </w:t>
      </w:r>
      <w:r w:rsidRPr="00DF6046">
        <w:rPr>
          <w:rFonts w:asciiTheme="majorHAnsi" w:hAnsiTheme="majorHAnsi" w:cstheme="majorHAnsi"/>
          <w:sz w:val="24"/>
          <w:szCs w:val="24"/>
          <w:lang w:val="ru-MD"/>
        </w:rPr>
        <w:t>и из</w:t>
      </w:r>
      <w:r w:rsidR="001F207A" w:rsidRPr="00DF6046">
        <w:rPr>
          <w:rFonts w:asciiTheme="majorHAnsi" w:hAnsiTheme="majorHAnsi" w:cstheme="majorHAnsi"/>
          <w:sz w:val="24"/>
          <w:szCs w:val="24"/>
          <w:lang w:val="ru-MD"/>
        </w:rPr>
        <w:t xml:space="preserve"> </w:t>
      </w:r>
      <w:r w:rsidRPr="00DF6046">
        <w:rPr>
          <w:rFonts w:asciiTheme="majorHAnsi" w:hAnsiTheme="majorHAnsi" w:cstheme="majorHAnsi"/>
          <w:sz w:val="24"/>
          <w:szCs w:val="24"/>
          <w:lang w:val="ru-MD"/>
        </w:rPr>
        <w:t>Н</w:t>
      </w:r>
      <w:r w:rsidR="001F207A" w:rsidRPr="00DF6046">
        <w:rPr>
          <w:rFonts w:asciiTheme="majorHAnsi" w:hAnsiTheme="majorHAnsi" w:cstheme="majorHAnsi"/>
          <w:sz w:val="24"/>
          <w:szCs w:val="24"/>
          <w:lang w:val="ru-MD"/>
        </w:rPr>
        <w:t>ациональн</w:t>
      </w:r>
      <w:r w:rsidRPr="00DF6046">
        <w:rPr>
          <w:rFonts w:asciiTheme="majorHAnsi" w:hAnsiTheme="majorHAnsi" w:cstheme="majorHAnsi"/>
          <w:sz w:val="24"/>
          <w:szCs w:val="24"/>
          <w:lang w:val="ru-MD"/>
        </w:rPr>
        <w:t>ого</w:t>
      </w:r>
      <w:r w:rsidR="001F207A" w:rsidRPr="00DF6046">
        <w:rPr>
          <w:rFonts w:asciiTheme="majorHAnsi" w:hAnsiTheme="majorHAnsi" w:cstheme="majorHAnsi"/>
          <w:sz w:val="24"/>
          <w:szCs w:val="24"/>
          <w:lang w:val="ru-MD"/>
        </w:rPr>
        <w:t xml:space="preserve"> </w:t>
      </w:r>
      <w:r w:rsidRPr="00DF6046">
        <w:rPr>
          <w:rFonts w:asciiTheme="majorHAnsi" w:hAnsiTheme="majorHAnsi" w:cstheme="majorHAnsi"/>
          <w:sz w:val="24"/>
          <w:szCs w:val="24"/>
          <w:lang w:val="ru-MD"/>
        </w:rPr>
        <w:t>п</w:t>
      </w:r>
      <w:r w:rsidR="001F207A" w:rsidRPr="00DF6046">
        <w:rPr>
          <w:rFonts w:asciiTheme="majorHAnsi" w:hAnsiTheme="majorHAnsi" w:cstheme="majorHAnsi"/>
          <w:sz w:val="24"/>
          <w:szCs w:val="24"/>
          <w:lang w:val="ru-MD"/>
        </w:rPr>
        <w:t>лан</w:t>
      </w:r>
      <w:r w:rsidRPr="00DF6046">
        <w:rPr>
          <w:rFonts w:asciiTheme="majorHAnsi" w:hAnsiTheme="majorHAnsi" w:cstheme="majorHAnsi"/>
          <w:sz w:val="24"/>
          <w:szCs w:val="24"/>
          <w:lang w:val="ru-MD"/>
        </w:rPr>
        <w:t>а</w:t>
      </w:r>
      <w:r w:rsidR="001F207A" w:rsidRPr="00DF6046">
        <w:rPr>
          <w:rFonts w:asciiTheme="majorHAnsi" w:hAnsiTheme="majorHAnsi" w:cstheme="majorHAnsi"/>
          <w:sz w:val="24"/>
          <w:szCs w:val="24"/>
          <w:lang w:val="ru-MD"/>
        </w:rPr>
        <w:t xml:space="preserve"> действий в области </w:t>
      </w:r>
      <w:r w:rsidRPr="00DF6046">
        <w:rPr>
          <w:rFonts w:asciiTheme="majorHAnsi" w:hAnsiTheme="majorHAnsi" w:cstheme="majorHAnsi"/>
          <w:sz w:val="24"/>
          <w:szCs w:val="24"/>
          <w:lang w:val="ru-MD"/>
        </w:rPr>
        <w:t>содейств</w:t>
      </w:r>
      <w:r w:rsidR="001F207A" w:rsidRPr="00DF6046">
        <w:rPr>
          <w:rFonts w:asciiTheme="majorHAnsi" w:hAnsiTheme="majorHAnsi" w:cstheme="majorHAnsi"/>
          <w:sz w:val="24"/>
          <w:szCs w:val="24"/>
          <w:lang w:val="ru-MD"/>
        </w:rPr>
        <w:t>ия торговл</w:t>
      </w:r>
      <w:r w:rsidRPr="00DF6046">
        <w:rPr>
          <w:rFonts w:asciiTheme="majorHAnsi" w:hAnsiTheme="majorHAnsi" w:cstheme="majorHAnsi"/>
          <w:sz w:val="24"/>
          <w:szCs w:val="24"/>
          <w:lang w:val="ru-MD"/>
        </w:rPr>
        <w:t>е</w:t>
      </w:r>
      <w:r w:rsidR="001F207A" w:rsidRPr="00DF6046">
        <w:rPr>
          <w:rFonts w:asciiTheme="majorHAnsi" w:hAnsiTheme="majorHAnsi" w:cstheme="majorHAnsi"/>
          <w:sz w:val="24"/>
          <w:szCs w:val="24"/>
          <w:lang w:val="ru-MD"/>
        </w:rPr>
        <w:t xml:space="preserve"> </w:t>
      </w:r>
      <w:r w:rsidRPr="00DF6046">
        <w:rPr>
          <w:rFonts w:asciiTheme="majorHAnsi" w:hAnsiTheme="majorHAnsi" w:cstheme="majorHAnsi"/>
          <w:sz w:val="24"/>
          <w:szCs w:val="24"/>
          <w:lang w:val="ru-MD"/>
        </w:rPr>
        <w:t>на</w:t>
      </w:r>
      <w:r w:rsidR="001F207A" w:rsidRPr="00DF6046">
        <w:rPr>
          <w:rFonts w:asciiTheme="majorHAnsi" w:hAnsiTheme="majorHAnsi" w:cstheme="majorHAnsi"/>
          <w:sz w:val="24"/>
          <w:szCs w:val="24"/>
          <w:lang w:val="ru-MD"/>
        </w:rPr>
        <w:t xml:space="preserve"> период 2018-2020 г</w:t>
      </w:r>
      <w:r w:rsidRPr="00DF6046">
        <w:rPr>
          <w:rFonts w:asciiTheme="majorHAnsi" w:hAnsiTheme="majorHAnsi" w:cstheme="majorHAnsi"/>
          <w:sz w:val="24"/>
          <w:szCs w:val="24"/>
          <w:lang w:val="ru-MD"/>
        </w:rPr>
        <w:t>одов</w:t>
      </w:r>
      <w:r w:rsidRPr="00DF6046">
        <w:rPr>
          <w:rStyle w:val="FootnoteReference"/>
          <w:rFonts w:asciiTheme="majorHAnsi" w:hAnsiTheme="majorHAnsi" w:cstheme="majorHAnsi"/>
          <w:sz w:val="24"/>
          <w:szCs w:val="24"/>
          <w:lang w:val="ru-MD"/>
        </w:rPr>
        <w:footnoteReference w:id="71"/>
      </w:r>
      <w:r w:rsidRPr="00DF6046">
        <w:rPr>
          <w:rFonts w:asciiTheme="majorHAnsi" w:hAnsiTheme="majorHAnsi" w:cstheme="majorHAnsi"/>
          <w:sz w:val="24"/>
          <w:szCs w:val="24"/>
          <w:lang w:val="ru-MD"/>
        </w:rPr>
        <w:t>, соста</w:t>
      </w:r>
      <w:r w:rsidR="001F207A" w:rsidRPr="00DF6046">
        <w:rPr>
          <w:rFonts w:asciiTheme="majorHAnsi" w:hAnsiTheme="majorHAnsi" w:cstheme="majorHAnsi"/>
          <w:sz w:val="24"/>
          <w:szCs w:val="24"/>
          <w:lang w:val="ru-MD"/>
        </w:rPr>
        <w:t>влен</w:t>
      </w:r>
      <w:r w:rsidRPr="00DF6046">
        <w:rPr>
          <w:rFonts w:asciiTheme="majorHAnsi" w:hAnsiTheme="majorHAnsi" w:cstheme="majorHAnsi"/>
          <w:sz w:val="24"/>
          <w:szCs w:val="24"/>
          <w:lang w:val="ru-MD"/>
        </w:rPr>
        <w:t>ного</w:t>
      </w:r>
      <w:r w:rsidR="001F207A" w:rsidRPr="00DF6046">
        <w:rPr>
          <w:rFonts w:asciiTheme="majorHAnsi" w:hAnsiTheme="majorHAnsi" w:cstheme="majorHAnsi"/>
          <w:sz w:val="24"/>
          <w:szCs w:val="24"/>
          <w:lang w:val="ru-MD"/>
        </w:rPr>
        <w:t xml:space="preserve"> на основе ст</w:t>
      </w:r>
      <w:r w:rsidRPr="00DF6046">
        <w:rPr>
          <w:rFonts w:asciiTheme="majorHAnsi" w:hAnsiTheme="majorHAnsi" w:cstheme="majorHAnsi"/>
          <w:sz w:val="24"/>
          <w:szCs w:val="24"/>
          <w:lang w:val="ru-MD"/>
        </w:rPr>
        <w:t xml:space="preserve">. 2 Закона </w:t>
      </w:r>
      <w:r w:rsidR="00DF6046" w:rsidRPr="00DF6046">
        <w:rPr>
          <w:rFonts w:asciiTheme="majorHAnsi" w:hAnsiTheme="majorHAnsi" w:cstheme="majorHAnsi"/>
          <w:sz w:val="24"/>
          <w:szCs w:val="24"/>
          <w:lang w:val="ru-MD"/>
        </w:rPr>
        <w:t xml:space="preserve">о принятии Протокола о внесении изменений в Марракешское соглашение об учреждении Всемирной торговой организации, </w:t>
      </w:r>
      <w:r w:rsidRPr="00DF6046">
        <w:rPr>
          <w:rFonts w:asciiTheme="majorHAnsi" w:hAnsiTheme="majorHAnsi" w:cstheme="majorHAnsi"/>
          <w:sz w:val="24"/>
          <w:szCs w:val="24"/>
          <w:lang w:val="ru-MD"/>
        </w:rPr>
        <w:t>№</w:t>
      </w:r>
      <w:r w:rsidR="001F207A" w:rsidRPr="00DF6046">
        <w:rPr>
          <w:rFonts w:asciiTheme="majorHAnsi" w:hAnsiTheme="majorHAnsi" w:cstheme="majorHAnsi"/>
          <w:sz w:val="24"/>
          <w:szCs w:val="24"/>
          <w:lang w:val="ru-MD"/>
        </w:rPr>
        <w:t>129 от 9 июня 2016 г</w:t>
      </w:r>
      <w:r w:rsidRPr="00DF6046">
        <w:rPr>
          <w:rFonts w:asciiTheme="majorHAnsi" w:hAnsiTheme="majorHAnsi" w:cstheme="majorHAnsi"/>
          <w:sz w:val="24"/>
          <w:szCs w:val="24"/>
          <w:lang w:val="ru-MD"/>
        </w:rPr>
        <w:t>ода</w:t>
      </w:r>
      <w:r w:rsidR="001F207A" w:rsidRPr="00DF6046">
        <w:rPr>
          <w:rFonts w:asciiTheme="majorHAnsi" w:hAnsiTheme="majorHAnsi" w:cstheme="majorHAnsi"/>
          <w:sz w:val="24"/>
          <w:szCs w:val="24"/>
          <w:lang w:val="ru-MD"/>
        </w:rPr>
        <w:t xml:space="preserve">, эти действия не </w:t>
      </w:r>
      <w:r w:rsidR="00DF6046" w:rsidRPr="00DF6046">
        <w:rPr>
          <w:rFonts w:asciiTheme="majorHAnsi" w:hAnsiTheme="majorHAnsi" w:cstheme="majorHAnsi"/>
          <w:sz w:val="24"/>
          <w:szCs w:val="24"/>
          <w:lang w:val="ru-MD"/>
        </w:rPr>
        <w:t>были выполнены</w:t>
      </w:r>
      <w:r w:rsidR="001F207A" w:rsidRPr="00DF6046">
        <w:rPr>
          <w:rFonts w:asciiTheme="majorHAnsi" w:hAnsiTheme="majorHAnsi" w:cstheme="majorHAnsi"/>
          <w:sz w:val="24"/>
          <w:szCs w:val="24"/>
          <w:lang w:val="ru-MD"/>
        </w:rPr>
        <w:t xml:space="preserve"> в установленные сроки и находятся в </w:t>
      </w:r>
      <w:r w:rsidR="00DF6046" w:rsidRPr="00DF6046">
        <w:rPr>
          <w:rFonts w:asciiTheme="majorHAnsi" w:hAnsiTheme="majorHAnsi" w:cstheme="majorHAnsi"/>
          <w:sz w:val="24"/>
          <w:szCs w:val="24"/>
          <w:lang w:val="ru-MD"/>
        </w:rPr>
        <w:t>процессе</w:t>
      </w:r>
      <w:r w:rsidR="001F207A" w:rsidRPr="00DF6046">
        <w:rPr>
          <w:rFonts w:asciiTheme="majorHAnsi" w:hAnsiTheme="majorHAnsi" w:cstheme="majorHAnsi"/>
          <w:sz w:val="24"/>
          <w:szCs w:val="24"/>
          <w:lang w:val="ru-MD"/>
        </w:rPr>
        <w:t xml:space="preserve"> реализации. Таким образом, </w:t>
      </w:r>
      <w:r w:rsidR="008A28A2" w:rsidRPr="00DF6046">
        <w:rPr>
          <w:rFonts w:asciiTheme="majorHAnsi" w:eastAsia="Times New Roman" w:hAnsiTheme="majorHAnsi" w:cstheme="majorHAnsi"/>
          <w:sz w:val="24"/>
          <w:szCs w:val="24"/>
          <w:lang w:val="ru-MD"/>
        </w:rPr>
        <w:t xml:space="preserve"> </w:t>
      </w:r>
      <w:r w:rsidR="008A28A2" w:rsidRPr="00DF6046">
        <w:rPr>
          <w:rFonts w:asciiTheme="majorHAnsi" w:hAnsiTheme="majorHAnsi" w:cstheme="majorHAnsi"/>
          <w:sz w:val="24"/>
          <w:szCs w:val="24"/>
          <w:lang w:val="ru-MD"/>
        </w:rPr>
        <w:t xml:space="preserve"> </w:t>
      </w:r>
    </w:p>
    <w:p w14:paraId="00C1C040" w14:textId="1765AA82" w:rsidR="008A28A2" w:rsidRPr="00DE64A4" w:rsidRDefault="001F207A" w:rsidP="001F207A">
      <w:pPr>
        <w:pStyle w:val="ListParagraph"/>
        <w:numPr>
          <w:ilvl w:val="0"/>
          <w:numId w:val="11"/>
        </w:numPr>
        <w:autoSpaceDE w:val="0"/>
        <w:autoSpaceDN w:val="0"/>
        <w:adjustRightInd w:val="0"/>
        <w:spacing w:after="120" w:line="276" w:lineRule="auto"/>
        <w:ind w:left="0" w:firstLine="360"/>
        <w:jc w:val="both"/>
        <w:rPr>
          <w:rFonts w:asciiTheme="majorHAnsi" w:hAnsiTheme="majorHAnsi" w:cstheme="majorHAnsi"/>
          <w:sz w:val="24"/>
          <w:szCs w:val="24"/>
          <w:lang w:val="ru-MD"/>
        </w:rPr>
      </w:pPr>
      <w:r w:rsidRPr="00DE64A4">
        <w:rPr>
          <w:rFonts w:asciiTheme="majorHAnsi" w:hAnsiTheme="majorHAnsi" w:cstheme="majorHAnsi"/>
          <w:sz w:val="24"/>
          <w:szCs w:val="24"/>
          <w:lang w:val="ru-MD"/>
        </w:rPr>
        <w:t>хотя стороны должны были обеспечить сотрудничество и координацию между всеми заинтересованными органами на своих территориях для облегчения транзитного движения и гарантировать не</w:t>
      </w:r>
      <w:r w:rsidR="00DE64A4" w:rsidRPr="00DE64A4">
        <w:rPr>
          <w:rFonts w:asciiTheme="majorHAnsi" w:hAnsiTheme="majorHAnsi" w:cstheme="majorHAnsi"/>
          <w:sz w:val="24"/>
          <w:szCs w:val="24"/>
          <w:lang w:val="ru-MD"/>
        </w:rPr>
        <w:t>дискриминацион</w:t>
      </w:r>
      <w:r w:rsidRPr="00DE64A4">
        <w:rPr>
          <w:rFonts w:asciiTheme="majorHAnsi" w:hAnsiTheme="majorHAnsi" w:cstheme="majorHAnsi"/>
          <w:sz w:val="24"/>
          <w:szCs w:val="24"/>
          <w:lang w:val="ru-MD"/>
        </w:rPr>
        <w:t xml:space="preserve">ное применение требований и процедур, применимых к импорту, экспорту и транзитным товарам, таможенный орган с 2014 года </w:t>
      </w:r>
      <w:r w:rsidR="00DE64A4" w:rsidRPr="00DE64A4">
        <w:rPr>
          <w:rFonts w:asciiTheme="majorHAnsi" w:hAnsiTheme="majorHAnsi" w:cstheme="majorHAnsi"/>
          <w:sz w:val="24"/>
          <w:szCs w:val="24"/>
          <w:lang w:val="ru-MD"/>
        </w:rPr>
        <w:t xml:space="preserve">и </w:t>
      </w:r>
      <w:r w:rsidRPr="00DE64A4">
        <w:rPr>
          <w:rFonts w:asciiTheme="majorHAnsi" w:hAnsiTheme="majorHAnsi" w:cstheme="majorHAnsi"/>
          <w:sz w:val="24"/>
          <w:szCs w:val="24"/>
          <w:lang w:val="ru-MD"/>
        </w:rPr>
        <w:t xml:space="preserve">до </w:t>
      </w:r>
      <w:r w:rsidR="00DE64A4" w:rsidRPr="00DE64A4">
        <w:rPr>
          <w:rFonts w:asciiTheme="majorHAnsi" w:hAnsiTheme="majorHAnsi" w:cstheme="majorHAnsi"/>
          <w:sz w:val="24"/>
          <w:szCs w:val="24"/>
          <w:lang w:val="ru-MD"/>
        </w:rPr>
        <w:t>настоящего времени</w:t>
      </w:r>
      <w:r w:rsidRPr="00DE64A4">
        <w:rPr>
          <w:rFonts w:asciiTheme="majorHAnsi" w:hAnsiTheme="majorHAnsi" w:cstheme="majorHAnsi"/>
          <w:sz w:val="24"/>
          <w:szCs w:val="24"/>
          <w:lang w:val="ru-MD"/>
        </w:rPr>
        <w:t xml:space="preserve"> не внедрил </w:t>
      </w:r>
      <w:r w:rsidR="00DE64A4" w:rsidRPr="00DE64A4">
        <w:rPr>
          <w:rFonts w:asciiTheme="majorHAnsi" w:hAnsiTheme="majorHAnsi" w:cstheme="majorHAnsi"/>
          <w:sz w:val="24"/>
          <w:szCs w:val="24"/>
          <w:lang w:val="ru-MD"/>
        </w:rPr>
        <w:t>К</w:t>
      </w:r>
      <w:r w:rsidRPr="00DE64A4">
        <w:rPr>
          <w:rFonts w:asciiTheme="majorHAnsi" w:hAnsiTheme="majorHAnsi" w:cstheme="majorHAnsi"/>
          <w:sz w:val="24"/>
          <w:szCs w:val="24"/>
          <w:lang w:val="ru-MD"/>
        </w:rPr>
        <w:t>омпьютеризированную информационную систему транзита (NCTS), необходимую для электронного декларирования транзита, и не присоединился к Конвенции о совместном транзитном режиме с ЕС</w:t>
      </w:r>
      <w:r w:rsidR="00DE64A4" w:rsidRPr="00DE64A4">
        <w:rPr>
          <w:rFonts w:asciiTheme="majorHAnsi" w:hAnsiTheme="majorHAnsi" w:cstheme="majorHAnsi"/>
          <w:sz w:val="24"/>
          <w:szCs w:val="24"/>
          <w:lang w:val="ru-MD"/>
        </w:rPr>
        <w:t>,</w:t>
      </w:r>
      <w:r w:rsidRPr="00DE64A4">
        <w:rPr>
          <w:rFonts w:asciiTheme="majorHAnsi" w:hAnsiTheme="majorHAnsi" w:cstheme="majorHAnsi"/>
          <w:sz w:val="24"/>
          <w:szCs w:val="24"/>
          <w:lang w:val="ru-MD"/>
        </w:rPr>
        <w:t xml:space="preserve"> в соответствии с требованиями Соглашения об ассоциации</w:t>
      </w:r>
      <w:r w:rsidR="008A28A2" w:rsidRPr="00DE64A4">
        <w:rPr>
          <w:rFonts w:asciiTheme="majorHAnsi" w:eastAsia="Times New Roman" w:hAnsiTheme="majorHAnsi" w:cstheme="majorHAnsi"/>
          <w:sz w:val="24"/>
          <w:szCs w:val="24"/>
          <w:lang w:val="ru-MD"/>
        </w:rPr>
        <w:t>;</w:t>
      </w:r>
      <w:r w:rsidR="008A28A2" w:rsidRPr="00DE64A4">
        <w:rPr>
          <w:rFonts w:asciiTheme="majorHAnsi" w:eastAsia="Times New Roman" w:hAnsiTheme="majorHAnsi" w:cstheme="majorHAnsi"/>
          <w:sz w:val="20"/>
          <w:szCs w:val="20"/>
          <w:lang w:val="ru-MD"/>
        </w:rPr>
        <w:t xml:space="preserve"> </w:t>
      </w:r>
    </w:p>
    <w:p w14:paraId="23F91884" w14:textId="74C595B0" w:rsidR="008A28A2" w:rsidRPr="00DE64A4" w:rsidRDefault="001F207A" w:rsidP="001F207A">
      <w:pPr>
        <w:pStyle w:val="ListParagraph"/>
        <w:numPr>
          <w:ilvl w:val="0"/>
          <w:numId w:val="11"/>
        </w:numPr>
        <w:autoSpaceDE w:val="0"/>
        <w:autoSpaceDN w:val="0"/>
        <w:adjustRightInd w:val="0"/>
        <w:spacing w:after="120" w:line="276" w:lineRule="auto"/>
        <w:ind w:left="0" w:firstLine="360"/>
        <w:jc w:val="both"/>
        <w:rPr>
          <w:rFonts w:asciiTheme="majorHAnsi" w:hAnsiTheme="majorHAnsi" w:cstheme="majorHAnsi"/>
          <w:sz w:val="24"/>
          <w:szCs w:val="24"/>
          <w:lang w:val="ru-MD"/>
        </w:rPr>
      </w:pPr>
      <w:r w:rsidRPr="00DE64A4">
        <w:rPr>
          <w:rFonts w:asciiTheme="majorHAnsi" w:eastAsia="Times New Roman" w:hAnsiTheme="majorHAnsi" w:cstheme="majorHAnsi"/>
          <w:sz w:val="24"/>
          <w:szCs w:val="24"/>
          <w:lang w:val="ru-MD"/>
        </w:rPr>
        <w:t xml:space="preserve">не было подписано </w:t>
      </w:r>
      <w:r w:rsidR="00DE64A4" w:rsidRPr="00DE64A4">
        <w:rPr>
          <w:rFonts w:asciiTheme="majorHAnsi" w:eastAsia="Times New Roman" w:hAnsiTheme="majorHAnsi" w:cstheme="majorHAnsi"/>
          <w:sz w:val="24"/>
          <w:szCs w:val="24"/>
          <w:lang w:val="ru-MD"/>
        </w:rPr>
        <w:t>С</w:t>
      </w:r>
      <w:r w:rsidRPr="00DE64A4">
        <w:rPr>
          <w:rFonts w:asciiTheme="majorHAnsi" w:eastAsia="Times New Roman" w:hAnsiTheme="majorHAnsi" w:cstheme="majorHAnsi"/>
          <w:sz w:val="24"/>
          <w:szCs w:val="24"/>
          <w:lang w:val="ru-MD"/>
        </w:rPr>
        <w:t xml:space="preserve">оглашение о взаимном признании </w:t>
      </w:r>
      <w:r w:rsidR="00DE64A4" w:rsidRPr="00DE64A4">
        <w:rPr>
          <w:rFonts w:asciiTheme="majorHAnsi" w:eastAsia="Times New Roman" w:hAnsiTheme="majorHAnsi" w:cstheme="majorHAnsi"/>
          <w:sz w:val="24"/>
          <w:szCs w:val="24"/>
          <w:lang w:val="ru-MD"/>
        </w:rPr>
        <w:t>У</w:t>
      </w:r>
      <w:r w:rsidRPr="00DE64A4">
        <w:rPr>
          <w:rFonts w:asciiTheme="majorHAnsi" w:eastAsia="Times New Roman" w:hAnsiTheme="majorHAnsi" w:cstheme="majorHAnsi"/>
          <w:sz w:val="24"/>
          <w:szCs w:val="24"/>
          <w:lang w:val="ru-MD"/>
        </w:rPr>
        <w:t>полномоченного экономического агента (AEO) между Республикой Молдова и ЕС</w:t>
      </w:r>
      <w:r w:rsidR="00DE64A4" w:rsidRPr="00DE64A4">
        <w:rPr>
          <w:rFonts w:asciiTheme="majorHAnsi" w:eastAsia="Times New Roman" w:hAnsiTheme="majorHAnsi" w:cstheme="majorHAnsi"/>
          <w:sz w:val="24"/>
          <w:szCs w:val="24"/>
          <w:lang w:val="ru-MD"/>
        </w:rPr>
        <w:t>,</w:t>
      </w:r>
      <w:r w:rsidRPr="00DE64A4">
        <w:rPr>
          <w:rFonts w:asciiTheme="majorHAnsi" w:eastAsia="Times New Roman" w:hAnsiTheme="majorHAnsi" w:cstheme="majorHAnsi"/>
          <w:sz w:val="24"/>
          <w:szCs w:val="24"/>
          <w:lang w:val="ru-MD"/>
        </w:rPr>
        <w:t xml:space="preserve"> и не </w:t>
      </w:r>
      <w:r w:rsidR="00DE64A4" w:rsidRPr="00DE64A4">
        <w:rPr>
          <w:rFonts w:asciiTheme="majorHAnsi" w:eastAsia="Times New Roman" w:hAnsiTheme="majorHAnsi" w:cstheme="majorHAnsi"/>
          <w:sz w:val="24"/>
          <w:szCs w:val="24"/>
          <w:lang w:val="ru-MD"/>
        </w:rPr>
        <w:t xml:space="preserve">была </w:t>
      </w:r>
      <w:r w:rsidRPr="00DE64A4">
        <w:rPr>
          <w:rFonts w:asciiTheme="majorHAnsi" w:eastAsia="Times New Roman" w:hAnsiTheme="majorHAnsi" w:cstheme="majorHAnsi"/>
          <w:sz w:val="24"/>
          <w:szCs w:val="24"/>
          <w:lang w:val="ru-MD"/>
        </w:rPr>
        <w:t xml:space="preserve">внедрена </w:t>
      </w:r>
      <w:r w:rsidR="00DE64A4" w:rsidRPr="00DE64A4">
        <w:rPr>
          <w:rFonts w:asciiTheme="majorHAnsi" w:eastAsia="Times New Roman" w:hAnsiTheme="majorHAnsi" w:cstheme="majorHAnsi"/>
          <w:sz w:val="24"/>
          <w:szCs w:val="24"/>
          <w:lang w:val="ru-MD"/>
        </w:rPr>
        <w:t>И</w:t>
      </w:r>
      <w:r w:rsidRPr="00DE64A4">
        <w:rPr>
          <w:rFonts w:asciiTheme="majorHAnsi" w:eastAsia="Times New Roman" w:hAnsiTheme="majorHAnsi" w:cstheme="majorHAnsi"/>
          <w:sz w:val="24"/>
          <w:szCs w:val="24"/>
          <w:lang w:val="ru-MD"/>
        </w:rPr>
        <w:t>нформационная система признания уполномоченного экономического агента (AEO)</w:t>
      </w:r>
      <w:r w:rsidR="008A28A2" w:rsidRPr="00DE64A4">
        <w:rPr>
          <w:rFonts w:asciiTheme="majorHAnsi" w:eastAsia="Times New Roman" w:hAnsiTheme="majorHAnsi" w:cstheme="majorHAnsi"/>
          <w:sz w:val="24"/>
          <w:szCs w:val="24"/>
          <w:lang w:val="ru-MD"/>
        </w:rPr>
        <w:t>;</w:t>
      </w:r>
    </w:p>
    <w:p w14:paraId="1A4A3D19" w14:textId="726FDF10" w:rsidR="002F252B" w:rsidRPr="00DE64A4" w:rsidRDefault="001F207A" w:rsidP="001F207A">
      <w:pPr>
        <w:pStyle w:val="ListParagraph"/>
        <w:numPr>
          <w:ilvl w:val="0"/>
          <w:numId w:val="11"/>
        </w:numPr>
        <w:autoSpaceDE w:val="0"/>
        <w:autoSpaceDN w:val="0"/>
        <w:adjustRightInd w:val="0"/>
        <w:spacing w:after="120" w:line="276" w:lineRule="auto"/>
        <w:ind w:left="0" w:firstLine="360"/>
        <w:jc w:val="both"/>
        <w:rPr>
          <w:rFonts w:asciiTheme="majorHAnsi" w:hAnsiTheme="majorHAnsi" w:cstheme="majorHAnsi"/>
          <w:sz w:val="24"/>
          <w:szCs w:val="24"/>
          <w:lang w:val="ru-MD"/>
        </w:rPr>
      </w:pPr>
      <w:r w:rsidRPr="00DE64A4">
        <w:rPr>
          <w:rFonts w:asciiTheme="majorHAnsi" w:hAnsiTheme="majorHAnsi" w:cstheme="majorHAnsi"/>
          <w:sz w:val="24"/>
          <w:szCs w:val="24"/>
          <w:lang w:val="ru-MD"/>
        </w:rPr>
        <w:t>вопреки законодательным положениям</w:t>
      </w:r>
      <w:r w:rsidR="00DE64A4" w:rsidRPr="00DE64A4">
        <w:rPr>
          <w:rStyle w:val="FootnoteReference"/>
          <w:rFonts w:asciiTheme="majorHAnsi" w:hAnsiTheme="majorHAnsi" w:cstheme="majorHAnsi"/>
          <w:sz w:val="24"/>
          <w:szCs w:val="24"/>
          <w:lang w:val="ru-MD"/>
        </w:rPr>
        <w:footnoteReference w:id="72"/>
      </w:r>
      <w:r w:rsidRPr="00DE64A4">
        <w:rPr>
          <w:rFonts w:asciiTheme="majorHAnsi" w:hAnsiTheme="majorHAnsi" w:cstheme="majorHAnsi"/>
          <w:sz w:val="24"/>
          <w:szCs w:val="24"/>
          <w:lang w:val="ru-MD"/>
        </w:rPr>
        <w:t>, до сих пор не был</w:t>
      </w:r>
      <w:r w:rsidR="00DE64A4" w:rsidRPr="00DE64A4">
        <w:rPr>
          <w:rFonts w:asciiTheme="majorHAnsi" w:hAnsiTheme="majorHAnsi" w:cstheme="majorHAnsi"/>
          <w:sz w:val="24"/>
          <w:szCs w:val="24"/>
          <w:lang w:val="ru-MD"/>
        </w:rPr>
        <w:t>а</w:t>
      </w:r>
      <w:r w:rsidRPr="00DE64A4">
        <w:rPr>
          <w:rFonts w:asciiTheme="majorHAnsi" w:hAnsiTheme="majorHAnsi" w:cstheme="majorHAnsi"/>
          <w:sz w:val="24"/>
          <w:szCs w:val="24"/>
          <w:lang w:val="ru-MD"/>
        </w:rPr>
        <w:t xml:space="preserve"> принят</w:t>
      </w:r>
      <w:r w:rsidR="00DE64A4" w:rsidRPr="00DE64A4">
        <w:rPr>
          <w:rFonts w:asciiTheme="majorHAnsi" w:hAnsiTheme="majorHAnsi" w:cstheme="majorHAnsi"/>
          <w:sz w:val="24"/>
          <w:szCs w:val="24"/>
          <w:lang w:val="ru-MD"/>
        </w:rPr>
        <w:t>а</w:t>
      </w:r>
      <w:r w:rsidRPr="00DE64A4">
        <w:rPr>
          <w:rFonts w:asciiTheme="majorHAnsi" w:hAnsiTheme="majorHAnsi" w:cstheme="majorHAnsi"/>
          <w:sz w:val="24"/>
          <w:szCs w:val="24"/>
          <w:lang w:val="ru-MD"/>
        </w:rPr>
        <w:t xml:space="preserve"> </w:t>
      </w:r>
      <w:r w:rsidR="00DE64A4" w:rsidRPr="00DE64A4">
        <w:rPr>
          <w:rFonts w:asciiTheme="majorHAnsi" w:hAnsiTheme="majorHAnsi" w:cstheme="majorHAnsi"/>
          <w:sz w:val="24"/>
          <w:szCs w:val="24"/>
          <w:lang w:val="ru-MD"/>
        </w:rPr>
        <w:t>е</w:t>
      </w:r>
      <w:r w:rsidRPr="00DE64A4">
        <w:rPr>
          <w:rFonts w:asciiTheme="majorHAnsi" w:hAnsiTheme="majorHAnsi" w:cstheme="majorHAnsi"/>
          <w:sz w:val="24"/>
          <w:szCs w:val="24"/>
          <w:lang w:val="ru-MD"/>
        </w:rPr>
        <w:t>дин</w:t>
      </w:r>
      <w:r w:rsidR="00DE64A4" w:rsidRPr="00DE64A4">
        <w:rPr>
          <w:rFonts w:asciiTheme="majorHAnsi" w:hAnsiTheme="majorHAnsi" w:cstheme="majorHAnsi"/>
          <w:sz w:val="24"/>
          <w:szCs w:val="24"/>
          <w:lang w:val="ru-MD"/>
        </w:rPr>
        <w:t>ая</w:t>
      </w:r>
      <w:r w:rsidRPr="00DE64A4">
        <w:rPr>
          <w:rFonts w:asciiTheme="majorHAnsi" w:hAnsiTheme="majorHAnsi" w:cstheme="majorHAnsi"/>
          <w:sz w:val="24"/>
          <w:szCs w:val="24"/>
          <w:lang w:val="ru-MD"/>
        </w:rPr>
        <w:t xml:space="preserve"> документаци</w:t>
      </w:r>
      <w:r w:rsidR="00DE64A4" w:rsidRPr="00DE64A4">
        <w:rPr>
          <w:rFonts w:asciiTheme="majorHAnsi" w:hAnsiTheme="majorHAnsi" w:cstheme="majorHAnsi"/>
          <w:sz w:val="24"/>
          <w:szCs w:val="24"/>
          <w:lang w:val="ru-MD"/>
        </w:rPr>
        <w:t xml:space="preserve">я </w:t>
      </w:r>
      <w:r w:rsidRPr="00DE64A4">
        <w:rPr>
          <w:rFonts w:asciiTheme="majorHAnsi" w:hAnsiTheme="majorHAnsi" w:cstheme="majorHAnsi"/>
          <w:sz w:val="24"/>
          <w:szCs w:val="24"/>
          <w:lang w:val="ru-MD"/>
        </w:rPr>
        <w:t>по импорт</w:t>
      </w:r>
      <w:r w:rsidR="00DE64A4" w:rsidRPr="00DE64A4">
        <w:rPr>
          <w:rFonts w:asciiTheme="majorHAnsi" w:hAnsiTheme="majorHAnsi" w:cstheme="majorHAnsi"/>
          <w:sz w:val="24"/>
          <w:szCs w:val="24"/>
          <w:lang w:val="ru-MD"/>
        </w:rPr>
        <w:t>ным</w:t>
      </w:r>
      <w:r w:rsidRPr="00DE64A4">
        <w:rPr>
          <w:rFonts w:asciiTheme="majorHAnsi" w:hAnsiTheme="majorHAnsi" w:cstheme="majorHAnsi"/>
          <w:sz w:val="24"/>
          <w:szCs w:val="24"/>
          <w:lang w:val="ru-MD"/>
        </w:rPr>
        <w:t>, экспорт</w:t>
      </w:r>
      <w:r w:rsidR="00DE64A4" w:rsidRPr="00DE64A4">
        <w:rPr>
          <w:rFonts w:asciiTheme="majorHAnsi" w:hAnsiTheme="majorHAnsi" w:cstheme="majorHAnsi"/>
          <w:sz w:val="24"/>
          <w:szCs w:val="24"/>
          <w:lang w:val="ru-MD"/>
        </w:rPr>
        <w:t>ным</w:t>
      </w:r>
      <w:r w:rsidRPr="00DE64A4">
        <w:rPr>
          <w:rFonts w:asciiTheme="majorHAnsi" w:hAnsiTheme="majorHAnsi" w:cstheme="majorHAnsi"/>
          <w:sz w:val="24"/>
          <w:szCs w:val="24"/>
          <w:lang w:val="ru-MD"/>
        </w:rPr>
        <w:t xml:space="preserve"> и транзитным операциям</w:t>
      </w:r>
      <w:r w:rsidR="00DE64A4" w:rsidRPr="00DE64A4">
        <w:rPr>
          <w:rStyle w:val="FootnoteReference"/>
          <w:rFonts w:asciiTheme="majorHAnsi" w:hAnsiTheme="majorHAnsi" w:cstheme="majorHAnsi"/>
          <w:sz w:val="24"/>
          <w:szCs w:val="24"/>
          <w:lang w:val="ru-MD"/>
        </w:rPr>
        <w:footnoteReference w:id="73"/>
      </w:r>
      <w:r w:rsidRPr="00DE64A4">
        <w:rPr>
          <w:rFonts w:asciiTheme="majorHAnsi" w:hAnsiTheme="majorHAnsi" w:cstheme="majorHAnsi"/>
          <w:sz w:val="24"/>
          <w:szCs w:val="24"/>
          <w:lang w:val="ru-MD"/>
        </w:rPr>
        <w:t xml:space="preserve">, в соответствии с </w:t>
      </w:r>
      <w:r w:rsidR="00DE64A4" w:rsidRPr="00DE64A4">
        <w:rPr>
          <w:rFonts w:asciiTheme="majorHAnsi" w:hAnsiTheme="majorHAnsi" w:cstheme="majorHAnsi"/>
          <w:sz w:val="24"/>
          <w:szCs w:val="24"/>
          <w:lang w:val="ru-MD"/>
        </w:rPr>
        <w:t>Протоколом о внесении изменений в Марракешское соглашение об учреждении Всемирной торговой организации</w:t>
      </w:r>
      <w:r w:rsidRPr="00DE64A4">
        <w:rPr>
          <w:rFonts w:asciiTheme="majorHAnsi" w:hAnsiTheme="majorHAnsi" w:cstheme="majorHAnsi"/>
          <w:sz w:val="24"/>
          <w:szCs w:val="24"/>
          <w:lang w:val="ru-MD"/>
        </w:rPr>
        <w:t xml:space="preserve">, хотя стороны </w:t>
      </w:r>
      <w:r w:rsidR="00DE64A4" w:rsidRPr="00DE64A4">
        <w:rPr>
          <w:rFonts w:asciiTheme="majorHAnsi" w:hAnsiTheme="majorHAnsi" w:cstheme="majorHAnsi"/>
          <w:sz w:val="24"/>
          <w:szCs w:val="24"/>
          <w:lang w:val="ru-MD"/>
        </w:rPr>
        <w:t>договор</w:t>
      </w:r>
      <w:r w:rsidRPr="00DE64A4">
        <w:rPr>
          <w:rFonts w:asciiTheme="majorHAnsi" w:hAnsiTheme="majorHAnsi" w:cstheme="majorHAnsi"/>
          <w:sz w:val="24"/>
          <w:szCs w:val="24"/>
          <w:lang w:val="ru-MD"/>
        </w:rPr>
        <w:t xml:space="preserve">ились </w:t>
      </w:r>
      <w:r w:rsidR="00DE64A4" w:rsidRPr="00DE64A4">
        <w:rPr>
          <w:rFonts w:asciiTheme="majorHAnsi" w:hAnsiTheme="majorHAnsi" w:cstheme="majorHAnsi"/>
          <w:sz w:val="24"/>
          <w:szCs w:val="24"/>
          <w:lang w:val="ru-MD"/>
        </w:rPr>
        <w:t>о</w:t>
      </w:r>
      <w:r w:rsidRPr="00DE64A4">
        <w:rPr>
          <w:rFonts w:asciiTheme="majorHAnsi" w:hAnsiTheme="majorHAnsi" w:cstheme="majorHAnsi"/>
          <w:sz w:val="24"/>
          <w:szCs w:val="24"/>
          <w:lang w:val="ru-MD"/>
        </w:rPr>
        <w:t xml:space="preserve"> т</w:t>
      </w:r>
      <w:r w:rsidR="00DE64A4" w:rsidRPr="00DE64A4">
        <w:rPr>
          <w:rFonts w:asciiTheme="majorHAnsi" w:hAnsiTheme="majorHAnsi" w:cstheme="majorHAnsi"/>
          <w:sz w:val="24"/>
          <w:szCs w:val="24"/>
          <w:lang w:val="ru-MD"/>
        </w:rPr>
        <w:t>о</w:t>
      </w:r>
      <w:r w:rsidRPr="00DE64A4">
        <w:rPr>
          <w:rFonts w:asciiTheme="majorHAnsi" w:hAnsiTheme="majorHAnsi" w:cstheme="majorHAnsi"/>
          <w:sz w:val="24"/>
          <w:szCs w:val="24"/>
          <w:lang w:val="ru-MD"/>
        </w:rPr>
        <w:t>м, что их закон</w:t>
      </w:r>
      <w:r w:rsidR="00DE64A4" w:rsidRPr="00DE64A4">
        <w:rPr>
          <w:rFonts w:asciiTheme="majorHAnsi" w:hAnsiTheme="majorHAnsi" w:cstheme="majorHAnsi"/>
          <w:sz w:val="24"/>
          <w:szCs w:val="24"/>
          <w:lang w:val="ru-MD"/>
        </w:rPr>
        <w:t>одательства</w:t>
      </w:r>
      <w:r w:rsidRPr="00DE64A4">
        <w:rPr>
          <w:rFonts w:asciiTheme="majorHAnsi" w:hAnsiTheme="majorHAnsi" w:cstheme="majorHAnsi"/>
          <w:sz w:val="24"/>
          <w:szCs w:val="24"/>
          <w:lang w:val="ru-MD"/>
        </w:rPr>
        <w:t xml:space="preserve"> в области торговли и таможни </w:t>
      </w:r>
      <w:r w:rsidR="00DE64A4" w:rsidRPr="00DE64A4">
        <w:rPr>
          <w:rFonts w:asciiTheme="majorHAnsi" w:hAnsiTheme="majorHAnsi" w:cstheme="majorHAnsi"/>
          <w:sz w:val="24"/>
          <w:szCs w:val="24"/>
          <w:lang w:val="ru-MD"/>
        </w:rPr>
        <w:t xml:space="preserve">будут </w:t>
      </w:r>
      <w:r w:rsidRPr="00DE64A4">
        <w:rPr>
          <w:rFonts w:asciiTheme="majorHAnsi" w:hAnsiTheme="majorHAnsi" w:cstheme="majorHAnsi"/>
          <w:sz w:val="24"/>
          <w:szCs w:val="24"/>
          <w:lang w:val="ru-MD"/>
        </w:rPr>
        <w:t>применят</w:t>
      </w:r>
      <w:r w:rsidR="00DE64A4" w:rsidRPr="00DE64A4">
        <w:rPr>
          <w:rFonts w:asciiTheme="majorHAnsi" w:hAnsiTheme="majorHAnsi" w:cstheme="majorHAnsi"/>
          <w:sz w:val="24"/>
          <w:szCs w:val="24"/>
          <w:lang w:val="ru-MD"/>
        </w:rPr>
        <w:t>ь</w:t>
      </w:r>
      <w:r w:rsidRPr="00DE64A4">
        <w:rPr>
          <w:rFonts w:asciiTheme="majorHAnsi" w:hAnsiTheme="majorHAnsi" w:cstheme="majorHAnsi"/>
          <w:sz w:val="24"/>
          <w:szCs w:val="24"/>
          <w:lang w:val="ru-MD"/>
        </w:rPr>
        <w:t>ся единообразно и эффективно</w:t>
      </w:r>
      <w:r w:rsidR="008A28A2" w:rsidRPr="00DE64A4">
        <w:rPr>
          <w:rFonts w:asciiTheme="majorHAnsi" w:eastAsia="Times New Roman" w:hAnsiTheme="majorHAnsi" w:cstheme="majorHAnsi"/>
          <w:sz w:val="24"/>
          <w:szCs w:val="24"/>
          <w:lang w:val="ru-MD"/>
        </w:rPr>
        <w:t>;</w:t>
      </w:r>
    </w:p>
    <w:p w14:paraId="7208B8CB" w14:textId="72E7600E" w:rsidR="002F252B" w:rsidRPr="00363262" w:rsidRDefault="001F207A" w:rsidP="001F207A">
      <w:pPr>
        <w:pStyle w:val="ListParagraph"/>
        <w:numPr>
          <w:ilvl w:val="0"/>
          <w:numId w:val="11"/>
        </w:numPr>
        <w:autoSpaceDE w:val="0"/>
        <w:autoSpaceDN w:val="0"/>
        <w:adjustRightInd w:val="0"/>
        <w:spacing w:after="120" w:line="276" w:lineRule="auto"/>
        <w:ind w:left="0" w:firstLine="360"/>
        <w:jc w:val="both"/>
        <w:rPr>
          <w:rFonts w:asciiTheme="majorHAnsi" w:hAnsiTheme="majorHAnsi" w:cstheme="majorHAnsi"/>
          <w:sz w:val="24"/>
          <w:szCs w:val="24"/>
          <w:lang w:val="ru-MD"/>
        </w:rPr>
      </w:pPr>
      <w:r w:rsidRPr="00363262">
        <w:rPr>
          <w:rFonts w:asciiTheme="majorHAnsi" w:hAnsiTheme="majorHAnsi" w:cstheme="majorHAnsi"/>
          <w:color w:val="000000"/>
          <w:sz w:val="24"/>
          <w:szCs w:val="24"/>
          <w:lang w:val="ru-MD"/>
        </w:rPr>
        <w:t>в конце 2021 года декларации, поданные в электронном виде при импорте, составили 52,3% от общего числа представленных деклараций, что на 2,2% больше, чем в 2020 году, остальные декларации, или 47,7% от общего числа, были поданы на бумажно</w:t>
      </w:r>
      <w:r w:rsidR="00363262" w:rsidRPr="00363262">
        <w:rPr>
          <w:rFonts w:asciiTheme="majorHAnsi" w:hAnsiTheme="majorHAnsi" w:cstheme="majorHAnsi"/>
          <w:color w:val="000000"/>
          <w:sz w:val="24"/>
          <w:szCs w:val="24"/>
          <w:lang w:val="ru-MD"/>
        </w:rPr>
        <w:t>м</w:t>
      </w:r>
      <w:r w:rsidRPr="00363262">
        <w:rPr>
          <w:rFonts w:asciiTheme="majorHAnsi" w:hAnsiTheme="majorHAnsi" w:cstheme="majorHAnsi"/>
          <w:color w:val="000000"/>
          <w:sz w:val="24"/>
          <w:szCs w:val="24"/>
          <w:lang w:val="ru-MD"/>
        </w:rPr>
        <w:t xml:space="preserve"> </w:t>
      </w:r>
      <w:r w:rsidR="00363262" w:rsidRPr="00363262">
        <w:rPr>
          <w:rFonts w:asciiTheme="majorHAnsi" w:hAnsiTheme="majorHAnsi" w:cstheme="majorHAnsi"/>
          <w:color w:val="000000"/>
          <w:sz w:val="24"/>
          <w:szCs w:val="24"/>
          <w:lang w:val="ru-MD"/>
        </w:rPr>
        <w:t>носител</w:t>
      </w:r>
      <w:r w:rsidRPr="00363262">
        <w:rPr>
          <w:rFonts w:asciiTheme="majorHAnsi" w:hAnsiTheme="majorHAnsi" w:cstheme="majorHAnsi"/>
          <w:color w:val="000000"/>
          <w:sz w:val="24"/>
          <w:szCs w:val="24"/>
          <w:lang w:val="ru-MD"/>
        </w:rPr>
        <w:t xml:space="preserve">е, что не </w:t>
      </w:r>
      <w:r w:rsidR="00363262" w:rsidRPr="00363262">
        <w:rPr>
          <w:rFonts w:asciiTheme="majorHAnsi" w:hAnsiTheme="majorHAnsi" w:cstheme="majorHAnsi"/>
          <w:color w:val="000000"/>
          <w:sz w:val="24"/>
          <w:szCs w:val="24"/>
          <w:lang w:val="ru-MD"/>
        </w:rPr>
        <w:t>содейству</w:t>
      </w:r>
      <w:r w:rsidRPr="00363262">
        <w:rPr>
          <w:rFonts w:asciiTheme="majorHAnsi" w:hAnsiTheme="majorHAnsi" w:cstheme="majorHAnsi"/>
          <w:color w:val="000000"/>
          <w:sz w:val="24"/>
          <w:szCs w:val="24"/>
          <w:lang w:val="ru-MD"/>
        </w:rPr>
        <w:t>ет торговл</w:t>
      </w:r>
      <w:r w:rsidR="00363262" w:rsidRPr="00363262">
        <w:rPr>
          <w:rFonts w:asciiTheme="majorHAnsi" w:hAnsiTheme="majorHAnsi" w:cstheme="majorHAnsi"/>
          <w:color w:val="000000"/>
          <w:sz w:val="24"/>
          <w:szCs w:val="24"/>
          <w:lang w:val="ru-MD"/>
        </w:rPr>
        <w:t>е</w:t>
      </w:r>
      <w:r w:rsidRPr="00363262">
        <w:rPr>
          <w:rFonts w:asciiTheme="majorHAnsi" w:hAnsiTheme="majorHAnsi" w:cstheme="majorHAnsi"/>
          <w:color w:val="000000"/>
          <w:sz w:val="24"/>
          <w:szCs w:val="24"/>
          <w:lang w:val="ru-MD"/>
        </w:rPr>
        <w:t xml:space="preserve"> путем оцифровки услуг</w:t>
      </w:r>
      <w:r w:rsidR="00363262" w:rsidRPr="00363262">
        <w:rPr>
          <w:rFonts w:asciiTheme="majorHAnsi" w:hAnsiTheme="majorHAnsi" w:cstheme="majorHAnsi"/>
          <w:color w:val="000000"/>
          <w:sz w:val="24"/>
          <w:szCs w:val="24"/>
          <w:lang w:val="ru-MD"/>
        </w:rPr>
        <w:t>,</w:t>
      </w:r>
      <w:r w:rsidRPr="00363262">
        <w:rPr>
          <w:rFonts w:asciiTheme="majorHAnsi" w:hAnsiTheme="majorHAnsi" w:cstheme="majorHAnsi"/>
          <w:color w:val="000000"/>
          <w:sz w:val="24"/>
          <w:szCs w:val="24"/>
          <w:lang w:val="ru-MD"/>
        </w:rPr>
        <w:t xml:space="preserve"> в соответствии с положениями </w:t>
      </w:r>
      <w:r w:rsidR="00363262" w:rsidRPr="00363262">
        <w:rPr>
          <w:rFonts w:asciiTheme="majorHAnsi" w:hAnsiTheme="majorHAnsi" w:cstheme="majorHAnsi"/>
          <w:color w:val="000000"/>
          <w:sz w:val="24"/>
          <w:szCs w:val="24"/>
          <w:lang w:val="ru-MD"/>
        </w:rPr>
        <w:t>законодательн</w:t>
      </w:r>
      <w:r w:rsidRPr="00363262">
        <w:rPr>
          <w:rFonts w:asciiTheme="majorHAnsi" w:hAnsiTheme="majorHAnsi" w:cstheme="majorHAnsi"/>
          <w:color w:val="000000"/>
          <w:sz w:val="24"/>
          <w:szCs w:val="24"/>
          <w:lang w:val="ru-MD"/>
        </w:rPr>
        <w:t>ой базы</w:t>
      </w:r>
      <w:r w:rsidR="00363262" w:rsidRPr="00363262">
        <w:rPr>
          <w:rStyle w:val="FootnoteReference"/>
          <w:rFonts w:asciiTheme="majorHAnsi" w:eastAsia="Times New Roman" w:hAnsiTheme="majorHAnsi" w:cstheme="majorHAnsi"/>
          <w:sz w:val="24"/>
          <w:szCs w:val="24"/>
          <w:lang w:val="ru-MD"/>
        </w:rPr>
        <w:footnoteReference w:id="74"/>
      </w:r>
      <w:r w:rsidR="00363262" w:rsidRPr="00363262">
        <w:rPr>
          <w:rFonts w:asciiTheme="majorHAnsi" w:hAnsiTheme="majorHAnsi" w:cstheme="majorHAnsi"/>
          <w:color w:val="000000"/>
          <w:sz w:val="24"/>
          <w:szCs w:val="24"/>
          <w:lang w:val="ru-MD"/>
        </w:rPr>
        <w:t xml:space="preserve">, а генерирует </w:t>
      </w:r>
      <w:r w:rsidRPr="00363262">
        <w:rPr>
          <w:rFonts w:asciiTheme="majorHAnsi" w:hAnsiTheme="majorHAnsi" w:cstheme="majorHAnsi"/>
          <w:color w:val="000000"/>
          <w:sz w:val="24"/>
          <w:szCs w:val="24"/>
          <w:lang w:val="ru-MD"/>
        </w:rPr>
        <w:t>расход</w:t>
      </w:r>
      <w:r w:rsidR="00363262" w:rsidRPr="00363262">
        <w:rPr>
          <w:rFonts w:asciiTheme="majorHAnsi" w:hAnsiTheme="majorHAnsi" w:cstheme="majorHAnsi"/>
          <w:color w:val="000000"/>
          <w:sz w:val="24"/>
          <w:szCs w:val="24"/>
          <w:lang w:val="ru-MD"/>
        </w:rPr>
        <w:t>ы</w:t>
      </w:r>
      <w:r w:rsidRPr="00363262">
        <w:rPr>
          <w:rFonts w:asciiTheme="majorHAnsi" w:hAnsiTheme="majorHAnsi" w:cstheme="majorHAnsi"/>
          <w:color w:val="000000"/>
          <w:sz w:val="24"/>
          <w:szCs w:val="24"/>
          <w:lang w:val="ru-MD"/>
        </w:rPr>
        <w:t xml:space="preserve"> на таможенное оформление и удержание. Таможенный орган ссылается на ограниченную </w:t>
      </w:r>
      <w:r w:rsidR="00363262" w:rsidRPr="00363262">
        <w:rPr>
          <w:rFonts w:asciiTheme="majorHAnsi" w:hAnsiTheme="majorHAnsi" w:cstheme="majorHAnsi"/>
          <w:color w:val="000000"/>
          <w:sz w:val="24"/>
          <w:szCs w:val="24"/>
          <w:lang w:val="ru-MD"/>
        </w:rPr>
        <w:t>возможн</w:t>
      </w:r>
      <w:r w:rsidRPr="00363262">
        <w:rPr>
          <w:rFonts w:asciiTheme="majorHAnsi" w:hAnsiTheme="majorHAnsi" w:cstheme="majorHAnsi"/>
          <w:color w:val="000000"/>
          <w:sz w:val="24"/>
          <w:szCs w:val="24"/>
          <w:lang w:val="ru-MD"/>
        </w:rPr>
        <w:t xml:space="preserve">ость хранения </w:t>
      </w:r>
      <w:r w:rsidR="00363262" w:rsidRPr="00363262">
        <w:rPr>
          <w:rFonts w:asciiTheme="majorHAnsi" w:hAnsiTheme="majorHAnsi" w:cstheme="majorHAnsi"/>
          <w:color w:val="000000"/>
          <w:sz w:val="24"/>
          <w:szCs w:val="24"/>
          <w:lang w:val="ru-MD"/>
        </w:rPr>
        <w:t>данных</w:t>
      </w:r>
      <w:r w:rsidR="00363262">
        <w:rPr>
          <w:rFonts w:asciiTheme="majorHAnsi" w:hAnsiTheme="majorHAnsi" w:cstheme="majorHAnsi"/>
          <w:color w:val="000000"/>
          <w:sz w:val="24"/>
          <w:szCs w:val="24"/>
          <w:lang w:val="ru-MD"/>
        </w:rPr>
        <w:t>;</w:t>
      </w:r>
      <w:r w:rsidR="00363262" w:rsidRPr="00363262">
        <w:rPr>
          <w:rFonts w:asciiTheme="majorHAnsi" w:hAnsiTheme="majorHAnsi" w:cstheme="majorHAnsi"/>
          <w:color w:val="000000"/>
          <w:sz w:val="24"/>
          <w:szCs w:val="24"/>
          <w:lang w:val="ru-MD"/>
        </w:rPr>
        <w:t xml:space="preserve"> </w:t>
      </w:r>
    </w:p>
    <w:p w14:paraId="0A4CA2B2" w14:textId="686ED051" w:rsidR="008A28A2" w:rsidRPr="00363262" w:rsidRDefault="00363262" w:rsidP="001F207A">
      <w:pPr>
        <w:pStyle w:val="ListParagraph"/>
        <w:numPr>
          <w:ilvl w:val="0"/>
          <w:numId w:val="11"/>
        </w:numPr>
        <w:autoSpaceDE w:val="0"/>
        <w:autoSpaceDN w:val="0"/>
        <w:adjustRightInd w:val="0"/>
        <w:spacing w:after="120" w:line="276" w:lineRule="auto"/>
        <w:ind w:left="0" w:firstLine="360"/>
        <w:jc w:val="both"/>
        <w:rPr>
          <w:rFonts w:asciiTheme="majorHAnsi" w:hAnsiTheme="majorHAnsi" w:cstheme="majorHAnsi"/>
          <w:sz w:val="24"/>
          <w:szCs w:val="24"/>
          <w:lang w:val="ru-MD"/>
        </w:rPr>
      </w:pPr>
      <w:r w:rsidRPr="00363262">
        <w:rPr>
          <w:rFonts w:asciiTheme="majorHAnsi" w:hAnsiTheme="majorHAnsi" w:cstheme="majorHAnsi"/>
          <w:sz w:val="24"/>
          <w:szCs w:val="24"/>
          <w:lang w:val="ru-MD"/>
        </w:rPr>
        <w:t>не было внедрено Е</w:t>
      </w:r>
      <w:r w:rsidR="001F207A" w:rsidRPr="00363262">
        <w:rPr>
          <w:rFonts w:asciiTheme="majorHAnsi" w:hAnsiTheme="majorHAnsi" w:cstheme="majorHAnsi"/>
          <w:sz w:val="24"/>
          <w:szCs w:val="24"/>
          <w:lang w:val="ru-MD"/>
        </w:rPr>
        <w:t>диное окно на основе электронного взаимодействия между таможенным органом и другими компетентными органами</w:t>
      </w:r>
      <w:r w:rsidRPr="00363262">
        <w:rPr>
          <w:rStyle w:val="FootnoteReference"/>
          <w:rFonts w:asciiTheme="majorHAnsi" w:hAnsiTheme="majorHAnsi" w:cstheme="majorHAnsi"/>
          <w:sz w:val="24"/>
          <w:szCs w:val="24"/>
          <w:lang w:val="ru-MD"/>
        </w:rPr>
        <w:footnoteReference w:id="75"/>
      </w:r>
      <w:r w:rsidR="001F207A" w:rsidRPr="00363262">
        <w:rPr>
          <w:rFonts w:asciiTheme="majorHAnsi" w:hAnsiTheme="majorHAnsi" w:cstheme="majorHAnsi"/>
          <w:sz w:val="24"/>
          <w:szCs w:val="24"/>
          <w:lang w:val="ru-MD"/>
        </w:rPr>
        <w:t xml:space="preserve">, срок реализации истек в конце 2020 года, причина-неинтеграция </w:t>
      </w:r>
      <w:r w:rsidRPr="00363262">
        <w:rPr>
          <w:rFonts w:asciiTheme="majorHAnsi" w:hAnsiTheme="majorHAnsi" w:cstheme="majorHAnsi"/>
          <w:sz w:val="24"/>
          <w:szCs w:val="24"/>
          <w:lang w:val="ru-MD"/>
        </w:rPr>
        <w:t>ТИИС</w:t>
      </w:r>
      <w:r w:rsidR="001F207A" w:rsidRPr="00363262">
        <w:rPr>
          <w:rFonts w:asciiTheme="majorHAnsi" w:hAnsiTheme="majorHAnsi" w:cstheme="majorHAnsi"/>
          <w:sz w:val="24"/>
          <w:szCs w:val="24"/>
          <w:lang w:val="ru-MD"/>
        </w:rPr>
        <w:t xml:space="preserve"> </w:t>
      </w:r>
      <w:r w:rsidRPr="00363262">
        <w:rPr>
          <w:rFonts w:asciiTheme="majorHAnsi" w:hAnsiTheme="majorHAnsi" w:cstheme="majorHAnsi"/>
          <w:sz w:val="24"/>
          <w:szCs w:val="24"/>
          <w:lang w:val="ru-MD"/>
        </w:rPr>
        <w:t xml:space="preserve">„Asycuda </w:t>
      </w:r>
      <w:r w:rsidRPr="00363262">
        <w:rPr>
          <w:rFonts w:asciiTheme="majorHAnsi" w:hAnsiTheme="majorHAnsi" w:cstheme="majorHAnsi"/>
          <w:iCs/>
          <w:color w:val="000000" w:themeColor="text1"/>
          <w:sz w:val="24"/>
          <w:szCs w:val="24"/>
          <w:lang w:val="ru-MD"/>
        </w:rPr>
        <w:t xml:space="preserve">World” </w:t>
      </w:r>
      <w:r w:rsidR="001F207A" w:rsidRPr="00363262">
        <w:rPr>
          <w:rFonts w:asciiTheme="majorHAnsi" w:hAnsiTheme="majorHAnsi" w:cstheme="majorHAnsi"/>
          <w:sz w:val="24"/>
          <w:szCs w:val="24"/>
          <w:lang w:val="ru-MD"/>
        </w:rPr>
        <w:t>с информационными системами других органов</w:t>
      </w:r>
      <w:r w:rsidR="0016648C" w:rsidRPr="00363262">
        <w:rPr>
          <w:rFonts w:asciiTheme="majorHAnsi" w:hAnsiTheme="majorHAnsi" w:cstheme="majorHAnsi"/>
          <w:sz w:val="24"/>
          <w:szCs w:val="24"/>
          <w:lang w:val="ru-MD"/>
        </w:rPr>
        <w:t>;</w:t>
      </w:r>
    </w:p>
    <w:p w14:paraId="390A30A0" w14:textId="789E384C" w:rsidR="008A28A2" w:rsidRPr="007C2B47" w:rsidRDefault="00363262" w:rsidP="004F0E14">
      <w:pPr>
        <w:pStyle w:val="ListParagraph"/>
        <w:numPr>
          <w:ilvl w:val="0"/>
          <w:numId w:val="11"/>
        </w:numPr>
        <w:autoSpaceDE w:val="0"/>
        <w:autoSpaceDN w:val="0"/>
        <w:adjustRightInd w:val="0"/>
        <w:spacing w:after="120" w:line="276" w:lineRule="auto"/>
        <w:ind w:left="0" w:firstLine="360"/>
        <w:jc w:val="both"/>
        <w:rPr>
          <w:rFonts w:asciiTheme="majorHAnsi" w:hAnsiTheme="majorHAnsi" w:cstheme="majorHAnsi"/>
          <w:sz w:val="24"/>
          <w:szCs w:val="24"/>
          <w:lang w:val="ru-MD"/>
        </w:rPr>
      </w:pPr>
      <w:r w:rsidRPr="00363262">
        <w:rPr>
          <w:rFonts w:asciiTheme="majorHAnsi" w:hAnsiTheme="majorHAnsi" w:cstheme="majorHAnsi"/>
          <w:sz w:val="24"/>
          <w:szCs w:val="24"/>
          <w:lang w:val="ru-MD"/>
        </w:rPr>
        <w:t>согласно Таможенному кодексу</w:t>
      </w:r>
      <w:r w:rsidR="008A28A2" w:rsidRPr="00363262">
        <w:rPr>
          <w:rStyle w:val="FootnoteReference"/>
          <w:rFonts w:asciiTheme="majorHAnsi" w:hAnsiTheme="majorHAnsi" w:cstheme="majorHAnsi"/>
          <w:sz w:val="24"/>
          <w:szCs w:val="24"/>
          <w:lang w:val="ru-MD"/>
        </w:rPr>
        <w:footnoteReference w:id="76"/>
      </w:r>
      <w:r w:rsidR="0016648C" w:rsidRPr="00363262">
        <w:rPr>
          <w:rFonts w:asciiTheme="majorHAnsi" w:hAnsiTheme="majorHAnsi" w:cstheme="majorHAnsi"/>
          <w:sz w:val="24"/>
          <w:szCs w:val="24"/>
          <w:lang w:val="ru-MD"/>
        </w:rPr>
        <w:t>,</w:t>
      </w:r>
      <w:r w:rsidR="008A28A2" w:rsidRPr="00363262">
        <w:rPr>
          <w:rFonts w:asciiTheme="majorHAnsi" w:hAnsiTheme="majorHAnsi" w:cstheme="majorHAnsi"/>
          <w:sz w:val="24"/>
          <w:szCs w:val="24"/>
          <w:lang w:val="ru-MD"/>
        </w:rPr>
        <w:t xml:space="preserve"> </w:t>
      </w:r>
      <w:r w:rsidRPr="00363262">
        <w:rPr>
          <w:rFonts w:asciiTheme="majorHAnsi" w:hAnsiTheme="majorHAnsi" w:cstheme="majorHAnsi"/>
          <w:sz w:val="24"/>
          <w:szCs w:val="24"/>
          <w:lang w:val="ru-MD"/>
        </w:rPr>
        <w:t>и</w:t>
      </w:r>
      <w:r w:rsidR="001F207A" w:rsidRPr="00363262">
        <w:rPr>
          <w:rFonts w:asciiTheme="majorHAnsi" w:hAnsiTheme="majorHAnsi" w:cstheme="majorHAnsi"/>
          <w:sz w:val="24"/>
          <w:szCs w:val="24"/>
          <w:lang w:val="ru-MD"/>
        </w:rPr>
        <w:t xml:space="preserve">нформация, содержащаяся в таможенных декларациях, разрешения и/или типовые формы, выданные таможенным органом физическим или юридическим лицам, а также та, которая содержится в документах, на основе которой эти таможенные документы были выданы, считается официальной информацией ограниченного доступа (носит конфиденциальный характер или является коммерческой тайной) и не должна разглашаться, использоваться должностными лицами таможенных органов в личных целях, передаваться третьим лицам, а также публичным органам, за исключением случая, когда: </w:t>
      </w:r>
      <w:r w:rsidR="001F207A" w:rsidRPr="00363262">
        <w:rPr>
          <w:rFonts w:asciiTheme="majorHAnsi" w:eastAsia="Times New Roman" w:hAnsiTheme="majorHAnsi" w:cstheme="majorHAnsi"/>
          <w:sz w:val="24"/>
          <w:szCs w:val="24"/>
          <w:lang w:val="ru-MD"/>
        </w:rPr>
        <w:t>имеется предварительное</w:t>
      </w:r>
      <w:r w:rsidR="001F207A" w:rsidRPr="001F207A">
        <w:rPr>
          <w:rFonts w:asciiTheme="majorHAnsi" w:eastAsia="Times New Roman" w:hAnsiTheme="majorHAnsi" w:cstheme="majorHAnsi"/>
          <w:sz w:val="24"/>
          <w:szCs w:val="24"/>
          <w:lang w:val="ru-RU"/>
        </w:rPr>
        <w:t xml:space="preserve"> письменное согласие декларанта о предоставлении запрашиваемой информации</w:t>
      </w:r>
      <w:r w:rsidR="008A28A2" w:rsidRPr="00B20FBD">
        <w:rPr>
          <w:rFonts w:asciiTheme="majorHAnsi" w:eastAsia="Times New Roman" w:hAnsiTheme="majorHAnsi" w:cstheme="majorHAnsi"/>
          <w:sz w:val="24"/>
          <w:szCs w:val="24"/>
        </w:rPr>
        <w:t>;</w:t>
      </w:r>
      <w:r w:rsidR="001F207A">
        <w:rPr>
          <w:rFonts w:asciiTheme="majorHAnsi" w:eastAsia="Times New Roman" w:hAnsiTheme="majorHAnsi" w:cstheme="majorHAnsi"/>
          <w:sz w:val="24"/>
          <w:szCs w:val="24"/>
          <w:lang w:val="ru-RU"/>
        </w:rPr>
        <w:t xml:space="preserve"> </w:t>
      </w:r>
      <w:r w:rsidR="001F207A" w:rsidRPr="001F207A">
        <w:rPr>
          <w:rFonts w:asciiTheme="majorHAnsi" w:eastAsia="Times New Roman" w:hAnsiTheme="majorHAnsi" w:cstheme="majorHAnsi"/>
          <w:sz w:val="24"/>
          <w:szCs w:val="24"/>
          <w:lang w:val="ru-RU"/>
        </w:rPr>
        <w:t>имеется конкретное уголовное дело, возбужденное в отношении декларанта</w:t>
      </w:r>
      <w:r w:rsidR="008A28A2" w:rsidRPr="00B20FBD">
        <w:rPr>
          <w:rFonts w:asciiTheme="majorHAnsi" w:eastAsia="Times New Roman" w:hAnsiTheme="majorHAnsi" w:cstheme="majorHAnsi"/>
          <w:sz w:val="24"/>
          <w:szCs w:val="24"/>
        </w:rPr>
        <w:t xml:space="preserve">; </w:t>
      </w:r>
      <w:r w:rsidR="001F207A" w:rsidRPr="001F207A">
        <w:rPr>
          <w:rFonts w:asciiTheme="majorHAnsi" w:eastAsia="Times New Roman" w:hAnsiTheme="majorHAnsi" w:cstheme="majorHAnsi"/>
          <w:sz w:val="24"/>
          <w:szCs w:val="24"/>
          <w:lang w:val="ru-RU"/>
        </w:rPr>
        <w:t>информация запрашивается судебной инстанцией</w:t>
      </w:r>
      <w:r w:rsidR="008A28A2" w:rsidRPr="00B20FBD">
        <w:rPr>
          <w:rFonts w:asciiTheme="majorHAnsi" w:eastAsia="Times New Roman" w:hAnsiTheme="majorHAnsi" w:cstheme="majorHAnsi"/>
          <w:sz w:val="24"/>
          <w:szCs w:val="24"/>
        </w:rPr>
        <w:t xml:space="preserve">, </w:t>
      </w:r>
      <w:r w:rsidR="004F0E14" w:rsidRPr="004F0E14">
        <w:rPr>
          <w:rFonts w:asciiTheme="majorHAnsi" w:eastAsia="Times New Roman" w:hAnsiTheme="majorHAnsi" w:cstheme="majorHAnsi"/>
          <w:sz w:val="24"/>
          <w:szCs w:val="24"/>
          <w:lang w:val="ru-RU"/>
        </w:rPr>
        <w:t xml:space="preserve">центральными органами публичной власти, осуществляющими лицензирование, регулирование и секторальный мониторинг, в целях выполнения ими своих </w:t>
      </w:r>
      <w:r w:rsidR="004F0E14" w:rsidRPr="00237057">
        <w:rPr>
          <w:rFonts w:asciiTheme="majorHAnsi" w:eastAsia="Times New Roman" w:hAnsiTheme="majorHAnsi" w:cstheme="majorHAnsi"/>
          <w:sz w:val="24"/>
          <w:szCs w:val="24"/>
          <w:lang w:val="ru-MD"/>
        </w:rPr>
        <w:t>функций</w:t>
      </w:r>
      <w:r w:rsidR="008A28A2" w:rsidRPr="007C2B47">
        <w:rPr>
          <w:rFonts w:asciiTheme="majorHAnsi" w:eastAsia="Times New Roman" w:hAnsiTheme="majorHAnsi" w:cstheme="majorHAnsi"/>
          <w:sz w:val="24"/>
          <w:szCs w:val="24"/>
          <w:lang w:val="ru-MD"/>
        </w:rPr>
        <w:t xml:space="preserve">. </w:t>
      </w:r>
      <w:r w:rsidR="004F0E14" w:rsidRPr="007C2B47">
        <w:rPr>
          <w:rFonts w:asciiTheme="majorHAnsi" w:eastAsia="Times New Roman" w:hAnsiTheme="majorHAnsi" w:cstheme="majorHAnsi"/>
          <w:sz w:val="24"/>
          <w:szCs w:val="24"/>
          <w:lang w:val="ru-MD"/>
        </w:rPr>
        <w:t>По простому запросу Таможенная служба предоставляет только информацию общего характера, что, по мнению аудита, ограничивает доступ к информации и прозрачность информации из таможенных деклараций и документов, на основании которых эти таможенные акты были выданы. Аудитом выявлены случаи, когда таможенный орган ограничивал доступ к информации некоторым лицам, включая депутатов Парламента, сообщая им, что он может предоставлять им только информацию общего характера</w:t>
      </w:r>
      <w:r w:rsidR="008A28A2" w:rsidRPr="007C2B47">
        <w:rPr>
          <w:rFonts w:asciiTheme="majorHAnsi" w:eastAsia="Times New Roman" w:hAnsiTheme="majorHAnsi" w:cstheme="majorHAnsi"/>
          <w:sz w:val="24"/>
          <w:szCs w:val="24"/>
          <w:lang w:val="ru-MD"/>
        </w:rPr>
        <w:t xml:space="preserve">. </w:t>
      </w:r>
    </w:p>
    <w:p w14:paraId="56F8392C" w14:textId="671AD06E" w:rsidR="008A28A2" w:rsidRPr="007C2B47" w:rsidRDefault="00277AC1" w:rsidP="008A28A2">
      <w:pPr>
        <w:spacing w:after="120"/>
        <w:jc w:val="both"/>
        <w:rPr>
          <w:rFonts w:asciiTheme="majorHAnsi" w:hAnsiTheme="majorHAnsi" w:cstheme="majorHAnsi"/>
          <w:sz w:val="24"/>
          <w:szCs w:val="24"/>
          <w:lang w:val="ru-MD"/>
        </w:rPr>
      </w:pPr>
      <w:r w:rsidRPr="007C2B47">
        <w:rPr>
          <w:rFonts w:asciiTheme="majorHAnsi" w:hAnsiTheme="majorHAnsi" w:cstheme="majorHAnsi"/>
          <w:sz w:val="24"/>
          <w:szCs w:val="24"/>
          <w:lang w:val="ru-MD"/>
        </w:rPr>
        <w:t xml:space="preserve">Также было установлено, что таможенное законодательство не предусматривает ни понятия </w:t>
      </w:r>
      <w:r w:rsidR="00363262" w:rsidRPr="007C2B47">
        <w:rPr>
          <w:rFonts w:asciiTheme="majorHAnsi" w:hAnsiTheme="majorHAnsi" w:cstheme="majorHAnsi"/>
          <w:sz w:val="24"/>
          <w:szCs w:val="24"/>
          <w:lang w:val="ru-MD"/>
        </w:rPr>
        <w:t>коммерческ</w:t>
      </w:r>
      <w:r w:rsidRPr="007C2B47">
        <w:rPr>
          <w:rFonts w:asciiTheme="majorHAnsi" w:hAnsiTheme="majorHAnsi" w:cstheme="majorHAnsi"/>
          <w:sz w:val="24"/>
          <w:szCs w:val="24"/>
          <w:lang w:val="ru-MD"/>
        </w:rPr>
        <w:t>ого счета (Invoice), ни элемент</w:t>
      </w:r>
      <w:r w:rsidR="00363262" w:rsidRPr="007C2B47">
        <w:rPr>
          <w:rFonts w:asciiTheme="majorHAnsi" w:hAnsiTheme="majorHAnsi" w:cstheme="majorHAnsi"/>
          <w:sz w:val="24"/>
          <w:szCs w:val="24"/>
          <w:lang w:val="ru-MD"/>
        </w:rPr>
        <w:t>ы</w:t>
      </w:r>
      <w:r w:rsidRPr="007C2B47">
        <w:rPr>
          <w:rFonts w:asciiTheme="majorHAnsi" w:hAnsiTheme="majorHAnsi" w:cstheme="majorHAnsi"/>
          <w:sz w:val="24"/>
          <w:szCs w:val="24"/>
          <w:lang w:val="ru-MD"/>
        </w:rPr>
        <w:t xml:space="preserve"> обязательной идентификации и подлинности </w:t>
      </w:r>
      <w:r w:rsidR="00363262" w:rsidRPr="007C2B47">
        <w:rPr>
          <w:rFonts w:asciiTheme="majorHAnsi" w:hAnsiTheme="majorHAnsi" w:cstheme="majorHAnsi"/>
          <w:sz w:val="24"/>
          <w:szCs w:val="24"/>
          <w:lang w:val="ru-MD"/>
        </w:rPr>
        <w:t>коммерческого счета</w:t>
      </w:r>
      <w:r w:rsidRPr="007C2B47">
        <w:rPr>
          <w:rFonts w:asciiTheme="majorHAnsi" w:hAnsiTheme="majorHAnsi" w:cstheme="majorHAnsi"/>
          <w:sz w:val="24"/>
          <w:szCs w:val="24"/>
          <w:lang w:val="ru-MD"/>
        </w:rPr>
        <w:t xml:space="preserve"> (Invoice), таки</w:t>
      </w:r>
      <w:r w:rsidR="00363262" w:rsidRPr="007C2B47">
        <w:rPr>
          <w:rFonts w:asciiTheme="majorHAnsi" w:hAnsiTheme="majorHAnsi" w:cstheme="majorHAnsi"/>
          <w:sz w:val="24"/>
          <w:szCs w:val="24"/>
          <w:lang w:val="ru-MD"/>
        </w:rPr>
        <w:t>е</w:t>
      </w:r>
      <w:r w:rsidRPr="007C2B47">
        <w:rPr>
          <w:rFonts w:asciiTheme="majorHAnsi" w:hAnsiTheme="majorHAnsi" w:cstheme="majorHAnsi"/>
          <w:sz w:val="24"/>
          <w:szCs w:val="24"/>
          <w:lang w:val="ru-MD"/>
        </w:rPr>
        <w:t xml:space="preserve"> как подпись и/или печать поставщика/отправителя, что приводит к не</w:t>
      </w:r>
      <w:r w:rsidR="00363262" w:rsidRPr="007C2B47">
        <w:rPr>
          <w:rFonts w:asciiTheme="majorHAnsi" w:hAnsiTheme="majorHAnsi" w:cstheme="majorHAnsi"/>
          <w:sz w:val="24"/>
          <w:szCs w:val="24"/>
          <w:lang w:val="ru-MD"/>
        </w:rPr>
        <w:t>единообраз</w:t>
      </w:r>
      <w:r w:rsidRPr="007C2B47">
        <w:rPr>
          <w:rFonts w:asciiTheme="majorHAnsi" w:hAnsiTheme="majorHAnsi" w:cstheme="majorHAnsi"/>
          <w:sz w:val="24"/>
          <w:szCs w:val="24"/>
          <w:lang w:val="ru-MD"/>
        </w:rPr>
        <w:t xml:space="preserve">ному толкованию декларантом/экономическим агентом при подтверждении таможенной стоимости импортируемых товаров, </w:t>
      </w:r>
      <w:r w:rsidR="00363262" w:rsidRPr="007C2B47">
        <w:rPr>
          <w:rFonts w:asciiTheme="majorHAnsi" w:hAnsiTheme="majorHAnsi" w:cstheme="majorHAnsi"/>
          <w:sz w:val="24"/>
          <w:szCs w:val="24"/>
          <w:lang w:val="ru-MD"/>
        </w:rPr>
        <w:t>который</w:t>
      </w:r>
      <w:r w:rsidRPr="007C2B47">
        <w:rPr>
          <w:rFonts w:asciiTheme="majorHAnsi" w:hAnsiTheme="majorHAnsi" w:cstheme="majorHAnsi"/>
          <w:sz w:val="24"/>
          <w:szCs w:val="24"/>
          <w:lang w:val="ru-MD"/>
        </w:rPr>
        <w:t>, с одной стороны, ссылается на положения Соглашения об ассоциации РМ-ЕС о таможенном оформлении товаров</w:t>
      </w:r>
      <w:r w:rsidR="00363262" w:rsidRPr="007C2B47">
        <w:rPr>
          <w:rFonts w:asciiTheme="majorHAnsi" w:hAnsiTheme="majorHAnsi" w:cstheme="majorHAnsi"/>
          <w:sz w:val="24"/>
          <w:szCs w:val="24"/>
          <w:lang w:val="ru-MD"/>
        </w:rPr>
        <w:t>,</w:t>
      </w:r>
      <w:r w:rsidRPr="007C2B47">
        <w:rPr>
          <w:rFonts w:asciiTheme="majorHAnsi" w:hAnsiTheme="majorHAnsi" w:cstheme="majorHAnsi"/>
          <w:sz w:val="24"/>
          <w:szCs w:val="24"/>
          <w:lang w:val="ru-MD"/>
        </w:rPr>
        <w:t xml:space="preserve"> и </w:t>
      </w:r>
      <w:r w:rsidR="00363262" w:rsidRPr="007C2B47">
        <w:rPr>
          <w:rFonts w:asciiTheme="majorHAnsi" w:hAnsiTheme="majorHAnsi" w:cstheme="majorHAnsi"/>
          <w:sz w:val="24"/>
          <w:szCs w:val="24"/>
          <w:lang w:val="ru-MD"/>
        </w:rPr>
        <w:t xml:space="preserve">на </w:t>
      </w:r>
      <w:r w:rsidRPr="007C2B47">
        <w:rPr>
          <w:rFonts w:asciiTheme="majorHAnsi" w:hAnsiTheme="majorHAnsi" w:cstheme="majorHAnsi"/>
          <w:sz w:val="24"/>
          <w:szCs w:val="24"/>
          <w:lang w:val="ru-MD"/>
        </w:rPr>
        <w:t>таможенн</w:t>
      </w:r>
      <w:r w:rsidR="00363262" w:rsidRPr="007C2B47">
        <w:rPr>
          <w:rFonts w:asciiTheme="majorHAnsi" w:hAnsiTheme="majorHAnsi" w:cstheme="majorHAnsi"/>
          <w:sz w:val="24"/>
          <w:szCs w:val="24"/>
          <w:lang w:val="ru-MD"/>
        </w:rPr>
        <w:t>ый</w:t>
      </w:r>
      <w:r w:rsidRPr="007C2B47">
        <w:rPr>
          <w:rFonts w:asciiTheme="majorHAnsi" w:hAnsiTheme="majorHAnsi" w:cstheme="majorHAnsi"/>
          <w:sz w:val="24"/>
          <w:szCs w:val="24"/>
          <w:lang w:val="ru-MD"/>
        </w:rPr>
        <w:t xml:space="preserve"> орган, с другой. </w:t>
      </w:r>
      <w:r w:rsidRPr="007C2B47">
        <w:rPr>
          <w:rFonts w:asciiTheme="majorHAnsi" w:eastAsia="Times New Roman" w:hAnsiTheme="majorHAnsi" w:cstheme="majorHAnsi"/>
          <w:sz w:val="24"/>
          <w:szCs w:val="24"/>
          <w:lang w:val="ru-MD"/>
        </w:rPr>
        <w:t xml:space="preserve">Об этом </w:t>
      </w:r>
      <w:r w:rsidR="00363262" w:rsidRPr="007C2B47">
        <w:rPr>
          <w:rFonts w:asciiTheme="majorHAnsi" w:eastAsia="Times New Roman" w:hAnsiTheme="majorHAnsi" w:cstheme="majorHAnsi"/>
          <w:sz w:val="24"/>
          <w:szCs w:val="24"/>
          <w:lang w:val="ru-MD"/>
        </w:rPr>
        <w:t>ТС</w:t>
      </w:r>
      <w:r w:rsidRPr="007C2B47">
        <w:rPr>
          <w:rFonts w:asciiTheme="majorHAnsi" w:eastAsia="Times New Roman" w:hAnsiTheme="majorHAnsi" w:cstheme="majorHAnsi"/>
          <w:sz w:val="24"/>
          <w:szCs w:val="24"/>
          <w:lang w:val="ru-MD"/>
        </w:rPr>
        <w:t xml:space="preserve"> проинформировал</w:t>
      </w:r>
      <w:r w:rsidR="00363262" w:rsidRPr="007C2B47">
        <w:rPr>
          <w:rFonts w:asciiTheme="majorHAnsi" w:eastAsia="Times New Roman" w:hAnsiTheme="majorHAnsi" w:cstheme="majorHAnsi"/>
          <w:sz w:val="24"/>
          <w:szCs w:val="24"/>
          <w:lang w:val="ru-MD"/>
        </w:rPr>
        <w:t>а</w:t>
      </w:r>
      <w:r w:rsidRPr="007C2B47">
        <w:rPr>
          <w:rFonts w:asciiTheme="majorHAnsi" w:eastAsia="Times New Roman" w:hAnsiTheme="majorHAnsi" w:cstheme="majorHAnsi"/>
          <w:sz w:val="24"/>
          <w:szCs w:val="24"/>
          <w:lang w:val="ru-MD"/>
        </w:rPr>
        <w:t xml:space="preserve"> </w:t>
      </w:r>
      <w:r w:rsidR="00363262" w:rsidRPr="007C2B47">
        <w:rPr>
          <w:rFonts w:asciiTheme="majorHAnsi" w:eastAsia="Times New Roman" w:hAnsiTheme="majorHAnsi" w:cstheme="majorHAnsi"/>
          <w:sz w:val="24"/>
          <w:szCs w:val="24"/>
          <w:lang w:val="ru-MD"/>
        </w:rPr>
        <w:t>М</w:t>
      </w:r>
      <w:r w:rsidRPr="007C2B47">
        <w:rPr>
          <w:rFonts w:asciiTheme="majorHAnsi" w:eastAsia="Times New Roman" w:hAnsiTheme="majorHAnsi" w:cstheme="majorHAnsi"/>
          <w:sz w:val="24"/>
          <w:szCs w:val="24"/>
          <w:lang w:val="ru-MD"/>
        </w:rPr>
        <w:t xml:space="preserve">инистерство юстиции и Министерство экономики и инфраструктуры двумя </w:t>
      </w:r>
      <w:r w:rsidR="00363262" w:rsidRPr="007C2B47">
        <w:rPr>
          <w:rFonts w:asciiTheme="majorHAnsi" w:eastAsia="Times New Roman" w:hAnsiTheme="majorHAnsi" w:cstheme="majorHAnsi"/>
          <w:sz w:val="24"/>
          <w:szCs w:val="24"/>
          <w:lang w:val="ru-MD"/>
        </w:rPr>
        <w:t>запроса</w:t>
      </w:r>
      <w:r w:rsidRPr="007C2B47">
        <w:rPr>
          <w:rFonts w:asciiTheme="majorHAnsi" w:eastAsia="Times New Roman" w:hAnsiTheme="majorHAnsi" w:cstheme="majorHAnsi"/>
          <w:sz w:val="24"/>
          <w:szCs w:val="24"/>
          <w:lang w:val="ru-MD"/>
        </w:rPr>
        <w:t>ми</w:t>
      </w:r>
      <w:r w:rsidR="00363262" w:rsidRPr="007C2B47">
        <w:rPr>
          <w:rStyle w:val="FootnoteReference"/>
          <w:rFonts w:asciiTheme="majorHAnsi" w:eastAsia="Times New Roman" w:hAnsiTheme="majorHAnsi" w:cstheme="majorHAnsi"/>
          <w:sz w:val="24"/>
          <w:szCs w:val="24"/>
          <w:lang w:val="ru-MD"/>
        </w:rPr>
        <w:footnoteReference w:id="77"/>
      </w:r>
      <w:r w:rsidRPr="007C2B47">
        <w:rPr>
          <w:rFonts w:asciiTheme="majorHAnsi" w:eastAsia="Times New Roman" w:hAnsiTheme="majorHAnsi" w:cstheme="majorHAnsi"/>
          <w:sz w:val="24"/>
          <w:szCs w:val="24"/>
          <w:lang w:val="ru-MD"/>
        </w:rPr>
        <w:t>, однако последн</w:t>
      </w:r>
      <w:r w:rsidR="00363262" w:rsidRPr="007C2B47">
        <w:rPr>
          <w:rFonts w:asciiTheme="majorHAnsi" w:eastAsia="Times New Roman" w:hAnsiTheme="majorHAnsi" w:cstheme="majorHAnsi"/>
          <w:sz w:val="24"/>
          <w:szCs w:val="24"/>
          <w:lang w:val="ru-MD"/>
        </w:rPr>
        <w:t>ее</w:t>
      </w:r>
      <w:r w:rsidRPr="007C2B47">
        <w:rPr>
          <w:rFonts w:asciiTheme="majorHAnsi" w:eastAsia="Times New Roman" w:hAnsiTheme="majorHAnsi" w:cstheme="majorHAnsi"/>
          <w:sz w:val="24"/>
          <w:szCs w:val="24"/>
          <w:lang w:val="ru-MD"/>
        </w:rPr>
        <w:t xml:space="preserve"> отметил</w:t>
      </w:r>
      <w:r w:rsidR="00363262" w:rsidRPr="007C2B47">
        <w:rPr>
          <w:rFonts w:asciiTheme="majorHAnsi" w:eastAsia="Times New Roman" w:hAnsiTheme="majorHAnsi" w:cstheme="majorHAnsi"/>
          <w:sz w:val="24"/>
          <w:szCs w:val="24"/>
          <w:lang w:val="ru-MD"/>
        </w:rPr>
        <w:t>о</w:t>
      </w:r>
      <w:r w:rsidRPr="007C2B47">
        <w:rPr>
          <w:rFonts w:asciiTheme="majorHAnsi" w:eastAsia="Times New Roman" w:hAnsiTheme="majorHAnsi" w:cstheme="majorHAnsi"/>
          <w:sz w:val="24"/>
          <w:szCs w:val="24"/>
          <w:lang w:val="ru-MD"/>
        </w:rPr>
        <w:t>, что рассматриваем</w:t>
      </w:r>
      <w:r w:rsidR="00363262" w:rsidRPr="007C2B47">
        <w:rPr>
          <w:rFonts w:asciiTheme="majorHAnsi" w:eastAsia="Times New Roman" w:hAnsiTheme="majorHAnsi" w:cstheme="majorHAnsi"/>
          <w:sz w:val="24"/>
          <w:szCs w:val="24"/>
          <w:lang w:val="ru-MD"/>
        </w:rPr>
        <w:t>ый</w:t>
      </w:r>
      <w:r w:rsidRPr="007C2B47">
        <w:rPr>
          <w:rFonts w:asciiTheme="majorHAnsi" w:eastAsia="Times New Roman" w:hAnsiTheme="majorHAnsi" w:cstheme="majorHAnsi"/>
          <w:sz w:val="24"/>
          <w:szCs w:val="24"/>
          <w:lang w:val="ru-MD"/>
        </w:rPr>
        <w:t xml:space="preserve"> </w:t>
      </w:r>
      <w:r w:rsidR="00363262" w:rsidRPr="007C2B47">
        <w:rPr>
          <w:rFonts w:asciiTheme="majorHAnsi" w:eastAsia="Times New Roman" w:hAnsiTheme="majorHAnsi" w:cstheme="majorHAnsi"/>
          <w:sz w:val="24"/>
          <w:szCs w:val="24"/>
          <w:lang w:val="ru-MD"/>
        </w:rPr>
        <w:t>вопрос</w:t>
      </w:r>
      <w:r w:rsidRPr="007C2B47">
        <w:rPr>
          <w:rFonts w:asciiTheme="majorHAnsi" w:eastAsia="Times New Roman" w:hAnsiTheme="majorHAnsi" w:cstheme="majorHAnsi"/>
          <w:sz w:val="24"/>
          <w:szCs w:val="24"/>
          <w:lang w:val="ru-MD"/>
        </w:rPr>
        <w:t xml:space="preserve"> не относится к компетенциям </w:t>
      </w:r>
      <w:r w:rsidR="00363262" w:rsidRPr="007C2B47">
        <w:rPr>
          <w:rFonts w:asciiTheme="majorHAnsi" w:eastAsia="Times New Roman" w:hAnsiTheme="majorHAnsi" w:cstheme="majorHAnsi"/>
          <w:sz w:val="24"/>
          <w:szCs w:val="24"/>
          <w:lang w:val="ru-MD"/>
        </w:rPr>
        <w:t>М</w:t>
      </w:r>
      <w:r w:rsidRPr="007C2B47">
        <w:rPr>
          <w:rFonts w:asciiTheme="majorHAnsi" w:eastAsia="Times New Roman" w:hAnsiTheme="majorHAnsi" w:cstheme="majorHAnsi"/>
          <w:sz w:val="24"/>
          <w:szCs w:val="24"/>
          <w:lang w:val="ru-MD"/>
        </w:rPr>
        <w:t>инистерства</w:t>
      </w:r>
      <w:r w:rsidR="00363262" w:rsidRPr="007C2B47">
        <w:rPr>
          <w:rStyle w:val="FootnoteReference"/>
          <w:rFonts w:asciiTheme="majorHAnsi" w:eastAsia="Times New Roman" w:hAnsiTheme="majorHAnsi" w:cstheme="majorHAnsi"/>
          <w:sz w:val="24"/>
          <w:szCs w:val="24"/>
          <w:lang w:val="ru-MD"/>
        </w:rPr>
        <w:footnoteReference w:id="78"/>
      </w:r>
      <w:r w:rsidRPr="007C2B47">
        <w:rPr>
          <w:rFonts w:asciiTheme="majorHAnsi" w:eastAsia="Times New Roman" w:hAnsiTheme="majorHAnsi" w:cstheme="majorHAnsi"/>
          <w:sz w:val="24"/>
          <w:szCs w:val="24"/>
          <w:lang w:val="ru-MD"/>
        </w:rPr>
        <w:t>, и рекомендовал</w:t>
      </w:r>
      <w:r w:rsidR="00811FE5" w:rsidRPr="007C2B47">
        <w:rPr>
          <w:rFonts w:asciiTheme="majorHAnsi" w:eastAsia="Times New Roman" w:hAnsiTheme="majorHAnsi" w:cstheme="majorHAnsi"/>
          <w:sz w:val="24"/>
          <w:szCs w:val="24"/>
          <w:lang w:val="ru-MD"/>
        </w:rPr>
        <w:t>о</w:t>
      </w:r>
      <w:r w:rsidRPr="007C2B47">
        <w:rPr>
          <w:rFonts w:asciiTheme="majorHAnsi" w:eastAsia="Times New Roman" w:hAnsiTheme="majorHAnsi" w:cstheme="majorHAnsi"/>
          <w:sz w:val="24"/>
          <w:szCs w:val="24"/>
          <w:lang w:val="ru-MD"/>
        </w:rPr>
        <w:t xml:space="preserve"> обсудить недостатки в отношении элементов аутентификации счета-фактуры (Invoice) и других </w:t>
      </w:r>
      <w:r w:rsidR="00811FE5" w:rsidRPr="007C2B47">
        <w:rPr>
          <w:rFonts w:asciiTheme="majorHAnsi" w:eastAsia="Times New Roman" w:hAnsiTheme="majorHAnsi" w:cstheme="majorHAnsi"/>
          <w:sz w:val="24"/>
          <w:szCs w:val="24"/>
          <w:lang w:val="ru-MD"/>
        </w:rPr>
        <w:t>сопроводительных документов</w:t>
      </w:r>
      <w:r w:rsidRPr="007C2B47">
        <w:rPr>
          <w:rFonts w:asciiTheme="majorHAnsi" w:eastAsia="Times New Roman" w:hAnsiTheme="majorHAnsi" w:cstheme="majorHAnsi"/>
          <w:sz w:val="24"/>
          <w:szCs w:val="24"/>
          <w:lang w:val="ru-MD"/>
        </w:rPr>
        <w:t xml:space="preserve"> товар</w:t>
      </w:r>
      <w:r w:rsidR="00811FE5" w:rsidRPr="007C2B47">
        <w:rPr>
          <w:rFonts w:asciiTheme="majorHAnsi" w:eastAsia="Times New Roman" w:hAnsiTheme="majorHAnsi" w:cstheme="majorHAnsi"/>
          <w:sz w:val="24"/>
          <w:szCs w:val="24"/>
          <w:lang w:val="ru-MD"/>
        </w:rPr>
        <w:t>а</w:t>
      </w:r>
      <w:r w:rsidRPr="007C2B47">
        <w:rPr>
          <w:rFonts w:asciiTheme="majorHAnsi" w:eastAsia="Times New Roman" w:hAnsiTheme="majorHAnsi" w:cstheme="majorHAnsi"/>
          <w:sz w:val="24"/>
          <w:szCs w:val="24"/>
          <w:lang w:val="ru-MD"/>
        </w:rPr>
        <w:t xml:space="preserve"> в </w:t>
      </w:r>
      <w:r w:rsidR="00811FE5" w:rsidRPr="007C2B47">
        <w:rPr>
          <w:rFonts w:asciiTheme="majorHAnsi" w:eastAsia="Times New Roman" w:hAnsiTheme="majorHAnsi" w:cstheme="majorHAnsi"/>
          <w:sz w:val="24"/>
          <w:szCs w:val="24"/>
          <w:lang w:val="ru-MD"/>
        </w:rPr>
        <w:t>Т</w:t>
      </w:r>
      <w:r w:rsidRPr="007C2B47">
        <w:rPr>
          <w:rFonts w:asciiTheme="majorHAnsi" w:eastAsia="Times New Roman" w:hAnsiTheme="majorHAnsi" w:cstheme="majorHAnsi"/>
          <w:sz w:val="24"/>
          <w:szCs w:val="24"/>
          <w:lang w:val="ru-MD"/>
        </w:rPr>
        <w:t xml:space="preserve">аможенном подкомитете, </w:t>
      </w:r>
      <w:r w:rsidR="00811FE5" w:rsidRPr="007C2B47">
        <w:rPr>
          <w:rFonts w:asciiTheme="majorHAnsi" w:eastAsia="Times New Roman" w:hAnsiTheme="majorHAnsi" w:cstheme="majorHAnsi"/>
          <w:sz w:val="24"/>
          <w:szCs w:val="24"/>
          <w:lang w:val="ru-MD"/>
        </w:rPr>
        <w:t>созда</w:t>
      </w:r>
      <w:r w:rsidRPr="007C2B47">
        <w:rPr>
          <w:rFonts w:asciiTheme="majorHAnsi" w:eastAsia="Times New Roman" w:hAnsiTheme="majorHAnsi" w:cstheme="majorHAnsi"/>
          <w:sz w:val="24"/>
          <w:szCs w:val="24"/>
          <w:lang w:val="ru-MD"/>
        </w:rPr>
        <w:t>нном в соответствии с Соглашением об ассоциации РМ-ЕС</w:t>
      </w:r>
      <w:r w:rsidR="00811FE5" w:rsidRPr="007C2B47">
        <w:rPr>
          <w:rStyle w:val="FootnoteReference"/>
          <w:rFonts w:asciiTheme="majorHAnsi" w:hAnsiTheme="majorHAnsi" w:cstheme="majorHAnsi"/>
          <w:sz w:val="24"/>
          <w:szCs w:val="24"/>
          <w:lang w:val="ru-MD"/>
        </w:rPr>
        <w:footnoteReference w:id="79"/>
      </w:r>
      <w:r w:rsidRPr="007C2B47">
        <w:rPr>
          <w:rFonts w:asciiTheme="majorHAnsi" w:eastAsia="Times New Roman" w:hAnsiTheme="majorHAnsi" w:cstheme="majorHAnsi"/>
          <w:sz w:val="24"/>
          <w:szCs w:val="24"/>
          <w:lang w:val="ru-MD"/>
        </w:rPr>
        <w:t xml:space="preserve">, однако до сих пор </w:t>
      </w:r>
      <w:r w:rsidR="00811FE5" w:rsidRPr="007C2B47">
        <w:rPr>
          <w:rFonts w:asciiTheme="majorHAnsi" w:eastAsia="Times New Roman" w:hAnsiTheme="majorHAnsi" w:cstheme="majorHAnsi"/>
          <w:sz w:val="24"/>
          <w:szCs w:val="24"/>
          <w:lang w:val="ru-MD"/>
        </w:rPr>
        <w:t>этот</w:t>
      </w:r>
      <w:r w:rsidRPr="007C2B47">
        <w:rPr>
          <w:rFonts w:asciiTheme="majorHAnsi" w:eastAsia="Times New Roman" w:hAnsiTheme="majorHAnsi" w:cstheme="majorHAnsi"/>
          <w:sz w:val="24"/>
          <w:szCs w:val="24"/>
          <w:lang w:val="ru-MD"/>
        </w:rPr>
        <w:t xml:space="preserve"> аспект не был урегулирован. </w:t>
      </w:r>
      <w:r w:rsidR="00811FE5" w:rsidRPr="007C2B47">
        <w:rPr>
          <w:rFonts w:asciiTheme="majorHAnsi" w:eastAsia="Times New Roman" w:hAnsiTheme="majorHAnsi" w:cstheme="majorHAnsi"/>
          <w:sz w:val="24"/>
          <w:szCs w:val="24"/>
          <w:lang w:val="ru-MD"/>
        </w:rPr>
        <w:t>Кроме того</w:t>
      </w:r>
      <w:r w:rsidRPr="007C2B47">
        <w:rPr>
          <w:rFonts w:asciiTheme="majorHAnsi" w:eastAsia="Times New Roman" w:hAnsiTheme="majorHAnsi" w:cstheme="majorHAnsi"/>
          <w:sz w:val="24"/>
          <w:szCs w:val="24"/>
          <w:lang w:val="ru-MD"/>
        </w:rPr>
        <w:t>, согласно главе 21 Национального плана действий в области содействия торговле на 2018-2020 годы, утвержденного</w:t>
      </w:r>
      <w:r w:rsidR="00811FE5" w:rsidRPr="007C2B47">
        <w:rPr>
          <w:rFonts w:asciiTheme="majorHAnsi" w:eastAsia="Times New Roman" w:hAnsiTheme="majorHAnsi" w:cstheme="majorHAnsi"/>
          <w:sz w:val="24"/>
          <w:szCs w:val="24"/>
          <w:lang w:val="ru-MD"/>
        </w:rPr>
        <w:t xml:space="preserve"> Постановлением Правительства №</w:t>
      </w:r>
      <w:r w:rsidRPr="007C2B47">
        <w:rPr>
          <w:rFonts w:asciiTheme="majorHAnsi" w:eastAsia="Times New Roman" w:hAnsiTheme="majorHAnsi" w:cstheme="majorHAnsi"/>
          <w:sz w:val="24"/>
          <w:szCs w:val="24"/>
          <w:lang w:val="ru-MD"/>
        </w:rPr>
        <w:t>1065 от 12.12.2017</w:t>
      </w:r>
      <w:r w:rsidR="00811FE5" w:rsidRPr="007C2B47">
        <w:rPr>
          <w:rStyle w:val="FootnoteReference"/>
          <w:rFonts w:asciiTheme="majorHAnsi" w:eastAsia="Times New Roman" w:hAnsiTheme="majorHAnsi" w:cstheme="majorHAnsi"/>
          <w:sz w:val="24"/>
          <w:szCs w:val="24"/>
          <w:lang w:val="ru-MD"/>
        </w:rPr>
        <w:footnoteReference w:id="80"/>
      </w:r>
      <w:r w:rsidR="00811FE5" w:rsidRPr="007C2B47">
        <w:rPr>
          <w:rFonts w:asciiTheme="majorHAnsi" w:eastAsia="Times New Roman" w:hAnsiTheme="majorHAnsi" w:cstheme="majorHAnsi"/>
          <w:sz w:val="24"/>
          <w:szCs w:val="24"/>
          <w:lang w:val="ru-MD"/>
        </w:rPr>
        <w:t>, ТС</w:t>
      </w:r>
      <w:r w:rsidRPr="007C2B47">
        <w:rPr>
          <w:rFonts w:asciiTheme="majorHAnsi" w:eastAsia="Times New Roman" w:hAnsiTheme="majorHAnsi" w:cstheme="majorHAnsi"/>
          <w:sz w:val="24"/>
          <w:szCs w:val="24"/>
          <w:lang w:val="ru-MD"/>
        </w:rPr>
        <w:t xml:space="preserve"> долж</w:t>
      </w:r>
      <w:r w:rsidR="00811FE5" w:rsidRPr="007C2B47">
        <w:rPr>
          <w:rFonts w:asciiTheme="majorHAnsi" w:eastAsia="Times New Roman" w:hAnsiTheme="majorHAnsi" w:cstheme="majorHAnsi"/>
          <w:sz w:val="24"/>
          <w:szCs w:val="24"/>
          <w:lang w:val="ru-MD"/>
        </w:rPr>
        <w:t>на</w:t>
      </w:r>
      <w:r w:rsidRPr="007C2B47">
        <w:rPr>
          <w:rFonts w:asciiTheme="majorHAnsi" w:eastAsia="Times New Roman" w:hAnsiTheme="majorHAnsi" w:cstheme="majorHAnsi"/>
          <w:sz w:val="24"/>
          <w:szCs w:val="24"/>
          <w:lang w:val="ru-MD"/>
        </w:rPr>
        <w:t xml:space="preserve"> был</w:t>
      </w:r>
      <w:r w:rsidR="00811FE5" w:rsidRPr="007C2B47">
        <w:rPr>
          <w:rFonts w:asciiTheme="majorHAnsi" w:eastAsia="Times New Roman" w:hAnsiTheme="majorHAnsi" w:cstheme="majorHAnsi"/>
          <w:sz w:val="24"/>
          <w:szCs w:val="24"/>
          <w:lang w:val="ru-MD"/>
        </w:rPr>
        <w:t>а</w:t>
      </w:r>
      <w:r w:rsidRPr="007C2B47">
        <w:rPr>
          <w:rFonts w:asciiTheme="majorHAnsi" w:eastAsia="Times New Roman" w:hAnsiTheme="majorHAnsi" w:cstheme="majorHAnsi"/>
          <w:sz w:val="24"/>
          <w:szCs w:val="24"/>
          <w:lang w:val="ru-MD"/>
        </w:rPr>
        <w:t xml:space="preserve"> </w:t>
      </w:r>
      <w:r w:rsidR="00811FE5" w:rsidRPr="007C2B47">
        <w:rPr>
          <w:rFonts w:asciiTheme="majorHAnsi" w:eastAsia="Times New Roman" w:hAnsiTheme="majorHAnsi" w:cstheme="majorHAnsi"/>
          <w:sz w:val="24"/>
          <w:szCs w:val="24"/>
          <w:lang w:val="ru-MD"/>
        </w:rPr>
        <w:t>транспонирова</w:t>
      </w:r>
      <w:r w:rsidRPr="007C2B47">
        <w:rPr>
          <w:rFonts w:asciiTheme="majorHAnsi" w:eastAsia="Times New Roman" w:hAnsiTheme="majorHAnsi" w:cstheme="majorHAnsi"/>
          <w:sz w:val="24"/>
          <w:szCs w:val="24"/>
          <w:lang w:val="ru-MD"/>
        </w:rPr>
        <w:t>ть в национальное законодательство все рекомендации и передов</w:t>
      </w:r>
      <w:r w:rsidR="00811FE5" w:rsidRPr="007C2B47">
        <w:rPr>
          <w:rFonts w:asciiTheme="majorHAnsi" w:eastAsia="Times New Roman" w:hAnsiTheme="majorHAnsi" w:cstheme="majorHAnsi"/>
          <w:sz w:val="24"/>
          <w:szCs w:val="24"/>
          <w:lang w:val="ru-MD"/>
        </w:rPr>
        <w:t>ые практики, предоставленные</w:t>
      </w:r>
      <w:r w:rsidRPr="007C2B47">
        <w:rPr>
          <w:rFonts w:asciiTheme="majorHAnsi" w:eastAsia="Times New Roman" w:hAnsiTheme="majorHAnsi" w:cstheme="majorHAnsi"/>
          <w:sz w:val="24"/>
          <w:szCs w:val="24"/>
          <w:lang w:val="ru-MD"/>
        </w:rPr>
        <w:t xml:space="preserve"> Всемирной организаци</w:t>
      </w:r>
      <w:r w:rsidR="00811FE5" w:rsidRPr="007C2B47">
        <w:rPr>
          <w:rFonts w:asciiTheme="majorHAnsi" w:eastAsia="Times New Roman" w:hAnsiTheme="majorHAnsi" w:cstheme="majorHAnsi"/>
          <w:sz w:val="24"/>
          <w:szCs w:val="24"/>
          <w:lang w:val="ru-MD"/>
        </w:rPr>
        <w:t>ей</w:t>
      </w:r>
      <w:r w:rsidRPr="007C2B47">
        <w:rPr>
          <w:rFonts w:asciiTheme="majorHAnsi" w:eastAsia="Times New Roman" w:hAnsiTheme="majorHAnsi" w:cstheme="majorHAnsi"/>
          <w:sz w:val="24"/>
          <w:szCs w:val="24"/>
          <w:lang w:val="ru-MD"/>
        </w:rPr>
        <w:t xml:space="preserve"> </w:t>
      </w:r>
      <w:r w:rsidR="00811FE5" w:rsidRPr="007C2B47">
        <w:rPr>
          <w:rFonts w:asciiTheme="majorHAnsi" w:eastAsia="Times New Roman" w:hAnsiTheme="majorHAnsi" w:cstheme="majorHAnsi"/>
          <w:sz w:val="24"/>
          <w:szCs w:val="24"/>
          <w:lang w:val="ru-MD"/>
        </w:rPr>
        <w:t xml:space="preserve">торговли </w:t>
      </w:r>
      <w:r w:rsidRPr="007C2B47">
        <w:rPr>
          <w:rFonts w:asciiTheme="majorHAnsi" w:eastAsia="Times New Roman" w:hAnsiTheme="majorHAnsi" w:cstheme="majorHAnsi"/>
          <w:sz w:val="24"/>
          <w:szCs w:val="24"/>
          <w:lang w:val="ru-MD"/>
        </w:rPr>
        <w:t xml:space="preserve">в области </w:t>
      </w:r>
      <w:r w:rsidR="00811FE5" w:rsidRPr="007C2B47">
        <w:rPr>
          <w:rFonts w:asciiTheme="majorHAnsi" w:eastAsia="Times New Roman" w:hAnsiTheme="majorHAnsi" w:cstheme="majorHAnsi"/>
          <w:sz w:val="24"/>
          <w:szCs w:val="24"/>
          <w:lang w:val="ru-MD"/>
        </w:rPr>
        <w:t>опреде</w:t>
      </w:r>
      <w:r w:rsidRPr="007C2B47">
        <w:rPr>
          <w:rFonts w:asciiTheme="majorHAnsi" w:eastAsia="Times New Roman" w:hAnsiTheme="majorHAnsi" w:cstheme="majorHAnsi"/>
          <w:sz w:val="24"/>
          <w:szCs w:val="24"/>
          <w:lang w:val="ru-MD"/>
        </w:rPr>
        <w:t>ления таможенной стоимости</w:t>
      </w:r>
      <w:r w:rsidR="008A28A2" w:rsidRPr="007C2B47">
        <w:rPr>
          <w:rFonts w:asciiTheme="majorHAnsi" w:eastAsia="Times New Roman" w:hAnsiTheme="majorHAnsi" w:cstheme="majorHAnsi"/>
          <w:sz w:val="24"/>
          <w:szCs w:val="24"/>
          <w:lang w:val="ru-MD"/>
        </w:rPr>
        <w:t xml:space="preserve">. </w:t>
      </w:r>
    </w:p>
    <w:p w14:paraId="0BB63F07" w14:textId="7AAC454F" w:rsidR="008A28A2" w:rsidRPr="007E53BE" w:rsidRDefault="00277AC1" w:rsidP="008A28A2">
      <w:pPr>
        <w:spacing w:after="160"/>
        <w:ind w:right="142"/>
        <w:jc w:val="both"/>
        <w:rPr>
          <w:rFonts w:asciiTheme="majorHAnsi" w:hAnsiTheme="majorHAnsi" w:cstheme="majorHAnsi"/>
          <w:sz w:val="24"/>
          <w:szCs w:val="24"/>
          <w:lang w:val="ru-MD"/>
        </w:rPr>
      </w:pPr>
      <w:r w:rsidRPr="007E53BE">
        <w:rPr>
          <w:rFonts w:asciiTheme="majorHAnsi" w:hAnsiTheme="majorHAnsi" w:cstheme="majorHAnsi"/>
          <w:sz w:val="24"/>
          <w:szCs w:val="24"/>
          <w:lang w:val="ru-MD"/>
        </w:rPr>
        <w:t xml:space="preserve">Аудиторские доказательства указывают на то, что, хотя для определения таможенной стоимости товаров, </w:t>
      </w:r>
      <w:r w:rsidR="007C2B47" w:rsidRPr="007E53BE">
        <w:rPr>
          <w:rFonts w:asciiTheme="majorHAnsi" w:hAnsiTheme="majorHAnsi" w:cstheme="majorHAnsi"/>
          <w:sz w:val="24"/>
          <w:szCs w:val="24"/>
          <w:lang w:val="ru-MD"/>
        </w:rPr>
        <w:t>являю</w:t>
      </w:r>
      <w:r w:rsidRPr="007E53BE">
        <w:rPr>
          <w:rFonts w:asciiTheme="majorHAnsi" w:hAnsiTheme="majorHAnsi" w:cstheme="majorHAnsi"/>
          <w:sz w:val="24"/>
          <w:szCs w:val="24"/>
          <w:lang w:val="ru-MD"/>
        </w:rPr>
        <w:t>щих</w:t>
      </w:r>
      <w:r w:rsidR="007C2B47" w:rsidRPr="007E53BE">
        <w:rPr>
          <w:rFonts w:asciiTheme="majorHAnsi" w:hAnsiTheme="majorHAnsi" w:cstheme="majorHAnsi"/>
          <w:sz w:val="24"/>
          <w:szCs w:val="24"/>
          <w:lang w:val="ru-MD"/>
        </w:rPr>
        <w:t>ся предметом</w:t>
      </w:r>
      <w:r w:rsidRPr="007E53BE">
        <w:rPr>
          <w:rFonts w:asciiTheme="majorHAnsi" w:hAnsiTheme="majorHAnsi" w:cstheme="majorHAnsi"/>
          <w:sz w:val="24"/>
          <w:szCs w:val="24"/>
          <w:lang w:val="ru-MD"/>
        </w:rPr>
        <w:t xml:space="preserve"> торговл</w:t>
      </w:r>
      <w:r w:rsidR="007C2B47" w:rsidRPr="007E53BE">
        <w:rPr>
          <w:rFonts w:asciiTheme="majorHAnsi" w:hAnsiTheme="majorHAnsi" w:cstheme="majorHAnsi"/>
          <w:sz w:val="24"/>
          <w:szCs w:val="24"/>
          <w:lang w:val="ru-MD"/>
        </w:rPr>
        <w:t>и</w:t>
      </w:r>
      <w:r w:rsidRPr="007E53BE">
        <w:rPr>
          <w:rFonts w:asciiTheme="majorHAnsi" w:hAnsiTheme="majorHAnsi" w:cstheme="majorHAnsi"/>
          <w:sz w:val="24"/>
          <w:szCs w:val="24"/>
          <w:lang w:val="ru-MD"/>
        </w:rPr>
        <w:t xml:space="preserve"> между сторонами, </w:t>
      </w:r>
      <w:r w:rsidR="007C2B47" w:rsidRPr="007E53BE">
        <w:rPr>
          <w:rFonts w:asciiTheme="majorHAnsi" w:hAnsiTheme="majorHAnsi" w:cstheme="majorHAnsi"/>
          <w:sz w:val="24"/>
          <w:szCs w:val="24"/>
          <w:lang w:val="ru-MD"/>
        </w:rPr>
        <w:t>ТС</w:t>
      </w:r>
      <w:r w:rsidRPr="007E53BE">
        <w:rPr>
          <w:rFonts w:asciiTheme="majorHAnsi" w:hAnsiTheme="majorHAnsi" w:cstheme="majorHAnsi"/>
          <w:sz w:val="24"/>
          <w:szCs w:val="24"/>
          <w:lang w:val="ru-MD"/>
        </w:rPr>
        <w:t xml:space="preserve"> принял</w:t>
      </w:r>
      <w:r w:rsidR="007C2B47" w:rsidRPr="007E53BE">
        <w:rPr>
          <w:rFonts w:asciiTheme="majorHAnsi" w:hAnsiTheme="majorHAnsi" w:cstheme="majorHAnsi"/>
          <w:sz w:val="24"/>
          <w:szCs w:val="24"/>
          <w:lang w:val="ru-MD"/>
        </w:rPr>
        <w:t>а</w:t>
      </w:r>
      <w:r w:rsidRPr="007E53BE">
        <w:rPr>
          <w:rFonts w:asciiTheme="majorHAnsi" w:hAnsiTheme="majorHAnsi" w:cstheme="majorHAnsi"/>
          <w:sz w:val="24"/>
          <w:szCs w:val="24"/>
          <w:lang w:val="ru-MD"/>
        </w:rPr>
        <w:t xml:space="preserve"> Положение о порядке декларирования таможенной стоимости товаров, утвержденное</w:t>
      </w:r>
      <w:r w:rsidR="007C2B47" w:rsidRPr="007E53BE">
        <w:rPr>
          <w:rFonts w:asciiTheme="majorHAnsi" w:hAnsiTheme="majorHAnsi" w:cstheme="majorHAnsi"/>
          <w:sz w:val="24"/>
          <w:szCs w:val="24"/>
          <w:lang w:val="ru-MD"/>
        </w:rPr>
        <w:t xml:space="preserve"> Постановлением Правительства №</w:t>
      </w:r>
      <w:r w:rsidRPr="007E53BE">
        <w:rPr>
          <w:rFonts w:asciiTheme="majorHAnsi" w:hAnsiTheme="majorHAnsi" w:cstheme="majorHAnsi"/>
          <w:sz w:val="24"/>
          <w:szCs w:val="24"/>
          <w:lang w:val="ru-MD"/>
        </w:rPr>
        <w:t>974 от 15.08.2016</w:t>
      </w:r>
      <w:r w:rsidR="007C2B47" w:rsidRPr="007E53BE">
        <w:rPr>
          <w:rStyle w:val="FootnoteReference"/>
          <w:rFonts w:asciiTheme="majorHAnsi" w:eastAsia="Times New Roman" w:hAnsiTheme="majorHAnsi" w:cstheme="majorHAnsi"/>
          <w:sz w:val="24"/>
          <w:szCs w:val="24"/>
          <w:lang w:val="ru-MD"/>
        </w:rPr>
        <w:footnoteReference w:id="81"/>
      </w:r>
      <w:r w:rsidR="007C2B47" w:rsidRPr="007E53BE">
        <w:rPr>
          <w:rFonts w:asciiTheme="majorHAnsi" w:eastAsia="Times New Roman" w:hAnsiTheme="majorHAnsi" w:cstheme="majorHAnsi"/>
          <w:sz w:val="24"/>
          <w:szCs w:val="24"/>
          <w:lang w:val="ru-MD"/>
        </w:rPr>
        <w:t>,</w:t>
      </w:r>
      <w:r w:rsidRPr="007E53BE">
        <w:rPr>
          <w:rFonts w:asciiTheme="majorHAnsi" w:hAnsiTheme="majorHAnsi" w:cstheme="majorHAnsi"/>
          <w:sz w:val="24"/>
          <w:szCs w:val="24"/>
          <w:lang w:val="ru-MD"/>
        </w:rPr>
        <w:t xml:space="preserve"> котор</w:t>
      </w:r>
      <w:r w:rsidR="007C2B47" w:rsidRPr="007E53BE">
        <w:rPr>
          <w:rFonts w:asciiTheme="majorHAnsi" w:hAnsiTheme="majorHAnsi" w:cstheme="majorHAnsi"/>
          <w:sz w:val="24"/>
          <w:szCs w:val="24"/>
          <w:lang w:val="ru-MD"/>
        </w:rPr>
        <w:t>ым</w:t>
      </w:r>
      <w:r w:rsidRPr="007E53BE">
        <w:rPr>
          <w:rFonts w:asciiTheme="majorHAnsi" w:hAnsiTheme="majorHAnsi" w:cstheme="majorHAnsi"/>
          <w:sz w:val="24"/>
          <w:szCs w:val="24"/>
          <w:lang w:val="ru-MD"/>
        </w:rPr>
        <w:t xml:space="preserve"> </w:t>
      </w:r>
      <w:r w:rsidR="007C2B47" w:rsidRPr="007E53BE">
        <w:rPr>
          <w:rFonts w:asciiTheme="majorHAnsi" w:hAnsiTheme="majorHAnsi" w:cstheme="majorHAnsi"/>
          <w:sz w:val="24"/>
          <w:szCs w:val="24"/>
          <w:lang w:val="ru-MD"/>
        </w:rPr>
        <w:t xml:space="preserve">таможенное законодательство было </w:t>
      </w:r>
      <w:r w:rsidRPr="007E53BE">
        <w:rPr>
          <w:rFonts w:asciiTheme="majorHAnsi" w:hAnsiTheme="majorHAnsi" w:cstheme="majorHAnsi"/>
          <w:sz w:val="24"/>
          <w:szCs w:val="24"/>
          <w:lang w:val="ru-MD"/>
        </w:rPr>
        <w:t xml:space="preserve">частично </w:t>
      </w:r>
      <w:r w:rsidR="007C2B47" w:rsidRPr="007E53BE">
        <w:rPr>
          <w:rFonts w:asciiTheme="majorHAnsi" w:hAnsiTheme="majorHAnsi" w:cstheme="majorHAnsi"/>
          <w:sz w:val="24"/>
          <w:szCs w:val="24"/>
          <w:lang w:val="ru-MD"/>
        </w:rPr>
        <w:t>приведено</w:t>
      </w:r>
      <w:r w:rsidRPr="007E53BE">
        <w:rPr>
          <w:rFonts w:asciiTheme="majorHAnsi" w:hAnsiTheme="majorHAnsi" w:cstheme="majorHAnsi"/>
          <w:sz w:val="24"/>
          <w:szCs w:val="24"/>
          <w:lang w:val="ru-MD"/>
        </w:rPr>
        <w:t xml:space="preserve"> </w:t>
      </w:r>
      <w:r w:rsidR="007C2B47" w:rsidRPr="007E53BE">
        <w:rPr>
          <w:rFonts w:asciiTheme="majorHAnsi" w:hAnsiTheme="majorHAnsi" w:cstheme="majorHAnsi"/>
          <w:sz w:val="24"/>
          <w:szCs w:val="24"/>
          <w:lang w:val="ru-MD"/>
        </w:rPr>
        <w:t>в соответствие</w:t>
      </w:r>
      <w:r w:rsidRPr="007E53BE">
        <w:rPr>
          <w:rFonts w:asciiTheme="majorHAnsi" w:hAnsiTheme="majorHAnsi" w:cstheme="majorHAnsi"/>
          <w:sz w:val="24"/>
          <w:szCs w:val="24"/>
          <w:lang w:val="ru-MD"/>
        </w:rPr>
        <w:t xml:space="preserve"> положениям acquis</w:t>
      </w:r>
      <w:r w:rsidR="007C2B47" w:rsidRPr="007E53BE">
        <w:rPr>
          <w:rFonts w:asciiTheme="majorHAnsi" w:hAnsiTheme="majorHAnsi" w:cstheme="majorHAnsi"/>
          <w:sz w:val="24"/>
          <w:szCs w:val="24"/>
          <w:lang w:val="ru-MD"/>
        </w:rPr>
        <w:t>-а</w:t>
      </w:r>
      <w:r w:rsidRPr="007E53BE">
        <w:rPr>
          <w:rFonts w:asciiTheme="majorHAnsi" w:hAnsiTheme="majorHAnsi" w:cstheme="majorHAnsi"/>
          <w:sz w:val="24"/>
          <w:szCs w:val="24"/>
          <w:lang w:val="ru-MD"/>
        </w:rPr>
        <w:t xml:space="preserve"> </w:t>
      </w:r>
      <w:r w:rsidR="007C2B47" w:rsidRPr="007E53BE">
        <w:rPr>
          <w:rFonts w:asciiTheme="majorHAnsi" w:hAnsiTheme="majorHAnsi" w:cstheme="majorHAnsi"/>
          <w:sz w:val="24"/>
          <w:szCs w:val="24"/>
          <w:lang w:val="ru-MD"/>
        </w:rPr>
        <w:t>С</w:t>
      </w:r>
      <w:r w:rsidRPr="007E53BE">
        <w:rPr>
          <w:rFonts w:asciiTheme="majorHAnsi" w:hAnsiTheme="majorHAnsi" w:cstheme="majorHAnsi"/>
          <w:sz w:val="24"/>
          <w:szCs w:val="24"/>
          <w:lang w:val="ru-MD"/>
        </w:rPr>
        <w:t xml:space="preserve">ообщества, </w:t>
      </w:r>
      <w:r w:rsidR="007C2B47" w:rsidRPr="007E53BE">
        <w:rPr>
          <w:rFonts w:asciiTheme="majorHAnsi" w:hAnsiTheme="majorHAnsi" w:cstheme="majorHAnsi"/>
          <w:sz w:val="24"/>
          <w:szCs w:val="24"/>
          <w:lang w:val="ru-MD"/>
        </w:rPr>
        <w:t xml:space="preserve">тем не менее, </w:t>
      </w:r>
      <w:r w:rsidRPr="007E53BE">
        <w:rPr>
          <w:rFonts w:asciiTheme="majorHAnsi" w:hAnsiTheme="majorHAnsi" w:cstheme="majorHAnsi"/>
          <w:sz w:val="24"/>
          <w:szCs w:val="24"/>
          <w:lang w:val="ru-MD"/>
        </w:rPr>
        <w:t xml:space="preserve">для подтверждения таможенной стоимости импортируемых товаров декларант/экономический агент был обязан дополнительно представить документы, указанные в </w:t>
      </w:r>
      <w:r w:rsidR="007C2B47" w:rsidRPr="007E53BE">
        <w:rPr>
          <w:rFonts w:asciiTheme="majorHAnsi" w:eastAsia="Times New Roman" w:hAnsiTheme="majorHAnsi" w:cstheme="majorHAnsi"/>
          <w:sz w:val="24"/>
          <w:szCs w:val="24"/>
          <w:lang w:val="ru-MD"/>
        </w:rPr>
        <w:t>п.29</w:t>
      </w:r>
      <w:r w:rsidR="007C2B47" w:rsidRPr="007E53BE">
        <w:rPr>
          <w:rFonts w:asciiTheme="majorHAnsi" w:eastAsia="Times New Roman" w:hAnsiTheme="majorHAnsi" w:cstheme="majorHAnsi"/>
          <w:sz w:val="24"/>
          <w:szCs w:val="24"/>
          <w:vertAlign w:val="superscript"/>
          <w:lang w:val="ru-MD"/>
        </w:rPr>
        <w:t>1</w:t>
      </w:r>
      <w:r w:rsidR="007C2B47" w:rsidRPr="007E53BE">
        <w:rPr>
          <w:rFonts w:asciiTheme="majorHAnsi" w:eastAsia="Times New Roman" w:hAnsiTheme="majorHAnsi" w:cstheme="majorHAnsi"/>
          <w:sz w:val="24"/>
          <w:szCs w:val="24"/>
          <w:lang w:val="ru-MD"/>
        </w:rPr>
        <w:t xml:space="preserve">  и п.29</w:t>
      </w:r>
      <w:r w:rsidR="007C2B47" w:rsidRPr="007E53BE">
        <w:rPr>
          <w:rFonts w:asciiTheme="majorHAnsi" w:eastAsia="Times New Roman" w:hAnsiTheme="majorHAnsi" w:cstheme="majorHAnsi"/>
          <w:sz w:val="24"/>
          <w:szCs w:val="24"/>
          <w:vertAlign w:val="superscript"/>
          <w:lang w:val="ru-MD"/>
        </w:rPr>
        <w:t>2</w:t>
      </w:r>
      <w:r w:rsidR="007C2B47" w:rsidRPr="007E53BE">
        <w:rPr>
          <w:rFonts w:asciiTheme="majorHAnsi" w:eastAsia="Times New Roman" w:hAnsiTheme="majorHAnsi" w:cstheme="majorHAnsi"/>
          <w:sz w:val="24"/>
          <w:szCs w:val="24"/>
          <w:lang w:val="ru-MD"/>
        </w:rPr>
        <w:t xml:space="preserve"> </w:t>
      </w:r>
      <w:r w:rsidR="007E53BE" w:rsidRPr="007E53BE">
        <w:rPr>
          <w:rFonts w:asciiTheme="majorHAnsi" w:eastAsia="Times New Roman" w:hAnsiTheme="majorHAnsi" w:cstheme="majorHAnsi"/>
          <w:sz w:val="24"/>
          <w:szCs w:val="24"/>
          <w:lang w:val="ru-MD"/>
        </w:rPr>
        <w:t xml:space="preserve">и в </w:t>
      </w:r>
      <w:r w:rsidR="007C2B47" w:rsidRPr="007E53BE">
        <w:rPr>
          <w:rFonts w:asciiTheme="majorHAnsi" w:eastAsia="Times New Roman" w:hAnsiTheme="majorHAnsi" w:cstheme="majorHAnsi"/>
          <w:sz w:val="24"/>
          <w:szCs w:val="24"/>
          <w:lang w:val="ru-MD"/>
        </w:rPr>
        <w:t>П</w:t>
      </w:r>
      <w:r w:rsidRPr="007E53BE">
        <w:rPr>
          <w:rFonts w:asciiTheme="majorHAnsi" w:hAnsiTheme="majorHAnsi" w:cstheme="majorHAnsi"/>
          <w:sz w:val="24"/>
          <w:szCs w:val="24"/>
          <w:lang w:val="ru-MD"/>
        </w:rPr>
        <w:t>оложени</w:t>
      </w:r>
      <w:r w:rsidR="007E53BE" w:rsidRPr="007E53BE">
        <w:rPr>
          <w:rFonts w:asciiTheme="majorHAnsi" w:hAnsiTheme="majorHAnsi" w:cstheme="majorHAnsi"/>
          <w:sz w:val="24"/>
          <w:szCs w:val="24"/>
          <w:lang w:val="ru-MD"/>
        </w:rPr>
        <w:t>и</w:t>
      </w:r>
      <w:r w:rsidRPr="007E53BE">
        <w:rPr>
          <w:rFonts w:asciiTheme="majorHAnsi" w:hAnsiTheme="majorHAnsi" w:cstheme="majorHAnsi"/>
          <w:sz w:val="24"/>
          <w:szCs w:val="24"/>
          <w:lang w:val="ru-MD"/>
        </w:rPr>
        <w:t xml:space="preserve"> о </w:t>
      </w:r>
      <w:r w:rsidR="00A6650E">
        <w:rPr>
          <w:rFonts w:asciiTheme="majorHAnsi" w:hAnsiTheme="majorHAnsi" w:cstheme="majorHAnsi"/>
          <w:sz w:val="24"/>
          <w:szCs w:val="24"/>
          <w:lang w:val="ru-MD"/>
        </w:rPr>
        <w:t>введ</w:t>
      </w:r>
      <w:r w:rsidRPr="007E53BE">
        <w:rPr>
          <w:rFonts w:asciiTheme="majorHAnsi" w:hAnsiTheme="majorHAnsi" w:cstheme="majorHAnsi"/>
          <w:sz w:val="24"/>
          <w:szCs w:val="24"/>
          <w:lang w:val="ru-MD"/>
        </w:rPr>
        <w:t xml:space="preserve">ении </w:t>
      </w:r>
      <w:r w:rsidR="00A6650E">
        <w:rPr>
          <w:rFonts w:asciiTheme="majorHAnsi" w:hAnsiTheme="majorHAnsi" w:cstheme="majorHAnsi"/>
          <w:sz w:val="24"/>
          <w:szCs w:val="24"/>
          <w:lang w:val="ru-MD"/>
        </w:rPr>
        <w:t xml:space="preserve">в действие </w:t>
      </w:r>
      <w:r w:rsidRPr="007E53BE">
        <w:rPr>
          <w:rFonts w:asciiTheme="majorHAnsi" w:hAnsiTheme="majorHAnsi" w:cstheme="majorHAnsi"/>
          <w:sz w:val="24"/>
          <w:szCs w:val="24"/>
          <w:lang w:val="ru-MD"/>
        </w:rPr>
        <w:t>таможенных назначени</w:t>
      </w:r>
      <w:r w:rsidR="00A6650E">
        <w:rPr>
          <w:rFonts w:asciiTheme="majorHAnsi" w:hAnsiTheme="majorHAnsi" w:cstheme="majorHAnsi"/>
          <w:sz w:val="24"/>
          <w:szCs w:val="24"/>
          <w:lang w:val="ru-MD"/>
        </w:rPr>
        <w:t>й</w:t>
      </w:r>
      <w:r w:rsidRPr="007E53BE">
        <w:rPr>
          <w:rFonts w:asciiTheme="majorHAnsi" w:hAnsiTheme="majorHAnsi" w:cstheme="majorHAnsi"/>
          <w:sz w:val="24"/>
          <w:szCs w:val="24"/>
          <w:lang w:val="ru-MD"/>
        </w:rPr>
        <w:t>, предусмотренн</w:t>
      </w:r>
      <w:r w:rsidR="007E53BE" w:rsidRPr="007E53BE">
        <w:rPr>
          <w:rFonts w:asciiTheme="majorHAnsi" w:hAnsiTheme="majorHAnsi" w:cstheme="majorHAnsi"/>
          <w:sz w:val="24"/>
          <w:szCs w:val="24"/>
          <w:lang w:val="ru-MD"/>
        </w:rPr>
        <w:t>ых</w:t>
      </w:r>
      <w:r w:rsidRPr="007E53BE">
        <w:rPr>
          <w:rFonts w:asciiTheme="majorHAnsi" w:hAnsiTheme="majorHAnsi" w:cstheme="majorHAnsi"/>
          <w:sz w:val="24"/>
          <w:szCs w:val="24"/>
          <w:lang w:val="ru-MD"/>
        </w:rPr>
        <w:t xml:space="preserve"> Таможенным кодексом Республики Молдова,</w:t>
      </w:r>
      <w:r w:rsidRPr="00277AC1">
        <w:rPr>
          <w:rFonts w:asciiTheme="majorHAnsi" w:hAnsiTheme="majorHAnsi" w:cstheme="majorHAnsi"/>
          <w:sz w:val="24"/>
          <w:szCs w:val="24"/>
          <w:lang w:val="ro-RO"/>
        </w:rPr>
        <w:t xml:space="preserve"> </w:t>
      </w:r>
      <w:r w:rsidRPr="007E53BE">
        <w:rPr>
          <w:rFonts w:asciiTheme="majorHAnsi" w:hAnsiTheme="majorHAnsi" w:cstheme="majorHAnsi"/>
          <w:sz w:val="24"/>
          <w:szCs w:val="24"/>
          <w:lang w:val="ru-MD"/>
        </w:rPr>
        <w:t>утвержденно</w:t>
      </w:r>
      <w:r w:rsidR="007E53BE" w:rsidRPr="007E53BE">
        <w:rPr>
          <w:rFonts w:asciiTheme="majorHAnsi" w:hAnsiTheme="majorHAnsi" w:cstheme="majorHAnsi"/>
          <w:sz w:val="24"/>
          <w:szCs w:val="24"/>
          <w:lang w:val="ru-MD"/>
        </w:rPr>
        <w:t>м</w:t>
      </w:r>
      <w:r w:rsidRPr="007E53BE">
        <w:rPr>
          <w:rFonts w:asciiTheme="majorHAnsi" w:hAnsiTheme="majorHAnsi" w:cstheme="majorHAnsi"/>
          <w:sz w:val="24"/>
          <w:szCs w:val="24"/>
          <w:lang w:val="ru-MD"/>
        </w:rPr>
        <w:t xml:space="preserve"> Постановлением Правительства №1140 от 02.11.2005</w:t>
      </w:r>
      <w:r w:rsidR="007E53BE" w:rsidRPr="007E53BE">
        <w:rPr>
          <w:rStyle w:val="FootnoteReference"/>
          <w:rFonts w:asciiTheme="majorHAnsi" w:eastAsia="Times New Roman" w:hAnsiTheme="majorHAnsi" w:cstheme="majorHAnsi"/>
          <w:sz w:val="24"/>
          <w:szCs w:val="24"/>
          <w:lang w:val="ru-MD"/>
        </w:rPr>
        <w:footnoteReference w:id="82"/>
      </w:r>
      <w:r w:rsidR="007E53BE" w:rsidRPr="007E53BE">
        <w:rPr>
          <w:rFonts w:asciiTheme="majorHAnsi" w:hAnsiTheme="majorHAnsi" w:cstheme="majorHAnsi"/>
          <w:sz w:val="24"/>
          <w:szCs w:val="24"/>
          <w:lang w:val="ru-MD"/>
        </w:rPr>
        <w:t>,</w:t>
      </w:r>
      <w:r w:rsidR="007E53BE" w:rsidRPr="007E53BE">
        <w:rPr>
          <w:rFonts w:asciiTheme="majorHAnsi" w:eastAsia="Times New Roman" w:hAnsiTheme="majorHAnsi" w:cstheme="majorHAnsi"/>
          <w:sz w:val="24"/>
          <w:szCs w:val="24"/>
          <w:lang w:val="ru-MD"/>
        </w:rPr>
        <w:t xml:space="preserve"> или</w:t>
      </w:r>
      <w:r w:rsidRPr="007E53BE">
        <w:rPr>
          <w:rFonts w:asciiTheme="majorHAnsi" w:hAnsiTheme="majorHAnsi" w:cstheme="majorHAnsi"/>
          <w:sz w:val="24"/>
          <w:szCs w:val="24"/>
          <w:lang w:val="ru-MD"/>
        </w:rPr>
        <w:t xml:space="preserve"> до </w:t>
      </w:r>
      <w:r w:rsidR="007E53BE" w:rsidRPr="007E53BE">
        <w:rPr>
          <w:rFonts w:asciiTheme="majorHAnsi" w:hAnsiTheme="majorHAnsi" w:cstheme="majorHAnsi"/>
          <w:sz w:val="24"/>
          <w:szCs w:val="24"/>
          <w:lang w:val="ru-MD"/>
        </w:rPr>
        <w:t>принят</w:t>
      </w:r>
      <w:r w:rsidRPr="007E53BE">
        <w:rPr>
          <w:rFonts w:asciiTheme="majorHAnsi" w:hAnsiTheme="majorHAnsi" w:cstheme="majorHAnsi"/>
          <w:sz w:val="24"/>
          <w:szCs w:val="24"/>
          <w:lang w:val="ru-MD"/>
        </w:rPr>
        <w:t xml:space="preserve">ия Положения, утвержденного Постановлением Правительства №974 от 15.08.2016, которое требует </w:t>
      </w:r>
      <w:r w:rsidR="007E53BE" w:rsidRPr="007E53BE">
        <w:rPr>
          <w:rFonts w:asciiTheme="majorHAnsi" w:hAnsiTheme="majorHAnsi" w:cstheme="majorHAnsi"/>
          <w:sz w:val="24"/>
          <w:szCs w:val="24"/>
          <w:lang w:val="ru-MD"/>
        </w:rPr>
        <w:t>измен</w:t>
      </w:r>
      <w:r w:rsidRPr="007E53BE">
        <w:rPr>
          <w:rFonts w:asciiTheme="majorHAnsi" w:hAnsiTheme="majorHAnsi" w:cstheme="majorHAnsi"/>
          <w:sz w:val="24"/>
          <w:szCs w:val="24"/>
          <w:lang w:val="ru-MD"/>
        </w:rPr>
        <w:t xml:space="preserve">ения, поскольку некоторые </w:t>
      </w:r>
      <w:r w:rsidR="007E53BE" w:rsidRPr="007E53BE">
        <w:rPr>
          <w:rFonts w:asciiTheme="majorHAnsi" w:hAnsiTheme="majorHAnsi" w:cstheme="majorHAnsi"/>
          <w:sz w:val="24"/>
          <w:szCs w:val="24"/>
          <w:lang w:val="ru-MD"/>
        </w:rPr>
        <w:t>Д</w:t>
      </w:r>
      <w:r w:rsidRPr="007E53BE">
        <w:rPr>
          <w:rFonts w:asciiTheme="majorHAnsi" w:hAnsiTheme="majorHAnsi" w:cstheme="majorHAnsi"/>
          <w:sz w:val="24"/>
          <w:szCs w:val="24"/>
          <w:lang w:val="ru-MD"/>
        </w:rPr>
        <w:t xml:space="preserve">ирективы ЕС, которые легли в основу разработки правил, были </w:t>
      </w:r>
      <w:r w:rsidR="007E53BE" w:rsidRPr="007E53BE">
        <w:rPr>
          <w:rFonts w:asciiTheme="majorHAnsi" w:hAnsiTheme="majorHAnsi" w:cstheme="majorHAnsi"/>
          <w:sz w:val="24"/>
          <w:szCs w:val="24"/>
          <w:lang w:val="ru-MD"/>
        </w:rPr>
        <w:t>аннулирова</w:t>
      </w:r>
      <w:r w:rsidRPr="007E53BE">
        <w:rPr>
          <w:rFonts w:asciiTheme="majorHAnsi" w:hAnsiTheme="majorHAnsi" w:cstheme="majorHAnsi"/>
          <w:sz w:val="24"/>
          <w:szCs w:val="24"/>
          <w:lang w:val="ru-MD"/>
        </w:rPr>
        <w:t>ны</w:t>
      </w:r>
      <w:r w:rsidR="008A28A2" w:rsidRPr="007E53BE">
        <w:rPr>
          <w:rFonts w:asciiTheme="majorHAnsi" w:eastAsia="Times New Roman" w:hAnsiTheme="majorHAnsi" w:cstheme="majorHAnsi"/>
          <w:sz w:val="24"/>
          <w:szCs w:val="24"/>
          <w:lang w:val="ru-MD"/>
        </w:rPr>
        <w:t>.</w:t>
      </w:r>
    </w:p>
    <w:p w14:paraId="699CB48D" w14:textId="637623F7" w:rsidR="008A28A2" w:rsidRPr="00B20FBD" w:rsidRDefault="003C645C" w:rsidP="008A28A2">
      <w:pPr>
        <w:spacing w:after="160"/>
        <w:ind w:right="142"/>
        <w:jc w:val="both"/>
        <w:rPr>
          <w:rFonts w:asciiTheme="majorHAnsi" w:eastAsia="Times New Roman" w:hAnsiTheme="majorHAnsi" w:cstheme="majorHAnsi"/>
          <w:sz w:val="24"/>
          <w:szCs w:val="24"/>
          <w:lang w:val="ro-RO"/>
        </w:rPr>
      </w:pPr>
      <w:r>
        <w:rPr>
          <w:rFonts w:asciiTheme="majorHAnsi" w:hAnsiTheme="majorHAnsi" w:cstheme="majorHAnsi"/>
          <w:sz w:val="24"/>
          <w:szCs w:val="24"/>
        </w:rPr>
        <w:t>Согласно указанному Положению</w:t>
      </w:r>
      <w:r w:rsidR="008A28A2" w:rsidRPr="003C645C">
        <w:rPr>
          <w:rStyle w:val="FootnoteReference"/>
          <w:rFonts w:asciiTheme="majorHAnsi" w:hAnsiTheme="majorHAnsi" w:cstheme="majorHAnsi"/>
          <w:sz w:val="24"/>
          <w:szCs w:val="24"/>
          <w:lang w:val="ro-RO"/>
        </w:rPr>
        <w:footnoteReference w:id="83"/>
      </w:r>
      <w:r w:rsidR="008A28A2" w:rsidRPr="003C645C">
        <w:rPr>
          <w:rFonts w:asciiTheme="majorHAnsi" w:eastAsia="Times New Roman" w:hAnsiTheme="majorHAnsi" w:cstheme="majorHAnsi"/>
          <w:sz w:val="24"/>
          <w:szCs w:val="24"/>
          <w:lang w:val="ro-RO"/>
        </w:rPr>
        <w:t xml:space="preserve">, </w:t>
      </w:r>
      <w:r>
        <w:rPr>
          <w:rFonts w:asciiTheme="majorHAnsi" w:eastAsia="Times New Roman" w:hAnsiTheme="majorHAnsi" w:cstheme="majorHAnsi"/>
          <w:sz w:val="24"/>
          <w:szCs w:val="24"/>
        </w:rPr>
        <w:t>т</w:t>
      </w:r>
      <w:r w:rsidRPr="003C645C">
        <w:rPr>
          <w:rFonts w:asciiTheme="majorHAnsi" w:eastAsia="Times New Roman" w:hAnsiTheme="majorHAnsi" w:cstheme="majorHAnsi"/>
          <w:sz w:val="24"/>
          <w:szCs w:val="24"/>
        </w:rPr>
        <w:t>аможенная декларация подается в таможенные органы в сопровождении документов, подтверждающих внесенные в декларацию данные и, как минимум,</w:t>
      </w:r>
      <w:r>
        <w:rPr>
          <w:rFonts w:asciiTheme="majorHAnsi" w:eastAsia="Times New Roman" w:hAnsiTheme="majorHAnsi" w:cstheme="majorHAnsi"/>
          <w:sz w:val="24"/>
          <w:szCs w:val="24"/>
        </w:rPr>
        <w:t xml:space="preserve"> </w:t>
      </w:r>
      <w:r w:rsidRPr="003C645C">
        <w:rPr>
          <w:rFonts w:asciiTheme="majorHAnsi" w:eastAsia="Times New Roman" w:hAnsiTheme="majorHAnsi" w:cstheme="majorHAnsi"/>
          <w:sz w:val="24"/>
          <w:szCs w:val="24"/>
        </w:rPr>
        <w:t>следующих обязательных документов:</w:t>
      </w:r>
      <w:r>
        <w:rPr>
          <w:rFonts w:asciiTheme="majorHAnsi" w:eastAsia="Times New Roman" w:hAnsiTheme="majorHAnsi" w:cstheme="majorHAnsi"/>
          <w:sz w:val="24"/>
          <w:szCs w:val="24"/>
        </w:rPr>
        <w:t xml:space="preserve"> </w:t>
      </w:r>
      <w:r w:rsidRPr="003C645C">
        <w:rPr>
          <w:rFonts w:asciiTheme="majorHAnsi" w:eastAsia="Times New Roman" w:hAnsiTheme="majorHAnsi" w:cstheme="majorHAnsi"/>
          <w:sz w:val="24"/>
          <w:szCs w:val="24"/>
        </w:rPr>
        <w:t>а) счет-фактура;</w:t>
      </w:r>
      <w:r>
        <w:rPr>
          <w:rFonts w:asciiTheme="majorHAnsi" w:eastAsia="Times New Roman" w:hAnsiTheme="majorHAnsi" w:cstheme="majorHAnsi"/>
          <w:sz w:val="24"/>
          <w:szCs w:val="24"/>
        </w:rPr>
        <w:t xml:space="preserve"> </w:t>
      </w:r>
      <w:r w:rsidRPr="003C645C">
        <w:rPr>
          <w:rFonts w:asciiTheme="majorHAnsi" w:eastAsia="Times New Roman" w:hAnsiTheme="majorHAnsi" w:cstheme="majorHAnsi"/>
          <w:sz w:val="24"/>
          <w:szCs w:val="24"/>
        </w:rPr>
        <w:t>b) транспортные</w:t>
      </w:r>
      <w:r>
        <w:rPr>
          <w:rFonts w:asciiTheme="majorHAnsi" w:eastAsia="Times New Roman" w:hAnsiTheme="majorHAnsi" w:cstheme="majorHAnsi"/>
          <w:sz w:val="24"/>
          <w:szCs w:val="24"/>
        </w:rPr>
        <w:t xml:space="preserve"> </w:t>
      </w:r>
      <w:r w:rsidRPr="003C645C">
        <w:rPr>
          <w:rFonts w:asciiTheme="majorHAnsi" w:eastAsia="Times New Roman" w:hAnsiTheme="majorHAnsi" w:cstheme="majorHAnsi"/>
          <w:sz w:val="24"/>
          <w:szCs w:val="24"/>
        </w:rPr>
        <w:t>документы;</w:t>
      </w:r>
      <w:r>
        <w:rPr>
          <w:rFonts w:asciiTheme="majorHAnsi" w:eastAsia="Times New Roman" w:hAnsiTheme="majorHAnsi" w:cstheme="majorHAnsi"/>
          <w:sz w:val="24"/>
          <w:szCs w:val="24"/>
        </w:rPr>
        <w:t xml:space="preserve"> </w:t>
      </w:r>
      <w:r w:rsidRPr="003C645C">
        <w:rPr>
          <w:rFonts w:asciiTheme="majorHAnsi" w:eastAsia="Times New Roman" w:hAnsiTheme="majorHAnsi" w:cstheme="majorHAnsi"/>
          <w:sz w:val="24"/>
          <w:szCs w:val="24"/>
        </w:rPr>
        <w:t>c) разрешительные документы</w:t>
      </w:r>
      <w:r>
        <w:rPr>
          <w:rFonts w:asciiTheme="majorHAnsi" w:eastAsia="Times New Roman" w:hAnsiTheme="majorHAnsi" w:cstheme="majorHAnsi"/>
          <w:sz w:val="24"/>
          <w:szCs w:val="24"/>
        </w:rPr>
        <w:t xml:space="preserve"> и другие документы</w:t>
      </w:r>
      <w:r w:rsidRPr="003C645C">
        <w:rPr>
          <w:rFonts w:asciiTheme="majorHAnsi" w:eastAsia="Times New Roman" w:hAnsiTheme="majorHAnsi" w:cstheme="majorHAnsi"/>
          <w:sz w:val="24"/>
          <w:szCs w:val="24"/>
        </w:rPr>
        <w:t>, без указания полного перечня документов, необходимых для представления при таможенном оформлении товаров и выпуск</w:t>
      </w:r>
      <w:r>
        <w:rPr>
          <w:rFonts w:asciiTheme="majorHAnsi" w:eastAsia="Times New Roman" w:hAnsiTheme="majorHAnsi" w:cstheme="majorHAnsi"/>
          <w:sz w:val="24"/>
          <w:szCs w:val="24"/>
        </w:rPr>
        <w:t>е</w:t>
      </w:r>
      <w:r w:rsidRPr="003C645C">
        <w:rPr>
          <w:rFonts w:asciiTheme="majorHAnsi" w:eastAsia="Times New Roman" w:hAnsiTheme="majorHAnsi" w:cstheme="majorHAnsi"/>
          <w:sz w:val="24"/>
          <w:szCs w:val="24"/>
        </w:rPr>
        <w:t xml:space="preserve"> в свободное обращение, а также во избежание различных толкований обязательных документов, которые требуются таможенн</w:t>
      </w:r>
      <w:r>
        <w:rPr>
          <w:rFonts w:asciiTheme="majorHAnsi" w:eastAsia="Times New Roman" w:hAnsiTheme="majorHAnsi" w:cstheme="majorHAnsi"/>
          <w:sz w:val="24"/>
          <w:szCs w:val="24"/>
        </w:rPr>
        <w:t>ым работни</w:t>
      </w:r>
      <w:r w:rsidRPr="003C645C">
        <w:rPr>
          <w:rFonts w:asciiTheme="majorHAnsi" w:eastAsia="Times New Roman" w:hAnsiTheme="majorHAnsi" w:cstheme="majorHAnsi"/>
          <w:sz w:val="24"/>
          <w:szCs w:val="24"/>
        </w:rPr>
        <w:t>кам</w:t>
      </w:r>
      <w:r>
        <w:rPr>
          <w:rFonts w:asciiTheme="majorHAnsi" w:eastAsia="Times New Roman" w:hAnsiTheme="majorHAnsi" w:cstheme="majorHAnsi"/>
          <w:sz w:val="24"/>
          <w:szCs w:val="24"/>
        </w:rPr>
        <w:t>и</w:t>
      </w:r>
      <w:r w:rsidRPr="003C645C">
        <w:rPr>
          <w:rFonts w:asciiTheme="majorHAnsi" w:eastAsia="Times New Roman" w:hAnsiTheme="majorHAnsi" w:cstheme="majorHAnsi"/>
          <w:sz w:val="24"/>
          <w:szCs w:val="24"/>
        </w:rPr>
        <w:t xml:space="preserve"> </w:t>
      </w:r>
      <w:r>
        <w:rPr>
          <w:rFonts w:asciiTheme="majorHAnsi" w:eastAsia="Times New Roman" w:hAnsiTheme="majorHAnsi" w:cstheme="majorHAnsi"/>
          <w:sz w:val="24"/>
          <w:szCs w:val="24"/>
        </w:rPr>
        <w:t>на момент</w:t>
      </w:r>
      <w:r w:rsidRPr="003C645C">
        <w:rPr>
          <w:rFonts w:asciiTheme="majorHAnsi" w:eastAsia="Times New Roman" w:hAnsiTheme="majorHAnsi" w:cstheme="majorHAnsi"/>
          <w:sz w:val="24"/>
          <w:szCs w:val="24"/>
        </w:rPr>
        <w:t xml:space="preserve"> декларировани</w:t>
      </w:r>
      <w:r>
        <w:rPr>
          <w:rFonts w:asciiTheme="majorHAnsi" w:eastAsia="Times New Roman" w:hAnsiTheme="majorHAnsi" w:cstheme="majorHAnsi"/>
          <w:sz w:val="24"/>
          <w:szCs w:val="24"/>
        </w:rPr>
        <w:t>я</w:t>
      </w:r>
      <w:r w:rsidRPr="003C645C">
        <w:rPr>
          <w:rFonts w:asciiTheme="majorHAnsi" w:eastAsia="Times New Roman" w:hAnsiTheme="majorHAnsi" w:cstheme="majorHAnsi"/>
          <w:sz w:val="24"/>
          <w:szCs w:val="24"/>
        </w:rPr>
        <w:t xml:space="preserve"> товаров</w:t>
      </w:r>
      <w:r>
        <w:rPr>
          <w:rFonts w:asciiTheme="majorHAnsi" w:eastAsia="Times New Roman" w:hAnsiTheme="majorHAnsi" w:cstheme="majorHAnsi"/>
          <w:sz w:val="24"/>
          <w:szCs w:val="24"/>
        </w:rPr>
        <w:t>,</w:t>
      </w:r>
      <w:r w:rsidRPr="003C645C">
        <w:rPr>
          <w:rFonts w:asciiTheme="majorHAnsi" w:eastAsia="Times New Roman" w:hAnsiTheme="majorHAnsi" w:cstheme="majorHAnsi"/>
          <w:sz w:val="24"/>
          <w:szCs w:val="24"/>
        </w:rPr>
        <w:t xml:space="preserve"> во избежание актов коррупции</w:t>
      </w:r>
      <w:r w:rsidR="008A28A2" w:rsidRPr="00B20FBD">
        <w:rPr>
          <w:rFonts w:asciiTheme="majorHAnsi" w:hAnsiTheme="majorHAnsi" w:cstheme="majorHAnsi"/>
          <w:sz w:val="24"/>
          <w:szCs w:val="24"/>
          <w:lang w:val="ro-RO"/>
        </w:rPr>
        <w:t>.</w:t>
      </w:r>
      <w:r w:rsidR="008A28A2" w:rsidRPr="00B20FBD">
        <w:rPr>
          <w:rFonts w:asciiTheme="majorHAnsi" w:eastAsia="Times New Roman" w:hAnsiTheme="majorHAnsi" w:cstheme="majorHAnsi"/>
          <w:sz w:val="24"/>
          <w:szCs w:val="24"/>
          <w:lang w:val="ro-RO"/>
        </w:rPr>
        <w:t xml:space="preserve"> </w:t>
      </w:r>
    </w:p>
    <w:p w14:paraId="3BC76A3A" w14:textId="015F31BF" w:rsidR="008A28A2" w:rsidRPr="00B945DA" w:rsidRDefault="00B945DA" w:rsidP="008A28A2">
      <w:pPr>
        <w:spacing w:after="120"/>
        <w:jc w:val="both"/>
        <w:rPr>
          <w:rFonts w:asciiTheme="majorHAnsi" w:hAnsiTheme="majorHAnsi" w:cstheme="majorHAnsi"/>
          <w:sz w:val="24"/>
          <w:szCs w:val="24"/>
          <w:lang w:val="ru-MD"/>
        </w:rPr>
      </w:pPr>
      <w:r w:rsidRPr="00B945DA">
        <w:rPr>
          <w:rFonts w:asciiTheme="majorHAnsi" w:hAnsiTheme="majorHAnsi" w:cstheme="majorHAnsi"/>
          <w:sz w:val="24"/>
          <w:szCs w:val="24"/>
          <w:lang w:val="ru-MD"/>
        </w:rPr>
        <w:t>На основании Приказа ТС №</w:t>
      </w:r>
      <w:r w:rsidR="008A28A2" w:rsidRPr="00B945DA">
        <w:rPr>
          <w:rFonts w:asciiTheme="majorHAnsi" w:hAnsiTheme="majorHAnsi" w:cstheme="majorHAnsi"/>
          <w:sz w:val="24"/>
          <w:szCs w:val="24"/>
          <w:lang w:val="ru-MD"/>
        </w:rPr>
        <w:t>276-O </w:t>
      </w:r>
      <w:r w:rsidRPr="00B945DA">
        <w:rPr>
          <w:rFonts w:asciiTheme="majorHAnsi" w:hAnsiTheme="majorHAnsi" w:cstheme="majorHAnsi"/>
          <w:sz w:val="24"/>
          <w:szCs w:val="24"/>
          <w:lang w:val="ru-MD"/>
        </w:rPr>
        <w:t>от</w:t>
      </w:r>
      <w:r w:rsidR="008A28A2" w:rsidRPr="00B945DA">
        <w:rPr>
          <w:rFonts w:asciiTheme="majorHAnsi" w:hAnsiTheme="majorHAnsi" w:cstheme="majorHAnsi"/>
          <w:sz w:val="24"/>
          <w:szCs w:val="24"/>
          <w:lang w:val="ru-MD"/>
        </w:rPr>
        <w:t> 24.10.2002 „</w:t>
      </w:r>
      <w:r w:rsidRPr="00B945DA">
        <w:rPr>
          <w:rFonts w:asciiTheme="majorHAnsi" w:hAnsiTheme="majorHAnsi" w:cstheme="majorHAnsi"/>
          <w:bCs/>
          <w:sz w:val="24"/>
          <w:szCs w:val="24"/>
          <w:lang w:val="ru-MD"/>
        </w:rPr>
        <w:t>Об оформлении таможенных документов при</w:t>
      </w:r>
      <w:r w:rsidRPr="00B945DA">
        <w:rPr>
          <w:rFonts w:asciiTheme="majorHAnsi" w:hAnsiTheme="majorHAnsi" w:cstheme="majorHAnsi"/>
          <w:bCs/>
          <w:sz w:val="24"/>
          <w:szCs w:val="24"/>
          <w:lang w:val="ru-MD"/>
        </w:rPr>
        <w:br/>
        <w:t>таможенном оформлении товаров, являющихся предметом внешнеэкономических сделок</w:t>
      </w:r>
      <w:r w:rsidR="008A28A2" w:rsidRPr="00B945DA">
        <w:rPr>
          <w:rFonts w:asciiTheme="majorHAnsi" w:hAnsiTheme="majorHAnsi" w:cstheme="majorHAnsi"/>
          <w:sz w:val="24"/>
          <w:szCs w:val="24"/>
          <w:lang w:val="ru-MD"/>
        </w:rPr>
        <w:t>”</w:t>
      </w:r>
      <w:r w:rsidR="008A28A2" w:rsidRPr="00B945DA">
        <w:rPr>
          <w:rFonts w:asciiTheme="majorHAnsi" w:hAnsiTheme="majorHAnsi" w:cstheme="majorHAnsi"/>
          <w:sz w:val="24"/>
          <w:szCs w:val="24"/>
          <w:vertAlign w:val="superscript"/>
          <w:lang w:val="ru-MD"/>
        </w:rPr>
        <w:footnoteReference w:id="84"/>
      </w:r>
      <w:r w:rsidR="008A28A2" w:rsidRPr="00B945DA">
        <w:rPr>
          <w:rFonts w:asciiTheme="majorHAnsi" w:hAnsiTheme="majorHAnsi" w:cstheme="majorHAnsi"/>
          <w:sz w:val="24"/>
          <w:szCs w:val="24"/>
          <w:lang w:val="ru-MD"/>
        </w:rPr>
        <w:t xml:space="preserve">, </w:t>
      </w:r>
      <w:r w:rsidRPr="00B945DA">
        <w:rPr>
          <w:rFonts w:asciiTheme="majorHAnsi" w:hAnsiTheme="majorHAnsi" w:cstheme="majorHAnsi"/>
          <w:sz w:val="24"/>
          <w:szCs w:val="24"/>
          <w:lang w:val="ru-MD"/>
        </w:rPr>
        <w:t>таможенные органы будут допускать к оформлению таможенные декларации при условии представления экономическими агентами международной транспортной накладной, предусмотренной Всемирной Конвенцией о договоре международной перевозки грузов по дорогам, а в</w:t>
      </w:r>
      <w:r w:rsidRPr="00B945DA">
        <w:rPr>
          <w:rFonts w:ascii="Georgia" w:hAnsi="Georgia"/>
          <w:color w:val="333333"/>
          <w:shd w:val="clear" w:color="auto" w:fill="FFFFFF"/>
          <w:lang w:val="ru-MD"/>
        </w:rPr>
        <w:t xml:space="preserve"> </w:t>
      </w:r>
      <w:r w:rsidRPr="00B945DA">
        <w:rPr>
          <w:rFonts w:asciiTheme="majorHAnsi" w:hAnsiTheme="majorHAnsi" w:cstheme="majorHAnsi"/>
          <w:sz w:val="24"/>
          <w:szCs w:val="24"/>
          <w:lang w:val="ru-MD"/>
        </w:rPr>
        <w:t>качестве коммерческих документов - коммерческие фактуры, их проформы, а также другие документы, используемые во внешнеэкономической деятельности. В то же время, нормативный акт устарел, и должен быть согласован с требованиями международного таможенного законодательства, с учетом электронного декларирования товаров, а также папкой электронных документов</w:t>
      </w:r>
      <w:r w:rsidR="008A28A2" w:rsidRPr="00B945DA">
        <w:rPr>
          <w:rFonts w:asciiTheme="majorHAnsi" w:hAnsiTheme="majorHAnsi" w:cstheme="majorHAnsi"/>
          <w:sz w:val="24"/>
          <w:szCs w:val="24"/>
          <w:lang w:val="ru-MD"/>
        </w:rPr>
        <w:t xml:space="preserve">. </w:t>
      </w:r>
      <w:r w:rsidR="00DC7B93" w:rsidRPr="00B945DA">
        <w:rPr>
          <w:rFonts w:asciiTheme="majorHAnsi" w:hAnsiTheme="majorHAnsi" w:cstheme="majorHAnsi"/>
          <w:sz w:val="24"/>
          <w:szCs w:val="24"/>
          <w:lang w:val="ru-MD"/>
        </w:rPr>
        <w:t xml:space="preserve"> </w:t>
      </w:r>
    </w:p>
    <w:p w14:paraId="6C430736" w14:textId="015F7D16" w:rsidR="008A28A2" w:rsidRPr="00B20FBD" w:rsidRDefault="003462B3" w:rsidP="008A28A2">
      <w:pPr>
        <w:pStyle w:val="ListParagraph"/>
        <w:tabs>
          <w:tab w:val="left" w:pos="284"/>
          <w:tab w:val="left" w:pos="7053"/>
        </w:tabs>
        <w:spacing w:after="80" w:line="276" w:lineRule="auto"/>
        <w:ind w:left="0"/>
        <w:contextualSpacing w:val="0"/>
        <w:jc w:val="both"/>
        <w:rPr>
          <w:rFonts w:asciiTheme="majorHAnsi" w:hAnsiTheme="majorHAnsi" w:cstheme="majorHAnsi"/>
          <w:noProof/>
          <w:sz w:val="24"/>
          <w:szCs w:val="24"/>
        </w:rPr>
      </w:pPr>
      <w:r w:rsidRPr="003462B3">
        <w:rPr>
          <w:rFonts w:asciiTheme="majorHAnsi" w:hAnsiTheme="majorHAnsi" w:cstheme="majorHAnsi"/>
          <w:noProof/>
          <w:sz w:val="24"/>
          <w:szCs w:val="24"/>
        </w:rPr>
        <w:t>Аудит</w:t>
      </w:r>
      <w:r>
        <w:rPr>
          <w:rFonts w:asciiTheme="majorHAnsi" w:hAnsiTheme="majorHAnsi" w:cstheme="majorHAnsi"/>
          <w:noProof/>
          <w:sz w:val="24"/>
          <w:szCs w:val="24"/>
          <w:lang w:val="ru-RU"/>
        </w:rPr>
        <w:t>ом</w:t>
      </w:r>
      <w:r w:rsidRPr="003462B3">
        <w:rPr>
          <w:rFonts w:asciiTheme="majorHAnsi" w:hAnsiTheme="majorHAnsi" w:cstheme="majorHAnsi"/>
          <w:noProof/>
          <w:sz w:val="24"/>
          <w:szCs w:val="24"/>
        </w:rPr>
        <w:t xml:space="preserve"> установ</w:t>
      </w:r>
      <w:r>
        <w:rPr>
          <w:rFonts w:asciiTheme="majorHAnsi" w:hAnsiTheme="majorHAnsi" w:cstheme="majorHAnsi"/>
          <w:noProof/>
          <w:sz w:val="24"/>
          <w:szCs w:val="24"/>
          <w:lang w:val="ru-RU"/>
        </w:rPr>
        <w:t>лено</w:t>
      </w:r>
      <w:r w:rsidRPr="003462B3">
        <w:rPr>
          <w:rFonts w:asciiTheme="majorHAnsi" w:hAnsiTheme="majorHAnsi" w:cstheme="majorHAnsi"/>
          <w:noProof/>
          <w:sz w:val="24"/>
          <w:szCs w:val="24"/>
        </w:rPr>
        <w:t xml:space="preserve">, что при таможенном оформлении товаров декларант/экономический агент представляет </w:t>
      </w:r>
      <w:r>
        <w:rPr>
          <w:rFonts w:asciiTheme="majorHAnsi" w:hAnsiTheme="majorHAnsi" w:cstheme="majorHAnsi"/>
          <w:noProof/>
          <w:sz w:val="24"/>
          <w:szCs w:val="24"/>
          <w:lang w:val="ru-RU"/>
        </w:rPr>
        <w:t>ТС</w:t>
      </w:r>
      <w:r w:rsidRPr="003462B3">
        <w:rPr>
          <w:rFonts w:asciiTheme="majorHAnsi" w:hAnsiTheme="majorHAnsi" w:cstheme="majorHAnsi"/>
          <w:noProof/>
          <w:sz w:val="24"/>
          <w:szCs w:val="24"/>
        </w:rPr>
        <w:t xml:space="preserve"> в качестве коммерческих документов: коммерческий счет/invoice (commercial invoice), счет-проформа (proforma invoice), окончательный счет (definitive invoice) и т. д., а также в качестве транспортных и таможенных документов: </w:t>
      </w:r>
      <w:r w:rsidR="00ED078A" w:rsidRPr="00B20FBD">
        <w:rPr>
          <w:rFonts w:asciiTheme="majorHAnsi" w:hAnsiTheme="majorHAnsi" w:cstheme="majorHAnsi"/>
          <w:noProof/>
          <w:sz w:val="24"/>
          <w:szCs w:val="24"/>
        </w:rPr>
        <w:t xml:space="preserve">CMR, СМГС/SMGS, AirWayBill (fraht), Bill of lading (conosament), </w:t>
      </w:r>
      <w:r w:rsidR="00ED078A">
        <w:rPr>
          <w:rFonts w:asciiTheme="majorHAnsi" w:hAnsiTheme="majorHAnsi" w:cstheme="majorHAnsi"/>
          <w:noProof/>
          <w:sz w:val="24"/>
          <w:szCs w:val="24"/>
          <w:lang w:val="ru-RU"/>
        </w:rPr>
        <w:t>Книжку</w:t>
      </w:r>
      <w:r w:rsidR="00ED078A" w:rsidRPr="00B20FBD">
        <w:rPr>
          <w:rFonts w:asciiTheme="majorHAnsi" w:hAnsiTheme="majorHAnsi" w:cstheme="majorHAnsi"/>
          <w:noProof/>
          <w:sz w:val="24"/>
          <w:szCs w:val="24"/>
        </w:rPr>
        <w:t xml:space="preserve"> TIR, </w:t>
      </w:r>
      <w:r w:rsidR="00ED078A">
        <w:rPr>
          <w:rFonts w:asciiTheme="majorHAnsi" w:hAnsiTheme="majorHAnsi" w:cstheme="majorHAnsi"/>
          <w:noProof/>
          <w:sz w:val="24"/>
          <w:szCs w:val="24"/>
          <w:lang w:val="ru-RU"/>
        </w:rPr>
        <w:t>Книжку</w:t>
      </w:r>
      <w:r w:rsidR="00ED078A" w:rsidRPr="00B20FBD">
        <w:rPr>
          <w:rFonts w:asciiTheme="majorHAnsi" w:hAnsiTheme="majorHAnsi" w:cstheme="majorHAnsi"/>
          <w:noProof/>
          <w:sz w:val="24"/>
          <w:szCs w:val="24"/>
        </w:rPr>
        <w:t xml:space="preserve"> ATA, </w:t>
      </w:r>
      <w:r w:rsidRPr="003462B3">
        <w:rPr>
          <w:rFonts w:asciiTheme="majorHAnsi" w:hAnsiTheme="majorHAnsi" w:cstheme="majorHAnsi"/>
          <w:noProof/>
          <w:sz w:val="24"/>
          <w:szCs w:val="24"/>
        </w:rPr>
        <w:t>транзитн</w:t>
      </w:r>
      <w:r w:rsidR="00ED078A">
        <w:rPr>
          <w:rFonts w:asciiTheme="majorHAnsi" w:hAnsiTheme="majorHAnsi" w:cstheme="majorHAnsi"/>
          <w:noProof/>
          <w:sz w:val="24"/>
          <w:szCs w:val="24"/>
          <w:lang w:val="ru-RU"/>
        </w:rPr>
        <w:t>ую</w:t>
      </w:r>
      <w:r w:rsidRPr="003462B3">
        <w:rPr>
          <w:rFonts w:asciiTheme="majorHAnsi" w:hAnsiTheme="majorHAnsi" w:cstheme="majorHAnsi"/>
          <w:noProof/>
          <w:sz w:val="24"/>
          <w:szCs w:val="24"/>
        </w:rPr>
        <w:t xml:space="preserve"> таможенн</w:t>
      </w:r>
      <w:r w:rsidR="00ED078A">
        <w:rPr>
          <w:rFonts w:asciiTheme="majorHAnsi" w:hAnsiTheme="majorHAnsi" w:cstheme="majorHAnsi"/>
          <w:noProof/>
          <w:sz w:val="24"/>
          <w:szCs w:val="24"/>
          <w:lang w:val="ru-RU"/>
        </w:rPr>
        <w:t>ую</w:t>
      </w:r>
      <w:r w:rsidRPr="003462B3">
        <w:rPr>
          <w:rFonts w:asciiTheme="majorHAnsi" w:hAnsiTheme="majorHAnsi" w:cstheme="majorHAnsi"/>
          <w:noProof/>
          <w:sz w:val="24"/>
          <w:szCs w:val="24"/>
        </w:rPr>
        <w:t xml:space="preserve"> деклараци</w:t>
      </w:r>
      <w:r w:rsidR="00ED078A">
        <w:rPr>
          <w:rFonts w:asciiTheme="majorHAnsi" w:hAnsiTheme="majorHAnsi" w:cstheme="majorHAnsi"/>
          <w:noProof/>
          <w:sz w:val="24"/>
          <w:szCs w:val="24"/>
          <w:lang w:val="ru-RU"/>
        </w:rPr>
        <w:t>ю</w:t>
      </w:r>
      <w:r w:rsidRPr="003462B3">
        <w:rPr>
          <w:rFonts w:asciiTheme="majorHAnsi" w:hAnsiTheme="majorHAnsi" w:cstheme="majorHAnsi"/>
          <w:noProof/>
          <w:sz w:val="24"/>
          <w:szCs w:val="24"/>
        </w:rPr>
        <w:t xml:space="preserve"> (T1), транспортная </w:t>
      </w:r>
      <w:r w:rsidR="00ED078A">
        <w:rPr>
          <w:rFonts w:asciiTheme="majorHAnsi" w:hAnsiTheme="majorHAnsi" w:cstheme="majorHAnsi"/>
          <w:noProof/>
          <w:sz w:val="24"/>
          <w:szCs w:val="24"/>
          <w:lang w:val="ru-RU"/>
        </w:rPr>
        <w:t>накладную</w:t>
      </w:r>
      <w:r w:rsidRPr="003462B3">
        <w:rPr>
          <w:rFonts w:asciiTheme="majorHAnsi" w:hAnsiTheme="majorHAnsi" w:cstheme="majorHAnsi"/>
          <w:noProof/>
          <w:sz w:val="24"/>
          <w:szCs w:val="24"/>
        </w:rPr>
        <w:t xml:space="preserve">, что подтверждает законность операций по перевозке грузов. Таким образом, существующая </w:t>
      </w:r>
      <w:r w:rsidR="00ED078A" w:rsidRPr="00ED078A">
        <w:rPr>
          <w:rFonts w:asciiTheme="majorHAnsi" w:hAnsiTheme="majorHAnsi" w:cstheme="majorHAnsi"/>
          <w:noProof/>
          <w:sz w:val="24"/>
          <w:szCs w:val="24"/>
        </w:rPr>
        <w:t>нормативн</w:t>
      </w:r>
      <w:r w:rsidRPr="003462B3">
        <w:rPr>
          <w:rFonts w:asciiTheme="majorHAnsi" w:hAnsiTheme="majorHAnsi" w:cstheme="majorHAnsi"/>
          <w:noProof/>
          <w:sz w:val="24"/>
          <w:szCs w:val="24"/>
        </w:rPr>
        <w:t xml:space="preserve">ая база, применяемая </w:t>
      </w:r>
      <w:r w:rsidR="00ED078A">
        <w:rPr>
          <w:rFonts w:asciiTheme="majorHAnsi" w:hAnsiTheme="majorHAnsi" w:cstheme="majorHAnsi"/>
          <w:noProof/>
          <w:sz w:val="24"/>
          <w:szCs w:val="24"/>
        </w:rPr>
        <w:t>Т</w:t>
      </w:r>
      <w:r w:rsidR="00ED078A" w:rsidRPr="00ED078A">
        <w:rPr>
          <w:rFonts w:asciiTheme="majorHAnsi" w:hAnsiTheme="majorHAnsi" w:cstheme="majorHAnsi"/>
          <w:noProof/>
          <w:sz w:val="24"/>
          <w:szCs w:val="24"/>
        </w:rPr>
        <w:t>С</w:t>
      </w:r>
      <w:r w:rsidRPr="003462B3">
        <w:rPr>
          <w:rFonts w:asciiTheme="majorHAnsi" w:hAnsiTheme="majorHAnsi" w:cstheme="majorHAnsi"/>
          <w:noProof/>
          <w:sz w:val="24"/>
          <w:szCs w:val="24"/>
        </w:rPr>
        <w:t xml:space="preserve"> и, соответственно, обязательные документы, поданные в таможенный орган для подтверждения данных, указанных в таможенной декларации, имеют разные названия и интерпретации и не были приведены в соответствие с положениями Таможенного кодекса Европейского Союза</w:t>
      </w:r>
      <w:r w:rsidR="008A28A2" w:rsidRPr="00B20FBD">
        <w:rPr>
          <w:rFonts w:asciiTheme="majorHAnsi" w:eastAsia="Times New Roman" w:hAnsiTheme="majorHAnsi" w:cstheme="majorHAnsi"/>
          <w:noProof/>
          <w:sz w:val="24"/>
          <w:szCs w:val="24"/>
        </w:rPr>
        <w:t>.</w:t>
      </w:r>
    </w:p>
    <w:p w14:paraId="6278A225" w14:textId="711BAA9D" w:rsidR="008A28A2" w:rsidRPr="007308AE" w:rsidRDefault="001A0ECC" w:rsidP="008A28A2">
      <w:pPr>
        <w:pStyle w:val="Default"/>
        <w:spacing w:after="120" w:line="276" w:lineRule="auto"/>
        <w:jc w:val="both"/>
        <w:rPr>
          <w:rFonts w:asciiTheme="majorHAnsi" w:eastAsia="Batang" w:hAnsiTheme="majorHAnsi" w:cstheme="majorHAnsi"/>
          <w:lang w:val="ru-MD" w:eastAsia="ko-KR"/>
        </w:rPr>
      </w:pPr>
      <w:r w:rsidRPr="005B7622">
        <w:rPr>
          <w:rFonts w:asciiTheme="majorHAnsi" w:hAnsiTheme="majorHAnsi" w:cstheme="majorHAnsi"/>
          <w:lang w:val="ru-MD"/>
        </w:rPr>
        <w:t>Вопреки положениям Национального плана действий в области содействия торговле на 2018-2020 годы</w:t>
      </w:r>
      <w:r w:rsidRPr="005B7622">
        <w:rPr>
          <w:rStyle w:val="FootnoteReference"/>
          <w:rFonts w:asciiTheme="majorHAnsi" w:hAnsiTheme="majorHAnsi" w:cstheme="majorHAnsi"/>
          <w:lang w:val="ru-MD"/>
        </w:rPr>
        <w:footnoteReference w:id="85"/>
      </w:r>
      <w:r w:rsidRPr="005B7622">
        <w:rPr>
          <w:rFonts w:asciiTheme="majorHAnsi" w:hAnsiTheme="majorHAnsi" w:cstheme="majorHAnsi"/>
          <w:lang w:val="ru-MD"/>
        </w:rPr>
        <w:t xml:space="preserve">, СВ по состоянию на 01.08.2022 не разработала механизм пересмотра и обновления нормативной базы о единой документации, необходимой для импорта, экспорта и транзита, а также об использовании копий документов при оформлении формальностей, связанных с операциями по импорту, экспорту или транзиту, хотя срок исполнения был установлен на декабрь 2019 года. Приведение национальной нормативной базы в соответствие </w:t>
      </w:r>
      <w:r w:rsidR="007308AE" w:rsidRPr="005B7622">
        <w:rPr>
          <w:rFonts w:asciiTheme="majorHAnsi" w:hAnsiTheme="majorHAnsi" w:cstheme="majorHAnsi"/>
          <w:lang w:val="ru-MD"/>
        </w:rPr>
        <w:t xml:space="preserve">c </w:t>
      </w:r>
      <w:r w:rsidRPr="005B7622">
        <w:rPr>
          <w:rFonts w:asciiTheme="majorHAnsi" w:hAnsiTheme="majorHAnsi" w:cstheme="majorHAnsi"/>
          <w:lang w:val="ru-MD"/>
        </w:rPr>
        <w:t>положениям</w:t>
      </w:r>
      <w:r w:rsidR="007308AE" w:rsidRPr="005B7622">
        <w:rPr>
          <w:rFonts w:asciiTheme="majorHAnsi" w:hAnsiTheme="majorHAnsi" w:cstheme="majorHAnsi"/>
          <w:lang w:val="ru-MD"/>
        </w:rPr>
        <w:t>и</w:t>
      </w:r>
      <w:r w:rsidRPr="005B7622">
        <w:rPr>
          <w:rFonts w:asciiTheme="majorHAnsi" w:hAnsiTheme="majorHAnsi" w:cstheme="majorHAnsi"/>
          <w:lang w:val="ru-MD"/>
        </w:rPr>
        <w:t xml:space="preserve"> acquis-а Сообщества</w:t>
      </w:r>
      <w:r w:rsidRPr="007308AE">
        <w:rPr>
          <w:rFonts w:asciiTheme="majorHAnsi" w:hAnsiTheme="majorHAnsi" w:cstheme="majorHAnsi"/>
          <w:lang w:val="ru-MD"/>
        </w:rPr>
        <w:t xml:space="preserve"> также было предусмотрено в Плане деятельности ТС на 2020 год, однако эти действия не были выполнены. Так, ТС издала циркуляр №679-C от 12.11.2020, который предусматривал одобрение проекта Приказа ТС о</w:t>
      </w:r>
      <w:r w:rsidRPr="007308AE">
        <w:rPr>
          <w:rFonts w:asciiTheme="majorHAnsi" w:hAnsiTheme="majorHAnsi" w:cstheme="majorHAnsi"/>
          <w:bCs/>
          <w:lang w:val="ru-MD"/>
        </w:rPr>
        <w:t>б утверждении перечня необходимых документов при</w:t>
      </w:r>
      <w:r w:rsidRPr="007308AE">
        <w:rPr>
          <w:rFonts w:asciiTheme="majorHAnsi" w:hAnsiTheme="majorHAnsi" w:cstheme="majorHAnsi"/>
          <w:bCs/>
          <w:lang w:val="ru-MD"/>
        </w:rPr>
        <w:br/>
        <w:t>таможенном оформлении товаров, являющихся предметом внешнеэкономических сделок</w:t>
      </w:r>
      <w:r w:rsidRPr="007308AE">
        <w:rPr>
          <w:rFonts w:asciiTheme="majorHAnsi" w:hAnsiTheme="majorHAnsi" w:cstheme="majorHAnsi"/>
          <w:lang w:val="ru-MD"/>
        </w:rPr>
        <w:t>, для обеспечения исполнения предписаний п.29</w:t>
      </w:r>
      <w:r w:rsidRPr="007308AE">
        <w:rPr>
          <w:rFonts w:asciiTheme="majorHAnsi" w:hAnsiTheme="majorHAnsi" w:cstheme="majorHAnsi"/>
          <w:vertAlign w:val="superscript"/>
          <w:lang w:val="ru-MD"/>
        </w:rPr>
        <w:t>1</w:t>
      </w:r>
      <w:r w:rsidRPr="007308AE">
        <w:rPr>
          <w:rFonts w:asciiTheme="majorHAnsi" w:hAnsiTheme="majorHAnsi" w:cstheme="majorHAnsi"/>
          <w:lang w:val="ru-MD"/>
        </w:rPr>
        <w:t xml:space="preserve"> и п.29</w:t>
      </w:r>
      <w:r w:rsidRPr="007308AE">
        <w:rPr>
          <w:rFonts w:asciiTheme="majorHAnsi" w:hAnsiTheme="majorHAnsi" w:cstheme="majorHAnsi"/>
          <w:vertAlign w:val="superscript"/>
          <w:lang w:val="ru-MD"/>
        </w:rPr>
        <w:t>2</w:t>
      </w:r>
      <w:r w:rsidRPr="007308AE">
        <w:rPr>
          <w:rFonts w:asciiTheme="majorHAnsi" w:hAnsiTheme="majorHAnsi" w:cstheme="majorHAnsi"/>
          <w:lang w:val="ru-MD"/>
        </w:rPr>
        <w:t xml:space="preserve"> Положения, утвержденного Постановлением Правительства №1140 от 02.11.2005, однако указанный проект приказа был </w:t>
      </w:r>
      <w:r w:rsidR="006821C2" w:rsidRPr="007308AE">
        <w:rPr>
          <w:rFonts w:asciiTheme="majorHAnsi" w:hAnsiTheme="majorHAnsi" w:cstheme="majorHAnsi"/>
          <w:lang w:val="ru-MD"/>
        </w:rPr>
        <w:t>заброш</w:t>
      </w:r>
      <w:r w:rsidRPr="007308AE">
        <w:rPr>
          <w:rFonts w:asciiTheme="majorHAnsi" w:hAnsiTheme="majorHAnsi" w:cstheme="majorHAnsi"/>
          <w:lang w:val="ru-MD"/>
        </w:rPr>
        <w:t xml:space="preserve">ен, а действие 1.5.3 </w:t>
      </w:r>
      <w:r w:rsidR="006821C2" w:rsidRPr="007308AE">
        <w:rPr>
          <w:rFonts w:asciiTheme="majorHAnsi" w:hAnsiTheme="majorHAnsi" w:cstheme="majorHAnsi"/>
          <w:lang w:val="ru-MD"/>
        </w:rPr>
        <w:t>из П</w:t>
      </w:r>
      <w:r w:rsidRPr="007308AE">
        <w:rPr>
          <w:rFonts w:asciiTheme="majorHAnsi" w:hAnsiTheme="majorHAnsi" w:cstheme="majorHAnsi"/>
          <w:lang w:val="ru-MD"/>
        </w:rPr>
        <w:t xml:space="preserve">лана деятельности </w:t>
      </w:r>
      <w:r w:rsidR="006821C2" w:rsidRPr="007308AE">
        <w:rPr>
          <w:rFonts w:asciiTheme="majorHAnsi" w:hAnsiTheme="majorHAnsi" w:cstheme="majorHAnsi"/>
          <w:lang w:val="ru-MD"/>
        </w:rPr>
        <w:t>ТС</w:t>
      </w:r>
      <w:r w:rsidRPr="007308AE">
        <w:rPr>
          <w:rFonts w:asciiTheme="majorHAnsi" w:hAnsiTheme="majorHAnsi" w:cstheme="majorHAnsi"/>
          <w:lang w:val="ru-MD"/>
        </w:rPr>
        <w:t xml:space="preserve"> на 2020 год не было выполнено. В этих условиях</w:t>
      </w:r>
      <w:r w:rsidR="006821C2" w:rsidRPr="007308AE">
        <w:rPr>
          <w:rFonts w:asciiTheme="majorHAnsi" w:hAnsiTheme="majorHAnsi" w:cstheme="majorHAnsi"/>
          <w:lang w:val="ru-MD"/>
        </w:rPr>
        <w:t>,</w:t>
      </w:r>
      <w:r w:rsidRPr="007308AE">
        <w:rPr>
          <w:rFonts w:asciiTheme="majorHAnsi" w:hAnsiTheme="majorHAnsi" w:cstheme="majorHAnsi"/>
          <w:lang w:val="ru-MD"/>
        </w:rPr>
        <w:t xml:space="preserve"> документация по импорту, экспорту и транзиту не была </w:t>
      </w:r>
      <w:r w:rsidR="006821C2" w:rsidRPr="007308AE">
        <w:rPr>
          <w:rFonts w:asciiTheme="majorHAnsi" w:hAnsiTheme="majorHAnsi" w:cstheme="majorHAnsi"/>
          <w:lang w:val="ru-MD"/>
        </w:rPr>
        <w:t>приведена в соответствие</w:t>
      </w:r>
      <w:r w:rsidRPr="007308AE">
        <w:rPr>
          <w:rFonts w:asciiTheme="majorHAnsi" w:hAnsiTheme="majorHAnsi" w:cstheme="majorHAnsi"/>
          <w:lang w:val="ru-MD"/>
        </w:rPr>
        <w:t xml:space="preserve"> с положениями acquis</w:t>
      </w:r>
      <w:r w:rsidR="006821C2" w:rsidRPr="007308AE">
        <w:rPr>
          <w:rFonts w:asciiTheme="majorHAnsi" w:hAnsiTheme="majorHAnsi" w:cstheme="majorHAnsi"/>
          <w:lang w:val="ru-MD"/>
        </w:rPr>
        <w:t>-а</w:t>
      </w:r>
      <w:r w:rsidRPr="007308AE">
        <w:rPr>
          <w:rFonts w:asciiTheme="majorHAnsi" w:hAnsiTheme="majorHAnsi" w:cstheme="majorHAnsi"/>
          <w:lang w:val="ru-MD"/>
        </w:rPr>
        <w:t xml:space="preserve"> </w:t>
      </w:r>
      <w:r w:rsidR="007308AE" w:rsidRPr="007308AE">
        <w:rPr>
          <w:rFonts w:asciiTheme="majorHAnsi" w:hAnsiTheme="majorHAnsi" w:cstheme="majorHAnsi"/>
          <w:lang w:val="ru-MD"/>
        </w:rPr>
        <w:t>С</w:t>
      </w:r>
      <w:r w:rsidRPr="007308AE">
        <w:rPr>
          <w:rFonts w:asciiTheme="majorHAnsi" w:hAnsiTheme="majorHAnsi" w:cstheme="majorHAnsi"/>
          <w:lang w:val="ru-MD"/>
        </w:rPr>
        <w:t xml:space="preserve">ообщества, а при таможенном оформлении товаров </w:t>
      </w:r>
      <w:r w:rsidR="006821C2" w:rsidRPr="007308AE">
        <w:rPr>
          <w:rFonts w:asciiTheme="majorHAnsi" w:hAnsiTheme="majorHAnsi" w:cstheme="majorHAnsi"/>
          <w:lang w:val="ru-MD"/>
        </w:rPr>
        <w:t>продолжают</w:t>
      </w:r>
      <w:r w:rsidRPr="007308AE">
        <w:rPr>
          <w:rFonts w:asciiTheme="majorHAnsi" w:hAnsiTheme="majorHAnsi" w:cstheme="majorHAnsi"/>
          <w:lang w:val="ru-MD"/>
        </w:rPr>
        <w:t xml:space="preserve"> использ</w:t>
      </w:r>
      <w:r w:rsidR="006821C2" w:rsidRPr="007308AE">
        <w:rPr>
          <w:rFonts w:asciiTheme="majorHAnsi" w:hAnsiTheme="majorHAnsi" w:cstheme="majorHAnsi"/>
          <w:lang w:val="ru-MD"/>
        </w:rPr>
        <w:t>оваться</w:t>
      </w:r>
      <w:r w:rsidRPr="007308AE">
        <w:rPr>
          <w:rFonts w:asciiTheme="majorHAnsi" w:hAnsiTheme="majorHAnsi" w:cstheme="majorHAnsi"/>
          <w:lang w:val="ru-MD"/>
        </w:rPr>
        <w:t xml:space="preserve"> таможенные акты, утвержденные </w:t>
      </w:r>
      <w:r w:rsidR="007308AE" w:rsidRPr="007308AE">
        <w:rPr>
          <w:rFonts w:asciiTheme="majorHAnsi" w:hAnsiTheme="majorHAnsi" w:cstheme="majorHAnsi"/>
          <w:lang w:val="ru-MD"/>
        </w:rPr>
        <w:t>вышеуказанным Положением</w:t>
      </w:r>
      <w:r w:rsidRPr="007308AE">
        <w:rPr>
          <w:rFonts w:asciiTheme="majorHAnsi" w:hAnsiTheme="majorHAnsi" w:cstheme="majorHAnsi"/>
          <w:lang w:val="ru-MD"/>
        </w:rPr>
        <w:t xml:space="preserve"> и </w:t>
      </w:r>
      <w:r w:rsidR="007308AE" w:rsidRPr="007308AE">
        <w:rPr>
          <w:rFonts w:asciiTheme="majorHAnsi" w:hAnsiTheme="majorHAnsi" w:cstheme="majorHAnsi"/>
          <w:lang w:val="ru-MD"/>
        </w:rPr>
        <w:t>П</w:t>
      </w:r>
      <w:r w:rsidRPr="007308AE">
        <w:rPr>
          <w:rFonts w:asciiTheme="majorHAnsi" w:hAnsiTheme="majorHAnsi" w:cstheme="majorHAnsi"/>
          <w:lang w:val="ru-MD"/>
        </w:rPr>
        <w:t xml:space="preserve">риказом </w:t>
      </w:r>
      <w:r w:rsidR="007308AE" w:rsidRPr="007308AE">
        <w:rPr>
          <w:rFonts w:asciiTheme="majorHAnsi" w:hAnsiTheme="majorHAnsi" w:cstheme="majorHAnsi"/>
          <w:lang w:val="ru-MD"/>
        </w:rPr>
        <w:t>ТС</w:t>
      </w:r>
      <w:r w:rsidRPr="007308AE">
        <w:rPr>
          <w:rFonts w:asciiTheme="majorHAnsi" w:hAnsiTheme="majorHAnsi" w:cstheme="majorHAnsi"/>
          <w:lang w:val="ru-MD"/>
        </w:rPr>
        <w:t xml:space="preserve"> №276 - </w:t>
      </w:r>
      <w:r w:rsidR="007308AE" w:rsidRPr="007308AE">
        <w:rPr>
          <w:rFonts w:asciiTheme="majorHAnsi" w:hAnsiTheme="majorHAnsi" w:cstheme="majorHAnsi"/>
          <w:lang w:val="ru-MD"/>
        </w:rPr>
        <w:t>О</w:t>
      </w:r>
      <w:r w:rsidRPr="007308AE">
        <w:rPr>
          <w:rFonts w:asciiTheme="majorHAnsi" w:hAnsiTheme="majorHAnsi" w:cstheme="majorHAnsi"/>
          <w:lang w:val="ru-MD"/>
        </w:rPr>
        <w:t xml:space="preserve"> от 24.10.2002</w:t>
      </w:r>
      <w:r w:rsidR="008A28A2" w:rsidRPr="007308AE">
        <w:rPr>
          <w:rStyle w:val="FootnoteReference"/>
          <w:rFonts w:asciiTheme="majorHAnsi" w:hAnsiTheme="majorHAnsi" w:cstheme="majorHAnsi"/>
          <w:lang w:val="ru-MD"/>
        </w:rPr>
        <w:footnoteReference w:id="86"/>
      </w:r>
      <w:r w:rsidR="008A28A2" w:rsidRPr="007308AE">
        <w:rPr>
          <w:rFonts w:asciiTheme="majorHAnsi" w:hAnsiTheme="majorHAnsi" w:cstheme="majorHAnsi"/>
          <w:lang w:val="ru-MD"/>
        </w:rPr>
        <w:t>.</w:t>
      </w:r>
    </w:p>
    <w:p w14:paraId="48F14546" w14:textId="593F18D7" w:rsidR="008A28A2" w:rsidRPr="00CF5695" w:rsidRDefault="00355854" w:rsidP="008A28A2">
      <w:pPr>
        <w:pStyle w:val="Default"/>
        <w:spacing w:after="120" w:line="276" w:lineRule="auto"/>
        <w:jc w:val="both"/>
        <w:rPr>
          <w:rFonts w:asciiTheme="majorHAnsi" w:hAnsiTheme="majorHAnsi" w:cstheme="majorHAnsi"/>
          <w:lang w:val="ru-MD"/>
        </w:rPr>
      </w:pPr>
      <w:r w:rsidRPr="00CF5695">
        <w:rPr>
          <w:rFonts w:asciiTheme="majorHAnsi" w:hAnsiTheme="majorHAnsi" w:cstheme="majorHAnsi"/>
          <w:lang w:val="ru-MD"/>
        </w:rPr>
        <w:t>Аудит</w:t>
      </w:r>
      <w:r w:rsidR="00FC3CC8" w:rsidRPr="00CF5695">
        <w:rPr>
          <w:rFonts w:asciiTheme="majorHAnsi" w:hAnsiTheme="majorHAnsi" w:cstheme="majorHAnsi"/>
          <w:lang w:val="ru-MD"/>
        </w:rPr>
        <w:t>ом</w:t>
      </w:r>
      <w:r w:rsidRPr="00CF5695">
        <w:rPr>
          <w:rFonts w:asciiTheme="majorHAnsi" w:hAnsiTheme="majorHAnsi" w:cstheme="majorHAnsi"/>
          <w:lang w:val="ru-MD"/>
        </w:rPr>
        <w:t xml:space="preserve"> установ</w:t>
      </w:r>
      <w:r w:rsidR="00FC3CC8" w:rsidRPr="00CF5695">
        <w:rPr>
          <w:rFonts w:asciiTheme="majorHAnsi" w:hAnsiTheme="majorHAnsi" w:cstheme="majorHAnsi"/>
          <w:lang w:val="ru-MD"/>
        </w:rPr>
        <w:t>лено</w:t>
      </w:r>
      <w:r w:rsidRPr="00CF5695">
        <w:rPr>
          <w:rFonts w:asciiTheme="majorHAnsi" w:hAnsiTheme="majorHAnsi" w:cstheme="majorHAnsi"/>
          <w:lang w:val="ru-MD"/>
        </w:rPr>
        <w:t xml:space="preserve">, что перечень обязательных документов, которые должны были быть представлены декларантом с целью </w:t>
      </w:r>
      <w:r w:rsidR="00FC3CC8" w:rsidRPr="00CF5695">
        <w:rPr>
          <w:rFonts w:asciiTheme="majorHAnsi" w:hAnsiTheme="majorHAnsi" w:cstheme="majorHAnsi"/>
          <w:lang w:val="ru-MD"/>
        </w:rPr>
        <w:t>определ</w:t>
      </w:r>
      <w:r w:rsidRPr="00CF5695">
        <w:rPr>
          <w:rFonts w:asciiTheme="majorHAnsi" w:hAnsiTheme="majorHAnsi" w:cstheme="majorHAnsi"/>
          <w:lang w:val="ru-MD"/>
        </w:rPr>
        <w:t xml:space="preserve">ения таможенной стоимости, включая счет (Invoice), „таможенную декларацию страны </w:t>
      </w:r>
      <w:r w:rsidR="00CF5695">
        <w:rPr>
          <w:rFonts w:asciiTheme="majorHAnsi" w:hAnsiTheme="majorHAnsi" w:cstheme="majorHAnsi"/>
          <w:lang w:val="ru-MD"/>
        </w:rPr>
        <w:t>экспедици</w:t>
      </w:r>
      <w:r w:rsidRPr="00CF5695">
        <w:rPr>
          <w:rFonts w:asciiTheme="majorHAnsi" w:hAnsiTheme="majorHAnsi" w:cstheme="majorHAnsi"/>
          <w:lang w:val="ru-MD"/>
        </w:rPr>
        <w:t xml:space="preserve">и” и другие документы, используемые во внешней торговле, были предусмотрены </w:t>
      </w:r>
      <w:r w:rsidR="00FC3CC8" w:rsidRPr="00CF5695">
        <w:rPr>
          <w:rFonts w:asciiTheme="majorHAnsi" w:hAnsiTheme="majorHAnsi" w:cstheme="majorHAnsi"/>
          <w:lang w:val="ru-MD"/>
        </w:rPr>
        <w:t>П</w:t>
      </w:r>
      <w:r w:rsidRPr="00CF5695">
        <w:rPr>
          <w:rFonts w:asciiTheme="majorHAnsi" w:hAnsiTheme="majorHAnsi" w:cstheme="majorHAnsi"/>
          <w:lang w:val="ru-MD"/>
        </w:rPr>
        <w:t>оложением о порядке декларирования таможенной стоимости товаров, в</w:t>
      </w:r>
      <w:r w:rsidR="00FC3CC8" w:rsidRPr="00CF5695">
        <w:rPr>
          <w:rFonts w:asciiTheme="majorHAnsi" w:hAnsiTheme="majorHAnsi" w:cstheme="majorHAnsi"/>
          <w:lang w:val="ru-MD"/>
        </w:rPr>
        <w:t>возим</w:t>
      </w:r>
      <w:r w:rsidRPr="00CF5695">
        <w:rPr>
          <w:rFonts w:asciiTheme="majorHAnsi" w:hAnsiTheme="majorHAnsi" w:cstheme="majorHAnsi"/>
          <w:lang w:val="ru-MD"/>
        </w:rPr>
        <w:t>ых на территорию Республики Молдова, утвержденным</w:t>
      </w:r>
      <w:r w:rsidR="00FC3CC8" w:rsidRPr="00CF5695">
        <w:rPr>
          <w:rFonts w:asciiTheme="majorHAnsi" w:hAnsiTheme="majorHAnsi" w:cstheme="majorHAnsi"/>
          <w:lang w:val="ru-MD"/>
        </w:rPr>
        <w:t xml:space="preserve"> Постановлением Правительства №</w:t>
      </w:r>
      <w:r w:rsidRPr="00CF5695">
        <w:rPr>
          <w:rFonts w:asciiTheme="majorHAnsi" w:hAnsiTheme="majorHAnsi" w:cstheme="majorHAnsi"/>
          <w:lang w:val="ru-MD"/>
        </w:rPr>
        <w:t xml:space="preserve">600 </w:t>
      </w:r>
      <w:r w:rsidR="00FC3CC8" w:rsidRPr="00CF5695">
        <w:rPr>
          <w:rFonts w:asciiTheme="majorHAnsi" w:hAnsiTheme="majorHAnsi" w:cstheme="majorHAnsi"/>
          <w:lang w:val="ru-MD"/>
        </w:rPr>
        <w:t>от</w:t>
      </w:r>
      <w:r w:rsidRPr="00CF5695">
        <w:rPr>
          <w:rFonts w:asciiTheme="majorHAnsi" w:hAnsiTheme="majorHAnsi" w:cstheme="majorHAnsi"/>
          <w:lang w:val="ru-MD"/>
        </w:rPr>
        <w:t xml:space="preserve"> 14.05.2002</w:t>
      </w:r>
      <w:r w:rsidR="00FC3CC8" w:rsidRPr="00CF5695">
        <w:rPr>
          <w:rStyle w:val="FootnoteReference"/>
          <w:rFonts w:asciiTheme="majorHAnsi" w:eastAsia="Times New Roman" w:hAnsiTheme="majorHAnsi" w:cstheme="majorHAnsi"/>
          <w:bCs/>
          <w:lang w:val="ru-MD"/>
        </w:rPr>
        <w:footnoteReference w:id="87"/>
      </w:r>
      <w:r w:rsidRPr="00CF5695">
        <w:rPr>
          <w:rFonts w:asciiTheme="majorHAnsi" w:hAnsiTheme="majorHAnsi" w:cstheme="majorHAnsi"/>
          <w:lang w:val="ru-MD"/>
        </w:rPr>
        <w:t xml:space="preserve">. В то же время, в результате установления Счетной палатой </w:t>
      </w:r>
      <w:r w:rsidR="00FC3CC8" w:rsidRPr="00CF5695">
        <w:rPr>
          <w:rFonts w:asciiTheme="majorHAnsi" w:hAnsiTheme="majorHAnsi" w:cstheme="majorHAnsi"/>
          <w:lang w:val="ru-MD"/>
        </w:rPr>
        <w:t xml:space="preserve">ряда </w:t>
      </w:r>
      <w:r w:rsidRPr="00CF5695">
        <w:rPr>
          <w:rFonts w:asciiTheme="majorHAnsi" w:hAnsiTheme="majorHAnsi" w:cstheme="majorHAnsi"/>
          <w:lang w:val="ru-MD"/>
        </w:rPr>
        <w:t>нарушений при декларировании таможенной стоимости товаров, выявленных в ходе предыдущих аудитов</w:t>
      </w:r>
      <w:r w:rsidR="00FC3CC8" w:rsidRPr="00CF5695">
        <w:rPr>
          <w:rStyle w:val="FootnoteReference"/>
          <w:rFonts w:asciiTheme="majorHAnsi" w:eastAsia="Times New Roman" w:hAnsiTheme="majorHAnsi" w:cstheme="majorHAnsi"/>
          <w:lang w:val="ru-MD"/>
        </w:rPr>
        <w:footnoteReference w:id="88"/>
      </w:r>
      <w:r w:rsidRPr="00CF5695">
        <w:rPr>
          <w:rFonts w:asciiTheme="majorHAnsi" w:hAnsiTheme="majorHAnsi" w:cstheme="majorHAnsi"/>
          <w:lang w:val="ru-MD"/>
        </w:rPr>
        <w:t xml:space="preserve">, </w:t>
      </w:r>
      <w:r w:rsidR="00FC3CC8" w:rsidRPr="00CF5695">
        <w:rPr>
          <w:rFonts w:asciiTheme="majorHAnsi" w:hAnsiTheme="majorHAnsi" w:cstheme="majorHAnsi"/>
          <w:lang w:val="ru-MD"/>
        </w:rPr>
        <w:t>ТС</w:t>
      </w:r>
      <w:r w:rsidRPr="00CF5695">
        <w:rPr>
          <w:rFonts w:asciiTheme="majorHAnsi" w:hAnsiTheme="majorHAnsi" w:cstheme="majorHAnsi"/>
          <w:lang w:val="ru-MD"/>
        </w:rPr>
        <w:t xml:space="preserve"> исключила из перечня обязательных документов </w:t>
      </w:r>
      <w:r w:rsidR="00FC3CC8" w:rsidRPr="00CF5695">
        <w:rPr>
          <w:rFonts w:asciiTheme="majorHAnsi" w:hAnsiTheme="majorHAnsi" w:cstheme="majorHAnsi"/>
          <w:lang w:val="ru-MD"/>
        </w:rPr>
        <w:t xml:space="preserve">„таможенную декларацию страны </w:t>
      </w:r>
      <w:r w:rsidR="00CF5695">
        <w:rPr>
          <w:rFonts w:asciiTheme="majorHAnsi" w:hAnsiTheme="majorHAnsi" w:cstheme="majorHAnsi"/>
          <w:lang w:val="ru-MD"/>
        </w:rPr>
        <w:t>экспедици</w:t>
      </w:r>
      <w:r w:rsidR="00CF5695" w:rsidRPr="00CF5695">
        <w:rPr>
          <w:rFonts w:asciiTheme="majorHAnsi" w:hAnsiTheme="majorHAnsi" w:cstheme="majorHAnsi"/>
          <w:lang w:val="ru-MD"/>
        </w:rPr>
        <w:t>и</w:t>
      </w:r>
      <w:r w:rsidR="00FC3CC8" w:rsidRPr="00CF5695">
        <w:rPr>
          <w:rFonts w:asciiTheme="majorHAnsi" w:hAnsiTheme="majorHAnsi" w:cstheme="majorHAnsi"/>
          <w:lang w:val="ru-MD"/>
        </w:rPr>
        <w:t>”</w:t>
      </w:r>
      <w:r w:rsidRPr="00CF5695">
        <w:rPr>
          <w:rFonts w:asciiTheme="majorHAnsi" w:hAnsiTheme="majorHAnsi" w:cstheme="majorHAnsi"/>
          <w:lang w:val="ru-MD"/>
        </w:rPr>
        <w:t>, необходим</w:t>
      </w:r>
      <w:r w:rsidR="00FC3CC8" w:rsidRPr="00CF5695">
        <w:rPr>
          <w:rFonts w:asciiTheme="majorHAnsi" w:hAnsiTheme="majorHAnsi" w:cstheme="majorHAnsi"/>
          <w:lang w:val="ru-MD"/>
        </w:rPr>
        <w:t>ую</w:t>
      </w:r>
      <w:r w:rsidRPr="00CF5695">
        <w:rPr>
          <w:rFonts w:asciiTheme="majorHAnsi" w:hAnsiTheme="majorHAnsi" w:cstheme="majorHAnsi"/>
          <w:lang w:val="ru-MD"/>
        </w:rPr>
        <w:t xml:space="preserve"> для таможенного оформления и вы</w:t>
      </w:r>
      <w:r w:rsidR="00FC3CC8" w:rsidRPr="00CF5695">
        <w:rPr>
          <w:rFonts w:asciiTheme="majorHAnsi" w:hAnsiTheme="majorHAnsi" w:cstheme="majorHAnsi"/>
          <w:lang w:val="ru-MD"/>
        </w:rPr>
        <w:t>пуска товаров</w:t>
      </w:r>
      <w:r w:rsidRPr="00CF5695">
        <w:rPr>
          <w:rFonts w:asciiTheme="majorHAnsi" w:hAnsiTheme="majorHAnsi" w:cstheme="majorHAnsi"/>
          <w:lang w:val="ru-MD"/>
        </w:rPr>
        <w:t>, а затем</w:t>
      </w:r>
      <w:r w:rsidR="00FC3CC8" w:rsidRPr="00CF5695">
        <w:rPr>
          <w:rFonts w:asciiTheme="majorHAnsi" w:hAnsiTheme="majorHAnsi" w:cstheme="majorHAnsi"/>
          <w:lang w:val="ru-MD"/>
        </w:rPr>
        <w:t>,</w:t>
      </w:r>
      <w:r w:rsidRPr="00CF5695">
        <w:rPr>
          <w:rFonts w:asciiTheme="majorHAnsi" w:hAnsiTheme="majorHAnsi" w:cstheme="majorHAnsi"/>
          <w:lang w:val="ru-MD"/>
        </w:rPr>
        <w:t xml:space="preserve"> 19.11.2016 </w:t>
      </w:r>
      <w:r w:rsidR="00FC3CC8" w:rsidRPr="00CF5695">
        <w:rPr>
          <w:rFonts w:asciiTheme="majorHAnsi" w:hAnsiTheme="majorHAnsi" w:cstheme="majorHAnsi"/>
          <w:lang w:val="ru-MD"/>
        </w:rPr>
        <w:t>ТС</w:t>
      </w:r>
      <w:r w:rsidRPr="00CF5695">
        <w:rPr>
          <w:rFonts w:asciiTheme="majorHAnsi" w:hAnsiTheme="majorHAnsi" w:cstheme="majorHAnsi"/>
          <w:lang w:val="ru-MD"/>
        </w:rPr>
        <w:t xml:space="preserve"> отменила и </w:t>
      </w:r>
      <w:r w:rsidR="00FC3CC8" w:rsidRPr="00CF5695">
        <w:rPr>
          <w:rFonts w:asciiTheme="majorHAnsi" w:hAnsiTheme="majorHAnsi" w:cstheme="majorHAnsi"/>
          <w:lang w:val="ru-MD"/>
        </w:rPr>
        <w:t>Положение</w:t>
      </w:r>
      <w:r w:rsidRPr="00CF5695">
        <w:rPr>
          <w:rFonts w:asciiTheme="majorHAnsi" w:hAnsiTheme="majorHAnsi" w:cstheme="majorHAnsi"/>
          <w:lang w:val="ru-MD"/>
        </w:rPr>
        <w:t>, утвержденн</w:t>
      </w:r>
      <w:r w:rsidR="00FC3CC8" w:rsidRPr="00CF5695">
        <w:rPr>
          <w:rFonts w:asciiTheme="majorHAnsi" w:hAnsiTheme="majorHAnsi" w:cstheme="majorHAnsi"/>
          <w:lang w:val="ru-MD"/>
        </w:rPr>
        <w:t>ое Постановлением Правительства №</w:t>
      </w:r>
      <w:r w:rsidRPr="00CF5695">
        <w:rPr>
          <w:rFonts w:asciiTheme="majorHAnsi" w:hAnsiTheme="majorHAnsi" w:cstheme="majorHAnsi"/>
          <w:lang w:val="ru-MD"/>
        </w:rPr>
        <w:t xml:space="preserve">600 </w:t>
      </w:r>
      <w:r w:rsidR="00FC3CC8" w:rsidRPr="00CF5695">
        <w:rPr>
          <w:rFonts w:asciiTheme="majorHAnsi" w:hAnsiTheme="majorHAnsi" w:cstheme="majorHAnsi"/>
          <w:lang w:val="ru-MD"/>
        </w:rPr>
        <w:t>от</w:t>
      </w:r>
      <w:r w:rsidRPr="00CF5695">
        <w:rPr>
          <w:rFonts w:asciiTheme="majorHAnsi" w:hAnsiTheme="majorHAnsi" w:cstheme="majorHAnsi"/>
          <w:lang w:val="ru-MD"/>
        </w:rPr>
        <w:t xml:space="preserve"> 14.05.2002</w:t>
      </w:r>
      <w:r w:rsidR="008A28A2" w:rsidRPr="00CF5695">
        <w:rPr>
          <w:rFonts w:asciiTheme="majorHAnsi" w:hAnsiTheme="majorHAnsi" w:cstheme="majorHAnsi"/>
          <w:lang w:val="ru-MD"/>
        </w:rPr>
        <w:t xml:space="preserve">. </w:t>
      </w:r>
    </w:p>
    <w:p w14:paraId="6AFB747B" w14:textId="002CCC26" w:rsidR="008A28A2" w:rsidRPr="0044153E" w:rsidRDefault="00316999" w:rsidP="008A28A2">
      <w:pPr>
        <w:spacing w:after="160"/>
        <w:ind w:right="142"/>
        <w:jc w:val="both"/>
        <w:rPr>
          <w:rFonts w:asciiTheme="majorHAnsi" w:hAnsiTheme="majorHAnsi" w:cstheme="majorHAnsi"/>
          <w:sz w:val="24"/>
          <w:szCs w:val="24"/>
          <w:lang w:val="ru-MD"/>
        </w:rPr>
      </w:pPr>
      <w:r w:rsidRPr="0044153E">
        <w:rPr>
          <w:rFonts w:asciiTheme="majorHAnsi" w:eastAsia="Times New Roman" w:hAnsiTheme="majorHAnsi" w:cstheme="majorHAnsi"/>
          <w:sz w:val="24"/>
          <w:szCs w:val="24"/>
          <w:lang w:val="ru-MD"/>
        </w:rPr>
        <w:t xml:space="preserve">В </w:t>
      </w:r>
      <w:r w:rsidR="0044153E">
        <w:rPr>
          <w:rFonts w:asciiTheme="majorHAnsi" w:eastAsia="Times New Roman" w:hAnsiTheme="majorHAnsi" w:cstheme="majorHAnsi"/>
          <w:sz w:val="24"/>
          <w:szCs w:val="24"/>
          <w:lang w:val="ru-MD"/>
        </w:rPr>
        <w:t>итоге</w:t>
      </w:r>
      <w:r w:rsidRPr="0044153E">
        <w:rPr>
          <w:rFonts w:asciiTheme="majorHAnsi" w:eastAsia="Times New Roman" w:hAnsiTheme="majorHAnsi" w:cstheme="majorHAnsi"/>
          <w:sz w:val="24"/>
          <w:szCs w:val="24"/>
          <w:lang w:val="ru-MD"/>
        </w:rPr>
        <w:t>, законодательная база, регулирующая обязательные акты таможенного оформления товаров, полученных в результате внешнеэкономических операций, не в полной мере приведена в соответствие с положениями acquis-а Сообщества, для импортных, экспортных и транзитных операций, включая понятие „</w:t>
      </w:r>
      <w:r w:rsidR="0010393B" w:rsidRPr="0044153E">
        <w:rPr>
          <w:rFonts w:asciiTheme="majorHAnsi" w:eastAsia="Times New Roman" w:hAnsiTheme="majorHAnsi" w:cstheme="majorHAnsi"/>
          <w:sz w:val="24"/>
          <w:szCs w:val="24"/>
          <w:lang w:val="ru-MD"/>
        </w:rPr>
        <w:t>К</w:t>
      </w:r>
      <w:r w:rsidRPr="0044153E">
        <w:rPr>
          <w:rFonts w:asciiTheme="majorHAnsi" w:eastAsia="Times New Roman" w:hAnsiTheme="majorHAnsi" w:cstheme="majorHAnsi"/>
          <w:sz w:val="24"/>
          <w:szCs w:val="24"/>
          <w:lang w:val="ru-MD"/>
        </w:rPr>
        <w:t>оммерческий счет (Invoice)</w:t>
      </w:r>
      <w:r w:rsidRPr="0044153E">
        <w:rPr>
          <w:rFonts w:asciiTheme="majorHAnsi" w:hAnsiTheme="majorHAnsi" w:cstheme="majorHAnsi"/>
          <w:sz w:val="24"/>
          <w:szCs w:val="24"/>
          <w:lang w:val="ru-MD"/>
        </w:rPr>
        <w:t>”</w:t>
      </w:r>
      <w:r w:rsidRPr="0044153E">
        <w:rPr>
          <w:rFonts w:asciiTheme="majorHAnsi" w:eastAsia="Times New Roman" w:hAnsiTheme="majorHAnsi" w:cstheme="majorHAnsi"/>
          <w:sz w:val="24"/>
          <w:szCs w:val="24"/>
          <w:lang w:val="ru-MD"/>
        </w:rPr>
        <w:t>, „</w:t>
      </w:r>
      <w:r w:rsidR="0010393B" w:rsidRPr="0044153E">
        <w:rPr>
          <w:rFonts w:asciiTheme="majorHAnsi" w:eastAsia="Times New Roman" w:hAnsiTheme="majorHAnsi" w:cstheme="majorHAnsi"/>
          <w:sz w:val="24"/>
          <w:szCs w:val="24"/>
          <w:lang w:val="ru-MD"/>
        </w:rPr>
        <w:t>М</w:t>
      </w:r>
      <w:r w:rsidRPr="0044153E">
        <w:rPr>
          <w:rFonts w:asciiTheme="majorHAnsi" w:eastAsia="Times New Roman" w:hAnsiTheme="majorHAnsi" w:cstheme="majorHAnsi"/>
          <w:sz w:val="24"/>
          <w:szCs w:val="24"/>
          <w:lang w:val="ru-MD"/>
        </w:rPr>
        <w:t>еждународн</w:t>
      </w:r>
      <w:r w:rsidR="0010393B" w:rsidRPr="0044153E">
        <w:rPr>
          <w:rFonts w:asciiTheme="majorHAnsi" w:eastAsia="Times New Roman" w:hAnsiTheme="majorHAnsi" w:cstheme="majorHAnsi"/>
          <w:sz w:val="24"/>
          <w:szCs w:val="24"/>
          <w:lang w:val="ru-MD"/>
        </w:rPr>
        <w:t>ая</w:t>
      </w:r>
      <w:r w:rsidRPr="0044153E">
        <w:rPr>
          <w:rFonts w:asciiTheme="majorHAnsi" w:eastAsia="Times New Roman" w:hAnsiTheme="majorHAnsi" w:cstheme="majorHAnsi"/>
          <w:sz w:val="24"/>
          <w:szCs w:val="24"/>
          <w:lang w:val="ru-MD"/>
        </w:rPr>
        <w:t xml:space="preserve"> </w:t>
      </w:r>
      <w:r w:rsidR="0010393B" w:rsidRPr="0044153E">
        <w:rPr>
          <w:rFonts w:asciiTheme="majorHAnsi" w:eastAsia="Times New Roman" w:hAnsiTheme="majorHAnsi" w:cstheme="majorHAnsi"/>
          <w:sz w:val="24"/>
          <w:szCs w:val="24"/>
          <w:lang w:val="ru-MD"/>
        </w:rPr>
        <w:t>транспортная накладная</w:t>
      </w:r>
      <w:r w:rsidRPr="0044153E">
        <w:rPr>
          <w:rFonts w:asciiTheme="majorHAnsi" w:eastAsia="Times New Roman" w:hAnsiTheme="majorHAnsi" w:cstheme="majorHAnsi"/>
          <w:sz w:val="24"/>
          <w:szCs w:val="24"/>
          <w:lang w:val="ru-MD"/>
        </w:rPr>
        <w:t xml:space="preserve"> (CMR)” и другие документы, используемые в коммерческой и таможенной сфере, что приводит к не</w:t>
      </w:r>
      <w:r w:rsidR="0010393B" w:rsidRPr="0044153E">
        <w:rPr>
          <w:rFonts w:asciiTheme="majorHAnsi" w:eastAsia="Times New Roman" w:hAnsiTheme="majorHAnsi" w:cstheme="majorHAnsi"/>
          <w:sz w:val="24"/>
          <w:szCs w:val="24"/>
          <w:lang w:val="ru-MD"/>
        </w:rPr>
        <w:t>единообраз</w:t>
      </w:r>
      <w:r w:rsidRPr="0044153E">
        <w:rPr>
          <w:rFonts w:asciiTheme="majorHAnsi" w:eastAsia="Times New Roman" w:hAnsiTheme="majorHAnsi" w:cstheme="majorHAnsi"/>
          <w:sz w:val="24"/>
          <w:szCs w:val="24"/>
          <w:lang w:val="ru-MD"/>
        </w:rPr>
        <w:t>ному толкованию декларантом/экономическим агентом и влияет на правильность декларирования импортируемых товаров.</w:t>
      </w:r>
      <w:r w:rsidR="008A28A2" w:rsidRPr="0044153E">
        <w:rPr>
          <w:rFonts w:asciiTheme="majorHAnsi" w:hAnsiTheme="majorHAnsi" w:cstheme="majorHAnsi"/>
          <w:sz w:val="24"/>
          <w:szCs w:val="24"/>
          <w:lang w:val="ru-MD"/>
        </w:rPr>
        <w:t xml:space="preserve"> </w:t>
      </w:r>
    </w:p>
    <w:p w14:paraId="4BB07BA8" w14:textId="41F375D4" w:rsidR="00A4571E" w:rsidRPr="00ED766B" w:rsidRDefault="00ED766B" w:rsidP="005E35F6">
      <w:pPr>
        <w:pStyle w:val="NormalWeb"/>
        <w:shd w:val="clear" w:color="auto" w:fill="FFFFFF"/>
        <w:spacing w:line="276" w:lineRule="auto"/>
        <w:ind w:firstLine="0"/>
        <w:rPr>
          <w:rFonts w:asciiTheme="majorHAnsi" w:eastAsia="Times New Roman" w:hAnsiTheme="majorHAnsi" w:cstheme="majorHAnsi"/>
          <w:lang w:val="ro-RO"/>
        </w:rPr>
      </w:pPr>
      <w:r w:rsidRPr="00ED766B">
        <w:rPr>
          <w:rFonts w:asciiTheme="majorHAnsi" w:hAnsiTheme="majorHAnsi" w:cstheme="majorHAnsi"/>
          <w:lang w:val="ru-MD"/>
        </w:rPr>
        <w:t>В соответствии с Положением, утвержденным Постановлением Правительства №</w:t>
      </w:r>
      <w:r w:rsidR="00A4571E" w:rsidRPr="00ED766B">
        <w:rPr>
          <w:rFonts w:asciiTheme="majorHAnsi" w:eastAsia="Times New Roman" w:hAnsiTheme="majorHAnsi" w:cstheme="majorHAnsi"/>
          <w:lang w:val="ru-MD"/>
        </w:rPr>
        <w:t xml:space="preserve">974 </w:t>
      </w:r>
      <w:r w:rsidRPr="00ED766B">
        <w:rPr>
          <w:rFonts w:asciiTheme="majorHAnsi" w:eastAsia="Times New Roman" w:hAnsiTheme="majorHAnsi" w:cstheme="majorHAnsi"/>
          <w:lang w:val="ru-MD"/>
        </w:rPr>
        <w:t>от</w:t>
      </w:r>
      <w:r w:rsidR="00A4571E" w:rsidRPr="00ED766B">
        <w:rPr>
          <w:rFonts w:asciiTheme="majorHAnsi" w:eastAsia="Times New Roman" w:hAnsiTheme="majorHAnsi" w:cstheme="majorHAnsi"/>
          <w:lang w:val="ru-MD"/>
        </w:rPr>
        <w:t xml:space="preserve"> 15.08.2016</w:t>
      </w:r>
      <w:r w:rsidR="00A4571E" w:rsidRPr="00ED766B">
        <w:rPr>
          <w:rStyle w:val="FootnoteReference"/>
          <w:rFonts w:asciiTheme="majorHAnsi" w:hAnsiTheme="majorHAnsi" w:cstheme="majorHAnsi"/>
          <w:lang w:val="ru-MD"/>
        </w:rPr>
        <w:footnoteReference w:id="89"/>
      </w:r>
      <w:r w:rsidR="00A4571E" w:rsidRPr="00ED766B">
        <w:rPr>
          <w:rFonts w:asciiTheme="majorHAnsi" w:hAnsiTheme="majorHAnsi" w:cstheme="majorHAnsi"/>
          <w:color w:val="333333"/>
          <w:shd w:val="clear" w:color="auto" w:fill="FFFFFF"/>
          <w:lang w:val="ru-MD"/>
        </w:rPr>
        <w:t xml:space="preserve">, </w:t>
      </w:r>
      <w:r w:rsidR="002A30EC" w:rsidRPr="00ED766B">
        <w:rPr>
          <w:rFonts w:asciiTheme="majorHAnsi" w:hAnsiTheme="majorHAnsi" w:cstheme="majorHAnsi"/>
          <w:color w:val="333333"/>
          <w:shd w:val="clear" w:color="auto" w:fill="FFFFFF"/>
          <w:lang w:val="ru-MD"/>
        </w:rPr>
        <w:t>таможенной стоимостью импортируемых товаров является стоимость сделки, соответственно, фактически уплаченная или подлежащая уплате цена на товары при их продаже на экспорт в Республику Молдова</w:t>
      </w:r>
      <w:r w:rsidR="00A4571E" w:rsidRPr="00ED766B">
        <w:rPr>
          <w:rFonts w:asciiTheme="majorHAnsi" w:hAnsiTheme="majorHAnsi" w:cstheme="majorHAnsi"/>
          <w:color w:val="333333"/>
          <w:shd w:val="clear" w:color="auto" w:fill="FFFFFF"/>
          <w:lang w:val="ru-MD"/>
        </w:rPr>
        <w:t>.</w:t>
      </w:r>
      <w:r w:rsidR="00A4571E" w:rsidRPr="00B20FBD">
        <w:rPr>
          <w:rFonts w:asciiTheme="majorHAnsi" w:hAnsiTheme="majorHAnsi" w:cstheme="majorHAnsi"/>
          <w:color w:val="333333"/>
          <w:shd w:val="clear" w:color="auto" w:fill="FFFFFF"/>
          <w:lang w:val="ro-RO"/>
        </w:rPr>
        <w:t xml:space="preserve"> </w:t>
      </w:r>
      <w:r>
        <w:rPr>
          <w:rFonts w:asciiTheme="majorHAnsi" w:hAnsiTheme="majorHAnsi" w:cstheme="majorHAnsi"/>
          <w:color w:val="333333"/>
          <w:shd w:val="clear" w:color="auto" w:fill="FFFFFF"/>
          <w:lang w:val="ru-RU"/>
        </w:rPr>
        <w:t>Одновременно</w:t>
      </w:r>
      <w:r w:rsidR="00A4571E" w:rsidRPr="00B20FBD">
        <w:rPr>
          <w:rFonts w:asciiTheme="majorHAnsi" w:hAnsiTheme="majorHAnsi" w:cstheme="majorHAnsi"/>
          <w:color w:val="333333"/>
          <w:shd w:val="clear" w:color="auto" w:fill="FFFFFF"/>
          <w:lang w:val="ro-RO"/>
        </w:rPr>
        <w:t xml:space="preserve">, </w:t>
      </w:r>
      <w:r>
        <w:rPr>
          <w:rFonts w:asciiTheme="majorHAnsi" w:hAnsiTheme="majorHAnsi" w:cstheme="majorHAnsi"/>
          <w:color w:val="333333"/>
          <w:shd w:val="clear" w:color="auto" w:fill="FFFFFF"/>
          <w:lang w:val="ru-RU"/>
        </w:rPr>
        <w:t>в</w:t>
      </w:r>
      <w:r w:rsidR="002A30EC" w:rsidRPr="002A30EC">
        <w:rPr>
          <w:rFonts w:asciiTheme="majorHAnsi" w:hAnsiTheme="majorHAnsi" w:cstheme="majorHAnsi"/>
          <w:color w:val="333333"/>
          <w:shd w:val="clear" w:color="auto" w:fill="FFFFFF"/>
          <w:lang w:val="ru-RU"/>
        </w:rPr>
        <w:t xml:space="preserve"> случае последующих продаж до оценки</w:t>
      </w:r>
      <w:r>
        <w:rPr>
          <w:rFonts w:asciiTheme="majorHAnsi" w:hAnsiTheme="majorHAnsi" w:cstheme="majorHAnsi"/>
          <w:color w:val="333333"/>
          <w:shd w:val="clear" w:color="auto" w:fill="FFFFFF"/>
          <w:lang w:val="ru-RU"/>
        </w:rPr>
        <w:t>,</w:t>
      </w:r>
      <w:r w:rsidR="002A30EC" w:rsidRPr="002A30EC">
        <w:rPr>
          <w:rFonts w:asciiTheme="majorHAnsi" w:hAnsiTheme="majorHAnsi" w:cstheme="majorHAnsi"/>
          <w:color w:val="333333"/>
          <w:shd w:val="clear" w:color="auto" w:fill="FFFFFF"/>
          <w:lang w:val="ru-RU"/>
        </w:rPr>
        <w:t xml:space="preserve"> только последняя продажа, которая привела к ввозу товаров на таможенную территорию Республики Молдова, или продажа, которая происходит на таможенной территории Республики Молдова до выпуска товаров в свободное обращение, является признаком таможенной стоимости</w:t>
      </w:r>
      <w:r w:rsidR="00A4571E" w:rsidRPr="00B20FBD">
        <w:rPr>
          <w:rFonts w:asciiTheme="majorHAnsi" w:hAnsiTheme="majorHAnsi" w:cstheme="majorHAnsi"/>
          <w:color w:val="333333"/>
          <w:shd w:val="clear" w:color="auto" w:fill="FFFFFF"/>
          <w:lang w:val="ro-RO"/>
        </w:rPr>
        <w:t xml:space="preserve">. </w:t>
      </w:r>
      <w:r w:rsidRPr="00ED766B">
        <w:rPr>
          <w:rFonts w:asciiTheme="majorHAnsi" w:hAnsiTheme="majorHAnsi" w:cstheme="majorHAnsi"/>
          <w:color w:val="333333"/>
          <w:shd w:val="clear" w:color="auto" w:fill="FFFFFF"/>
          <w:lang w:val="ru-MD"/>
        </w:rPr>
        <w:t>Необходимо</w:t>
      </w:r>
      <w:r w:rsidR="002A30EC" w:rsidRPr="00ED766B">
        <w:rPr>
          <w:rFonts w:asciiTheme="majorHAnsi" w:hAnsiTheme="majorHAnsi" w:cstheme="majorHAnsi"/>
          <w:color w:val="333333"/>
          <w:shd w:val="clear" w:color="auto" w:fill="FFFFFF"/>
          <w:lang w:val="ru-MD"/>
        </w:rPr>
        <w:t xml:space="preserve"> отметить, что пункт о последовательных продажах на таможенной территории Республики Молдова перед в</w:t>
      </w:r>
      <w:r>
        <w:rPr>
          <w:rFonts w:asciiTheme="majorHAnsi" w:hAnsiTheme="majorHAnsi" w:cstheme="majorHAnsi"/>
          <w:color w:val="333333"/>
          <w:shd w:val="clear" w:color="auto" w:fill="FFFFFF"/>
          <w:lang w:val="ru-MD"/>
        </w:rPr>
        <w:t>ыпуск</w:t>
      </w:r>
      <w:r w:rsidRPr="00ED766B">
        <w:rPr>
          <w:rFonts w:asciiTheme="majorHAnsi" w:hAnsiTheme="majorHAnsi" w:cstheme="majorHAnsi"/>
          <w:color w:val="333333"/>
          <w:shd w:val="clear" w:color="auto" w:fill="FFFFFF"/>
          <w:lang w:val="ru-MD"/>
        </w:rPr>
        <w:t>ом</w:t>
      </w:r>
      <w:r w:rsidR="002A30EC" w:rsidRPr="00ED766B">
        <w:rPr>
          <w:rFonts w:asciiTheme="majorHAnsi" w:hAnsiTheme="majorHAnsi" w:cstheme="majorHAnsi"/>
          <w:color w:val="333333"/>
          <w:shd w:val="clear" w:color="auto" w:fill="FFFFFF"/>
          <w:lang w:val="ru-MD"/>
        </w:rPr>
        <w:t xml:space="preserve"> товаров в свободное </w:t>
      </w:r>
      <w:r w:rsidRPr="00ED766B">
        <w:rPr>
          <w:rFonts w:asciiTheme="majorHAnsi" w:hAnsiTheme="majorHAnsi" w:cstheme="majorHAnsi"/>
          <w:color w:val="333333"/>
          <w:shd w:val="clear" w:color="auto" w:fill="FFFFFF"/>
          <w:lang w:val="ru-MD"/>
        </w:rPr>
        <w:t>обращ</w:t>
      </w:r>
      <w:r w:rsidR="002A30EC" w:rsidRPr="00ED766B">
        <w:rPr>
          <w:rFonts w:asciiTheme="majorHAnsi" w:hAnsiTheme="majorHAnsi" w:cstheme="majorHAnsi"/>
          <w:color w:val="333333"/>
          <w:shd w:val="clear" w:color="auto" w:fill="FFFFFF"/>
          <w:lang w:val="ru-MD"/>
        </w:rPr>
        <w:t xml:space="preserve">ение представляет собой продажу в то время как товар находится на временном хранении или помещен </w:t>
      </w:r>
      <w:r w:rsidRPr="00ED766B">
        <w:rPr>
          <w:rFonts w:asciiTheme="majorHAnsi" w:hAnsiTheme="majorHAnsi" w:cstheme="majorHAnsi"/>
          <w:color w:val="333333"/>
          <w:shd w:val="clear" w:color="auto" w:fill="FFFFFF"/>
          <w:lang w:val="ru-MD"/>
        </w:rPr>
        <w:t>под</w:t>
      </w:r>
      <w:r w:rsidR="002A30EC" w:rsidRPr="00ED766B">
        <w:rPr>
          <w:rFonts w:asciiTheme="majorHAnsi" w:hAnsiTheme="majorHAnsi" w:cstheme="majorHAnsi"/>
          <w:color w:val="333333"/>
          <w:shd w:val="clear" w:color="auto" w:fill="FFFFFF"/>
          <w:lang w:val="ru-MD"/>
        </w:rPr>
        <w:t xml:space="preserve"> другой суспензивный таможенный режим, в соответствии с которым допускаются соответствующие продажи</w:t>
      </w:r>
      <w:r w:rsidR="00A4571E" w:rsidRPr="00ED766B">
        <w:rPr>
          <w:rFonts w:asciiTheme="majorHAnsi" w:hAnsiTheme="majorHAnsi" w:cstheme="majorHAnsi"/>
          <w:color w:val="333333"/>
          <w:shd w:val="clear" w:color="auto" w:fill="FFFFFF"/>
          <w:lang w:val="ru-MD"/>
        </w:rPr>
        <w:t xml:space="preserve">. </w:t>
      </w:r>
      <w:r w:rsidR="002A30EC" w:rsidRPr="00ED766B">
        <w:rPr>
          <w:rFonts w:asciiTheme="majorHAnsi" w:hAnsiTheme="majorHAnsi" w:cstheme="majorHAnsi"/>
          <w:shd w:val="clear" w:color="auto" w:fill="FFFFFF"/>
          <w:lang w:val="ru-MD"/>
        </w:rPr>
        <w:t>Вместе с тем, согласно законодательной базе</w:t>
      </w:r>
      <w:r w:rsidR="002A30EC" w:rsidRPr="00ED766B">
        <w:rPr>
          <w:rFonts w:asciiTheme="majorHAnsi" w:hAnsiTheme="majorHAnsi" w:cstheme="majorHAnsi"/>
          <w:vertAlign w:val="superscript"/>
          <w:lang w:val="ru-MD"/>
        </w:rPr>
        <w:footnoteReference w:id="90"/>
      </w:r>
      <w:r w:rsidR="002A30EC" w:rsidRPr="00ED766B">
        <w:rPr>
          <w:rFonts w:asciiTheme="majorHAnsi" w:hAnsiTheme="majorHAnsi" w:cstheme="majorHAnsi"/>
          <w:shd w:val="clear" w:color="auto" w:fill="FFFFFF"/>
          <w:lang w:val="ru-MD"/>
        </w:rPr>
        <w:t>, экономические агенты- нерезиденты, осуществляющие предпринимательскую деятельность полностью или частично на территории Республики Молдова продолжительностью более 3 месяцев, должны зарегистрировать постоянное представительство и зарегистрироваться в качестве налогооблагаемого субъекта. Но на самом деле</w:t>
      </w:r>
      <w:r w:rsidR="007827A5" w:rsidRPr="00ED766B">
        <w:rPr>
          <w:rFonts w:asciiTheme="majorHAnsi" w:hAnsiTheme="majorHAnsi" w:cstheme="majorHAnsi"/>
          <w:shd w:val="clear" w:color="auto" w:fill="FFFFFF"/>
          <w:lang w:val="ru-MD"/>
        </w:rPr>
        <w:t>,</w:t>
      </w:r>
      <w:r w:rsidR="002A30EC" w:rsidRPr="00ED766B">
        <w:rPr>
          <w:rFonts w:asciiTheme="majorHAnsi" w:hAnsiTheme="majorHAnsi" w:cstheme="majorHAnsi"/>
          <w:shd w:val="clear" w:color="auto" w:fill="FFFFFF"/>
          <w:lang w:val="ru-MD"/>
        </w:rPr>
        <w:t xml:space="preserve"> на таможенной территории разрешены последовательные продажи с участием экономических агентов</w:t>
      </w:r>
      <w:r w:rsidR="007827A5" w:rsidRPr="00ED766B">
        <w:rPr>
          <w:rFonts w:asciiTheme="majorHAnsi" w:hAnsiTheme="majorHAnsi" w:cstheme="majorHAnsi"/>
          <w:shd w:val="clear" w:color="auto" w:fill="FFFFFF"/>
          <w:lang w:val="ru-MD"/>
        </w:rPr>
        <w:t xml:space="preserve">-нерезидентов </w:t>
      </w:r>
      <w:r w:rsidR="002A30EC" w:rsidRPr="00ED766B">
        <w:rPr>
          <w:rFonts w:asciiTheme="majorHAnsi" w:hAnsiTheme="majorHAnsi" w:cstheme="majorHAnsi"/>
          <w:shd w:val="clear" w:color="auto" w:fill="FFFFFF"/>
          <w:lang w:val="ru-MD"/>
        </w:rPr>
        <w:t>(из юрисдикций, которые не внедряют международные стандарты прозрачности), не</w:t>
      </w:r>
      <w:r w:rsidR="007827A5" w:rsidRPr="00ED766B">
        <w:rPr>
          <w:rFonts w:asciiTheme="majorHAnsi" w:hAnsiTheme="majorHAnsi" w:cstheme="majorHAnsi"/>
          <w:shd w:val="clear" w:color="auto" w:fill="FFFFFF"/>
          <w:lang w:val="ru-MD"/>
        </w:rPr>
        <w:t xml:space="preserve"> </w:t>
      </w:r>
      <w:r w:rsidR="002A30EC" w:rsidRPr="00ED766B">
        <w:rPr>
          <w:rFonts w:asciiTheme="majorHAnsi" w:hAnsiTheme="majorHAnsi" w:cstheme="majorHAnsi"/>
          <w:shd w:val="clear" w:color="auto" w:fill="FFFFFF"/>
          <w:lang w:val="ru-MD"/>
        </w:rPr>
        <w:t>зарегистрированных в качестве субъектов налогообложения, что не способствует предотвращению и борьбе с отмыванием денег</w:t>
      </w:r>
      <w:r w:rsidR="00A4571E" w:rsidRPr="00ED766B">
        <w:rPr>
          <w:rFonts w:asciiTheme="majorHAnsi" w:eastAsia="Times New Roman" w:hAnsiTheme="majorHAnsi" w:cstheme="majorHAnsi"/>
          <w:lang w:val="ro-RO"/>
        </w:rPr>
        <w:t>.</w:t>
      </w:r>
    </w:p>
    <w:p w14:paraId="4C84C84D" w14:textId="51ED350C" w:rsidR="00A4571E" w:rsidRPr="00B20FBD" w:rsidRDefault="00A4571E" w:rsidP="008A28A2">
      <w:pPr>
        <w:pStyle w:val="Default"/>
        <w:spacing w:after="120" w:line="276" w:lineRule="auto"/>
        <w:jc w:val="both"/>
        <w:rPr>
          <w:rFonts w:asciiTheme="majorHAnsi" w:hAnsiTheme="majorHAnsi" w:cstheme="majorHAnsi"/>
          <w:lang w:val="ro-RO"/>
        </w:rPr>
      </w:pPr>
    </w:p>
    <w:p w14:paraId="1D051DDF" w14:textId="7358806C" w:rsidR="001A7F67" w:rsidRPr="000D0DB3" w:rsidRDefault="00FC0C3F" w:rsidP="00522974">
      <w:pPr>
        <w:pStyle w:val="ListParagraph"/>
        <w:numPr>
          <w:ilvl w:val="1"/>
          <w:numId w:val="3"/>
        </w:numPr>
        <w:tabs>
          <w:tab w:val="left" w:pos="851"/>
          <w:tab w:val="left" w:pos="993"/>
        </w:tabs>
        <w:ind w:left="0" w:right="-278" w:firstLine="567"/>
        <w:jc w:val="both"/>
        <w:outlineLvl w:val="1"/>
        <w:rPr>
          <w:rFonts w:asciiTheme="majorHAnsi" w:eastAsia="Times New Roman" w:hAnsiTheme="majorHAnsi" w:cstheme="majorHAnsi"/>
          <w:b/>
          <w:sz w:val="24"/>
          <w:szCs w:val="24"/>
          <w:lang w:val="ru-MD"/>
        </w:rPr>
      </w:pPr>
      <w:bookmarkStart w:id="59" w:name="_Toc127129413"/>
      <w:r w:rsidRPr="000D0DB3">
        <w:rPr>
          <w:rFonts w:asciiTheme="majorHAnsi" w:hAnsiTheme="majorHAnsi" w:cstheme="majorHAnsi"/>
          <w:b/>
          <w:i/>
          <w:sz w:val="24"/>
          <w:szCs w:val="24"/>
          <w:lang w:val="ru-MD"/>
        </w:rPr>
        <w:t>Конкретная задача №</w:t>
      </w:r>
      <w:r w:rsidR="006A0AE9" w:rsidRPr="000D0DB3">
        <w:rPr>
          <w:rFonts w:asciiTheme="majorHAnsi" w:hAnsiTheme="majorHAnsi" w:cstheme="majorHAnsi"/>
          <w:b/>
          <w:i/>
          <w:sz w:val="24"/>
          <w:szCs w:val="24"/>
          <w:lang w:val="ru-MD"/>
        </w:rPr>
        <w:t xml:space="preserve">4. </w:t>
      </w:r>
      <w:r w:rsidRPr="000D0DB3">
        <w:rPr>
          <w:rFonts w:asciiTheme="majorHAnsi" w:hAnsiTheme="majorHAnsi" w:cstheme="majorHAnsi"/>
          <w:b/>
          <w:sz w:val="24"/>
          <w:szCs w:val="24"/>
          <w:lang w:val="ru-MD"/>
        </w:rPr>
        <w:t xml:space="preserve">Соблюдалась ли нормативная база при помещении товаров под </w:t>
      </w:r>
      <w:r w:rsidR="000D0DB3" w:rsidRPr="000D0DB3">
        <w:rPr>
          <w:rFonts w:asciiTheme="majorHAnsi" w:hAnsiTheme="majorHAnsi" w:cstheme="majorHAnsi"/>
          <w:b/>
          <w:sz w:val="24"/>
          <w:szCs w:val="24"/>
          <w:lang w:val="ru-MD"/>
        </w:rPr>
        <w:t>суспензив</w:t>
      </w:r>
      <w:r w:rsidRPr="000D0DB3">
        <w:rPr>
          <w:rFonts w:asciiTheme="majorHAnsi" w:hAnsiTheme="majorHAnsi" w:cstheme="majorHAnsi"/>
          <w:b/>
          <w:sz w:val="24"/>
          <w:szCs w:val="24"/>
          <w:lang w:val="ru-MD"/>
        </w:rPr>
        <w:t xml:space="preserve">ные таможенные режимы, авторизованные таможенным органом, следствием которых является полное или частичное освобождение от уплаты </w:t>
      </w:r>
      <w:r w:rsidR="0004515B" w:rsidRPr="000D0DB3">
        <w:rPr>
          <w:rFonts w:asciiTheme="majorHAnsi" w:hAnsiTheme="majorHAnsi" w:cstheme="majorHAnsi"/>
          <w:b/>
          <w:sz w:val="24"/>
          <w:szCs w:val="24"/>
          <w:lang w:val="ru-MD"/>
        </w:rPr>
        <w:t>ввоз</w:t>
      </w:r>
      <w:r w:rsidRPr="000D0DB3">
        <w:rPr>
          <w:rFonts w:asciiTheme="majorHAnsi" w:hAnsiTheme="majorHAnsi" w:cstheme="majorHAnsi"/>
          <w:b/>
          <w:sz w:val="24"/>
          <w:szCs w:val="24"/>
          <w:lang w:val="ru-MD"/>
        </w:rPr>
        <w:t>ных</w:t>
      </w:r>
      <w:r w:rsidR="006A0AE9" w:rsidRPr="000D0DB3">
        <w:rPr>
          <w:rFonts w:asciiTheme="majorHAnsi" w:eastAsia="Times New Roman" w:hAnsiTheme="majorHAnsi" w:cstheme="majorHAnsi"/>
          <w:b/>
          <w:sz w:val="24"/>
          <w:szCs w:val="24"/>
          <w:lang w:val="ru-MD"/>
        </w:rPr>
        <w:t>?</w:t>
      </w:r>
      <w:bookmarkEnd w:id="59"/>
      <w:r w:rsidR="006A0AE9" w:rsidRPr="000D0DB3">
        <w:rPr>
          <w:rFonts w:asciiTheme="majorHAnsi" w:eastAsia="Times New Roman" w:hAnsiTheme="majorHAnsi" w:cstheme="majorHAnsi"/>
          <w:b/>
          <w:sz w:val="24"/>
          <w:szCs w:val="24"/>
          <w:lang w:val="ru-MD"/>
        </w:rPr>
        <w:t xml:space="preserve"> </w:t>
      </w:r>
    </w:p>
    <w:p w14:paraId="7413EE89" w14:textId="77777777" w:rsidR="00E90615" w:rsidRPr="00B20FBD" w:rsidRDefault="00E90615" w:rsidP="00E90615">
      <w:pPr>
        <w:pStyle w:val="ListParagraph"/>
        <w:tabs>
          <w:tab w:val="left" w:pos="851"/>
          <w:tab w:val="left" w:pos="993"/>
        </w:tabs>
        <w:ind w:left="567" w:right="-278"/>
        <w:jc w:val="both"/>
        <w:outlineLvl w:val="1"/>
        <w:rPr>
          <w:rFonts w:asciiTheme="majorHAnsi" w:eastAsia="Times New Roman" w:hAnsiTheme="majorHAnsi" w:cstheme="majorHAnsi"/>
          <w:b/>
          <w:sz w:val="24"/>
          <w:szCs w:val="24"/>
        </w:rPr>
      </w:pPr>
    </w:p>
    <w:p w14:paraId="08FD12D7" w14:textId="32C52855" w:rsidR="001A7F67" w:rsidRPr="00FE4427" w:rsidRDefault="00522974" w:rsidP="00E90615">
      <w:pPr>
        <w:tabs>
          <w:tab w:val="left" w:pos="1134"/>
        </w:tabs>
        <w:spacing w:after="120"/>
        <w:jc w:val="both"/>
        <w:rPr>
          <w:rFonts w:asciiTheme="majorHAnsi" w:eastAsia="Times New Roman" w:hAnsiTheme="majorHAnsi" w:cstheme="majorHAnsi"/>
          <w:i/>
          <w:sz w:val="24"/>
          <w:szCs w:val="24"/>
          <w:lang w:val="ru-MD" w:eastAsia="ro-RO"/>
        </w:rPr>
      </w:pPr>
      <w:r w:rsidRPr="00FE4427">
        <w:rPr>
          <w:rFonts w:asciiTheme="majorHAnsi" w:eastAsia="Times New Roman" w:hAnsiTheme="majorHAnsi" w:cstheme="majorHAnsi"/>
          <w:b/>
          <w:sz w:val="24"/>
          <w:szCs w:val="24"/>
          <w:lang w:val="ru-MD" w:eastAsia="ro-RO"/>
        </w:rPr>
        <w:t xml:space="preserve"> </w:t>
      </w:r>
      <w:r w:rsidR="00FE4427" w:rsidRPr="00FE4427">
        <w:rPr>
          <w:rFonts w:asciiTheme="majorHAnsi" w:eastAsia="Times New Roman" w:hAnsiTheme="majorHAnsi" w:cstheme="majorHAnsi"/>
          <w:i/>
          <w:sz w:val="24"/>
          <w:szCs w:val="24"/>
          <w:lang w:val="ru-MD" w:eastAsia="ro-RO"/>
        </w:rPr>
        <w:t>Деятельность некоторых таможенных складов с помещением товаров под режим свободной экономической зоны и последующим реэкспортом, с полной или частичной неуплатой ввозных пошлин требует жесткого контроля со стороны таможенного органа, а пробелы в действующей законодательной базе должны быть устранены</w:t>
      </w:r>
      <w:r w:rsidR="00802DD0" w:rsidRPr="00FE4427">
        <w:rPr>
          <w:rFonts w:asciiTheme="majorHAnsi" w:hAnsiTheme="majorHAnsi" w:cstheme="majorHAnsi"/>
          <w:i/>
          <w:sz w:val="24"/>
          <w:szCs w:val="24"/>
          <w:lang w:val="ru-MD"/>
        </w:rPr>
        <w:t>.</w:t>
      </w:r>
      <w:r w:rsidR="00B975E3" w:rsidRPr="00FE4427">
        <w:rPr>
          <w:rFonts w:asciiTheme="majorHAnsi" w:hAnsiTheme="majorHAnsi" w:cstheme="majorHAnsi"/>
          <w:i/>
          <w:sz w:val="24"/>
          <w:szCs w:val="24"/>
          <w:lang w:val="ru-MD"/>
        </w:rPr>
        <w:t xml:space="preserve"> </w:t>
      </w:r>
    </w:p>
    <w:p w14:paraId="6FC87787" w14:textId="7A1C426F" w:rsidR="0019244F" w:rsidRPr="00B20FBD" w:rsidRDefault="000D0DB3" w:rsidP="0019244F">
      <w:pPr>
        <w:spacing w:after="120"/>
        <w:jc w:val="both"/>
        <w:rPr>
          <w:rFonts w:asciiTheme="majorHAnsi" w:eastAsia="Times New Roman" w:hAnsiTheme="majorHAnsi" w:cstheme="majorHAnsi"/>
          <w:sz w:val="24"/>
          <w:szCs w:val="24"/>
          <w:lang w:val="ro-RO" w:eastAsia="ro-RO"/>
        </w:rPr>
      </w:pPr>
      <w:r w:rsidRPr="00FE4427">
        <w:rPr>
          <w:rFonts w:asciiTheme="majorHAnsi" w:eastAsia="Times New Roman" w:hAnsiTheme="majorHAnsi" w:cstheme="majorHAnsi"/>
          <w:sz w:val="24"/>
          <w:szCs w:val="24"/>
          <w:lang w:val="ru-MD" w:eastAsia="ro-RO"/>
        </w:rPr>
        <w:t>Согласно ст.50 Таможенного кодекса</w:t>
      </w:r>
      <w:r w:rsidR="00FE4427" w:rsidRPr="00FE4427">
        <w:rPr>
          <w:rStyle w:val="FootnoteReference"/>
          <w:rFonts w:asciiTheme="majorHAnsi" w:eastAsia="Times New Roman" w:hAnsiTheme="majorHAnsi" w:cstheme="majorHAnsi"/>
          <w:sz w:val="24"/>
          <w:szCs w:val="24"/>
          <w:lang w:val="ru-MD" w:eastAsia="ro-RO"/>
        </w:rPr>
        <w:footnoteReference w:id="91"/>
      </w:r>
      <w:r w:rsidRPr="00FE4427">
        <w:rPr>
          <w:rFonts w:asciiTheme="majorHAnsi" w:eastAsia="Times New Roman" w:hAnsiTheme="majorHAnsi" w:cstheme="majorHAnsi"/>
          <w:sz w:val="24"/>
          <w:szCs w:val="24"/>
          <w:lang w:val="ru-MD" w:eastAsia="ro-RO"/>
        </w:rPr>
        <w:t>, таможенный склад – это место, утвержденное таможенным органом и находящееся под его надзором, где могут храниться иностранные товары без уплаты ввозных платежей и без применения мер экономической политики, а также отечественные товары, предназначенные для экспорта</w:t>
      </w:r>
      <w:r w:rsidR="0019244F" w:rsidRPr="00FE4427">
        <w:rPr>
          <w:rFonts w:asciiTheme="majorHAnsi" w:eastAsia="Times New Roman" w:hAnsiTheme="majorHAnsi" w:cstheme="majorHAnsi"/>
          <w:sz w:val="24"/>
          <w:szCs w:val="24"/>
          <w:lang w:val="ru-MD" w:eastAsia="ro-RO"/>
        </w:rPr>
        <w:t>,</w:t>
      </w:r>
      <w:r w:rsidR="0019244F" w:rsidRPr="00B20FBD">
        <w:rPr>
          <w:rFonts w:asciiTheme="majorHAnsi" w:eastAsia="Times New Roman" w:hAnsiTheme="majorHAnsi" w:cstheme="majorHAnsi"/>
          <w:sz w:val="24"/>
          <w:szCs w:val="24"/>
          <w:lang w:val="ro-RO" w:eastAsia="ro-RO"/>
        </w:rPr>
        <w:t xml:space="preserve"> </w:t>
      </w:r>
      <w:r w:rsidR="00FE4427">
        <w:rPr>
          <w:rFonts w:asciiTheme="majorHAnsi" w:eastAsia="Times New Roman" w:hAnsiTheme="majorHAnsi" w:cstheme="majorHAnsi"/>
          <w:sz w:val="24"/>
          <w:szCs w:val="24"/>
          <w:lang w:eastAsia="ro-RO"/>
        </w:rPr>
        <w:t>аудитом установлено следующее</w:t>
      </w:r>
      <w:r w:rsidR="0019244F" w:rsidRPr="00B20FBD">
        <w:rPr>
          <w:rFonts w:asciiTheme="majorHAnsi" w:eastAsia="Times New Roman" w:hAnsiTheme="majorHAnsi" w:cstheme="majorHAnsi"/>
          <w:sz w:val="24"/>
          <w:szCs w:val="24"/>
          <w:lang w:val="ro-RO" w:eastAsia="ro-RO"/>
        </w:rPr>
        <w:t xml:space="preserve">. </w:t>
      </w:r>
    </w:p>
    <w:p w14:paraId="3F354F61" w14:textId="004EB17D" w:rsidR="002F2571" w:rsidRPr="004B5D6F" w:rsidRDefault="000D0DB3" w:rsidP="001C5522">
      <w:pPr>
        <w:spacing w:after="120"/>
        <w:jc w:val="both"/>
        <w:rPr>
          <w:rFonts w:asciiTheme="majorHAnsi" w:eastAsia="Times New Roman" w:hAnsiTheme="majorHAnsi" w:cstheme="majorHAnsi"/>
          <w:i/>
          <w:sz w:val="24"/>
          <w:szCs w:val="24"/>
          <w:lang w:val="ru-MD" w:eastAsia="ro-RO"/>
        </w:rPr>
      </w:pPr>
      <w:r w:rsidRPr="004B5D6F">
        <w:rPr>
          <w:rFonts w:asciiTheme="majorHAnsi" w:eastAsia="Times New Roman" w:hAnsiTheme="majorHAnsi" w:cstheme="majorHAnsi"/>
          <w:bCs/>
          <w:sz w:val="24"/>
          <w:szCs w:val="24"/>
          <w:lang w:val="ru-MD" w:eastAsia="ro-RO"/>
        </w:rPr>
        <w:t xml:space="preserve">Таможенные склады классифицируются следующим образом: таможенный склад открытого типа A, в котором товары находятся под ответственностью владельца </w:t>
      </w:r>
      <w:r w:rsidR="007B2679" w:rsidRPr="004B5D6F">
        <w:rPr>
          <w:rFonts w:asciiTheme="majorHAnsi" w:eastAsia="Times New Roman" w:hAnsiTheme="majorHAnsi" w:cstheme="majorHAnsi"/>
          <w:bCs/>
          <w:sz w:val="24"/>
          <w:szCs w:val="24"/>
          <w:lang w:val="ru-MD" w:eastAsia="ro-RO"/>
        </w:rPr>
        <w:t>таможенного склада</w:t>
      </w:r>
      <w:r w:rsidRPr="004B5D6F">
        <w:rPr>
          <w:rFonts w:asciiTheme="majorHAnsi" w:eastAsia="Times New Roman" w:hAnsiTheme="majorHAnsi" w:cstheme="majorHAnsi"/>
          <w:bCs/>
          <w:sz w:val="24"/>
          <w:szCs w:val="24"/>
          <w:lang w:val="ru-MD" w:eastAsia="ro-RO"/>
        </w:rPr>
        <w:t>; таможенный склад открытого типа B, где складируемые товары находятся под ответственностью каждого депозитария; таможенный склад закрытого типа C, владелец которого является и депозитарием товаров; таможенный склад закрытого типа D, которым распоряжаются таможенные органы</w:t>
      </w:r>
      <w:r w:rsidR="001A7F67" w:rsidRPr="004B5D6F">
        <w:rPr>
          <w:rFonts w:asciiTheme="majorHAnsi" w:eastAsia="Times New Roman" w:hAnsiTheme="majorHAnsi" w:cstheme="majorHAnsi"/>
          <w:sz w:val="24"/>
          <w:szCs w:val="24"/>
          <w:lang w:val="ru-MD" w:eastAsia="ro-RO"/>
        </w:rPr>
        <w:t>.</w:t>
      </w:r>
      <w:r w:rsidR="00A90D89" w:rsidRPr="004B5D6F">
        <w:rPr>
          <w:rFonts w:asciiTheme="majorHAnsi" w:eastAsia="Times New Roman" w:hAnsiTheme="majorHAnsi" w:cstheme="majorHAnsi"/>
          <w:sz w:val="24"/>
          <w:szCs w:val="24"/>
          <w:lang w:val="ru-MD" w:eastAsia="ro-RO"/>
        </w:rPr>
        <w:t xml:space="preserve"> </w:t>
      </w:r>
      <w:r w:rsidR="004B5D6F" w:rsidRPr="004B5D6F">
        <w:rPr>
          <w:rFonts w:asciiTheme="majorHAnsi" w:eastAsia="Times New Roman" w:hAnsiTheme="majorHAnsi" w:cstheme="majorHAnsi"/>
          <w:sz w:val="24"/>
          <w:szCs w:val="24"/>
          <w:lang w:val="ru-MD" w:eastAsia="ro-RO"/>
        </w:rPr>
        <w:t xml:space="preserve">В 2021 году работало 48 таможенных складов, в том числе типа А – 8 </w:t>
      </w:r>
      <w:r w:rsidR="004B5D6F" w:rsidRPr="004B5D6F">
        <w:rPr>
          <w:rFonts w:asciiTheme="majorHAnsi" w:eastAsia="Times New Roman" w:hAnsiTheme="majorHAnsi" w:cstheme="majorHAnsi"/>
          <w:bCs/>
          <w:sz w:val="24"/>
          <w:szCs w:val="24"/>
          <w:lang w:val="ru-MD" w:eastAsia="ro-RO"/>
        </w:rPr>
        <w:t>таможенных складов</w:t>
      </w:r>
      <w:r w:rsidR="004B5D6F" w:rsidRPr="004B5D6F">
        <w:rPr>
          <w:rFonts w:asciiTheme="majorHAnsi" w:eastAsia="Times New Roman" w:hAnsiTheme="majorHAnsi" w:cstheme="majorHAnsi"/>
          <w:sz w:val="24"/>
          <w:szCs w:val="24"/>
          <w:lang w:val="ru-MD" w:eastAsia="ro-RO"/>
        </w:rPr>
        <w:t>; типа В – 29; типа С – 11</w:t>
      </w:r>
      <w:r w:rsidR="001A7F67" w:rsidRPr="004B5D6F">
        <w:rPr>
          <w:rFonts w:asciiTheme="majorHAnsi" w:eastAsia="Times New Roman" w:hAnsiTheme="majorHAnsi" w:cstheme="majorHAnsi"/>
          <w:sz w:val="24"/>
          <w:szCs w:val="24"/>
          <w:lang w:val="ru-MD" w:eastAsia="ro-RO"/>
        </w:rPr>
        <w:t xml:space="preserve">. </w:t>
      </w:r>
      <w:r w:rsidR="004B5D6F" w:rsidRPr="004B5D6F">
        <w:rPr>
          <w:rFonts w:asciiTheme="majorHAnsi" w:eastAsia="Times New Roman" w:hAnsiTheme="majorHAnsi" w:cstheme="majorHAnsi"/>
          <w:sz w:val="24"/>
          <w:szCs w:val="24"/>
          <w:lang w:val="ru-MD" w:eastAsia="ro-RO"/>
        </w:rPr>
        <w:t xml:space="preserve">Количество и виды таможенных складов, которые были разрешены Таможенной службой в 2021 году, представлены на </w:t>
      </w:r>
      <w:r w:rsidR="00146A62" w:rsidRPr="004B5D6F">
        <w:rPr>
          <w:rFonts w:asciiTheme="majorHAnsi" w:eastAsia="Times New Roman" w:hAnsiTheme="majorHAnsi" w:cstheme="majorHAnsi"/>
          <w:i/>
          <w:sz w:val="24"/>
          <w:szCs w:val="24"/>
          <w:lang w:val="ru-MD" w:eastAsia="ro-RO"/>
        </w:rPr>
        <w:t>Диаграмм</w:t>
      </w:r>
      <w:r w:rsidR="004B5D6F" w:rsidRPr="004B5D6F">
        <w:rPr>
          <w:rFonts w:asciiTheme="majorHAnsi" w:eastAsia="Times New Roman" w:hAnsiTheme="majorHAnsi" w:cstheme="majorHAnsi"/>
          <w:i/>
          <w:sz w:val="24"/>
          <w:szCs w:val="24"/>
          <w:lang w:val="ru-MD" w:eastAsia="ro-RO"/>
        </w:rPr>
        <w:t>е</w:t>
      </w:r>
      <w:r w:rsidR="00146A62" w:rsidRPr="004B5D6F">
        <w:rPr>
          <w:rFonts w:asciiTheme="majorHAnsi" w:eastAsia="Times New Roman" w:hAnsiTheme="majorHAnsi" w:cstheme="majorHAnsi"/>
          <w:i/>
          <w:sz w:val="24"/>
          <w:szCs w:val="24"/>
          <w:lang w:val="ru-MD" w:eastAsia="ro-RO"/>
        </w:rPr>
        <w:t xml:space="preserve"> №</w:t>
      </w:r>
      <w:r w:rsidR="006A235E" w:rsidRPr="004B5D6F">
        <w:rPr>
          <w:rFonts w:asciiTheme="majorHAnsi" w:eastAsia="Times New Roman" w:hAnsiTheme="majorHAnsi" w:cstheme="majorHAnsi"/>
          <w:i/>
          <w:sz w:val="24"/>
          <w:szCs w:val="24"/>
          <w:lang w:val="ru-MD" w:eastAsia="ro-RO"/>
        </w:rPr>
        <w:t>7</w:t>
      </w:r>
      <w:r w:rsidR="00AE6100" w:rsidRPr="004B5D6F">
        <w:rPr>
          <w:rFonts w:asciiTheme="majorHAnsi" w:eastAsia="Times New Roman" w:hAnsiTheme="majorHAnsi" w:cstheme="majorHAnsi"/>
          <w:i/>
          <w:sz w:val="24"/>
          <w:szCs w:val="24"/>
          <w:lang w:val="ru-MD" w:eastAsia="ro-RO"/>
        </w:rPr>
        <w:t xml:space="preserve">.                                                                                                 </w:t>
      </w:r>
      <w:r w:rsidR="00F550CA" w:rsidRPr="004B5D6F">
        <w:rPr>
          <w:rFonts w:asciiTheme="majorHAnsi" w:eastAsia="Times New Roman" w:hAnsiTheme="majorHAnsi" w:cstheme="majorHAnsi"/>
          <w:i/>
          <w:sz w:val="24"/>
          <w:szCs w:val="24"/>
          <w:lang w:val="ru-MD" w:eastAsia="ro-RO"/>
        </w:rPr>
        <w:t xml:space="preserve">                                        </w:t>
      </w:r>
    </w:p>
    <w:p w14:paraId="6F59A104" w14:textId="25E36283" w:rsidR="00AE6100" w:rsidRPr="004B5D6F" w:rsidRDefault="002F2571" w:rsidP="00AE6100">
      <w:pPr>
        <w:spacing w:after="0"/>
        <w:jc w:val="center"/>
        <w:rPr>
          <w:rFonts w:asciiTheme="majorHAnsi" w:eastAsia="Times New Roman" w:hAnsiTheme="majorHAnsi" w:cstheme="majorHAnsi"/>
          <w:sz w:val="20"/>
          <w:szCs w:val="20"/>
          <w:lang w:val="ru-MD" w:eastAsia="ro-RO"/>
        </w:rPr>
      </w:pPr>
      <w:r w:rsidRPr="004B5D6F">
        <w:rPr>
          <w:rFonts w:asciiTheme="majorHAnsi" w:eastAsia="Times New Roman" w:hAnsiTheme="majorHAnsi" w:cstheme="majorHAnsi"/>
          <w:i/>
          <w:sz w:val="24"/>
          <w:szCs w:val="24"/>
          <w:lang w:val="ru-MD" w:eastAsia="ro-RO"/>
        </w:rPr>
        <w:t xml:space="preserve">                               </w:t>
      </w:r>
      <w:r w:rsidR="00217E2E" w:rsidRPr="004B5D6F">
        <w:rPr>
          <w:rFonts w:asciiTheme="majorHAnsi" w:eastAsia="Times New Roman" w:hAnsiTheme="majorHAnsi" w:cstheme="majorHAnsi"/>
          <w:i/>
          <w:sz w:val="24"/>
          <w:szCs w:val="24"/>
          <w:lang w:val="ru-MD" w:eastAsia="ro-RO"/>
        </w:rPr>
        <w:t xml:space="preserve">                                                                                 </w:t>
      </w:r>
      <w:r w:rsidR="00146A62" w:rsidRPr="004B5D6F">
        <w:rPr>
          <w:rFonts w:asciiTheme="majorHAnsi" w:eastAsia="Times New Roman" w:hAnsiTheme="majorHAnsi" w:cstheme="majorHAnsi"/>
          <w:i/>
          <w:sz w:val="20"/>
          <w:szCs w:val="20"/>
          <w:lang w:val="ru-MD" w:eastAsia="ro-RO"/>
        </w:rPr>
        <w:t>Диаграмма №</w:t>
      </w:r>
      <w:r w:rsidR="006A235E" w:rsidRPr="004B5D6F">
        <w:rPr>
          <w:rFonts w:asciiTheme="majorHAnsi" w:eastAsia="Times New Roman" w:hAnsiTheme="majorHAnsi" w:cstheme="majorHAnsi"/>
          <w:i/>
          <w:sz w:val="20"/>
          <w:szCs w:val="20"/>
          <w:lang w:val="ru-MD" w:eastAsia="ro-RO"/>
        </w:rPr>
        <w:t>7</w:t>
      </w:r>
    </w:p>
    <w:p w14:paraId="5C8314DB" w14:textId="77777777" w:rsidR="00AE6100" w:rsidRPr="00B20FBD" w:rsidRDefault="00AE6100" w:rsidP="00F464DE">
      <w:pPr>
        <w:tabs>
          <w:tab w:val="left" w:pos="1620"/>
        </w:tabs>
        <w:spacing w:after="0"/>
        <w:jc w:val="center"/>
        <w:rPr>
          <w:rFonts w:asciiTheme="majorHAnsi" w:eastAsia="Times New Roman" w:hAnsiTheme="majorHAnsi" w:cstheme="majorHAnsi"/>
          <w:sz w:val="24"/>
          <w:szCs w:val="24"/>
          <w:lang w:val="ro-RO"/>
        </w:rPr>
      </w:pPr>
      <w:r w:rsidRPr="00B20FBD">
        <w:rPr>
          <w:rFonts w:asciiTheme="majorHAnsi" w:hAnsiTheme="majorHAnsi" w:cstheme="majorHAnsi"/>
          <w:noProof/>
          <w:shd w:val="clear" w:color="auto" w:fill="0000FF"/>
          <w:lang w:val="en-US"/>
        </w:rPr>
        <w:drawing>
          <wp:inline distT="0" distB="0" distL="0" distR="0" wp14:anchorId="39873E6A" wp14:editId="424E69BE">
            <wp:extent cx="5610758" cy="2117090"/>
            <wp:effectExtent l="0" t="0" r="9525" b="1651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BC3FFE2" w14:textId="04C3AF15" w:rsidR="00265879" w:rsidRPr="001D6B93" w:rsidRDefault="00265879" w:rsidP="00265879">
      <w:pPr>
        <w:spacing w:after="0"/>
        <w:jc w:val="both"/>
        <w:rPr>
          <w:rFonts w:asciiTheme="majorHAnsi" w:eastAsia="Times New Roman" w:hAnsiTheme="majorHAnsi" w:cstheme="majorHAnsi"/>
          <w:sz w:val="24"/>
          <w:szCs w:val="24"/>
          <w:lang w:val="ru-MD"/>
        </w:rPr>
      </w:pPr>
      <w:r w:rsidRPr="00B20FBD">
        <w:rPr>
          <w:rFonts w:asciiTheme="majorHAnsi" w:hAnsiTheme="majorHAnsi" w:cstheme="majorHAnsi"/>
          <w:i/>
          <w:sz w:val="20"/>
          <w:szCs w:val="20"/>
          <w:lang w:val="ro-RO"/>
        </w:rPr>
        <w:t xml:space="preserve">                                            </w:t>
      </w:r>
      <w:r w:rsidR="00333A47" w:rsidRPr="001D6B93">
        <w:rPr>
          <w:rFonts w:asciiTheme="majorHAnsi" w:hAnsiTheme="majorHAnsi" w:cstheme="majorHAnsi"/>
          <w:b/>
          <w:i/>
          <w:sz w:val="20"/>
          <w:szCs w:val="20"/>
          <w:lang w:val="ru-MD"/>
        </w:rPr>
        <w:t>Источник</w:t>
      </w:r>
      <w:r w:rsidRPr="001D6B93">
        <w:rPr>
          <w:rFonts w:asciiTheme="majorHAnsi" w:hAnsiTheme="majorHAnsi" w:cstheme="majorHAnsi"/>
          <w:b/>
          <w:i/>
          <w:sz w:val="20"/>
          <w:szCs w:val="20"/>
          <w:lang w:val="ru-MD"/>
        </w:rPr>
        <w:t>:</w:t>
      </w:r>
      <w:r w:rsidRPr="001D6B93">
        <w:rPr>
          <w:rFonts w:asciiTheme="majorHAnsi" w:hAnsiTheme="majorHAnsi" w:cstheme="majorHAnsi"/>
          <w:i/>
          <w:sz w:val="20"/>
          <w:szCs w:val="20"/>
          <w:lang w:val="ru-MD"/>
        </w:rPr>
        <w:t xml:space="preserve"> </w:t>
      </w:r>
      <w:r w:rsidR="001D6B93" w:rsidRPr="001D6B93">
        <w:rPr>
          <w:rFonts w:asciiTheme="majorHAnsi" w:hAnsiTheme="majorHAnsi" w:cstheme="majorHAnsi"/>
          <w:i/>
          <w:sz w:val="20"/>
          <w:szCs w:val="20"/>
          <w:lang w:val="ru-MD"/>
        </w:rPr>
        <w:t>Обобщенные данные из Отчета Таможенной службы за 2021 год</w:t>
      </w:r>
      <w:r w:rsidRPr="001D6B93">
        <w:rPr>
          <w:rFonts w:asciiTheme="majorHAnsi" w:hAnsiTheme="majorHAnsi" w:cstheme="majorHAnsi"/>
          <w:i/>
          <w:sz w:val="24"/>
          <w:szCs w:val="24"/>
          <w:lang w:val="ru-MD"/>
        </w:rPr>
        <w:t>.</w:t>
      </w:r>
    </w:p>
    <w:p w14:paraId="193C5147" w14:textId="77777777" w:rsidR="00AE6100" w:rsidRPr="00B20FBD" w:rsidRDefault="00AE6100" w:rsidP="00873BBB">
      <w:pPr>
        <w:spacing w:after="0"/>
        <w:jc w:val="both"/>
        <w:rPr>
          <w:rFonts w:asciiTheme="majorHAnsi" w:eastAsia="Times New Roman" w:hAnsiTheme="majorHAnsi" w:cstheme="majorHAnsi"/>
          <w:sz w:val="24"/>
          <w:szCs w:val="24"/>
          <w:lang w:val="ro-RO"/>
        </w:rPr>
      </w:pPr>
    </w:p>
    <w:p w14:paraId="3A06D1E8" w14:textId="727DEBB2" w:rsidR="00E86933" w:rsidRPr="00B20FBD" w:rsidRDefault="005436CD" w:rsidP="00D418F4">
      <w:pPr>
        <w:spacing w:after="120"/>
        <w:jc w:val="both"/>
        <w:rPr>
          <w:rFonts w:asciiTheme="majorHAnsi" w:eastAsia="Times New Roman" w:hAnsiTheme="majorHAnsi" w:cstheme="majorHAnsi"/>
          <w:sz w:val="24"/>
          <w:szCs w:val="24"/>
          <w:lang w:val="ro-RO"/>
        </w:rPr>
      </w:pPr>
      <w:r w:rsidRPr="00F77C7F">
        <w:rPr>
          <w:rFonts w:asciiTheme="majorHAnsi" w:eastAsia="Times New Roman" w:hAnsiTheme="majorHAnsi" w:cstheme="majorHAnsi"/>
          <w:sz w:val="24"/>
          <w:szCs w:val="24"/>
          <w:lang w:val="ru-MD"/>
        </w:rPr>
        <w:t xml:space="preserve">Разрешение на </w:t>
      </w:r>
      <w:r w:rsidR="001D09B9" w:rsidRPr="00F77C7F">
        <w:rPr>
          <w:rFonts w:asciiTheme="majorHAnsi" w:eastAsia="Times New Roman" w:hAnsiTheme="majorHAnsi" w:cstheme="majorHAnsi"/>
          <w:sz w:val="24"/>
          <w:szCs w:val="24"/>
          <w:lang w:val="ru-MD"/>
        </w:rPr>
        <w:t>складирова</w:t>
      </w:r>
      <w:r w:rsidRPr="00F77C7F">
        <w:rPr>
          <w:rFonts w:asciiTheme="majorHAnsi" w:eastAsia="Times New Roman" w:hAnsiTheme="majorHAnsi" w:cstheme="majorHAnsi"/>
          <w:sz w:val="24"/>
          <w:szCs w:val="24"/>
          <w:lang w:val="ru-MD"/>
        </w:rPr>
        <w:t xml:space="preserve">ние может быть отозвано или приостановлено </w:t>
      </w:r>
      <w:r w:rsidR="001D09B9" w:rsidRPr="00F77C7F">
        <w:rPr>
          <w:rFonts w:asciiTheme="majorHAnsi" w:eastAsia="Times New Roman" w:hAnsiTheme="majorHAnsi" w:cstheme="majorHAnsi"/>
          <w:sz w:val="24"/>
          <w:szCs w:val="24"/>
          <w:lang w:val="ru-MD"/>
        </w:rPr>
        <w:t>ТС в случае</w:t>
      </w:r>
      <w:r w:rsidRPr="00F77C7F">
        <w:rPr>
          <w:rFonts w:asciiTheme="majorHAnsi" w:eastAsia="Times New Roman" w:hAnsiTheme="majorHAnsi" w:cstheme="majorHAnsi"/>
          <w:sz w:val="24"/>
          <w:szCs w:val="24"/>
          <w:lang w:val="ru-MD"/>
        </w:rPr>
        <w:t xml:space="preserve">, </w:t>
      </w:r>
      <w:r w:rsidR="001D09B9" w:rsidRPr="00F77C7F">
        <w:rPr>
          <w:rFonts w:asciiTheme="majorHAnsi" w:eastAsia="Times New Roman" w:hAnsiTheme="majorHAnsi" w:cstheme="majorHAnsi"/>
          <w:sz w:val="24"/>
          <w:szCs w:val="24"/>
          <w:lang w:val="ru-MD"/>
        </w:rPr>
        <w:t>если</w:t>
      </w:r>
      <w:r w:rsidRPr="00F77C7F">
        <w:rPr>
          <w:rFonts w:asciiTheme="majorHAnsi" w:eastAsia="Times New Roman" w:hAnsiTheme="majorHAnsi" w:cstheme="majorHAnsi"/>
          <w:sz w:val="24"/>
          <w:szCs w:val="24"/>
          <w:lang w:val="ru-MD"/>
        </w:rPr>
        <w:t xml:space="preserve"> условия, предусмотренные при выдаче разрешения, больше не выполняются. Аудиторские доказательства установили, что в период 2020-2021 гг. некоторые </w:t>
      </w:r>
      <w:r w:rsidR="00F77C7F" w:rsidRPr="00F77C7F">
        <w:rPr>
          <w:rFonts w:asciiTheme="majorHAnsi" w:eastAsia="Times New Roman" w:hAnsiTheme="majorHAnsi" w:cstheme="majorHAnsi"/>
          <w:sz w:val="24"/>
          <w:szCs w:val="24"/>
          <w:lang w:val="ru-MD"/>
        </w:rPr>
        <w:t>обладатели</w:t>
      </w:r>
      <w:r w:rsidRPr="00F77C7F">
        <w:rPr>
          <w:rFonts w:asciiTheme="majorHAnsi" w:eastAsia="Times New Roman" w:hAnsiTheme="majorHAnsi" w:cstheme="majorHAnsi"/>
          <w:sz w:val="24"/>
          <w:szCs w:val="24"/>
          <w:lang w:val="ru-MD"/>
        </w:rPr>
        <w:t xml:space="preserve"> таможенных складов, вопреки законодательным положениям</w:t>
      </w:r>
      <w:r w:rsidR="001D09B9" w:rsidRPr="00F77C7F">
        <w:rPr>
          <w:rStyle w:val="FootnoteReference"/>
          <w:rFonts w:asciiTheme="majorHAnsi" w:eastAsia="Times New Roman" w:hAnsiTheme="majorHAnsi" w:cstheme="majorHAnsi"/>
          <w:sz w:val="24"/>
          <w:szCs w:val="24"/>
          <w:lang w:val="ru-MD" w:eastAsia="ro-RO"/>
        </w:rPr>
        <w:footnoteReference w:id="92"/>
      </w:r>
      <w:r w:rsidRPr="00F77C7F">
        <w:rPr>
          <w:rFonts w:asciiTheme="majorHAnsi" w:eastAsia="Times New Roman" w:hAnsiTheme="majorHAnsi" w:cstheme="majorHAnsi"/>
          <w:sz w:val="24"/>
          <w:szCs w:val="24"/>
          <w:lang w:val="ru-MD"/>
        </w:rPr>
        <w:t xml:space="preserve">, не представили таможенному органу </w:t>
      </w:r>
      <w:r w:rsidR="00F77C7F" w:rsidRPr="00F77C7F">
        <w:rPr>
          <w:rFonts w:asciiTheme="majorHAnsi" w:eastAsia="Times New Roman" w:hAnsiTheme="majorHAnsi" w:cstheme="majorHAnsi"/>
          <w:sz w:val="24"/>
          <w:szCs w:val="24"/>
          <w:lang w:val="ru-MD"/>
        </w:rPr>
        <w:t>отчетность</w:t>
      </w:r>
      <w:r w:rsidRPr="00F77C7F">
        <w:rPr>
          <w:rFonts w:asciiTheme="majorHAnsi" w:eastAsia="Times New Roman" w:hAnsiTheme="majorHAnsi" w:cstheme="majorHAnsi"/>
          <w:sz w:val="24"/>
          <w:szCs w:val="24"/>
          <w:lang w:val="ru-MD"/>
        </w:rPr>
        <w:t xml:space="preserve"> по учету товаров на склад</w:t>
      </w:r>
      <w:r w:rsidR="00F77C7F" w:rsidRPr="00F77C7F">
        <w:rPr>
          <w:rFonts w:asciiTheme="majorHAnsi" w:eastAsia="Times New Roman" w:hAnsiTheme="majorHAnsi" w:cstheme="majorHAnsi"/>
          <w:sz w:val="24"/>
          <w:szCs w:val="24"/>
          <w:lang w:val="ru-MD"/>
        </w:rPr>
        <w:t>е</w:t>
      </w:r>
      <w:r w:rsidRPr="00F77C7F">
        <w:rPr>
          <w:rFonts w:asciiTheme="majorHAnsi" w:eastAsia="Times New Roman" w:hAnsiTheme="majorHAnsi" w:cstheme="majorHAnsi"/>
          <w:sz w:val="24"/>
          <w:szCs w:val="24"/>
          <w:lang w:val="ru-MD"/>
        </w:rPr>
        <w:t xml:space="preserve">, </w:t>
      </w:r>
      <w:r w:rsidR="00F77C7F" w:rsidRPr="00F77C7F">
        <w:rPr>
          <w:rFonts w:asciiTheme="majorHAnsi" w:eastAsia="Times New Roman" w:hAnsiTheme="majorHAnsi" w:cstheme="majorHAnsi"/>
          <w:sz w:val="24"/>
          <w:szCs w:val="24"/>
          <w:lang w:val="ru-MD"/>
        </w:rPr>
        <w:t xml:space="preserve">не обеспечив </w:t>
      </w:r>
      <w:r w:rsidRPr="00F77C7F">
        <w:rPr>
          <w:rFonts w:asciiTheme="majorHAnsi" w:eastAsia="Times New Roman" w:hAnsiTheme="majorHAnsi" w:cstheme="majorHAnsi"/>
          <w:sz w:val="24"/>
          <w:szCs w:val="24"/>
          <w:lang w:val="ru-MD"/>
        </w:rPr>
        <w:t>тем самым услови</w:t>
      </w:r>
      <w:r w:rsidR="00F77C7F" w:rsidRPr="00F77C7F">
        <w:rPr>
          <w:rFonts w:asciiTheme="majorHAnsi" w:eastAsia="Times New Roman" w:hAnsiTheme="majorHAnsi" w:cstheme="majorHAnsi"/>
          <w:sz w:val="24"/>
          <w:szCs w:val="24"/>
          <w:lang w:val="ru-MD"/>
        </w:rPr>
        <w:t>я</w:t>
      </w:r>
      <w:r w:rsidRPr="00F77C7F">
        <w:rPr>
          <w:rFonts w:asciiTheme="majorHAnsi" w:eastAsia="Times New Roman" w:hAnsiTheme="majorHAnsi" w:cstheme="majorHAnsi"/>
          <w:sz w:val="24"/>
          <w:szCs w:val="24"/>
          <w:lang w:val="ru-MD"/>
        </w:rPr>
        <w:t xml:space="preserve"> для проведения таможенного контроля; не обеспечили функциональность системы видеонаблюдения таможенного склада и друг</w:t>
      </w:r>
      <w:r w:rsidR="00F77C7F" w:rsidRPr="00F77C7F">
        <w:rPr>
          <w:rFonts w:asciiTheme="majorHAnsi" w:eastAsia="Times New Roman" w:hAnsiTheme="majorHAnsi" w:cstheme="majorHAnsi"/>
          <w:sz w:val="24"/>
          <w:szCs w:val="24"/>
          <w:lang w:val="ru-MD"/>
        </w:rPr>
        <w:t>ое</w:t>
      </w:r>
      <w:r w:rsidRPr="00F77C7F">
        <w:rPr>
          <w:rFonts w:asciiTheme="majorHAnsi" w:eastAsia="Times New Roman" w:hAnsiTheme="majorHAnsi" w:cstheme="majorHAnsi"/>
          <w:sz w:val="24"/>
          <w:szCs w:val="24"/>
          <w:lang w:val="ru-MD"/>
        </w:rPr>
        <w:t>. Впоследствии</w:t>
      </w:r>
      <w:r w:rsidR="00F77C7F" w:rsidRPr="00F77C7F">
        <w:rPr>
          <w:rFonts w:asciiTheme="majorHAnsi" w:eastAsia="Times New Roman" w:hAnsiTheme="majorHAnsi" w:cstheme="majorHAnsi"/>
          <w:sz w:val="24"/>
          <w:szCs w:val="24"/>
          <w:lang w:val="ru-MD"/>
        </w:rPr>
        <w:t>, ТС</w:t>
      </w:r>
      <w:r w:rsidRPr="00F77C7F">
        <w:rPr>
          <w:rFonts w:asciiTheme="majorHAnsi" w:eastAsia="Times New Roman" w:hAnsiTheme="majorHAnsi" w:cstheme="majorHAnsi"/>
          <w:sz w:val="24"/>
          <w:szCs w:val="24"/>
          <w:lang w:val="ru-MD"/>
        </w:rPr>
        <w:t xml:space="preserve"> отозвала 4 разрешения на складирование</w:t>
      </w:r>
      <w:r w:rsidR="00F77C7F" w:rsidRPr="00F77C7F">
        <w:rPr>
          <w:rStyle w:val="FootnoteReference"/>
          <w:rFonts w:asciiTheme="majorHAnsi" w:eastAsia="Times New Roman" w:hAnsiTheme="majorHAnsi" w:cstheme="majorHAnsi"/>
          <w:bCs/>
          <w:sz w:val="24"/>
          <w:szCs w:val="24"/>
          <w:lang w:val="ru-MD"/>
        </w:rPr>
        <w:footnoteReference w:id="93"/>
      </w:r>
      <w:r w:rsidRPr="00F77C7F">
        <w:rPr>
          <w:rFonts w:asciiTheme="majorHAnsi" w:eastAsia="Times New Roman" w:hAnsiTheme="majorHAnsi" w:cstheme="majorHAnsi"/>
          <w:sz w:val="24"/>
          <w:szCs w:val="24"/>
          <w:lang w:val="ru-MD"/>
        </w:rPr>
        <w:t>, в том числе одно разрешение было отозвано из-за допу</w:t>
      </w:r>
      <w:r w:rsidR="00F77C7F" w:rsidRPr="00F77C7F">
        <w:rPr>
          <w:rFonts w:asciiTheme="majorHAnsi" w:eastAsia="Times New Roman" w:hAnsiTheme="majorHAnsi" w:cstheme="majorHAnsi"/>
          <w:sz w:val="24"/>
          <w:szCs w:val="24"/>
          <w:lang w:val="ru-MD"/>
        </w:rPr>
        <w:t>щенн</w:t>
      </w:r>
      <w:r w:rsidRPr="00F77C7F">
        <w:rPr>
          <w:rFonts w:asciiTheme="majorHAnsi" w:eastAsia="Times New Roman" w:hAnsiTheme="majorHAnsi" w:cstheme="majorHAnsi"/>
          <w:sz w:val="24"/>
          <w:szCs w:val="24"/>
          <w:lang w:val="ru-MD"/>
        </w:rPr>
        <w:t>ых нарушений в использовании гражданского оружия и боеприпасов</w:t>
      </w:r>
      <w:r w:rsidR="00F77C7F" w:rsidRPr="00F77C7F">
        <w:rPr>
          <w:rStyle w:val="FootnoteReference"/>
          <w:rFonts w:asciiTheme="majorHAnsi" w:eastAsia="Times New Roman" w:hAnsiTheme="majorHAnsi" w:cstheme="majorHAnsi"/>
          <w:bCs/>
          <w:sz w:val="24"/>
          <w:szCs w:val="24"/>
          <w:lang w:val="ru-MD"/>
        </w:rPr>
        <w:footnoteReference w:id="94"/>
      </w:r>
      <w:r w:rsidR="00F77C7F" w:rsidRPr="00F77C7F">
        <w:rPr>
          <w:rFonts w:asciiTheme="majorHAnsi" w:eastAsia="Times New Roman" w:hAnsiTheme="majorHAnsi" w:cstheme="majorHAnsi"/>
          <w:bCs/>
          <w:sz w:val="24"/>
          <w:szCs w:val="24"/>
          <w:lang w:val="ru-MD"/>
        </w:rPr>
        <w:t>,</w:t>
      </w:r>
      <w:r w:rsidRPr="00F77C7F">
        <w:rPr>
          <w:rFonts w:asciiTheme="majorHAnsi" w:eastAsia="Times New Roman" w:hAnsiTheme="majorHAnsi" w:cstheme="majorHAnsi"/>
          <w:sz w:val="24"/>
          <w:szCs w:val="24"/>
          <w:lang w:val="ru-MD"/>
        </w:rPr>
        <w:t xml:space="preserve"> а </w:t>
      </w:r>
      <w:r w:rsidR="00F77C7F">
        <w:rPr>
          <w:rFonts w:asciiTheme="majorHAnsi" w:eastAsia="Times New Roman" w:hAnsiTheme="majorHAnsi" w:cstheme="majorHAnsi"/>
          <w:sz w:val="24"/>
          <w:szCs w:val="24"/>
          <w:lang w:val="ru-MD"/>
        </w:rPr>
        <w:t>для</w:t>
      </w:r>
      <w:r w:rsidRPr="00F77C7F">
        <w:rPr>
          <w:rFonts w:asciiTheme="majorHAnsi" w:eastAsia="Times New Roman" w:hAnsiTheme="majorHAnsi" w:cstheme="majorHAnsi"/>
          <w:sz w:val="24"/>
          <w:szCs w:val="24"/>
          <w:lang w:val="ru-MD"/>
        </w:rPr>
        <w:t xml:space="preserve"> 5 экономических операторов</w:t>
      </w:r>
      <w:r w:rsidR="00F77C7F" w:rsidRPr="00F77C7F">
        <w:rPr>
          <w:rStyle w:val="FootnoteReference"/>
          <w:rFonts w:asciiTheme="majorHAnsi" w:eastAsia="Times New Roman" w:hAnsiTheme="majorHAnsi" w:cstheme="majorHAnsi"/>
          <w:bCs/>
          <w:sz w:val="24"/>
          <w:szCs w:val="24"/>
          <w:lang w:val="ru-MD"/>
        </w:rPr>
        <w:footnoteReference w:id="95"/>
      </w:r>
      <w:r w:rsidR="00F77C7F" w:rsidRPr="00F77C7F">
        <w:rPr>
          <w:rFonts w:asciiTheme="majorHAnsi" w:eastAsia="Times New Roman" w:hAnsiTheme="majorHAnsi" w:cstheme="majorHAnsi"/>
          <w:bCs/>
          <w:sz w:val="24"/>
          <w:szCs w:val="24"/>
          <w:lang w:val="ru-MD"/>
        </w:rPr>
        <w:t xml:space="preserve"> </w:t>
      </w:r>
      <w:r w:rsidRPr="00F77C7F">
        <w:rPr>
          <w:rFonts w:asciiTheme="majorHAnsi" w:eastAsia="Times New Roman" w:hAnsiTheme="majorHAnsi" w:cstheme="majorHAnsi"/>
          <w:sz w:val="24"/>
          <w:szCs w:val="24"/>
          <w:lang w:val="ru-MD"/>
        </w:rPr>
        <w:t xml:space="preserve"> разрешения на складирование были приостановлены.</w:t>
      </w:r>
      <w:r>
        <w:rPr>
          <w:rFonts w:asciiTheme="majorHAnsi" w:eastAsia="Times New Roman" w:hAnsiTheme="majorHAnsi" w:cstheme="majorHAnsi"/>
          <w:sz w:val="24"/>
          <w:szCs w:val="24"/>
          <w:lang w:val="ro-RO"/>
        </w:rPr>
        <w:t xml:space="preserve"> </w:t>
      </w:r>
      <w:r w:rsidRPr="00F77C7F">
        <w:rPr>
          <w:rFonts w:asciiTheme="majorHAnsi" w:eastAsia="Times New Roman" w:hAnsiTheme="majorHAnsi" w:cstheme="majorHAnsi"/>
          <w:sz w:val="24"/>
          <w:szCs w:val="24"/>
          <w:lang w:val="ru-MD"/>
        </w:rPr>
        <w:t xml:space="preserve">Следует отметить, что в случае, если </w:t>
      </w:r>
      <w:r w:rsidR="00F77C7F" w:rsidRPr="00F77C7F">
        <w:rPr>
          <w:rFonts w:asciiTheme="majorHAnsi" w:eastAsia="Times New Roman" w:hAnsiTheme="majorHAnsi" w:cstheme="majorHAnsi"/>
          <w:sz w:val="24"/>
          <w:szCs w:val="24"/>
          <w:lang w:val="ru-MD"/>
        </w:rPr>
        <w:t>ТС</w:t>
      </w:r>
      <w:r w:rsidRPr="00F77C7F">
        <w:rPr>
          <w:rFonts w:asciiTheme="majorHAnsi" w:eastAsia="Times New Roman" w:hAnsiTheme="majorHAnsi" w:cstheme="majorHAnsi"/>
          <w:sz w:val="24"/>
          <w:szCs w:val="24"/>
          <w:lang w:val="ru-MD"/>
        </w:rPr>
        <w:t xml:space="preserve"> выявляет нарушения</w:t>
      </w:r>
      <w:r w:rsidR="00F77C7F" w:rsidRPr="00F77C7F">
        <w:rPr>
          <w:rFonts w:asciiTheme="majorHAnsi" w:eastAsia="Times New Roman" w:hAnsiTheme="majorHAnsi" w:cstheme="majorHAnsi"/>
          <w:sz w:val="24"/>
          <w:szCs w:val="24"/>
          <w:lang w:val="ru-MD"/>
        </w:rPr>
        <w:t>, связанные с</w:t>
      </w:r>
      <w:r w:rsidRPr="00F77C7F">
        <w:rPr>
          <w:rFonts w:asciiTheme="majorHAnsi" w:eastAsia="Times New Roman" w:hAnsiTheme="majorHAnsi" w:cstheme="majorHAnsi"/>
          <w:sz w:val="24"/>
          <w:szCs w:val="24"/>
          <w:lang w:val="ru-MD"/>
        </w:rPr>
        <w:t xml:space="preserve"> несоблюдени</w:t>
      </w:r>
      <w:r w:rsidR="00F77C7F" w:rsidRPr="00F77C7F">
        <w:rPr>
          <w:rFonts w:asciiTheme="majorHAnsi" w:eastAsia="Times New Roman" w:hAnsiTheme="majorHAnsi" w:cstheme="majorHAnsi"/>
          <w:sz w:val="24"/>
          <w:szCs w:val="24"/>
          <w:lang w:val="ru-MD"/>
        </w:rPr>
        <w:t>ем</w:t>
      </w:r>
      <w:r w:rsidRPr="00F77C7F">
        <w:rPr>
          <w:rFonts w:asciiTheme="majorHAnsi" w:eastAsia="Times New Roman" w:hAnsiTheme="majorHAnsi" w:cstheme="majorHAnsi"/>
          <w:sz w:val="24"/>
          <w:szCs w:val="24"/>
          <w:lang w:val="ru-MD"/>
        </w:rPr>
        <w:t xml:space="preserve"> условий разрешения на хранение и </w:t>
      </w:r>
      <w:r w:rsidR="00F77C7F" w:rsidRPr="00F77C7F">
        <w:rPr>
          <w:rFonts w:asciiTheme="majorHAnsi" w:eastAsia="Times New Roman" w:hAnsiTheme="majorHAnsi" w:cstheme="majorHAnsi"/>
          <w:sz w:val="24"/>
          <w:szCs w:val="24"/>
          <w:lang w:val="ru-MD"/>
        </w:rPr>
        <w:t>отзыв</w:t>
      </w:r>
      <w:r w:rsidRPr="00F77C7F">
        <w:rPr>
          <w:rFonts w:asciiTheme="majorHAnsi" w:eastAsia="Times New Roman" w:hAnsiTheme="majorHAnsi" w:cstheme="majorHAnsi"/>
          <w:sz w:val="24"/>
          <w:szCs w:val="24"/>
          <w:lang w:val="ru-MD"/>
        </w:rPr>
        <w:t>ает или приостанавливает разрешение некоторы</w:t>
      </w:r>
      <w:r w:rsidR="00F77C7F" w:rsidRPr="00F77C7F">
        <w:rPr>
          <w:rFonts w:asciiTheme="majorHAnsi" w:eastAsia="Times New Roman" w:hAnsiTheme="majorHAnsi" w:cstheme="majorHAnsi"/>
          <w:sz w:val="24"/>
          <w:szCs w:val="24"/>
          <w:lang w:val="ru-MD"/>
        </w:rPr>
        <w:t>м</w:t>
      </w:r>
      <w:r w:rsidRPr="00F77C7F">
        <w:rPr>
          <w:rFonts w:asciiTheme="majorHAnsi" w:eastAsia="Times New Roman" w:hAnsiTheme="majorHAnsi" w:cstheme="majorHAnsi"/>
          <w:sz w:val="24"/>
          <w:szCs w:val="24"/>
          <w:lang w:val="ru-MD"/>
        </w:rPr>
        <w:t xml:space="preserve"> </w:t>
      </w:r>
      <w:r w:rsidR="00F77C7F" w:rsidRPr="00F77C7F">
        <w:rPr>
          <w:rFonts w:asciiTheme="majorHAnsi" w:eastAsia="Times New Roman" w:hAnsiTheme="majorHAnsi" w:cstheme="majorHAnsi"/>
          <w:sz w:val="24"/>
          <w:szCs w:val="24"/>
          <w:lang w:val="ru-MD"/>
        </w:rPr>
        <w:t>обладателям</w:t>
      </w:r>
      <w:r w:rsidRPr="00F77C7F">
        <w:rPr>
          <w:rFonts w:asciiTheme="majorHAnsi" w:eastAsia="Times New Roman" w:hAnsiTheme="majorHAnsi" w:cstheme="majorHAnsi"/>
          <w:sz w:val="24"/>
          <w:szCs w:val="24"/>
          <w:lang w:val="ru-MD"/>
        </w:rPr>
        <w:t xml:space="preserve"> таможенных складов, они </w:t>
      </w:r>
      <w:r w:rsidR="00F77C7F" w:rsidRPr="00F77C7F">
        <w:rPr>
          <w:rFonts w:asciiTheme="majorHAnsi" w:eastAsia="Times New Roman" w:hAnsiTheme="majorHAnsi" w:cstheme="majorHAnsi"/>
          <w:sz w:val="24"/>
          <w:szCs w:val="24"/>
          <w:lang w:val="ru-MD"/>
        </w:rPr>
        <w:t xml:space="preserve">подают суд на </w:t>
      </w:r>
      <w:r w:rsidRPr="00F77C7F">
        <w:rPr>
          <w:rFonts w:asciiTheme="majorHAnsi" w:eastAsia="Times New Roman" w:hAnsiTheme="majorHAnsi" w:cstheme="majorHAnsi"/>
          <w:sz w:val="24"/>
          <w:szCs w:val="24"/>
          <w:lang w:val="ru-MD"/>
        </w:rPr>
        <w:t>таможенны</w:t>
      </w:r>
      <w:r w:rsidR="00F77C7F" w:rsidRPr="00F77C7F">
        <w:rPr>
          <w:rFonts w:asciiTheme="majorHAnsi" w:eastAsia="Times New Roman" w:hAnsiTheme="majorHAnsi" w:cstheme="majorHAnsi"/>
          <w:sz w:val="24"/>
          <w:szCs w:val="24"/>
          <w:lang w:val="ru-MD"/>
        </w:rPr>
        <w:t>й</w:t>
      </w:r>
      <w:r w:rsidRPr="00F77C7F">
        <w:rPr>
          <w:rFonts w:asciiTheme="majorHAnsi" w:eastAsia="Times New Roman" w:hAnsiTheme="majorHAnsi" w:cstheme="majorHAnsi"/>
          <w:sz w:val="24"/>
          <w:szCs w:val="24"/>
          <w:lang w:val="ru-MD"/>
        </w:rPr>
        <w:t xml:space="preserve"> орган, а суд</w:t>
      </w:r>
      <w:r w:rsidR="00F77C7F" w:rsidRPr="00F77C7F">
        <w:rPr>
          <w:rFonts w:asciiTheme="majorHAnsi" w:eastAsia="Times New Roman" w:hAnsiTheme="majorHAnsi" w:cstheme="majorHAnsi"/>
          <w:sz w:val="24"/>
          <w:szCs w:val="24"/>
          <w:lang w:val="ru-MD"/>
        </w:rPr>
        <w:t>ебная инстанция принимает решения в пользу</w:t>
      </w:r>
      <w:r w:rsidRPr="00F77C7F">
        <w:rPr>
          <w:rFonts w:asciiTheme="majorHAnsi" w:eastAsia="Times New Roman" w:hAnsiTheme="majorHAnsi" w:cstheme="majorHAnsi"/>
          <w:sz w:val="24"/>
          <w:szCs w:val="24"/>
          <w:lang w:val="ru-MD"/>
        </w:rPr>
        <w:t xml:space="preserve"> экономических агентов, поскольку положения Таможенного кодекса</w:t>
      </w:r>
      <w:r w:rsidR="00F77C7F" w:rsidRPr="00F77C7F">
        <w:rPr>
          <w:rStyle w:val="FootnoteReference"/>
          <w:rFonts w:asciiTheme="majorHAnsi" w:eastAsia="Times New Roman" w:hAnsiTheme="majorHAnsi" w:cstheme="majorHAnsi"/>
          <w:sz w:val="24"/>
          <w:szCs w:val="24"/>
          <w:lang w:val="ru-MD" w:eastAsia="ro-RO"/>
        </w:rPr>
        <w:footnoteReference w:id="96"/>
      </w:r>
      <w:r w:rsidRPr="00F77C7F">
        <w:rPr>
          <w:rFonts w:asciiTheme="majorHAnsi" w:eastAsia="Times New Roman" w:hAnsiTheme="majorHAnsi" w:cstheme="majorHAnsi"/>
          <w:sz w:val="24"/>
          <w:szCs w:val="24"/>
          <w:lang w:val="ru-MD"/>
        </w:rPr>
        <w:t xml:space="preserve"> и Закона </w:t>
      </w:r>
      <w:r w:rsidR="00F77C7F" w:rsidRPr="00F77C7F">
        <w:rPr>
          <w:rFonts w:asciiTheme="majorHAnsi" w:eastAsia="Times New Roman" w:hAnsiTheme="majorHAnsi" w:cstheme="majorHAnsi"/>
          <w:sz w:val="24"/>
          <w:szCs w:val="24"/>
          <w:lang w:val="ru-MD"/>
        </w:rPr>
        <w:t>о</w:t>
      </w:r>
      <w:r w:rsidRPr="00F77C7F">
        <w:rPr>
          <w:rFonts w:asciiTheme="majorHAnsi" w:eastAsia="Times New Roman" w:hAnsiTheme="majorHAnsi" w:cstheme="majorHAnsi"/>
          <w:sz w:val="24"/>
          <w:szCs w:val="24"/>
          <w:lang w:val="ru-MD"/>
        </w:rPr>
        <w:t xml:space="preserve"> регулировании предпринимательской деятельности п</w:t>
      </w:r>
      <w:r w:rsidR="00F77C7F" w:rsidRPr="00F77C7F">
        <w:rPr>
          <w:rFonts w:asciiTheme="majorHAnsi" w:eastAsia="Times New Roman" w:hAnsiTheme="majorHAnsi" w:cstheme="majorHAnsi"/>
          <w:sz w:val="24"/>
          <w:szCs w:val="24"/>
          <w:lang w:val="ru-MD"/>
        </w:rPr>
        <w:t>утем</w:t>
      </w:r>
      <w:r w:rsidRPr="00F77C7F">
        <w:rPr>
          <w:rFonts w:asciiTheme="majorHAnsi" w:eastAsia="Times New Roman" w:hAnsiTheme="majorHAnsi" w:cstheme="majorHAnsi"/>
          <w:sz w:val="24"/>
          <w:szCs w:val="24"/>
          <w:lang w:val="ru-MD"/>
        </w:rPr>
        <w:t xml:space="preserve"> разрешени</w:t>
      </w:r>
      <w:r w:rsidR="00F77C7F" w:rsidRPr="00F77C7F">
        <w:rPr>
          <w:rFonts w:asciiTheme="majorHAnsi" w:eastAsia="Times New Roman" w:hAnsiTheme="majorHAnsi" w:cstheme="majorHAnsi"/>
          <w:sz w:val="24"/>
          <w:szCs w:val="24"/>
          <w:lang w:val="ru-MD"/>
        </w:rPr>
        <w:t>я</w:t>
      </w:r>
      <w:r w:rsidRPr="00F77C7F">
        <w:rPr>
          <w:rFonts w:asciiTheme="majorHAnsi" w:eastAsia="Times New Roman" w:hAnsiTheme="majorHAnsi" w:cstheme="majorHAnsi"/>
          <w:sz w:val="24"/>
          <w:szCs w:val="24"/>
          <w:lang w:val="ru-MD"/>
        </w:rPr>
        <w:t xml:space="preserve"> №160 от 22.07.2011</w:t>
      </w:r>
      <w:r w:rsidR="00F77C7F" w:rsidRPr="00F77C7F">
        <w:rPr>
          <w:rStyle w:val="FootnoteReference"/>
          <w:rFonts w:asciiTheme="majorHAnsi" w:eastAsia="Times New Roman" w:hAnsiTheme="majorHAnsi" w:cstheme="majorHAnsi"/>
          <w:bCs/>
          <w:sz w:val="24"/>
          <w:szCs w:val="24"/>
          <w:lang w:val="ru-MD"/>
        </w:rPr>
        <w:footnoteReference w:id="97"/>
      </w:r>
      <w:r w:rsidRPr="00F77C7F">
        <w:rPr>
          <w:rFonts w:asciiTheme="majorHAnsi" w:eastAsia="Times New Roman" w:hAnsiTheme="majorHAnsi" w:cstheme="majorHAnsi"/>
          <w:sz w:val="24"/>
          <w:szCs w:val="24"/>
          <w:lang w:val="ru-MD"/>
        </w:rPr>
        <w:t xml:space="preserve"> </w:t>
      </w:r>
      <w:r w:rsidR="00F77C7F" w:rsidRPr="00F77C7F">
        <w:rPr>
          <w:rFonts w:asciiTheme="majorHAnsi" w:eastAsia="Times New Roman" w:hAnsiTheme="majorHAnsi" w:cstheme="majorHAnsi"/>
          <w:sz w:val="24"/>
          <w:szCs w:val="24"/>
          <w:lang w:val="ru-MD"/>
        </w:rPr>
        <w:t xml:space="preserve">являются </w:t>
      </w:r>
      <w:r w:rsidRPr="00F77C7F">
        <w:rPr>
          <w:rFonts w:asciiTheme="majorHAnsi" w:eastAsia="Times New Roman" w:hAnsiTheme="majorHAnsi" w:cstheme="majorHAnsi"/>
          <w:sz w:val="24"/>
          <w:szCs w:val="24"/>
          <w:lang w:val="ru-MD"/>
        </w:rPr>
        <w:t>противоречивы</w:t>
      </w:r>
      <w:r w:rsidR="00F77C7F" w:rsidRPr="00F77C7F">
        <w:rPr>
          <w:rFonts w:asciiTheme="majorHAnsi" w:eastAsia="Times New Roman" w:hAnsiTheme="majorHAnsi" w:cstheme="majorHAnsi"/>
          <w:sz w:val="24"/>
          <w:szCs w:val="24"/>
          <w:lang w:val="ru-MD"/>
        </w:rPr>
        <w:t>ми</w:t>
      </w:r>
      <w:r w:rsidRPr="00F77C7F">
        <w:rPr>
          <w:rFonts w:asciiTheme="majorHAnsi" w:eastAsia="Times New Roman" w:hAnsiTheme="majorHAnsi" w:cstheme="majorHAnsi"/>
          <w:sz w:val="24"/>
          <w:szCs w:val="24"/>
          <w:lang w:val="ru-MD"/>
        </w:rPr>
        <w:t xml:space="preserve"> в случаях приостановления, отзыва и возобновления действия разрешительного акта (разрешения на хранение). Следовательно, это законодательство должно быть изменено.</w:t>
      </w:r>
      <w:r>
        <w:rPr>
          <w:rFonts w:asciiTheme="majorHAnsi" w:eastAsia="Times New Roman" w:hAnsiTheme="majorHAnsi" w:cstheme="majorHAnsi"/>
          <w:sz w:val="24"/>
          <w:szCs w:val="24"/>
          <w:lang w:val="ro-RO"/>
        </w:rPr>
        <w:t xml:space="preserve"> </w:t>
      </w:r>
    </w:p>
    <w:p w14:paraId="1295E027" w14:textId="4C11DCDD" w:rsidR="00DD5014" w:rsidRPr="00C9534E" w:rsidRDefault="00590587" w:rsidP="00D418F4">
      <w:pPr>
        <w:spacing w:after="120"/>
        <w:jc w:val="both"/>
        <w:rPr>
          <w:rFonts w:asciiTheme="majorHAnsi" w:hAnsiTheme="majorHAnsi" w:cstheme="majorHAnsi"/>
          <w:color w:val="333333"/>
          <w:sz w:val="24"/>
          <w:szCs w:val="24"/>
          <w:shd w:val="clear" w:color="auto" w:fill="FFFFFF"/>
          <w:lang w:val="ru-MD"/>
        </w:rPr>
      </w:pPr>
      <w:r w:rsidRPr="00C9534E">
        <w:rPr>
          <w:rFonts w:asciiTheme="majorHAnsi" w:hAnsiTheme="majorHAnsi" w:cstheme="majorHAnsi"/>
          <w:sz w:val="24"/>
          <w:szCs w:val="24"/>
          <w:lang w:val="ru-MD"/>
        </w:rPr>
        <w:t>Аудиторская п</w:t>
      </w:r>
      <w:r w:rsidR="005436CD" w:rsidRPr="00C9534E">
        <w:rPr>
          <w:rFonts w:asciiTheme="majorHAnsi" w:hAnsiTheme="majorHAnsi" w:cstheme="majorHAnsi"/>
          <w:sz w:val="24"/>
          <w:szCs w:val="24"/>
          <w:lang w:val="ru-MD"/>
        </w:rPr>
        <w:t>роверка правильности применения таможенных назначени</w:t>
      </w:r>
      <w:r w:rsidRPr="00C9534E">
        <w:rPr>
          <w:rFonts w:asciiTheme="majorHAnsi" w:hAnsiTheme="majorHAnsi" w:cstheme="majorHAnsi"/>
          <w:sz w:val="24"/>
          <w:szCs w:val="24"/>
          <w:lang w:val="ru-MD"/>
        </w:rPr>
        <w:t>й</w:t>
      </w:r>
      <w:r w:rsidRPr="00C9534E">
        <w:rPr>
          <w:rStyle w:val="FootnoteReference"/>
          <w:rFonts w:asciiTheme="majorHAnsi" w:hAnsiTheme="majorHAnsi" w:cstheme="majorHAnsi"/>
          <w:sz w:val="24"/>
          <w:szCs w:val="24"/>
          <w:lang w:val="ru-MD"/>
        </w:rPr>
        <w:footnoteReference w:id="98"/>
      </w:r>
      <w:r w:rsidR="005436CD" w:rsidRPr="00C9534E">
        <w:rPr>
          <w:rFonts w:asciiTheme="majorHAnsi" w:hAnsiTheme="majorHAnsi" w:cstheme="majorHAnsi"/>
          <w:sz w:val="24"/>
          <w:szCs w:val="24"/>
          <w:lang w:val="ru-MD"/>
        </w:rPr>
        <w:t xml:space="preserve"> выявила несоответствие между некоторыми положениями Таможенного кодекса</w:t>
      </w:r>
      <w:r w:rsidRPr="00C9534E">
        <w:rPr>
          <w:rStyle w:val="FootnoteReference"/>
          <w:rFonts w:asciiTheme="majorHAnsi" w:hAnsiTheme="majorHAnsi" w:cstheme="majorHAnsi"/>
          <w:sz w:val="24"/>
          <w:szCs w:val="24"/>
          <w:lang w:val="ru-MD"/>
        </w:rPr>
        <w:footnoteReference w:id="99"/>
      </w:r>
      <w:r w:rsidR="005436CD" w:rsidRPr="00C9534E">
        <w:rPr>
          <w:rFonts w:asciiTheme="majorHAnsi" w:hAnsiTheme="majorHAnsi" w:cstheme="majorHAnsi"/>
          <w:sz w:val="24"/>
          <w:szCs w:val="24"/>
          <w:lang w:val="ru-MD"/>
        </w:rPr>
        <w:t xml:space="preserve"> и </w:t>
      </w:r>
      <w:r w:rsidRPr="00C9534E">
        <w:rPr>
          <w:rFonts w:asciiTheme="majorHAnsi" w:hAnsiTheme="majorHAnsi" w:cstheme="majorHAnsi"/>
          <w:sz w:val="24"/>
          <w:szCs w:val="24"/>
          <w:lang w:val="ru-MD"/>
        </w:rPr>
        <w:t>П</w:t>
      </w:r>
      <w:r w:rsidR="005436CD" w:rsidRPr="00C9534E">
        <w:rPr>
          <w:rFonts w:asciiTheme="majorHAnsi" w:hAnsiTheme="majorHAnsi" w:cstheme="majorHAnsi"/>
          <w:sz w:val="24"/>
          <w:szCs w:val="24"/>
          <w:lang w:val="ru-MD"/>
        </w:rPr>
        <w:t>оложения, утвержденн</w:t>
      </w:r>
      <w:r w:rsidRPr="00C9534E">
        <w:rPr>
          <w:rFonts w:asciiTheme="majorHAnsi" w:hAnsiTheme="majorHAnsi" w:cstheme="majorHAnsi"/>
          <w:sz w:val="24"/>
          <w:szCs w:val="24"/>
          <w:lang w:val="ru-MD"/>
        </w:rPr>
        <w:t>ого Постановлением Правительства №</w:t>
      </w:r>
      <w:r w:rsidR="005436CD" w:rsidRPr="00C9534E">
        <w:rPr>
          <w:rFonts w:asciiTheme="majorHAnsi" w:hAnsiTheme="majorHAnsi" w:cstheme="majorHAnsi"/>
          <w:sz w:val="24"/>
          <w:szCs w:val="24"/>
          <w:lang w:val="ru-MD"/>
        </w:rPr>
        <w:t>1140 от 02.11.2005</w:t>
      </w:r>
      <w:r w:rsidRPr="00C9534E">
        <w:rPr>
          <w:rStyle w:val="FootnoteReference"/>
          <w:rFonts w:asciiTheme="majorHAnsi" w:hAnsiTheme="majorHAnsi" w:cstheme="majorHAnsi"/>
          <w:sz w:val="24"/>
          <w:szCs w:val="24"/>
          <w:lang w:val="ru-MD"/>
        </w:rPr>
        <w:footnoteReference w:id="100"/>
      </w:r>
      <w:r w:rsidR="005436CD" w:rsidRPr="00C9534E">
        <w:rPr>
          <w:rFonts w:asciiTheme="majorHAnsi" w:hAnsiTheme="majorHAnsi" w:cstheme="majorHAnsi"/>
          <w:sz w:val="24"/>
          <w:szCs w:val="24"/>
          <w:lang w:val="ru-MD"/>
        </w:rPr>
        <w:t>. Так, в соответствии с</w:t>
      </w:r>
      <w:r w:rsidRPr="00C9534E">
        <w:rPr>
          <w:rFonts w:asciiTheme="majorHAnsi" w:hAnsiTheme="majorHAnsi" w:cstheme="majorHAnsi"/>
          <w:sz w:val="24"/>
          <w:szCs w:val="24"/>
          <w:lang w:val="ru-MD"/>
        </w:rPr>
        <w:t>о</w:t>
      </w:r>
      <w:r w:rsidR="005436CD" w:rsidRPr="00C9534E">
        <w:rPr>
          <w:rFonts w:asciiTheme="majorHAnsi" w:hAnsiTheme="majorHAnsi" w:cstheme="majorHAnsi"/>
          <w:sz w:val="24"/>
          <w:szCs w:val="24"/>
          <w:lang w:val="ru-MD"/>
        </w:rPr>
        <w:t xml:space="preserve"> </w:t>
      </w:r>
      <w:r w:rsidRPr="00C9534E">
        <w:rPr>
          <w:rFonts w:asciiTheme="majorHAnsi" w:hAnsiTheme="majorHAnsi" w:cstheme="majorHAnsi"/>
          <w:sz w:val="24"/>
          <w:szCs w:val="24"/>
          <w:lang w:val="ru-MD"/>
        </w:rPr>
        <w:t>ст</w:t>
      </w:r>
      <w:r w:rsidR="005436CD" w:rsidRPr="00C9534E">
        <w:rPr>
          <w:rFonts w:asciiTheme="majorHAnsi" w:hAnsiTheme="majorHAnsi" w:cstheme="majorHAnsi"/>
          <w:sz w:val="24"/>
          <w:szCs w:val="24"/>
          <w:lang w:val="ru-MD"/>
        </w:rPr>
        <w:t>.29 (5) Таможенного кодекса</w:t>
      </w:r>
      <w:r w:rsidRPr="00C9534E">
        <w:rPr>
          <w:rFonts w:asciiTheme="majorHAnsi" w:hAnsiTheme="majorHAnsi" w:cstheme="majorHAnsi"/>
          <w:sz w:val="24"/>
          <w:szCs w:val="24"/>
          <w:lang w:val="ru-MD"/>
        </w:rPr>
        <w:t>,</w:t>
      </w:r>
      <w:r w:rsidR="005436CD" w:rsidRPr="00C9534E">
        <w:rPr>
          <w:rFonts w:asciiTheme="majorHAnsi" w:hAnsiTheme="majorHAnsi" w:cstheme="majorHAnsi"/>
          <w:sz w:val="24"/>
          <w:szCs w:val="24"/>
          <w:lang w:val="ru-MD"/>
        </w:rPr>
        <w:t xml:space="preserve"> суспензивный таможенный режим </w:t>
      </w:r>
      <w:r w:rsidRPr="00C9534E">
        <w:rPr>
          <w:rFonts w:asciiTheme="majorHAnsi" w:hAnsiTheme="majorHAnsi" w:cstheme="majorHAnsi"/>
          <w:sz w:val="24"/>
          <w:szCs w:val="24"/>
          <w:lang w:val="ru-MD"/>
        </w:rPr>
        <w:t>„</w:t>
      </w:r>
      <w:r w:rsidR="005436CD" w:rsidRPr="00C9534E">
        <w:rPr>
          <w:rFonts w:asciiTheme="majorHAnsi" w:hAnsiTheme="majorHAnsi" w:cstheme="majorHAnsi"/>
          <w:sz w:val="24"/>
          <w:szCs w:val="24"/>
          <w:lang w:val="ru-MD"/>
        </w:rPr>
        <w:t>таможенный склад</w:t>
      </w:r>
      <w:r w:rsidRPr="00C9534E">
        <w:rPr>
          <w:rFonts w:asciiTheme="majorHAnsi" w:hAnsiTheme="majorHAnsi" w:cstheme="majorHAnsi"/>
          <w:sz w:val="24"/>
          <w:szCs w:val="24"/>
          <w:lang w:val="ru-MD"/>
        </w:rPr>
        <w:t>”</w:t>
      </w:r>
      <w:r w:rsidR="00C9534E" w:rsidRPr="00C9534E">
        <w:rPr>
          <w:rFonts w:asciiTheme="majorHAnsi" w:hAnsiTheme="majorHAnsi" w:cstheme="majorHAnsi"/>
          <w:sz w:val="24"/>
          <w:szCs w:val="24"/>
          <w:lang w:val="ru-MD"/>
        </w:rPr>
        <w:t xml:space="preserve"> может завершиться</w:t>
      </w:r>
      <w:r w:rsidR="005436CD" w:rsidRPr="00C9534E">
        <w:rPr>
          <w:rFonts w:asciiTheme="majorHAnsi" w:hAnsiTheme="majorHAnsi" w:cstheme="majorHAnsi"/>
          <w:sz w:val="24"/>
          <w:szCs w:val="24"/>
          <w:lang w:val="ru-MD"/>
        </w:rPr>
        <w:t xml:space="preserve"> размещением под другим таможенным назначени</w:t>
      </w:r>
      <w:r w:rsidR="000C2B79" w:rsidRPr="00C9534E">
        <w:rPr>
          <w:rFonts w:asciiTheme="majorHAnsi" w:hAnsiTheme="majorHAnsi" w:cstheme="majorHAnsi"/>
          <w:sz w:val="24"/>
          <w:szCs w:val="24"/>
          <w:lang w:val="ru-MD"/>
        </w:rPr>
        <w:t>ем</w:t>
      </w:r>
      <w:r w:rsidR="005436CD" w:rsidRPr="00C9534E">
        <w:rPr>
          <w:rFonts w:asciiTheme="majorHAnsi" w:hAnsiTheme="majorHAnsi" w:cstheme="majorHAnsi"/>
          <w:sz w:val="24"/>
          <w:szCs w:val="24"/>
          <w:lang w:val="ru-MD"/>
        </w:rPr>
        <w:t xml:space="preserve">, </w:t>
      </w:r>
      <w:r w:rsidR="00C9534E" w:rsidRPr="00C9534E">
        <w:rPr>
          <w:rFonts w:asciiTheme="majorHAnsi" w:hAnsiTheme="majorHAnsi" w:cstheme="majorHAnsi"/>
          <w:sz w:val="24"/>
          <w:szCs w:val="24"/>
          <w:lang w:val="ru-MD"/>
        </w:rPr>
        <w:t>среди</w:t>
      </w:r>
      <w:r w:rsidR="005436CD" w:rsidRPr="00C9534E">
        <w:rPr>
          <w:rFonts w:asciiTheme="majorHAnsi" w:hAnsiTheme="majorHAnsi" w:cstheme="majorHAnsi"/>
          <w:sz w:val="24"/>
          <w:szCs w:val="24"/>
          <w:lang w:val="ru-MD"/>
        </w:rPr>
        <w:t xml:space="preserve"> которых - размещение товаров в свободной зоне. В свою очередь, согласно </w:t>
      </w:r>
      <w:r w:rsidR="00C9534E" w:rsidRPr="00C9534E">
        <w:rPr>
          <w:rFonts w:asciiTheme="majorHAnsi" w:hAnsiTheme="majorHAnsi" w:cstheme="majorHAnsi"/>
          <w:sz w:val="24"/>
          <w:szCs w:val="24"/>
          <w:lang w:val="ru-MD"/>
        </w:rPr>
        <w:t>п</w:t>
      </w:r>
      <w:r w:rsidR="005436CD" w:rsidRPr="00C9534E">
        <w:rPr>
          <w:rFonts w:asciiTheme="majorHAnsi" w:hAnsiTheme="majorHAnsi" w:cstheme="majorHAnsi"/>
          <w:sz w:val="24"/>
          <w:szCs w:val="24"/>
          <w:lang w:val="ru-MD"/>
        </w:rPr>
        <w:t xml:space="preserve">.144 Положения, утвержденного Постановлением Правительства </w:t>
      </w:r>
      <w:r w:rsidR="00C9534E" w:rsidRPr="00C9534E">
        <w:rPr>
          <w:rFonts w:asciiTheme="majorHAnsi" w:hAnsiTheme="majorHAnsi" w:cstheme="majorHAnsi"/>
          <w:sz w:val="24"/>
          <w:szCs w:val="24"/>
          <w:lang w:val="ru-MD"/>
        </w:rPr>
        <w:t>№</w:t>
      </w:r>
      <w:r w:rsidR="005436CD" w:rsidRPr="00C9534E">
        <w:rPr>
          <w:rFonts w:asciiTheme="majorHAnsi" w:hAnsiTheme="majorHAnsi" w:cstheme="majorHAnsi"/>
          <w:sz w:val="24"/>
          <w:szCs w:val="24"/>
          <w:lang w:val="ru-MD"/>
        </w:rPr>
        <w:t>1140 от 02.11.2005</w:t>
      </w:r>
      <w:r w:rsidR="00C9534E" w:rsidRPr="00C9534E">
        <w:rPr>
          <w:rFonts w:asciiTheme="majorHAnsi" w:hAnsiTheme="majorHAnsi" w:cstheme="majorHAnsi"/>
          <w:sz w:val="24"/>
          <w:szCs w:val="24"/>
          <w:lang w:val="ru-MD"/>
        </w:rPr>
        <w:t>,</w:t>
      </w:r>
      <w:r w:rsidR="005436CD" w:rsidRPr="00C9534E">
        <w:rPr>
          <w:rFonts w:asciiTheme="majorHAnsi" w:hAnsiTheme="majorHAnsi" w:cstheme="majorHAnsi"/>
          <w:sz w:val="24"/>
          <w:szCs w:val="24"/>
          <w:lang w:val="ru-MD"/>
        </w:rPr>
        <w:t xml:space="preserve"> предусмотрены </w:t>
      </w:r>
      <w:r w:rsidR="00C9534E" w:rsidRPr="00C9534E">
        <w:rPr>
          <w:rFonts w:asciiTheme="majorHAnsi" w:hAnsiTheme="majorHAnsi" w:cstheme="majorHAnsi"/>
          <w:sz w:val="24"/>
          <w:szCs w:val="24"/>
          <w:lang w:val="ru-MD"/>
        </w:rPr>
        <w:t xml:space="preserve">конкретные </w:t>
      </w:r>
      <w:r w:rsidR="005436CD" w:rsidRPr="00C9534E">
        <w:rPr>
          <w:rFonts w:asciiTheme="majorHAnsi" w:hAnsiTheme="majorHAnsi" w:cstheme="majorHAnsi"/>
          <w:sz w:val="24"/>
          <w:szCs w:val="24"/>
          <w:lang w:val="ru-MD"/>
        </w:rPr>
        <w:t xml:space="preserve">таможенные режимы, </w:t>
      </w:r>
      <w:r w:rsidR="00C9534E" w:rsidRPr="00C9534E">
        <w:rPr>
          <w:rFonts w:asciiTheme="majorHAnsi" w:hAnsiTheme="majorHAnsi" w:cstheme="majorHAnsi"/>
          <w:sz w:val="24"/>
          <w:szCs w:val="24"/>
          <w:lang w:val="ru-MD"/>
        </w:rPr>
        <w:t xml:space="preserve">и </w:t>
      </w:r>
      <w:r w:rsidR="00C9534E">
        <w:rPr>
          <w:rFonts w:asciiTheme="majorHAnsi" w:hAnsiTheme="majorHAnsi" w:cstheme="majorHAnsi"/>
          <w:sz w:val="24"/>
          <w:szCs w:val="24"/>
          <w:lang w:val="ru-MD"/>
        </w:rPr>
        <w:t>среди</w:t>
      </w:r>
      <w:r w:rsidR="005436CD" w:rsidRPr="00C9534E">
        <w:rPr>
          <w:rFonts w:asciiTheme="majorHAnsi" w:hAnsiTheme="majorHAnsi" w:cstheme="majorHAnsi"/>
          <w:sz w:val="24"/>
          <w:szCs w:val="24"/>
          <w:lang w:val="ru-MD"/>
        </w:rPr>
        <w:t xml:space="preserve"> </w:t>
      </w:r>
      <w:r w:rsidR="00C9534E" w:rsidRPr="00C9534E">
        <w:rPr>
          <w:rFonts w:asciiTheme="majorHAnsi" w:hAnsiTheme="majorHAnsi" w:cstheme="majorHAnsi"/>
          <w:sz w:val="24"/>
          <w:szCs w:val="24"/>
          <w:lang w:val="ru-MD"/>
        </w:rPr>
        <w:t>ни</w:t>
      </w:r>
      <w:r w:rsidR="005436CD" w:rsidRPr="00C9534E">
        <w:rPr>
          <w:rFonts w:asciiTheme="majorHAnsi" w:hAnsiTheme="majorHAnsi" w:cstheme="majorHAnsi"/>
          <w:sz w:val="24"/>
          <w:szCs w:val="24"/>
          <w:lang w:val="ru-MD"/>
        </w:rPr>
        <w:t>х отсутствует таможенн</w:t>
      </w:r>
      <w:r w:rsidR="00C9534E" w:rsidRPr="00C9534E">
        <w:rPr>
          <w:rFonts w:asciiTheme="majorHAnsi" w:hAnsiTheme="majorHAnsi" w:cstheme="majorHAnsi"/>
          <w:sz w:val="24"/>
          <w:szCs w:val="24"/>
          <w:lang w:val="ru-MD"/>
        </w:rPr>
        <w:t>ое</w:t>
      </w:r>
      <w:r w:rsidR="005436CD" w:rsidRPr="00C9534E">
        <w:rPr>
          <w:rFonts w:asciiTheme="majorHAnsi" w:hAnsiTheme="majorHAnsi" w:cstheme="majorHAnsi"/>
          <w:sz w:val="24"/>
          <w:szCs w:val="24"/>
          <w:lang w:val="ru-MD"/>
        </w:rPr>
        <w:t xml:space="preserve"> назначени</w:t>
      </w:r>
      <w:r w:rsidR="00C9534E" w:rsidRPr="00C9534E">
        <w:rPr>
          <w:rFonts w:asciiTheme="majorHAnsi" w:hAnsiTheme="majorHAnsi" w:cstheme="majorHAnsi"/>
          <w:sz w:val="24"/>
          <w:szCs w:val="24"/>
          <w:lang w:val="ru-MD"/>
        </w:rPr>
        <w:t>е</w:t>
      </w:r>
      <w:r w:rsidR="005436CD" w:rsidRPr="00C9534E">
        <w:rPr>
          <w:rFonts w:asciiTheme="majorHAnsi" w:hAnsiTheme="majorHAnsi" w:cstheme="majorHAnsi"/>
          <w:sz w:val="24"/>
          <w:szCs w:val="24"/>
          <w:lang w:val="ru-MD"/>
        </w:rPr>
        <w:t xml:space="preserve"> - „свободная экономическая зона</w:t>
      </w:r>
      <w:r w:rsidRPr="00C9534E">
        <w:rPr>
          <w:rFonts w:asciiTheme="majorHAnsi" w:hAnsiTheme="majorHAnsi" w:cstheme="majorHAnsi"/>
          <w:sz w:val="24"/>
          <w:szCs w:val="24"/>
          <w:lang w:val="ru-MD"/>
        </w:rPr>
        <w:t>”</w:t>
      </w:r>
      <w:r w:rsidR="005436CD" w:rsidRPr="00C9534E">
        <w:rPr>
          <w:rFonts w:asciiTheme="majorHAnsi" w:hAnsiTheme="majorHAnsi" w:cstheme="majorHAnsi"/>
          <w:sz w:val="24"/>
          <w:szCs w:val="24"/>
          <w:lang w:val="ru-MD"/>
        </w:rPr>
        <w:t xml:space="preserve"> для </w:t>
      </w:r>
      <w:r w:rsidR="00C9534E" w:rsidRPr="00C9534E">
        <w:rPr>
          <w:rFonts w:asciiTheme="majorHAnsi" w:hAnsiTheme="majorHAnsi" w:cstheme="majorHAnsi"/>
          <w:sz w:val="24"/>
          <w:szCs w:val="24"/>
          <w:lang w:val="ru-MD"/>
        </w:rPr>
        <w:t>заверш</w:t>
      </w:r>
      <w:r w:rsidR="005436CD" w:rsidRPr="00C9534E">
        <w:rPr>
          <w:rFonts w:asciiTheme="majorHAnsi" w:hAnsiTheme="majorHAnsi" w:cstheme="majorHAnsi"/>
          <w:sz w:val="24"/>
          <w:szCs w:val="24"/>
          <w:lang w:val="ru-MD"/>
        </w:rPr>
        <w:t>ения таможенного режима складирования</w:t>
      </w:r>
      <w:r w:rsidR="00DD5014" w:rsidRPr="00C9534E">
        <w:rPr>
          <w:rFonts w:asciiTheme="majorHAnsi" w:hAnsiTheme="majorHAnsi" w:cstheme="majorHAnsi"/>
          <w:color w:val="333333"/>
          <w:sz w:val="24"/>
          <w:szCs w:val="24"/>
          <w:shd w:val="clear" w:color="auto" w:fill="FFFFFF"/>
          <w:lang w:val="ru-MD"/>
        </w:rPr>
        <w:t>.</w:t>
      </w:r>
    </w:p>
    <w:p w14:paraId="1AC4FDDB" w14:textId="4F871F10" w:rsidR="00E0172A" w:rsidRPr="00590587" w:rsidRDefault="005436CD" w:rsidP="0019244F">
      <w:pPr>
        <w:spacing w:after="0"/>
        <w:jc w:val="both"/>
        <w:rPr>
          <w:rFonts w:asciiTheme="majorHAnsi" w:hAnsiTheme="majorHAnsi" w:cstheme="majorHAnsi"/>
          <w:sz w:val="24"/>
          <w:szCs w:val="24"/>
          <w:lang w:val="ru-MD"/>
        </w:rPr>
      </w:pPr>
      <w:r w:rsidRPr="00590587">
        <w:rPr>
          <w:rFonts w:asciiTheme="majorHAnsi" w:hAnsiTheme="majorHAnsi" w:cstheme="majorHAnsi"/>
          <w:sz w:val="24"/>
          <w:szCs w:val="24"/>
          <w:lang w:val="ru-MD"/>
        </w:rPr>
        <w:t xml:space="preserve">Анализ импорта/экспорта, относящегося к тарифной группе 8703 </w:t>
      </w:r>
      <w:r w:rsidR="0019244F" w:rsidRPr="00590587">
        <w:rPr>
          <w:rFonts w:asciiTheme="majorHAnsi" w:hAnsiTheme="majorHAnsi" w:cstheme="majorHAnsi"/>
          <w:sz w:val="24"/>
          <w:szCs w:val="24"/>
          <w:lang w:val="ru-MD"/>
        </w:rPr>
        <w:t>„</w:t>
      </w:r>
      <w:r w:rsidRPr="00590587">
        <w:rPr>
          <w:rFonts w:asciiTheme="majorHAnsi" w:hAnsiTheme="majorHAnsi" w:cstheme="majorHAnsi"/>
          <w:sz w:val="24"/>
          <w:szCs w:val="24"/>
          <w:lang w:val="ru-MD"/>
        </w:rPr>
        <w:t>Автомобили легковые и прочие моторные транспортные средства, предназначенные главным образом для перевозки людей, включая грузопассажирские автомобили-фургоны и гоночные автомобили</w:t>
      </w:r>
      <w:r w:rsidR="0019244F" w:rsidRPr="00590587">
        <w:rPr>
          <w:rFonts w:asciiTheme="majorHAnsi" w:hAnsiTheme="majorHAnsi" w:cstheme="majorHAnsi"/>
          <w:sz w:val="24"/>
          <w:szCs w:val="24"/>
          <w:lang w:val="ru-MD"/>
        </w:rPr>
        <w:t>”</w:t>
      </w:r>
      <w:r w:rsidR="00BB63BB" w:rsidRPr="00590587">
        <w:rPr>
          <w:rFonts w:asciiTheme="majorHAnsi" w:hAnsiTheme="majorHAnsi" w:cstheme="majorHAnsi"/>
          <w:sz w:val="24"/>
          <w:szCs w:val="24"/>
          <w:lang w:val="ru-MD"/>
        </w:rPr>
        <w:t>,</w:t>
      </w:r>
      <w:r w:rsidR="00E0172A" w:rsidRPr="00590587">
        <w:rPr>
          <w:rFonts w:asciiTheme="majorHAnsi" w:hAnsiTheme="majorHAnsi" w:cstheme="majorHAnsi"/>
          <w:sz w:val="24"/>
          <w:szCs w:val="24"/>
          <w:lang w:val="ru-MD"/>
        </w:rPr>
        <w:t xml:space="preserve"> </w:t>
      </w:r>
      <w:r w:rsidRPr="00590587">
        <w:rPr>
          <w:rFonts w:asciiTheme="majorHAnsi" w:hAnsiTheme="majorHAnsi" w:cstheme="majorHAnsi"/>
          <w:sz w:val="24"/>
          <w:szCs w:val="24"/>
          <w:lang w:val="ru-MD"/>
        </w:rPr>
        <w:t>через призму риска отмывания денег, показал следующее</w:t>
      </w:r>
      <w:r w:rsidR="00E0172A" w:rsidRPr="00590587">
        <w:rPr>
          <w:rFonts w:asciiTheme="majorHAnsi" w:hAnsiTheme="majorHAnsi" w:cstheme="majorHAnsi"/>
          <w:sz w:val="24"/>
          <w:szCs w:val="24"/>
          <w:lang w:val="ru-MD"/>
        </w:rPr>
        <w:t>.</w:t>
      </w:r>
    </w:p>
    <w:p w14:paraId="124B6B31" w14:textId="14BB7B75" w:rsidR="0019244F" w:rsidRPr="007D1D71" w:rsidRDefault="00624FF8" w:rsidP="00624FF8">
      <w:pPr>
        <w:pStyle w:val="ListParagraph"/>
        <w:numPr>
          <w:ilvl w:val="0"/>
          <w:numId w:val="12"/>
        </w:numPr>
        <w:spacing w:line="276" w:lineRule="auto"/>
        <w:ind w:left="0" w:firstLine="360"/>
        <w:jc w:val="both"/>
        <w:rPr>
          <w:rFonts w:asciiTheme="majorHAnsi" w:hAnsiTheme="majorHAnsi" w:cstheme="majorHAnsi"/>
          <w:sz w:val="24"/>
          <w:szCs w:val="24"/>
          <w:lang w:val="ru-MD"/>
        </w:rPr>
      </w:pPr>
      <w:r w:rsidRPr="007D1D71">
        <w:rPr>
          <w:rFonts w:asciiTheme="majorHAnsi" w:hAnsiTheme="majorHAnsi" w:cstheme="majorHAnsi"/>
          <w:color w:val="333333"/>
          <w:sz w:val="24"/>
          <w:szCs w:val="24"/>
          <w:shd w:val="clear" w:color="auto" w:fill="FFFFFF"/>
          <w:lang w:val="ru-MD"/>
        </w:rPr>
        <w:t>Проверка аудит</w:t>
      </w:r>
      <w:r w:rsidR="000E5FA5" w:rsidRPr="007D1D71">
        <w:rPr>
          <w:rFonts w:asciiTheme="majorHAnsi" w:hAnsiTheme="majorHAnsi" w:cstheme="majorHAnsi"/>
          <w:color w:val="333333"/>
          <w:sz w:val="24"/>
          <w:szCs w:val="24"/>
          <w:shd w:val="clear" w:color="auto" w:fill="FFFFFF"/>
          <w:lang w:val="ru-MD"/>
        </w:rPr>
        <w:t>ом</w:t>
      </w:r>
      <w:r w:rsidRPr="007D1D71">
        <w:rPr>
          <w:rFonts w:asciiTheme="majorHAnsi" w:hAnsiTheme="majorHAnsi" w:cstheme="majorHAnsi"/>
          <w:color w:val="333333"/>
          <w:sz w:val="24"/>
          <w:szCs w:val="24"/>
          <w:shd w:val="clear" w:color="auto" w:fill="FFFFFF"/>
          <w:lang w:val="ru-MD"/>
        </w:rPr>
        <w:t xml:space="preserve"> соблюдения </w:t>
      </w:r>
      <w:r w:rsidR="000E5FA5" w:rsidRPr="007D1D71">
        <w:rPr>
          <w:rFonts w:asciiTheme="majorHAnsi" w:hAnsiTheme="majorHAnsi" w:cstheme="majorHAnsi"/>
          <w:color w:val="333333"/>
          <w:sz w:val="24"/>
          <w:szCs w:val="24"/>
          <w:shd w:val="clear" w:color="auto" w:fill="FFFFFF"/>
          <w:lang w:val="ru-MD"/>
        </w:rPr>
        <w:t>законодательн</w:t>
      </w:r>
      <w:r w:rsidRPr="007D1D71">
        <w:rPr>
          <w:rFonts w:asciiTheme="majorHAnsi" w:hAnsiTheme="majorHAnsi" w:cstheme="majorHAnsi"/>
          <w:color w:val="333333"/>
          <w:sz w:val="24"/>
          <w:szCs w:val="24"/>
          <w:shd w:val="clear" w:color="auto" w:fill="FFFFFF"/>
          <w:lang w:val="ru-MD"/>
        </w:rPr>
        <w:t xml:space="preserve">ых норм, регулирующих применение таможенных назначений, </w:t>
      </w:r>
      <w:r w:rsidR="000E5FA5" w:rsidRPr="007D1D71">
        <w:rPr>
          <w:rFonts w:asciiTheme="majorHAnsi" w:hAnsiTheme="majorHAnsi" w:cstheme="majorHAnsi"/>
          <w:color w:val="333333"/>
          <w:sz w:val="24"/>
          <w:szCs w:val="24"/>
          <w:shd w:val="clear" w:color="auto" w:fill="FFFFFF"/>
          <w:lang w:val="ru-MD"/>
        </w:rPr>
        <w:t>показа</w:t>
      </w:r>
      <w:r w:rsidRPr="007D1D71">
        <w:rPr>
          <w:rFonts w:asciiTheme="majorHAnsi" w:hAnsiTheme="majorHAnsi" w:cstheme="majorHAnsi"/>
          <w:color w:val="333333"/>
          <w:sz w:val="24"/>
          <w:szCs w:val="24"/>
          <w:shd w:val="clear" w:color="auto" w:fill="FFFFFF"/>
          <w:lang w:val="ru-MD"/>
        </w:rPr>
        <w:t xml:space="preserve">ла, что </w:t>
      </w:r>
      <w:r w:rsidR="000E5FA5" w:rsidRPr="007D1D71">
        <w:rPr>
          <w:rFonts w:asciiTheme="majorHAnsi" w:hAnsiTheme="majorHAnsi" w:cstheme="majorHAnsi"/>
          <w:color w:val="333333"/>
          <w:sz w:val="24"/>
          <w:szCs w:val="24"/>
          <w:shd w:val="clear" w:color="auto" w:fill="FFFFFF"/>
          <w:lang w:val="ru-MD"/>
        </w:rPr>
        <w:t>для</w:t>
      </w:r>
      <w:r w:rsidRPr="007D1D71">
        <w:rPr>
          <w:rFonts w:asciiTheme="majorHAnsi" w:hAnsiTheme="majorHAnsi" w:cstheme="majorHAnsi"/>
          <w:color w:val="333333"/>
          <w:sz w:val="24"/>
          <w:szCs w:val="24"/>
          <w:shd w:val="clear" w:color="auto" w:fill="FFFFFF"/>
          <w:lang w:val="ru-MD"/>
        </w:rPr>
        <w:t xml:space="preserve"> изменени</w:t>
      </w:r>
      <w:r w:rsidR="000E5FA5" w:rsidRPr="007D1D71">
        <w:rPr>
          <w:rFonts w:asciiTheme="majorHAnsi" w:hAnsiTheme="majorHAnsi" w:cstheme="majorHAnsi"/>
          <w:color w:val="333333"/>
          <w:sz w:val="24"/>
          <w:szCs w:val="24"/>
          <w:shd w:val="clear" w:color="auto" w:fill="FFFFFF"/>
          <w:lang w:val="ru-MD"/>
        </w:rPr>
        <w:t>я</w:t>
      </w:r>
      <w:r w:rsidRPr="007D1D71">
        <w:rPr>
          <w:rFonts w:asciiTheme="majorHAnsi" w:hAnsiTheme="majorHAnsi" w:cstheme="majorHAnsi"/>
          <w:color w:val="333333"/>
          <w:sz w:val="24"/>
          <w:szCs w:val="24"/>
          <w:shd w:val="clear" w:color="auto" w:fill="FFFFFF"/>
          <w:lang w:val="ru-MD"/>
        </w:rPr>
        <w:t xml:space="preserve"> фактурной стоимости автомобилей в </w:t>
      </w:r>
      <w:r w:rsidR="000E5FA5" w:rsidRPr="007D1D71">
        <w:rPr>
          <w:rFonts w:asciiTheme="majorHAnsi" w:hAnsiTheme="majorHAnsi" w:cstheme="majorHAnsi"/>
          <w:color w:val="333333"/>
          <w:sz w:val="24"/>
          <w:szCs w:val="24"/>
          <w:shd w:val="clear" w:color="auto" w:fill="FFFFFF"/>
          <w:lang w:val="ru-MD"/>
        </w:rPr>
        <w:t>некоторы</w:t>
      </w:r>
      <w:r w:rsidRPr="007D1D71">
        <w:rPr>
          <w:rFonts w:asciiTheme="majorHAnsi" w:hAnsiTheme="majorHAnsi" w:cstheme="majorHAnsi"/>
          <w:color w:val="333333"/>
          <w:sz w:val="24"/>
          <w:szCs w:val="24"/>
          <w:shd w:val="clear" w:color="auto" w:fill="FFFFFF"/>
          <w:lang w:val="ru-MD"/>
        </w:rPr>
        <w:t xml:space="preserve">х случаях </w:t>
      </w:r>
      <w:r w:rsidR="000E5FA5" w:rsidRPr="007D1D71">
        <w:rPr>
          <w:rFonts w:asciiTheme="majorHAnsi" w:hAnsiTheme="majorHAnsi" w:cstheme="majorHAnsi"/>
          <w:color w:val="333333"/>
          <w:sz w:val="24"/>
          <w:szCs w:val="24"/>
          <w:shd w:val="clear" w:color="auto" w:fill="FFFFFF"/>
          <w:lang w:val="ru-MD"/>
        </w:rPr>
        <w:t xml:space="preserve">их </w:t>
      </w:r>
      <w:r w:rsidRPr="007D1D71">
        <w:rPr>
          <w:rFonts w:asciiTheme="majorHAnsi" w:hAnsiTheme="majorHAnsi" w:cstheme="majorHAnsi"/>
          <w:color w:val="333333"/>
          <w:sz w:val="24"/>
          <w:szCs w:val="24"/>
          <w:shd w:val="clear" w:color="auto" w:fill="FFFFFF"/>
          <w:lang w:val="ru-MD"/>
        </w:rPr>
        <w:t xml:space="preserve">стоимость увеличивалась, а в других случаях стоимость уменьшалась некоторыми </w:t>
      </w:r>
      <w:r w:rsidR="000E5FA5" w:rsidRPr="007D1D71">
        <w:rPr>
          <w:rFonts w:asciiTheme="majorHAnsi" w:hAnsiTheme="majorHAnsi" w:cstheme="majorHAnsi"/>
          <w:color w:val="333333"/>
          <w:sz w:val="24"/>
          <w:szCs w:val="24"/>
          <w:shd w:val="clear" w:color="auto" w:fill="FFFFFF"/>
          <w:lang w:val="ru-MD"/>
        </w:rPr>
        <w:t>экономическ</w:t>
      </w:r>
      <w:r w:rsidRPr="007D1D71">
        <w:rPr>
          <w:rFonts w:asciiTheme="majorHAnsi" w:hAnsiTheme="majorHAnsi" w:cstheme="majorHAnsi"/>
          <w:color w:val="333333"/>
          <w:sz w:val="24"/>
          <w:szCs w:val="24"/>
          <w:shd w:val="clear" w:color="auto" w:fill="FFFFFF"/>
          <w:lang w:val="ru-MD"/>
        </w:rPr>
        <w:t xml:space="preserve">ими </w:t>
      </w:r>
      <w:r w:rsidR="000E5FA5" w:rsidRPr="007D1D71">
        <w:rPr>
          <w:rFonts w:asciiTheme="majorHAnsi" w:hAnsiTheme="majorHAnsi" w:cstheme="majorHAnsi"/>
          <w:color w:val="333333"/>
          <w:sz w:val="24"/>
          <w:szCs w:val="24"/>
          <w:shd w:val="clear" w:color="auto" w:fill="FFFFFF"/>
          <w:lang w:val="ru-MD"/>
        </w:rPr>
        <w:t>аген</w:t>
      </w:r>
      <w:r w:rsidRPr="007D1D71">
        <w:rPr>
          <w:rFonts w:asciiTheme="majorHAnsi" w:hAnsiTheme="majorHAnsi" w:cstheme="majorHAnsi"/>
          <w:color w:val="333333"/>
          <w:sz w:val="24"/>
          <w:szCs w:val="24"/>
          <w:shd w:val="clear" w:color="auto" w:fill="FFFFFF"/>
          <w:lang w:val="ru-MD"/>
        </w:rPr>
        <w:t xml:space="preserve">тами, </w:t>
      </w:r>
      <w:r w:rsidR="000E5FA5" w:rsidRPr="007D1D71">
        <w:rPr>
          <w:rFonts w:asciiTheme="majorHAnsi" w:hAnsiTheme="majorHAnsi" w:cstheme="majorHAnsi"/>
          <w:color w:val="333333"/>
          <w:sz w:val="24"/>
          <w:szCs w:val="24"/>
          <w:shd w:val="clear" w:color="auto" w:fill="FFFFFF"/>
          <w:lang w:val="ru-MD"/>
        </w:rPr>
        <w:t xml:space="preserve">и </w:t>
      </w:r>
      <w:r w:rsidR="00237057" w:rsidRPr="007D1D71">
        <w:rPr>
          <w:rFonts w:asciiTheme="majorHAnsi" w:hAnsiTheme="majorHAnsi" w:cstheme="majorHAnsi"/>
          <w:color w:val="333333"/>
          <w:sz w:val="24"/>
          <w:szCs w:val="24"/>
          <w:shd w:val="clear" w:color="auto" w:fill="FFFFFF"/>
          <w:lang w:val="ru-MD"/>
        </w:rPr>
        <w:t>последовательно</w:t>
      </w:r>
      <w:r w:rsidRPr="007D1D71">
        <w:rPr>
          <w:rFonts w:asciiTheme="majorHAnsi" w:hAnsiTheme="majorHAnsi" w:cstheme="majorHAnsi"/>
          <w:color w:val="333333"/>
          <w:sz w:val="24"/>
          <w:szCs w:val="24"/>
          <w:shd w:val="clear" w:color="auto" w:fill="FFFFFF"/>
          <w:lang w:val="ru-MD"/>
        </w:rPr>
        <w:t xml:space="preserve"> применял</w:t>
      </w:r>
      <w:r w:rsidR="000E5FA5" w:rsidRPr="007D1D71">
        <w:rPr>
          <w:rFonts w:asciiTheme="majorHAnsi" w:hAnsiTheme="majorHAnsi" w:cstheme="majorHAnsi"/>
          <w:color w:val="333333"/>
          <w:sz w:val="24"/>
          <w:szCs w:val="24"/>
          <w:shd w:val="clear" w:color="auto" w:fill="FFFFFF"/>
          <w:lang w:val="ru-MD"/>
        </w:rPr>
        <w:t>о</w:t>
      </w:r>
      <w:r w:rsidRPr="007D1D71">
        <w:rPr>
          <w:rFonts w:asciiTheme="majorHAnsi" w:hAnsiTheme="majorHAnsi" w:cstheme="majorHAnsi"/>
          <w:color w:val="333333"/>
          <w:sz w:val="24"/>
          <w:szCs w:val="24"/>
          <w:shd w:val="clear" w:color="auto" w:fill="FFFFFF"/>
          <w:lang w:val="ru-MD"/>
        </w:rPr>
        <w:t>сь помещени</w:t>
      </w:r>
      <w:r w:rsidR="000E5FA5" w:rsidRPr="007D1D71">
        <w:rPr>
          <w:rFonts w:asciiTheme="majorHAnsi" w:hAnsiTheme="majorHAnsi" w:cstheme="majorHAnsi"/>
          <w:color w:val="333333"/>
          <w:sz w:val="24"/>
          <w:szCs w:val="24"/>
          <w:shd w:val="clear" w:color="auto" w:fill="FFFFFF"/>
          <w:lang w:val="ru-MD"/>
        </w:rPr>
        <w:t>е</w:t>
      </w:r>
      <w:r w:rsidRPr="007D1D71">
        <w:rPr>
          <w:rFonts w:asciiTheme="majorHAnsi" w:hAnsiTheme="majorHAnsi" w:cstheme="majorHAnsi"/>
          <w:color w:val="333333"/>
          <w:sz w:val="24"/>
          <w:szCs w:val="24"/>
          <w:shd w:val="clear" w:color="auto" w:fill="FFFFFF"/>
          <w:lang w:val="ru-MD"/>
        </w:rPr>
        <w:t xml:space="preserve"> автомобилей класса люкс (модел</w:t>
      </w:r>
      <w:r w:rsidR="000E5FA5" w:rsidRPr="007D1D71">
        <w:rPr>
          <w:rFonts w:asciiTheme="majorHAnsi" w:hAnsiTheme="majorHAnsi" w:cstheme="majorHAnsi"/>
          <w:color w:val="333333"/>
          <w:sz w:val="24"/>
          <w:szCs w:val="24"/>
          <w:shd w:val="clear" w:color="auto" w:fill="FFFFFF"/>
          <w:lang w:val="ru-MD"/>
        </w:rPr>
        <w:t>и</w:t>
      </w:r>
      <w:r w:rsidRPr="007D1D71">
        <w:rPr>
          <w:rFonts w:asciiTheme="majorHAnsi" w:hAnsiTheme="majorHAnsi" w:cstheme="majorHAnsi"/>
          <w:color w:val="333333"/>
          <w:sz w:val="24"/>
          <w:szCs w:val="24"/>
          <w:shd w:val="clear" w:color="auto" w:fill="FFFFFF"/>
          <w:lang w:val="ru-MD"/>
        </w:rPr>
        <w:t xml:space="preserve"> Mercedes Benz; Bentley Continent и др.) под различные таможенные режимы/назначения с освобождением от уплаты ввозн</w:t>
      </w:r>
      <w:r w:rsidR="000E5FA5" w:rsidRPr="007D1D71">
        <w:rPr>
          <w:rFonts w:asciiTheme="majorHAnsi" w:hAnsiTheme="majorHAnsi" w:cstheme="majorHAnsi"/>
          <w:color w:val="333333"/>
          <w:sz w:val="24"/>
          <w:szCs w:val="24"/>
          <w:shd w:val="clear" w:color="auto" w:fill="FFFFFF"/>
          <w:lang w:val="ru-MD"/>
        </w:rPr>
        <w:t>ых</w:t>
      </w:r>
      <w:r w:rsidRPr="007D1D71">
        <w:rPr>
          <w:rFonts w:asciiTheme="majorHAnsi" w:hAnsiTheme="majorHAnsi" w:cstheme="majorHAnsi"/>
          <w:color w:val="333333"/>
          <w:sz w:val="24"/>
          <w:szCs w:val="24"/>
          <w:shd w:val="clear" w:color="auto" w:fill="FFFFFF"/>
          <w:lang w:val="ru-MD"/>
        </w:rPr>
        <w:t xml:space="preserve"> п</w:t>
      </w:r>
      <w:r w:rsidR="000E5FA5" w:rsidRPr="007D1D71">
        <w:rPr>
          <w:rFonts w:asciiTheme="majorHAnsi" w:hAnsiTheme="majorHAnsi" w:cstheme="majorHAnsi"/>
          <w:color w:val="333333"/>
          <w:sz w:val="24"/>
          <w:szCs w:val="24"/>
          <w:shd w:val="clear" w:color="auto" w:fill="FFFFFF"/>
          <w:lang w:val="ru-MD"/>
        </w:rPr>
        <w:t>латежей</w:t>
      </w:r>
      <w:r w:rsidRPr="007D1D71">
        <w:rPr>
          <w:rFonts w:asciiTheme="majorHAnsi" w:hAnsiTheme="majorHAnsi" w:cstheme="majorHAnsi"/>
          <w:color w:val="333333"/>
          <w:sz w:val="24"/>
          <w:szCs w:val="24"/>
          <w:shd w:val="clear" w:color="auto" w:fill="FFFFFF"/>
          <w:lang w:val="ru-MD"/>
        </w:rPr>
        <w:t xml:space="preserve">, в том числе </w:t>
      </w:r>
      <w:r w:rsidR="000E5FA5" w:rsidRPr="007D1D71">
        <w:rPr>
          <w:rFonts w:asciiTheme="majorHAnsi" w:hAnsiTheme="majorHAnsi" w:cstheme="majorHAnsi"/>
          <w:color w:val="333333"/>
          <w:sz w:val="24"/>
          <w:szCs w:val="24"/>
          <w:shd w:val="clear" w:color="auto" w:fill="FFFFFF"/>
          <w:lang w:val="ru-MD"/>
        </w:rPr>
        <w:t xml:space="preserve">под </w:t>
      </w:r>
      <w:r w:rsidRPr="007D1D71">
        <w:rPr>
          <w:rFonts w:asciiTheme="majorHAnsi" w:hAnsiTheme="majorHAnsi" w:cstheme="majorHAnsi"/>
          <w:color w:val="333333"/>
          <w:sz w:val="24"/>
          <w:szCs w:val="24"/>
          <w:shd w:val="clear" w:color="auto" w:fill="FFFFFF"/>
          <w:lang w:val="ru-MD"/>
        </w:rPr>
        <w:t>режимы таможенн</w:t>
      </w:r>
      <w:r w:rsidR="000E5FA5" w:rsidRPr="007D1D71">
        <w:rPr>
          <w:rFonts w:asciiTheme="majorHAnsi" w:hAnsiTheme="majorHAnsi" w:cstheme="majorHAnsi"/>
          <w:color w:val="333333"/>
          <w:sz w:val="24"/>
          <w:szCs w:val="24"/>
          <w:shd w:val="clear" w:color="auto" w:fill="FFFFFF"/>
          <w:lang w:val="ru-MD"/>
        </w:rPr>
        <w:t>ого</w:t>
      </w:r>
      <w:r w:rsidRPr="007D1D71">
        <w:rPr>
          <w:rFonts w:asciiTheme="majorHAnsi" w:hAnsiTheme="majorHAnsi" w:cstheme="majorHAnsi"/>
          <w:color w:val="333333"/>
          <w:sz w:val="24"/>
          <w:szCs w:val="24"/>
          <w:shd w:val="clear" w:color="auto" w:fill="FFFFFF"/>
          <w:lang w:val="ru-MD"/>
        </w:rPr>
        <w:t xml:space="preserve"> склад</w:t>
      </w:r>
      <w:r w:rsidR="000E5FA5" w:rsidRPr="007D1D71">
        <w:rPr>
          <w:rFonts w:asciiTheme="majorHAnsi" w:hAnsiTheme="majorHAnsi" w:cstheme="majorHAnsi"/>
          <w:color w:val="333333"/>
          <w:sz w:val="24"/>
          <w:szCs w:val="24"/>
          <w:shd w:val="clear" w:color="auto" w:fill="FFFFFF"/>
          <w:lang w:val="ru-MD"/>
        </w:rPr>
        <w:t>а</w:t>
      </w:r>
      <w:r w:rsidRPr="007D1D71">
        <w:rPr>
          <w:rFonts w:asciiTheme="majorHAnsi" w:hAnsiTheme="majorHAnsi" w:cstheme="majorHAnsi"/>
          <w:color w:val="333333"/>
          <w:sz w:val="24"/>
          <w:szCs w:val="24"/>
          <w:shd w:val="clear" w:color="auto" w:fill="FFFFFF"/>
          <w:lang w:val="ru-MD"/>
        </w:rPr>
        <w:t xml:space="preserve"> (7100) - свободная экономическая зона (7871), последний режим </w:t>
      </w:r>
      <w:r w:rsidR="000E5FA5" w:rsidRPr="007D1D71">
        <w:rPr>
          <w:rFonts w:asciiTheme="majorHAnsi" w:hAnsiTheme="majorHAnsi" w:cstheme="majorHAnsi"/>
          <w:color w:val="333333"/>
          <w:sz w:val="24"/>
          <w:szCs w:val="24"/>
          <w:shd w:val="clear" w:color="auto" w:fill="FFFFFF"/>
          <w:lang w:val="ru-MD"/>
        </w:rPr>
        <w:t xml:space="preserve">являясь </w:t>
      </w:r>
      <w:r w:rsidRPr="007D1D71">
        <w:rPr>
          <w:rFonts w:asciiTheme="majorHAnsi" w:hAnsiTheme="majorHAnsi" w:cstheme="majorHAnsi"/>
          <w:color w:val="333333"/>
          <w:sz w:val="24"/>
          <w:szCs w:val="24"/>
          <w:shd w:val="clear" w:color="auto" w:fill="FFFFFF"/>
          <w:lang w:val="ru-MD"/>
        </w:rPr>
        <w:t>закрыт</w:t>
      </w:r>
      <w:r w:rsidR="000E5FA5" w:rsidRPr="007D1D71">
        <w:rPr>
          <w:rFonts w:asciiTheme="majorHAnsi" w:hAnsiTheme="majorHAnsi" w:cstheme="majorHAnsi"/>
          <w:color w:val="333333"/>
          <w:sz w:val="24"/>
          <w:szCs w:val="24"/>
          <w:shd w:val="clear" w:color="auto" w:fill="FFFFFF"/>
          <w:lang w:val="ru-MD"/>
        </w:rPr>
        <w:t xml:space="preserve">ым, </w:t>
      </w:r>
      <w:r w:rsidRPr="007D1D71">
        <w:rPr>
          <w:rFonts w:asciiTheme="majorHAnsi" w:hAnsiTheme="majorHAnsi" w:cstheme="majorHAnsi"/>
          <w:color w:val="333333"/>
          <w:sz w:val="24"/>
          <w:szCs w:val="24"/>
          <w:shd w:val="clear" w:color="auto" w:fill="FFFFFF"/>
          <w:lang w:val="ru-MD"/>
        </w:rPr>
        <w:t xml:space="preserve">с </w:t>
      </w:r>
      <w:r w:rsidR="000E5FA5" w:rsidRPr="007D1D71">
        <w:rPr>
          <w:rFonts w:asciiTheme="majorHAnsi" w:hAnsiTheme="majorHAnsi" w:cstheme="majorHAnsi"/>
          <w:color w:val="333333"/>
          <w:sz w:val="24"/>
          <w:szCs w:val="24"/>
          <w:shd w:val="clear" w:color="auto" w:fill="FFFFFF"/>
          <w:lang w:val="ru-MD"/>
        </w:rPr>
        <w:t xml:space="preserve">последующим </w:t>
      </w:r>
      <w:r w:rsidRPr="007D1D71">
        <w:rPr>
          <w:rFonts w:asciiTheme="majorHAnsi" w:hAnsiTheme="majorHAnsi" w:cstheme="majorHAnsi"/>
          <w:color w:val="333333"/>
          <w:sz w:val="24"/>
          <w:szCs w:val="24"/>
          <w:shd w:val="clear" w:color="auto" w:fill="FFFFFF"/>
          <w:lang w:val="ru-MD"/>
        </w:rPr>
        <w:t>реэкспортом (3178). Либо, поме</w:t>
      </w:r>
      <w:r w:rsidR="000E5FA5" w:rsidRPr="007D1D71">
        <w:rPr>
          <w:rFonts w:asciiTheme="majorHAnsi" w:hAnsiTheme="majorHAnsi" w:cstheme="majorHAnsi"/>
          <w:color w:val="333333"/>
          <w:sz w:val="24"/>
          <w:szCs w:val="24"/>
          <w:shd w:val="clear" w:color="auto" w:fill="FFFFFF"/>
          <w:lang w:val="ru-MD"/>
        </w:rPr>
        <w:t>щение</w:t>
      </w:r>
      <w:r w:rsidRPr="007D1D71">
        <w:rPr>
          <w:rFonts w:asciiTheme="majorHAnsi" w:hAnsiTheme="majorHAnsi" w:cstheme="majorHAnsi"/>
          <w:color w:val="333333"/>
          <w:sz w:val="24"/>
          <w:szCs w:val="24"/>
          <w:shd w:val="clear" w:color="auto" w:fill="FFFFFF"/>
          <w:lang w:val="ru-MD"/>
        </w:rPr>
        <w:t xml:space="preserve"> товар</w:t>
      </w:r>
      <w:r w:rsidR="000E5FA5" w:rsidRPr="007D1D71">
        <w:rPr>
          <w:rFonts w:asciiTheme="majorHAnsi" w:hAnsiTheme="majorHAnsi" w:cstheme="majorHAnsi"/>
          <w:color w:val="333333"/>
          <w:sz w:val="24"/>
          <w:szCs w:val="24"/>
          <w:shd w:val="clear" w:color="auto" w:fill="FFFFFF"/>
          <w:lang w:val="ru-MD"/>
        </w:rPr>
        <w:t>ов</w:t>
      </w:r>
      <w:r w:rsidRPr="007D1D71">
        <w:rPr>
          <w:rFonts w:asciiTheme="majorHAnsi" w:hAnsiTheme="majorHAnsi" w:cstheme="majorHAnsi"/>
          <w:color w:val="333333"/>
          <w:sz w:val="24"/>
          <w:szCs w:val="24"/>
          <w:shd w:val="clear" w:color="auto" w:fill="FFFFFF"/>
          <w:lang w:val="ru-MD"/>
        </w:rPr>
        <w:t xml:space="preserve"> </w:t>
      </w:r>
      <w:r w:rsidR="000E5FA5" w:rsidRPr="007D1D71">
        <w:rPr>
          <w:rFonts w:asciiTheme="majorHAnsi" w:hAnsiTheme="majorHAnsi" w:cstheme="majorHAnsi"/>
          <w:color w:val="333333"/>
          <w:sz w:val="24"/>
          <w:szCs w:val="24"/>
          <w:shd w:val="clear" w:color="auto" w:fill="FFFFFF"/>
          <w:lang w:val="ru-MD"/>
        </w:rPr>
        <w:t>под</w:t>
      </w:r>
      <w:r w:rsidRPr="007D1D71">
        <w:rPr>
          <w:rFonts w:asciiTheme="majorHAnsi" w:hAnsiTheme="majorHAnsi" w:cstheme="majorHAnsi"/>
          <w:color w:val="333333"/>
          <w:sz w:val="24"/>
          <w:szCs w:val="24"/>
          <w:shd w:val="clear" w:color="auto" w:fill="FFFFFF"/>
          <w:lang w:val="ru-MD"/>
        </w:rPr>
        <w:t xml:space="preserve"> таможенный склад (7100) с последующим реэкспортом (3171), </w:t>
      </w:r>
      <w:r w:rsidR="00754B15" w:rsidRPr="007D1D71">
        <w:rPr>
          <w:rFonts w:asciiTheme="majorHAnsi" w:hAnsiTheme="majorHAnsi" w:cstheme="majorHAnsi"/>
          <w:color w:val="333333"/>
          <w:sz w:val="24"/>
          <w:szCs w:val="24"/>
          <w:shd w:val="clear" w:color="auto" w:fill="FFFFFF"/>
          <w:lang w:val="ru-MD"/>
        </w:rPr>
        <w:t xml:space="preserve">с </w:t>
      </w:r>
      <w:r w:rsidRPr="007D1D71">
        <w:rPr>
          <w:rFonts w:asciiTheme="majorHAnsi" w:hAnsiTheme="majorHAnsi" w:cstheme="majorHAnsi"/>
          <w:color w:val="333333"/>
          <w:sz w:val="24"/>
          <w:szCs w:val="24"/>
          <w:shd w:val="clear" w:color="auto" w:fill="FFFFFF"/>
          <w:lang w:val="ru-MD"/>
        </w:rPr>
        <w:t>одновременно</w:t>
      </w:r>
      <w:r w:rsidR="00754B15" w:rsidRPr="007D1D71">
        <w:rPr>
          <w:rFonts w:asciiTheme="majorHAnsi" w:hAnsiTheme="majorHAnsi" w:cstheme="majorHAnsi"/>
          <w:color w:val="333333"/>
          <w:sz w:val="24"/>
          <w:szCs w:val="24"/>
          <w:shd w:val="clear" w:color="auto" w:fill="FFFFFF"/>
          <w:lang w:val="ru-MD"/>
        </w:rPr>
        <w:t>й</w:t>
      </w:r>
      <w:r w:rsidRPr="007D1D71">
        <w:rPr>
          <w:rFonts w:asciiTheme="majorHAnsi" w:hAnsiTheme="majorHAnsi" w:cstheme="majorHAnsi"/>
          <w:color w:val="333333"/>
          <w:sz w:val="24"/>
          <w:szCs w:val="24"/>
          <w:shd w:val="clear" w:color="auto" w:fill="FFFFFF"/>
          <w:lang w:val="ru-MD"/>
        </w:rPr>
        <w:t xml:space="preserve"> сменой </w:t>
      </w:r>
      <w:r w:rsidR="00754B15" w:rsidRPr="007D1D71">
        <w:rPr>
          <w:rFonts w:asciiTheme="majorHAnsi" w:hAnsiTheme="majorHAnsi" w:cstheme="majorHAnsi"/>
          <w:color w:val="333333"/>
          <w:sz w:val="24"/>
          <w:szCs w:val="24"/>
          <w:shd w:val="clear" w:color="auto" w:fill="FFFFFF"/>
          <w:lang w:val="ru-MD"/>
        </w:rPr>
        <w:t>владельц</w:t>
      </w:r>
      <w:r w:rsidRPr="007D1D71">
        <w:rPr>
          <w:rFonts w:asciiTheme="majorHAnsi" w:hAnsiTheme="majorHAnsi" w:cstheme="majorHAnsi"/>
          <w:color w:val="333333"/>
          <w:sz w:val="24"/>
          <w:szCs w:val="24"/>
          <w:shd w:val="clear" w:color="auto" w:fill="FFFFFF"/>
          <w:lang w:val="ru-MD"/>
        </w:rPr>
        <w:t xml:space="preserve">а соответствующего товара без </w:t>
      </w:r>
      <w:r w:rsidR="00754B15" w:rsidRPr="007D1D71">
        <w:rPr>
          <w:rFonts w:asciiTheme="majorHAnsi" w:hAnsiTheme="majorHAnsi" w:cstheme="majorHAnsi"/>
          <w:color w:val="333333"/>
          <w:sz w:val="24"/>
          <w:szCs w:val="24"/>
          <w:shd w:val="clear" w:color="auto" w:fill="FFFFFF"/>
          <w:lang w:val="ru-MD"/>
        </w:rPr>
        <w:t xml:space="preserve">какого-либо </w:t>
      </w:r>
      <w:r w:rsidRPr="007D1D71">
        <w:rPr>
          <w:rFonts w:asciiTheme="majorHAnsi" w:hAnsiTheme="majorHAnsi" w:cstheme="majorHAnsi"/>
          <w:color w:val="333333"/>
          <w:sz w:val="24"/>
          <w:szCs w:val="24"/>
          <w:shd w:val="clear" w:color="auto" w:fill="FFFFFF"/>
          <w:lang w:val="ru-MD"/>
        </w:rPr>
        <w:t>об</w:t>
      </w:r>
      <w:r w:rsidR="00754B15" w:rsidRPr="007D1D71">
        <w:rPr>
          <w:rFonts w:asciiTheme="majorHAnsi" w:hAnsiTheme="majorHAnsi" w:cstheme="majorHAnsi"/>
          <w:color w:val="333333"/>
          <w:sz w:val="24"/>
          <w:szCs w:val="24"/>
          <w:shd w:val="clear" w:color="auto" w:fill="FFFFFF"/>
          <w:lang w:val="ru-MD"/>
        </w:rPr>
        <w:t>основа</w:t>
      </w:r>
      <w:r w:rsidRPr="007D1D71">
        <w:rPr>
          <w:rFonts w:asciiTheme="majorHAnsi" w:hAnsiTheme="majorHAnsi" w:cstheme="majorHAnsi"/>
          <w:color w:val="333333"/>
          <w:sz w:val="24"/>
          <w:szCs w:val="24"/>
          <w:shd w:val="clear" w:color="auto" w:fill="FFFFFF"/>
          <w:lang w:val="ru-MD"/>
        </w:rPr>
        <w:t>ния, а именно</w:t>
      </w:r>
      <w:r w:rsidR="00754B15" w:rsidRPr="007D1D71">
        <w:rPr>
          <w:rFonts w:asciiTheme="majorHAnsi" w:hAnsiTheme="majorHAnsi" w:cstheme="majorHAnsi"/>
          <w:color w:val="333333"/>
          <w:sz w:val="24"/>
          <w:szCs w:val="24"/>
          <w:shd w:val="clear" w:color="auto" w:fill="FFFFFF"/>
          <w:lang w:val="ru-MD"/>
        </w:rPr>
        <w:t>,</w:t>
      </w:r>
      <w:r w:rsidRPr="007D1D71">
        <w:rPr>
          <w:rFonts w:asciiTheme="majorHAnsi" w:hAnsiTheme="majorHAnsi" w:cstheme="majorHAnsi"/>
          <w:color w:val="333333"/>
          <w:sz w:val="24"/>
          <w:szCs w:val="24"/>
          <w:shd w:val="clear" w:color="auto" w:fill="FFFFFF"/>
          <w:lang w:val="ru-MD"/>
        </w:rPr>
        <w:t xml:space="preserve"> без указания и </w:t>
      </w:r>
      <w:r w:rsidR="00754B15" w:rsidRPr="007D1D71">
        <w:rPr>
          <w:rFonts w:asciiTheme="majorHAnsi" w:hAnsiTheme="majorHAnsi" w:cstheme="majorHAnsi"/>
          <w:color w:val="333333"/>
          <w:sz w:val="24"/>
          <w:szCs w:val="24"/>
          <w:shd w:val="clear" w:color="auto" w:fill="FFFFFF"/>
          <w:lang w:val="ru-MD"/>
        </w:rPr>
        <w:t>без</w:t>
      </w:r>
      <w:r w:rsidRPr="007D1D71">
        <w:rPr>
          <w:rFonts w:asciiTheme="majorHAnsi" w:hAnsiTheme="majorHAnsi" w:cstheme="majorHAnsi"/>
          <w:color w:val="333333"/>
          <w:sz w:val="24"/>
          <w:szCs w:val="24"/>
          <w:shd w:val="clear" w:color="auto" w:fill="FFFFFF"/>
          <w:lang w:val="ru-MD"/>
        </w:rPr>
        <w:t xml:space="preserve"> приложения </w:t>
      </w:r>
      <w:r w:rsidR="00754B15" w:rsidRPr="007D1D71">
        <w:rPr>
          <w:rFonts w:asciiTheme="majorHAnsi" w:hAnsiTheme="majorHAnsi" w:cstheme="majorHAnsi"/>
          <w:color w:val="333333"/>
          <w:sz w:val="24"/>
          <w:szCs w:val="24"/>
          <w:shd w:val="clear" w:color="auto" w:fill="FFFFFF"/>
          <w:lang w:val="ru-MD"/>
        </w:rPr>
        <w:t>необходим</w:t>
      </w:r>
      <w:r w:rsidRPr="007D1D71">
        <w:rPr>
          <w:rFonts w:asciiTheme="majorHAnsi" w:hAnsiTheme="majorHAnsi" w:cstheme="majorHAnsi"/>
          <w:color w:val="333333"/>
          <w:sz w:val="24"/>
          <w:szCs w:val="24"/>
          <w:shd w:val="clear" w:color="auto" w:fill="FFFFFF"/>
          <w:lang w:val="ru-MD"/>
        </w:rPr>
        <w:t>ых подтверждающих документов к соответствующи</w:t>
      </w:r>
      <w:r w:rsidR="00754B15" w:rsidRPr="007D1D71">
        <w:rPr>
          <w:rFonts w:asciiTheme="majorHAnsi" w:hAnsiTheme="majorHAnsi" w:cstheme="majorHAnsi"/>
          <w:color w:val="333333"/>
          <w:sz w:val="24"/>
          <w:szCs w:val="24"/>
          <w:shd w:val="clear" w:color="auto" w:fill="FFFFFF"/>
          <w:lang w:val="ru-MD"/>
        </w:rPr>
        <w:t>м</w:t>
      </w:r>
      <w:r w:rsidRPr="007D1D71">
        <w:rPr>
          <w:rFonts w:asciiTheme="majorHAnsi" w:hAnsiTheme="majorHAnsi" w:cstheme="majorHAnsi"/>
          <w:color w:val="333333"/>
          <w:sz w:val="24"/>
          <w:szCs w:val="24"/>
          <w:shd w:val="clear" w:color="auto" w:fill="FFFFFF"/>
          <w:lang w:val="ru-MD"/>
        </w:rPr>
        <w:t xml:space="preserve"> таможенны</w:t>
      </w:r>
      <w:r w:rsidR="00754B15" w:rsidRPr="007D1D71">
        <w:rPr>
          <w:rFonts w:asciiTheme="majorHAnsi" w:hAnsiTheme="majorHAnsi" w:cstheme="majorHAnsi"/>
          <w:color w:val="333333"/>
          <w:sz w:val="24"/>
          <w:szCs w:val="24"/>
          <w:shd w:val="clear" w:color="auto" w:fill="FFFFFF"/>
          <w:lang w:val="ru-MD"/>
        </w:rPr>
        <w:t>м</w:t>
      </w:r>
      <w:r w:rsidRPr="007D1D71">
        <w:rPr>
          <w:rFonts w:asciiTheme="majorHAnsi" w:hAnsiTheme="majorHAnsi" w:cstheme="majorHAnsi"/>
          <w:color w:val="333333"/>
          <w:sz w:val="24"/>
          <w:szCs w:val="24"/>
          <w:shd w:val="clear" w:color="auto" w:fill="FFFFFF"/>
          <w:lang w:val="ru-MD"/>
        </w:rPr>
        <w:t xml:space="preserve"> деклараци</w:t>
      </w:r>
      <w:r w:rsidR="00754B15" w:rsidRPr="007D1D71">
        <w:rPr>
          <w:rFonts w:asciiTheme="majorHAnsi" w:hAnsiTheme="majorHAnsi" w:cstheme="majorHAnsi"/>
          <w:color w:val="333333"/>
          <w:sz w:val="24"/>
          <w:szCs w:val="24"/>
          <w:shd w:val="clear" w:color="auto" w:fill="FFFFFF"/>
          <w:lang w:val="ru-MD"/>
        </w:rPr>
        <w:t>ям</w:t>
      </w:r>
      <w:r w:rsidR="00DD5014" w:rsidRPr="007D1D71">
        <w:rPr>
          <w:rFonts w:asciiTheme="majorHAnsi" w:hAnsiTheme="majorHAnsi" w:cstheme="majorHAnsi"/>
          <w:color w:val="333333"/>
          <w:sz w:val="24"/>
          <w:szCs w:val="24"/>
          <w:shd w:val="clear" w:color="auto" w:fill="FFFFFF"/>
          <w:lang w:val="ru-MD"/>
        </w:rPr>
        <w:t>.</w:t>
      </w:r>
    </w:p>
    <w:p w14:paraId="725BE5DA" w14:textId="57D7F1E5" w:rsidR="0019244F" w:rsidRPr="000D2221" w:rsidRDefault="00624FF8" w:rsidP="00624FF8">
      <w:pPr>
        <w:pStyle w:val="ListParagraph"/>
        <w:numPr>
          <w:ilvl w:val="0"/>
          <w:numId w:val="12"/>
        </w:numPr>
        <w:spacing w:line="276" w:lineRule="auto"/>
        <w:ind w:left="0" w:firstLine="360"/>
        <w:jc w:val="both"/>
        <w:rPr>
          <w:rFonts w:asciiTheme="majorHAnsi" w:hAnsiTheme="majorHAnsi" w:cstheme="majorHAnsi"/>
          <w:sz w:val="24"/>
          <w:szCs w:val="24"/>
          <w:lang w:val="ru-MD"/>
        </w:rPr>
      </w:pPr>
      <w:r w:rsidRPr="000D2221">
        <w:rPr>
          <w:rFonts w:asciiTheme="majorHAnsi" w:hAnsiTheme="majorHAnsi" w:cstheme="majorHAnsi"/>
          <w:sz w:val="24"/>
          <w:szCs w:val="24"/>
          <w:lang w:val="ru-MD"/>
        </w:rPr>
        <w:t xml:space="preserve">Так, согласно данным </w:t>
      </w:r>
      <w:r w:rsidR="006C036D" w:rsidRPr="000D2221">
        <w:rPr>
          <w:rFonts w:asciiTheme="majorHAnsi" w:hAnsiTheme="majorHAnsi" w:cstheme="majorHAnsi"/>
          <w:sz w:val="24"/>
          <w:szCs w:val="24"/>
          <w:lang w:val="ru-MD"/>
        </w:rPr>
        <w:t>ТИИС</w:t>
      </w:r>
      <w:r w:rsidRPr="000D2221">
        <w:rPr>
          <w:rFonts w:asciiTheme="majorHAnsi" w:hAnsiTheme="majorHAnsi" w:cstheme="majorHAnsi"/>
          <w:sz w:val="24"/>
          <w:szCs w:val="24"/>
          <w:lang w:val="ru-MD"/>
        </w:rPr>
        <w:t xml:space="preserve"> </w:t>
      </w:r>
      <w:r w:rsidR="006C036D" w:rsidRPr="000D2221">
        <w:rPr>
          <w:rFonts w:asciiTheme="majorHAnsi" w:hAnsiTheme="majorHAnsi" w:cstheme="majorHAnsi"/>
          <w:sz w:val="24"/>
          <w:szCs w:val="24"/>
          <w:lang w:val="ru-MD"/>
        </w:rPr>
        <w:t xml:space="preserve">„Asycuda </w:t>
      </w:r>
      <w:r w:rsidR="006C036D" w:rsidRPr="000D2221">
        <w:rPr>
          <w:rFonts w:asciiTheme="majorHAnsi" w:hAnsiTheme="majorHAnsi" w:cstheme="majorHAnsi"/>
          <w:iCs/>
          <w:color w:val="000000" w:themeColor="text1"/>
          <w:sz w:val="24"/>
          <w:szCs w:val="24"/>
          <w:lang w:val="ru-MD"/>
        </w:rPr>
        <w:t>World”</w:t>
      </w:r>
      <w:r w:rsidRPr="000D2221">
        <w:rPr>
          <w:rFonts w:asciiTheme="majorHAnsi" w:hAnsiTheme="majorHAnsi" w:cstheme="majorHAnsi"/>
          <w:sz w:val="24"/>
          <w:szCs w:val="24"/>
          <w:lang w:val="ru-MD"/>
        </w:rPr>
        <w:t>, в течение 2020-2021 г</w:t>
      </w:r>
      <w:r w:rsidR="006C036D" w:rsidRPr="000D2221">
        <w:rPr>
          <w:rFonts w:asciiTheme="majorHAnsi" w:hAnsiTheme="majorHAnsi" w:cstheme="majorHAnsi"/>
          <w:sz w:val="24"/>
          <w:szCs w:val="24"/>
          <w:lang w:val="ru-MD"/>
        </w:rPr>
        <w:t>одов</w:t>
      </w:r>
      <w:r w:rsidRPr="000D2221">
        <w:rPr>
          <w:rFonts w:asciiTheme="majorHAnsi" w:hAnsiTheme="majorHAnsi" w:cstheme="majorHAnsi"/>
          <w:sz w:val="24"/>
          <w:szCs w:val="24"/>
          <w:lang w:val="ru-MD"/>
        </w:rPr>
        <w:t xml:space="preserve"> экономический агент-резидент</w:t>
      </w:r>
      <w:r w:rsidR="006C036D" w:rsidRPr="000D2221">
        <w:rPr>
          <w:rStyle w:val="FootnoteReference"/>
          <w:rFonts w:asciiTheme="majorHAnsi" w:hAnsiTheme="majorHAnsi" w:cstheme="majorHAnsi"/>
          <w:sz w:val="24"/>
          <w:szCs w:val="24"/>
          <w:lang w:val="ru-MD"/>
        </w:rPr>
        <w:footnoteReference w:id="101"/>
      </w:r>
      <w:r w:rsidRPr="000D2221">
        <w:rPr>
          <w:rFonts w:asciiTheme="majorHAnsi" w:hAnsiTheme="majorHAnsi" w:cstheme="majorHAnsi"/>
          <w:sz w:val="24"/>
          <w:szCs w:val="24"/>
          <w:lang w:val="ru-MD"/>
        </w:rPr>
        <w:t xml:space="preserve"> ввез из Германии 400 автомобилей </w:t>
      </w:r>
      <w:r w:rsidR="006C036D" w:rsidRPr="000D2221">
        <w:rPr>
          <w:rFonts w:asciiTheme="majorHAnsi" w:hAnsiTheme="majorHAnsi" w:cstheme="majorHAnsi"/>
          <w:sz w:val="24"/>
          <w:szCs w:val="24"/>
          <w:lang w:val="ru-MD"/>
        </w:rPr>
        <w:t xml:space="preserve">со </w:t>
      </w:r>
      <w:r w:rsidRPr="000D2221">
        <w:rPr>
          <w:rFonts w:asciiTheme="majorHAnsi" w:hAnsiTheme="majorHAnsi" w:cstheme="majorHAnsi"/>
          <w:sz w:val="24"/>
          <w:szCs w:val="24"/>
          <w:lang w:val="ru-MD"/>
        </w:rPr>
        <w:t xml:space="preserve">статистической стоимостью </w:t>
      </w:r>
      <w:r w:rsidRPr="000D2221">
        <w:rPr>
          <w:rFonts w:asciiTheme="majorHAnsi" w:hAnsiTheme="majorHAnsi" w:cstheme="majorHAnsi"/>
          <w:b/>
          <w:sz w:val="24"/>
          <w:szCs w:val="24"/>
          <w:lang w:val="ru-MD"/>
        </w:rPr>
        <w:t>692,6 млн</w:t>
      </w:r>
      <w:r w:rsidR="006C036D" w:rsidRPr="000D2221">
        <w:rPr>
          <w:rFonts w:asciiTheme="majorHAnsi" w:hAnsiTheme="majorHAnsi" w:cstheme="majorHAnsi"/>
          <w:b/>
          <w:sz w:val="24"/>
          <w:szCs w:val="24"/>
          <w:lang w:val="ru-MD"/>
        </w:rPr>
        <w:t>.</w:t>
      </w:r>
      <w:r w:rsidRPr="000D2221">
        <w:rPr>
          <w:rFonts w:asciiTheme="majorHAnsi" w:hAnsiTheme="majorHAnsi" w:cstheme="majorHAnsi"/>
          <w:b/>
          <w:sz w:val="24"/>
          <w:szCs w:val="24"/>
          <w:lang w:val="ru-MD"/>
        </w:rPr>
        <w:t xml:space="preserve"> леев</w:t>
      </w:r>
      <w:r w:rsidRPr="000D2221">
        <w:rPr>
          <w:rFonts w:asciiTheme="majorHAnsi" w:hAnsiTheme="majorHAnsi" w:cstheme="majorHAnsi"/>
          <w:sz w:val="24"/>
          <w:szCs w:val="24"/>
          <w:lang w:val="ru-MD"/>
        </w:rPr>
        <w:t xml:space="preserve">, с </w:t>
      </w:r>
      <w:r w:rsidR="006C036D" w:rsidRPr="000D2221">
        <w:rPr>
          <w:rFonts w:asciiTheme="majorHAnsi" w:hAnsiTheme="majorHAnsi" w:cstheme="majorHAnsi"/>
          <w:sz w:val="24"/>
          <w:szCs w:val="24"/>
          <w:lang w:val="ru-MD"/>
        </w:rPr>
        <w:t xml:space="preserve">их </w:t>
      </w:r>
      <w:r w:rsidRPr="000D2221">
        <w:rPr>
          <w:rFonts w:asciiTheme="majorHAnsi" w:hAnsiTheme="majorHAnsi" w:cstheme="majorHAnsi"/>
          <w:sz w:val="24"/>
          <w:szCs w:val="24"/>
          <w:lang w:val="ru-MD"/>
        </w:rPr>
        <w:t xml:space="preserve">помещением </w:t>
      </w:r>
      <w:r w:rsidR="006C036D" w:rsidRPr="000D2221">
        <w:rPr>
          <w:rFonts w:asciiTheme="majorHAnsi" w:hAnsiTheme="majorHAnsi" w:cstheme="majorHAnsi"/>
          <w:sz w:val="24"/>
          <w:szCs w:val="24"/>
          <w:lang w:val="ru-MD"/>
        </w:rPr>
        <w:t>под суспензив</w:t>
      </w:r>
      <w:r w:rsidRPr="000D2221">
        <w:rPr>
          <w:rFonts w:asciiTheme="majorHAnsi" w:hAnsiTheme="majorHAnsi" w:cstheme="majorHAnsi"/>
          <w:sz w:val="24"/>
          <w:szCs w:val="24"/>
          <w:lang w:val="ru-MD"/>
        </w:rPr>
        <w:t xml:space="preserve">ный таможенный режим </w:t>
      </w:r>
      <w:r w:rsidR="006C036D" w:rsidRPr="000D2221">
        <w:rPr>
          <w:rFonts w:asciiTheme="majorHAnsi" w:hAnsiTheme="majorHAnsi" w:cstheme="majorHAnsi"/>
          <w:color w:val="333333"/>
          <w:sz w:val="24"/>
          <w:szCs w:val="24"/>
          <w:shd w:val="clear" w:color="auto" w:fill="FFFFFF"/>
          <w:lang w:val="ru-MD"/>
        </w:rPr>
        <w:t>„</w:t>
      </w:r>
      <w:r w:rsidRPr="000D2221">
        <w:rPr>
          <w:rFonts w:asciiTheme="majorHAnsi" w:hAnsiTheme="majorHAnsi" w:cstheme="majorHAnsi"/>
          <w:sz w:val="24"/>
          <w:szCs w:val="24"/>
          <w:lang w:val="ru-MD"/>
        </w:rPr>
        <w:t>таможенный склад</w:t>
      </w:r>
      <w:r w:rsidR="006C036D" w:rsidRPr="000D2221">
        <w:rPr>
          <w:rFonts w:asciiTheme="majorHAnsi" w:hAnsiTheme="majorHAnsi" w:cstheme="majorHAnsi"/>
          <w:sz w:val="24"/>
          <w:szCs w:val="24"/>
          <w:lang w:val="ru-MD"/>
        </w:rPr>
        <w:t>”;</w:t>
      </w:r>
      <w:r w:rsidRPr="000D2221">
        <w:rPr>
          <w:rFonts w:asciiTheme="majorHAnsi" w:hAnsiTheme="majorHAnsi" w:cstheme="majorHAnsi"/>
          <w:sz w:val="24"/>
          <w:szCs w:val="24"/>
          <w:lang w:val="ru-MD"/>
        </w:rPr>
        <w:t xml:space="preserve"> впоследствии владельцы указанных автомобилей</w:t>
      </w:r>
      <w:r w:rsidR="006C036D" w:rsidRPr="000D2221">
        <w:rPr>
          <w:rFonts w:asciiTheme="majorHAnsi" w:hAnsiTheme="majorHAnsi" w:cstheme="majorHAnsi"/>
          <w:sz w:val="24"/>
          <w:szCs w:val="24"/>
          <w:lang w:val="ru-MD"/>
        </w:rPr>
        <w:t xml:space="preserve"> сменились</w:t>
      </w:r>
      <w:r w:rsidRPr="000D2221">
        <w:rPr>
          <w:rFonts w:asciiTheme="majorHAnsi" w:hAnsiTheme="majorHAnsi" w:cstheme="majorHAnsi"/>
          <w:sz w:val="24"/>
          <w:szCs w:val="24"/>
          <w:lang w:val="ru-MD"/>
        </w:rPr>
        <w:t xml:space="preserve">, </w:t>
      </w:r>
      <w:r w:rsidR="006C036D" w:rsidRPr="000D2221">
        <w:rPr>
          <w:rFonts w:asciiTheme="majorHAnsi" w:hAnsiTheme="majorHAnsi" w:cstheme="majorHAnsi"/>
          <w:sz w:val="24"/>
          <w:szCs w:val="24"/>
          <w:lang w:val="ru-MD"/>
        </w:rPr>
        <w:t>из которых для</w:t>
      </w:r>
      <w:r w:rsidRPr="000D2221">
        <w:rPr>
          <w:rFonts w:asciiTheme="majorHAnsi" w:hAnsiTheme="majorHAnsi" w:cstheme="majorHAnsi"/>
          <w:sz w:val="24"/>
          <w:szCs w:val="24"/>
          <w:lang w:val="ru-MD"/>
        </w:rPr>
        <w:t xml:space="preserve"> 54 транспортных средств </w:t>
      </w:r>
      <w:r w:rsidR="006C036D" w:rsidRPr="000D2221">
        <w:rPr>
          <w:rFonts w:asciiTheme="majorHAnsi" w:hAnsiTheme="majorHAnsi" w:cstheme="majorHAnsi"/>
          <w:sz w:val="24"/>
          <w:szCs w:val="24"/>
          <w:lang w:val="ru-MD"/>
        </w:rPr>
        <w:t>владельцы</w:t>
      </w:r>
      <w:r w:rsidRPr="000D2221">
        <w:rPr>
          <w:rFonts w:asciiTheme="majorHAnsi" w:hAnsiTheme="majorHAnsi" w:cstheme="majorHAnsi"/>
          <w:sz w:val="24"/>
          <w:szCs w:val="24"/>
          <w:lang w:val="ru-MD"/>
        </w:rPr>
        <w:t xml:space="preserve"> сменились дважды, с изменением </w:t>
      </w:r>
      <w:r w:rsidR="006C036D" w:rsidRPr="000D2221">
        <w:rPr>
          <w:rFonts w:asciiTheme="majorHAnsi" w:hAnsiTheme="majorHAnsi" w:cstheme="majorHAnsi"/>
          <w:sz w:val="24"/>
          <w:szCs w:val="24"/>
          <w:lang w:val="ru-MD"/>
        </w:rPr>
        <w:t xml:space="preserve">соответствующего </w:t>
      </w:r>
      <w:r w:rsidRPr="000D2221">
        <w:rPr>
          <w:rFonts w:asciiTheme="majorHAnsi" w:hAnsiTheme="majorHAnsi" w:cstheme="majorHAnsi"/>
          <w:sz w:val="24"/>
          <w:szCs w:val="24"/>
          <w:lang w:val="ru-MD"/>
        </w:rPr>
        <w:t>таможенного режима</w:t>
      </w:r>
      <w:r w:rsidR="006C036D" w:rsidRPr="000D2221">
        <w:rPr>
          <w:rFonts w:asciiTheme="majorHAnsi" w:hAnsiTheme="majorHAnsi" w:cstheme="majorHAnsi"/>
          <w:sz w:val="24"/>
          <w:szCs w:val="24"/>
          <w:lang w:val="ru-MD"/>
        </w:rPr>
        <w:t xml:space="preserve"> на</w:t>
      </w:r>
      <w:r w:rsidRPr="000D2221">
        <w:rPr>
          <w:rFonts w:asciiTheme="majorHAnsi" w:hAnsiTheme="majorHAnsi" w:cstheme="majorHAnsi"/>
          <w:sz w:val="24"/>
          <w:szCs w:val="24"/>
          <w:lang w:val="ru-MD"/>
        </w:rPr>
        <w:t xml:space="preserve"> таможенн</w:t>
      </w:r>
      <w:r w:rsidR="006C036D" w:rsidRPr="000D2221">
        <w:rPr>
          <w:rFonts w:asciiTheme="majorHAnsi" w:hAnsiTheme="majorHAnsi" w:cstheme="majorHAnsi"/>
          <w:sz w:val="24"/>
          <w:szCs w:val="24"/>
          <w:lang w:val="ru-MD"/>
        </w:rPr>
        <w:t>ое</w:t>
      </w:r>
      <w:r w:rsidRPr="000D2221">
        <w:rPr>
          <w:rFonts w:asciiTheme="majorHAnsi" w:hAnsiTheme="majorHAnsi" w:cstheme="majorHAnsi"/>
          <w:sz w:val="24"/>
          <w:szCs w:val="24"/>
          <w:lang w:val="ru-MD"/>
        </w:rPr>
        <w:t xml:space="preserve"> назначени</w:t>
      </w:r>
      <w:r w:rsidR="006C036D" w:rsidRPr="000D2221">
        <w:rPr>
          <w:rFonts w:asciiTheme="majorHAnsi" w:hAnsiTheme="majorHAnsi" w:cstheme="majorHAnsi"/>
          <w:sz w:val="24"/>
          <w:szCs w:val="24"/>
          <w:lang w:val="ru-MD"/>
        </w:rPr>
        <w:t>е</w:t>
      </w:r>
      <w:r w:rsidRPr="000D2221">
        <w:rPr>
          <w:rFonts w:asciiTheme="majorHAnsi" w:hAnsiTheme="majorHAnsi" w:cstheme="majorHAnsi"/>
          <w:sz w:val="24"/>
          <w:szCs w:val="24"/>
          <w:lang w:val="ru-MD"/>
        </w:rPr>
        <w:t xml:space="preserve"> </w:t>
      </w:r>
      <w:r w:rsidR="006C036D" w:rsidRPr="000D2221">
        <w:rPr>
          <w:rFonts w:asciiTheme="majorHAnsi" w:hAnsiTheme="majorHAnsi" w:cstheme="majorHAnsi"/>
          <w:color w:val="333333"/>
          <w:sz w:val="24"/>
          <w:szCs w:val="24"/>
          <w:shd w:val="clear" w:color="auto" w:fill="FFFFFF"/>
          <w:lang w:val="ru-MD"/>
        </w:rPr>
        <w:t>„</w:t>
      </w:r>
      <w:r w:rsidRPr="000D2221">
        <w:rPr>
          <w:rFonts w:asciiTheme="majorHAnsi" w:hAnsiTheme="majorHAnsi" w:cstheme="majorHAnsi"/>
          <w:sz w:val="24"/>
          <w:szCs w:val="24"/>
          <w:lang w:val="ru-MD"/>
        </w:rPr>
        <w:t>свободная зона</w:t>
      </w:r>
      <w:r w:rsidR="006C036D" w:rsidRPr="000D2221">
        <w:rPr>
          <w:rFonts w:asciiTheme="majorHAnsi" w:hAnsiTheme="majorHAnsi" w:cstheme="majorHAnsi"/>
          <w:sz w:val="24"/>
          <w:szCs w:val="24"/>
          <w:lang w:val="ru-MD"/>
        </w:rPr>
        <w:t>”</w:t>
      </w:r>
      <w:r w:rsidRPr="000D2221">
        <w:rPr>
          <w:rFonts w:asciiTheme="majorHAnsi" w:hAnsiTheme="majorHAnsi" w:cstheme="majorHAnsi"/>
          <w:sz w:val="24"/>
          <w:szCs w:val="24"/>
          <w:lang w:val="ru-MD"/>
        </w:rPr>
        <w:t xml:space="preserve"> 5 </w:t>
      </w:r>
      <w:r w:rsidR="006C036D" w:rsidRPr="000D2221">
        <w:rPr>
          <w:rFonts w:asciiTheme="majorHAnsi" w:hAnsiTheme="majorHAnsi" w:cstheme="majorHAnsi"/>
          <w:sz w:val="24"/>
          <w:szCs w:val="24"/>
          <w:lang w:val="ru-MD"/>
        </w:rPr>
        <w:t>экономическ</w:t>
      </w:r>
      <w:r w:rsidRPr="000D2221">
        <w:rPr>
          <w:rFonts w:asciiTheme="majorHAnsi" w:hAnsiTheme="majorHAnsi" w:cstheme="majorHAnsi"/>
          <w:sz w:val="24"/>
          <w:szCs w:val="24"/>
          <w:lang w:val="ru-MD"/>
        </w:rPr>
        <w:t xml:space="preserve">ими </w:t>
      </w:r>
      <w:r w:rsidR="006C036D" w:rsidRPr="000D2221">
        <w:rPr>
          <w:rFonts w:asciiTheme="majorHAnsi" w:hAnsiTheme="majorHAnsi" w:cstheme="majorHAnsi"/>
          <w:sz w:val="24"/>
          <w:szCs w:val="24"/>
          <w:lang w:val="ru-MD"/>
        </w:rPr>
        <w:t>аген</w:t>
      </w:r>
      <w:r w:rsidRPr="000D2221">
        <w:rPr>
          <w:rFonts w:asciiTheme="majorHAnsi" w:hAnsiTheme="majorHAnsi" w:cstheme="majorHAnsi"/>
          <w:sz w:val="24"/>
          <w:szCs w:val="24"/>
          <w:lang w:val="ru-MD"/>
        </w:rPr>
        <w:t>тами</w:t>
      </w:r>
      <w:r w:rsidR="006C036D" w:rsidRPr="000D2221">
        <w:rPr>
          <w:rStyle w:val="FootnoteReference"/>
          <w:rFonts w:asciiTheme="majorHAnsi" w:hAnsiTheme="majorHAnsi" w:cstheme="majorHAnsi"/>
          <w:sz w:val="24"/>
          <w:szCs w:val="24"/>
          <w:lang w:val="ru-MD"/>
        </w:rPr>
        <w:footnoteReference w:id="102"/>
      </w:r>
      <w:r w:rsidRPr="000D2221">
        <w:rPr>
          <w:rFonts w:asciiTheme="majorHAnsi" w:hAnsiTheme="majorHAnsi" w:cstheme="majorHAnsi"/>
          <w:sz w:val="24"/>
          <w:szCs w:val="24"/>
          <w:lang w:val="ru-MD"/>
        </w:rPr>
        <w:t xml:space="preserve">, </w:t>
      </w:r>
      <w:r w:rsidR="006C036D" w:rsidRPr="000D2221">
        <w:rPr>
          <w:rFonts w:asciiTheme="majorHAnsi" w:hAnsiTheme="majorHAnsi" w:cstheme="majorHAnsi"/>
          <w:sz w:val="24"/>
          <w:szCs w:val="24"/>
          <w:lang w:val="ru-MD"/>
        </w:rPr>
        <w:t xml:space="preserve">откуда </w:t>
      </w:r>
      <w:r w:rsidRPr="000D2221">
        <w:rPr>
          <w:rFonts w:asciiTheme="majorHAnsi" w:hAnsiTheme="majorHAnsi" w:cstheme="majorHAnsi"/>
          <w:sz w:val="24"/>
          <w:szCs w:val="24"/>
          <w:lang w:val="ru-MD"/>
        </w:rPr>
        <w:t xml:space="preserve">автомобили </w:t>
      </w:r>
      <w:r w:rsidR="006C036D" w:rsidRPr="000D2221">
        <w:rPr>
          <w:rFonts w:asciiTheme="majorHAnsi" w:hAnsiTheme="majorHAnsi" w:cstheme="majorHAnsi"/>
          <w:sz w:val="24"/>
          <w:szCs w:val="24"/>
          <w:lang w:val="ru-MD"/>
        </w:rPr>
        <w:t xml:space="preserve">были </w:t>
      </w:r>
      <w:r w:rsidRPr="000D2221">
        <w:rPr>
          <w:rFonts w:asciiTheme="majorHAnsi" w:hAnsiTheme="majorHAnsi" w:cstheme="majorHAnsi"/>
          <w:sz w:val="24"/>
          <w:szCs w:val="24"/>
          <w:lang w:val="ru-MD"/>
        </w:rPr>
        <w:t>реэкспортированы в Румыни</w:t>
      </w:r>
      <w:r w:rsidR="006C036D" w:rsidRPr="000D2221">
        <w:rPr>
          <w:rFonts w:asciiTheme="majorHAnsi" w:hAnsiTheme="majorHAnsi" w:cstheme="majorHAnsi"/>
          <w:sz w:val="24"/>
          <w:szCs w:val="24"/>
          <w:lang w:val="ru-MD"/>
        </w:rPr>
        <w:t>ю</w:t>
      </w:r>
      <w:r w:rsidRPr="000D2221">
        <w:rPr>
          <w:rFonts w:asciiTheme="majorHAnsi" w:hAnsiTheme="majorHAnsi" w:cstheme="majorHAnsi"/>
          <w:sz w:val="24"/>
          <w:szCs w:val="24"/>
          <w:lang w:val="ru-MD"/>
        </w:rPr>
        <w:t xml:space="preserve"> – 332 ед., Беларусь – 32 ед., Украин</w:t>
      </w:r>
      <w:r w:rsidR="006C036D" w:rsidRPr="000D2221">
        <w:rPr>
          <w:rFonts w:asciiTheme="majorHAnsi" w:hAnsiTheme="majorHAnsi" w:cstheme="majorHAnsi"/>
          <w:sz w:val="24"/>
          <w:szCs w:val="24"/>
          <w:lang w:val="ru-MD"/>
        </w:rPr>
        <w:t>у</w:t>
      </w:r>
      <w:r w:rsidRPr="000D2221">
        <w:rPr>
          <w:rFonts w:asciiTheme="majorHAnsi" w:hAnsiTheme="majorHAnsi" w:cstheme="majorHAnsi"/>
          <w:sz w:val="24"/>
          <w:szCs w:val="24"/>
          <w:lang w:val="ru-MD"/>
        </w:rPr>
        <w:t xml:space="preserve"> – 13 ед., Германи</w:t>
      </w:r>
      <w:r w:rsidR="006C036D" w:rsidRPr="000D2221">
        <w:rPr>
          <w:rFonts w:asciiTheme="majorHAnsi" w:hAnsiTheme="majorHAnsi" w:cstheme="majorHAnsi"/>
          <w:sz w:val="24"/>
          <w:szCs w:val="24"/>
          <w:lang w:val="ru-MD"/>
        </w:rPr>
        <w:t>ю</w:t>
      </w:r>
      <w:r w:rsidRPr="000D2221">
        <w:rPr>
          <w:rFonts w:asciiTheme="majorHAnsi" w:hAnsiTheme="majorHAnsi" w:cstheme="majorHAnsi"/>
          <w:sz w:val="24"/>
          <w:szCs w:val="24"/>
          <w:lang w:val="ru-MD"/>
        </w:rPr>
        <w:t xml:space="preserve"> – 7 ед. и Объединенные Арабские Эмираты – 1</w:t>
      </w:r>
      <w:r w:rsidR="006C036D" w:rsidRPr="000D2221">
        <w:rPr>
          <w:rFonts w:asciiTheme="majorHAnsi" w:hAnsiTheme="majorHAnsi" w:cstheme="majorHAnsi"/>
          <w:sz w:val="24"/>
          <w:szCs w:val="24"/>
          <w:lang w:val="ru-MD"/>
        </w:rPr>
        <w:t xml:space="preserve"> ед.</w:t>
      </w:r>
      <w:r w:rsidRPr="000D2221">
        <w:rPr>
          <w:rFonts w:asciiTheme="majorHAnsi" w:hAnsiTheme="majorHAnsi" w:cstheme="majorHAnsi"/>
          <w:sz w:val="24"/>
          <w:szCs w:val="24"/>
          <w:lang w:val="ru-MD"/>
        </w:rPr>
        <w:t xml:space="preserve">, </w:t>
      </w:r>
      <w:r w:rsidR="000D2221" w:rsidRPr="000D2221">
        <w:rPr>
          <w:rFonts w:asciiTheme="majorHAnsi" w:hAnsiTheme="majorHAnsi" w:cstheme="majorHAnsi"/>
          <w:sz w:val="24"/>
          <w:szCs w:val="24"/>
          <w:lang w:val="ru-MD"/>
        </w:rPr>
        <w:t xml:space="preserve">их </w:t>
      </w:r>
      <w:r w:rsidRPr="000D2221">
        <w:rPr>
          <w:rFonts w:asciiTheme="majorHAnsi" w:hAnsiTheme="majorHAnsi" w:cstheme="majorHAnsi"/>
          <w:sz w:val="24"/>
          <w:szCs w:val="24"/>
          <w:lang w:val="ru-MD"/>
        </w:rPr>
        <w:t>общая стоимость состав</w:t>
      </w:r>
      <w:r w:rsidR="000D2221" w:rsidRPr="000D2221">
        <w:rPr>
          <w:rFonts w:asciiTheme="majorHAnsi" w:hAnsiTheme="majorHAnsi" w:cstheme="majorHAnsi"/>
          <w:sz w:val="24"/>
          <w:szCs w:val="24"/>
          <w:lang w:val="ru-MD"/>
        </w:rPr>
        <w:t>ила</w:t>
      </w:r>
      <w:r w:rsidRPr="000D2221">
        <w:rPr>
          <w:rFonts w:asciiTheme="majorHAnsi" w:hAnsiTheme="majorHAnsi" w:cstheme="majorHAnsi"/>
          <w:sz w:val="24"/>
          <w:szCs w:val="24"/>
          <w:lang w:val="ru-MD"/>
        </w:rPr>
        <w:t xml:space="preserve"> 846 млн</w:t>
      </w:r>
      <w:r w:rsidR="006C036D" w:rsidRPr="000D2221">
        <w:rPr>
          <w:rFonts w:asciiTheme="majorHAnsi" w:hAnsiTheme="majorHAnsi" w:cstheme="majorHAnsi"/>
          <w:sz w:val="24"/>
          <w:szCs w:val="24"/>
          <w:lang w:val="ru-MD"/>
        </w:rPr>
        <w:t>.</w:t>
      </w:r>
      <w:r w:rsidRPr="000D2221">
        <w:rPr>
          <w:rFonts w:asciiTheme="majorHAnsi" w:hAnsiTheme="majorHAnsi" w:cstheme="majorHAnsi"/>
          <w:sz w:val="24"/>
          <w:szCs w:val="24"/>
          <w:lang w:val="ru-MD"/>
        </w:rPr>
        <w:t xml:space="preserve"> леев, </w:t>
      </w:r>
      <w:r w:rsidR="000D2221" w:rsidRPr="000D2221">
        <w:rPr>
          <w:rFonts w:asciiTheme="majorHAnsi" w:hAnsiTheme="majorHAnsi" w:cstheme="majorHAnsi"/>
          <w:sz w:val="24"/>
          <w:szCs w:val="24"/>
          <w:lang w:val="ru-MD"/>
        </w:rPr>
        <w:t>или</w:t>
      </w:r>
      <w:r w:rsidRPr="000D2221">
        <w:rPr>
          <w:rFonts w:asciiTheme="majorHAnsi" w:hAnsiTheme="majorHAnsi" w:cstheme="majorHAnsi"/>
          <w:sz w:val="24"/>
          <w:szCs w:val="24"/>
          <w:lang w:val="ru-MD"/>
        </w:rPr>
        <w:t xml:space="preserve"> на 153,0 млн</w:t>
      </w:r>
      <w:r w:rsidR="006C036D" w:rsidRPr="000D2221">
        <w:rPr>
          <w:rFonts w:asciiTheme="majorHAnsi" w:hAnsiTheme="majorHAnsi" w:cstheme="majorHAnsi"/>
          <w:sz w:val="24"/>
          <w:szCs w:val="24"/>
          <w:lang w:val="ru-MD"/>
        </w:rPr>
        <w:t>.</w:t>
      </w:r>
      <w:r w:rsidRPr="000D2221">
        <w:rPr>
          <w:rFonts w:asciiTheme="majorHAnsi" w:hAnsiTheme="majorHAnsi" w:cstheme="majorHAnsi"/>
          <w:sz w:val="24"/>
          <w:szCs w:val="24"/>
          <w:lang w:val="ru-MD"/>
        </w:rPr>
        <w:t xml:space="preserve"> леев больше</w:t>
      </w:r>
      <w:r w:rsidR="000D2221" w:rsidRPr="000D2221">
        <w:rPr>
          <w:rFonts w:asciiTheme="majorHAnsi" w:hAnsiTheme="majorHAnsi" w:cstheme="majorHAnsi"/>
          <w:sz w:val="24"/>
          <w:szCs w:val="24"/>
          <w:lang w:val="ru-MD"/>
        </w:rPr>
        <w:t xml:space="preserve"> их</w:t>
      </w:r>
      <w:r w:rsidRPr="000D2221">
        <w:rPr>
          <w:rFonts w:asciiTheme="majorHAnsi" w:hAnsiTheme="majorHAnsi" w:cstheme="majorHAnsi"/>
          <w:sz w:val="24"/>
          <w:szCs w:val="24"/>
          <w:lang w:val="ru-MD"/>
        </w:rPr>
        <w:t xml:space="preserve"> статистическо</w:t>
      </w:r>
      <w:r w:rsidR="006C036D" w:rsidRPr="000D2221">
        <w:rPr>
          <w:rFonts w:asciiTheme="majorHAnsi" w:hAnsiTheme="majorHAnsi" w:cstheme="majorHAnsi"/>
          <w:sz w:val="24"/>
          <w:szCs w:val="24"/>
          <w:lang w:val="ru-MD"/>
        </w:rPr>
        <w:t xml:space="preserve">й стоимости </w:t>
      </w:r>
      <w:r w:rsidR="000D2221" w:rsidRPr="000D2221">
        <w:rPr>
          <w:rFonts w:asciiTheme="majorHAnsi" w:hAnsiTheme="majorHAnsi" w:cstheme="majorHAnsi"/>
          <w:sz w:val="24"/>
          <w:szCs w:val="24"/>
          <w:lang w:val="ru-MD"/>
        </w:rPr>
        <w:t>при поступлении на</w:t>
      </w:r>
      <w:r w:rsidRPr="000D2221">
        <w:rPr>
          <w:rFonts w:asciiTheme="majorHAnsi" w:hAnsiTheme="majorHAnsi" w:cstheme="majorHAnsi"/>
          <w:sz w:val="24"/>
          <w:szCs w:val="24"/>
          <w:lang w:val="ru-MD"/>
        </w:rPr>
        <w:t xml:space="preserve"> таможенный склад. На момент размещения товара в свободной зоне во всех случаях страна </w:t>
      </w:r>
      <w:r w:rsidR="000D2221" w:rsidRPr="000D2221">
        <w:rPr>
          <w:rFonts w:asciiTheme="majorHAnsi" w:hAnsiTheme="majorHAnsi" w:cstheme="majorHAnsi"/>
          <w:sz w:val="24"/>
          <w:szCs w:val="24"/>
          <w:lang w:val="ru-MD"/>
        </w:rPr>
        <w:t>экспедици</w:t>
      </w:r>
      <w:r w:rsidRPr="000D2221">
        <w:rPr>
          <w:rFonts w:asciiTheme="majorHAnsi" w:hAnsiTheme="majorHAnsi" w:cstheme="majorHAnsi"/>
          <w:sz w:val="24"/>
          <w:szCs w:val="24"/>
          <w:lang w:val="ru-MD"/>
        </w:rPr>
        <w:t xml:space="preserve">и, страна сделки и </w:t>
      </w:r>
      <w:r w:rsidR="000D2221" w:rsidRPr="000D2221">
        <w:rPr>
          <w:rFonts w:asciiTheme="majorHAnsi" w:hAnsiTheme="majorHAnsi" w:cstheme="majorHAnsi"/>
          <w:sz w:val="24"/>
          <w:szCs w:val="24"/>
          <w:lang w:val="ru-MD"/>
        </w:rPr>
        <w:t>экспедитор</w:t>
      </w:r>
      <w:r w:rsidRPr="000D2221">
        <w:rPr>
          <w:rFonts w:asciiTheme="majorHAnsi" w:hAnsiTheme="majorHAnsi" w:cstheme="majorHAnsi"/>
          <w:sz w:val="24"/>
          <w:szCs w:val="24"/>
          <w:lang w:val="ru-MD"/>
        </w:rPr>
        <w:t xml:space="preserve"> не совпадают, являясь разными странами. При этом в 2021 г</w:t>
      </w:r>
      <w:r w:rsidR="000D2221" w:rsidRPr="000D2221">
        <w:rPr>
          <w:rFonts w:asciiTheme="majorHAnsi" w:hAnsiTheme="majorHAnsi" w:cstheme="majorHAnsi"/>
          <w:sz w:val="24"/>
          <w:szCs w:val="24"/>
          <w:lang w:val="ru-MD"/>
        </w:rPr>
        <w:t>оду</w:t>
      </w:r>
      <w:r w:rsidRPr="000D2221">
        <w:rPr>
          <w:rFonts w:asciiTheme="majorHAnsi" w:hAnsiTheme="majorHAnsi" w:cstheme="majorHAnsi"/>
          <w:sz w:val="24"/>
          <w:szCs w:val="24"/>
          <w:lang w:val="ru-MD"/>
        </w:rPr>
        <w:t xml:space="preserve"> для некоторых автомобилей класса люкс, размещенных в </w:t>
      </w:r>
      <w:r w:rsidR="006C036D" w:rsidRPr="000D2221">
        <w:rPr>
          <w:rFonts w:asciiTheme="majorHAnsi" w:hAnsiTheme="majorHAnsi" w:cstheme="majorHAnsi"/>
          <w:color w:val="333333"/>
          <w:sz w:val="24"/>
          <w:szCs w:val="24"/>
          <w:shd w:val="clear" w:color="auto" w:fill="FFFFFF"/>
          <w:lang w:val="ru-MD"/>
        </w:rPr>
        <w:t>„</w:t>
      </w:r>
      <w:r w:rsidRPr="000D2221">
        <w:rPr>
          <w:rFonts w:asciiTheme="majorHAnsi" w:hAnsiTheme="majorHAnsi" w:cstheme="majorHAnsi"/>
          <w:sz w:val="24"/>
          <w:szCs w:val="24"/>
          <w:lang w:val="ru-MD"/>
        </w:rPr>
        <w:t>свободной экономической зоне</w:t>
      </w:r>
      <w:r w:rsidR="006C036D" w:rsidRPr="000D2221">
        <w:rPr>
          <w:rFonts w:asciiTheme="majorHAnsi" w:hAnsiTheme="majorHAnsi" w:cstheme="majorHAnsi"/>
          <w:sz w:val="24"/>
          <w:szCs w:val="24"/>
          <w:lang w:val="ru-MD"/>
        </w:rPr>
        <w:t>”</w:t>
      </w:r>
      <w:r w:rsidRPr="000D2221">
        <w:rPr>
          <w:rFonts w:asciiTheme="majorHAnsi" w:hAnsiTheme="majorHAnsi" w:cstheme="majorHAnsi"/>
          <w:sz w:val="24"/>
          <w:szCs w:val="24"/>
          <w:lang w:val="ru-MD"/>
        </w:rPr>
        <w:t xml:space="preserve"> </w:t>
      </w:r>
      <w:r w:rsidR="000D2221" w:rsidRPr="000D2221">
        <w:rPr>
          <w:rFonts w:asciiTheme="majorHAnsi" w:hAnsiTheme="majorHAnsi" w:cstheme="majorHAnsi"/>
          <w:sz w:val="24"/>
          <w:szCs w:val="24"/>
          <w:lang w:val="ru-MD"/>
        </w:rPr>
        <w:t xml:space="preserve">одним </w:t>
      </w:r>
      <w:r w:rsidRPr="000D2221">
        <w:rPr>
          <w:rFonts w:asciiTheme="majorHAnsi" w:hAnsiTheme="majorHAnsi" w:cstheme="majorHAnsi"/>
          <w:sz w:val="24"/>
          <w:szCs w:val="24"/>
          <w:lang w:val="ru-MD"/>
        </w:rPr>
        <w:t>резидентом</w:t>
      </w:r>
      <w:r w:rsidR="000D2221" w:rsidRPr="000D2221">
        <w:rPr>
          <w:rStyle w:val="FootnoteReference"/>
          <w:rFonts w:asciiTheme="majorHAnsi" w:hAnsiTheme="majorHAnsi" w:cstheme="majorHAnsi"/>
          <w:color w:val="333333"/>
          <w:sz w:val="24"/>
          <w:szCs w:val="24"/>
          <w:shd w:val="clear" w:color="auto" w:fill="FFFFFF"/>
          <w:lang w:val="ru-MD"/>
        </w:rPr>
        <w:footnoteReference w:id="103"/>
      </w:r>
      <w:r w:rsidRPr="000D2221">
        <w:rPr>
          <w:rFonts w:asciiTheme="majorHAnsi" w:hAnsiTheme="majorHAnsi" w:cstheme="majorHAnsi"/>
          <w:sz w:val="24"/>
          <w:szCs w:val="24"/>
          <w:lang w:val="ru-MD"/>
        </w:rPr>
        <w:t>, со статистической стоимостью экспорта 100,9 млн</w:t>
      </w:r>
      <w:r w:rsidR="000D2221" w:rsidRPr="000D2221">
        <w:rPr>
          <w:rFonts w:asciiTheme="majorHAnsi" w:hAnsiTheme="majorHAnsi" w:cstheme="majorHAnsi"/>
          <w:sz w:val="24"/>
          <w:szCs w:val="24"/>
          <w:lang w:val="ru-MD"/>
        </w:rPr>
        <w:t>.</w:t>
      </w:r>
      <w:r w:rsidRPr="000D2221">
        <w:rPr>
          <w:rFonts w:asciiTheme="majorHAnsi" w:hAnsiTheme="majorHAnsi" w:cstheme="majorHAnsi"/>
          <w:sz w:val="24"/>
          <w:szCs w:val="24"/>
          <w:lang w:val="ru-MD"/>
        </w:rPr>
        <w:t xml:space="preserve"> леев, страной сделки являются Объединенные Арабские Эмираты, юрисдикция, не </w:t>
      </w:r>
      <w:r w:rsidR="000D2221" w:rsidRPr="000D2221">
        <w:rPr>
          <w:rFonts w:asciiTheme="majorHAnsi" w:hAnsiTheme="majorHAnsi" w:cstheme="majorHAnsi"/>
          <w:sz w:val="24"/>
          <w:szCs w:val="24"/>
          <w:lang w:val="ru-MD"/>
        </w:rPr>
        <w:t>соблюда</w:t>
      </w:r>
      <w:r w:rsidRPr="000D2221">
        <w:rPr>
          <w:rFonts w:asciiTheme="majorHAnsi" w:hAnsiTheme="majorHAnsi" w:cstheme="majorHAnsi"/>
          <w:sz w:val="24"/>
          <w:szCs w:val="24"/>
          <w:lang w:val="ru-MD"/>
        </w:rPr>
        <w:t>ющая международные стандарты прозрачности</w:t>
      </w:r>
      <w:r w:rsidR="00451376" w:rsidRPr="000D2221">
        <w:rPr>
          <w:rStyle w:val="FootnoteReference"/>
          <w:rFonts w:asciiTheme="majorHAnsi" w:eastAsia="Times New Roman" w:hAnsiTheme="majorHAnsi" w:cstheme="majorHAnsi"/>
          <w:sz w:val="24"/>
          <w:szCs w:val="24"/>
          <w:lang w:val="ru-MD" w:eastAsia="ro-RO"/>
        </w:rPr>
        <w:footnoteReference w:id="104"/>
      </w:r>
      <w:r w:rsidR="006343A3" w:rsidRPr="000D2221">
        <w:rPr>
          <w:rFonts w:asciiTheme="majorHAnsi" w:hAnsiTheme="majorHAnsi" w:cstheme="majorHAnsi"/>
          <w:sz w:val="24"/>
          <w:szCs w:val="24"/>
          <w:lang w:val="ru-MD"/>
        </w:rPr>
        <w:t>.</w:t>
      </w:r>
    </w:p>
    <w:p w14:paraId="4A8DDF18" w14:textId="4BD2869A" w:rsidR="00DD5014" w:rsidRPr="006C036D" w:rsidRDefault="00624FF8" w:rsidP="00624FF8">
      <w:pPr>
        <w:pStyle w:val="ListParagraph"/>
        <w:numPr>
          <w:ilvl w:val="0"/>
          <w:numId w:val="12"/>
        </w:numPr>
        <w:spacing w:line="276" w:lineRule="auto"/>
        <w:ind w:left="0" w:firstLine="360"/>
        <w:jc w:val="both"/>
        <w:rPr>
          <w:rFonts w:asciiTheme="majorHAnsi" w:hAnsiTheme="majorHAnsi" w:cstheme="majorHAnsi"/>
          <w:sz w:val="24"/>
          <w:szCs w:val="24"/>
          <w:lang w:val="ru-MD"/>
        </w:rPr>
      </w:pPr>
      <w:r w:rsidRPr="006C036D">
        <w:rPr>
          <w:rFonts w:asciiTheme="majorHAnsi" w:hAnsiTheme="majorHAnsi" w:cstheme="majorHAnsi"/>
          <w:sz w:val="24"/>
          <w:szCs w:val="24"/>
          <w:lang w:val="ru-MD"/>
        </w:rPr>
        <w:t>Аналогичн</w:t>
      </w:r>
      <w:r w:rsidR="00E834F7" w:rsidRPr="006C036D">
        <w:rPr>
          <w:rFonts w:asciiTheme="majorHAnsi" w:hAnsiTheme="majorHAnsi" w:cstheme="majorHAnsi"/>
          <w:sz w:val="24"/>
          <w:szCs w:val="24"/>
          <w:lang w:val="ru-MD"/>
        </w:rPr>
        <w:t>о,</w:t>
      </w:r>
      <w:r w:rsidRPr="006C036D">
        <w:rPr>
          <w:rFonts w:asciiTheme="majorHAnsi" w:hAnsiTheme="majorHAnsi" w:cstheme="majorHAnsi"/>
          <w:sz w:val="24"/>
          <w:szCs w:val="24"/>
          <w:lang w:val="ru-MD"/>
        </w:rPr>
        <w:t xml:space="preserve"> через у</w:t>
      </w:r>
      <w:r w:rsidR="00E834F7" w:rsidRPr="006C036D">
        <w:rPr>
          <w:rFonts w:asciiTheme="majorHAnsi" w:hAnsiTheme="majorHAnsi" w:cstheme="majorHAnsi"/>
          <w:sz w:val="24"/>
          <w:szCs w:val="24"/>
          <w:lang w:val="ru-MD"/>
        </w:rPr>
        <w:t>каза</w:t>
      </w:r>
      <w:r w:rsidRPr="006C036D">
        <w:rPr>
          <w:rFonts w:asciiTheme="majorHAnsi" w:hAnsiTheme="majorHAnsi" w:cstheme="majorHAnsi"/>
          <w:sz w:val="24"/>
          <w:szCs w:val="24"/>
          <w:lang w:val="ru-MD"/>
        </w:rPr>
        <w:t xml:space="preserve">нные таможенные режимы </w:t>
      </w:r>
      <w:r w:rsidR="006C036D">
        <w:rPr>
          <w:rFonts w:asciiTheme="majorHAnsi" w:hAnsiTheme="majorHAnsi" w:cstheme="majorHAnsi"/>
          <w:sz w:val="24"/>
          <w:szCs w:val="24"/>
          <w:lang w:val="ru-MD"/>
        </w:rPr>
        <w:t>в период</w:t>
      </w:r>
      <w:r w:rsidRPr="006C036D">
        <w:rPr>
          <w:rFonts w:asciiTheme="majorHAnsi" w:hAnsiTheme="majorHAnsi" w:cstheme="majorHAnsi"/>
          <w:sz w:val="24"/>
          <w:szCs w:val="24"/>
          <w:lang w:val="ru-MD"/>
        </w:rPr>
        <w:t xml:space="preserve"> 2020-2021 г</w:t>
      </w:r>
      <w:r w:rsidR="00E834F7" w:rsidRPr="006C036D">
        <w:rPr>
          <w:rFonts w:asciiTheme="majorHAnsi" w:hAnsiTheme="majorHAnsi" w:cstheme="majorHAnsi"/>
          <w:sz w:val="24"/>
          <w:szCs w:val="24"/>
          <w:lang w:val="ru-MD"/>
        </w:rPr>
        <w:t>одов</w:t>
      </w:r>
      <w:r w:rsidRPr="006C036D">
        <w:rPr>
          <w:rFonts w:asciiTheme="majorHAnsi" w:hAnsiTheme="majorHAnsi" w:cstheme="majorHAnsi"/>
          <w:sz w:val="24"/>
          <w:szCs w:val="24"/>
          <w:lang w:val="ru-MD"/>
        </w:rPr>
        <w:t xml:space="preserve"> были ввезены и помещены </w:t>
      </w:r>
      <w:r w:rsidR="00E834F7" w:rsidRPr="006C036D">
        <w:rPr>
          <w:rFonts w:asciiTheme="majorHAnsi" w:hAnsiTheme="majorHAnsi" w:cstheme="majorHAnsi"/>
          <w:sz w:val="24"/>
          <w:szCs w:val="24"/>
          <w:lang w:val="ru-MD"/>
        </w:rPr>
        <w:t>под</w:t>
      </w:r>
      <w:r w:rsidRPr="006C036D">
        <w:rPr>
          <w:rFonts w:asciiTheme="majorHAnsi" w:hAnsiTheme="majorHAnsi" w:cstheme="majorHAnsi"/>
          <w:sz w:val="24"/>
          <w:szCs w:val="24"/>
          <w:lang w:val="ru-MD"/>
        </w:rPr>
        <w:t xml:space="preserve"> таможенный склад, а затем реэкспортированы из </w:t>
      </w:r>
      <w:r w:rsidR="00E834F7" w:rsidRPr="006C036D">
        <w:rPr>
          <w:rFonts w:asciiTheme="majorHAnsi" w:hAnsiTheme="majorHAnsi" w:cstheme="majorHAnsi"/>
          <w:color w:val="333333"/>
          <w:sz w:val="24"/>
          <w:szCs w:val="24"/>
          <w:shd w:val="clear" w:color="auto" w:fill="FFFFFF"/>
          <w:lang w:val="ru-MD"/>
        </w:rPr>
        <w:t>„</w:t>
      </w:r>
      <w:r w:rsidRPr="006C036D">
        <w:rPr>
          <w:rFonts w:asciiTheme="majorHAnsi" w:hAnsiTheme="majorHAnsi" w:cstheme="majorHAnsi"/>
          <w:sz w:val="24"/>
          <w:szCs w:val="24"/>
          <w:lang w:val="ru-MD"/>
        </w:rPr>
        <w:t>свободной зоны</w:t>
      </w:r>
      <w:r w:rsidR="00E834F7" w:rsidRPr="006C036D">
        <w:rPr>
          <w:rFonts w:asciiTheme="majorHAnsi" w:hAnsiTheme="majorHAnsi" w:cstheme="majorHAnsi"/>
          <w:color w:val="333333"/>
          <w:sz w:val="24"/>
          <w:szCs w:val="24"/>
          <w:shd w:val="clear" w:color="auto" w:fill="FFFFFF"/>
          <w:lang w:val="ru-MD"/>
        </w:rPr>
        <w:t>”</w:t>
      </w:r>
      <w:r w:rsidRPr="006C036D">
        <w:rPr>
          <w:rFonts w:asciiTheme="majorHAnsi" w:hAnsiTheme="majorHAnsi" w:cstheme="majorHAnsi"/>
          <w:sz w:val="24"/>
          <w:szCs w:val="24"/>
          <w:lang w:val="ru-MD"/>
        </w:rPr>
        <w:t xml:space="preserve">, в частности в Российскую Федерацию, </w:t>
      </w:r>
      <w:r w:rsidR="00E834F7" w:rsidRPr="006C036D">
        <w:rPr>
          <w:rFonts w:asciiTheme="majorHAnsi" w:hAnsiTheme="majorHAnsi" w:cstheme="majorHAnsi"/>
          <w:sz w:val="24"/>
          <w:szCs w:val="24"/>
          <w:lang w:val="ru-MD"/>
        </w:rPr>
        <w:t xml:space="preserve">лекарственные препараты </w:t>
      </w:r>
      <w:r w:rsidRPr="006C036D">
        <w:rPr>
          <w:rFonts w:asciiTheme="majorHAnsi" w:hAnsiTheme="majorHAnsi" w:cstheme="majorHAnsi"/>
          <w:sz w:val="24"/>
          <w:szCs w:val="24"/>
          <w:lang w:val="ru-MD"/>
        </w:rPr>
        <w:t xml:space="preserve">импортированные </w:t>
      </w:r>
      <w:r w:rsidR="00E834F7" w:rsidRPr="006C036D">
        <w:rPr>
          <w:rFonts w:asciiTheme="majorHAnsi" w:hAnsiTheme="majorHAnsi" w:cstheme="majorHAnsi"/>
          <w:sz w:val="24"/>
          <w:szCs w:val="24"/>
          <w:lang w:val="ru-MD"/>
        </w:rPr>
        <w:t xml:space="preserve">в основном </w:t>
      </w:r>
      <w:r w:rsidRPr="006C036D">
        <w:rPr>
          <w:rFonts w:asciiTheme="majorHAnsi" w:hAnsiTheme="majorHAnsi" w:cstheme="majorHAnsi"/>
          <w:sz w:val="24"/>
          <w:szCs w:val="24"/>
          <w:lang w:val="ru-MD"/>
        </w:rPr>
        <w:t>из Италии</w:t>
      </w:r>
      <w:r w:rsidR="00E834F7" w:rsidRPr="006C036D">
        <w:rPr>
          <w:rFonts w:asciiTheme="majorHAnsi" w:hAnsiTheme="majorHAnsi" w:cstheme="majorHAnsi"/>
          <w:sz w:val="24"/>
          <w:szCs w:val="24"/>
          <w:lang w:val="ru-MD"/>
        </w:rPr>
        <w:t>,</w:t>
      </w:r>
      <w:r w:rsidRPr="006C036D">
        <w:rPr>
          <w:rFonts w:asciiTheme="majorHAnsi" w:hAnsiTheme="majorHAnsi" w:cstheme="majorHAnsi"/>
          <w:sz w:val="24"/>
          <w:szCs w:val="24"/>
          <w:lang w:val="ru-MD"/>
        </w:rPr>
        <w:t xml:space="preserve"> на сумму 837,0 млн. леев</w:t>
      </w:r>
      <w:r w:rsidR="00E834F7" w:rsidRPr="006C036D">
        <w:rPr>
          <w:rFonts w:asciiTheme="majorHAnsi" w:hAnsiTheme="majorHAnsi" w:cstheme="majorHAnsi"/>
          <w:sz w:val="24"/>
          <w:szCs w:val="24"/>
          <w:lang w:val="ru-MD"/>
        </w:rPr>
        <w:t>,</w:t>
      </w:r>
      <w:r w:rsidRPr="006C036D">
        <w:rPr>
          <w:rFonts w:asciiTheme="majorHAnsi" w:hAnsiTheme="majorHAnsi" w:cstheme="majorHAnsi"/>
          <w:sz w:val="24"/>
          <w:szCs w:val="24"/>
          <w:lang w:val="ru-MD"/>
        </w:rPr>
        <w:t xml:space="preserve"> </w:t>
      </w:r>
      <w:r w:rsidR="00E834F7" w:rsidRPr="006C036D">
        <w:rPr>
          <w:rFonts w:asciiTheme="majorHAnsi" w:hAnsiTheme="majorHAnsi" w:cstheme="majorHAnsi"/>
          <w:sz w:val="24"/>
          <w:szCs w:val="24"/>
          <w:lang w:val="ru-MD"/>
        </w:rPr>
        <w:t xml:space="preserve">одним </w:t>
      </w:r>
      <w:r w:rsidRPr="006C036D">
        <w:rPr>
          <w:rFonts w:asciiTheme="majorHAnsi" w:hAnsiTheme="majorHAnsi" w:cstheme="majorHAnsi"/>
          <w:sz w:val="24"/>
          <w:szCs w:val="24"/>
          <w:lang w:val="ru-MD"/>
        </w:rPr>
        <w:t>резидентом</w:t>
      </w:r>
      <w:r w:rsidR="00E834F7" w:rsidRPr="006C036D">
        <w:rPr>
          <w:rStyle w:val="FootnoteReference"/>
          <w:rFonts w:asciiTheme="majorHAnsi" w:hAnsiTheme="majorHAnsi" w:cstheme="majorHAnsi"/>
          <w:color w:val="333333"/>
          <w:sz w:val="24"/>
          <w:szCs w:val="24"/>
          <w:shd w:val="clear" w:color="auto" w:fill="FFFFFF"/>
          <w:lang w:val="ru-MD"/>
        </w:rPr>
        <w:footnoteReference w:id="105"/>
      </w:r>
      <w:r w:rsidR="00E834F7" w:rsidRPr="006C036D">
        <w:rPr>
          <w:rFonts w:asciiTheme="majorHAnsi" w:hAnsiTheme="majorHAnsi" w:cstheme="majorHAnsi"/>
          <w:sz w:val="24"/>
          <w:szCs w:val="24"/>
          <w:lang w:val="ru-MD"/>
        </w:rPr>
        <w:t>, пользующимся</w:t>
      </w:r>
      <w:r w:rsidRPr="006C036D">
        <w:rPr>
          <w:rFonts w:asciiTheme="majorHAnsi" w:hAnsiTheme="majorHAnsi" w:cstheme="majorHAnsi"/>
          <w:sz w:val="24"/>
          <w:szCs w:val="24"/>
          <w:lang w:val="ru-MD"/>
        </w:rPr>
        <w:t xml:space="preserve"> освобождением от импортных пошлин</w:t>
      </w:r>
      <w:r w:rsidR="006C036D" w:rsidRPr="006C036D">
        <w:rPr>
          <w:rFonts w:asciiTheme="majorHAnsi" w:hAnsiTheme="majorHAnsi" w:cstheme="majorHAnsi"/>
          <w:sz w:val="24"/>
          <w:szCs w:val="24"/>
          <w:lang w:val="ru-MD"/>
        </w:rPr>
        <w:t>,</w:t>
      </w:r>
      <w:r w:rsidRPr="006C036D">
        <w:rPr>
          <w:rFonts w:asciiTheme="majorHAnsi" w:hAnsiTheme="majorHAnsi" w:cstheme="majorHAnsi"/>
          <w:sz w:val="24"/>
          <w:szCs w:val="24"/>
          <w:lang w:val="ru-MD"/>
        </w:rPr>
        <w:t xml:space="preserve"> и юрисдикциями, которые не </w:t>
      </w:r>
      <w:r w:rsidR="006C036D" w:rsidRPr="006C036D">
        <w:rPr>
          <w:rFonts w:asciiTheme="majorHAnsi" w:hAnsiTheme="majorHAnsi" w:cstheme="majorHAnsi"/>
          <w:sz w:val="24"/>
          <w:szCs w:val="24"/>
          <w:lang w:val="ru-MD"/>
        </w:rPr>
        <w:t>соблюда</w:t>
      </w:r>
      <w:r w:rsidRPr="006C036D">
        <w:rPr>
          <w:rFonts w:asciiTheme="majorHAnsi" w:hAnsiTheme="majorHAnsi" w:cstheme="majorHAnsi"/>
          <w:sz w:val="24"/>
          <w:szCs w:val="24"/>
          <w:lang w:val="ru-MD"/>
        </w:rPr>
        <w:t>ют международные стандарты прозрачности, страной сделки является Мальта и Объединенные Арабские Эмираты</w:t>
      </w:r>
      <w:r w:rsidR="00FE2957" w:rsidRPr="006C036D">
        <w:rPr>
          <w:rFonts w:asciiTheme="majorHAnsi" w:hAnsiTheme="majorHAnsi" w:cstheme="majorHAnsi"/>
          <w:sz w:val="24"/>
          <w:szCs w:val="24"/>
          <w:lang w:val="ru-MD"/>
        </w:rPr>
        <w:t>.</w:t>
      </w:r>
      <w:r w:rsidR="00D1600C" w:rsidRPr="006C036D">
        <w:rPr>
          <w:rFonts w:asciiTheme="majorHAnsi" w:hAnsiTheme="majorHAnsi" w:cstheme="majorHAnsi"/>
          <w:sz w:val="24"/>
          <w:szCs w:val="24"/>
          <w:lang w:val="ru-MD"/>
        </w:rPr>
        <w:t xml:space="preserve">  </w:t>
      </w:r>
    </w:p>
    <w:p w14:paraId="3FB48225" w14:textId="77777777" w:rsidR="00D1600C" w:rsidRPr="00B20FBD" w:rsidRDefault="00D1600C" w:rsidP="0019244F">
      <w:pPr>
        <w:spacing w:after="0"/>
        <w:ind w:firstLine="709"/>
        <w:jc w:val="both"/>
        <w:rPr>
          <w:rFonts w:asciiTheme="majorHAnsi" w:hAnsiTheme="majorHAnsi" w:cstheme="majorHAnsi"/>
          <w:color w:val="333333"/>
          <w:sz w:val="24"/>
          <w:szCs w:val="24"/>
          <w:shd w:val="clear" w:color="auto" w:fill="FFFFFF"/>
          <w:lang w:val="ro-RO"/>
        </w:rPr>
      </w:pPr>
    </w:p>
    <w:p w14:paraId="0AF1AAE6" w14:textId="724E975F" w:rsidR="009453ED" w:rsidRPr="00B20FBD" w:rsidRDefault="00624FF8" w:rsidP="009453ED">
      <w:pPr>
        <w:spacing w:after="0"/>
        <w:ind w:firstLine="709"/>
        <w:jc w:val="both"/>
        <w:rPr>
          <w:rFonts w:asciiTheme="majorHAnsi" w:hAnsiTheme="majorHAnsi" w:cstheme="majorHAnsi"/>
          <w:i/>
          <w:color w:val="333333"/>
          <w:sz w:val="24"/>
          <w:szCs w:val="24"/>
          <w:shd w:val="clear" w:color="auto" w:fill="FFFFFF"/>
          <w:lang w:val="ro-MD"/>
        </w:rPr>
      </w:pPr>
      <w:r w:rsidRPr="005144B9">
        <w:rPr>
          <w:rFonts w:asciiTheme="majorHAnsi" w:hAnsiTheme="majorHAnsi" w:cstheme="majorHAnsi"/>
          <w:b/>
          <w:color w:val="333333"/>
          <w:sz w:val="24"/>
          <w:szCs w:val="24"/>
          <w:shd w:val="clear" w:color="auto" w:fill="FFFFFF"/>
          <w:lang w:val="ru-MD"/>
        </w:rPr>
        <w:t>Примечание</w:t>
      </w:r>
      <w:r w:rsidR="008138D8" w:rsidRPr="00B20FBD">
        <w:rPr>
          <w:rFonts w:asciiTheme="majorHAnsi" w:hAnsiTheme="majorHAnsi" w:cstheme="majorHAnsi"/>
          <w:b/>
          <w:color w:val="333333"/>
          <w:sz w:val="24"/>
          <w:szCs w:val="24"/>
          <w:shd w:val="clear" w:color="auto" w:fill="FFFFFF"/>
          <w:lang w:val="ro-RO"/>
        </w:rPr>
        <w:t>:</w:t>
      </w:r>
      <w:r w:rsidR="008138D8" w:rsidRPr="00B20FBD">
        <w:rPr>
          <w:rFonts w:asciiTheme="majorHAnsi" w:hAnsiTheme="majorHAnsi" w:cstheme="majorHAnsi"/>
          <w:color w:val="333333"/>
          <w:sz w:val="24"/>
          <w:szCs w:val="24"/>
          <w:shd w:val="clear" w:color="auto" w:fill="FFFFFF"/>
          <w:lang w:val="ro-RO"/>
        </w:rPr>
        <w:t xml:space="preserve"> </w:t>
      </w:r>
      <w:r w:rsidRPr="005144B9">
        <w:rPr>
          <w:rFonts w:asciiTheme="majorHAnsi" w:hAnsiTheme="majorHAnsi" w:cstheme="majorHAnsi"/>
          <w:i/>
          <w:color w:val="333333"/>
          <w:sz w:val="24"/>
          <w:szCs w:val="24"/>
          <w:shd w:val="clear" w:color="auto" w:fill="FFFFFF"/>
          <w:lang w:val="ru-MD"/>
        </w:rPr>
        <w:t xml:space="preserve">Таможенная служба </w:t>
      </w:r>
      <w:r w:rsidR="00512434" w:rsidRPr="005144B9">
        <w:rPr>
          <w:rFonts w:asciiTheme="majorHAnsi" w:hAnsiTheme="majorHAnsi" w:cstheme="majorHAnsi"/>
          <w:i/>
          <w:color w:val="333333"/>
          <w:sz w:val="24"/>
          <w:szCs w:val="24"/>
          <w:shd w:val="clear" w:color="auto" w:fill="FFFFFF"/>
          <w:lang w:val="ru-MD"/>
        </w:rPr>
        <w:t xml:space="preserve">27.05.2021 </w:t>
      </w:r>
      <w:r w:rsidRPr="005144B9">
        <w:rPr>
          <w:rFonts w:asciiTheme="majorHAnsi" w:hAnsiTheme="majorHAnsi" w:cstheme="majorHAnsi"/>
          <w:i/>
          <w:color w:val="333333"/>
          <w:sz w:val="24"/>
          <w:szCs w:val="24"/>
          <w:shd w:val="clear" w:color="auto" w:fill="FFFFFF"/>
          <w:lang w:val="ru-MD"/>
        </w:rPr>
        <w:t xml:space="preserve">направила  письмо в </w:t>
      </w:r>
      <w:r w:rsidR="00512434" w:rsidRPr="005144B9">
        <w:rPr>
          <w:rFonts w:asciiTheme="majorHAnsi" w:hAnsiTheme="majorHAnsi" w:cstheme="majorHAnsi"/>
          <w:i/>
          <w:color w:val="333333"/>
          <w:sz w:val="24"/>
          <w:szCs w:val="24"/>
          <w:shd w:val="clear" w:color="auto" w:fill="FFFFFF"/>
          <w:lang w:val="ru-MD"/>
        </w:rPr>
        <w:t>адрес С</w:t>
      </w:r>
      <w:r w:rsidRPr="005144B9">
        <w:rPr>
          <w:rFonts w:asciiTheme="majorHAnsi" w:hAnsiTheme="majorHAnsi" w:cstheme="majorHAnsi"/>
          <w:i/>
          <w:color w:val="333333"/>
          <w:sz w:val="24"/>
          <w:szCs w:val="24"/>
          <w:shd w:val="clear" w:color="auto" w:fill="FFFFFF"/>
          <w:lang w:val="ru-MD"/>
        </w:rPr>
        <w:t>лужб</w:t>
      </w:r>
      <w:r w:rsidR="00512434" w:rsidRPr="005144B9">
        <w:rPr>
          <w:rFonts w:asciiTheme="majorHAnsi" w:hAnsiTheme="majorHAnsi" w:cstheme="majorHAnsi"/>
          <w:i/>
          <w:color w:val="333333"/>
          <w:sz w:val="24"/>
          <w:szCs w:val="24"/>
          <w:shd w:val="clear" w:color="auto" w:fill="FFFFFF"/>
          <w:lang w:val="ru-MD"/>
        </w:rPr>
        <w:t>ы</w:t>
      </w:r>
      <w:r w:rsidRPr="005144B9">
        <w:rPr>
          <w:rFonts w:asciiTheme="majorHAnsi" w:hAnsiTheme="majorHAnsi" w:cstheme="majorHAnsi"/>
          <w:i/>
          <w:color w:val="333333"/>
          <w:sz w:val="24"/>
          <w:szCs w:val="24"/>
          <w:shd w:val="clear" w:color="auto" w:fill="FFFFFF"/>
          <w:lang w:val="ru-MD"/>
        </w:rPr>
        <w:t xml:space="preserve"> по предотвращению и борьбе с отмыванием денег, касающееся непрозрачного импорта/экспорта легковых автомобилей класса люкс</w:t>
      </w:r>
      <w:r w:rsidR="00512434" w:rsidRPr="005144B9">
        <w:rPr>
          <w:rStyle w:val="FootnoteReference"/>
          <w:rFonts w:asciiTheme="majorHAnsi" w:hAnsiTheme="majorHAnsi" w:cstheme="majorHAnsi"/>
          <w:i/>
          <w:color w:val="333333"/>
          <w:sz w:val="24"/>
          <w:szCs w:val="24"/>
          <w:shd w:val="clear" w:color="auto" w:fill="FFFFFF"/>
          <w:lang w:val="ru-MD"/>
        </w:rPr>
        <w:footnoteReference w:id="106"/>
      </w:r>
      <w:r w:rsidRPr="005144B9">
        <w:rPr>
          <w:rFonts w:asciiTheme="majorHAnsi" w:hAnsiTheme="majorHAnsi" w:cstheme="majorHAnsi"/>
          <w:i/>
          <w:color w:val="333333"/>
          <w:sz w:val="24"/>
          <w:szCs w:val="24"/>
          <w:shd w:val="clear" w:color="auto" w:fill="FFFFFF"/>
          <w:lang w:val="ru-MD"/>
        </w:rPr>
        <w:t xml:space="preserve"> через таможенный склад и свободную экономическую зону, однако </w:t>
      </w:r>
      <w:r w:rsidR="00512434" w:rsidRPr="005144B9">
        <w:rPr>
          <w:rFonts w:asciiTheme="majorHAnsi" w:hAnsiTheme="majorHAnsi" w:cstheme="majorHAnsi"/>
          <w:i/>
          <w:color w:val="333333"/>
          <w:sz w:val="24"/>
          <w:szCs w:val="24"/>
          <w:shd w:val="clear" w:color="auto" w:fill="FFFFFF"/>
          <w:lang w:val="ru-MD"/>
        </w:rPr>
        <w:t>п</w:t>
      </w:r>
      <w:r w:rsidRPr="005144B9">
        <w:rPr>
          <w:rFonts w:asciiTheme="majorHAnsi" w:hAnsiTheme="majorHAnsi" w:cstheme="majorHAnsi"/>
          <w:i/>
          <w:color w:val="333333"/>
          <w:sz w:val="24"/>
          <w:szCs w:val="24"/>
          <w:shd w:val="clear" w:color="auto" w:fill="FFFFFF"/>
          <w:lang w:val="ru-MD"/>
        </w:rPr>
        <w:t xml:space="preserve">о </w:t>
      </w:r>
      <w:r w:rsidR="00512434" w:rsidRPr="005144B9">
        <w:rPr>
          <w:rFonts w:asciiTheme="majorHAnsi" w:hAnsiTheme="majorHAnsi" w:cstheme="majorHAnsi"/>
          <w:i/>
          <w:color w:val="333333"/>
          <w:sz w:val="24"/>
          <w:szCs w:val="24"/>
          <w:shd w:val="clear" w:color="auto" w:fill="FFFFFF"/>
          <w:lang w:val="ru-MD"/>
        </w:rPr>
        <w:t>состоянию на</w:t>
      </w:r>
      <w:r w:rsidRPr="005144B9">
        <w:rPr>
          <w:rFonts w:asciiTheme="majorHAnsi" w:hAnsiTheme="majorHAnsi" w:cstheme="majorHAnsi"/>
          <w:i/>
          <w:color w:val="333333"/>
          <w:sz w:val="24"/>
          <w:szCs w:val="24"/>
          <w:shd w:val="clear" w:color="auto" w:fill="FFFFFF"/>
          <w:lang w:val="ru-MD"/>
        </w:rPr>
        <w:t xml:space="preserve"> 01.08.2022 ответ на этот вопрос не поступал.</w:t>
      </w:r>
      <w:r>
        <w:rPr>
          <w:rFonts w:asciiTheme="majorHAnsi" w:hAnsiTheme="majorHAnsi" w:cstheme="majorHAnsi"/>
          <w:color w:val="333333"/>
          <w:sz w:val="24"/>
          <w:szCs w:val="24"/>
          <w:shd w:val="clear" w:color="auto" w:fill="FFFFFF"/>
        </w:rPr>
        <w:t xml:space="preserve"> </w:t>
      </w:r>
    </w:p>
    <w:p w14:paraId="7435EAC8" w14:textId="77777777" w:rsidR="007407B2" w:rsidRPr="00B20FBD" w:rsidRDefault="007407B2" w:rsidP="009453ED">
      <w:pPr>
        <w:spacing w:after="0"/>
        <w:ind w:firstLine="709"/>
        <w:jc w:val="both"/>
        <w:rPr>
          <w:rFonts w:asciiTheme="majorHAnsi" w:hAnsiTheme="majorHAnsi" w:cstheme="majorHAnsi"/>
          <w:i/>
          <w:color w:val="333333"/>
          <w:sz w:val="24"/>
          <w:szCs w:val="24"/>
          <w:shd w:val="clear" w:color="auto" w:fill="FFFFFF"/>
          <w:lang w:val="ro-MD"/>
        </w:rPr>
      </w:pPr>
    </w:p>
    <w:p w14:paraId="537CE175" w14:textId="4A42F0F4" w:rsidR="006075C8" w:rsidRPr="00B20FBD" w:rsidRDefault="00624FF8" w:rsidP="00522974">
      <w:pPr>
        <w:pStyle w:val="ListParagraph"/>
        <w:numPr>
          <w:ilvl w:val="1"/>
          <w:numId w:val="21"/>
        </w:numPr>
        <w:ind w:firstLine="207"/>
        <w:jc w:val="both"/>
        <w:outlineLvl w:val="1"/>
        <w:rPr>
          <w:rFonts w:asciiTheme="majorHAnsi" w:hAnsiTheme="majorHAnsi" w:cstheme="majorHAnsi"/>
          <w:i/>
          <w:color w:val="333333"/>
          <w:sz w:val="24"/>
          <w:szCs w:val="24"/>
          <w:shd w:val="clear" w:color="auto" w:fill="FFFFFF"/>
          <w:lang w:val="ro-MD"/>
        </w:rPr>
      </w:pPr>
      <w:bookmarkStart w:id="60" w:name="_Toc127129414"/>
      <w:r>
        <w:rPr>
          <w:rFonts w:asciiTheme="majorHAnsi" w:hAnsiTheme="majorHAnsi" w:cstheme="majorHAnsi"/>
          <w:b/>
          <w:sz w:val="24"/>
          <w:szCs w:val="24"/>
          <w:lang w:val="ru-RU"/>
        </w:rPr>
        <w:t>Другие констатации аудита</w:t>
      </w:r>
      <w:bookmarkEnd w:id="60"/>
    </w:p>
    <w:p w14:paraId="78E2276F" w14:textId="77777777" w:rsidR="006075C8" w:rsidRPr="00B20FBD" w:rsidRDefault="006075C8" w:rsidP="006075C8">
      <w:pPr>
        <w:pStyle w:val="ListParagraph"/>
        <w:ind w:left="810"/>
        <w:rPr>
          <w:rFonts w:asciiTheme="majorHAnsi" w:hAnsiTheme="majorHAnsi" w:cstheme="majorHAnsi"/>
          <w:sz w:val="24"/>
          <w:szCs w:val="24"/>
        </w:rPr>
      </w:pPr>
    </w:p>
    <w:p w14:paraId="170FB6AD" w14:textId="5D6EF448" w:rsidR="006075C8" w:rsidRPr="005F07F2" w:rsidRDefault="003564EB" w:rsidP="003564EB">
      <w:pPr>
        <w:pStyle w:val="ListParagraph"/>
        <w:numPr>
          <w:ilvl w:val="2"/>
          <w:numId w:val="21"/>
        </w:numPr>
        <w:spacing w:after="120"/>
        <w:outlineLvl w:val="2"/>
        <w:rPr>
          <w:rFonts w:asciiTheme="majorHAnsi" w:hAnsiTheme="majorHAnsi" w:cstheme="majorHAnsi"/>
          <w:b/>
          <w:sz w:val="24"/>
          <w:szCs w:val="24"/>
          <w:lang w:val="ru-MD"/>
        </w:rPr>
      </w:pPr>
      <w:bookmarkStart w:id="61" w:name="_Toc127129415"/>
      <w:r w:rsidRPr="005F07F2">
        <w:rPr>
          <w:rFonts w:asciiTheme="majorHAnsi" w:hAnsiTheme="majorHAnsi" w:cstheme="majorHAnsi"/>
          <w:b/>
          <w:sz w:val="24"/>
          <w:szCs w:val="24"/>
          <w:lang w:val="ru-MD"/>
        </w:rPr>
        <w:t>Систем</w:t>
      </w:r>
      <w:r w:rsidR="005F07F2" w:rsidRPr="005F07F2">
        <w:rPr>
          <w:rFonts w:asciiTheme="majorHAnsi" w:hAnsiTheme="majorHAnsi" w:cstheme="majorHAnsi"/>
          <w:b/>
          <w:sz w:val="24"/>
          <w:szCs w:val="24"/>
          <w:lang w:val="ru-MD"/>
        </w:rPr>
        <w:t>у</w:t>
      </w:r>
      <w:r w:rsidRPr="005F07F2">
        <w:rPr>
          <w:rFonts w:asciiTheme="majorHAnsi" w:hAnsiTheme="majorHAnsi" w:cstheme="majorHAnsi"/>
          <w:b/>
          <w:sz w:val="24"/>
          <w:szCs w:val="24"/>
          <w:lang w:val="ru-MD"/>
        </w:rPr>
        <w:t xml:space="preserve"> внутреннего управленческого контроля </w:t>
      </w:r>
      <w:r w:rsidR="005F07F2" w:rsidRPr="005F07F2">
        <w:rPr>
          <w:rFonts w:asciiTheme="majorHAnsi" w:hAnsiTheme="majorHAnsi" w:cstheme="majorHAnsi"/>
          <w:b/>
          <w:sz w:val="24"/>
          <w:szCs w:val="24"/>
          <w:lang w:val="ru-MD"/>
        </w:rPr>
        <w:t>необходимо</w:t>
      </w:r>
      <w:r w:rsidRPr="005F07F2">
        <w:rPr>
          <w:rFonts w:asciiTheme="majorHAnsi" w:hAnsiTheme="majorHAnsi" w:cstheme="majorHAnsi"/>
          <w:b/>
          <w:sz w:val="24"/>
          <w:szCs w:val="24"/>
          <w:lang w:val="ru-MD"/>
        </w:rPr>
        <w:t xml:space="preserve"> у</w:t>
      </w:r>
      <w:r w:rsidR="005F07F2" w:rsidRPr="005F07F2">
        <w:rPr>
          <w:rFonts w:asciiTheme="majorHAnsi" w:hAnsiTheme="majorHAnsi" w:cstheme="majorHAnsi"/>
          <w:b/>
          <w:sz w:val="24"/>
          <w:szCs w:val="24"/>
          <w:lang w:val="ru-MD"/>
        </w:rPr>
        <w:t>совершенствовать</w:t>
      </w:r>
      <w:bookmarkEnd w:id="61"/>
    </w:p>
    <w:p w14:paraId="50DFCD4F" w14:textId="2C20B38D" w:rsidR="0035571F" w:rsidRPr="00685E04" w:rsidRDefault="005F07F2" w:rsidP="00140997">
      <w:pPr>
        <w:spacing w:after="120"/>
        <w:jc w:val="both"/>
        <w:rPr>
          <w:rFonts w:asciiTheme="majorHAnsi" w:eastAsia="Times New Roman" w:hAnsiTheme="majorHAnsi" w:cstheme="majorHAnsi"/>
          <w:color w:val="000000"/>
          <w:sz w:val="24"/>
          <w:szCs w:val="24"/>
          <w:lang w:val="ru-MD"/>
        </w:rPr>
      </w:pPr>
      <w:r w:rsidRPr="00685E04">
        <w:rPr>
          <w:rFonts w:asciiTheme="majorHAnsi" w:hAnsiTheme="majorHAnsi" w:cstheme="majorHAnsi"/>
          <w:sz w:val="24"/>
          <w:szCs w:val="24"/>
          <w:lang w:val="ru-MD"/>
        </w:rPr>
        <w:t>Согласно законодательству</w:t>
      </w:r>
      <w:r w:rsidR="00587CCC" w:rsidRPr="00685E04">
        <w:rPr>
          <w:rFonts w:asciiTheme="majorHAnsi" w:hAnsiTheme="majorHAnsi" w:cstheme="majorHAnsi"/>
          <w:sz w:val="24"/>
          <w:szCs w:val="24"/>
          <w:vertAlign w:val="superscript"/>
          <w:lang w:val="ru-MD"/>
        </w:rPr>
        <w:footnoteReference w:id="107"/>
      </w:r>
      <w:r w:rsidR="00587CCC" w:rsidRPr="00685E04">
        <w:rPr>
          <w:rFonts w:asciiTheme="majorHAnsi" w:hAnsiTheme="majorHAnsi" w:cstheme="majorHAnsi"/>
          <w:sz w:val="24"/>
          <w:szCs w:val="24"/>
          <w:lang w:val="ru-MD"/>
        </w:rPr>
        <w:t xml:space="preserve">, </w:t>
      </w:r>
      <w:r w:rsidRPr="00685E04">
        <w:rPr>
          <w:rFonts w:asciiTheme="majorHAnsi" w:hAnsiTheme="majorHAnsi" w:cstheme="majorHAnsi"/>
          <w:sz w:val="24"/>
          <w:szCs w:val="24"/>
          <w:lang w:val="ru-MD"/>
        </w:rPr>
        <w:t xml:space="preserve">менеджер публичного субъекта ответствен за организацию системы внутреннего управленческого контроля (ВУК) в публичном субъекте. Хотя в 2021 году внедрению системы внутреннего управленческого контроля в рамках ТС было уделено повышенное внимание, аудит показал, что некоторые ключевые контроли, связанные с основными финансовыми процессами, не в полной мере достигают своих целей. Так, в результате проверок было установлено, что на уровне Управлений </w:t>
      </w:r>
      <w:r w:rsidR="00813BBD" w:rsidRPr="00685E04">
        <w:rPr>
          <w:rFonts w:asciiTheme="majorHAnsi" w:hAnsiTheme="majorHAnsi" w:cstheme="majorHAnsi"/>
          <w:sz w:val="24"/>
          <w:szCs w:val="24"/>
          <w:lang w:val="ru-MD"/>
        </w:rPr>
        <w:t xml:space="preserve">описаны </w:t>
      </w:r>
      <w:r w:rsidRPr="00685E04">
        <w:rPr>
          <w:rFonts w:asciiTheme="majorHAnsi" w:hAnsiTheme="majorHAnsi" w:cstheme="majorHAnsi"/>
          <w:sz w:val="24"/>
          <w:szCs w:val="24"/>
          <w:lang w:val="ru-MD"/>
        </w:rPr>
        <w:t xml:space="preserve">повествовательно 45 основных операционных процессов, однако на уровне отделов процессы не описаны. Кроме того, некоторые </w:t>
      </w:r>
      <w:r w:rsidR="00685E04" w:rsidRPr="00685E04">
        <w:rPr>
          <w:rFonts w:asciiTheme="majorHAnsi" w:hAnsiTheme="majorHAnsi" w:cstheme="majorHAnsi"/>
          <w:sz w:val="24"/>
          <w:szCs w:val="24"/>
          <w:lang w:val="ru-MD"/>
        </w:rPr>
        <w:t xml:space="preserve">из описанных </w:t>
      </w:r>
      <w:r w:rsidRPr="00685E04">
        <w:rPr>
          <w:rFonts w:asciiTheme="majorHAnsi" w:hAnsiTheme="majorHAnsi" w:cstheme="majorHAnsi"/>
          <w:sz w:val="24"/>
          <w:szCs w:val="24"/>
          <w:lang w:val="ru-MD"/>
        </w:rPr>
        <w:t>операционны</w:t>
      </w:r>
      <w:r w:rsidR="00685E04" w:rsidRPr="00685E04">
        <w:rPr>
          <w:rFonts w:asciiTheme="majorHAnsi" w:hAnsiTheme="majorHAnsi" w:cstheme="majorHAnsi"/>
          <w:sz w:val="24"/>
          <w:szCs w:val="24"/>
          <w:lang w:val="ru-MD"/>
        </w:rPr>
        <w:t>х</w:t>
      </w:r>
      <w:r w:rsidRPr="00685E04">
        <w:rPr>
          <w:rFonts w:asciiTheme="majorHAnsi" w:hAnsiTheme="majorHAnsi" w:cstheme="majorHAnsi"/>
          <w:sz w:val="24"/>
          <w:szCs w:val="24"/>
          <w:lang w:val="ru-MD"/>
        </w:rPr>
        <w:t xml:space="preserve"> процесс</w:t>
      </w:r>
      <w:r w:rsidR="00685E04" w:rsidRPr="00685E04">
        <w:rPr>
          <w:rFonts w:asciiTheme="majorHAnsi" w:hAnsiTheme="majorHAnsi" w:cstheme="majorHAnsi"/>
          <w:sz w:val="24"/>
          <w:szCs w:val="24"/>
          <w:lang w:val="ru-MD"/>
        </w:rPr>
        <w:t>ов</w:t>
      </w:r>
      <w:r w:rsidRPr="00685E04">
        <w:rPr>
          <w:rFonts w:asciiTheme="majorHAnsi" w:hAnsiTheme="majorHAnsi" w:cstheme="majorHAnsi"/>
          <w:sz w:val="24"/>
          <w:szCs w:val="24"/>
          <w:lang w:val="ru-MD"/>
        </w:rPr>
        <w:t xml:space="preserve"> деятельности </w:t>
      </w:r>
      <w:r w:rsidR="00685E04" w:rsidRPr="00685E04">
        <w:rPr>
          <w:rFonts w:asciiTheme="majorHAnsi" w:hAnsiTheme="majorHAnsi" w:cstheme="majorHAnsi"/>
          <w:sz w:val="24"/>
          <w:szCs w:val="24"/>
          <w:lang w:val="ru-MD"/>
        </w:rPr>
        <w:t>ТС</w:t>
      </w:r>
      <w:r w:rsidRPr="00685E04">
        <w:rPr>
          <w:rFonts w:asciiTheme="majorHAnsi" w:hAnsiTheme="majorHAnsi" w:cstheme="majorHAnsi"/>
          <w:sz w:val="24"/>
          <w:szCs w:val="24"/>
          <w:lang w:val="ru-MD"/>
        </w:rPr>
        <w:t xml:space="preserve"> носят общий характер, а на уровне отдел</w:t>
      </w:r>
      <w:r w:rsidR="00685E04" w:rsidRPr="00685E04">
        <w:rPr>
          <w:rFonts w:asciiTheme="majorHAnsi" w:hAnsiTheme="majorHAnsi" w:cstheme="majorHAnsi"/>
          <w:sz w:val="24"/>
          <w:szCs w:val="24"/>
          <w:lang w:val="ru-MD"/>
        </w:rPr>
        <w:t>ов</w:t>
      </w:r>
      <w:r w:rsidRPr="00685E04">
        <w:rPr>
          <w:rFonts w:asciiTheme="majorHAnsi" w:hAnsiTheme="majorHAnsi" w:cstheme="majorHAnsi"/>
          <w:sz w:val="24"/>
          <w:szCs w:val="24"/>
          <w:lang w:val="ru-MD"/>
        </w:rPr>
        <w:t xml:space="preserve"> </w:t>
      </w:r>
      <w:r w:rsidR="00685E04" w:rsidRPr="00685E04">
        <w:rPr>
          <w:rFonts w:asciiTheme="majorHAnsi" w:hAnsiTheme="majorHAnsi" w:cstheme="majorHAnsi"/>
          <w:sz w:val="24"/>
          <w:szCs w:val="24"/>
          <w:lang w:val="ru-MD"/>
        </w:rPr>
        <w:t xml:space="preserve">не ведутся </w:t>
      </w:r>
      <w:r w:rsidRPr="00685E04">
        <w:rPr>
          <w:rFonts w:asciiTheme="majorHAnsi" w:hAnsiTheme="majorHAnsi" w:cstheme="majorHAnsi"/>
          <w:sz w:val="24"/>
          <w:szCs w:val="24"/>
          <w:lang w:val="ru-MD"/>
        </w:rPr>
        <w:t xml:space="preserve">регистры рисков. </w:t>
      </w:r>
      <w:r w:rsidR="00685E04" w:rsidRPr="00685E04">
        <w:rPr>
          <w:rFonts w:asciiTheme="majorHAnsi" w:hAnsiTheme="majorHAnsi" w:cstheme="majorHAnsi"/>
          <w:sz w:val="24"/>
          <w:szCs w:val="24"/>
          <w:lang w:val="ru-MD"/>
        </w:rPr>
        <w:t>ТС</w:t>
      </w:r>
      <w:r w:rsidRPr="00685E04">
        <w:rPr>
          <w:rFonts w:asciiTheme="majorHAnsi" w:hAnsiTheme="majorHAnsi" w:cstheme="majorHAnsi"/>
          <w:sz w:val="24"/>
          <w:szCs w:val="24"/>
          <w:lang w:val="ru-MD"/>
        </w:rPr>
        <w:t xml:space="preserve"> находится в процессе реорганизации, что требует пересмотра операционных процессов деятельности, а также регистров рисков. </w:t>
      </w:r>
      <w:r w:rsidR="00685E04" w:rsidRPr="00685E04">
        <w:rPr>
          <w:rFonts w:asciiTheme="majorHAnsi" w:hAnsiTheme="majorHAnsi" w:cstheme="majorHAnsi"/>
          <w:sz w:val="24"/>
          <w:szCs w:val="24"/>
          <w:lang w:val="ru-MD"/>
        </w:rPr>
        <w:t>Было у</w:t>
      </w:r>
      <w:r w:rsidRPr="00685E04">
        <w:rPr>
          <w:rFonts w:asciiTheme="majorHAnsi" w:hAnsiTheme="majorHAnsi" w:cstheme="majorHAnsi"/>
          <w:sz w:val="24"/>
          <w:szCs w:val="24"/>
          <w:lang w:val="ru-MD"/>
        </w:rPr>
        <w:t xml:space="preserve">становлено, что должностные инструкции, утвержденные руководством </w:t>
      </w:r>
      <w:r w:rsidR="00685E04" w:rsidRPr="00685E04">
        <w:rPr>
          <w:rFonts w:asciiTheme="majorHAnsi" w:hAnsiTheme="majorHAnsi" w:cstheme="majorHAnsi"/>
          <w:sz w:val="24"/>
          <w:szCs w:val="24"/>
          <w:lang w:val="ru-MD"/>
        </w:rPr>
        <w:t>Т</w:t>
      </w:r>
      <w:r w:rsidRPr="00685E04">
        <w:rPr>
          <w:rFonts w:asciiTheme="majorHAnsi" w:hAnsiTheme="majorHAnsi" w:cstheme="majorHAnsi"/>
          <w:sz w:val="24"/>
          <w:szCs w:val="24"/>
          <w:lang w:val="ru-MD"/>
        </w:rPr>
        <w:t>аможенной службы</w:t>
      </w:r>
      <w:r w:rsidR="00685E04" w:rsidRPr="00685E04">
        <w:rPr>
          <w:rFonts w:asciiTheme="majorHAnsi" w:hAnsiTheme="majorHAnsi" w:cstheme="majorHAnsi"/>
          <w:sz w:val="24"/>
          <w:szCs w:val="24"/>
          <w:lang w:val="ru-MD"/>
        </w:rPr>
        <w:t>,</w:t>
      </w:r>
      <w:r w:rsidRPr="00685E04">
        <w:rPr>
          <w:rFonts w:asciiTheme="majorHAnsi" w:hAnsiTheme="majorHAnsi" w:cstheme="majorHAnsi"/>
          <w:sz w:val="24"/>
          <w:szCs w:val="24"/>
          <w:lang w:val="ru-MD"/>
        </w:rPr>
        <w:t xml:space="preserve"> </w:t>
      </w:r>
      <w:r w:rsidR="00685E04" w:rsidRPr="00685E04">
        <w:rPr>
          <w:rFonts w:asciiTheme="majorHAnsi" w:hAnsiTheme="majorHAnsi" w:cstheme="majorHAnsi"/>
          <w:sz w:val="24"/>
          <w:szCs w:val="24"/>
          <w:lang w:val="ru-MD"/>
        </w:rPr>
        <w:t>на протяжении</w:t>
      </w:r>
      <w:r w:rsidRPr="00685E04">
        <w:rPr>
          <w:rFonts w:asciiTheme="majorHAnsi" w:hAnsiTheme="majorHAnsi" w:cstheme="majorHAnsi"/>
          <w:sz w:val="24"/>
          <w:szCs w:val="24"/>
          <w:lang w:val="ru-MD"/>
        </w:rPr>
        <w:t xml:space="preserve"> 2-3 лет не дов</w:t>
      </w:r>
      <w:r w:rsidR="00685E04" w:rsidRPr="00685E04">
        <w:rPr>
          <w:rFonts w:asciiTheme="majorHAnsi" w:hAnsiTheme="majorHAnsi" w:cstheme="majorHAnsi"/>
          <w:sz w:val="24"/>
          <w:szCs w:val="24"/>
          <w:lang w:val="ru-MD"/>
        </w:rPr>
        <w:t>одились</w:t>
      </w:r>
      <w:r w:rsidRPr="00685E04">
        <w:rPr>
          <w:rFonts w:asciiTheme="majorHAnsi" w:hAnsiTheme="majorHAnsi" w:cstheme="majorHAnsi"/>
          <w:sz w:val="24"/>
          <w:szCs w:val="24"/>
          <w:lang w:val="ru-MD"/>
        </w:rPr>
        <w:t xml:space="preserve"> до сведения </w:t>
      </w:r>
      <w:r w:rsidR="00685E04" w:rsidRPr="00685E04">
        <w:rPr>
          <w:rFonts w:asciiTheme="majorHAnsi" w:hAnsiTheme="majorHAnsi" w:cstheme="majorHAnsi"/>
          <w:sz w:val="24"/>
          <w:szCs w:val="24"/>
          <w:lang w:val="ru-MD"/>
        </w:rPr>
        <w:t>за</w:t>
      </w:r>
      <w:r w:rsidRPr="00685E04">
        <w:rPr>
          <w:rFonts w:asciiTheme="majorHAnsi" w:hAnsiTheme="majorHAnsi" w:cstheme="majorHAnsi"/>
          <w:sz w:val="24"/>
          <w:szCs w:val="24"/>
          <w:lang w:val="ru-MD"/>
        </w:rPr>
        <w:t xml:space="preserve"> подпис</w:t>
      </w:r>
      <w:r w:rsidR="00685E04" w:rsidRPr="00685E04">
        <w:rPr>
          <w:rFonts w:asciiTheme="majorHAnsi" w:hAnsiTheme="majorHAnsi" w:cstheme="majorHAnsi"/>
          <w:sz w:val="24"/>
          <w:szCs w:val="24"/>
          <w:lang w:val="ru-MD"/>
        </w:rPr>
        <w:t>ью</w:t>
      </w:r>
      <w:r w:rsidRPr="00685E04">
        <w:rPr>
          <w:rFonts w:asciiTheme="majorHAnsi" w:hAnsiTheme="majorHAnsi" w:cstheme="majorHAnsi"/>
          <w:sz w:val="24"/>
          <w:szCs w:val="24"/>
          <w:lang w:val="ru-MD"/>
        </w:rPr>
        <w:t xml:space="preserve"> </w:t>
      </w:r>
      <w:r w:rsidR="00685E04" w:rsidRPr="00685E04">
        <w:rPr>
          <w:rFonts w:asciiTheme="majorHAnsi" w:hAnsiTheme="majorHAnsi" w:cstheme="majorHAnsi"/>
          <w:sz w:val="24"/>
          <w:szCs w:val="24"/>
          <w:lang w:val="ru-MD"/>
        </w:rPr>
        <w:t>сотрудников</w:t>
      </w:r>
      <w:r w:rsidRPr="00685E04">
        <w:rPr>
          <w:rFonts w:asciiTheme="majorHAnsi" w:hAnsiTheme="majorHAnsi" w:cstheme="majorHAnsi"/>
          <w:sz w:val="24"/>
          <w:szCs w:val="24"/>
          <w:lang w:val="ru-MD"/>
        </w:rPr>
        <w:t xml:space="preserve">. </w:t>
      </w:r>
      <w:r w:rsidR="00685E04" w:rsidRPr="00685E04">
        <w:rPr>
          <w:rFonts w:asciiTheme="majorHAnsi" w:hAnsiTheme="majorHAnsi" w:cstheme="majorHAnsi"/>
          <w:sz w:val="24"/>
          <w:szCs w:val="24"/>
          <w:lang w:val="ru-MD"/>
        </w:rPr>
        <w:t xml:space="preserve">Таким образом, на основании результатов самооценки, а также исходя из недостатков, выявленных внешним аудитом, система внутреннего управленческого контроля ТС частично соответствует Национальным стандартам внутреннего контроля в публичном секторе, что также подтверждается Декларацией об управленческой ответственности. </w:t>
      </w:r>
    </w:p>
    <w:p w14:paraId="4AF3FD2D" w14:textId="045896F9" w:rsidR="0035571F" w:rsidRPr="00A969F3" w:rsidRDefault="00DB70ED" w:rsidP="00522974">
      <w:pPr>
        <w:tabs>
          <w:tab w:val="left" w:pos="993"/>
        </w:tabs>
        <w:spacing w:after="120"/>
        <w:ind w:firstLine="567"/>
        <w:jc w:val="both"/>
        <w:outlineLvl w:val="2"/>
        <w:rPr>
          <w:rFonts w:asciiTheme="majorHAnsi" w:eastAsia="Times New Roman" w:hAnsiTheme="majorHAnsi" w:cstheme="majorHAnsi"/>
          <w:b/>
          <w:color w:val="000000"/>
          <w:sz w:val="24"/>
          <w:szCs w:val="24"/>
          <w:lang w:val="ru-MD"/>
        </w:rPr>
      </w:pPr>
      <w:bookmarkStart w:id="62" w:name="_Toc127129416"/>
      <w:r w:rsidRPr="00B20FBD">
        <w:rPr>
          <w:rFonts w:asciiTheme="majorHAnsi" w:hAnsiTheme="majorHAnsi" w:cstheme="majorHAnsi"/>
          <w:b/>
          <w:sz w:val="24"/>
          <w:szCs w:val="24"/>
          <w:lang w:val="ro-MD"/>
        </w:rPr>
        <w:t>4.5.2.</w:t>
      </w:r>
      <w:r w:rsidR="0035571F" w:rsidRPr="00B20FBD">
        <w:rPr>
          <w:rFonts w:asciiTheme="majorHAnsi" w:hAnsiTheme="majorHAnsi" w:cstheme="majorHAnsi"/>
          <w:b/>
          <w:sz w:val="24"/>
          <w:szCs w:val="24"/>
          <w:lang w:val="ro-MD"/>
        </w:rPr>
        <w:t xml:space="preserve"> </w:t>
      </w:r>
      <w:r w:rsidR="0086408C" w:rsidRPr="00A969F3">
        <w:rPr>
          <w:rFonts w:asciiTheme="majorHAnsi" w:hAnsiTheme="majorHAnsi" w:cstheme="majorHAnsi"/>
          <w:b/>
          <w:sz w:val="24"/>
          <w:szCs w:val="24"/>
          <w:lang w:val="ru-MD"/>
        </w:rPr>
        <w:t>Деятельность внутреннего аудита в рамках Таможенной службы</w:t>
      </w:r>
      <w:bookmarkEnd w:id="62"/>
      <w:r w:rsidR="0086408C" w:rsidRPr="00A969F3">
        <w:rPr>
          <w:rFonts w:asciiTheme="majorHAnsi" w:hAnsiTheme="majorHAnsi" w:cstheme="majorHAnsi"/>
          <w:b/>
          <w:sz w:val="24"/>
          <w:szCs w:val="24"/>
          <w:lang w:val="ru-MD"/>
        </w:rPr>
        <w:t xml:space="preserve"> </w:t>
      </w:r>
    </w:p>
    <w:p w14:paraId="0D4473C7" w14:textId="4F6CBFDB" w:rsidR="005D7F55" w:rsidRPr="00A969F3" w:rsidRDefault="0086408C" w:rsidP="00140997">
      <w:pPr>
        <w:spacing w:after="0"/>
        <w:jc w:val="both"/>
        <w:rPr>
          <w:rFonts w:asciiTheme="majorHAnsi" w:hAnsiTheme="majorHAnsi" w:cstheme="majorHAnsi"/>
          <w:sz w:val="24"/>
          <w:szCs w:val="24"/>
          <w:lang w:val="ru-MD"/>
        </w:rPr>
      </w:pPr>
      <w:r w:rsidRPr="00A969F3">
        <w:rPr>
          <w:rFonts w:asciiTheme="majorHAnsi" w:hAnsiTheme="majorHAnsi" w:cstheme="majorHAnsi"/>
          <w:sz w:val="24"/>
          <w:szCs w:val="24"/>
          <w:lang w:val="ru-MD"/>
        </w:rPr>
        <w:t>Для достижения поставленных целей</w:t>
      </w:r>
      <w:r w:rsidR="00A969F3" w:rsidRPr="00A969F3">
        <w:rPr>
          <w:rFonts w:asciiTheme="majorHAnsi" w:hAnsiTheme="majorHAnsi" w:cstheme="majorHAnsi"/>
          <w:sz w:val="24"/>
          <w:szCs w:val="24"/>
          <w:lang w:val="ru-MD"/>
        </w:rPr>
        <w:t>,</w:t>
      </w:r>
      <w:r w:rsidRPr="00A969F3">
        <w:rPr>
          <w:rFonts w:asciiTheme="majorHAnsi" w:hAnsiTheme="majorHAnsi" w:cstheme="majorHAnsi"/>
          <w:sz w:val="24"/>
          <w:szCs w:val="24"/>
          <w:lang w:val="ru-MD"/>
        </w:rPr>
        <w:t xml:space="preserve"> в 2021 году </w:t>
      </w:r>
      <w:r w:rsidR="00A969F3" w:rsidRPr="00A969F3">
        <w:rPr>
          <w:rFonts w:asciiTheme="majorHAnsi" w:hAnsiTheme="majorHAnsi" w:cstheme="majorHAnsi"/>
          <w:sz w:val="24"/>
          <w:szCs w:val="24"/>
          <w:lang w:val="ru-MD"/>
        </w:rPr>
        <w:t>У</w:t>
      </w:r>
      <w:r w:rsidRPr="00A969F3">
        <w:rPr>
          <w:rFonts w:asciiTheme="majorHAnsi" w:hAnsiTheme="majorHAnsi" w:cstheme="majorHAnsi"/>
          <w:sz w:val="24"/>
          <w:szCs w:val="24"/>
          <w:lang w:val="ru-MD"/>
        </w:rPr>
        <w:t>правление внутреннего аудита (</w:t>
      </w:r>
      <w:r w:rsidR="00A969F3" w:rsidRPr="00A969F3">
        <w:rPr>
          <w:rFonts w:asciiTheme="majorHAnsi" w:hAnsiTheme="majorHAnsi" w:cstheme="majorHAnsi"/>
          <w:sz w:val="24"/>
          <w:szCs w:val="24"/>
          <w:lang w:val="ru-MD"/>
        </w:rPr>
        <w:t>УВА</w:t>
      </w:r>
      <w:r w:rsidRPr="00A969F3">
        <w:rPr>
          <w:rFonts w:asciiTheme="majorHAnsi" w:hAnsiTheme="majorHAnsi" w:cstheme="majorHAnsi"/>
          <w:sz w:val="24"/>
          <w:szCs w:val="24"/>
          <w:lang w:val="ru-MD"/>
        </w:rPr>
        <w:t xml:space="preserve">) в рамках </w:t>
      </w:r>
      <w:r w:rsidR="00A969F3" w:rsidRPr="00A969F3">
        <w:rPr>
          <w:rFonts w:asciiTheme="majorHAnsi" w:hAnsiTheme="majorHAnsi" w:cstheme="majorHAnsi"/>
          <w:sz w:val="24"/>
          <w:szCs w:val="24"/>
          <w:lang w:val="ru-MD"/>
        </w:rPr>
        <w:t>ТС</w:t>
      </w:r>
      <w:r w:rsidRPr="00A969F3">
        <w:rPr>
          <w:rFonts w:asciiTheme="majorHAnsi" w:hAnsiTheme="majorHAnsi" w:cstheme="majorHAnsi"/>
          <w:sz w:val="24"/>
          <w:szCs w:val="24"/>
          <w:lang w:val="ru-MD"/>
        </w:rPr>
        <w:t xml:space="preserve"> запланировало 8 миссий внутреннего аудита, </w:t>
      </w:r>
      <w:r w:rsidR="00A969F3" w:rsidRPr="00A969F3">
        <w:rPr>
          <w:rFonts w:asciiTheme="majorHAnsi" w:hAnsiTheme="majorHAnsi" w:cstheme="majorHAnsi"/>
          <w:sz w:val="24"/>
          <w:szCs w:val="24"/>
          <w:lang w:val="ru-MD"/>
        </w:rPr>
        <w:t>а</w:t>
      </w:r>
      <w:r w:rsidRPr="00A969F3">
        <w:rPr>
          <w:rFonts w:asciiTheme="majorHAnsi" w:hAnsiTheme="majorHAnsi" w:cstheme="majorHAnsi"/>
          <w:sz w:val="24"/>
          <w:szCs w:val="24"/>
          <w:lang w:val="ru-MD"/>
        </w:rPr>
        <w:t xml:space="preserve"> фактически выполнило 6 миссий. Внутренние аудиторы </w:t>
      </w:r>
      <w:r w:rsidR="00A969F3" w:rsidRPr="00A969F3">
        <w:rPr>
          <w:rFonts w:asciiTheme="majorHAnsi" w:hAnsiTheme="majorHAnsi" w:cstheme="majorHAnsi"/>
          <w:sz w:val="24"/>
          <w:szCs w:val="24"/>
          <w:lang w:val="ru-MD"/>
        </w:rPr>
        <w:t>ТС</w:t>
      </w:r>
      <w:r w:rsidRPr="00A969F3">
        <w:rPr>
          <w:rFonts w:asciiTheme="majorHAnsi" w:hAnsiTheme="majorHAnsi" w:cstheme="majorHAnsi"/>
          <w:sz w:val="24"/>
          <w:szCs w:val="24"/>
          <w:lang w:val="ru-MD"/>
        </w:rPr>
        <w:t xml:space="preserve"> оценивают эффективность внутреннего управленческого контроля (</w:t>
      </w:r>
      <w:r w:rsidR="00A969F3" w:rsidRPr="00A969F3">
        <w:rPr>
          <w:rFonts w:asciiTheme="majorHAnsi" w:hAnsiTheme="majorHAnsi" w:cstheme="majorHAnsi"/>
          <w:sz w:val="24"/>
          <w:szCs w:val="24"/>
          <w:lang w:val="ru-MD"/>
        </w:rPr>
        <w:t>ВУК</w:t>
      </w:r>
      <w:r w:rsidRPr="00A969F3">
        <w:rPr>
          <w:rFonts w:asciiTheme="majorHAnsi" w:hAnsiTheme="majorHAnsi" w:cstheme="majorHAnsi"/>
          <w:sz w:val="24"/>
          <w:szCs w:val="24"/>
          <w:lang w:val="ru-MD"/>
        </w:rPr>
        <w:t>) в рамках операционных процессов деятельности</w:t>
      </w:r>
      <w:r w:rsidR="0075017F" w:rsidRPr="00A969F3">
        <w:rPr>
          <w:rFonts w:asciiTheme="majorHAnsi" w:hAnsiTheme="majorHAnsi" w:cstheme="majorHAnsi"/>
          <w:sz w:val="24"/>
          <w:szCs w:val="24"/>
          <w:lang w:val="ru-MD"/>
        </w:rPr>
        <w:t xml:space="preserve">. </w:t>
      </w:r>
    </w:p>
    <w:p w14:paraId="161A5743" w14:textId="1B9A7A3E" w:rsidR="00554902" w:rsidRPr="00A969F3" w:rsidRDefault="0086408C" w:rsidP="00140997">
      <w:pPr>
        <w:spacing w:after="0"/>
        <w:jc w:val="both"/>
        <w:rPr>
          <w:rFonts w:asciiTheme="majorHAnsi" w:hAnsiTheme="majorHAnsi" w:cstheme="majorHAnsi"/>
          <w:color w:val="000000"/>
          <w:sz w:val="24"/>
          <w:szCs w:val="24"/>
          <w:lang w:val="ru-MD"/>
        </w:rPr>
      </w:pPr>
      <w:r w:rsidRPr="00A969F3">
        <w:rPr>
          <w:rFonts w:asciiTheme="majorHAnsi" w:hAnsiTheme="majorHAnsi" w:cstheme="majorHAnsi"/>
          <w:color w:val="000000"/>
          <w:sz w:val="24"/>
          <w:szCs w:val="24"/>
          <w:lang w:val="ru-MD"/>
        </w:rPr>
        <w:t>Планы аудита охватывали области риска в отношении системы расчета и сбора таможенных платежей; учет таможенных доходов и управление дебиторской задолженностью, а также аудиторск</w:t>
      </w:r>
      <w:r w:rsidR="00A969F3" w:rsidRPr="00A969F3">
        <w:rPr>
          <w:rFonts w:asciiTheme="majorHAnsi" w:hAnsiTheme="majorHAnsi" w:cstheme="majorHAnsi"/>
          <w:color w:val="000000"/>
          <w:sz w:val="24"/>
          <w:szCs w:val="24"/>
          <w:lang w:val="ru-MD"/>
        </w:rPr>
        <w:t>ую</w:t>
      </w:r>
      <w:r w:rsidRPr="00A969F3">
        <w:rPr>
          <w:rFonts w:asciiTheme="majorHAnsi" w:hAnsiTheme="majorHAnsi" w:cstheme="majorHAnsi"/>
          <w:color w:val="000000"/>
          <w:sz w:val="24"/>
          <w:szCs w:val="24"/>
          <w:lang w:val="ru-MD"/>
        </w:rPr>
        <w:t xml:space="preserve"> деятельность пос</w:t>
      </w:r>
      <w:r w:rsidR="00A969F3" w:rsidRPr="00A969F3">
        <w:rPr>
          <w:rFonts w:asciiTheme="majorHAnsi" w:hAnsiTheme="majorHAnsi" w:cstheme="majorHAnsi"/>
          <w:color w:val="000000"/>
          <w:sz w:val="24"/>
          <w:szCs w:val="24"/>
          <w:lang w:val="ru-MD"/>
        </w:rPr>
        <w:t>т</w:t>
      </w:r>
      <w:r w:rsidRPr="00A969F3">
        <w:rPr>
          <w:rFonts w:asciiTheme="majorHAnsi" w:hAnsiTheme="majorHAnsi" w:cstheme="majorHAnsi"/>
          <w:color w:val="000000"/>
          <w:sz w:val="24"/>
          <w:szCs w:val="24"/>
          <w:lang w:val="ru-MD"/>
        </w:rPr>
        <w:t xml:space="preserve">таможенного оформления. Следует отметить, что степень внедрения рекомендаций внутреннего аудита в 2021 году составила 80% от общего числа представленных рекомендаций, а в 2020 году - 69%. В то же время, в рамках </w:t>
      </w:r>
      <w:r w:rsidR="00A969F3" w:rsidRPr="00A969F3">
        <w:rPr>
          <w:rFonts w:asciiTheme="majorHAnsi" w:hAnsiTheme="majorHAnsi" w:cstheme="majorHAnsi"/>
          <w:color w:val="000000"/>
          <w:sz w:val="24"/>
          <w:szCs w:val="24"/>
          <w:lang w:val="ru-MD"/>
        </w:rPr>
        <w:t>УВА</w:t>
      </w:r>
      <w:r w:rsidRPr="00A969F3">
        <w:rPr>
          <w:rFonts w:asciiTheme="majorHAnsi" w:hAnsiTheme="majorHAnsi" w:cstheme="majorHAnsi"/>
          <w:color w:val="000000"/>
          <w:sz w:val="24"/>
          <w:szCs w:val="24"/>
          <w:lang w:val="ru-MD"/>
        </w:rPr>
        <w:t xml:space="preserve"> </w:t>
      </w:r>
      <w:r w:rsidR="00A969F3" w:rsidRPr="00A969F3">
        <w:rPr>
          <w:rFonts w:asciiTheme="majorHAnsi" w:hAnsiTheme="majorHAnsi" w:cstheme="majorHAnsi"/>
          <w:color w:val="000000"/>
          <w:sz w:val="24"/>
          <w:szCs w:val="24"/>
          <w:lang w:val="ru-MD"/>
        </w:rPr>
        <w:t>имеется</w:t>
      </w:r>
      <w:r w:rsidRPr="00A969F3">
        <w:rPr>
          <w:rFonts w:asciiTheme="majorHAnsi" w:hAnsiTheme="majorHAnsi" w:cstheme="majorHAnsi"/>
          <w:color w:val="000000"/>
          <w:sz w:val="24"/>
          <w:szCs w:val="24"/>
          <w:lang w:val="ru-MD"/>
        </w:rPr>
        <w:t xml:space="preserve"> вакантная должность внутреннего аудит</w:t>
      </w:r>
      <w:r w:rsidR="00A969F3" w:rsidRPr="00A969F3">
        <w:rPr>
          <w:rFonts w:asciiTheme="majorHAnsi" w:hAnsiTheme="majorHAnsi" w:cstheme="majorHAnsi"/>
          <w:color w:val="000000"/>
          <w:sz w:val="24"/>
          <w:szCs w:val="24"/>
          <w:lang w:val="ru-MD"/>
        </w:rPr>
        <w:t>ор</w:t>
      </w:r>
      <w:r w:rsidRPr="00A969F3">
        <w:rPr>
          <w:rFonts w:asciiTheme="majorHAnsi" w:hAnsiTheme="majorHAnsi" w:cstheme="majorHAnsi"/>
          <w:color w:val="000000"/>
          <w:sz w:val="24"/>
          <w:szCs w:val="24"/>
          <w:lang w:val="ru-MD"/>
        </w:rPr>
        <w:t xml:space="preserve">а, </w:t>
      </w:r>
      <w:r w:rsidR="00A969F3" w:rsidRPr="00A969F3">
        <w:rPr>
          <w:rFonts w:asciiTheme="majorHAnsi" w:hAnsiTheme="majorHAnsi" w:cstheme="majorHAnsi"/>
          <w:color w:val="000000"/>
          <w:sz w:val="24"/>
          <w:szCs w:val="24"/>
          <w:lang w:val="ru-MD"/>
        </w:rPr>
        <w:t>а</w:t>
      </w:r>
      <w:r w:rsidRPr="00A969F3">
        <w:rPr>
          <w:rFonts w:asciiTheme="majorHAnsi" w:hAnsiTheme="majorHAnsi" w:cstheme="majorHAnsi"/>
          <w:color w:val="000000"/>
          <w:sz w:val="24"/>
          <w:szCs w:val="24"/>
          <w:lang w:val="ru-MD"/>
        </w:rPr>
        <w:t xml:space="preserve"> </w:t>
      </w:r>
      <w:r w:rsidR="00A969F3" w:rsidRPr="00A969F3">
        <w:rPr>
          <w:rFonts w:asciiTheme="majorHAnsi" w:hAnsiTheme="majorHAnsi" w:cstheme="majorHAnsi"/>
          <w:color w:val="000000"/>
          <w:sz w:val="24"/>
          <w:szCs w:val="24"/>
          <w:lang w:val="ru-MD"/>
        </w:rPr>
        <w:t>УВА</w:t>
      </w:r>
      <w:r w:rsidRPr="00A969F3">
        <w:rPr>
          <w:rFonts w:asciiTheme="majorHAnsi" w:hAnsiTheme="majorHAnsi" w:cstheme="majorHAnsi"/>
          <w:color w:val="000000"/>
          <w:sz w:val="24"/>
          <w:szCs w:val="24"/>
          <w:lang w:val="ru-MD"/>
        </w:rPr>
        <w:t xml:space="preserve"> считает необходимым увеличить штат сотрудников как минимум на одн</w:t>
      </w:r>
      <w:r w:rsidR="00A969F3" w:rsidRPr="00A969F3">
        <w:rPr>
          <w:rFonts w:asciiTheme="majorHAnsi" w:hAnsiTheme="majorHAnsi" w:cstheme="majorHAnsi"/>
          <w:color w:val="000000"/>
          <w:sz w:val="24"/>
          <w:szCs w:val="24"/>
          <w:lang w:val="ru-MD"/>
        </w:rPr>
        <w:t>у единицу</w:t>
      </w:r>
      <w:r w:rsidRPr="00A969F3">
        <w:rPr>
          <w:rFonts w:asciiTheme="majorHAnsi" w:hAnsiTheme="majorHAnsi" w:cstheme="majorHAnsi"/>
          <w:color w:val="000000"/>
          <w:sz w:val="24"/>
          <w:szCs w:val="24"/>
          <w:lang w:val="ru-MD"/>
        </w:rPr>
        <w:t xml:space="preserve"> внутреннего аудит</w:t>
      </w:r>
      <w:r w:rsidR="00A969F3" w:rsidRPr="00A969F3">
        <w:rPr>
          <w:rFonts w:asciiTheme="majorHAnsi" w:hAnsiTheme="majorHAnsi" w:cstheme="majorHAnsi"/>
          <w:color w:val="000000"/>
          <w:sz w:val="24"/>
          <w:szCs w:val="24"/>
          <w:lang w:val="ru-MD"/>
        </w:rPr>
        <w:t>ор</w:t>
      </w:r>
      <w:r w:rsidRPr="00A969F3">
        <w:rPr>
          <w:rFonts w:asciiTheme="majorHAnsi" w:hAnsiTheme="majorHAnsi" w:cstheme="majorHAnsi"/>
          <w:color w:val="000000"/>
          <w:sz w:val="24"/>
          <w:szCs w:val="24"/>
          <w:lang w:val="ru-MD"/>
        </w:rPr>
        <w:t>а</w:t>
      </w:r>
      <w:r w:rsidR="00A969F3" w:rsidRPr="00A969F3">
        <w:rPr>
          <w:rFonts w:asciiTheme="majorHAnsi" w:hAnsiTheme="majorHAnsi" w:cstheme="majorHAnsi"/>
          <w:color w:val="000000"/>
          <w:sz w:val="24"/>
          <w:szCs w:val="24"/>
          <w:lang w:val="ru-MD"/>
        </w:rPr>
        <w:t>,</w:t>
      </w:r>
      <w:r w:rsidRPr="00A969F3">
        <w:rPr>
          <w:rFonts w:asciiTheme="majorHAnsi" w:hAnsiTheme="majorHAnsi" w:cstheme="majorHAnsi"/>
          <w:color w:val="000000"/>
          <w:sz w:val="24"/>
          <w:szCs w:val="24"/>
          <w:lang w:val="ru-MD"/>
        </w:rPr>
        <w:t xml:space="preserve"> для обеспечения ауди</w:t>
      </w:r>
      <w:r w:rsidR="00A969F3" w:rsidRPr="00A969F3">
        <w:rPr>
          <w:rFonts w:asciiTheme="majorHAnsi" w:hAnsiTheme="majorHAnsi" w:cstheme="majorHAnsi"/>
          <w:color w:val="000000"/>
          <w:sz w:val="24"/>
          <w:szCs w:val="24"/>
          <w:lang w:val="ru-MD"/>
        </w:rPr>
        <w:t>рования как</w:t>
      </w:r>
      <w:r w:rsidRPr="00A969F3">
        <w:rPr>
          <w:rFonts w:asciiTheme="majorHAnsi" w:hAnsiTheme="majorHAnsi" w:cstheme="majorHAnsi"/>
          <w:color w:val="000000"/>
          <w:sz w:val="24"/>
          <w:szCs w:val="24"/>
          <w:lang w:val="ru-MD"/>
        </w:rPr>
        <w:t xml:space="preserve"> </w:t>
      </w:r>
      <w:r w:rsidR="00A969F3" w:rsidRPr="00A969F3">
        <w:rPr>
          <w:rFonts w:asciiTheme="majorHAnsi" w:hAnsiTheme="majorHAnsi" w:cstheme="majorHAnsi"/>
          <w:color w:val="000000"/>
          <w:sz w:val="24"/>
          <w:szCs w:val="24"/>
          <w:lang w:val="ru-MD"/>
        </w:rPr>
        <w:t>минимум раз в</w:t>
      </w:r>
      <w:r w:rsidRPr="00A969F3">
        <w:rPr>
          <w:rFonts w:asciiTheme="majorHAnsi" w:hAnsiTheme="majorHAnsi" w:cstheme="majorHAnsi"/>
          <w:color w:val="000000"/>
          <w:sz w:val="24"/>
          <w:szCs w:val="24"/>
          <w:lang w:val="ru-MD"/>
        </w:rPr>
        <w:t xml:space="preserve"> 5 лет не менее 90% операционных процессов деятельности </w:t>
      </w:r>
      <w:r w:rsidR="00A969F3" w:rsidRPr="00A969F3">
        <w:rPr>
          <w:rFonts w:asciiTheme="majorHAnsi" w:hAnsiTheme="majorHAnsi" w:cstheme="majorHAnsi"/>
          <w:color w:val="000000"/>
          <w:sz w:val="24"/>
          <w:szCs w:val="24"/>
          <w:lang w:val="ru-MD"/>
        </w:rPr>
        <w:t>ТС</w:t>
      </w:r>
      <w:r w:rsidRPr="00A969F3">
        <w:rPr>
          <w:rFonts w:asciiTheme="majorHAnsi" w:hAnsiTheme="majorHAnsi" w:cstheme="majorHAnsi"/>
          <w:color w:val="000000"/>
          <w:sz w:val="24"/>
          <w:szCs w:val="24"/>
          <w:lang w:val="ru-MD"/>
        </w:rPr>
        <w:t xml:space="preserve">, </w:t>
      </w:r>
      <w:r w:rsidR="00A969F3" w:rsidRPr="00A969F3">
        <w:rPr>
          <w:rFonts w:asciiTheme="majorHAnsi" w:hAnsiTheme="majorHAnsi" w:cstheme="majorHAnsi"/>
          <w:color w:val="000000"/>
          <w:sz w:val="24"/>
          <w:szCs w:val="24"/>
          <w:lang w:val="ru-MD"/>
        </w:rPr>
        <w:t>однако</w:t>
      </w:r>
      <w:r w:rsidRPr="00A969F3">
        <w:rPr>
          <w:rFonts w:asciiTheme="majorHAnsi" w:hAnsiTheme="majorHAnsi" w:cstheme="majorHAnsi"/>
          <w:color w:val="000000"/>
          <w:sz w:val="24"/>
          <w:szCs w:val="24"/>
          <w:lang w:val="ru-MD"/>
        </w:rPr>
        <w:t xml:space="preserve"> в настоящее время действует мораторий на вакантные должности. </w:t>
      </w:r>
    </w:p>
    <w:p w14:paraId="0B926123" w14:textId="5DCDD3C1" w:rsidR="00D51997" w:rsidRDefault="00D51997" w:rsidP="00140997">
      <w:pPr>
        <w:spacing w:after="0"/>
        <w:jc w:val="both"/>
        <w:rPr>
          <w:rFonts w:asciiTheme="majorHAnsi" w:hAnsiTheme="majorHAnsi" w:cstheme="majorHAnsi"/>
          <w:color w:val="000000"/>
          <w:sz w:val="24"/>
          <w:szCs w:val="24"/>
          <w:lang w:val="ro-RO"/>
        </w:rPr>
      </w:pPr>
    </w:p>
    <w:p w14:paraId="09A52D3F" w14:textId="1B7D9337" w:rsidR="00357FA7" w:rsidRPr="00A969F3" w:rsidRDefault="0086408C" w:rsidP="0086408C">
      <w:pPr>
        <w:pStyle w:val="ListParagraph"/>
        <w:numPr>
          <w:ilvl w:val="2"/>
          <w:numId w:val="20"/>
        </w:numPr>
        <w:tabs>
          <w:tab w:val="left" w:pos="720"/>
          <w:tab w:val="left" w:pos="1276"/>
        </w:tabs>
        <w:spacing w:after="120"/>
        <w:ind w:left="0" w:firstLine="0"/>
        <w:jc w:val="both"/>
        <w:outlineLvl w:val="2"/>
        <w:rPr>
          <w:rFonts w:asciiTheme="majorHAnsi" w:hAnsiTheme="majorHAnsi" w:cstheme="majorHAnsi"/>
          <w:b/>
          <w:color w:val="000000"/>
          <w:sz w:val="24"/>
          <w:szCs w:val="24"/>
          <w:lang w:val="ru-MD"/>
        </w:rPr>
      </w:pPr>
      <w:bookmarkStart w:id="63" w:name="_Toc127129417"/>
      <w:r w:rsidRPr="00A969F3">
        <w:rPr>
          <w:rFonts w:asciiTheme="majorHAnsi" w:hAnsiTheme="majorHAnsi" w:cstheme="majorHAnsi"/>
          <w:b/>
          <w:sz w:val="24"/>
          <w:szCs w:val="24"/>
          <w:lang w:val="ru-MD"/>
        </w:rPr>
        <w:t>Деятельность Управления посттаможенного контроля ТС по проведению аудита после таможенного оформления и перепроверке таможенных деклараций</w:t>
      </w:r>
      <w:bookmarkEnd w:id="63"/>
      <w:r w:rsidRPr="00A969F3">
        <w:rPr>
          <w:rFonts w:asciiTheme="majorHAnsi" w:hAnsiTheme="majorHAnsi" w:cstheme="majorHAnsi"/>
          <w:b/>
          <w:sz w:val="24"/>
          <w:szCs w:val="24"/>
          <w:lang w:val="ru-MD"/>
        </w:rPr>
        <w:t xml:space="preserve"> </w:t>
      </w:r>
    </w:p>
    <w:p w14:paraId="53C60630" w14:textId="5E0DAE36" w:rsidR="00357FA7" w:rsidRPr="00A969F3" w:rsidRDefault="003E4367" w:rsidP="00BA4B7D">
      <w:pPr>
        <w:spacing w:after="120"/>
        <w:jc w:val="both"/>
        <w:rPr>
          <w:rFonts w:asciiTheme="majorHAnsi" w:hAnsiTheme="majorHAnsi" w:cstheme="majorHAnsi"/>
          <w:sz w:val="24"/>
          <w:szCs w:val="24"/>
          <w:lang w:val="ru-MD"/>
        </w:rPr>
      </w:pPr>
      <w:r w:rsidRPr="00A969F3">
        <w:rPr>
          <w:rFonts w:asciiTheme="majorHAnsi" w:hAnsiTheme="majorHAnsi" w:cstheme="majorHAnsi"/>
          <w:sz w:val="24"/>
          <w:szCs w:val="24"/>
          <w:lang w:val="ru-MD"/>
        </w:rPr>
        <w:t>Согласно Таможенному кодексу</w:t>
      </w:r>
      <w:r w:rsidR="00357FA7" w:rsidRPr="00A969F3">
        <w:rPr>
          <w:rFonts w:asciiTheme="majorHAnsi" w:hAnsiTheme="majorHAnsi" w:cstheme="majorHAnsi"/>
          <w:sz w:val="24"/>
          <w:szCs w:val="24"/>
          <w:lang w:val="ru-MD"/>
        </w:rPr>
        <w:t xml:space="preserve">, </w:t>
      </w:r>
      <w:r w:rsidRPr="00A969F3">
        <w:rPr>
          <w:rFonts w:asciiTheme="majorHAnsi" w:hAnsiTheme="majorHAnsi" w:cstheme="majorHAnsi"/>
          <w:sz w:val="24"/>
          <w:szCs w:val="24"/>
          <w:lang w:val="ru-MD"/>
        </w:rPr>
        <w:t xml:space="preserve">последующий контроль </w:t>
      </w:r>
      <w:r w:rsidR="00F708CE" w:rsidRPr="00A969F3">
        <w:rPr>
          <w:rFonts w:asciiTheme="majorHAnsi" w:hAnsiTheme="majorHAnsi" w:cstheme="majorHAnsi"/>
          <w:sz w:val="24"/>
          <w:szCs w:val="24"/>
          <w:lang w:val="ru-MD"/>
        </w:rPr>
        <w:t xml:space="preserve">является формой таможенного контроля, которая осуществляется после предоставления разрешения на выпуск, </w:t>
      </w:r>
      <w:r w:rsidRPr="00A969F3">
        <w:rPr>
          <w:rFonts w:asciiTheme="majorHAnsi" w:hAnsiTheme="majorHAnsi" w:cstheme="majorHAnsi"/>
          <w:sz w:val="24"/>
          <w:szCs w:val="24"/>
          <w:lang w:val="ru-MD"/>
        </w:rPr>
        <w:t>основывается на управлении рисками, проводится исключительно в таможенных целях, для обеспечения правильного применения законодательства и подтверждения или опровержения соблюдения декларантом законодательства</w:t>
      </w:r>
      <w:r w:rsidR="00357FA7" w:rsidRPr="00A969F3">
        <w:rPr>
          <w:rFonts w:asciiTheme="majorHAnsi" w:hAnsiTheme="majorHAnsi" w:cstheme="majorHAnsi"/>
          <w:sz w:val="24"/>
          <w:szCs w:val="24"/>
          <w:vertAlign w:val="superscript"/>
          <w:lang w:val="ru-MD"/>
        </w:rPr>
        <w:footnoteReference w:id="108"/>
      </w:r>
      <w:r w:rsidR="00357FA7" w:rsidRPr="00A969F3">
        <w:rPr>
          <w:rFonts w:asciiTheme="majorHAnsi" w:hAnsiTheme="majorHAnsi" w:cstheme="majorHAnsi"/>
          <w:sz w:val="24"/>
          <w:szCs w:val="24"/>
          <w:lang w:val="ru-MD"/>
        </w:rPr>
        <w:t xml:space="preserve">. </w:t>
      </w:r>
      <w:r w:rsidR="00F708CE" w:rsidRPr="00A969F3">
        <w:rPr>
          <w:rFonts w:asciiTheme="majorHAnsi" w:hAnsiTheme="majorHAnsi" w:cstheme="majorHAnsi"/>
          <w:sz w:val="24"/>
          <w:szCs w:val="24"/>
          <w:lang w:val="ru-MD"/>
        </w:rPr>
        <w:t>Таможенный контроль проводится таможенными органами в соответствии с их территориальными полномочиями, и состоит в</w:t>
      </w:r>
      <w:r w:rsidR="00357FA7" w:rsidRPr="00A969F3">
        <w:rPr>
          <w:rFonts w:asciiTheme="majorHAnsi" w:hAnsiTheme="majorHAnsi" w:cstheme="majorHAnsi"/>
          <w:sz w:val="24"/>
          <w:szCs w:val="24"/>
          <w:lang w:val="ru-MD"/>
        </w:rPr>
        <w:t xml:space="preserve">: </w:t>
      </w:r>
      <w:r w:rsidR="00097E74" w:rsidRPr="00A969F3">
        <w:rPr>
          <w:rFonts w:asciiTheme="majorHAnsi" w:hAnsiTheme="majorHAnsi" w:cstheme="majorHAnsi"/>
          <w:sz w:val="24"/>
          <w:szCs w:val="24"/>
          <w:lang w:val="ru-MD"/>
        </w:rPr>
        <w:t>последующей проверке путем перепроверки таможенной декларации и последующем контроле посредством посттаможенного аудита</w:t>
      </w:r>
      <w:r w:rsidR="00357FA7" w:rsidRPr="00A969F3">
        <w:rPr>
          <w:rFonts w:asciiTheme="majorHAnsi" w:hAnsiTheme="majorHAnsi" w:cstheme="majorHAnsi"/>
          <w:sz w:val="24"/>
          <w:szCs w:val="24"/>
          <w:vertAlign w:val="superscript"/>
          <w:lang w:val="ru-MD"/>
        </w:rPr>
        <w:footnoteReference w:id="109"/>
      </w:r>
      <w:r w:rsidR="00357FA7" w:rsidRPr="00A969F3">
        <w:rPr>
          <w:rFonts w:asciiTheme="majorHAnsi" w:hAnsiTheme="majorHAnsi" w:cstheme="majorHAnsi"/>
          <w:sz w:val="24"/>
          <w:szCs w:val="24"/>
          <w:lang w:val="ru-MD"/>
        </w:rPr>
        <w:t>.</w:t>
      </w:r>
    </w:p>
    <w:p w14:paraId="6EE84A48" w14:textId="77777777" w:rsidR="00357FA7" w:rsidRPr="00B20FBD" w:rsidRDefault="00357FA7" w:rsidP="00357FA7">
      <w:pPr>
        <w:spacing w:after="0"/>
        <w:jc w:val="both"/>
        <w:rPr>
          <w:rFonts w:asciiTheme="majorHAnsi" w:hAnsiTheme="majorHAnsi" w:cstheme="majorHAnsi"/>
          <w:sz w:val="8"/>
          <w:szCs w:val="8"/>
          <w:lang w:val="ro-RO"/>
        </w:rPr>
      </w:pPr>
    </w:p>
    <w:p w14:paraId="6076AD1B" w14:textId="366B98E0" w:rsidR="00357FA7" w:rsidRPr="00FF4992" w:rsidRDefault="00A969F3" w:rsidP="00357FA7">
      <w:pPr>
        <w:spacing w:after="0"/>
        <w:jc w:val="both"/>
        <w:rPr>
          <w:rFonts w:asciiTheme="majorHAnsi" w:hAnsiTheme="majorHAnsi" w:cstheme="majorHAnsi"/>
          <w:sz w:val="24"/>
          <w:szCs w:val="24"/>
          <w:lang w:val="ru-MD"/>
        </w:rPr>
      </w:pPr>
      <w:r w:rsidRPr="00FF4992">
        <w:rPr>
          <w:rFonts w:asciiTheme="majorHAnsi" w:hAnsiTheme="majorHAnsi" w:cstheme="majorHAnsi"/>
          <w:sz w:val="24"/>
          <w:szCs w:val="24"/>
          <w:lang w:val="ru-MD"/>
        </w:rPr>
        <w:t>На 2021 год было запланировано 483 последующих контрол</w:t>
      </w:r>
      <w:r w:rsidR="00EB370D" w:rsidRPr="00FF4992">
        <w:rPr>
          <w:rFonts w:asciiTheme="majorHAnsi" w:hAnsiTheme="majorHAnsi" w:cstheme="majorHAnsi"/>
          <w:sz w:val="24"/>
          <w:szCs w:val="24"/>
          <w:lang w:val="ru-MD"/>
        </w:rPr>
        <w:t>ей</w:t>
      </w:r>
      <w:r w:rsidRPr="00FF4992">
        <w:rPr>
          <w:rFonts w:asciiTheme="majorHAnsi" w:hAnsiTheme="majorHAnsi" w:cstheme="majorHAnsi"/>
          <w:sz w:val="24"/>
          <w:szCs w:val="24"/>
          <w:lang w:val="ru-MD"/>
        </w:rPr>
        <w:t xml:space="preserve">, из которых: 113 </w:t>
      </w:r>
      <w:r w:rsidR="00EB370D" w:rsidRPr="00FF4992">
        <w:rPr>
          <w:rFonts w:asciiTheme="majorHAnsi" w:hAnsiTheme="majorHAnsi" w:cstheme="majorHAnsi"/>
          <w:sz w:val="24"/>
          <w:szCs w:val="24"/>
          <w:lang w:val="ru-MD"/>
        </w:rPr>
        <w:t>аудитов</w:t>
      </w:r>
      <w:r w:rsidRPr="00FF4992">
        <w:rPr>
          <w:rFonts w:asciiTheme="majorHAnsi" w:hAnsiTheme="majorHAnsi" w:cstheme="majorHAnsi"/>
          <w:sz w:val="24"/>
          <w:szCs w:val="24"/>
          <w:lang w:val="ru-MD"/>
        </w:rPr>
        <w:t xml:space="preserve"> после таможенного оформления и 370 </w:t>
      </w:r>
      <w:r w:rsidR="00EB370D" w:rsidRPr="00FF4992">
        <w:rPr>
          <w:rFonts w:asciiTheme="majorHAnsi" w:hAnsiTheme="majorHAnsi" w:cstheme="majorHAnsi"/>
          <w:sz w:val="24"/>
          <w:szCs w:val="24"/>
          <w:lang w:val="ru-MD"/>
        </w:rPr>
        <w:t>пере</w:t>
      </w:r>
      <w:r w:rsidRPr="00FF4992">
        <w:rPr>
          <w:rFonts w:asciiTheme="majorHAnsi" w:hAnsiTheme="majorHAnsi" w:cstheme="majorHAnsi"/>
          <w:sz w:val="24"/>
          <w:szCs w:val="24"/>
          <w:lang w:val="ru-MD"/>
        </w:rPr>
        <w:t xml:space="preserve">проверок таможенных деклараций. За </w:t>
      </w:r>
      <w:r w:rsidR="00FF4992" w:rsidRPr="00FF4992">
        <w:rPr>
          <w:rFonts w:asciiTheme="majorHAnsi" w:hAnsiTheme="majorHAnsi" w:cstheme="majorHAnsi"/>
          <w:sz w:val="24"/>
          <w:szCs w:val="24"/>
          <w:lang w:val="ru-MD"/>
        </w:rPr>
        <w:t>э</w:t>
      </w:r>
      <w:r w:rsidRPr="00FF4992">
        <w:rPr>
          <w:rFonts w:asciiTheme="majorHAnsi" w:hAnsiTheme="majorHAnsi" w:cstheme="majorHAnsi"/>
          <w:sz w:val="24"/>
          <w:szCs w:val="24"/>
          <w:lang w:val="ru-MD"/>
        </w:rPr>
        <w:t xml:space="preserve">тот же период было </w:t>
      </w:r>
      <w:r w:rsidR="00FF4992" w:rsidRPr="00FF4992">
        <w:rPr>
          <w:rFonts w:asciiTheme="majorHAnsi" w:hAnsiTheme="majorHAnsi" w:cstheme="majorHAnsi"/>
          <w:sz w:val="24"/>
          <w:szCs w:val="24"/>
          <w:lang w:val="ru-MD"/>
        </w:rPr>
        <w:t>реализова</w:t>
      </w:r>
      <w:r w:rsidRPr="00FF4992">
        <w:rPr>
          <w:rFonts w:asciiTheme="majorHAnsi" w:hAnsiTheme="majorHAnsi" w:cstheme="majorHAnsi"/>
          <w:sz w:val="24"/>
          <w:szCs w:val="24"/>
          <w:lang w:val="ru-MD"/>
        </w:rPr>
        <w:t xml:space="preserve">но 277 последующих </w:t>
      </w:r>
      <w:r w:rsidR="00EB370D" w:rsidRPr="00FF4992">
        <w:rPr>
          <w:rFonts w:asciiTheme="majorHAnsi" w:hAnsiTheme="majorHAnsi" w:cstheme="majorHAnsi"/>
          <w:sz w:val="24"/>
          <w:szCs w:val="24"/>
          <w:lang w:val="ru-MD"/>
        </w:rPr>
        <w:t>контролей</w:t>
      </w:r>
      <w:r w:rsidRPr="00FF4992">
        <w:rPr>
          <w:rFonts w:asciiTheme="majorHAnsi" w:hAnsiTheme="majorHAnsi" w:cstheme="majorHAnsi"/>
          <w:sz w:val="24"/>
          <w:szCs w:val="24"/>
          <w:lang w:val="ru-MD"/>
        </w:rPr>
        <w:t xml:space="preserve">, что составляет 57,3% от общего запланированного числа, из которых: 65 </w:t>
      </w:r>
      <w:r w:rsidR="00EB370D" w:rsidRPr="00FF4992">
        <w:rPr>
          <w:rFonts w:asciiTheme="majorHAnsi" w:hAnsiTheme="majorHAnsi" w:cstheme="majorHAnsi"/>
          <w:sz w:val="24"/>
          <w:szCs w:val="24"/>
          <w:lang w:val="ru-MD"/>
        </w:rPr>
        <w:t>контролей</w:t>
      </w:r>
      <w:r w:rsidRPr="00FF4992">
        <w:rPr>
          <w:rFonts w:asciiTheme="majorHAnsi" w:hAnsiTheme="majorHAnsi" w:cstheme="majorHAnsi"/>
          <w:sz w:val="24"/>
          <w:szCs w:val="24"/>
          <w:lang w:val="ru-MD"/>
        </w:rPr>
        <w:t xml:space="preserve"> после таможенного оформления (57,5% от запланированного числа) и 212 </w:t>
      </w:r>
      <w:r w:rsidR="00EB370D" w:rsidRPr="00FF4992">
        <w:rPr>
          <w:rFonts w:asciiTheme="majorHAnsi" w:hAnsiTheme="majorHAnsi" w:cstheme="majorHAnsi"/>
          <w:sz w:val="24"/>
          <w:szCs w:val="24"/>
          <w:lang w:val="ru-MD"/>
        </w:rPr>
        <w:t>пере</w:t>
      </w:r>
      <w:r w:rsidRPr="00FF4992">
        <w:rPr>
          <w:rFonts w:asciiTheme="majorHAnsi" w:hAnsiTheme="majorHAnsi" w:cstheme="majorHAnsi"/>
          <w:sz w:val="24"/>
          <w:szCs w:val="24"/>
          <w:lang w:val="ru-MD"/>
        </w:rPr>
        <w:t xml:space="preserve">проверок таможенных деклараций (57,2% от запланированного числа). В то же время было проведено 4 внеплановых </w:t>
      </w:r>
      <w:r w:rsidR="00FF4992" w:rsidRPr="00FF4992">
        <w:rPr>
          <w:rFonts w:asciiTheme="majorHAnsi" w:hAnsiTheme="majorHAnsi" w:cstheme="majorHAnsi"/>
          <w:sz w:val="24"/>
          <w:szCs w:val="24"/>
          <w:lang w:val="ru-MD"/>
        </w:rPr>
        <w:t>аудита после таможенного оформления</w:t>
      </w:r>
      <w:r w:rsidR="00357FA7" w:rsidRPr="00FF4992">
        <w:rPr>
          <w:rFonts w:asciiTheme="majorHAnsi" w:hAnsiTheme="majorHAnsi" w:cstheme="majorHAnsi"/>
          <w:sz w:val="24"/>
          <w:szCs w:val="24"/>
          <w:lang w:val="ru-MD"/>
        </w:rPr>
        <w:t xml:space="preserve">. </w:t>
      </w:r>
    </w:p>
    <w:p w14:paraId="43DBD5E0" w14:textId="77777777" w:rsidR="00357FA7" w:rsidRPr="00FF4992" w:rsidRDefault="00357FA7" w:rsidP="00357FA7">
      <w:pPr>
        <w:spacing w:after="0"/>
        <w:jc w:val="both"/>
        <w:rPr>
          <w:rFonts w:asciiTheme="majorHAnsi" w:hAnsiTheme="majorHAnsi" w:cstheme="majorHAnsi"/>
          <w:sz w:val="8"/>
          <w:szCs w:val="8"/>
          <w:lang w:val="ru-MD"/>
        </w:rPr>
      </w:pPr>
    </w:p>
    <w:p w14:paraId="63A8CFE2" w14:textId="3AFD392C" w:rsidR="00357FA7" w:rsidRPr="00FF4992" w:rsidRDefault="00A969F3" w:rsidP="00357FA7">
      <w:pPr>
        <w:spacing w:after="0"/>
        <w:jc w:val="both"/>
        <w:rPr>
          <w:rFonts w:asciiTheme="majorHAnsi" w:hAnsiTheme="majorHAnsi" w:cstheme="majorHAnsi"/>
          <w:sz w:val="8"/>
          <w:szCs w:val="8"/>
          <w:lang w:val="ru-MD"/>
        </w:rPr>
      </w:pPr>
      <w:r w:rsidRPr="00FF4992">
        <w:rPr>
          <w:rFonts w:asciiTheme="majorHAnsi" w:hAnsiTheme="majorHAnsi" w:cstheme="majorHAnsi"/>
          <w:sz w:val="24"/>
          <w:szCs w:val="24"/>
          <w:lang w:val="ru-MD"/>
        </w:rPr>
        <w:t>Аудит отмечает, что на основании принятых решений о регул</w:t>
      </w:r>
      <w:r w:rsidR="00FF4992" w:rsidRPr="00FF4992">
        <w:rPr>
          <w:rFonts w:asciiTheme="majorHAnsi" w:hAnsiTheme="majorHAnsi" w:cstheme="majorHAnsi"/>
          <w:sz w:val="24"/>
          <w:szCs w:val="24"/>
          <w:lang w:val="ru-MD"/>
        </w:rPr>
        <w:t>ировании, за</w:t>
      </w:r>
      <w:r w:rsidRPr="00FF4992">
        <w:rPr>
          <w:rFonts w:asciiTheme="majorHAnsi" w:hAnsiTheme="majorHAnsi" w:cstheme="majorHAnsi"/>
          <w:sz w:val="24"/>
          <w:szCs w:val="24"/>
          <w:lang w:val="ru-MD"/>
        </w:rPr>
        <w:t xml:space="preserve"> 2021 г</w:t>
      </w:r>
      <w:r w:rsidR="00FF4992" w:rsidRPr="00FF4992">
        <w:rPr>
          <w:rFonts w:asciiTheme="majorHAnsi" w:hAnsiTheme="majorHAnsi" w:cstheme="majorHAnsi"/>
          <w:sz w:val="24"/>
          <w:szCs w:val="24"/>
          <w:lang w:val="ru-MD"/>
        </w:rPr>
        <w:t>од</w:t>
      </w:r>
      <w:r w:rsidRPr="00FF4992">
        <w:rPr>
          <w:rFonts w:asciiTheme="majorHAnsi" w:hAnsiTheme="majorHAnsi" w:cstheme="majorHAnsi"/>
          <w:sz w:val="24"/>
          <w:szCs w:val="24"/>
          <w:lang w:val="ru-MD"/>
        </w:rPr>
        <w:t xml:space="preserve"> были пересчитаны таможенные обязательства на сумму 34,2 млн.</w:t>
      </w:r>
      <w:r w:rsidR="00FF4992" w:rsidRPr="00FF4992">
        <w:rPr>
          <w:rFonts w:asciiTheme="majorHAnsi" w:hAnsiTheme="majorHAnsi" w:cstheme="majorHAnsi"/>
          <w:sz w:val="24"/>
          <w:szCs w:val="24"/>
          <w:lang w:val="ru-MD"/>
        </w:rPr>
        <w:t xml:space="preserve"> </w:t>
      </w:r>
      <w:r w:rsidRPr="00FF4992">
        <w:rPr>
          <w:rFonts w:asciiTheme="majorHAnsi" w:hAnsiTheme="majorHAnsi" w:cstheme="majorHAnsi"/>
          <w:sz w:val="24"/>
          <w:szCs w:val="24"/>
          <w:lang w:val="ru-MD"/>
        </w:rPr>
        <w:t>ле</w:t>
      </w:r>
      <w:r w:rsidR="00FF4992" w:rsidRPr="00FF4992">
        <w:rPr>
          <w:rFonts w:asciiTheme="majorHAnsi" w:hAnsiTheme="majorHAnsi" w:cstheme="majorHAnsi"/>
          <w:sz w:val="24"/>
          <w:szCs w:val="24"/>
          <w:lang w:val="ru-MD"/>
        </w:rPr>
        <w:t>ев</w:t>
      </w:r>
      <w:r w:rsidRPr="00FF4992">
        <w:rPr>
          <w:rFonts w:asciiTheme="majorHAnsi" w:hAnsiTheme="majorHAnsi" w:cstheme="majorHAnsi"/>
          <w:sz w:val="24"/>
          <w:szCs w:val="24"/>
          <w:lang w:val="ru-MD"/>
        </w:rPr>
        <w:t xml:space="preserve">, </w:t>
      </w:r>
      <w:r w:rsidR="00FF4992" w:rsidRPr="00FF4992">
        <w:rPr>
          <w:rFonts w:asciiTheme="majorHAnsi" w:hAnsiTheme="majorHAnsi" w:cstheme="majorHAnsi"/>
          <w:sz w:val="24"/>
          <w:szCs w:val="24"/>
          <w:lang w:val="ru-MD"/>
        </w:rPr>
        <w:t>или</w:t>
      </w:r>
      <w:r w:rsidRPr="00FF4992">
        <w:rPr>
          <w:rFonts w:asciiTheme="majorHAnsi" w:hAnsiTheme="majorHAnsi" w:cstheme="majorHAnsi"/>
          <w:sz w:val="24"/>
          <w:szCs w:val="24"/>
          <w:lang w:val="ru-MD"/>
        </w:rPr>
        <w:t xml:space="preserve"> на 6,0 млн.</w:t>
      </w:r>
      <w:r w:rsidR="00FF4992" w:rsidRPr="00FF4992">
        <w:rPr>
          <w:rFonts w:asciiTheme="majorHAnsi" w:hAnsiTheme="majorHAnsi" w:cstheme="majorHAnsi"/>
          <w:sz w:val="24"/>
          <w:szCs w:val="24"/>
          <w:lang w:val="ru-MD"/>
        </w:rPr>
        <w:t xml:space="preserve"> </w:t>
      </w:r>
      <w:r w:rsidRPr="00FF4992">
        <w:rPr>
          <w:rFonts w:asciiTheme="majorHAnsi" w:hAnsiTheme="majorHAnsi" w:cstheme="majorHAnsi"/>
          <w:sz w:val="24"/>
          <w:szCs w:val="24"/>
          <w:lang w:val="ru-MD"/>
        </w:rPr>
        <w:t xml:space="preserve">леев (22%) </w:t>
      </w:r>
      <w:r w:rsidR="00FF4992" w:rsidRPr="00FF4992">
        <w:rPr>
          <w:rFonts w:asciiTheme="majorHAnsi" w:hAnsiTheme="majorHAnsi" w:cstheme="majorHAnsi"/>
          <w:sz w:val="24"/>
          <w:szCs w:val="24"/>
          <w:lang w:val="ru-MD"/>
        </w:rPr>
        <w:t xml:space="preserve">больше </w:t>
      </w:r>
      <w:r w:rsidRPr="00FF4992">
        <w:rPr>
          <w:rFonts w:asciiTheme="majorHAnsi" w:hAnsiTheme="majorHAnsi" w:cstheme="majorHAnsi"/>
          <w:sz w:val="24"/>
          <w:szCs w:val="24"/>
          <w:lang w:val="ru-MD"/>
        </w:rPr>
        <w:t xml:space="preserve">по сравнению с предыдущим годом, </w:t>
      </w:r>
      <w:r w:rsidR="00FF4992" w:rsidRPr="00FF4992">
        <w:rPr>
          <w:rFonts w:asciiTheme="majorHAnsi" w:hAnsiTheme="majorHAnsi" w:cstheme="majorHAnsi"/>
          <w:sz w:val="24"/>
          <w:szCs w:val="24"/>
          <w:lang w:val="ru-MD"/>
        </w:rPr>
        <w:t>с взиманием доходов</w:t>
      </w:r>
      <w:r w:rsidRPr="00FF4992">
        <w:rPr>
          <w:rFonts w:asciiTheme="majorHAnsi" w:hAnsiTheme="majorHAnsi" w:cstheme="majorHAnsi"/>
          <w:sz w:val="24"/>
          <w:szCs w:val="24"/>
          <w:lang w:val="ru-MD"/>
        </w:rPr>
        <w:t xml:space="preserve"> в сумме 41,0 млн. леев, что на 144% больше по сравнению с предыдущим периодом, целевой показатель эффективности </w:t>
      </w:r>
      <w:r w:rsidR="00FF4992" w:rsidRPr="00FF4992">
        <w:rPr>
          <w:rFonts w:asciiTheme="majorHAnsi" w:hAnsiTheme="majorHAnsi" w:cstheme="majorHAnsi"/>
          <w:sz w:val="24"/>
          <w:szCs w:val="24"/>
          <w:lang w:val="ru-MD"/>
        </w:rPr>
        <w:t xml:space="preserve">был </w:t>
      </w:r>
      <w:r w:rsidRPr="00FF4992">
        <w:rPr>
          <w:rFonts w:asciiTheme="majorHAnsi" w:hAnsiTheme="majorHAnsi" w:cstheme="majorHAnsi"/>
          <w:sz w:val="24"/>
          <w:szCs w:val="24"/>
          <w:lang w:val="ru-MD"/>
        </w:rPr>
        <w:t>достигнут. Управление последующего контроля также выпустило 52 аналитических нот и отчет</w:t>
      </w:r>
      <w:r w:rsidR="00FF4992" w:rsidRPr="00FF4992">
        <w:rPr>
          <w:rFonts w:asciiTheme="majorHAnsi" w:hAnsiTheme="majorHAnsi" w:cstheme="majorHAnsi"/>
          <w:sz w:val="24"/>
          <w:szCs w:val="24"/>
          <w:lang w:val="ru-MD"/>
        </w:rPr>
        <w:t>ов</w:t>
      </w:r>
      <w:r w:rsidRPr="00FF4992">
        <w:rPr>
          <w:rFonts w:asciiTheme="majorHAnsi" w:hAnsiTheme="majorHAnsi" w:cstheme="majorHAnsi"/>
          <w:sz w:val="24"/>
          <w:szCs w:val="24"/>
          <w:lang w:val="ru-MD"/>
        </w:rPr>
        <w:t xml:space="preserve"> с предложениями</w:t>
      </w:r>
      <w:r w:rsidR="00FF4992" w:rsidRPr="00FF4992">
        <w:rPr>
          <w:rFonts w:asciiTheme="majorHAnsi" w:hAnsiTheme="majorHAnsi" w:cstheme="majorHAnsi"/>
          <w:sz w:val="24"/>
          <w:szCs w:val="24"/>
          <w:lang w:val="ru-MD"/>
        </w:rPr>
        <w:t xml:space="preserve"> о </w:t>
      </w:r>
      <w:r w:rsidRPr="00FF4992">
        <w:rPr>
          <w:rFonts w:asciiTheme="majorHAnsi" w:hAnsiTheme="majorHAnsi" w:cstheme="majorHAnsi"/>
          <w:sz w:val="24"/>
          <w:szCs w:val="24"/>
          <w:lang w:val="ru-MD"/>
        </w:rPr>
        <w:t>включ</w:t>
      </w:r>
      <w:r w:rsidR="00FF4992" w:rsidRPr="00FF4992">
        <w:rPr>
          <w:rFonts w:asciiTheme="majorHAnsi" w:hAnsiTheme="majorHAnsi" w:cstheme="majorHAnsi"/>
          <w:sz w:val="24"/>
          <w:szCs w:val="24"/>
          <w:lang w:val="ru-MD"/>
        </w:rPr>
        <w:t>ении</w:t>
      </w:r>
      <w:r w:rsidRPr="00FF4992">
        <w:rPr>
          <w:rFonts w:asciiTheme="majorHAnsi" w:hAnsiTheme="majorHAnsi" w:cstheme="majorHAnsi"/>
          <w:sz w:val="24"/>
          <w:szCs w:val="24"/>
          <w:lang w:val="ru-MD"/>
        </w:rPr>
        <w:t xml:space="preserve"> 158 экономических агентов в годовой план контроля</w:t>
      </w:r>
      <w:r w:rsidR="00566D3A" w:rsidRPr="00FF4992">
        <w:rPr>
          <w:rFonts w:asciiTheme="majorHAnsi" w:hAnsiTheme="majorHAnsi" w:cstheme="majorHAnsi"/>
          <w:sz w:val="24"/>
          <w:szCs w:val="24"/>
          <w:lang w:val="ru-MD"/>
        </w:rPr>
        <w:t>.</w:t>
      </w:r>
    </w:p>
    <w:p w14:paraId="5E3C0550" w14:textId="77777777" w:rsidR="00357FA7" w:rsidRPr="00FF4992" w:rsidRDefault="004F0A2B" w:rsidP="00357FA7">
      <w:pPr>
        <w:spacing w:after="0" w:line="240" w:lineRule="auto"/>
        <w:jc w:val="both"/>
        <w:rPr>
          <w:rFonts w:asciiTheme="majorHAnsi" w:hAnsiTheme="majorHAnsi" w:cstheme="majorHAnsi"/>
          <w:sz w:val="12"/>
          <w:szCs w:val="12"/>
          <w:lang w:val="ru-MD"/>
        </w:rPr>
      </w:pPr>
      <w:r w:rsidRPr="00FF4992">
        <w:rPr>
          <w:rFonts w:asciiTheme="majorHAnsi" w:hAnsiTheme="majorHAnsi" w:cstheme="majorHAnsi"/>
          <w:sz w:val="12"/>
          <w:szCs w:val="12"/>
          <w:lang w:val="ru-MD"/>
        </w:rPr>
        <w:tab/>
      </w:r>
    </w:p>
    <w:p w14:paraId="3FA4C3B3" w14:textId="7ED484E5" w:rsidR="00357FA7" w:rsidRPr="00C02F48" w:rsidRDefault="00FF4992" w:rsidP="005B04D3">
      <w:pPr>
        <w:spacing w:after="0"/>
        <w:jc w:val="both"/>
        <w:rPr>
          <w:rFonts w:asciiTheme="majorHAnsi" w:hAnsiTheme="majorHAnsi" w:cstheme="majorHAnsi"/>
          <w:b/>
          <w:sz w:val="16"/>
          <w:szCs w:val="16"/>
          <w:lang w:val="ru-MD"/>
        </w:rPr>
      </w:pPr>
      <w:r w:rsidRPr="00C02F48">
        <w:rPr>
          <w:rFonts w:asciiTheme="majorHAnsi" w:hAnsiTheme="majorHAnsi" w:cstheme="majorHAnsi"/>
          <w:sz w:val="24"/>
          <w:szCs w:val="24"/>
          <w:lang w:val="ru-MD"/>
        </w:rPr>
        <w:t>Согласно</w:t>
      </w:r>
      <w:r w:rsidR="00A969F3" w:rsidRPr="00C02F48">
        <w:rPr>
          <w:rFonts w:asciiTheme="majorHAnsi" w:hAnsiTheme="majorHAnsi" w:cstheme="majorHAnsi"/>
          <w:sz w:val="24"/>
          <w:szCs w:val="24"/>
          <w:lang w:val="ru-MD"/>
        </w:rPr>
        <w:t xml:space="preserve"> Положени</w:t>
      </w:r>
      <w:r w:rsidRPr="00C02F48">
        <w:rPr>
          <w:rFonts w:asciiTheme="majorHAnsi" w:hAnsiTheme="majorHAnsi" w:cstheme="majorHAnsi"/>
          <w:sz w:val="24"/>
          <w:szCs w:val="24"/>
          <w:lang w:val="ru-MD"/>
        </w:rPr>
        <w:t>ю</w:t>
      </w:r>
      <w:r w:rsidR="00A969F3" w:rsidRPr="00C02F48">
        <w:rPr>
          <w:rFonts w:asciiTheme="majorHAnsi" w:hAnsiTheme="majorHAnsi" w:cstheme="majorHAnsi"/>
          <w:sz w:val="24"/>
          <w:szCs w:val="24"/>
          <w:lang w:val="ru-MD"/>
        </w:rPr>
        <w:t>, утвержденн</w:t>
      </w:r>
      <w:r w:rsidRPr="00C02F48">
        <w:rPr>
          <w:rFonts w:asciiTheme="majorHAnsi" w:hAnsiTheme="majorHAnsi" w:cstheme="majorHAnsi"/>
          <w:sz w:val="24"/>
          <w:szCs w:val="24"/>
          <w:lang w:val="ru-MD"/>
        </w:rPr>
        <w:t>ому</w:t>
      </w:r>
      <w:r w:rsidR="00A969F3" w:rsidRPr="00C02F48">
        <w:rPr>
          <w:rFonts w:asciiTheme="majorHAnsi" w:hAnsiTheme="majorHAnsi" w:cstheme="majorHAnsi"/>
          <w:sz w:val="24"/>
          <w:szCs w:val="24"/>
          <w:lang w:val="ru-MD"/>
        </w:rPr>
        <w:t xml:space="preserve"> Постановлением Правительства </w:t>
      </w:r>
      <w:r w:rsidRPr="00C02F48">
        <w:rPr>
          <w:rFonts w:asciiTheme="majorHAnsi" w:hAnsiTheme="majorHAnsi" w:cstheme="majorHAnsi"/>
          <w:sz w:val="24"/>
          <w:szCs w:val="24"/>
          <w:lang w:val="ru-MD"/>
        </w:rPr>
        <w:t>№</w:t>
      </w:r>
      <w:r w:rsidR="00A969F3" w:rsidRPr="00C02F48">
        <w:rPr>
          <w:rFonts w:asciiTheme="majorHAnsi" w:hAnsiTheme="majorHAnsi" w:cstheme="majorHAnsi"/>
          <w:sz w:val="24"/>
          <w:szCs w:val="24"/>
          <w:lang w:val="ru-MD"/>
        </w:rPr>
        <w:t>1000 от 17.10.2018</w:t>
      </w:r>
      <w:r w:rsidRPr="00C02F48">
        <w:rPr>
          <w:rFonts w:asciiTheme="majorHAnsi" w:hAnsiTheme="majorHAnsi" w:cstheme="majorHAnsi"/>
          <w:sz w:val="24"/>
          <w:szCs w:val="24"/>
          <w:vertAlign w:val="superscript"/>
          <w:lang w:val="ru-MD"/>
        </w:rPr>
        <w:footnoteReference w:id="110"/>
      </w:r>
      <w:r w:rsidR="00A969F3" w:rsidRPr="00C02F48">
        <w:rPr>
          <w:rFonts w:asciiTheme="majorHAnsi" w:hAnsiTheme="majorHAnsi" w:cstheme="majorHAnsi"/>
          <w:sz w:val="24"/>
          <w:szCs w:val="24"/>
          <w:lang w:val="ru-MD"/>
        </w:rPr>
        <w:t xml:space="preserve">, ежегодные планы последующего контроля, осуществляемые посредством аудита после таможенного оформления и перепроверки таможенных деклараций, должны быть составлены с учетом, в том числе, общего коэффициента риска, присвоенного информационной системой анализа рисков. Вопреки </w:t>
      </w:r>
      <w:r w:rsidR="00C02F48" w:rsidRPr="00C02F48">
        <w:rPr>
          <w:rFonts w:asciiTheme="majorHAnsi" w:hAnsiTheme="majorHAnsi" w:cstheme="majorHAnsi"/>
          <w:sz w:val="24"/>
          <w:szCs w:val="24"/>
          <w:lang w:val="ru-MD"/>
        </w:rPr>
        <w:t>предписаниям П</w:t>
      </w:r>
      <w:r w:rsidR="00A969F3" w:rsidRPr="00C02F48">
        <w:rPr>
          <w:rFonts w:asciiTheme="majorHAnsi" w:hAnsiTheme="majorHAnsi" w:cstheme="majorHAnsi"/>
          <w:sz w:val="24"/>
          <w:szCs w:val="24"/>
          <w:lang w:val="ru-MD"/>
        </w:rPr>
        <w:t xml:space="preserve">оложения, </w:t>
      </w:r>
      <w:r w:rsidR="00C02F48" w:rsidRPr="00C02F48">
        <w:rPr>
          <w:rFonts w:asciiTheme="majorHAnsi" w:hAnsiTheme="majorHAnsi" w:cstheme="majorHAnsi"/>
          <w:sz w:val="24"/>
          <w:szCs w:val="24"/>
          <w:lang w:val="ru-MD"/>
        </w:rPr>
        <w:t>ТС</w:t>
      </w:r>
      <w:r w:rsidR="00A969F3" w:rsidRPr="00C02F48">
        <w:rPr>
          <w:rFonts w:asciiTheme="majorHAnsi" w:hAnsiTheme="majorHAnsi" w:cstheme="majorHAnsi"/>
          <w:sz w:val="24"/>
          <w:szCs w:val="24"/>
          <w:lang w:val="ru-MD"/>
        </w:rPr>
        <w:t xml:space="preserve"> не имеет информационной системы, которая обеспечивала бы компьютерную процедуру анализа рисков для разработки годовых планов контроля посредством аудита после таможенного оформления и перепроверки таможенных деклараций</w:t>
      </w:r>
      <w:r w:rsidR="00357FA7" w:rsidRPr="00C02F48">
        <w:rPr>
          <w:rFonts w:asciiTheme="majorHAnsi" w:hAnsiTheme="majorHAnsi" w:cstheme="majorHAnsi"/>
          <w:sz w:val="24"/>
          <w:szCs w:val="24"/>
          <w:lang w:val="ru-MD"/>
        </w:rPr>
        <w:t>.</w:t>
      </w:r>
      <w:r w:rsidR="00357FA7" w:rsidRPr="00C02F48">
        <w:rPr>
          <w:rFonts w:asciiTheme="majorHAnsi" w:hAnsiTheme="majorHAnsi" w:cstheme="majorHAnsi"/>
          <w:b/>
          <w:sz w:val="24"/>
          <w:szCs w:val="24"/>
          <w:lang w:val="ru-MD"/>
        </w:rPr>
        <w:t xml:space="preserve"> </w:t>
      </w:r>
    </w:p>
    <w:p w14:paraId="2EF48A9C" w14:textId="0F6669CB" w:rsidR="00357FA7" w:rsidRDefault="00357FA7" w:rsidP="00140997">
      <w:pPr>
        <w:spacing w:after="0"/>
        <w:jc w:val="both"/>
        <w:rPr>
          <w:rFonts w:asciiTheme="majorHAnsi" w:hAnsiTheme="majorHAnsi" w:cstheme="majorHAnsi"/>
          <w:color w:val="000000"/>
          <w:sz w:val="24"/>
          <w:szCs w:val="24"/>
          <w:lang w:val="ro-RO"/>
        </w:rPr>
      </w:pPr>
    </w:p>
    <w:p w14:paraId="767661AE" w14:textId="39A17FD6" w:rsidR="00402645" w:rsidRPr="00B20FBD" w:rsidRDefault="00C02F48" w:rsidP="00C02F48">
      <w:pPr>
        <w:pStyle w:val="ListParagraph"/>
        <w:numPr>
          <w:ilvl w:val="2"/>
          <w:numId w:val="20"/>
        </w:numPr>
        <w:tabs>
          <w:tab w:val="left" w:pos="1134"/>
        </w:tabs>
        <w:jc w:val="both"/>
        <w:outlineLvl w:val="2"/>
        <w:rPr>
          <w:rFonts w:asciiTheme="majorHAnsi" w:hAnsiTheme="majorHAnsi" w:cstheme="majorHAnsi"/>
          <w:sz w:val="24"/>
          <w:szCs w:val="24"/>
        </w:rPr>
      </w:pPr>
      <w:bookmarkStart w:id="64" w:name="_Toc127129418"/>
      <w:r>
        <w:rPr>
          <w:rFonts w:asciiTheme="majorHAnsi" w:hAnsiTheme="majorHAnsi" w:cstheme="majorHAnsi"/>
          <w:b/>
          <w:noProof/>
          <w:sz w:val="24"/>
          <w:szCs w:val="24"/>
          <w:lang w:val="ru-RU"/>
        </w:rPr>
        <w:t>Выполнение</w:t>
      </w:r>
      <w:r w:rsidRPr="00C02F48">
        <w:rPr>
          <w:rFonts w:asciiTheme="majorHAnsi" w:hAnsiTheme="majorHAnsi" w:cstheme="majorHAnsi"/>
          <w:b/>
          <w:noProof/>
          <w:sz w:val="24"/>
          <w:szCs w:val="24"/>
        </w:rPr>
        <w:t xml:space="preserve"> предыдущих рекомендаций Счетной палаты</w:t>
      </w:r>
      <w:bookmarkEnd w:id="64"/>
    </w:p>
    <w:p w14:paraId="368E3657" w14:textId="77777777" w:rsidR="009C63F9" w:rsidRPr="00B20FBD" w:rsidRDefault="009C63F9" w:rsidP="00F2771D">
      <w:pPr>
        <w:spacing w:after="0"/>
        <w:jc w:val="both"/>
        <w:outlineLvl w:val="2"/>
        <w:rPr>
          <w:rFonts w:asciiTheme="majorHAnsi" w:hAnsiTheme="majorHAnsi" w:cstheme="majorHAnsi"/>
          <w:sz w:val="24"/>
          <w:szCs w:val="24"/>
          <w:lang w:val="ro-RO"/>
        </w:rPr>
      </w:pPr>
    </w:p>
    <w:p w14:paraId="08C77144" w14:textId="0A41D274" w:rsidR="00643571" w:rsidRPr="00B20FBD" w:rsidRDefault="001D64FD" w:rsidP="0005399B">
      <w:pPr>
        <w:pStyle w:val="ListParagraph"/>
        <w:tabs>
          <w:tab w:val="left" w:pos="161"/>
        </w:tabs>
        <w:spacing w:after="120" w:line="276" w:lineRule="auto"/>
        <w:ind w:left="0"/>
        <w:jc w:val="both"/>
        <w:rPr>
          <w:rFonts w:asciiTheme="majorHAnsi" w:hAnsiTheme="majorHAnsi" w:cstheme="majorHAnsi"/>
          <w:noProof/>
          <w:sz w:val="24"/>
          <w:szCs w:val="24"/>
        </w:rPr>
      </w:pPr>
      <w:r w:rsidRPr="001D64FD">
        <w:rPr>
          <w:rFonts w:asciiTheme="majorHAnsi" w:eastAsia="Times New Roman" w:hAnsiTheme="majorHAnsi" w:cstheme="majorHAnsi"/>
          <w:noProof/>
          <w:sz w:val="24"/>
          <w:szCs w:val="24"/>
        </w:rPr>
        <w:t xml:space="preserve">В результате оценки действий, предпринятых </w:t>
      </w:r>
      <w:r w:rsidR="00360A6C">
        <w:rPr>
          <w:rFonts w:asciiTheme="majorHAnsi" w:eastAsia="Times New Roman" w:hAnsiTheme="majorHAnsi" w:cstheme="majorHAnsi"/>
          <w:noProof/>
          <w:sz w:val="24"/>
          <w:szCs w:val="24"/>
          <w:lang w:val="ru-RU"/>
        </w:rPr>
        <w:t>ТС в</w:t>
      </w:r>
      <w:r w:rsidRPr="001D64FD">
        <w:rPr>
          <w:rFonts w:asciiTheme="majorHAnsi" w:eastAsia="Times New Roman" w:hAnsiTheme="majorHAnsi" w:cstheme="majorHAnsi"/>
          <w:noProof/>
          <w:sz w:val="24"/>
          <w:szCs w:val="24"/>
        </w:rPr>
        <w:t xml:space="preserve"> цел</w:t>
      </w:r>
      <w:r w:rsidR="00360A6C">
        <w:rPr>
          <w:rFonts w:asciiTheme="majorHAnsi" w:eastAsia="Times New Roman" w:hAnsiTheme="majorHAnsi" w:cstheme="majorHAnsi"/>
          <w:noProof/>
          <w:sz w:val="24"/>
          <w:szCs w:val="24"/>
          <w:lang w:val="ru-RU"/>
        </w:rPr>
        <w:t>ях</w:t>
      </w:r>
      <w:r w:rsidRPr="001D64FD">
        <w:rPr>
          <w:rFonts w:asciiTheme="majorHAnsi" w:eastAsia="Times New Roman" w:hAnsiTheme="majorHAnsi" w:cstheme="majorHAnsi"/>
          <w:noProof/>
          <w:sz w:val="24"/>
          <w:szCs w:val="24"/>
        </w:rPr>
        <w:t xml:space="preserve"> </w:t>
      </w:r>
      <w:r w:rsidR="00360A6C">
        <w:rPr>
          <w:rFonts w:asciiTheme="majorHAnsi" w:eastAsia="Times New Roman" w:hAnsiTheme="majorHAnsi" w:cstheme="majorHAnsi"/>
          <w:noProof/>
          <w:sz w:val="24"/>
          <w:szCs w:val="24"/>
          <w:lang w:val="ru-RU"/>
        </w:rPr>
        <w:t>выполнения</w:t>
      </w:r>
      <w:r w:rsidRPr="001D64FD">
        <w:rPr>
          <w:rFonts w:asciiTheme="majorHAnsi" w:eastAsia="Times New Roman" w:hAnsiTheme="majorHAnsi" w:cstheme="majorHAnsi"/>
          <w:noProof/>
          <w:sz w:val="24"/>
          <w:szCs w:val="24"/>
        </w:rPr>
        <w:t xml:space="preserve"> рекомендаций, выдвинутых ранее Счетной палатой</w:t>
      </w:r>
      <w:r w:rsidR="00360A6C" w:rsidRPr="00B20FBD">
        <w:rPr>
          <w:rStyle w:val="FootnoteReference"/>
          <w:rFonts w:asciiTheme="majorHAnsi" w:eastAsia="Times New Roman" w:hAnsiTheme="majorHAnsi" w:cstheme="majorHAnsi"/>
          <w:noProof/>
          <w:sz w:val="24"/>
          <w:szCs w:val="24"/>
        </w:rPr>
        <w:footnoteReference w:id="111"/>
      </w:r>
      <w:r w:rsidRPr="001D64FD">
        <w:rPr>
          <w:rFonts w:asciiTheme="majorHAnsi" w:eastAsia="Times New Roman" w:hAnsiTheme="majorHAnsi" w:cstheme="majorHAnsi"/>
          <w:noProof/>
          <w:sz w:val="24"/>
          <w:szCs w:val="24"/>
        </w:rPr>
        <w:t>, аудит о</w:t>
      </w:r>
      <w:r w:rsidR="00360A6C">
        <w:rPr>
          <w:rFonts w:asciiTheme="majorHAnsi" w:eastAsia="Times New Roman" w:hAnsiTheme="majorHAnsi" w:cstheme="majorHAnsi"/>
          <w:noProof/>
          <w:sz w:val="24"/>
          <w:szCs w:val="24"/>
          <w:lang w:val="ru-RU"/>
        </w:rPr>
        <w:t>тме</w:t>
      </w:r>
      <w:r w:rsidRPr="001D64FD">
        <w:rPr>
          <w:rFonts w:asciiTheme="majorHAnsi" w:eastAsia="Times New Roman" w:hAnsiTheme="majorHAnsi" w:cstheme="majorHAnsi"/>
          <w:noProof/>
          <w:sz w:val="24"/>
          <w:szCs w:val="24"/>
        </w:rPr>
        <w:t xml:space="preserve">чает средний уровень их реализации. Проверка выполнения рекомендаций показала, что из </w:t>
      </w:r>
      <w:r w:rsidR="00CB6FF1">
        <w:rPr>
          <w:rFonts w:asciiTheme="majorHAnsi" w:eastAsia="Times New Roman" w:hAnsiTheme="majorHAnsi" w:cstheme="majorHAnsi"/>
          <w:noProof/>
          <w:sz w:val="24"/>
          <w:szCs w:val="24"/>
          <w:lang w:val="ru-RU"/>
        </w:rPr>
        <w:t xml:space="preserve">общего числа </w:t>
      </w:r>
      <w:r w:rsidRPr="001D64FD">
        <w:rPr>
          <w:rFonts w:asciiTheme="majorHAnsi" w:eastAsia="Times New Roman" w:hAnsiTheme="majorHAnsi" w:cstheme="majorHAnsi"/>
          <w:noProof/>
          <w:sz w:val="24"/>
          <w:szCs w:val="24"/>
        </w:rPr>
        <w:t xml:space="preserve">17 рекомендаций, сформулированных в </w:t>
      </w:r>
      <w:r w:rsidR="00CB6FF1">
        <w:rPr>
          <w:rFonts w:asciiTheme="majorHAnsi" w:eastAsia="Times New Roman" w:hAnsiTheme="majorHAnsi" w:cstheme="majorHAnsi"/>
          <w:noProof/>
          <w:sz w:val="24"/>
          <w:szCs w:val="24"/>
          <w:lang w:val="ru-RU"/>
        </w:rPr>
        <w:t>О</w:t>
      </w:r>
      <w:r w:rsidRPr="001D64FD">
        <w:rPr>
          <w:rFonts w:asciiTheme="majorHAnsi" w:eastAsia="Times New Roman" w:hAnsiTheme="majorHAnsi" w:cstheme="majorHAnsi"/>
          <w:noProof/>
          <w:sz w:val="24"/>
          <w:szCs w:val="24"/>
        </w:rPr>
        <w:t>тчете</w:t>
      </w:r>
      <w:r w:rsidR="00CB6FF1">
        <w:rPr>
          <w:rFonts w:asciiTheme="majorHAnsi" w:eastAsia="Times New Roman" w:hAnsiTheme="majorHAnsi" w:cstheme="majorHAnsi"/>
          <w:noProof/>
          <w:sz w:val="24"/>
          <w:szCs w:val="24"/>
          <w:lang w:val="ru-RU"/>
        </w:rPr>
        <w:t xml:space="preserve"> аудита</w:t>
      </w:r>
      <w:r w:rsidRPr="001D64FD">
        <w:rPr>
          <w:rFonts w:asciiTheme="majorHAnsi" w:eastAsia="Times New Roman" w:hAnsiTheme="majorHAnsi" w:cstheme="majorHAnsi"/>
          <w:noProof/>
          <w:sz w:val="24"/>
          <w:szCs w:val="24"/>
        </w:rPr>
        <w:t xml:space="preserve">, 11 были реализованы полностью, что составляет 64,7%, </w:t>
      </w:r>
      <w:r w:rsidR="00CB6FF1">
        <w:rPr>
          <w:rFonts w:asciiTheme="majorHAnsi" w:eastAsia="Times New Roman" w:hAnsiTheme="majorHAnsi" w:cstheme="majorHAnsi"/>
          <w:noProof/>
          <w:sz w:val="24"/>
          <w:szCs w:val="24"/>
          <w:lang w:val="ru-RU"/>
        </w:rPr>
        <w:t xml:space="preserve">одна </w:t>
      </w:r>
      <w:r w:rsidRPr="001D64FD">
        <w:rPr>
          <w:rFonts w:asciiTheme="majorHAnsi" w:eastAsia="Times New Roman" w:hAnsiTheme="majorHAnsi" w:cstheme="majorHAnsi"/>
          <w:noProof/>
          <w:sz w:val="24"/>
          <w:szCs w:val="24"/>
        </w:rPr>
        <w:t xml:space="preserve">рекомендация была частично </w:t>
      </w:r>
      <w:r w:rsidR="00CB6FF1">
        <w:rPr>
          <w:rFonts w:asciiTheme="majorHAnsi" w:eastAsia="Times New Roman" w:hAnsiTheme="majorHAnsi" w:cstheme="majorHAnsi"/>
          <w:noProof/>
          <w:sz w:val="24"/>
          <w:szCs w:val="24"/>
          <w:lang w:val="ru-RU"/>
        </w:rPr>
        <w:t>внедре</w:t>
      </w:r>
      <w:r w:rsidRPr="001D64FD">
        <w:rPr>
          <w:rFonts w:asciiTheme="majorHAnsi" w:eastAsia="Times New Roman" w:hAnsiTheme="majorHAnsi" w:cstheme="majorHAnsi"/>
          <w:noProof/>
          <w:sz w:val="24"/>
          <w:szCs w:val="24"/>
        </w:rPr>
        <w:t xml:space="preserve">на, </w:t>
      </w:r>
      <w:r w:rsidR="00CB6FF1">
        <w:rPr>
          <w:rFonts w:asciiTheme="majorHAnsi" w:eastAsia="Times New Roman" w:hAnsiTheme="majorHAnsi" w:cstheme="majorHAnsi"/>
          <w:noProof/>
          <w:sz w:val="24"/>
          <w:szCs w:val="24"/>
          <w:lang w:val="ru-RU"/>
        </w:rPr>
        <w:t xml:space="preserve">одна </w:t>
      </w:r>
      <w:r w:rsidRPr="001D64FD">
        <w:rPr>
          <w:rFonts w:asciiTheme="majorHAnsi" w:eastAsia="Times New Roman" w:hAnsiTheme="majorHAnsi" w:cstheme="majorHAnsi"/>
          <w:noProof/>
          <w:sz w:val="24"/>
          <w:szCs w:val="24"/>
        </w:rPr>
        <w:t xml:space="preserve">рекомендация частично выполнена, а 4 (23,5%) не были </w:t>
      </w:r>
      <w:r w:rsidR="00CB6FF1">
        <w:rPr>
          <w:rFonts w:asciiTheme="majorHAnsi" w:eastAsia="Times New Roman" w:hAnsiTheme="majorHAnsi" w:cstheme="majorHAnsi"/>
          <w:noProof/>
          <w:sz w:val="24"/>
          <w:szCs w:val="24"/>
          <w:lang w:val="ru-RU"/>
        </w:rPr>
        <w:t>внедре</w:t>
      </w:r>
      <w:r w:rsidRPr="001D64FD">
        <w:rPr>
          <w:rFonts w:asciiTheme="majorHAnsi" w:eastAsia="Times New Roman" w:hAnsiTheme="majorHAnsi" w:cstheme="majorHAnsi"/>
          <w:noProof/>
          <w:sz w:val="24"/>
          <w:szCs w:val="24"/>
        </w:rPr>
        <w:t>ны, по</w:t>
      </w:r>
      <w:r w:rsidR="00CB6FF1">
        <w:rPr>
          <w:rFonts w:asciiTheme="majorHAnsi" w:eastAsia="Times New Roman" w:hAnsiTheme="majorHAnsi" w:cstheme="majorHAnsi"/>
          <w:noProof/>
          <w:sz w:val="24"/>
          <w:szCs w:val="24"/>
          <w:lang w:val="ru-RU"/>
        </w:rPr>
        <w:t>скольку</w:t>
      </w:r>
      <w:r w:rsidRPr="001D64FD">
        <w:rPr>
          <w:rFonts w:asciiTheme="majorHAnsi" w:eastAsia="Times New Roman" w:hAnsiTheme="majorHAnsi" w:cstheme="majorHAnsi"/>
          <w:noProof/>
          <w:sz w:val="24"/>
          <w:szCs w:val="24"/>
        </w:rPr>
        <w:t xml:space="preserve"> </w:t>
      </w:r>
      <w:r w:rsidR="00CB6FF1">
        <w:rPr>
          <w:rFonts w:asciiTheme="majorHAnsi" w:eastAsia="Times New Roman" w:hAnsiTheme="majorHAnsi" w:cstheme="majorHAnsi"/>
          <w:noProof/>
          <w:sz w:val="24"/>
          <w:szCs w:val="24"/>
          <w:lang w:val="ru-RU"/>
        </w:rPr>
        <w:t xml:space="preserve">необходимо </w:t>
      </w:r>
      <w:r w:rsidRPr="001D64FD">
        <w:rPr>
          <w:rFonts w:asciiTheme="majorHAnsi" w:eastAsia="Times New Roman" w:hAnsiTheme="majorHAnsi" w:cstheme="majorHAnsi"/>
          <w:noProof/>
          <w:sz w:val="24"/>
          <w:szCs w:val="24"/>
        </w:rPr>
        <w:t>врем</w:t>
      </w:r>
      <w:r w:rsidR="00CB6FF1">
        <w:rPr>
          <w:rFonts w:asciiTheme="majorHAnsi" w:eastAsia="Times New Roman" w:hAnsiTheme="majorHAnsi" w:cstheme="majorHAnsi"/>
          <w:noProof/>
          <w:sz w:val="24"/>
          <w:szCs w:val="24"/>
          <w:lang w:val="ru-RU"/>
        </w:rPr>
        <w:t>я</w:t>
      </w:r>
      <w:r w:rsidRPr="001D64FD">
        <w:rPr>
          <w:rFonts w:asciiTheme="majorHAnsi" w:eastAsia="Times New Roman" w:hAnsiTheme="majorHAnsi" w:cstheme="majorHAnsi"/>
          <w:noProof/>
          <w:sz w:val="24"/>
          <w:szCs w:val="24"/>
        </w:rPr>
        <w:t xml:space="preserve"> </w:t>
      </w:r>
      <w:r w:rsidR="00CB6FF1">
        <w:rPr>
          <w:rFonts w:asciiTheme="majorHAnsi" w:eastAsia="Times New Roman" w:hAnsiTheme="majorHAnsi" w:cstheme="majorHAnsi"/>
          <w:noProof/>
          <w:sz w:val="24"/>
          <w:szCs w:val="24"/>
          <w:lang w:val="ru-RU"/>
        </w:rPr>
        <w:t>на</w:t>
      </w:r>
      <w:r w:rsidRPr="001D64FD">
        <w:rPr>
          <w:rFonts w:asciiTheme="majorHAnsi" w:eastAsia="Times New Roman" w:hAnsiTheme="majorHAnsi" w:cstheme="majorHAnsi"/>
          <w:noProof/>
          <w:sz w:val="24"/>
          <w:szCs w:val="24"/>
        </w:rPr>
        <w:t xml:space="preserve"> </w:t>
      </w:r>
      <w:r w:rsidR="00CB6FF1">
        <w:rPr>
          <w:rFonts w:asciiTheme="majorHAnsi" w:eastAsia="Times New Roman" w:hAnsiTheme="majorHAnsi" w:cstheme="majorHAnsi"/>
          <w:noProof/>
          <w:sz w:val="24"/>
          <w:szCs w:val="24"/>
          <w:lang w:val="ru-RU"/>
        </w:rPr>
        <w:t xml:space="preserve">их </w:t>
      </w:r>
      <w:r w:rsidRPr="001D64FD">
        <w:rPr>
          <w:rFonts w:asciiTheme="majorHAnsi" w:eastAsia="Times New Roman" w:hAnsiTheme="majorHAnsi" w:cstheme="majorHAnsi"/>
          <w:noProof/>
          <w:sz w:val="24"/>
          <w:szCs w:val="24"/>
        </w:rPr>
        <w:t>реализаци</w:t>
      </w:r>
      <w:r w:rsidR="00CB6FF1">
        <w:rPr>
          <w:rFonts w:asciiTheme="majorHAnsi" w:eastAsia="Times New Roman" w:hAnsiTheme="majorHAnsi" w:cstheme="majorHAnsi"/>
          <w:noProof/>
          <w:sz w:val="24"/>
          <w:szCs w:val="24"/>
          <w:lang w:val="ru-RU"/>
        </w:rPr>
        <w:t>ю</w:t>
      </w:r>
      <w:r w:rsidRPr="001D64FD">
        <w:rPr>
          <w:rFonts w:asciiTheme="majorHAnsi" w:eastAsia="Times New Roman" w:hAnsiTheme="majorHAnsi" w:cstheme="majorHAnsi"/>
          <w:noProof/>
          <w:sz w:val="24"/>
          <w:szCs w:val="24"/>
        </w:rPr>
        <w:t xml:space="preserve">, подробная информация представлена в </w:t>
      </w:r>
      <w:r w:rsidR="00CB6FF1">
        <w:rPr>
          <w:rFonts w:asciiTheme="majorHAnsi" w:eastAsia="Times New Roman" w:hAnsiTheme="majorHAnsi" w:cstheme="majorHAnsi"/>
          <w:noProof/>
          <w:sz w:val="24"/>
          <w:szCs w:val="24"/>
          <w:lang w:val="ru-RU"/>
        </w:rPr>
        <w:t>П</w:t>
      </w:r>
      <w:r w:rsidRPr="001D64FD">
        <w:rPr>
          <w:rFonts w:asciiTheme="majorHAnsi" w:eastAsia="Times New Roman" w:hAnsiTheme="majorHAnsi" w:cstheme="majorHAnsi"/>
          <w:noProof/>
          <w:sz w:val="24"/>
          <w:szCs w:val="24"/>
        </w:rPr>
        <w:t xml:space="preserve">риложении №4 к настоящему </w:t>
      </w:r>
      <w:r w:rsidR="00CB6FF1">
        <w:rPr>
          <w:rFonts w:asciiTheme="majorHAnsi" w:eastAsia="Times New Roman" w:hAnsiTheme="majorHAnsi" w:cstheme="majorHAnsi"/>
          <w:noProof/>
          <w:sz w:val="24"/>
          <w:szCs w:val="24"/>
          <w:lang w:val="ru-RU"/>
        </w:rPr>
        <w:t>О</w:t>
      </w:r>
      <w:r w:rsidRPr="001D64FD">
        <w:rPr>
          <w:rFonts w:asciiTheme="majorHAnsi" w:eastAsia="Times New Roman" w:hAnsiTheme="majorHAnsi" w:cstheme="majorHAnsi"/>
          <w:noProof/>
          <w:sz w:val="24"/>
          <w:szCs w:val="24"/>
        </w:rPr>
        <w:t>тчету</w:t>
      </w:r>
      <w:r>
        <w:rPr>
          <w:rFonts w:asciiTheme="majorHAnsi" w:eastAsia="Times New Roman" w:hAnsiTheme="majorHAnsi" w:cstheme="majorHAnsi"/>
          <w:noProof/>
          <w:sz w:val="24"/>
          <w:szCs w:val="24"/>
          <w:lang w:val="ru-RU"/>
        </w:rPr>
        <w:t xml:space="preserve"> </w:t>
      </w:r>
      <w:r w:rsidR="00CB6FF1">
        <w:rPr>
          <w:rFonts w:asciiTheme="majorHAnsi" w:eastAsia="Times New Roman" w:hAnsiTheme="majorHAnsi" w:cstheme="majorHAnsi"/>
          <w:noProof/>
          <w:sz w:val="24"/>
          <w:szCs w:val="24"/>
          <w:lang w:val="ru-RU"/>
        </w:rPr>
        <w:t>аудита</w:t>
      </w:r>
      <w:r w:rsidR="00D705B6">
        <w:rPr>
          <w:rFonts w:asciiTheme="majorHAnsi" w:hAnsiTheme="majorHAnsi" w:cstheme="majorHAnsi"/>
          <w:sz w:val="24"/>
          <w:szCs w:val="24"/>
          <w:lang w:val="ro-MD"/>
        </w:rPr>
        <w:t>.</w:t>
      </w:r>
      <w:r w:rsidR="00CD798B" w:rsidRPr="00B20FBD">
        <w:rPr>
          <w:rFonts w:asciiTheme="majorHAnsi" w:eastAsia="Times New Roman" w:hAnsiTheme="majorHAnsi" w:cstheme="majorHAnsi"/>
          <w:color w:val="000000" w:themeColor="text1"/>
          <w:sz w:val="24"/>
          <w:szCs w:val="24"/>
        </w:rPr>
        <w:t xml:space="preserve"> </w:t>
      </w:r>
    </w:p>
    <w:p w14:paraId="6650E005" w14:textId="7181CBEC" w:rsidR="007B5FFD" w:rsidRPr="00F97ABC" w:rsidRDefault="001D64FD" w:rsidP="00B20FBD">
      <w:pPr>
        <w:spacing w:after="120"/>
        <w:jc w:val="both"/>
        <w:rPr>
          <w:rFonts w:asciiTheme="majorHAnsi" w:hAnsiTheme="majorHAnsi" w:cstheme="majorHAnsi"/>
          <w:color w:val="000000"/>
          <w:sz w:val="24"/>
          <w:szCs w:val="24"/>
          <w:lang w:val="ru-MD" w:bidi="en-US"/>
        </w:rPr>
      </w:pPr>
      <w:r w:rsidRPr="00F97ABC">
        <w:rPr>
          <w:rFonts w:asciiTheme="majorHAnsi" w:hAnsiTheme="majorHAnsi" w:cstheme="majorHAnsi"/>
          <w:color w:val="000000"/>
          <w:sz w:val="24"/>
          <w:szCs w:val="24"/>
          <w:lang w:val="ru-MD" w:bidi="en-US"/>
        </w:rPr>
        <w:t xml:space="preserve">В целях исполнения </w:t>
      </w:r>
      <w:r w:rsidR="00F97ABC" w:rsidRPr="00F97ABC">
        <w:rPr>
          <w:rFonts w:asciiTheme="majorHAnsi" w:hAnsiTheme="majorHAnsi" w:cstheme="majorHAnsi"/>
          <w:color w:val="000000"/>
          <w:sz w:val="24"/>
          <w:szCs w:val="24"/>
          <w:lang w:val="ru-MD" w:bidi="en-US"/>
        </w:rPr>
        <w:t>Постановления Счетной палаты №</w:t>
      </w:r>
      <w:r w:rsidRPr="00F97ABC">
        <w:rPr>
          <w:rFonts w:asciiTheme="majorHAnsi" w:hAnsiTheme="majorHAnsi" w:cstheme="majorHAnsi"/>
          <w:color w:val="000000"/>
          <w:sz w:val="24"/>
          <w:szCs w:val="24"/>
          <w:lang w:val="ru-MD" w:bidi="en-US"/>
        </w:rPr>
        <w:t>50 от 10.09.2021</w:t>
      </w:r>
      <w:r w:rsidR="00F97ABC" w:rsidRPr="00F97ABC">
        <w:rPr>
          <w:rStyle w:val="FootnoteReference"/>
          <w:rFonts w:asciiTheme="majorHAnsi" w:hAnsiTheme="majorHAnsi" w:cstheme="majorHAnsi"/>
          <w:bCs/>
          <w:color w:val="000000"/>
          <w:sz w:val="24"/>
          <w:szCs w:val="24"/>
          <w:lang w:val="ru-MD" w:bidi="en-US"/>
        </w:rPr>
        <w:footnoteReference w:id="112"/>
      </w:r>
      <w:r w:rsidRPr="00F97ABC">
        <w:rPr>
          <w:rFonts w:asciiTheme="majorHAnsi" w:hAnsiTheme="majorHAnsi" w:cstheme="majorHAnsi"/>
          <w:color w:val="000000"/>
          <w:sz w:val="24"/>
          <w:szCs w:val="24"/>
          <w:lang w:val="ru-MD" w:bidi="en-US"/>
        </w:rPr>
        <w:t xml:space="preserve">, в соответствии с планом </w:t>
      </w:r>
      <w:r w:rsidR="00F97ABC" w:rsidRPr="00F97ABC">
        <w:rPr>
          <w:rFonts w:asciiTheme="majorHAnsi" w:hAnsiTheme="majorHAnsi" w:cstheme="majorHAnsi"/>
          <w:color w:val="000000"/>
          <w:sz w:val="24"/>
          <w:szCs w:val="24"/>
          <w:lang w:val="ru-MD" w:bidi="en-US"/>
        </w:rPr>
        <w:t xml:space="preserve">контроля подразделения </w:t>
      </w:r>
      <w:r w:rsidRPr="00F97ABC">
        <w:rPr>
          <w:rFonts w:asciiTheme="majorHAnsi" w:hAnsiTheme="majorHAnsi" w:cstheme="majorHAnsi"/>
          <w:color w:val="000000"/>
          <w:sz w:val="24"/>
          <w:szCs w:val="24"/>
          <w:lang w:val="ru-MD" w:bidi="en-US"/>
        </w:rPr>
        <w:t>последующ</w:t>
      </w:r>
      <w:r w:rsidR="00F97ABC" w:rsidRPr="00F97ABC">
        <w:rPr>
          <w:rFonts w:asciiTheme="majorHAnsi" w:hAnsiTheme="majorHAnsi" w:cstheme="majorHAnsi"/>
          <w:color w:val="000000"/>
          <w:sz w:val="24"/>
          <w:szCs w:val="24"/>
          <w:lang w:val="ru-MD" w:bidi="en-US"/>
        </w:rPr>
        <w:t>его</w:t>
      </w:r>
      <w:r w:rsidRPr="00F97ABC">
        <w:rPr>
          <w:rFonts w:asciiTheme="majorHAnsi" w:hAnsiTheme="majorHAnsi" w:cstheme="majorHAnsi"/>
          <w:color w:val="000000"/>
          <w:sz w:val="24"/>
          <w:szCs w:val="24"/>
          <w:lang w:val="ru-MD" w:bidi="en-US"/>
        </w:rPr>
        <w:t xml:space="preserve"> контрол</w:t>
      </w:r>
      <w:r w:rsidR="00F97ABC" w:rsidRPr="00F97ABC">
        <w:rPr>
          <w:rFonts w:asciiTheme="majorHAnsi" w:hAnsiTheme="majorHAnsi" w:cstheme="majorHAnsi"/>
          <w:color w:val="000000"/>
          <w:sz w:val="24"/>
          <w:szCs w:val="24"/>
          <w:lang w:val="ru-MD" w:bidi="en-US"/>
        </w:rPr>
        <w:t>я</w:t>
      </w:r>
      <w:r w:rsidRPr="00F97ABC">
        <w:rPr>
          <w:rFonts w:asciiTheme="majorHAnsi" w:hAnsiTheme="majorHAnsi" w:cstheme="majorHAnsi"/>
          <w:color w:val="000000"/>
          <w:sz w:val="24"/>
          <w:szCs w:val="24"/>
          <w:lang w:val="ru-MD" w:bidi="en-US"/>
        </w:rPr>
        <w:t xml:space="preserve">, </w:t>
      </w:r>
      <w:r w:rsidR="00F97ABC" w:rsidRPr="00F97ABC">
        <w:rPr>
          <w:rFonts w:asciiTheme="majorHAnsi" w:hAnsiTheme="majorHAnsi" w:cstheme="majorHAnsi"/>
          <w:color w:val="000000"/>
          <w:sz w:val="24"/>
          <w:szCs w:val="24"/>
          <w:lang w:val="ru-MD" w:bidi="en-US"/>
        </w:rPr>
        <w:t>ТС</w:t>
      </w:r>
      <w:r w:rsidRPr="00F97ABC">
        <w:rPr>
          <w:rFonts w:asciiTheme="majorHAnsi" w:hAnsiTheme="majorHAnsi" w:cstheme="majorHAnsi"/>
          <w:color w:val="000000"/>
          <w:sz w:val="24"/>
          <w:szCs w:val="24"/>
          <w:lang w:val="ru-MD" w:bidi="en-US"/>
        </w:rPr>
        <w:t xml:space="preserve"> запланировал</w:t>
      </w:r>
      <w:r w:rsidR="00F97ABC" w:rsidRPr="00F97ABC">
        <w:rPr>
          <w:rFonts w:asciiTheme="majorHAnsi" w:hAnsiTheme="majorHAnsi" w:cstheme="majorHAnsi"/>
          <w:color w:val="000000"/>
          <w:sz w:val="24"/>
          <w:szCs w:val="24"/>
          <w:lang w:val="ru-MD" w:bidi="en-US"/>
        </w:rPr>
        <w:t>а</w:t>
      </w:r>
      <w:r w:rsidRPr="00F97ABC">
        <w:rPr>
          <w:rFonts w:asciiTheme="majorHAnsi" w:hAnsiTheme="majorHAnsi" w:cstheme="majorHAnsi"/>
          <w:color w:val="000000"/>
          <w:sz w:val="24"/>
          <w:szCs w:val="24"/>
          <w:lang w:val="ru-MD" w:bidi="en-US"/>
        </w:rPr>
        <w:t xml:space="preserve"> на третий квартал 2022 года последующий контроль посредством пост-таможенного аудита в Министерстве внутренних дел. </w:t>
      </w:r>
      <w:r w:rsidR="00F97ABC" w:rsidRPr="00F97ABC">
        <w:rPr>
          <w:rFonts w:asciiTheme="majorHAnsi" w:hAnsiTheme="majorHAnsi" w:cstheme="majorHAnsi"/>
          <w:color w:val="000000"/>
          <w:sz w:val="24"/>
          <w:szCs w:val="24"/>
          <w:lang w:val="ru-MD" w:bidi="en-US"/>
        </w:rPr>
        <w:t>Во</w:t>
      </w:r>
      <w:r w:rsidRPr="00F97ABC">
        <w:rPr>
          <w:rFonts w:asciiTheme="majorHAnsi" w:hAnsiTheme="majorHAnsi" w:cstheme="majorHAnsi"/>
          <w:color w:val="000000"/>
          <w:sz w:val="24"/>
          <w:szCs w:val="24"/>
          <w:lang w:val="ru-MD" w:bidi="en-US"/>
        </w:rPr>
        <w:t xml:space="preserve"> избежа</w:t>
      </w:r>
      <w:r w:rsidR="00F97ABC" w:rsidRPr="00F97ABC">
        <w:rPr>
          <w:rFonts w:asciiTheme="majorHAnsi" w:hAnsiTheme="majorHAnsi" w:cstheme="majorHAnsi"/>
          <w:color w:val="000000"/>
          <w:sz w:val="24"/>
          <w:szCs w:val="24"/>
          <w:lang w:val="ru-MD" w:bidi="en-US"/>
        </w:rPr>
        <w:t>ние</w:t>
      </w:r>
      <w:r w:rsidRPr="00F97ABC">
        <w:rPr>
          <w:rFonts w:asciiTheme="majorHAnsi" w:hAnsiTheme="majorHAnsi" w:cstheme="majorHAnsi"/>
          <w:color w:val="000000"/>
          <w:sz w:val="24"/>
          <w:szCs w:val="24"/>
          <w:lang w:val="ru-MD" w:bidi="en-US"/>
        </w:rPr>
        <w:t xml:space="preserve"> превышения полномочий, </w:t>
      </w:r>
      <w:r w:rsidR="00F97ABC" w:rsidRPr="00F97ABC">
        <w:rPr>
          <w:rFonts w:asciiTheme="majorHAnsi" w:hAnsiTheme="majorHAnsi" w:cstheme="majorHAnsi"/>
          <w:color w:val="000000"/>
          <w:sz w:val="24"/>
          <w:szCs w:val="24"/>
          <w:lang w:val="ru-MD" w:bidi="en-US"/>
        </w:rPr>
        <w:t>предостав</w:t>
      </w:r>
      <w:r w:rsidRPr="00F97ABC">
        <w:rPr>
          <w:rFonts w:asciiTheme="majorHAnsi" w:hAnsiTheme="majorHAnsi" w:cstheme="majorHAnsi"/>
          <w:color w:val="000000"/>
          <w:sz w:val="24"/>
          <w:szCs w:val="24"/>
          <w:lang w:val="ru-MD" w:bidi="en-US"/>
        </w:rPr>
        <w:t xml:space="preserve">ленных законом таможенному органу, и в целях полного, объективного и </w:t>
      </w:r>
      <w:r w:rsidR="00F97ABC" w:rsidRPr="00F97ABC">
        <w:rPr>
          <w:rFonts w:asciiTheme="majorHAnsi" w:hAnsiTheme="majorHAnsi" w:cstheme="majorHAnsi"/>
          <w:color w:val="000000"/>
          <w:sz w:val="24"/>
          <w:szCs w:val="24"/>
          <w:lang w:val="ru-MD" w:bidi="en-US"/>
        </w:rPr>
        <w:t>всестороннего рассмотрения</w:t>
      </w:r>
      <w:r w:rsidRPr="00F97ABC">
        <w:rPr>
          <w:rFonts w:asciiTheme="majorHAnsi" w:hAnsiTheme="majorHAnsi" w:cstheme="majorHAnsi"/>
          <w:color w:val="000000"/>
          <w:sz w:val="24"/>
          <w:szCs w:val="24"/>
          <w:lang w:val="ru-MD" w:bidi="en-US"/>
        </w:rPr>
        <w:t xml:space="preserve"> обстоятельств дела, </w:t>
      </w:r>
      <w:r w:rsidR="00F97ABC" w:rsidRPr="00F97ABC">
        <w:rPr>
          <w:rFonts w:asciiTheme="majorHAnsi" w:hAnsiTheme="majorHAnsi" w:cstheme="majorHAnsi"/>
          <w:color w:val="000000"/>
          <w:sz w:val="24"/>
          <w:szCs w:val="24"/>
          <w:lang w:val="ru-MD" w:bidi="en-US"/>
        </w:rPr>
        <w:t>ТС</w:t>
      </w:r>
      <w:r w:rsidRPr="00F97ABC">
        <w:rPr>
          <w:rFonts w:asciiTheme="majorHAnsi" w:hAnsiTheme="majorHAnsi" w:cstheme="majorHAnsi"/>
          <w:color w:val="000000"/>
          <w:sz w:val="24"/>
          <w:szCs w:val="24"/>
          <w:lang w:val="ru-MD" w:bidi="en-US"/>
        </w:rPr>
        <w:t xml:space="preserve"> обратилась</w:t>
      </w:r>
      <w:r w:rsidR="00F97ABC" w:rsidRPr="00F97ABC">
        <w:rPr>
          <w:rStyle w:val="FootnoteReference"/>
          <w:rFonts w:asciiTheme="majorHAnsi" w:hAnsiTheme="majorHAnsi" w:cstheme="majorHAnsi"/>
          <w:color w:val="000000"/>
          <w:sz w:val="24"/>
          <w:szCs w:val="24"/>
          <w:lang w:val="ru-MD" w:bidi="en-US"/>
        </w:rPr>
        <w:footnoteReference w:id="113"/>
      </w:r>
      <w:r w:rsidRPr="00F97ABC">
        <w:rPr>
          <w:rFonts w:asciiTheme="majorHAnsi" w:hAnsiTheme="majorHAnsi" w:cstheme="majorHAnsi"/>
          <w:color w:val="000000"/>
          <w:sz w:val="24"/>
          <w:szCs w:val="24"/>
          <w:lang w:val="ru-MD" w:bidi="en-US"/>
        </w:rPr>
        <w:t xml:space="preserve"> в Агентство по государственным закупкам, Государственную налоговую службу и </w:t>
      </w:r>
      <w:r w:rsidR="00F97ABC" w:rsidRPr="00F97ABC">
        <w:rPr>
          <w:rFonts w:asciiTheme="majorHAnsi" w:hAnsiTheme="majorHAnsi" w:cstheme="majorHAnsi"/>
          <w:color w:val="000000"/>
          <w:sz w:val="24"/>
          <w:szCs w:val="24"/>
          <w:lang w:val="ru-MD" w:bidi="en-US"/>
        </w:rPr>
        <w:t>С</w:t>
      </w:r>
      <w:r w:rsidRPr="00F97ABC">
        <w:rPr>
          <w:rFonts w:asciiTheme="majorHAnsi" w:hAnsiTheme="majorHAnsi" w:cstheme="majorHAnsi"/>
          <w:color w:val="000000"/>
          <w:sz w:val="24"/>
          <w:szCs w:val="24"/>
          <w:lang w:val="ru-MD" w:bidi="en-US"/>
        </w:rPr>
        <w:t xml:space="preserve">лужбу по предотвращению и борьбе с отмыванием денег </w:t>
      </w:r>
      <w:r w:rsidR="00F97ABC" w:rsidRPr="00F97ABC">
        <w:rPr>
          <w:rFonts w:asciiTheme="majorHAnsi" w:hAnsiTheme="majorHAnsi" w:cstheme="majorHAnsi"/>
          <w:color w:val="000000"/>
          <w:sz w:val="24"/>
          <w:szCs w:val="24"/>
          <w:lang w:val="ru-MD" w:bidi="en-US"/>
        </w:rPr>
        <w:t>с предложением о</w:t>
      </w:r>
      <w:r w:rsidRPr="00F97ABC">
        <w:rPr>
          <w:rFonts w:asciiTheme="majorHAnsi" w:hAnsiTheme="majorHAnsi" w:cstheme="majorHAnsi"/>
          <w:color w:val="000000"/>
          <w:sz w:val="24"/>
          <w:szCs w:val="24"/>
          <w:lang w:val="ru-MD" w:bidi="en-US"/>
        </w:rPr>
        <w:t xml:space="preserve"> проведени</w:t>
      </w:r>
      <w:r w:rsidR="00F97ABC" w:rsidRPr="00F97ABC">
        <w:rPr>
          <w:rFonts w:asciiTheme="majorHAnsi" w:hAnsiTheme="majorHAnsi" w:cstheme="majorHAnsi"/>
          <w:color w:val="000000"/>
          <w:sz w:val="24"/>
          <w:szCs w:val="24"/>
          <w:lang w:val="ru-MD" w:bidi="en-US"/>
        </w:rPr>
        <w:t>и</w:t>
      </w:r>
      <w:r w:rsidRPr="00F97ABC">
        <w:rPr>
          <w:rFonts w:asciiTheme="majorHAnsi" w:hAnsiTheme="majorHAnsi" w:cstheme="majorHAnsi"/>
          <w:color w:val="000000"/>
          <w:sz w:val="24"/>
          <w:szCs w:val="24"/>
          <w:lang w:val="ru-MD" w:bidi="en-US"/>
        </w:rPr>
        <w:t xml:space="preserve"> совместного контроля</w:t>
      </w:r>
      <w:r w:rsidR="001B3400" w:rsidRPr="00F97ABC">
        <w:rPr>
          <w:rFonts w:asciiTheme="majorHAnsi" w:hAnsiTheme="majorHAnsi" w:cstheme="majorHAnsi"/>
          <w:color w:val="000000"/>
          <w:sz w:val="24"/>
          <w:szCs w:val="24"/>
          <w:lang w:val="ru-MD" w:bidi="en-US"/>
        </w:rPr>
        <w:t>.</w:t>
      </w:r>
      <w:bookmarkStart w:id="65" w:name="_Toc97104748"/>
    </w:p>
    <w:p w14:paraId="47AF0100" w14:textId="6B24E618" w:rsidR="00A1448C" w:rsidRPr="001D64FD" w:rsidRDefault="001D64FD" w:rsidP="00A1448C">
      <w:pPr>
        <w:spacing w:after="120"/>
        <w:jc w:val="both"/>
        <w:rPr>
          <w:rFonts w:asciiTheme="majorHAnsi" w:hAnsiTheme="majorHAnsi" w:cstheme="majorHAnsi"/>
          <w:color w:val="000000"/>
          <w:sz w:val="24"/>
          <w:szCs w:val="24"/>
          <w:lang w:val="ru-MD" w:bidi="en-US"/>
        </w:rPr>
      </w:pPr>
      <w:r w:rsidRPr="001D64FD">
        <w:rPr>
          <w:rFonts w:asciiTheme="majorHAnsi" w:hAnsiTheme="majorHAnsi" w:cstheme="majorHAnsi"/>
          <w:b/>
          <w:color w:val="000000"/>
          <w:sz w:val="24"/>
          <w:szCs w:val="24"/>
          <w:lang w:val="ru-MD" w:bidi="en-US"/>
        </w:rPr>
        <w:t>Примечание</w:t>
      </w:r>
      <w:r w:rsidR="00A1448C" w:rsidRPr="001D64FD">
        <w:rPr>
          <w:rFonts w:asciiTheme="majorHAnsi" w:hAnsiTheme="majorHAnsi" w:cstheme="majorHAnsi"/>
          <w:b/>
          <w:color w:val="000000"/>
          <w:sz w:val="24"/>
          <w:szCs w:val="24"/>
          <w:lang w:val="ru-MD" w:bidi="en-US"/>
        </w:rPr>
        <w:t xml:space="preserve">: </w:t>
      </w:r>
      <w:r w:rsidRPr="001D64FD">
        <w:rPr>
          <w:rFonts w:asciiTheme="majorHAnsi" w:hAnsiTheme="majorHAnsi" w:cstheme="majorHAnsi"/>
          <w:color w:val="000000"/>
          <w:sz w:val="24"/>
          <w:szCs w:val="24"/>
          <w:lang w:val="ru-MD" w:bidi="en-US"/>
        </w:rPr>
        <w:t>В соответствии с Приказом №152 от 04.08.2022, был инициирован последующий контроль в Министерстве внутренних дел</w:t>
      </w:r>
      <w:r w:rsidR="00A1448C" w:rsidRPr="001D64FD">
        <w:rPr>
          <w:rFonts w:asciiTheme="majorHAnsi" w:hAnsiTheme="majorHAnsi" w:cstheme="majorHAnsi"/>
          <w:color w:val="000000"/>
          <w:sz w:val="24"/>
          <w:szCs w:val="24"/>
          <w:lang w:val="ru-MD" w:bidi="en-US"/>
        </w:rPr>
        <w:t>.</w:t>
      </w:r>
    </w:p>
    <w:p w14:paraId="1A6B138F" w14:textId="75240779" w:rsidR="00BE3FDE" w:rsidRPr="00287BF5" w:rsidRDefault="001D64FD" w:rsidP="00B90D3C">
      <w:pPr>
        <w:pStyle w:val="ListParagraph"/>
        <w:numPr>
          <w:ilvl w:val="0"/>
          <w:numId w:val="3"/>
        </w:numPr>
        <w:spacing w:after="120" w:line="298" w:lineRule="exact"/>
        <w:ind w:left="1134" w:hanging="425"/>
        <w:outlineLvl w:val="0"/>
        <w:rPr>
          <w:rFonts w:asciiTheme="majorHAnsi" w:hAnsiTheme="majorHAnsi" w:cstheme="majorHAnsi"/>
          <w:color w:val="000000"/>
          <w:sz w:val="24"/>
          <w:szCs w:val="24"/>
          <w:lang w:bidi="en-US"/>
        </w:rPr>
      </w:pPr>
      <w:bookmarkStart w:id="66" w:name="_Toc127129419"/>
      <w:r>
        <w:rPr>
          <w:rFonts w:asciiTheme="majorHAnsi" w:hAnsiTheme="majorHAnsi" w:cstheme="majorHAnsi"/>
          <w:b/>
          <w:sz w:val="24"/>
          <w:szCs w:val="24"/>
          <w:lang w:val="ru-RU"/>
        </w:rPr>
        <w:t>ОБЩИЙ ВЫВОД</w:t>
      </w:r>
      <w:bookmarkEnd w:id="65"/>
      <w:bookmarkEnd w:id="66"/>
    </w:p>
    <w:p w14:paraId="12C7E5C1" w14:textId="3450B9A6" w:rsidR="001D64FD" w:rsidRPr="00BA2521" w:rsidRDefault="001D64FD" w:rsidP="001D64FD">
      <w:pPr>
        <w:pStyle w:val="NormalWeb"/>
        <w:shd w:val="clear" w:color="auto" w:fill="FFFFFF"/>
        <w:spacing w:line="276" w:lineRule="auto"/>
        <w:ind w:firstLine="0"/>
        <w:textAlignment w:val="baseline"/>
        <w:rPr>
          <w:rFonts w:asciiTheme="majorHAnsi" w:hAnsiTheme="majorHAnsi" w:cstheme="majorHAnsi"/>
          <w:lang w:val="ru-MD"/>
        </w:rPr>
      </w:pPr>
      <w:r w:rsidRPr="00BA2521">
        <w:rPr>
          <w:rFonts w:asciiTheme="majorHAnsi" w:hAnsiTheme="majorHAnsi" w:cstheme="majorHAnsi"/>
          <w:lang w:val="ru-MD"/>
        </w:rPr>
        <w:t xml:space="preserve">Ответственность аудиторской группы заключалась в получении достаточных и уместных аудиторских доказательств, подтверждающих констатации и общий вывод о соответствии администрирования ТС доходов государственного бюджета за 2020-2021 годы. Хотя ТС предприняла определенные действия по укреплению и развитию процессов, связанных с таможенным управлением, аудит констатирует наличие некоторых нарушений и уязвимостей, которые обусловили: отсутствие единой методики составления отчетности и норм по ведению бухгалтерского учета доходов, администрируемых ТС, что генерирует расхождения между Информацией о начисленных и уплаченных суммах таможенных платежей по импорту/экспорту за </w:t>
      </w:r>
      <w:r w:rsidRPr="00BA2521">
        <w:rPr>
          <w:rFonts w:asciiTheme="majorHAnsi" w:eastAsia="Times New Roman" w:hAnsiTheme="majorHAnsi" w:cstheme="majorHAnsi"/>
          <w:lang w:val="ru-MD" w:eastAsia="ro-RO"/>
        </w:rPr>
        <w:t>2020-2021</w:t>
      </w:r>
      <w:r w:rsidRPr="00BA2521">
        <w:rPr>
          <w:rFonts w:asciiTheme="majorHAnsi" w:hAnsiTheme="majorHAnsi" w:cstheme="majorHAnsi"/>
          <w:lang w:val="ru-MD"/>
        </w:rPr>
        <w:t xml:space="preserve"> годы, представленной Министерству финансов, и Регистром доходов государственного бюджета, составленным Государственным казначейством; сохранение значительного удельного веса </w:t>
      </w:r>
      <w:r w:rsidR="00BA2521" w:rsidRPr="00BA2521">
        <w:rPr>
          <w:rFonts w:asciiTheme="majorHAnsi" w:hAnsiTheme="majorHAnsi" w:cstheme="majorHAnsi"/>
          <w:lang w:val="ru-MD"/>
        </w:rPr>
        <w:t>безнадеж</w:t>
      </w:r>
      <w:r w:rsidRPr="00BA2521">
        <w:rPr>
          <w:rFonts w:asciiTheme="majorHAnsi" w:hAnsiTheme="majorHAnsi" w:cstheme="majorHAnsi"/>
          <w:lang w:val="ru-MD"/>
        </w:rPr>
        <w:t xml:space="preserve">ных исторических долгов; нефункциональность модуля „Accounting” в ИС „ASYCUDA WORLD”, выраженная в неначислении пеней к основным платежам таможенных плательщиков; </w:t>
      </w:r>
      <w:r w:rsidR="00BA2521" w:rsidRPr="00BA2521">
        <w:rPr>
          <w:rFonts w:asciiTheme="majorHAnsi" w:hAnsiTheme="majorHAnsi" w:cstheme="majorHAnsi"/>
          <w:lang w:val="ru-MD"/>
        </w:rPr>
        <w:t>предпринятые меры по непогашенным таможенным обязательствам неэффективны</w:t>
      </w:r>
      <w:r w:rsidRPr="00BA2521">
        <w:rPr>
          <w:rFonts w:asciiTheme="majorHAnsi" w:hAnsiTheme="majorHAnsi" w:cstheme="majorHAnsi"/>
          <w:lang w:val="ru-MD"/>
        </w:rPr>
        <w:t xml:space="preserve">; неприменение в некоторых случаях последовательных методов определения таможенной стоимости путем корреляции со стоимостью сделки </w:t>
      </w:r>
      <w:r w:rsidR="00BA2521" w:rsidRPr="00BA2521">
        <w:rPr>
          <w:rFonts w:asciiTheme="majorHAnsi" w:hAnsiTheme="majorHAnsi" w:cstheme="majorHAnsi"/>
          <w:lang w:val="ru-MD"/>
        </w:rPr>
        <w:t>для</w:t>
      </w:r>
      <w:r w:rsidRPr="00BA2521">
        <w:rPr>
          <w:rFonts w:asciiTheme="majorHAnsi" w:hAnsiTheme="majorHAnsi" w:cstheme="majorHAnsi"/>
          <w:lang w:val="ru-MD"/>
        </w:rPr>
        <w:t xml:space="preserve"> однородны</w:t>
      </w:r>
      <w:r w:rsidR="00BA2521" w:rsidRPr="00BA2521">
        <w:rPr>
          <w:rFonts w:asciiTheme="majorHAnsi" w:hAnsiTheme="majorHAnsi" w:cstheme="majorHAnsi"/>
          <w:lang w:val="ru-MD"/>
        </w:rPr>
        <w:t>х</w:t>
      </w:r>
      <w:r w:rsidRPr="00BA2521">
        <w:rPr>
          <w:rFonts w:asciiTheme="majorHAnsi" w:hAnsiTheme="majorHAnsi" w:cstheme="majorHAnsi"/>
          <w:lang w:val="ru-MD"/>
        </w:rPr>
        <w:t xml:space="preserve"> товар</w:t>
      </w:r>
      <w:r w:rsidR="00BA2521" w:rsidRPr="00BA2521">
        <w:rPr>
          <w:rFonts w:asciiTheme="majorHAnsi" w:hAnsiTheme="majorHAnsi" w:cstheme="majorHAnsi"/>
          <w:lang w:val="ru-MD"/>
        </w:rPr>
        <w:t>ов</w:t>
      </w:r>
      <w:r w:rsidRPr="00BA2521">
        <w:rPr>
          <w:rFonts w:asciiTheme="majorHAnsi" w:hAnsiTheme="majorHAnsi" w:cstheme="majorHAnsi"/>
          <w:lang w:val="ru-MD"/>
        </w:rPr>
        <w:t xml:space="preserve"> и т.д.</w:t>
      </w:r>
    </w:p>
    <w:p w14:paraId="4906125E" w14:textId="7D4D5EFD" w:rsidR="004C5CE5" w:rsidRPr="009A105B" w:rsidRDefault="009A105B" w:rsidP="004C5CE5">
      <w:pPr>
        <w:pStyle w:val="ListParagraph"/>
        <w:spacing w:after="120" w:line="276" w:lineRule="auto"/>
        <w:ind w:left="0"/>
        <w:contextualSpacing w:val="0"/>
        <w:jc w:val="both"/>
        <w:rPr>
          <w:rFonts w:asciiTheme="majorHAnsi" w:eastAsia="Times New Roman" w:hAnsiTheme="majorHAnsi" w:cstheme="majorHAnsi"/>
          <w:sz w:val="24"/>
          <w:szCs w:val="24"/>
          <w:lang w:val="ru-MD" w:eastAsia="ro-MD"/>
        </w:rPr>
      </w:pPr>
      <w:r w:rsidRPr="009A105B">
        <w:rPr>
          <w:rFonts w:asciiTheme="majorHAnsi" w:hAnsiTheme="majorHAnsi" w:cstheme="majorHAnsi"/>
          <w:sz w:val="24"/>
          <w:szCs w:val="24"/>
          <w:lang w:val="ru-MD"/>
        </w:rPr>
        <w:t>Эти ситуации существенно снижают степень соответствия таможенного администрирования, оказывая влияние на уровень сбора доходов в госуд</w:t>
      </w:r>
      <w:r>
        <w:rPr>
          <w:rFonts w:asciiTheme="majorHAnsi" w:hAnsiTheme="majorHAnsi" w:cstheme="majorHAnsi"/>
          <w:sz w:val="24"/>
          <w:szCs w:val="24"/>
          <w:lang w:val="ru-MD"/>
        </w:rPr>
        <w:t>а</w:t>
      </w:r>
      <w:r w:rsidRPr="009A105B">
        <w:rPr>
          <w:rFonts w:asciiTheme="majorHAnsi" w:hAnsiTheme="majorHAnsi" w:cstheme="majorHAnsi"/>
          <w:sz w:val="24"/>
          <w:szCs w:val="24"/>
          <w:lang w:val="ru-MD"/>
        </w:rPr>
        <w:t xml:space="preserve">рственном бюджете и надлежащее исполнение роли администратора доходов. Отмеченные аудитом ситуации определяют необходимость принятия срочных мер </w:t>
      </w:r>
      <w:r w:rsidRPr="009A105B">
        <w:rPr>
          <w:rFonts w:asciiTheme="majorHAnsi" w:eastAsia="Times New Roman" w:hAnsiTheme="majorHAnsi" w:cstheme="majorHAnsi"/>
          <w:sz w:val="24"/>
          <w:szCs w:val="24"/>
          <w:lang w:val="ru-MD" w:eastAsia="ro-MD"/>
        </w:rPr>
        <w:t xml:space="preserve">по устранению недостатков и проблемных ситуаций, описанных в настоящем Отчете аудита. </w:t>
      </w:r>
      <w:bookmarkStart w:id="67" w:name="_Toc97104749"/>
      <w:r w:rsidRPr="009A105B">
        <w:rPr>
          <w:rFonts w:asciiTheme="majorHAnsi" w:eastAsia="Times New Roman" w:hAnsiTheme="majorHAnsi" w:cstheme="majorHAnsi"/>
          <w:sz w:val="24"/>
          <w:szCs w:val="24"/>
          <w:lang w:val="ru-MD" w:eastAsia="ro-MD"/>
        </w:rPr>
        <w:t xml:space="preserve">Для устранения выявленных недостатков были выдвинуты аудиторские рекомендации, направленные на укрепление менеджмента таможенного управления, которые были доведены до сведения и приняты ТС. </w:t>
      </w:r>
    </w:p>
    <w:p w14:paraId="08FB78CB" w14:textId="77777777" w:rsidR="009453ED" w:rsidRPr="00D705B6" w:rsidRDefault="009453ED" w:rsidP="009453ED">
      <w:pPr>
        <w:pStyle w:val="ListParagraph"/>
        <w:spacing w:line="276" w:lineRule="auto"/>
        <w:ind w:left="0"/>
        <w:jc w:val="both"/>
        <w:rPr>
          <w:rFonts w:asciiTheme="majorHAnsi" w:hAnsiTheme="majorHAnsi" w:cstheme="majorHAnsi"/>
          <w:sz w:val="24"/>
          <w:szCs w:val="24"/>
        </w:rPr>
      </w:pPr>
    </w:p>
    <w:p w14:paraId="3255B2A7" w14:textId="590D4C5C" w:rsidR="0034452A" w:rsidRPr="00A35A54" w:rsidRDefault="00E570EA" w:rsidP="00A35A54">
      <w:pPr>
        <w:pStyle w:val="ListParagraph"/>
        <w:numPr>
          <w:ilvl w:val="0"/>
          <w:numId w:val="3"/>
        </w:numPr>
        <w:tabs>
          <w:tab w:val="left" w:pos="993"/>
        </w:tabs>
        <w:spacing w:after="120" w:line="276" w:lineRule="auto"/>
        <w:ind w:left="0" w:firstLine="556"/>
        <w:outlineLvl w:val="0"/>
        <w:rPr>
          <w:rFonts w:asciiTheme="majorHAnsi" w:hAnsiTheme="majorHAnsi" w:cstheme="majorHAnsi"/>
          <w:szCs w:val="28"/>
        </w:rPr>
      </w:pPr>
      <w:bookmarkStart w:id="68" w:name="_Toc127129420"/>
      <w:r>
        <w:rPr>
          <w:rFonts w:asciiTheme="majorHAnsi" w:hAnsiTheme="majorHAnsi" w:cstheme="majorHAnsi"/>
          <w:b/>
          <w:szCs w:val="28"/>
          <w:lang w:val="ru-RU"/>
        </w:rPr>
        <w:t>РЕКОМЕНДАЦИИ</w:t>
      </w:r>
      <w:bookmarkEnd w:id="68"/>
      <w:r w:rsidR="0034452A" w:rsidRPr="00B750D8">
        <w:rPr>
          <w:rFonts w:asciiTheme="majorHAnsi" w:hAnsiTheme="majorHAnsi" w:cstheme="majorHAnsi"/>
          <w:b/>
          <w:szCs w:val="28"/>
        </w:rPr>
        <w:t xml:space="preserve"> </w:t>
      </w:r>
      <w:bookmarkEnd w:id="67"/>
    </w:p>
    <w:p w14:paraId="2D26424C" w14:textId="0E137541" w:rsidR="00744E17" w:rsidRPr="00692E59" w:rsidRDefault="00D16684" w:rsidP="00D16684">
      <w:pPr>
        <w:pStyle w:val="ListParagraph"/>
        <w:numPr>
          <w:ilvl w:val="0"/>
          <w:numId w:val="10"/>
        </w:numPr>
        <w:spacing w:after="120" w:line="276" w:lineRule="auto"/>
        <w:ind w:left="0" w:firstLine="360"/>
        <w:jc w:val="both"/>
        <w:rPr>
          <w:rFonts w:asciiTheme="majorHAnsi" w:eastAsia="Times New Roman" w:hAnsiTheme="majorHAnsi" w:cstheme="majorHAnsi"/>
          <w:i/>
          <w:sz w:val="24"/>
          <w:szCs w:val="24"/>
          <w:lang w:val="ru-MD"/>
        </w:rPr>
      </w:pPr>
      <w:r w:rsidRPr="00692E59">
        <w:rPr>
          <w:rFonts w:asciiTheme="majorHAnsi" w:hAnsiTheme="majorHAnsi" w:cstheme="majorHAnsi"/>
          <w:i/>
          <w:sz w:val="24"/>
          <w:szCs w:val="24"/>
          <w:lang w:val="ru-MD"/>
        </w:rPr>
        <w:t xml:space="preserve">Выполнить задачу по сбору доходов в государственный бюджет по видам управляемых доходов. </w:t>
      </w:r>
      <w:r w:rsidR="00744E17" w:rsidRPr="00692E59">
        <w:rPr>
          <w:rFonts w:asciiTheme="majorHAnsi" w:hAnsiTheme="majorHAnsi" w:cstheme="majorHAnsi"/>
          <w:i/>
          <w:sz w:val="24"/>
          <w:szCs w:val="24"/>
          <w:lang w:val="ru-MD"/>
        </w:rPr>
        <w:t>(</w:t>
      </w:r>
      <w:r w:rsidR="00325700" w:rsidRPr="00692E59">
        <w:rPr>
          <w:rFonts w:asciiTheme="majorHAnsi" w:hAnsiTheme="majorHAnsi" w:cstheme="majorHAnsi"/>
          <w:i/>
          <w:sz w:val="24"/>
          <w:szCs w:val="24"/>
          <w:lang w:val="ru-MD"/>
        </w:rPr>
        <w:t>п</w:t>
      </w:r>
      <w:r w:rsidR="00744E17" w:rsidRPr="00692E59">
        <w:rPr>
          <w:rFonts w:asciiTheme="majorHAnsi" w:hAnsiTheme="majorHAnsi" w:cstheme="majorHAnsi"/>
          <w:i/>
          <w:sz w:val="24"/>
          <w:szCs w:val="24"/>
          <w:lang w:val="ru-MD"/>
        </w:rPr>
        <w:t>.</w:t>
      </w:r>
      <w:r w:rsidR="00B87916" w:rsidRPr="00692E59">
        <w:rPr>
          <w:rFonts w:asciiTheme="majorHAnsi" w:hAnsiTheme="majorHAnsi" w:cstheme="majorHAnsi"/>
          <w:i/>
          <w:sz w:val="24"/>
          <w:szCs w:val="24"/>
          <w:lang w:val="ru-MD"/>
        </w:rPr>
        <w:t>4.</w:t>
      </w:r>
      <w:r w:rsidR="004841D4" w:rsidRPr="00692E59">
        <w:rPr>
          <w:rFonts w:asciiTheme="majorHAnsi" w:hAnsiTheme="majorHAnsi" w:cstheme="majorHAnsi"/>
          <w:i/>
          <w:sz w:val="24"/>
          <w:szCs w:val="24"/>
          <w:lang w:val="ru-MD"/>
        </w:rPr>
        <w:t>1.</w:t>
      </w:r>
      <w:r w:rsidR="00B87916" w:rsidRPr="00692E59">
        <w:rPr>
          <w:rFonts w:asciiTheme="majorHAnsi" w:hAnsiTheme="majorHAnsi" w:cstheme="majorHAnsi"/>
          <w:i/>
          <w:sz w:val="24"/>
          <w:szCs w:val="24"/>
          <w:lang w:val="ru-MD"/>
        </w:rPr>
        <w:t>1-4.1.2</w:t>
      </w:r>
      <w:r w:rsidR="00744E17" w:rsidRPr="00692E59">
        <w:rPr>
          <w:rFonts w:asciiTheme="majorHAnsi" w:hAnsiTheme="majorHAnsi" w:cstheme="majorHAnsi"/>
          <w:i/>
          <w:sz w:val="24"/>
          <w:szCs w:val="24"/>
          <w:lang w:val="ru-MD"/>
        </w:rPr>
        <w:t>)</w:t>
      </w:r>
      <w:r w:rsidR="004841D4" w:rsidRPr="00692E59">
        <w:rPr>
          <w:rFonts w:asciiTheme="majorHAnsi" w:hAnsiTheme="majorHAnsi" w:cstheme="majorHAnsi"/>
          <w:i/>
          <w:sz w:val="24"/>
          <w:szCs w:val="24"/>
          <w:lang w:val="ru-MD"/>
        </w:rPr>
        <w:t>.</w:t>
      </w:r>
      <w:r w:rsidR="00744E17" w:rsidRPr="00692E59">
        <w:rPr>
          <w:rFonts w:asciiTheme="majorHAnsi" w:hAnsiTheme="majorHAnsi" w:cstheme="majorHAnsi"/>
          <w:i/>
          <w:sz w:val="24"/>
          <w:szCs w:val="24"/>
          <w:lang w:val="ru-MD"/>
        </w:rPr>
        <w:t xml:space="preserve"> </w:t>
      </w:r>
    </w:p>
    <w:p w14:paraId="2FCA3B59" w14:textId="128864D8" w:rsidR="00744E17" w:rsidRPr="00692E59" w:rsidRDefault="00D16684" w:rsidP="00D16684">
      <w:pPr>
        <w:pStyle w:val="ListParagraph"/>
        <w:numPr>
          <w:ilvl w:val="0"/>
          <w:numId w:val="10"/>
        </w:numPr>
        <w:spacing w:line="276" w:lineRule="auto"/>
        <w:ind w:left="0" w:firstLine="360"/>
        <w:jc w:val="both"/>
        <w:rPr>
          <w:rFonts w:asciiTheme="majorHAnsi" w:eastAsia="Times New Roman" w:hAnsiTheme="majorHAnsi" w:cstheme="majorHAnsi"/>
          <w:i/>
          <w:sz w:val="24"/>
          <w:szCs w:val="24"/>
          <w:lang w:val="ru-MD"/>
        </w:rPr>
      </w:pPr>
      <w:r w:rsidRPr="00692E59">
        <w:rPr>
          <w:rFonts w:asciiTheme="majorHAnsi" w:hAnsiTheme="majorHAnsi" w:cstheme="majorHAnsi"/>
          <w:i/>
          <w:sz w:val="24"/>
          <w:szCs w:val="24"/>
          <w:lang w:val="ru-MD"/>
        </w:rPr>
        <w:t xml:space="preserve">Активизировать и оптимизировать инструменты администрирования, направленные на сбор задолженностей и погашение долгов с истекшим сроком давности </w:t>
      </w:r>
      <w:r w:rsidR="00B87916" w:rsidRPr="00692E59">
        <w:rPr>
          <w:rFonts w:asciiTheme="majorHAnsi" w:hAnsiTheme="majorHAnsi" w:cstheme="majorHAnsi"/>
          <w:i/>
          <w:sz w:val="24"/>
          <w:szCs w:val="24"/>
          <w:lang w:val="ru-MD"/>
        </w:rPr>
        <w:t>(</w:t>
      </w:r>
      <w:r w:rsidR="00325700" w:rsidRPr="00692E59">
        <w:rPr>
          <w:rFonts w:asciiTheme="majorHAnsi" w:hAnsiTheme="majorHAnsi" w:cstheme="majorHAnsi"/>
          <w:i/>
          <w:sz w:val="24"/>
          <w:szCs w:val="24"/>
          <w:lang w:val="ru-MD"/>
        </w:rPr>
        <w:t>п</w:t>
      </w:r>
      <w:r w:rsidR="00B87916" w:rsidRPr="00692E59">
        <w:rPr>
          <w:rFonts w:asciiTheme="majorHAnsi" w:hAnsiTheme="majorHAnsi" w:cstheme="majorHAnsi"/>
          <w:i/>
          <w:sz w:val="24"/>
          <w:szCs w:val="24"/>
          <w:lang w:val="ru-MD"/>
        </w:rPr>
        <w:t>.4.1.1-4.1.2).</w:t>
      </w:r>
    </w:p>
    <w:p w14:paraId="7C5381B9" w14:textId="560058C0" w:rsidR="00744E17" w:rsidRPr="00692E59" w:rsidRDefault="00D16684" w:rsidP="00D16684">
      <w:pPr>
        <w:pStyle w:val="ListParagraph"/>
        <w:numPr>
          <w:ilvl w:val="0"/>
          <w:numId w:val="10"/>
        </w:numPr>
        <w:spacing w:line="276" w:lineRule="auto"/>
        <w:ind w:left="0" w:firstLine="360"/>
        <w:jc w:val="both"/>
        <w:rPr>
          <w:rFonts w:asciiTheme="majorHAnsi" w:eastAsia="Times New Roman" w:hAnsiTheme="majorHAnsi" w:cstheme="majorHAnsi"/>
          <w:i/>
          <w:sz w:val="24"/>
          <w:szCs w:val="24"/>
          <w:lang w:val="ru-MD"/>
        </w:rPr>
      </w:pPr>
      <w:r w:rsidRPr="00692E59">
        <w:rPr>
          <w:rFonts w:asciiTheme="majorHAnsi" w:hAnsiTheme="majorHAnsi" w:cstheme="majorHAnsi"/>
          <w:i/>
          <w:sz w:val="24"/>
          <w:szCs w:val="24"/>
          <w:lang w:val="ru-MD"/>
        </w:rPr>
        <w:t xml:space="preserve">Обеспечить надлежащий расчет доходов, дебиторской задолженности, увеличений за просрочку таможенных обязательств, посредством функциональности информационной системы </w:t>
      </w:r>
      <w:r w:rsidR="00744E17" w:rsidRPr="00692E59">
        <w:rPr>
          <w:rFonts w:asciiTheme="majorHAnsi" w:hAnsiTheme="majorHAnsi" w:cstheme="majorHAnsi"/>
          <w:i/>
          <w:sz w:val="24"/>
          <w:szCs w:val="24"/>
          <w:lang w:val="ru-MD"/>
        </w:rPr>
        <w:t>(</w:t>
      </w:r>
      <w:r w:rsidR="00325700" w:rsidRPr="00692E59">
        <w:rPr>
          <w:rFonts w:asciiTheme="majorHAnsi" w:hAnsiTheme="majorHAnsi" w:cstheme="majorHAnsi"/>
          <w:i/>
          <w:sz w:val="24"/>
          <w:szCs w:val="24"/>
          <w:lang w:val="ru-MD"/>
        </w:rPr>
        <w:t>п</w:t>
      </w:r>
      <w:r w:rsidR="00744E17" w:rsidRPr="00692E59">
        <w:rPr>
          <w:rFonts w:asciiTheme="majorHAnsi" w:hAnsiTheme="majorHAnsi" w:cstheme="majorHAnsi"/>
          <w:i/>
          <w:sz w:val="24"/>
          <w:szCs w:val="24"/>
          <w:lang w:val="ru-MD"/>
        </w:rPr>
        <w:t>.</w:t>
      </w:r>
      <w:r w:rsidR="007B4C72" w:rsidRPr="00692E59">
        <w:rPr>
          <w:rFonts w:asciiTheme="majorHAnsi" w:hAnsiTheme="majorHAnsi" w:cstheme="majorHAnsi"/>
          <w:i/>
          <w:sz w:val="24"/>
          <w:szCs w:val="24"/>
          <w:lang w:val="ru-MD"/>
        </w:rPr>
        <w:t>4.</w:t>
      </w:r>
      <w:r w:rsidR="00D93049" w:rsidRPr="00692E59">
        <w:rPr>
          <w:rFonts w:asciiTheme="majorHAnsi" w:hAnsiTheme="majorHAnsi" w:cstheme="majorHAnsi"/>
          <w:i/>
          <w:sz w:val="24"/>
          <w:szCs w:val="24"/>
          <w:lang w:val="ru-MD"/>
        </w:rPr>
        <w:t>2.</w:t>
      </w:r>
      <w:r w:rsidR="007B4C72" w:rsidRPr="00692E59">
        <w:rPr>
          <w:rFonts w:asciiTheme="majorHAnsi" w:hAnsiTheme="majorHAnsi" w:cstheme="majorHAnsi"/>
          <w:i/>
          <w:sz w:val="24"/>
          <w:szCs w:val="24"/>
          <w:lang w:val="ru-MD"/>
        </w:rPr>
        <w:t>1</w:t>
      </w:r>
      <w:r w:rsidR="00744E17" w:rsidRPr="00692E59">
        <w:rPr>
          <w:rFonts w:asciiTheme="majorHAnsi" w:hAnsiTheme="majorHAnsi" w:cstheme="majorHAnsi"/>
          <w:i/>
          <w:sz w:val="24"/>
          <w:szCs w:val="24"/>
          <w:lang w:val="ru-MD"/>
        </w:rPr>
        <w:t>)</w:t>
      </w:r>
      <w:r w:rsidR="008B3A34" w:rsidRPr="00692E59">
        <w:rPr>
          <w:rFonts w:asciiTheme="majorHAnsi" w:hAnsiTheme="majorHAnsi" w:cstheme="majorHAnsi"/>
          <w:i/>
          <w:sz w:val="24"/>
          <w:szCs w:val="24"/>
          <w:lang w:val="ru-MD"/>
        </w:rPr>
        <w:t>.</w:t>
      </w:r>
    </w:p>
    <w:p w14:paraId="2AA47F7C" w14:textId="594F1A19" w:rsidR="001B37A2" w:rsidRPr="00692E59" w:rsidRDefault="00D16684" w:rsidP="00D16684">
      <w:pPr>
        <w:pStyle w:val="ListParagraph"/>
        <w:numPr>
          <w:ilvl w:val="0"/>
          <w:numId w:val="10"/>
        </w:numPr>
        <w:spacing w:after="120" w:line="276" w:lineRule="auto"/>
        <w:ind w:left="0" w:firstLine="360"/>
        <w:jc w:val="both"/>
        <w:rPr>
          <w:rFonts w:asciiTheme="majorHAnsi" w:eastAsia="Times New Roman" w:hAnsiTheme="majorHAnsi" w:cstheme="majorHAnsi"/>
          <w:i/>
          <w:sz w:val="24"/>
          <w:szCs w:val="24"/>
          <w:lang w:val="ru-MD"/>
        </w:rPr>
      </w:pPr>
      <w:r w:rsidRPr="00692E59">
        <w:rPr>
          <w:rFonts w:asciiTheme="majorHAnsi" w:eastAsia="Times New Roman" w:hAnsiTheme="majorHAnsi" w:cstheme="majorHAnsi"/>
          <w:i/>
          <w:iCs/>
          <w:sz w:val="24"/>
          <w:szCs w:val="24"/>
          <w:lang w:val="ru-MD"/>
        </w:rPr>
        <w:t xml:space="preserve">Усилить контроль за внешнеторговой деятельностью, </w:t>
      </w:r>
      <w:r w:rsidR="009F3820" w:rsidRPr="00692E59">
        <w:rPr>
          <w:rFonts w:asciiTheme="majorHAnsi" w:eastAsia="Times New Roman" w:hAnsiTheme="majorHAnsi" w:cstheme="majorHAnsi"/>
          <w:i/>
          <w:iCs/>
          <w:sz w:val="24"/>
          <w:szCs w:val="24"/>
          <w:lang w:val="ru-MD"/>
        </w:rPr>
        <w:t xml:space="preserve">для </w:t>
      </w:r>
      <w:r w:rsidRPr="00692E59">
        <w:rPr>
          <w:rFonts w:asciiTheme="majorHAnsi" w:eastAsia="Times New Roman" w:hAnsiTheme="majorHAnsi" w:cstheme="majorHAnsi"/>
          <w:i/>
          <w:iCs/>
          <w:sz w:val="24"/>
          <w:szCs w:val="24"/>
          <w:lang w:val="ru-MD"/>
        </w:rPr>
        <w:t>обеспеч</w:t>
      </w:r>
      <w:r w:rsidR="009F3820" w:rsidRPr="00692E59">
        <w:rPr>
          <w:rFonts w:asciiTheme="majorHAnsi" w:eastAsia="Times New Roman" w:hAnsiTheme="majorHAnsi" w:cstheme="majorHAnsi"/>
          <w:i/>
          <w:iCs/>
          <w:sz w:val="24"/>
          <w:szCs w:val="24"/>
          <w:lang w:val="ru-MD"/>
        </w:rPr>
        <w:t>ения</w:t>
      </w:r>
      <w:r w:rsidRPr="00692E59">
        <w:rPr>
          <w:rFonts w:asciiTheme="majorHAnsi" w:eastAsia="Times New Roman" w:hAnsiTheme="majorHAnsi" w:cstheme="majorHAnsi"/>
          <w:i/>
          <w:iCs/>
          <w:sz w:val="24"/>
          <w:szCs w:val="24"/>
          <w:lang w:val="ru-MD"/>
        </w:rPr>
        <w:t xml:space="preserve"> экономическ</w:t>
      </w:r>
      <w:r w:rsidR="009F3820" w:rsidRPr="00692E59">
        <w:rPr>
          <w:rFonts w:asciiTheme="majorHAnsi" w:eastAsia="Times New Roman" w:hAnsiTheme="majorHAnsi" w:cstheme="majorHAnsi"/>
          <w:i/>
          <w:iCs/>
          <w:sz w:val="24"/>
          <w:szCs w:val="24"/>
          <w:lang w:val="ru-MD"/>
        </w:rPr>
        <w:t>ой</w:t>
      </w:r>
      <w:r w:rsidRPr="00692E59">
        <w:rPr>
          <w:rFonts w:asciiTheme="majorHAnsi" w:eastAsia="Times New Roman" w:hAnsiTheme="majorHAnsi" w:cstheme="majorHAnsi"/>
          <w:i/>
          <w:iCs/>
          <w:sz w:val="24"/>
          <w:szCs w:val="24"/>
          <w:lang w:val="ru-MD"/>
        </w:rPr>
        <w:t xml:space="preserve"> безопасност</w:t>
      </w:r>
      <w:r w:rsidR="009F3820" w:rsidRPr="00692E59">
        <w:rPr>
          <w:rFonts w:asciiTheme="majorHAnsi" w:eastAsia="Times New Roman" w:hAnsiTheme="majorHAnsi" w:cstheme="majorHAnsi"/>
          <w:i/>
          <w:iCs/>
          <w:sz w:val="24"/>
          <w:szCs w:val="24"/>
          <w:lang w:val="ru-MD"/>
        </w:rPr>
        <w:t>и</w:t>
      </w:r>
      <w:r w:rsidRPr="00692E59">
        <w:rPr>
          <w:rFonts w:asciiTheme="majorHAnsi" w:eastAsia="Times New Roman" w:hAnsiTheme="majorHAnsi" w:cstheme="majorHAnsi"/>
          <w:i/>
          <w:iCs/>
          <w:sz w:val="24"/>
          <w:szCs w:val="24"/>
          <w:lang w:val="ru-MD"/>
        </w:rPr>
        <w:t xml:space="preserve"> государства, соблюдени</w:t>
      </w:r>
      <w:r w:rsidR="009F3820" w:rsidRPr="00692E59">
        <w:rPr>
          <w:rFonts w:asciiTheme="majorHAnsi" w:eastAsia="Times New Roman" w:hAnsiTheme="majorHAnsi" w:cstheme="majorHAnsi"/>
          <w:i/>
          <w:iCs/>
          <w:sz w:val="24"/>
          <w:szCs w:val="24"/>
          <w:lang w:val="ru-MD"/>
        </w:rPr>
        <w:t>я</w:t>
      </w:r>
      <w:r w:rsidRPr="00692E59">
        <w:rPr>
          <w:rFonts w:asciiTheme="majorHAnsi" w:eastAsia="Times New Roman" w:hAnsiTheme="majorHAnsi" w:cstheme="majorHAnsi"/>
          <w:i/>
          <w:iCs/>
          <w:sz w:val="24"/>
          <w:szCs w:val="24"/>
          <w:lang w:val="ru-MD"/>
        </w:rPr>
        <w:t xml:space="preserve"> и исполнени</w:t>
      </w:r>
      <w:r w:rsidR="009F3820" w:rsidRPr="00692E59">
        <w:rPr>
          <w:rFonts w:asciiTheme="majorHAnsi" w:eastAsia="Times New Roman" w:hAnsiTheme="majorHAnsi" w:cstheme="majorHAnsi"/>
          <w:i/>
          <w:iCs/>
          <w:sz w:val="24"/>
          <w:szCs w:val="24"/>
          <w:lang w:val="ru-MD"/>
        </w:rPr>
        <w:t>я</w:t>
      </w:r>
      <w:r w:rsidRPr="00692E59">
        <w:rPr>
          <w:rFonts w:asciiTheme="majorHAnsi" w:eastAsia="Times New Roman" w:hAnsiTheme="majorHAnsi" w:cstheme="majorHAnsi"/>
          <w:i/>
          <w:iCs/>
          <w:sz w:val="24"/>
          <w:szCs w:val="24"/>
          <w:lang w:val="ru-MD"/>
        </w:rPr>
        <w:t xml:space="preserve"> таможенного законодательства </w:t>
      </w:r>
      <w:r w:rsidR="001B37A2" w:rsidRPr="00692E59">
        <w:rPr>
          <w:rFonts w:asciiTheme="majorHAnsi" w:hAnsiTheme="majorHAnsi" w:cstheme="majorHAnsi"/>
          <w:i/>
          <w:sz w:val="24"/>
          <w:szCs w:val="24"/>
          <w:lang w:val="ru-MD"/>
        </w:rPr>
        <w:t>(</w:t>
      </w:r>
      <w:r w:rsidR="00325700" w:rsidRPr="00692E59">
        <w:rPr>
          <w:rFonts w:asciiTheme="majorHAnsi" w:hAnsiTheme="majorHAnsi" w:cstheme="majorHAnsi"/>
          <w:i/>
          <w:sz w:val="24"/>
          <w:szCs w:val="24"/>
          <w:lang w:val="ru-MD"/>
        </w:rPr>
        <w:t>п</w:t>
      </w:r>
      <w:r w:rsidR="001B37A2" w:rsidRPr="00692E59">
        <w:rPr>
          <w:rFonts w:asciiTheme="majorHAnsi" w:hAnsiTheme="majorHAnsi" w:cstheme="majorHAnsi"/>
          <w:i/>
          <w:sz w:val="24"/>
          <w:szCs w:val="24"/>
          <w:lang w:val="ru-MD"/>
        </w:rPr>
        <w:t>.</w:t>
      </w:r>
      <w:r w:rsidR="004B39D0" w:rsidRPr="00692E59">
        <w:rPr>
          <w:rFonts w:asciiTheme="majorHAnsi" w:hAnsiTheme="majorHAnsi" w:cstheme="majorHAnsi"/>
          <w:i/>
          <w:sz w:val="24"/>
          <w:szCs w:val="24"/>
          <w:lang w:val="ru-MD"/>
        </w:rPr>
        <w:t>4.</w:t>
      </w:r>
      <w:r w:rsidR="001B37A2" w:rsidRPr="00692E59">
        <w:rPr>
          <w:rFonts w:asciiTheme="majorHAnsi" w:hAnsiTheme="majorHAnsi" w:cstheme="majorHAnsi"/>
          <w:i/>
          <w:sz w:val="24"/>
          <w:szCs w:val="24"/>
          <w:lang w:val="ru-MD"/>
        </w:rPr>
        <w:t>1.</w:t>
      </w:r>
      <w:r w:rsidR="004B39D0" w:rsidRPr="00692E59">
        <w:rPr>
          <w:rFonts w:asciiTheme="majorHAnsi" w:hAnsiTheme="majorHAnsi" w:cstheme="majorHAnsi"/>
          <w:i/>
          <w:sz w:val="24"/>
          <w:szCs w:val="24"/>
          <w:lang w:val="ru-MD"/>
        </w:rPr>
        <w:t>4</w:t>
      </w:r>
      <w:r w:rsidR="001B37A2" w:rsidRPr="00692E59">
        <w:rPr>
          <w:rFonts w:asciiTheme="majorHAnsi" w:hAnsiTheme="majorHAnsi" w:cstheme="majorHAnsi"/>
          <w:i/>
          <w:sz w:val="24"/>
          <w:szCs w:val="24"/>
          <w:lang w:val="ru-MD"/>
        </w:rPr>
        <w:t>).</w:t>
      </w:r>
    </w:p>
    <w:p w14:paraId="03BB7378" w14:textId="24A81A82" w:rsidR="001B37A2" w:rsidRPr="00692E59" w:rsidRDefault="00D16684" w:rsidP="00D16684">
      <w:pPr>
        <w:pStyle w:val="ListParagraph"/>
        <w:numPr>
          <w:ilvl w:val="0"/>
          <w:numId w:val="10"/>
        </w:numPr>
        <w:spacing w:after="120" w:line="276" w:lineRule="auto"/>
        <w:ind w:left="0" w:firstLine="360"/>
        <w:jc w:val="both"/>
        <w:rPr>
          <w:rFonts w:asciiTheme="majorHAnsi" w:eastAsia="Times New Roman" w:hAnsiTheme="majorHAnsi" w:cstheme="majorHAnsi"/>
          <w:i/>
          <w:sz w:val="24"/>
          <w:szCs w:val="24"/>
          <w:lang w:val="ru-MD"/>
        </w:rPr>
      </w:pPr>
      <w:r w:rsidRPr="00692E59">
        <w:rPr>
          <w:rFonts w:asciiTheme="majorHAnsi" w:eastAsia="Times New Roman" w:hAnsiTheme="majorHAnsi" w:cstheme="majorHAnsi"/>
          <w:i/>
          <w:iCs/>
          <w:sz w:val="24"/>
          <w:szCs w:val="24"/>
          <w:lang w:val="ru-MD"/>
        </w:rPr>
        <w:t>Обеспечить оперативный обмен информацией с таможенными службами других государств и международными организациями в целях полно</w:t>
      </w:r>
      <w:r w:rsidR="009F3820" w:rsidRPr="00692E59">
        <w:rPr>
          <w:rFonts w:asciiTheme="majorHAnsi" w:eastAsia="Times New Roman" w:hAnsiTheme="majorHAnsi" w:cstheme="majorHAnsi"/>
          <w:i/>
          <w:iCs/>
          <w:sz w:val="24"/>
          <w:szCs w:val="24"/>
          <w:lang w:val="ru-MD"/>
        </w:rPr>
        <w:t>го взимания</w:t>
      </w:r>
      <w:r w:rsidRPr="00692E59">
        <w:rPr>
          <w:rFonts w:asciiTheme="majorHAnsi" w:eastAsia="Times New Roman" w:hAnsiTheme="majorHAnsi" w:cstheme="majorHAnsi"/>
          <w:i/>
          <w:iCs/>
          <w:sz w:val="24"/>
          <w:szCs w:val="24"/>
          <w:lang w:val="ru-MD"/>
        </w:rPr>
        <w:t xml:space="preserve"> доходов в государственный бюджет и предотвращения таможенного мошенничества </w:t>
      </w:r>
      <w:r w:rsidR="001B37A2" w:rsidRPr="00692E59">
        <w:rPr>
          <w:rFonts w:asciiTheme="majorHAnsi" w:hAnsiTheme="majorHAnsi" w:cstheme="majorHAnsi"/>
          <w:i/>
          <w:sz w:val="24"/>
          <w:szCs w:val="24"/>
          <w:lang w:val="ru-MD"/>
        </w:rPr>
        <w:t>(</w:t>
      </w:r>
      <w:r w:rsidR="00325700" w:rsidRPr="00692E59">
        <w:rPr>
          <w:rFonts w:asciiTheme="majorHAnsi" w:hAnsiTheme="majorHAnsi" w:cstheme="majorHAnsi"/>
          <w:i/>
          <w:sz w:val="24"/>
          <w:szCs w:val="24"/>
          <w:lang w:val="ru-MD"/>
        </w:rPr>
        <w:t>п</w:t>
      </w:r>
      <w:r w:rsidR="001B37A2" w:rsidRPr="00692E59">
        <w:rPr>
          <w:rFonts w:asciiTheme="majorHAnsi" w:hAnsiTheme="majorHAnsi" w:cstheme="majorHAnsi"/>
          <w:i/>
          <w:sz w:val="24"/>
          <w:szCs w:val="24"/>
          <w:lang w:val="ru-MD"/>
        </w:rPr>
        <w:t>.</w:t>
      </w:r>
      <w:r w:rsidR="004B39D0" w:rsidRPr="00692E59">
        <w:rPr>
          <w:rFonts w:asciiTheme="majorHAnsi" w:hAnsiTheme="majorHAnsi" w:cstheme="majorHAnsi"/>
          <w:i/>
          <w:sz w:val="24"/>
          <w:szCs w:val="24"/>
          <w:lang w:val="ru-MD"/>
        </w:rPr>
        <w:t>4.1.4</w:t>
      </w:r>
      <w:r w:rsidR="001B37A2" w:rsidRPr="00692E59">
        <w:rPr>
          <w:rFonts w:asciiTheme="majorHAnsi" w:hAnsiTheme="majorHAnsi" w:cstheme="majorHAnsi"/>
          <w:i/>
          <w:sz w:val="24"/>
          <w:szCs w:val="24"/>
          <w:lang w:val="ru-MD"/>
        </w:rPr>
        <w:t>).</w:t>
      </w:r>
    </w:p>
    <w:p w14:paraId="494977A5" w14:textId="29E4BA99" w:rsidR="00A6004E" w:rsidRPr="00692E59" w:rsidRDefault="00ED370C" w:rsidP="00ED370C">
      <w:pPr>
        <w:pStyle w:val="ListParagraph"/>
        <w:numPr>
          <w:ilvl w:val="0"/>
          <w:numId w:val="10"/>
        </w:numPr>
        <w:spacing w:line="276" w:lineRule="auto"/>
        <w:ind w:left="0" w:firstLine="360"/>
        <w:jc w:val="both"/>
        <w:rPr>
          <w:rFonts w:asciiTheme="majorHAnsi" w:eastAsia="Times New Roman" w:hAnsiTheme="majorHAnsi" w:cstheme="majorHAnsi"/>
          <w:i/>
          <w:noProof/>
          <w:sz w:val="24"/>
          <w:szCs w:val="24"/>
          <w:lang w:val="ru-MD"/>
        </w:rPr>
      </w:pPr>
      <w:r w:rsidRPr="00692E59">
        <w:rPr>
          <w:rFonts w:asciiTheme="majorHAnsi" w:hAnsiTheme="majorHAnsi" w:cstheme="majorHAnsi"/>
          <w:i/>
          <w:sz w:val="24"/>
          <w:szCs w:val="24"/>
          <w:lang w:val="ru-MD"/>
        </w:rPr>
        <w:t xml:space="preserve">Обеспечить достижение целей Национального плана действий по внедрению Соглашения об ассоциации Республика Молдова-Европейский Союз, предусмотренных главой „Таможенный режим и содействие торговле”, и протокола о внесении поправок в Марракешское соглашение о создании Всемирной торговой организации, в частности, принятие единой документации по импортным, экспортным и транзитным операциям, призванной содействовать торговле </w:t>
      </w:r>
      <w:r w:rsidR="00B135CE" w:rsidRPr="00692E59">
        <w:rPr>
          <w:rFonts w:asciiTheme="majorHAnsi" w:hAnsiTheme="majorHAnsi" w:cstheme="majorHAnsi"/>
          <w:i/>
          <w:sz w:val="24"/>
          <w:szCs w:val="24"/>
          <w:lang w:val="ru-MD"/>
        </w:rPr>
        <w:t>(</w:t>
      </w:r>
      <w:r w:rsidR="00325700" w:rsidRPr="00692E59">
        <w:rPr>
          <w:rFonts w:asciiTheme="majorHAnsi" w:hAnsiTheme="majorHAnsi" w:cstheme="majorHAnsi"/>
          <w:i/>
          <w:sz w:val="24"/>
          <w:szCs w:val="24"/>
          <w:lang w:val="ru-MD"/>
        </w:rPr>
        <w:t>п</w:t>
      </w:r>
      <w:r w:rsidR="00B135CE" w:rsidRPr="00692E59">
        <w:rPr>
          <w:rFonts w:asciiTheme="majorHAnsi" w:hAnsiTheme="majorHAnsi" w:cstheme="majorHAnsi"/>
          <w:i/>
          <w:sz w:val="24"/>
          <w:szCs w:val="24"/>
          <w:lang w:val="ru-MD"/>
        </w:rPr>
        <w:t>.</w:t>
      </w:r>
      <w:r w:rsidR="00E4086C" w:rsidRPr="00692E59">
        <w:rPr>
          <w:rFonts w:asciiTheme="majorHAnsi" w:hAnsiTheme="majorHAnsi" w:cstheme="majorHAnsi"/>
          <w:i/>
          <w:sz w:val="24"/>
          <w:szCs w:val="24"/>
          <w:lang w:val="ru-MD"/>
        </w:rPr>
        <w:t>4.</w:t>
      </w:r>
      <w:r w:rsidR="00B135CE" w:rsidRPr="00692E59">
        <w:rPr>
          <w:rFonts w:asciiTheme="majorHAnsi" w:hAnsiTheme="majorHAnsi" w:cstheme="majorHAnsi"/>
          <w:i/>
          <w:sz w:val="24"/>
          <w:szCs w:val="24"/>
          <w:lang w:val="ru-MD"/>
        </w:rPr>
        <w:t>3.</w:t>
      </w:r>
      <w:r w:rsidR="00E4086C" w:rsidRPr="00692E59">
        <w:rPr>
          <w:rFonts w:asciiTheme="majorHAnsi" w:hAnsiTheme="majorHAnsi" w:cstheme="majorHAnsi"/>
          <w:i/>
          <w:sz w:val="24"/>
          <w:szCs w:val="24"/>
          <w:lang w:val="ru-MD"/>
        </w:rPr>
        <w:t>4</w:t>
      </w:r>
      <w:r w:rsidR="00B135CE" w:rsidRPr="00692E59">
        <w:rPr>
          <w:rFonts w:asciiTheme="majorHAnsi" w:hAnsiTheme="majorHAnsi" w:cstheme="majorHAnsi"/>
          <w:i/>
          <w:sz w:val="24"/>
          <w:szCs w:val="24"/>
          <w:lang w:val="ru-MD"/>
        </w:rPr>
        <w:t>).</w:t>
      </w:r>
    </w:p>
    <w:p w14:paraId="227FBF7F" w14:textId="76EA59EF" w:rsidR="00744E17" w:rsidRPr="00692E59" w:rsidRDefault="00ED370C" w:rsidP="0060505A">
      <w:pPr>
        <w:pStyle w:val="ListParagraph"/>
        <w:numPr>
          <w:ilvl w:val="0"/>
          <w:numId w:val="10"/>
        </w:numPr>
        <w:spacing w:line="276" w:lineRule="auto"/>
        <w:ind w:left="0" w:firstLine="360"/>
        <w:jc w:val="both"/>
        <w:rPr>
          <w:rFonts w:asciiTheme="majorHAnsi" w:eastAsia="Times New Roman" w:hAnsiTheme="majorHAnsi" w:cstheme="majorHAnsi"/>
          <w:i/>
          <w:sz w:val="24"/>
          <w:szCs w:val="24"/>
          <w:lang w:val="ru-MD"/>
        </w:rPr>
      </w:pPr>
      <w:r w:rsidRPr="00692E59">
        <w:rPr>
          <w:rFonts w:asciiTheme="majorHAnsi" w:hAnsiTheme="majorHAnsi" w:cstheme="majorHAnsi"/>
          <w:i/>
          <w:sz w:val="24"/>
          <w:szCs w:val="24"/>
          <w:lang w:val="ru-MD"/>
        </w:rPr>
        <w:t xml:space="preserve">Обеспечить правильность последовательного применения методов определения таможенной стоимости импортируемых товаров в ситуации, когда не может быть применен метод определения по стоимости сделки, соответственно, по фактической цене, уплаченной или к уплате </w:t>
      </w:r>
      <w:r w:rsidR="00744E17" w:rsidRPr="00692E59">
        <w:rPr>
          <w:rFonts w:asciiTheme="majorHAnsi" w:hAnsiTheme="majorHAnsi" w:cstheme="majorHAnsi"/>
          <w:i/>
          <w:sz w:val="24"/>
          <w:szCs w:val="24"/>
          <w:lang w:val="ru-MD"/>
        </w:rPr>
        <w:t>(</w:t>
      </w:r>
      <w:r w:rsidR="00325700" w:rsidRPr="00692E59">
        <w:rPr>
          <w:rFonts w:asciiTheme="majorHAnsi" w:hAnsiTheme="majorHAnsi" w:cstheme="majorHAnsi"/>
          <w:i/>
          <w:sz w:val="24"/>
          <w:szCs w:val="24"/>
          <w:lang w:val="ru-MD"/>
        </w:rPr>
        <w:t>п</w:t>
      </w:r>
      <w:r w:rsidR="00744E17" w:rsidRPr="00692E59">
        <w:rPr>
          <w:rFonts w:asciiTheme="majorHAnsi" w:hAnsiTheme="majorHAnsi" w:cstheme="majorHAnsi"/>
          <w:i/>
          <w:sz w:val="24"/>
          <w:szCs w:val="24"/>
          <w:lang w:val="ru-MD"/>
        </w:rPr>
        <w:t>.</w:t>
      </w:r>
      <w:r w:rsidR="00E4086C" w:rsidRPr="00692E59">
        <w:rPr>
          <w:rFonts w:asciiTheme="majorHAnsi" w:hAnsiTheme="majorHAnsi" w:cstheme="majorHAnsi"/>
          <w:i/>
          <w:sz w:val="24"/>
          <w:szCs w:val="24"/>
          <w:lang w:val="ru-MD"/>
        </w:rPr>
        <w:t>4.</w:t>
      </w:r>
      <w:r w:rsidR="00CB64C0" w:rsidRPr="00692E59">
        <w:rPr>
          <w:rFonts w:asciiTheme="majorHAnsi" w:hAnsiTheme="majorHAnsi" w:cstheme="majorHAnsi"/>
          <w:i/>
          <w:sz w:val="24"/>
          <w:szCs w:val="24"/>
          <w:lang w:val="ru-MD"/>
        </w:rPr>
        <w:t>3.</w:t>
      </w:r>
      <w:r w:rsidR="00E4086C" w:rsidRPr="00692E59">
        <w:rPr>
          <w:rFonts w:asciiTheme="majorHAnsi" w:hAnsiTheme="majorHAnsi" w:cstheme="majorHAnsi"/>
          <w:i/>
          <w:sz w:val="24"/>
          <w:szCs w:val="24"/>
          <w:lang w:val="ru-MD"/>
        </w:rPr>
        <w:t>1-4.3.2</w:t>
      </w:r>
      <w:r w:rsidR="00744E17" w:rsidRPr="00692E59">
        <w:rPr>
          <w:rFonts w:asciiTheme="majorHAnsi" w:hAnsiTheme="majorHAnsi" w:cstheme="majorHAnsi"/>
          <w:i/>
          <w:sz w:val="24"/>
          <w:szCs w:val="24"/>
          <w:lang w:val="ru-MD"/>
        </w:rPr>
        <w:t>)</w:t>
      </w:r>
      <w:r w:rsidR="00CB64C0" w:rsidRPr="00692E59">
        <w:rPr>
          <w:rFonts w:asciiTheme="majorHAnsi" w:hAnsiTheme="majorHAnsi" w:cstheme="majorHAnsi"/>
          <w:i/>
          <w:sz w:val="24"/>
          <w:szCs w:val="24"/>
          <w:lang w:val="ru-MD"/>
        </w:rPr>
        <w:t>.</w:t>
      </w:r>
    </w:p>
    <w:p w14:paraId="19E23AB7" w14:textId="79169718" w:rsidR="00744E17" w:rsidRPr="00692E59" w:rsidRDefault="00ED370C" w:rsidP="00ED370C">
      <w:pPr>
        <w:pStyle w:val="ListParagraph"/>
        <w:numPr>
          <w:ilvl w:val="0"/>
          <w:numId w:val="10"/>
        </w:numPr>
        <w:spacing w:line="276" w:lineRule="auto"/>
        <w:ind w:left="0" w:firstLine="360"/>
        <w:jc w:val="both"/>
        <w:rPr>
          <w:rFonts w:asciiTheme="majorHAnsi" w:eastAsia="Times New Roman" w:hAnsiTheme="majorHAnsi" w:cstheme="majorHAnsi"/>
          <w:i/>
          <w:sz w:val="24"/>
          <w:szCs w:val="24"/>
          <w:lang w:val="ru-MD"/>
        </w:rPr>
      </w:pPr>
      <w:r w:rsidRPr="00692E59">
        <w:rPr>
          <w:rFonts w:asciiTheme="majorHAnsi" w:hAnsiTheme="majorHAnsi" w:cstheme="majorHAnsi"/>
          <w:i/>
          <w:sz w:val="24"/>
          <w:szCs w:val="24"/>
          <w:lang w:val="ru-MD"/>
        </w:rPr>
        <w:t xml:space="preserve">Обеспечить функциональность и применение модулей „Таможенная стоимость” и „SICOM”, для обеспечения эффективного инструмента по управлению рисками оценки импортируемых и задекларированных товаров, а также сертификатов происхождения, предназначенных для экспорта </w:t>
      </w:r>
      <w:r w:rsidR="00744E17" w:rsidRPr="00692E59">
        <w:rPr>
          <w:rFonts w:asciiTheme="majorHAnsi" w:hAnsiTheme="majorHAnsi" w:cstheme="majorHAnsi"/>
          <w:i/>
          <w:sz w:val="24"/>
          <w:szCs w:val="24"/>
          <w:lang w:val="ru-MD"/>
        </w:rPr>
        <w:t>(</w:t>
      </w:r>
      <w:r w:rsidR="00325700" w:rsidRPr="00692E59">
        <w:rPr>
          <w:rFonts w:asciiTheme="majorHAnsi" w:hAnsiTheme="majorHAnsi" w:cstheme="majorHAnsi"/>
          <w:i/>
          <w:sz w:val="24"/>
          <w:szCs w:val="24"/>
          <w:lang w:val="ru-MD"/>
        </w:rPr>
        <w:t>п</w:t>
      </w:r>
      <w:r w:rsidR="00744E17" w:rsidRPr="00692E59">
        <w:rPr>
          <w:rFonts w:asciiTheme="majorHAnsi" w:hAnsiTheme="majorHAnsi" w:cstheme="majorHAnsi"/>
          <w:i/>
          <w:sz w:val="24"/>
          <w:szCs w:val="24"/>
          <w:lang w:val="ru-MD"/>
        </w:rPr>
        <w:t>.</w:t>
      </w:r>
      <w:r w:rsidR="00E4086C" w:rsidRPr="00692E59">
        <w:rPr>
          <w:rFonts w:asciiTheme="majorHAnsi" w:hAnsiTheme="majorHAnsi" w:cstheme="majorHAnsi"/>
          <w:i/>
          <w:sz w:val="24"/>
          <w:szCs w:val="24"/>
          <w:lang w:val="ru-MD"/>
        </w:rPr>
        <w:t>4.</w:t>
      </w:r>
      <w:r w:rsidR="00CB64C0" w:rsidRPr="00692E59">
        <w:rPr>
          <w:rFonts w:asciiTheme="majorHAnsi" w:hAnsiTheme="majorHAnsi" w:cstheme="majorHAnsi"/>
          <w:i/>
          <w:sz w:val="24"/>
          <w:szCs w:val="24"/>
          <w:lang w:val="ru-MD"/>
        </w:rPr>
        <w:t>3.3</w:t>
      </w:r>
      <w:r w:rsidR="00744E17" w:rsidRPr="00692E59">
        <w:rPr>
          <w:rFonts w:asciiTheme="majorHAnsi" w:hAnsiTheme="majorHAnsi" w:cstheme="majorHAnsi"/>
          <w:i/>
          <w:sz w:val="24"/>
          <w:szCs w:val="24"/>
          <w:lang w:val="ru-MD"/>
        </w:rPr>
        <w:t>)</w:t>
      </w:r>
      <w:r w:rsidR="00CB64C0" w:rsidRPr="00692E59">
        <w:rPr>
          <w:rFonts w:asciiTheme="majorHAnsi" w:hAnsiTheme="majorHAnsi" w:cstheme="majorHAnsi"/>
          <w:i/>
          <w:sz w:val="24"/>
          <w:szCs w:val="24"/>
          <w:lang w:val="ru-MD"/>
        </w:rPr>
        <w:t>.</w:t>
      </w:r>
    </w:p>
    <w:p w14:paraId="01E70823" w14:textId="4F6C1764" w:rsidR="001C24D8" w:rsidRPr="00692E59" w:rsidRDefault="00694D7B" w:rsidP="00694D7B">
      <w:pPr>
        <w:pStyle w:val="ListParagraph"/>
        <w:numPr>
          <w:ilvl w:val="0"/>
          <w:numId w:val="10"/>
        </w:numPr>
        <w:spacing w:line="276" w:lineRule="auto"/>
        <w:ind w:left="0" w:firstLine="360"/>
        <w:jc w:val="both"/>
        <w:rPr>
          <w:rFonts w:asciiTheme="majorHAnsi" w:eastAsia="Times New Roman" w:hAnsiTheme="majorHAnsi" w:cstheme="majorHAnsi"/>
          <w:i/>
          <w:sz w:val="24"/>
          <w:szCs w:val="24"/>
          <w:lang w:val="ru-MD"/>
        </w:rPr>
      </w:pPr>
      <w:r w:rsidRPr="00692E59">
        <w:rPr>
          <w:rFonts w:asciiTheme="majorHAnsi" w:eastAsia="Times New Roman" w:hAnsiTheme="majorHAnsi" w:cstheme="majorHAnsi"/>
          <w:i/>
          <w:sz w:val="24"/>
          <w:szCs w:val="24"/>
          <w:lang w:val="ru-MD"/>
        </w:rPr>
        <w:t xml:space="preserve">Усилить таможенный контроль с целью подтверждения соответствия сертификатов происхождения, представленных таможенному органу при импорте товаров </w:t>
      </w:r>
      <w:r w:rsidR="001C24D8" w:rsidRPr="00692E59">
        <w:rPr>
          <w:rFonts w:asciiTheme="majorHAnsi" w:hAnsiTheme="majorHAnsi" w:cstheme="majorHAnsi"/>
          <w:i/>
          <w:sz w:val="24"/>
          <w:szCs w:val="24"/>
          <w:lang w:val="ru-MD"/>
        </w:rPr>
        <w:t>(</w:t>
      </w:r>
      <w:r w:rsidR="00325700" w:rsidRPr="00692E59">
        <w:rPr>
          <w:rFonts w:asciiTheme="majorHAnsi" w:hAnsiTheme="majorHAnsi" w:cstheme="majorHAnsi"/>
          <w:i/>
          <w:sz w:val="24"/>
          <w:szCs w:val="24"/>
          <w:lang w:val="ru-MD"/>
        </w:rPr>
        <w:t>п</w:t>
      </w:r>
      <w:r w:rsidR="001C24D8" w:rsidRPr="00692E59">
        <w:rPr>
          <w:rFonts w:asciiTheme="majorHAnsi" w:hAnsiTheme="majorHAnsi" w:cstheme="majorHAnsi"/>
          <w:i/>
          <w:sz w:val="24"/>
          <w:szCs w:val="24"/>
          <w:lang w:val="ru-MD"/>
        </w:rPr>
        <w:t>.4.3.3).</w:t>
      </w:r>
    </w:p>
    <w:p w14:paraId="3D5E27AA" w14:textId="0B9DD0B6" w:rsidR="001C24D8" w:rsidRPr="00692E59" w:rsidRDefault="00694D7B" w:rsidP="00694D7B">
      <w:pPr>
        <w:pStyle w:val="ListParagraph"/>
        <w:numPr>
          <w:ilvl w:val="0"/>
          <w:numId w:val="10"/>
        </w:numPr>
        <w:spacing w:line="276" w:lineRule="auto"/>
        <w:ind w:left="0" w:firstLine="360"/>
        <w:jc w:val="both"/>
        <w:rPr>
          <w:rFonts w:asciiTheme="majorHAnsi" w:eastAsia="Times New Roman" w:hAnsiTheme="majorHAnsi" w:cstheme="majorHAnsi"/>
          <w:i/>
          <w:sz w:val="24"/>
          <w:szCs w:val="24"/>
          <w:lang w:val="ru-MD"/>
        </w:rPr>
      </w:pPr>
      <w:r w:rsidRPr="00692E59">
        <w:rPr>
          <w:rFonts w:asciiTheme="majorHAnsi" w:hAnsiTheme="majorHAnsi" w:cstheme="majorHAnsi"/>
          <w:i/>
          <w:sz w:val="24"/>
          <w:szCs w:val="24"/>
          <w:lang w:val="ru-MD"/>
        </w:rPr>
        <w:t xml:space="preserve">Обеспечить контроль за деятельностью таможенных складов с ввозом/вывозом товаров, помещенных под режим свободной экономической зоны, с последующим осуществлением реэкспорта, что приводит к полной или частичной отмене импортно-экспортных пошлин, с целью выполнения таможенных формальностей </w:t>
      </w:r>
      <w:r w:rsidR="00E3444E" w:rsidRPr="00692E59">
        <w:rPr>
          <w:rFonts w:asciiTheme="majorHAnsi" w:hAnsiTheme="majorHAnsi" w:cstheme="majorHAnsi"/>
          <w:i/>
          <w:sz w:val="24"/>
          <w:szCs w:val="24"/>
          <w:lang w:val="ru-MD"/>
        </w:rPr>
        <w:t>(</w:t>
      </w:r>
      <w:r w:rsidR="00325700" w:rsidRPr="00692E59">
        <w:rPr>
          <w:rFonts w:asciiTheme="majorHAnsi" w:hAnsiTheme="majorHAnsi" w:cstheme="majorHAnsi"/>
          <w:i/>
          <w:sz w:val="24"/>
          <w:szCs w:val="24"/>
          <w:lang w:val="ru-MD"/>
        </w:rPr>
        <w:t>п</w:t>
      </w:r>
      <w:r w:rsidR="00E3444E" w:rsidRPr="00692E59">
        <w:rPr>
          <w:rFonts w:asciiTheme="majorHAnsi" w:hAnsiTheme="majorHAnsi" w:cstheme="majorHAnsi"/>
          <w:i/>
          <w:sz w:val="24"/>
          <w:szCs w:val="24"/>
          <w:lang w:val="ru-MD"/>
        </w:rPr>
        <w:t>.</w:t>
      </w:r>
      <w:r w:rsidR="00E4086C" w:rsidRPr="00692E59">
        <w:rPr>
          <w:rFonts w:asciiTheme="majorHAnsi" w:hAnsiTheme="majorHAnsi" w:cstheme="majorHAnsi"/>
          <w:i/>
          <w:sz w:val="24"/>
          <w:szCs w:val="24"/>
          <w:lang w:val="ru-MD"/>
        </w:rPr>
        <w:t>4.</w:t>
      </w:r>
      <w:r w:rsidR="00E3444E" w:rsidRPr="00692E59">
        <w:rPr>
          <w:rFonts w:asciiTheme="majorHAnsi" w:hAnsiTheme="majorHAnsi" w:cstheme="majorHAnsi"/>
          <w:i/>
          <w:sz w:val="24"/>
          <w:szCs w:val="24"/>
          <w:lang w:val="ru-MD"/>
        </w:rPr>
        <w:t>4.1)</w:t>
      </w:r>
      <w:r w:rsidR="00E3444E" w:rsidRPr="00692E59">
        <w:rPr>
          <w:rFonts w:asciiTheme="majorHAnsi" w:eastAsia="Times New Roman" w:hAnsiTheme="majorHAnsi" w:cstheme="majorHAnsi"/>
          <w:i/>
          <w:sz w:val="24"/>
          <w:szCs w:val="24"/>
          <w:lang w:val="ru-MD"/>
        </w:rPr>
        <w:t>.</w:t>
      </w:r>
      <w:r w:rsidR="00E3444E" w:rsidRPr="00692E59">
        <w:rPr>
          <w:rFonts w:asciiTheme="majorHAnsi" w:hAnsiTheme="majorHAnsi" w:cstheme="majorHAnsi"/>
          <w:i/>
          <w:sz w:val="24"/>
          <w:szCs w:val="24"/>
          <w:lang w:val="ru-MD"/>
        </w:rPr>
        <w:t xml:space="preserve"> </w:t>
      </w:r>
    </w:p>
    <w:p w14:paraId="7C71FCA2" w14:textId="2825F796" w:rsidR="006975EE" w:rsidRPr="00692E59" w:rsidRDefault="00694D7B" w:rsidP="00694D7B">
      <w:pPr>
        <w:pStyle w:val="ListParagraph"/>
        <w:numPr>
          <w:ilvl w:val="0"/>
          <w:numId w:val="10"/>
        </w:numPr>
        <w:spacing w:line="276" w:lineRule="auto"/>
        <w:ind w:left="0" w:firstLine="360"/>
        <w:jc w:val="both"/>
        <w:rPr>
          <w:rFonts w:asciiTheme="majorHAnsi" w:eastAsia="Times New Roman" w:hAnsiTheme="majorHAnsi" w:cstheme="majorHAnsi"/>
          <w:i/>
          <w:sz w:val="24"/>
          <w:szCs w:val="24"/>
          <w:lang w:val="ru-MD"/>
        </w:rPr>
      </w:pPr>
      <w:r w:rsidRPr="00692E59">
        <w:rPr>
          <w:rFonts w:ascii="Calibri Light" w:hAnsi="Calibri Light" w:cs="Calibri Light"/>
          <w:i/>
          <w:iCs/>
          <w:color w:val="000000"/>
          <w:sz w:val="24"/>
          <w:szCs w:val="24"/>
          <w:shd w:val="clear" w:color="auto" w:fill="FFFFFF"/>
          <w:lang w:val="ru-MD"/>
        </w:rPr>
        <w:t xml:space="preserve">Выявить финансовые источники для создания информационной системы по анализу рисков для планирования последующих контролей и на основе общего коэффициента риска, присвоенного информационной системой анализа рисков, и провести последующие контроли на основе выявленных рисков </w:t>
      </w:r>
      <w:r w:rsidR="006975EE" w:rsidRPr="00692E59">
        <w:rPr>
          <w:rFonts w:ascii="Calibri Light" w:hAnsi="Calibri Light" w:cs="Calibri Light"/>
          <w:i/>
          <w:iCs/>
          <w:color w:val="000000"/>
          <w:sz w:val="24"/>
          <w:szCs w:val="24"/>
          <w:shd w:val="clear" w:color="auto" w:fill="FFFFFF"/>
          <w:lang w:val="ru-MD"/>
        </w:rPr>
        <w:t>(</w:t>
      </w:r>
      <w:r w:rsidR="00325700" w:rsidRPr="00692E59">
        <w:rPr>
          <w:rFonts w:ascii="Calibri Light" w:hAnsi="Calibri Light" w:cs="Calibri Light"/>
          <w:i/>
          <w:iCs/>
          <w:color w:val="000000"/>
          <w:sz w:val="24"/>
          <w:szCs w:val="24"/>
          <w:shd w:val="clear" w:color="auto" w:fill="FFFFFF"/>
          <w:lang w:val="ru-MD"/>
        </w:rPr>
        <w:t>п</w:t>
      </w:r>
      <w:r w:rsidR="006975EE" w:rsidRPr="00692E59">
        <w:rPr>
          <w:rFonts w:ascii="Calibri Light" w:hAnsi="Calibri Light" w:cs="Calibri Light"/>
          <w:i/>
          <w:iCs/>
          <w:color w:val="000000"/>
          <w:sz w:val="24"/>
          <w:szCs w:val="24"/>
          <w:shd w:val="clear" w:color="auto" w:fill="FFFFFF"/>
          <w:lang w:val="ru-MD"/>
        </w:rPr>
        <w:t>.4.5.3).</w:t>
      </w:r>
    </w:p>
    <w:p w14:paraId="4BFBF33F" w14:textId="77777777" w:rsidR="009B32B4" w:rsidRPr="005F14E4" w:rsidRDefault="009B32B4" w:rsidP="0034452A">
      <w:pPr>
        <w:pStyle w:val="ListParagraph"/>
        <w:tabs>
          <w:tab w:val="left" w:pos="450"/>
        </w:tabs>
        <w:spacing w:line="276" w:lineRule="auto"/>
        <w:ind w:left="0"/>
        <w:jc w:val="both"/>
        <w:rPr>
          <w:rFonts w:asciiTheme="majorHAnsi" w:hAnsiTheme="majorHAnsi" w:cstheme="majorHAnsi"/>
          <w:sz w:val="24"/>
          <w:szCs w:val="24"/>
          <w:lang w:val="en-US"/>
        </w:rPr>
      </w:pPr>
    </w:p>
    <w:p w14:paraId="1BAF9A6C" w14:textId="45ECC264" w:rsidR="0034452A" w:rsidRPr="00B750D8" w:rsidRDefault="005F14E4" w:rsidP="00D9474C">
      <w:pPr>
        <w:spacing w:after="0"/>
        <w:rPr>
          <w:rFonts w:asciiTheme="majorHAnsi" w:eastAsia="Times New Roman" w:hAnsiTheme="majorHAnsi" w:cstheme="majorHAnsi"/>
          <w:b/>
          <w:bCs/>
          <w:iCs/>
          <w:noProof/>
          <w:sz w:val="28"/>
          <w:szCs w:val="28"/>
          <w:lang w:val="ro-RO"/>
        </w:rPr>
      </w:pPr>
      <w:bookmarkStart w:id="69" w:name="_Toc83225199"/>
      <w:bookmarkStart w:id="70" w:name="_Toc97104750"/>
      <w:r w:rsidRPr="00DE60BD">
        <w:rPr>
          <w:rFonts w:asciiTheme="majorHAnsi" w:hAnsiTheme="majorHAnsi" w:cstheme="majorHAnsi"/>
          <w:b/>
          <w:sz w:val="28"/>
          <w:szCs w:val="28"/>
          <w:lang w:val="ro-MD"/>
        </w:rPr>
        <w:t>ПОДПИСИ АУДИТОРСКОЙ ГРУППЫ</w:t>
      </w:r>
      <w:r w:rsidRPr="00B750D8">
        <w:rPr>
          <w:rFonts w:asciiTheme="majorHAnsi" w:eastAsia="Times New Roman" w:hAnsiTheme="majorHAnsi" w:cstheme="majorHAnsi"/>
          <w:b/>
          <w:bCs/>
          <w:iCs/>
          <w:noProof/>
          <w:sz w:val="28"/>
          <w:szCs w:val="28"/>
          <w:lang w:val="ro-RO"/>
        </w:rPr>
        <w:t xml:space="preserve"> </w:t>
      </w:r>
      <w:bookmarkEnd w:id="69"/>
    </w:p>
    <w:p w14:paraId="3AC3CF3E" w14:textId="77777777" w:rsidR="0034452A" w:rsidRPr="00B20FBD" w:rsidRDefault="0034452A" w:rsidP="001D51C7">
      <w:pPr>
        <w:spacing w:after="0"/>
        <w:jc w:val="center"/>
        <w:outlineLvl w:val="0"/>
        <w:rPr>
          <w:rFonts w:asciiTheme="majorHAnsi" w:eastAsia="Times New Roman" w:hAnsiTheme="majorHAnsi" w:cstheme="majorHAnsi"/>
          <w:b/>
          <w:bCs/>
          <w:iCs/>
          <w:noProof/>
          <w:sz w:val="24"/>
          <w:szCs w:val="24"/>
          <w:lang w:val="ro-RO"/>
        </w:rPr>
      </w:pPr>
    </w:p>
    <w:p w14:paraId="04F2453C" w14:textId="2A095873" w:rsidR="0034452A" w:rsidRPr="00B20FBD" w:rsidRDefault="005F14E4" w:rsidP="0034452A">
      <w:pPr>
        <w:spacing w:after="0"/>
        <w:jc w:val="both"/>
        <w:rPr>
          <w:rFonts w:asciiTheme="majorHAnsi" w:eastAsia="Times New Roman" w:hAnsiTheme="majorHAnsi" w:cstheme="majorHAnsi"/>
          <w:b/>
          <w:i/>
          <w:noProof/>
          <w:sz w:val="24"/>
          <w:szCs w:val="24"/>
          <w:lang w:val="ro-RO"/>
        </w:rPr>
      </w:pPr>
      <w:r w:rsidRPr="005F14E4">
        <w:rPr>
          <w:rFonts w:asciiTheme="majorHAnsi" w:eastAsia="Times New Roman" w:hAnsiTheme="majorHAnsi" w:cstheme="majorHAnsi"/>
          <w:b/>
          <w:i/>
          <w:noProof/>
          <w:sz w:val="24"/>
          <w:szCs w:val="24"/>
          <w:lang w:val="ro-MD"/>
        </w:rPr>
        <w:t>Ответственны</w:t>
      </w:r>
      <w:r>
        <w:rPr>
          <w:rFonts w:asciiTheme="majorHAnsi" w:eastAsia="Times New Roman" w:hAnsiTheme="majorHAnsi" w:cstheme="majorHAnsi"/>
          <w:b/>
          <w:i/>
          <w:noProof/>
          <w:sz w:val="24"/>
          <w:szCs w:val="24"/>
        </w:rPr>
        <w:t>й</w:t>
      </w:r>
      <w:r w:rsidRPr="005F14E4">
        <w:rPr>
          <w:rFonts w:asciiTheme="majorHAnsi" w:eastAsia="Times New Roman" w:hAnsiTheme="majorHAnsi" w:cstheme="majorHAnsi"/>
          <w:b/>
          <w:i/>
          <w:noProof/>
          <w:sz w:val="24"/>
          <w:szCs w:val="24"/>
          <w:lang w:val="ro-MD"/>
        </w:rPr>
        <w:t xml:space="preserve"> за </w:t>
      </w:r>
      <w:r w:rsidRPr="005F14E4">
        <w:rPr>
          <w:rFonts w:asciiTheme="majorHAnsi" w:eastAsia="Times New Roman" w:hAnsiTheme="majorHAnsi" w:cstheme="majorHAnsi"/>
          <w:b/>
          <w:i/>
          <w:noProof/>
          <w:sz w:val="24"/>
          <w:szCs w:val="24"/>
          <w:lang w:val="ro-RO"/>
        </w:rPr>
        <w:t>составление</w:t>
      </w:r>
      <w:r w:rsidRPr="005F14E4">
        <w:rPr>
          <w:rFonts w:asciiTheme="majorHAnsi" w:eastAsia="Times New Roman" w:hAnsiTheme="majorHAnsi" w:cstheme="majorHAnsi"/>
          <w:b/>
          <w:i/>
          <w:noProof/>
          <w:sz w:val="24"/>
          <w:szCs w:val="24"/>
          <w:lang w:val="ro-MD"/>
        </w:rPr>
        <w:t xml:space="preserve"> </w:t>
      </w:r>
      <w:r w:rsidRPr="005F14E4">
        <w:rPr>
          <w:rFonts w:asciiTheme="majorHAnsi" w:eastAsia="Times New Roman" w:hAnsiTheme="majorHAnsi" w:cstheme="majorHAnsi"/>
          <w:b/>
          <w:i/>
          <w:noProof/>
          <w:sz w:val="24"/>
          <w:szCs w:val="24"/>
          <w:lang w:val="ro-RO"/>
        </w:rPr>
        <w:t>Отчета аудита</w:t>
      </w:r>
      <w:r w:rsidR="0034452A" w:rsidRPr="00B20FBD">
        <w:rPr>
          <w:rFonts w:asciiTheme="majorHAnsi" w:eastAsia="Times New Roman" w:hAnsiTheme="majorHAnsi" w:cstheme="majorHAnsi"/>
          <w:b/>
          <w:i/>
          <w:noProof/>
          <w:sz w:val="24"/>
          <w:szCs w:val="24"/>
          <w:lang w:val="ro-RO"/>
        </w:rPr>
        <w:t xml:space="preserve">:  </w:t>
      </w:r>
    </w:p>
    <w:p w14:paraId="79B6C5A1" w14:textId="4D9BE9B2" w:rsidR="005F14E4" w:rsidRPr="00872F4C" w:rsidRDefault="005F14E4" w:rsidP="005F14E4">
      <w:pPr>
        <w:spacing w:after="0" w:line="240" w:lineRule="auto"/>
        <w:jc w:val="both"/>
        <w:rPr>
          <w:rFonts w:asciiTheme="majorHAnsi" w:hAnsiTheme="majorHAnsi" w:cstheme="majorHAnsi"/>
          <w:sz w:val="24"/>
          <w:szCs w:val="24"/>
          <w:lang w:val="ro-MD"/>
        </w:rPr>
      </w:pPr>
    </w:p>
    <w:p w14:paraId="5D56BBC1" w14:textId="65CFB243" w:rsidR="0034452A" w:rsidRPr="00B20FBD" w:rsidRDefault="005F14E4" w:rsidP="005F14E4">
      <w:pPr>
        <w:spacing w:after="0"/>
        <w:jc w:val="both"/>
        <w:rPr>
          <w:rFonts w:asciiTheme="majorHAnsi" w:eastAsia="Times New Roman" w:hAnsiTheme="majorHAnsi" w:cstheme="majorHAnsi"/>
          <w:noProof/>
          <w:sz w:val="24"/>
          <w:szCs w:val="24"/>
          <w:lang w:val="ro-RO"/>
        </w:rPr>
      </w:pPr>
      <w:r>
        <w:rPr>
          <w:rFonts w:asciiTheme="majorHAnsi" w:hAnsiTheme="majorHAnsi" w:cstheme="majorHAnsi"/>
          <w:sz w:val="24"/>
          <w:szCs w:val="24"/>
        </w:rPr>
        <w:t>Руководитель аудиторской группы</w:t>
      </w:r>
      <w:r w:rsidR="0034452A" w:rsidRPr="00B20FBD">
        <w:rPr>
          <w:rFonts w:asciiTheme="majorHAnsi" w:eastAsia="Times New Roman" w:hAnsiTheme="majorHAnsi" w:cstheme="majorHAnsi"/>
          <w:noProof/>
          <w:sz w:val="24"/>
          <w:szCs w:val="24"/>
          <w:lang w:val="ro-RO"/>
        </w:rPr>
        <w:t>,</w:t>
      </w:r>
    </w:p>
    <w:p w14:paraId="636DB45A" w14:textId="2A0B0D8B" w:rsidR="0034452A" w:rsidRPr="00B20FBD" w:rsidRDefault="005F14E4" w:rsidP="0034452A">
      <w:pPr>
        <w:spacing w:after="0"/>
        <w:jc w:val="both"/>
        <w:rPr>
          <w:rFonts w:asciiTheme="majorHAnsi" w:eastAsia="Times New Roman" w:hAnsiTheme="majorHAnsi" w:cstheme="majorHAnsi"/>
          <w:noProof/>
          <w:sz w:val="24"/>
          <w:szCs w:val="24"/>
          <w:lang w:val="ro-RO"/>
        </w:rPr>
      </w:pPr>
      <w:r>
        <w:rPr>
          <w:rFonts w:asciiTheme="majorHAnsi" w:eastAsia="Times New Roman" w:hAnsiTheme="majorHAnsi" w:cstheme="majorHAnsi"/>
          <w:noProof/>
          <w:sz w:val="24"/>
          <w:szCs w:val="24"/>
        </w:rPr>
        <w:t>Начальник Управления аудита</w:t>
      </w:r>
      <w:r w:rsidR="0034452A" w:rsidRPr="00B20FBD">
        <w:rPr>
          <w:rFonts w:asciiTheme="majorHAnsi" w:eastAsia="Times New Roman" w:hAnsiTheme="majorHAnsi" w:cstheme="majorHAnsi"/>
          <w:noProof/>
          <w:sz w:val="24"/>
          <w:szCs w:val="24"/>
          <w:lang w:val="ro-RO"/>
        </w:rPr>
        <w:t xml:space="preserve"> III </w:t>
      </w:r>
      <w:r>
        <w:rPr>
          <w:rFonts w:asciiTheme="majorHAnsi" w:eastAsia="Times New Roman" w:hAnsiTheme="majorHAnsi" w:cstheme="majorHAnsi"/>
          <w:noProof/>
          <w:sz w:val="24"/>
          <w:szCs w:val="24"/>
        </w:rPr>
        <w:t>в рамках</w:t>
      </w:r>
      <w:r w:rsidR="0034452A" w:rsidRPr="00B20FBD">
        <w:rPr>
          <w:rFonts w:asciiTheme="majorHAnsi" w:eastAsia="Times New Roman" w:hAnsiTheme="majorHAnsi" w:cstheme="majorHAnsi"/>
          <w:noProof/>
          <w:sz w:val="24"/>
          <w:szCs w:val="24"/>
          <w:lang w:val="ro-RO"/>
        </w:rPr>
        <w:t xml:space="preserve"> </w:t>
      </w:r>
    </w:p>
    <w:p w14:paraId="02ACC75A" w14:textId="0D425432" w:rsidR="0034452A" w:rsidRPr="00B20FBD" w:rsidRDefault="005F14E4" w:rsidP="0034452A">
      <w:pPr>
        <w:spacing w:after="0"/>
        <w:jc w:val="both"/>
        <w:rPr>
          <w:rFonts w:asciiTheme="majorHAnsi" w:eastAsia="Times New Roman" w:hAnsiTheme="majorHAnsi" w:cstheme="majorHAnsi"/>
          <w:b/>
          <w:noProof/>
          <w:sz w:val="24"/>
          <w:szCs w:val="24"/>
          <w:lang w:val="ro-RO"/>
        </w:rPr>
      </w:pPr>
      <w:r>
        <w:rPr>
          <w:rFonts w:asciiTheme="majorHAnsi" w:hAnsiTheme="majorHAnsi" w:cstheme="majorHAnsi"/>
          <w:sz w:val="24"/>
          <w:szCs w:val="24"/>
        </w:rPr>
        <w:t>Главного управления аудита</w:t>
      </w:r>
      <w:r w:rsidRPr="00B20FBD">
        <w:rPr>
          <w:rFonts w:asciiTheme="majorHAnsi" w:hAnsiTheme="majorHAnsi" w:cstheme="majorHAnsi"/>
          <w:noProof/>
          <w:sz w:val="24"/>
          <w:szCs w:val="24"/>
          <w:lang w:val="ro-RO"/>
        </w:rPr>
        <w:t xml:space="preserve"> </w:t>
      </w:r>
      <w:r w:rsidR="0034452A" w:rsidRPr="00B20FBD">
        <w:rPr>
          <w:rFonts w:asciiTheme="majorHAnsi" w:hAnsiTheme="majorHAnsi" w:cstheme="majorHAnsi"/>
          <w:noProof/>
          <w:sz w:val="24"/>
          <w:szCs w:val="24"/>
          <w:lang w:val="ro-RO"/>
        </w:rPr>
        <w:t xml:space="preserve">I, </w:t>
      </w:r>
      <w:r>
        <w:rPr>
          <w:rFonts w:asciiTheme="majorHAnsi" w:hAnsiTheme="majorHAnsi" w:cstheme="majorHAnsi"/>
          <w:sz w:val="24"/>
          <w:szCs w:val="24"/>
        </w:rPr>
        <w:t>публичный аудитор</w:t>
      </w:r>
      <w:r w:rsidR="0034452A" w:rsidRPr="00B20FBD">
        <w:rPr>
          <w:rFonts w:asciiTheme="majorHAnsi" w:eastAsia="Times New Roman" w:hAnsiTheme="majorHAnsi" w:cstheme="majorHAnsi"/>
          <w:noProof/>
          <w:sz w:val="24"/>
          <w:szCs w:val="24"/>
          <w:lang w:val="ro-RO"/>
        </w:rPr>
        <w:tab/>
        <w:t xml:space="preserve">                         </w:t>
      </w:r>
      <w:r w:rsidRPr="005F14E4">
        <w:rPr>
          <w:rFonts w:asciiTheme="majorHAnsi" w:eastAsia="Times New Roman" w:hAnsiTheme="majorHAnsi" w:cstheme="majorHAnsi"/>
          <w:b/>
          <w:noProof/>
          <w:sz w:val="24"/>
          <w:szCs w:val="24"/>
        </w:rPr>
        <w:t>Виктор Мунтяну</w:t>
      </w:r>
    </w:p>
    <w:p w14:paraId="39687554" w14:textId="1F6B522C" w:rsidR="0034452A" w:rsidRPr="00B20FBD" w:rsidRDefault="0034452A" w:rsidP="0034452A">
      <w:pPr>
        <w:spacing w:after="0"/>
        <w:jc w:val="both"/>
        <w:rPr>
          <w:rFonts w:asciiTheme="majorHAnsi" w:eastAsia="Times New Roman" w:hAnsiTheme="majorHAnsi" w:cstheme="majorHAnsi"/>
          <w:b/>
          <w:noProof/>
          <w:sz w:val="24"/>
          <w:szCs w:val="24"/>
          <w:lang w:val="ro-RO"/>
        </w:rPr>
      </w:pPr>
      <w:r w:rsidRPr="00B20FBD">
        <w:rPr>
          <w:rFonts w:asciiTheme="majorHAnsi" w:eastAsia="Times New Roman" w:hAnsiTheme="majorHAnsi" w:cstheme="majorHAnsi"/>
          <w:noProof/>
          <w:sz w:val="24"/>
          <w:szCs w:val="24"/>
          <w:lang w:val="ro-RO"/>
        </w:rPr>
        <w:t xml:space="preserve">                            </w:t>
      </w:r>
    </w:p>
    <w:p w14:paraId="7769E2BE" w14:textId="77777777" w:rsidR="0034452A" w:rsidRPr="00B20FBD" w:rsidRDefault="0034452A" w:rsidP="0034452A">
      <w:pPr>
        <w:tabs>
          <w:tab w:val="left" w:pos="1080"/>
        </w:tabs>
        <w:spacing w:line="240" w:lineRule="auto"/>
        <w:contextualSpacing/>
        <w:jc w:val="both"/>
        <w:rPr>
          <w:rFonts w:asciiTheme="majorHAnsi" w:eastAsia="Times New Roman" w:hAnsiTheme="majorHAnsi" w:cstheme="majorHAnsi"/>
          <w:noProof/>
          <w:sz w:val="24"/>
          <w:szCs w:val="24"/>
          <w:lang w:val="ro-RO"/>
        </w:rPr>
      </w:pPr>
    </w:p>
    <w:p w14:paraId="342C91F4" w14:textId="5E015DD0" w:rsidR="0034452A" w:rsidRPr="00B20FBD" w:rsidRDefault="005F14E4" w:rsidP="0034452A">
      <w:pPr>
        <w:tabs>
          <w:tab w:val="left" w:pos="1080"/>
        </w:tabs>
        <w:spacing w:line="240" w:lineRule="auto"/>
        <w:contextualSpacing/>
        <w:jc w:val="both"/>
        <w:rPr>
          <w:rFonts w:asciiTheme="majorHAnsi" w:eastAsia="Times New Roman" w:hAnsiTheme="majorHAnsi" w:cstheme="majorHAnsi"/>
          <w:b/>
          <w:noProof/>
          <w:sz w:val="24"/>
          <w:szCs w:val="24"/>
          <w:lang w:val="ro-RO"/>
        </w:rPr>
      </w:pPr>
      <w:r>
        <w:rPr>
          <w:rFonts w:asciiTheme="majorHAnsi" w:hAnsiTheme="majorHAnsi" w:cstheme="majorHAnsi"/>
          <w:sz w:val="24"/>
          <w:szCs w:val="24"/>
        </w:rPr>
        <w:t>Главный публичный аудитор</w:t>
      </w:r>
      <w:r w:rsidR="0034452A" w:rsidRPr="00B20FBD">
        <w:rPr>
          <w:rFonts w:asciiTheme="majorHAnsi" w:eastAsia="Times New Roman" w:hAnsiTheme="majorHAnsi" w:cstheme="majorHAnsi"/>
          <w:noProof/>
          <w:sz w:val="24"/>
          <w:szCs w:val="24"/>
          <w:lang w:val="ro-RO"/>
        </w:rPr>
        <w:tab/>
      </w:r>
      <w:r w:rsidR="0034452A" w:rsidRPr="00B20FBD">
        <w:rPr>
          <w:rFonts w:asciiTheme="majorHAnsi" w:eastAsia="Times New Roman" w:hAnsiTheme="majorHAnsi" w:cstheme="majorHAnsi"/>
          <w:noProof/>
          <w:sz w:val="24"/>
          <w:szCs w:val="24"/>
          <w:lang w:val="ro-RO"/>
        </w:rPr>
        <w:tab/>
      </w:r>
      <w:r w:rsidR="0034452A" w:rsidRPr="00B20FBD">
        <w:rPr>
          <w:rFonts w:asciiTheme="majorHAnsi" w:eastAsia="Times New Roman" w:hAnsiTheme="majorHAnsi" w:cstheme="majorHAnsi"/>
          <w:noProof/>
          <w:sz w:val="24"/>
          <w:szCs w:val="24"/>
          <w:lang w:val="ro-RO"/>
        </w:rPr>
        <w:tab/>
      </w:r>
      <w:r w:rsidR="0034452A" w:rsidRPr="00B20FBD">
        <w:rPr>
          <w:rFonts w:asciiTheme="majorHAnsi" w:eastAsia="Times New Roman" w:hAnsiTheme="majorHAnsi" w:cstheme="majorHAnsi"/>
          <w:noProof/>
          <w:sz w:val="24"/>
          <w:szCs w:val="24"/>
          <w:lang w:val="ro-RO"/>
        </w:rPr>
        <w:tab/>
      </w:r>
      <w:r w:rsidR="0034452A" w:rsidRPr="00B20FBD">
        <w:rPr>
          <w:rFonts w:asciiTheme="majorHAnsi" w:eastAsia="Times New Roman" w:hAnsiTheme="majorHAnsi" w:cstheme="majorHAnsi"/>
          <w:b/>
          <w:noProof/>
          <w:sz w:val="24"/>
          <w:szCs w:val="24"/>
          <w:lang w:val="ro-RO"/>
        </w:rPr>
        <w:t xml:space="preserve">                          </w:t>
      </w:r>
      <w:r>
        <w:rPr>
          <w:rFonts w:asciiTheme="majorHAnsi" w:eastAsia="Times New Roman" w:hAnsiTheme="majorHAnsi" w:cstheme="majorHAnsi"/>
          <w:b/>
          <w:noProof/>
          <w:sz w:val="24"/>
          <w:szCs w:val="24"/>
        </w:rPr>
        <w:t>Вера Георгицэ</w:t>
      </w:r>
    </w:p>
    <w:p w14:paraId="2CE80C18" w14:textId="77777777" w:rsidR="0034452A" w:rsidRPr="00B20FBD" w:rsidRDefault="0034452A" w:rsidP="0034452A">
      <w:pPr>
        <w:tabs>
          <w:tab w:val="left" w:pos="1080"/>
        </w:tabs>
        <w:spacing w:line="240" w:lineRule="auto"/>
        <w:contextualSpacing/>
        <w:jc w:val="both"/>
        <w:rPr>
          <w:rFonts w:asciiTheme="majorHAnsi" w:eastAsia="Times New Roman" w:hAnsiTheme="majorHAnsi" w:cstheme="majorHAnsi"/>
          <w:b/>
          <w:noProof/>
          <w:sz w:val="24"/>
          <w:szCs w:val="24"/>
          <w:lang w:val="ro-RO"/>
        </w:rPr>
      </w:pPr>
    </w:p>
    <w:p w14:paraId="5D24AF03" w14:textId="77777777" w:rsidR="0034452A" w:rsidRPr="00B20FBD" w:rsidRDefault="0034452A" w:rsidP="0034452A">
      <w:pPr>
        <w:tabs>
          <w:tab w:val="left" w:pos="1080"/>
        </w:tabs>
        <w:spacing w:line="240" w:lineRule="auto"/>
        <w:contextualSpacing/>
        <w:jc w:val="both"/>
        <w:rPr>
          <w:rFonts w:asciiTheme="majorHAnsi" w:eastAsia="Times New Roman" w:hAnsiTheme="majorHAnsi" w:cstheme="majorHAnsi"/>
          <w:noProof/>
          <w:sz w:val="24"/>
          <w:szCs w:val="24"/>
          <w:lang w:val="ro-RO"/>
        </w:rPr>
      </w:pPr>
    </w:p>
    <w:p w14:paraId="635AEC11" w14:textId="3E3F048D" w:rsidR="0034452A" w:rsidRPr="00B20FBD" w:rsidRDefault="005F14E4" w:rsidP="0034452A">
      <w:pPr>
        <w:tabs>
          <w:tab w:val="left" w:pos="1080"/>
        </w:tabs>
        <w:spacing w:line="240" w:lineRule="auto"/>
        <w:contextualSpacing/>
        <w:jc w:val="both"/>
        <w:rPr>
          <w:rFonts w:asciiTheme="majorHAnsi" w:eastAsia="Times New Roman" w:hAnsiTheme="majorHAnsi" w:cstheme="majorHAnsi"/>
          <w:b/>
          <w:noProof/>
          <w:sz w:val="24"/>
          <w:szCs w:val="24"/>
          <w:lang w:val="ro-RO"/>
        </w:rPr>
      </w:pPr>
      <w:r>
        <w:rPr>
          <w:rFonts w:asciiTheme="majorHAnsi" w:hAnsiTheme="majorHAnsi" w:cstheme="majorHAnsi"/>
          <w:sz w:val="24"/>
          <w:szCs w:val="24"/>
        </w:rPr>
        <w:t>Публичный аудитор</w:t>
      </w:r>
      <w:r w:rsidR="0034452A" w:rsidRPr="00B20FBD">
        <w:rPr>
          <w:rFonts w:asciiTheme="majorHAnsi" w:eastAsia="Times New Roman" w:hAnsiTheme="majorHAnsi" w:cstheme="majorHAnsi"/>
          <w:noProof/>
          <w:sz w:val="24"/>
          <w:szCs w:val="24"/>
          <w:lang w:val="ro-RO"/>
        </w:rPr>
        <w:tab/>
      </w:r>
      <w:r w:rsidR="0034452A" w:rsidRPr="00B20FBD">
        <w:rPr>
          <w:rFonts w:asciiTheme="majorHAnsi" w:eastAsia="Times New Roman" w:hAnsiTheme="majorHAnsi" w:cstheme="majorHAnsi"/>
          <w:noProof/>
          <w:sz w:val="24"/>
          <w:szCs w:val="24"/>
          <w:lang w:val="ro-RO"/>
        </w:rPr>
        <w:tab/>
      </w:r>
      <w:r w:rsidR="0034452A" w:rsidRPr="00B20FBD">
        <w:rPr>
          <w:rFonts w:asciiTheme="majorHAnsi" w:eastAsia="Times New Roman" w:hAnsiTheme="majorHAnsi" w:cstheme="majorHAnsi"/>
          <w:noProof/>
          <w:sz w:val="24"/>
          <w:szCs w:val="24"/>
          <w:lang w:val="ro-RO"/>
        </w:rPr>
        <w:tab/>
      </w:r>
      <w:r w:rsidR="0034452A" w:rsidRPr="00B20FBD">
        <w:rPr>
          <w:rFonts w:asciiTheme="majorHAnsi" w:eastAsia="Times New Roman" w:hAnsiTheme="majorHAnsi" w:cstheme="majorHAnsi"/>
          <w:noProof/>
          <w:sz w:val="24"/>
          <w:szCs w:val="24"/>
          <w:lang w:val="ro-RO"/>
        </w:rPr>
        <w:tab/>
      </w:r>
      <w:r w:rsidR="0034452A" w:rsidRPr="00B20FBD">
        <w:rPr>
          <w:rFonts w:asciiTheme="majorHAnsi" w:eastAsia="Times New Roman" w:hAnsiTheme="majorHAnsi" w:cstheme="majorHAnsi"/>
          <w:b/>
          <w:noProof/>
          <w:sz w:val="24"/>
          <w:szCs w:val="24"/>
          <w:lang w:val="ro-RO"/>
        </w:rPr>
        <w:t xml:space="preserve">                                                     </w:t>
      </w:r>
      <w:r>
        <w:rPr>
          <w:rFonts w:asciiTheme="majorHAnsi" w:eastAsia="Times New Roman" w:hAnsiTheme="majorHAnsi" w:cstheme="majorHAnsi"/>
          <w:b/>
          <w:noProof/>
          <w:sz w:val="24"/>
          <w:szCs w:val="24"/>
        </w:rPr>
        <w:t>Игор Густой</w:t>
      </w:r>
    </w:p>
    <w:p w14:paraId="321F2A2F" w14:textId="77777777" w:rsidR="0034452A" w:rsidRPr="00B20FBD" w:rsidRDefault="0034452A" w:rsidP="0034452A">
      <w:pPr>
        <w:tabs>
          <w:tab w:val="left" w:pos="1080"/>
        </w:tabs>
        <w:spacing w:line="240" w:lineRule="auto"/>
        <w:contextualSpacing/>
        <w:jc w:val="both"/>
        <w:rPr>
          <w:rFonts w:asciiTheme="majorHAnsi" w:eastAsia="Times New Roman" w:hAnsiTheme="majorHAnsi" w:cstheme="majorHAnsi"/>
          <w:b/>
          <w:noProof/>
          <w:sz w:val="24"/>
          <w:szCs w:val="24"/>
          <w:lang w:val="ro-RO"/>
        </w:rPr>
      </w:pPr>
    </w:p>
    <w:p w14:paraId="155A4C1A" w14:textId="77777777" w:rsidR="0034452A" w:rsidRPr="00B20FBD" w:rsidRDefault="0034452A" w:rsidP="0034452A">
      <w:pPr>
        <w:tabs>
          <w:tab w:val="left" w:pos="7513"/>
        </w:tabs>
        <w:spacing w:after="0"/>
        <w:rPr>
          <w:rFonts w:asciiTheme="majorHAnsi" w:eastAsia="Times New Roman" w:hAnsiTheme="majorHAnsi" w:cstheme="majorHAnsi"/>
          <w:b/>
          <w:i/>
          <w:iCs/>
          <w:noProof/>
          <w:sz w:val="24"/>
          <w:szCs w:val="24"/>
          <w:lang w:val="ro-RO"/>
        </w:rPr>
      </w:pPr>
    </w:p>
    <w:p w14:paraId="44262BEE" w14:textId="70DA16B4" w:rsidR="0034452A" w:rsidRPr="005F14E4" w:rsidRDefault="005F14E4" w:rsidP="0034452A">
      <w:pPr>
        <w:tabs>
          <w:tab w:val="left" w:pos="7513"/>
        </w:tabs>
        <w:spacing w:after="0"/>
        <w:rPr>
          <w:rFonts w:asciiTheme="majorHAnsi" w:eastAsia="Times New Roman" w:hAnsiTheme="majorHAnsi" w:cstheme="majorHAnsi"/>
          <w:b/>
          <w:i/>
          <w:iCs/>
          <w:noProof/>
          <w:sz w:val="24"/>
          <w:szCs w:val="24"/>
          <w:lang w:val="ru-MD"/>
        </w:rPr>
      </w:pPr>
      <w:r w:rsidRPr="005F14E4">
        <w:rPr>
          <w:rFonts w:asciiTheme="majorHAnsi" w:eastAsia="Times New Roman" w:hAnsiTheme="majorHAnsi" w:cstheme="majorHAnsi"/>
          <w:b/>
          <w:i/>
          <w:iCs/>
          <w:noProof/>
          <w:sz w:val="24"/>
          <w:szCs w:val="24"/>
          <w:lang w:val="ru-MD"/>
        </w:rPr>
        <w:t>Ответственный за мониторинг и обеспечение качества аудита</w:t>
      </w:r>
      <w:r w:rsidR="0034452A" w:rsidRPr="005F14E4">
        <w:rPr>
          <w:rFonts w:asciiTheme="majorHAnsi" w:eastAsia="Times New Roman" w:hAnsiTheme="majorHAnsi" w:cstheme="majorHAnsi"/>
          <w:b/>
          <w:i/>
          <w:iCs/>
          <w:noProof/>
          <w:sz w:val="24"/>
          <w:szCs w:val="24"/>
          <w:lang w:val="ru-MD"/>
        </w:rPr>
        <w:t xml:space="preserve">: </w:t>
      </w:r>
    </w:p>
    <w:p w14:paraId="0EB174BE" w14:textId="0D35C794" w:rsidR="00627404" w:rsidRDefault="005F14E4" w:rsidP="0034452A">
      <w:pPr>
        <w:tabs>
          <w:tab w:val="left" w:pos="7513"/>
        </w:tabs>
        <w:spacing w:after="0"/>
        <w:rPr>
          <w:rFonts w:asciiTheme="majorHAnsi" w:eastAsia="Times New Roman" w:hAnsiTheme="majorHAnsi" w:cstheme="majorHAnsi"/>
          <w:bCs/>
          <w:noProof/>
          <w:sz w:val="24"/>
          <w:szCs w:val="24"/>
          <w:lang w:val="ro-RO"/>
        </w:rPr>
      </w:pPr>
      <w:r w:rsidRPr="005F14E4">
        <w:rPr>
          <w:rFonts w:asciiTheme="majorHAnsi" w:eastAsia="Times New Roman" w:hAnsiTheme="majorHAnsi" w:cstheme="majorHAnsi"/>
          <w:bCs/>
          <w:noProof/>
          <w:sz w:val="24"/>
          <w:szCs w:val="24"/>
          <w:lang w:val="ru-MD"/>
        </w:rPr>
        <w:t xml:space="preserve">Начальник </w:t>
      </w:r>
      <w:r w:rsidRPr="005F14E4">
        <w:rPr>
          <w:rFonts w:asciiTheme="majorHAnsi" w:hAnsiTheme="majorHAnsi" w:cstheme="majorHAnsi"/>
          <w:sz w:val="24"/>
          <w:szCs w:val="24"/>
          <w:lang w:val="ru-MD"/>
        </w:rPr>
        <w:t>Главного управления аудита</w:t>
      </w:r>
      <w:r w:rsidRPr="005F14E4">
        <w:rPr>
          <w:rFonts w:asciiTheme="majorHAnsi" w:hAnsiTheme="majorHAnsi" w:cstheme="majorHAnsi"/>
          <w:noProof/>
          <w:sz w:val="24"/>
          <w:szCs w:val="24"/>
          <w:lang w:val="ru-MD"/>
        </w:rPr>
        <w:t xml:space="preserve"> I, </w:t>
      </w:r>
      <w:r w:rsidRPr="005F14E4">
        <w:rPr>
          <w:rFonts w:asciiTheme="majorHAnsi" w:hAnsiTheme="majorHAnsi" w:cstheme="majorHAnsi"/>
          <w:sz w:val="24"/>
          <w:szCs w:val="24"/>
          <w:lang w:val="ru-MD"/>
        </w:rPr>
        <w:t xml:space="preserve">публичный аудитор  </w:t>
      </w:r>
      <w:r w:rsidR="0034452A" w:rsidRPr="005F14E4">
        <w:rPr>
          <w:rFonts w:asciiTheme="majorHAnsi" w:eastAsia="Times New Roman" w:hAnsiTheme="majorHAnsi" w:cstheme="majorHAnsi"/>
          <w:noProof/>
          <w:sz w:val="24"/>
          <w:szCs w:val="24"/>
          <w:lang w:val="ru-MD"/>
        </w:rPr>
        <w:t xml:space="preserve">                 </w:t>
      </w:r>
      <w:r w:rsidRPr="005F14E4">
        <w:rPr>
          <w:rFonts w:asciiTheme="majorHAnsi" w:eastAsia="Times New Roman" w:hAnsiTheme="majorHAnsi" w:cstheme="majorHAnsi"/>
          <w:b/>
          <w:noProof/>
          <w:sz w:val="24"/>
          <w:szCs w:val="24"/>
          <w:lang w:val="ru-MD"/>
        </w:rPr>
        <w:t>Наталья Трофим</w:t>
      </w:r>
      <w:r w:rsidR="0034452A" w:rsidRPr="00B20FBD">
        <w:rPr>
          <w:rFonts w:asciiTheme="majorHAnsi" w:eastAsia="Times New Roman" w:hAnsiTheme="majorHAnsi" w:cstheme="majorHAnsi"/>
          <w:bCs/>
          <w:noProof/>
          <w:sz w:val="24"/>
          <w:szCs w:val="24"/>
          <w:lang w:val="ro-RO"/>
        </w:rPr>
        <w:t xml:space="preserve"> </w:t>
      </w:r>
      <w:r w:rsidR="00627404">
        <w:rPr>
          <w:rFonts w:asciiTheme="majorHAnsi" w:eastAsia="Times New Roman" w:hAnsiTheme="majorHAnsi" w:cstheme="majorHAnsi"/>
          <w:bCs/>
          <w:noProof/>
          <w:sz w:val="24"/>
          <w:szCs w:val="24"/>
          <w:lang w:val="ro-RO"/>
        </w:rPr>
        <w:br w:type="page"/>
      </w:r>
    </w:p>
    <w:p w14:paraId="278E11A6" w14:textId="11DE089E" w:rsidR="0034452A" w:rsidRPr="00B750D8" w:rsidRDefault="0034452A" w:rsidP="005B04D3">
      <w:pPr>
        <w:tabs>
          <w:tab w:val="left" w:pos="7513"/>
        </w:tabs>
        <w:spacing w:after="0"/>
        <w:jc w:val="center"/>
        <w:outlineLvl w:val="0"/>
        <w:rPr>
          <w:rFonts w:asciiTheme="majorHAnsi" w:hAnsiTheme="majorHAnsi" w:cstheme="majorHAnsi"/>
          <w:b/>
          <w:noProof/>
          <w:sz w:val="28"/>
          <w:szCs w:val="28"/>
          <w:lang w:val="ro-RO"/>
        </w:rPr>
      </w:pPr>
      <w:bookmarkStart w:id="71" w:name="_Toc127129421"/>
      <w:r w:rsidRPr="00B750D8">
        <w:rPr>
          <w:rFonts w:asciiTheme="majorHAnsi" w:hAnsiTheme="majorHAnsi" w:cstheme="majorHAnsi"/>
          <w:b/>
          <w:noProof/>
          <w:sz w:val="28"/>
          <w:szCs w:val="28"/>
          <w:lang w:val="ro-RO"/>
        </w:rPr>
        <w:t xml:space="preserve">VII. </w:t>
      </w:r>
      <w:r w:rsidR="00A333DC">
        <w:rPr>
          <w:rFonts w:asciiTheme="majorHAnsi" w:hAnsiTheme="majorHAnsi" w:cstheme="majorHAnsi"/>
          <w:b/>
          <w:noProof/>
          <w:sz w:val="28"/>
          <w:szCs w:val="28"/>
        </w:rPr>
        <w:t>ПРИЛОЖЕНИЯ</w:t>
      </w:r>
      <w:bookmarkEnd w:id="71"/>
    </w:p>
    <w:p w14:paraId="1047E7BF" w14:textId="77777777" w:rsidR="0034452A" w:rsidRPr="00B20FBD" w:rsidRDefault="0034452A" w:rsidP="000126B4">
      <w:pPr>
        <w:jc w:val="center"/>
        <w:rPr>
          <w:rFonts w:asciiTheme="majorHAnsi" w:hAnsiTheme="majorHAnsi" w:cstheme="majorHAnsi"/>
          <w:i/>
          <w:noProof/>
          <w:sz w:val="24"/>
          <w:szCs w:val="24"/>
          <w:lang w:val="ro-RO"/>
        </w:rPr>
      </w:pPr>
      <w:r w:rsidRPr="00B20FBD">
        <w:rPr>
          <w:rFonts w:asciiTheme="majorHAnsi" w:hAnsiTheme="majorHAnsi" w:cstheme="majorHAnsi"/>
          <w:b/>
          <w:i/>
          <w:noProof/>
          <w:sz w:val="24"/>
          <w:szCs w:val="24"/>
          <w:lang w:val="ro-RO"/>
        </w:rPr>
        <w:t xml:space="preserve">                                                                                                        </w:t>
      </w:r>
      <w:bookmarkStart w:id="72" w:name="_Toc83225200"/>
      <w:r w:rsidRPr="00B20FBD">
        <w:rPr>
          <w:rFonts w:asciiTheme="majorHAnsi" w:hAnsiTheme="majorHAnsi" w:cstheme="majorHAnsi"/>
          <w:b/>
          <w:i/>
          <w:noProof/>
          <w:sz w:val="24"/>
          <w:szCs w:val="24"/>
          <w:lang w:val="ro-RO"/>
        </w:rPr>
        <w:t xml:space="preserve">                              </w:t>
      </w:r>
      <w:r w:rsidRPr="00B20FBD">
        <w:rPr>
          <w:rFonts w:asciiTheme="majorHAnsi" w:hAnsiTheme="majorHAnsi" w:cstheme="majorHAnsi"/>
          <w:i/>
          <w:noProof/>
          <w:sz w:val="24"/>
          <w:szCs w:val="24"/>
          <w:lang w:val="ro-RO"/>
        </w:rPr>
        <w:t>Anexa nr.1</w:t>
      </w:r>
      <w:bookmarkEnd w:id="72"/>
    </w:p>
    <w:p w14:paraId="31924714" w14:textId="77777777" w:rsidR="0034452A" w:rsidRPr="00B20FBD" w:rsidRDefault="0034452A" w:rsidP="0034452A">
      <w:pPr>
        <w:tabs>
          <w:tab w:val="left" w:pos="720"/>
        </w:tabs>
        <w:spacing w:after="120"/>
        <w:ind w:firstLine="720"/>
        <w:jc w:val="center"/>
        <w:rPr>
          <w:rFonts w:asciiTheme="majorHAnsi" w:hAnsiTheme="majorHAnsi" w:cstheme="majorHAnsi"/>
          <w:b/>
          <w:sz w:val="24"/>
          <w:szCs w:val="24"/>
          <w:lang w:val="ro-RO"/>
        </w:rPr>
      </w:pPr>
      <w:r w:rsidRPr="00B20FBD">
        <w:rPr>
          <w:rFonts w:asciiTheme="majorHAnsi" w:hAnsiTheme="majorHAnsi" w:cstheme="majorHAnsi"/>
          <w:b/>
          <w:sz w:val="24"/>
          <w:szCs w:val="24"/>
          <w:lang w:val="ro-RO"/>
        </w:rPr>
        <w:t>Sfera și abordarea auditului</w:t>
      </w:r>
    </w:p>
    <w:p w14:paraId="53BDA90D" w14:textId="496EAD94" w:rsidR="0034452A" w:rsidRPr="00B20FBD" w:rsidRDefault="0034452A" w:rsidP="0034452A">
      <w:pPr>
        <w:spacing w:after="120"/>
        <w:jc w:val="both"/>
        <w:rPr>
          <w:rFonts w:asciiTheme="majorHAnsi" w:hAnsiTheme="majorHAnsi" w:cstheme="majorHAnsi"/>
          <w:sz w:val="24"/>
          <w:szCs w:val="24"/>
          <w:lang w:val="ro-RO"/>
        </w:rPr>
      </w:pPr>
      <w:r w:rsidRPr="00B20FBD">
        <w:rPr>
          <w:rFonts w:asciiTheme="majorHAnsi" w:hAnsiTheme="majorHAnsi" w:cstheme="majorHAnsi"/>
          <w:sz w:val="24"/>
          <w:szCs w:val="24"/>
          <w:lang w:val="ro-RO"/>
        </w:rPr>
        <w:t>Stabilirea componentelor semnificative de audit s-a efectuat prin utilizarea materialității calitative</w:t>
      </w:r>
      <w:r w:rsidRPr="00B20FBD">
        <w:rPr>
          <w:rStyle w:val="FootnoteReference"/>
          <w:rFonts w:asciiTheme="majorHAnsi" w:hAnsiTheme="majorHAnsi" w:cstheme="majorHAnsi"/>
          <w:sz w:val="24"/>
          <w:szCs w:val="24"/>
          <w:lang w:val="ro-RO"/>
        </w:rPr>
        <w:footnoteReference w:id="114"/>
      </w:r>
      <w:r w:rsidRPr="00B20FBD">
        <w:rPr>
          <w:rFonts w:asciiTheme="majorHAnsi" w:hAnsiTheme="majorHAnsi" w:cstheme="majorHAnsi"/>
          <w:sz w:val="24"/>
          <w:szCs w:val="24"/>
          <w:lang w:val="ro-RO"/>
        </w:rPr>
        <w:t xml:space="preserve">, fiind testate riscurile de neconformitate identificate în </w:t>
      </w:r>
      <w:r w:rsidR="001600C8">
        <w:rPr>
          <w:rFonts w:asciiTheme="majorHAnsi" w:hAnsiTheme="majorHAnsi" w:cstheme="majorHAnsi"/>
          <w:sz w:val="24"/>
          <w:szCs w:val="24"/>
          <w:lang w:val="ro-RO"/>
        </w:rPr>
        <w:t>urma</w:t>
      </w:r>
      <w:r w:rsidR="001600C8" w:rsidRPr="00B20FBD">
        <w:rPr>
          <w:rFonts w:asciiTheme="majorHAnsi" w:hAnsiTheme="majorHAnsi" w:cstheme="majorHAnsi"/>
          <w:sz w:val="24"/>
          <w:szCs w:val="24"/>
          <w:lang w:val="ro-RO"/>
        </w:rPr>
        <w:t xml:space="preserve"> </w:t>
      </w:r>
      <w:r w:rsidRPr="00B20FBD">
        <w:rPr>
          <w:rFonts w:asciiTheme="majorHAnsi" w:hAnsiTheme="majorHAnsi" w:cstheme="majorHAnsi"/>
          <w:sz w:val="24"/>
          <w:szCs w:val="24"/>
          <w:lang w:val="ro-RO"/>
        </w:rPr>
        <w:t xml:space="preserve">aplicării raționamentului profesional, ghidat de importanța domeniului administrat de SV și așteptările/interesul publicului față de acesta. </w:t>
      </w:r>
    </w:p>
    <w:p w14:paraId="2E0B28F2" w14:textId="77777777" w:rsidR="0034452A" w:rsidRPr="00B20FBD" w:rsidRDefault="0034452A" w:rsidP="0034452A">
      <w:pPr>
        <w:spacing w:after="0"/>
        <w:jc w:val="both"/>
        <w:rPr>
          <w:rFonts w:asciiTheme="majorHAnsi" w:hAnsiTheme="majorHAnsi" w:cstheme="majorHAnsi"/>
          <w:sz w:val="24"/>
          <w:szCs w:val="24"/>
          <w:lang w:val="ro-RO"/>
        </w:rPr>
      </w:pPr>
      <w:r w:rsidRPr="00B20FBD">
        <w:rPr>
          <w:rFonts w:asciiTheme="majorHAnsi" w:hAnsiTheme="majorHAnsi" w:cstheme="majorHAnsi"/>
          <w:sz w:val="24"/>
          <w:szCs w:val="24"/>
          <w:lang w:val="ro-RO"/>
        </w:rPr>
        <w:t xml:space="preserve">Pentru obținerea probelor relevante, care să susțină constatările și concluziile de audit, au fost selectate unele segmente privind veniturile, facilitățile fiscale și vamale care au depășit materialitatea cantitativă, dar și cea calitativă. </w:t>
      </w:r>
    </w:p>
    <w:p w14:paraId="7D2EA1DA" w14:textId="77777777" w:rsidR="0034452A" w:rsidRPr="00B20FBD" w:rsidRDefault="0034452A" w:rsidP="0034452A">
      <w:pPr>
        <w:spacing w:after="0"/>
        <w:jc w:val="both"/>
        <w:rPr>
          <w:rFonts w:asciiTheme="majorHAnsi" w:hAnsiTheme="majorHAnsi" w:cstheme="majorHAnsi"/>
          <w:color w:val="000000"/>
          <w:sz w:val="24"/>
          <w:szCs w:val="24"/>
          <w:shd w:val="clear" w:color="auto" w:fill="FFFFFF"/>
          <w:lang w:val="ro-RO"/>
        </w:rPr>
      </w:pPr>
      <w:r w:rsidRPr="00B20FBD">
        <w:rPr>
          <w:rFonts w:asciiTheme="majorHAnsi" w:hAnsiTheme="majorHAnsi" w:cstheme="majorHAnsi"/>
          <w:color w:val="000000"/>
          <w:sz w:val="24"/>
          <w:szCs w:val="24"/>
          <w:shd w:val="clear" w:color="auto" w:fill="FFFFFF"/>
          <w:lang w:val="ro-RO"/>
        </w:rPr>
        <w:t>În acest sens, au fost determinate următoarele obiective specifice:</w:t>
      </w:r>
    </w:p>
    <w:p w14:paraId="01043584" w14:textId="77777777" w:rsidR="0034452A" w:rsidRPr="00D418F4" w:rsidRDefault="0034452A" w:rsidP="003937C7">
      <w:pPr>
        <w:pStyle w:val="ListParagraph"/>
        <w:numPr>
          <w:ilvl w:val="0"/>
          <w:numId w:val="7"/>
        </w:numPr>
        <w:spacing w:line="276" w:lineRule="auto"/>
        <w:ind w:left="0" w:firstLine="360"/>
        <w:jc w:val="both"/>
        <w:rPr>
          <w:rFonts w:asciiTheme="majorHAnsi" w:eastAsia="Times New Roman" w:hAnsiTheme="majorHAnsi" w:cstheme="majorHAnsi"/>
          <w:i/>
          <w:sz w:val="24"/>
          <w:szCs w:val="24"/>
        </w:rPr>
      </w:pPr>
      <w:r w:rsidRPr="00D418F4">
        <w:rPr>
          <w:rFonts w:asciiTheme="majorHAnsi" w:eastAsia="Times New Roman" w:hAnsiTheme="majorHAnsi" w:cstheme="majorHAnsi"/>
          <w:i/>
          <w:sz w:val="24"/>
          <w:szCs w:val="24"/>
        </w:rPr>
        <w:t xml:space="preserve">Serviciul Vamal a asigurat planificarea, executarea și raportarea conformă a veniturilor bugetului de stat </w:t>
      </w:r>
      <w:r w:rsidRPr="00D418F4">
        <w:rPr>
          <w:rFonts w:asciiTheme="majorHAnsi" w:hAnsiTheme="majorHAnsi" w:cstheme="majorHAnsi"/>
          <w:i/>
          <w:color w:val="000000"/>
          <w:sz w:val="24"/>
          <w:szCs w:val="24"/>
          <w:shd w:val="clear" w:color="auto" w:fill="FFFFFF"/>
        </w:rPr>
        <w:t>potrivit normelor procedurale/metodologice aplicabile</w:t>
      </w:r>
      <w:r w:rsidRPr="00D418F4">
        <w:rPr>
          <w:rFonts w:asciiTheme="majorHAnsi" w:eastAsia="Times New Roman" w:hAnsiTheme="majorHAnsi" w:cstheme="majorHAnsi"/>
          <w:i/>
          <w:sz w:val="24"/>
          <w:szCs w:val="24"/>
        </w:rPr>
        <w:t>?</w:t>
      </w:r>
    </w:p>
    <w:p w14:paraId="1985AC3F" w14:textId="77777777" w:rsidR="0034452A" w:rsidRPr="00D418F4" w:rsidRDefault="0034452A" w:rsidP="003937C7">
      <w:pPr>
        <w:pStyle w:val="ListParagraph"/>
        <w:numPr>
          <w:ilvl w:val="0"/>
          <w:numId w:val="7"/>
        </w:numPr>
        <w:spacing w:line="276" w:lineRule="auto"/>
        <w:ind w:left="0" w:right="42" w:firstLine="360"/>
        <w:jc w:val="both"/>
        <w:rPr>
          <w:rFonts w:asciiTheme="majorHAnsi" w:eastAsia="Times New Roman" w:hAnsiTheme="majorHAnsi" w:cstheme="majorHAnsi"/>
          <w:i/>
          <w:sz w:val="24"/>
          <w:szCs w:val="24"/>
        </w:rPr>
      </w:pPr>
      <w:r w:rsidRPr="00D418F4">
        <w:rPr>
          <w:rFonts w:asciiTheme="majorHAnsi" w:eastAsia="Times New Roman" w:hAnsiTheme="majorHAnsi" w:cstheme="majorHAnsi"/>
          <w:i/>
          <w:sz w:val="24"/>
          <w:szCs w:val="24"/>
        </w:rPr>
        <w:t xml:space="preserve">Organul vamal a asigurat conformitatea </w:t>
      </w:r>
      <w:r w:rsidRPr="00D418F4">
        <w:rPr>
          <w:rFonts w:asciiTheme="majorHAnsi" w:hAnsiTheme="majorHAnsi" w:cstheme="majorHAnsi"/>
          <w:i/>
          <w:sz w:val="24"/>
          <w:szCs w:val="24"/>
        </w:rPr>
        <w:t xml:space="preserve">plenitudinii încasării la bugetul de stat a restanțelor aferente obligației vamale, inclusiv prin </w:t>
      </w:r>
      <w:r w:rsidRPr="00D418F4">
        <w:rPr>
          <w:rFonts w:asciiTheme="majorHAnsi" w:eastAsia="Times New Roman" w:hAnsiTheme="majorHAnsi" w:cstheme="majorHAnsi"/>
          <w:bCs/>
          <w:i/>
          <w:sz w:val="24"/>
          <w:szCs w:val="24"/>
        </w:rPr>
        <w:t>aplicarea măsurilor de executare silită</w:t>
      </w:r>
      <w:r w:rsidRPr="00D418F4">
        <w:rPr>
          <w:rFonts w:asciiTheme="majorHAnsi" w:hAnsiTheme="majorHAnsi" w:cstheme="majorHAnsi"/>
          <w:i/>
          <w:sz w:val="24"/>
          <w:szCs w:val="24"/>
        </w:rPr>
        <w:t>?</w:t>
      </w:r>
    </w:p>
    <w:p w14:paraId="382DB592" w14:textId="4CE4D5A2" w:rsidR="0034452A" w:rsidRPr="00D418F4" w:rsidRDefault="0034452A" w:rsidP="003937C7">
      <w:pPr>
        <w:pStyle w:val="ListParagraph"/>
        <w:numPr>
          <w:ilvl w:val="0"/>
          <w:numId w:val="7"/>
        </w:numPr>
        <w:spacing w:line="276" w:lineRule="auto"/>
        <w:ind w:left="0" w:right="42" w:firstLine="360"/>
        <w:jc w:val="both"/>
        <w:rPr>
          <w:rFonts w:asciiTheme="majorHAnsi" w:eastAsia="Times New Roman" w:hAnsiTheme="majorHAnsi" w:cstheme="majorHAnsi"/>
          <w:i/>
          <w:sz w:val="24"/>
          <w:szCs w:val="24"/>
        </w:rPr>
      </w:pPr>
      <w:r w:rsidRPr="00D418F4">
        <w:rPr>
          <w:rFonts w:asciiTheme="majorHAnsi" w:eastAsia="Times New Roman" w:hAnsiTheme="majorHAnsi" w:cstheme="majorHAnsi"/>
          <w:i/>
          <w:sz w:val="24"/>
          <w:szCs w:val="24"/>
        </w:rPr>
        <w:t>Organul vamal a asigurat</w:t>
      </w:r>
      <w:r w:rsidR="006F64D2">
        <w:rPr>
          <w:rFonts w:asciiTheme="majorHAnsi" w:eastAsia="Times New Roman" w:hAnsiTheme="majorHAnsi" w:cstheme="majorHAnsi"/>
          <w:i/>
          <w:sz w:val="24"/>
          <w:szCs w:val="24"/>
        </w:rPr>
        <w:t xml:space="preserve"> organizarea controlului vamal și</w:t>
      </w:r>
      <w:r w:rsidRPr="00D418F4">
        <w:rPr>
          <w:rFonts w:asciiTheme="majorHAnsi" w:eastAsia="Times New Roman" w:hAnsiTheme="majorHAnsi" w:cstheme="majorHAnsi"/>
          <w:i/>
          <w:sz w:val="24"/>
          <w:szCs w:val="24"/>
        </w:rPr>
        <w:t xml:space="preserve"> conformitatea procesului de determinare a valorii în vamă a mărfurilor introduse pe teritoriul vamal al Republicii Moldova?</w:t>
      </w:r>
    </w:p>
    <w:p w14:paraId="4C9B685C" w14:textId="77777777" w:rsidR="0034452A" w:rsidRPr="00D418F4" w:rsidRDefault="0034452A" w:rsidP="00D418F4">
      <w:pPr>
        <w:pStyle w:val="ListParagraph"/>
        <w:numPr>
          <w:ilvl w:val="0"/>
          <w:numId w:val="7"/>
        </w:numPr>
        <w:spacing w:after="120" w:line="276" w:lineRule="auto"/>
        <w:ind w:left="0" w:right="40" w:firstLine="357"/>
        <w:jc w:val="both"/>
        <w:rPr>
          <w:rFonts w:asciiTheme="majorHAnsi" w:eastAsia="Times New Roman" w:hAnsiTheme="majorHAnsi" w:cstheme="majorHAnsi"/>
          <w:i/>
          <w:sz w:val="24"/>
          <w:szCs w:val="24"/>
        </w:rPr>
      </w:pPr>
      <w:r w:rsidRPr="00D418F4">
        <w:rPr>
          <w:rFonts w:asciiTheme="majorHAnsi" w:eastAsia="Times New Roman" w:hAnsiTheme="majorHAnsi" w:cstheme="majorHAnsi"/>
          <w:i/>
          <w:sz w:val="24"/>
          <w:szCs w:val="24"/>
        </w:rPr>
        <w:t xml:space="preserve">A fost respectat cadrul normativ la plasarea mărfurilor în regimurile vamale suspensive autorizate de către organul vamal, cu efect de suspendare totală sau parțială a drepturilor de import/export? </w:t>
      </w:r>
    </w:p>
    <w:p w14:paraId="00FF6A24" w14:textId="77777777" w:rsidR="0034452A" w:rsidRPr="00B20FBD" w:rsidRDefault="0034452A" w:rsidP="0034452A">
      <w:pPr>
        <w:ind w:right="42"/>
        <w:jc w:val="both"/>
        <w:rPr>
          <w:rFonts w:asciiTheme="majorHAnsi" w:eastAsia="Times New Roman" w:hAnsiTheme="majorHAnsi" w:cstheme="majorHAnsi"/>
          <w:sz w:val="24"/>
          <w:szCs w:val="24"/>
          <w:lang w:val="ro-RO"/>
        </w:rPr>
      </w:pPr>
      <w:r w:rsidRPr="00B20FBD">
        <w:rPr>
          <w:rFonts w:asciiTheme="majorHAnsi" w:hAnsiTheme="majorHAnsi" w:cstheme="majorHAnsi"/>
          <w:sz w:val="24"/>
          <w:szCs w:val="24"/>
          <w:lang w:val="ro-RO"/>
        </w:rPr>
        <w:t>Tehnicile și procedurile de audit s-au bazat pe: i) examinarea rapoartelor, documentelor primare și extraselor din înregistrările în sistemele informaționale ale entității, ii) intervievarea persoanelor responsabile de domeniile auditate, iii) calcularea și compararea informațiilor prezentate, și iv) analiza datelor. Totodată, constatările și concluziile asupra aspectelor auditate în cadrul misiunii de audit sunt expuse în compartimentele respective ale prezentului Raport de audit.</w:t>
      </w:r>
    </w:p>
    <w:p w14:paraId="61979CF3" w14:textId="77777777" w:rsidR="0034452A" w:rsidRPr="00B20FBD" w:rsidRDefault="0034452A" w:rsidP="0034452A">
      <w:pPr>
        <w:pStyle w:val="FootnoteText"/>
        <w:tabs>
          <w:tab w:val="left" w:pos="270"/>
        </w:tabs>
        <w:spacing w:after="120" w:line="276" w:lineRule="auto"/>
        <w:jc w:val="both"/>
        <w:rPr>
          <w:rFonts w:asciiTheme="majorHAnsi" w:hAnsiTheme="majorHAnsi" w:cstheme="majorHAnsi"/>
          <w:b/>
          <w:sz w:val="24"/>
          <w:szCs w:val="24"/>
          <w:shd w:val="clear" w:color="auto" w:fill="FFFFFF"/>
          <w:lang w:val="ro-RO"/>
        </w:rPr>
      </w:pPr>
      <w:r w:rsidRPr="00B20FBD">
        <w:rPr>
          <w:rFonts w:asciiTheme="majorHAnsi" w:hAnsiTheme="majorHAnsi" w:cstheme="majorHAnsi"/>
          <w:b/>
          <w:sz w:val="24"/>
          <w:szCs w:val="24"/>
          <w:shd w:val="clear" w:color="auto" w:fill="FFFFFF"/>
          <w:lang w:val="ro-RO"/>
        </w:rPr>
        <w:t>Oferirea asigurării rezonabile de audit în alte misiuni cu domenii interconexe</w:t>
      </w:r>
    </w:p>
    <w:p w14:paraId="106D0720" w14:textId="77777777" w:rsidR="0034452A" w:rsidRPr="00B20FBD" w:rsidRDefault="0034452A" w:rsidP="0034452A">
      <w:pPr>
        <w:pStyle w:val="FootnoteText"/>
        <w:tabs>
          <w:tab w:val="left" w:pos="270"/>
        </w:tabs>
        <w:spacing w:after="120" w:line="276" w:lineRule="auto"/>
        <w:jc w:val="both"/>
        <w:rPr>
          <w:rFonts w:asciiTheme="majorHAnsi" w:eastAsia="Times New Roman" w:hAnsiTheme="majorHAnsi" w:cstheme="majorHAnsi"/>
          <w:sz w:val="24"/>
          <w:szCs w:val="24"/>
          <w:lang w:val="ro-RO" w:eastAsia="ru-RU"/>
        </w:rPr>
      </w:pPr>
      <w:r w:rsidRPr="00B20FBD">
        <w:rPr>
          <w:rFonts w:asciiTheme="majorHAnsi" w:eastAsia="Times New Roman" w:hAnsiTheme="majorHAnsi" w:cstheme="majorHAnsi"/>
          <w:sz w:val="24"/>
          <w:szCs w:val="24"/>
          <w:lang w:val="ro-RO" w:eastAsia="ru-RU"/>
        </w:rPr>
        <w:t xml:space="preserve">Reieșind din sarcinile atribuite suplimentar echipei în cadrul unei alte misiuni de audit desfășurate paralel la Raportul Guvernului privind executarea bugetului de stat pe anul 2021, au fost colectate probe pe domeniile semnificative privind corectitudinea datelor raportate de SV referitor la veniturile încasate și restanțele înregistrate la bugetul de stat în anul 2021. </w:t>
      </w:r>
    </w:p>
    <w:bookmarkEnd w:id="70"/>
    <w:p w14:paraId="41B70455" w14:textId="6518ACE3" w:rsidR="0034452A" w:rsidRPr="00E67703" w:rsidRDefault="0034452A" w:rsidP="001600C8">
      <w:pPr>
        <w:pStyle w:val="FootnoteText"/>
        <w:tabs>
          <w:tab w:val="left" w:pos="270"/>
        </w:tabs>
        <w:spacing w:after="120" w:line="276" w:lineRule="auto"/>
        <w:jc w:val="both"/>
        <w:rPr>
          <w:rFonts w:asciiTheme="majorHAnsi" w:eastAsia="Times New Roman" w:hAnsiTheme="majorHAnsi" w:cstheme="majorHAnsi"/>
          <w:sz w:val="24"/>
          <w:szCs w:val="24"/>
          <w:lang w:val="en-US" w:eastAsia="ru-RU"/>
        </w:rPr>
      </w:pPr>
      <w:r w:rsidRPr="00B20FBD">
        <w:rPr>
          <w:rFonts w:asciiTheme="majorHAnsi" w:hAnsiTheme="majorHAnsi" w:cstheme="majorHAnsi"/>
          <w:b/>
          <w:sz w:val="24"/>
          <w:szCs w:val="24"/>
          <w:shd w:val="clear" w:color="auto" w:fill="FFFFFF"/>
          <w:lang w:val="ro-RO"/>
        </w:rPr>
        <w:t>Limitarea auditului privind verificarea veniturilor vamale</w:t>
      </w:r>
      <w:r w:rsidRPr="00B20FBD">
        <w:rPr>
          <w:rFonts w:asciiTheme="majorHAnsi" w:hAnsiTheme="majorHAnsi" w:cstheme="majorHAnsi"/>
          <w:b/>
          <w:sz w:val="24"/>
          <w:szCs w:val="24"/>
          <w:lang w:val="ro-RO"/>
        </w:rPr>
        <w:t xml:space="preserve"> </w:t>
      </w:r>
      <w:r w:rsidR="00E67703" w:rsidRPr="00E67703">
        <w:rPr>
          <w:rFonts w:asciiTheme="majorHAnsi" w:hAnsiTheme="majorHAnsi" w:cstheme="majorHAnsi"/>
          <w:b/>
          <w:sz w:val="24"/>
          <w:szCs w:val="24"/>
          <w:lang w:val="en-US"/>
        </w:rPr>
        <w:t xml:space="preserve"> </w:t>
      </w:r>
    </w:p>
    <w:p w14:paraId="252E0314" w14:textId="3820F3A6" w:rsidR="0034452A" w:rsidRPr="00B20FBD" w:rsidRDefault="0034452A" w:rsidP="00D418F4">
      <w:pPr>
        <w:spacing w:after="120"/>
        <w:jc w:val="both"/>
        <w:rPr>
          <w:rFonts w:asciiTheme="majorHAnsi" w:hAnsiTheme="majorHAnsi" w:cstheme="majorHAnsi"/>
          <w:sz w:val="24"/>
          <w:szCs w:val="24"/>
          <w:lang w:val="ro-RO"/>
        </w:rPr>
      </w:pPr>
      <w:r w:rsidRPr="00B20FBD">
        <w:rPr>
          <w:rFonts w:asciiTheme="majorHAnsi" w:hAnsiTheme="majorHAnsi" w:cstheme="majorHAnsi"/>
          <w:color w:val="000000"/>
          <w:sz w:val="24"/>
          <w:szCs w:val="24"/>
          <w:lang w:val="ro-RO"/>
        </w:rPr>
        <w:t xml:space="preserve">Echipa de audit a fost limitată în auditarea domeniului venituri vamale, </w:t>
      </w:r>
      <w:r w:rsidRPr="00B20FBD">
        <w:rPr>
          <w:rFonts w:asciiTheme="majorHAnsi" w:hAnsiTheme="majorHAnsi" w:cstheme="majorHAnsi"/>
          <w:sz w:val="24"/>
          <w:szCs w:val="24"/>
          <w:lang w:val="ro-RO"/>
        </w:rPr>
        <w:t>în legătură cu evoluția și tendința situației epidemiologice a infecției Covid-19 în Republica Moldova</w:t>
      </w:r>
      <w:r w:rsidRPr="00B20FBD">
        <w:rPr>
          <w:rStyle w:val="FootnoteReference"/>
          <w:rFonts w:asciiTheme="majorHAnsi" w:hAnsiTheme="majorHAnsi" w:cstheme="majorHAnsi"/>
          <w:sz w:val="24"/>
          <w:szCs w:val="24"/>
          <w:lang w:val="ro-RO"/>
        </w:rPr>
        <w:footnoteReference w:id="115"/>
      </w:r>
      <w:r w:rsidR="001600C8">
        <w:rPr>
          <w:rFonts w:asciiTheme="majorHAnsi" w:hAnsiTheme="majorHAnsi" w:cstheme="majorHAnsi"/>
          <w:sz w:val="24"/>
          <w:szCs w:val="24"/>
          <w:lang w:val="ro-RO"/>
        </w:rPr>
        <w:t>.</w:t>
      </w:r>
      <w:r w:rsidRPr="00B20FBD">
        <w:rPr>
          <w:rFonts w:asciiTheme="majorHAnsi" w:hAnsiTheme="majorHAnsi" w:cstheme="majorHAnsi"/>
          <w:sz w:val="24"/>
          <w:szCs w:val="24"/>
          <w:lang w:val="ro-RO"/>
        </w:rPr>
        <w:t xml:space="preserve"> </w:t>
      </w:r>
    </w:p>
    <w:p w14:paraId="7138D3B4" w14:textId="77777777" w:rsidR="0034452A" w:rsidRPr="00B20FBD" w:rsidRDefault="0034452A" w:rsidP="0034452A">
      <w:pPr>
        <w:widowControl w:val="0"/>
        <w:tabs>
          <w:tab w:val="left" w:pos="720"/>
        </w:tabs>
        <w:autoSpaceDE w:val="0"/>
        <w:autoSpaceDN w:val="0"/>
        <w:adjustRightInd w:val="0"/>
        <w:spacing w:after="0"/>
        <w:jc w:val="both"/>
        <w:rPr>
          <w:rFonts w:asciiTheme="majorHAnsi" w:hAnsiTheme="majorHAnsi" w:cstheme="majorHAnsi"/>
          <w:color w:val="000000"/>
          <w:sz w:val="24"/>
          <w:szCs w:val="24"/>
          <w:highlight w:val="yellow"/>
          <w:lang w:val="ro-RO"/>
        </w:rPr>
      </w:pPr>
      <w:r w:rsidRPr="00B20FBD">
        <w:rPr>
          <w:rFonts w:asciiTheme="majorHAnsi" w:hAnsiTheme="majorHAnsi" w:cstheme="majorHAnsi"/>
          <w:color w:val="000000"/>
          <w:sz w:val="24"/>
          <w:szCs w:val="24"/>
          <w:highlight w:val="yellow"/>
          <w:lang w:val="ro-RO"/>
        </w:rPr>
        <w:t xml:space="preserve"> </w:t>
      </w:r>
    </w:p>
    <w:p w14:paraId="717C58AB" w14:textId="77777777" w:rsidR="00B238EC" w:rsidRDefault="00B238EC" w:rsidP="0034452A">
      <w:pPr>
        <w:pStyle w:val="NormalWeb"/>
        <w:spacing w:line="276" w:lineRule="auto"/>
        <w:ind w:firstLine="709"/>
        <w:jc w:val="center"/>
        <w:rPr>
          <w:rFonts w:asciiTheme="majorHAnsi" w:hAnsiTheme="majorHAnsi" w:cstheme="majorHAnsi"/>
          <w:b/>
          <w:lang w:val="ro-RO"/>
        </w:rPr>
      </w:pPr>
    </w:p>
    <w:p w14:paraId="18C7D40C" w14:textId="77777777" w:rsidR="00B238EC" w:rsidRDefault="00B238EC" w:rsidP="0034452A">
      <w:pPr>
        <w:pStyle w:val="NormalWeb"/>
        <w:spacing w:line="276" w:lineRule="auto"/>
        <w:ind w:firstLine="709"/>
        <w:jc w:val="center"/>
        <w:rPr>
          <w:rFonts w:asciiTheme="majorHAnsi" w:hAnsiTheme="majorHAnsi" w:cstheme="majorHAnsi"/>
          <w:b/>
          <w:lang w:val="ro-RO"/>
        </w:rPr>
      </w:pPr>
    </w:p>
    <w:p w14:paraId="2DB33C97" w14:textId="7EFC085A" w:rsidR="0034452A" w:rsidRDefault="0034452A" w:rsidP="00B238EC">
      <w:pPr>
        <w:pStyle w:val="NormalWeb"/>
        <w:spacing w:line="276" w:lineRule="auto"/>
        <w:ind w:firstLine="709"/>
        <w:jc w:val="center"/>
        <w:rPr>
          <w:rFonts w:asciiTheme="majorHAnsi" w:hAnsiTheme="majorHAnsi" w:cstheme="majorHAnsi"/>
          <w:b/>
          <w:lang w:val="ro-RO"/>
        </w:rPr>
      </w:pPr>
      <w:r w:rsidRPr="00B20FBD">
        <w:rPr>
          <w:rFonts w:asciiTheme="majorHAnsi" w:hAnsiTheme="majorHAnsi" w:cstheme="majorHAnsi"/>
          <w:b/>
          <w:lang w:val="ro-RO"/>
        </w:rPr>
        <w:t>Cadrul de reglementare aplicabil de către Serviciul Vamal</w:t>
      </w:r>
    </w:p>
    <w:p w14:paraId="25D9576A" w14:textId="77777777" w:rsidR="00814531" w:rsidRPr="00B20FBD" w:rsidRDefault="00814531" w:rsidP="00B238EC">
      <w:pPr>
        <w:pStyle w:val="NormalWeb"/>
        <w:spacing w:line="276" w:lineRule="auto"/>
        <w:ind w:firstLine="709"/>
        <w:jc w:val="center"/>
        <w:rPr>
          <w:rFonts w:asciiTheme="majorHAnsi" w:hAnsiTheme="majorHAnsi" w:cstheme="majorHAnsi"/>
          <w:b/>
          <w:i/>
          <w:lang w:val="ro-RO"/>
        </w:rPr>
      </w:pPr>
    </w:p>
    <w:tbl>
      <w:tblPr>
        <w:tblStyle w:val="GridTable2-Accent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8"/>
      </w:tblGrid>
      <w:tr w:rsidR="0034452A" w:rsidRPr="00B20FBD" w14:paraId="2F72C2C9" w14:textId="77777777" w:rsidTr="00933F2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8" w:type="dxa"/>
          </w:tcPr>
          <w:p w14:paraId="50282726" w14:textId="77777777" w:rsidR="0034452A" w:rsidRPr="00B20FBD" w:rsidRDefault="0034452A" w:rsidP="00933F2D">
            <w:pPr>
              <w:pStyle w:val="NormalWeb"/>
              <w:spacing w:line="276" w:lineRule="auto"/>
              <w:ind w:firstLine="0"/>
              <w:rPr>
                <w:rFonts w:asciiTheme="majorHAnsi" w:hAnsiTheme="majorHAnsi" w:cstheme="majorHAnsi"/>
                <w:i/>
                <w:sz w:val="22"/>
                <w:szCs w:val="22"/>
                <w:lang w:val="ro-RO"/>
              </w:rPr>
            </w:pPr>
            <w:r w:rsidRPr="00B20FBD">
              <w:rPr>
                <w:rFonts w:asciiTheme="majorHAnsi" w:hAnsiTheme="majorHAnsi" w:cstheme="majorHAnsi"/>
                <w:noProof/>
                <w:sz w:val="22"/>
                <w:szCs w:val="22"/>
                <w:lang w:val="ro-RO"/>
              </w:rPr>
              <w:t>Acte legislative</w:t>
            </w:r>
          </w:p>
        </w:tc>
      </w:tr>
      <w:tr w:rsidR="0034452A" w:rsidRPr="00911D93" w14:paraId="0E67C7B7" w14:textId="77777777" w:rsidTr="00933F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8" w:type="dxa"/>
          </w:tcPr>
          <w:p w14:paraId="60A754A9" w14:textId="77777777" w:rsidR="0034452A" w:rsidRPr="00B20FBD" w:rsidRDefault="0034452A" w:rsidP="00933F2D">
            <w:pPr>
              <w:pStyle w:val="NormalWeb"/>
              <w:spacing w:line="276" w:lineRule="auto"/>
              <w:ind w:firstLine="0"/>
              <w:rPr>
                <w:rFonts w:asciiTheme="majorHAnsi" w:hAnsiTheme="majorHAnsi" w:cstheme="majorHAnsi"/>
                <w:b w:val="0"/>
                <w:noProof/>
                <w:sz w:val="22"/>
                <w:szCs w:val="22"/>
                <w:lang w:val="ro-RO"/>
              </w:rPr>
            </w:pPr>
            <w:r w:rsidRPr="00B20FBD">
              <w:rPr>
                <w:rFonts w:asciiTheme="majorHAnsi" w:hAnsiTheme="majorHAnsi" w:cstheme="majorHAnsi"/>
                <w:b w:val="0"/>
                <w:sz w:val="22"/>
                <w:szCs w:val="22"/>
                <w:lang w:val="ro-RO"/>
              </w:rPr>
              <w:t>Codul vamal nr.1149-XIV din 20.07.2000;</w:t>
            </w:r>
          </w:p>
        </w:tc>
      </w:tr>
      <w:tr w:rsidR="0034452A" w:rsidRPr="00911D93" w14:paraId="5560182E" w14:textId="77777777" w:rsidTr="00933F2D">
        <w:trPr>
          <w:jc w:val="center"/>
        </w:trPr>
        <w:tc>
          <w:tcPr>
            <w:cnfStyle w:val="001000000000" w:firstRow="0" w:lastRow="0" w:firstColumn="1" w:lastColumn="0" w:oddVBand="0" w:evenVBand="0" w:oddHBand="0" w:evenHBand="0" w:firstRowFirstColumn="0" w:firstRowLastColumn="0" w:lastRowFirstColumn="0" w:lastRowLastColumn="0"/>
            <w:tcW w:w="9928" w:type="dxa"/>
          </w:tcPr>
          <w:p w14:paraId="3E6575AC" w14:textId="77777777" w:rsidR="0034452A" w:rsidRPr="00B20FBD" w:rsidRDefault="0034452A" w:rsidP="00933F2D">
            <w:pPr>
              <w:pStyle w:val="NormalWeb"/>
              <w:spacing w:line="276" w:lineRule="auto"/>
              <w:ind w:firstLine="0"/>
              <w:rPr>
                <w:rFonts w:asciiTheme="majorHAnsi" w:hAnsiTheme="majorHAnsi" w:cstheme="majorHAnsi"/>
                <w:b w:val="0"/>
                <w:noProof/>
                <w:sz w:val="22"/>
                <w:szCs w:val="22"/>
                <w:lang w:val="ro-RO"/>
              </w:rPr>
            </w:pPr>
            <w:r w:rsidRPr="00B20FBD">
              <w:rPr>
                <w:rFonts w:asciiTheme="majorHAnsi" w:hAnsiTheme="majorHAnsi" w:cstheme="majorHAnsi"/>
                <w:b w:val="0"/>
                <w:sz w:val="22"/>
                <w:szCs w:val="22"/>
                <w:lang w:val="ro-RO"/>
              </w:rPr>
              <w:t>Codul fiscal nr. 1163-XIII din 24.04.1997;</w:t>
            </w:r>
          </w:p>
        </w:tc>
      </w:tr>
      <w:tr w:rsidR="0034452A" w:rsidRPr="00911D93" w14:paraId="45478762" w14:textId="77777777" w:rsidTr="00933F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8" w:type="dxa"/>
          </w:tcPr>
          <w:p w14:paraId="628C8E9A" w14:textId="77777777" w:rsidR="0034452A" w:rsidRPr="00B20FBD" w:rsidRDefault="0034452A" w:rsidP="00933F2D">
            <w:pPr>
              <w:pStyle w:val="NormalWeb"/>
              <w:spacing w:line="276" w:lineRule="auto"/>
              <w:ind w:firstLine="0"/>
              <w:rPr>
                <w:rFonts w:asciiTheme="majorHAnsi" w:hAnsiTheme="majorHAnsi" w:cstheme="majorHAnsi"/>
                <w:b w:val="0"/>
                <w:bCs w:val="0"/>
                <w:sz w:val="22"/>
                <w:szCs w:val="22"/>
                <w:lang w:val="ro-RO"/>
              </w:rPr>
            </w:pPr>
            <w:r w:rsidRPr="00B20FBD">
              <w:rPr>
                <w:rFonts w:asciiTheme="majorHAnsi" w:hAnsiTheme="majorHAnsi" w:cstheme="majorHAnsi"/>
                <w:b w:val="0"/>
                <w:sz w:val="22"/>
                <w:szCs w:val="22"/>
                <w:lang w:val="ro-RO"/>
              </w:rPr>
              <w:t>Legea nr. 1380-XIII din 20.11.1997 cu privire la tariful vamal</w:t>
            </w:r>
          </w:p>
        </w:tc>
      </w:tr>
      <w:tr w:rsidR="0034452A" w:rsidRPr="00911D93" w14:paraId="74714570" w14:textId="77777777" w:rsidTr="00933F2D">
        <w:trPr>
          <w:jc w:val="center"/>
        </w:trPr>
        <w:tc>
          <w:tcPr>
            <w:cnfStyle w:val="001000000000" w:firstRow="0" w:lastRow="0" w:firstColumn="1" w:lastColumn="0" w:oddVBand="0" w:evenVBand="0" w:oddHBand="0" w:evenHBand="0" w:firstRowFirstColumn="0" w:firstRowLastColumn="0" w:lastRowFirstColumn="0" w:lastRowLastColumn="0"/>
            <w:tcW w:w="9928" w:type="dxa"/>
          </w:tcPr>
          <w:p w14:paraId="6421817B" w14:textId="77777777" w:rsidR="0034452A" w:rsidRPr="00B20FBD" w:rsidRDefault="0034452A" w:rsidP="00933F2D">
            <w:pPr>
              <w:pStyle w:val="NormalWeb"/>
              <w:spacing w:line="276" w:lineRule="auto"/>
              <w:ind w:firstLine="0"/>
              <w:rPr>
                <w:rFonts w:asciiTheme="majorHAnsi" w:hAnsiTheme="majorHAnsi" w:cstheme="majorHAnsi"/>
                <w:b w:val="0"/>
                <w:bCs w:val="0"/>
                <w:sz w:val="22"/>
                <w:szCs w:val="22"/>
                <w:lang w:val="ro-RO"/>
              </w:rPr>
            </w:pPr>
            <w:r w:rsidRPr="00B20FBD">
              <w:rPr>
                <w:rFonts w:asciiTheme="majorHAnsi" w:hAnsiTheme="majorHAnsi" w:cstheme="majorHAnsi"/>
                <w:b w:val="0"/>
                <w:sz w:val="22"/>
                <w:szCs w:val="22"/>
                <w:lang w:val="ro-RO"/>
              </w:rPr>
              <w:t>Legea nr. 302 din 21.12.2017 cu privire la Serviciul Vamal;</w:t>
            </w:r>
          </w:p>
        </w:tc>
      </w:tr>
      <w:tr w:rsidR="0034452A" w:rsidRPr="00911D93" w14:paraId="69852681" w14:textId="77777777" w:rsidTr="00933F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8" w:type="dxa"/>
          </w:tcPr>
          <w:p w14:paraId="3881E042" w14:textId="77777777" w:rsidR="0034452A" w:rsidRPr="00B20FBD" w:rsidRDefault="0034452A" w:rsidP="00933F2D">
            <w:pPr>
              <w:pStyle w:val="NormalWeb"/>
              <w:spacing w:line="276" w:lineRule="auto"/>
              <w:ind w:firstLine="0"/>
              <w:rPr>
                <w:rFonts w:asciiTheme="majorHAnsi" w:hAnsiTheme="majorHAnsi" w:cstheme="majorHAnsi"/>
                <w:b w:val="0"/>
                <w:sz w:val="22"/>
                <w:szCs w:val="22"/>
                <w:lang w:val="ro-RO"/>
              </w:rPr>
            </w:pPr>
            <w:r w:rsidRPr="00B20FBD">
              <w:rPr>
                <w:rFonts w:asciiTheme="majorHAnsi" w:hAnsiTheme="majorHAnsi" w:cstheme="majorHAnsi"/>
                <w:b w:val="0"/>
                <w:sz w:val="22"/>
                <w:szCs w:val="22"/>
                <w:lang w:val="ro-RO"/>
              </w:rPr>
              <w:t>Legea nr.1569-XV din 20.12.2002 cu privire la modul de introducere și scoatere a bunurilor de pe teritoriul Republicii Moldova de către persoane fizice;</w:t>
            </w:r>
          </w:p>
        </w:tc>
      </w:tr>
      <w:tr w:rsidR="0034452A" w:rsidRPr="009D294A" w14:paraId="42333E4A" w14:textId="77777777" w:rsidTr="00933F2D">
        <w:trPr>
          <w:jc w:val="center"/>
        </w:trPr>
        <w:tc>
          <w:tcPr>
            <w:cnfStyle w:val="001000000000" w:firstRow="0" w:lastRow="0" w:firstColumn="1" w:lastColumn="0" w:oddVBand="0" w:evenVBand="0" w:oddHBand="0" w:evenHBand="0" w:firstRowFirstColumn="0" w:firstRowLastColumn="0" w:lastRowFirstColumn="0" w:lastRowLastColumn="0"/>
            <w:tcW w:w="9928" w:type="dxa"/>
          </w:tcPr>
          <w:p w14:paraId="34231D99" w14:textId="77777777" w:rsidR="0034452A" w:rsidRPr="00B20FBD" w:rsidRDefault="0034452A" w:rsidP="00933F2D">
            <w:pPr>
              <w:pStyle w:val="NormalWeb"/>
              <w:spacing w:line="276" w:lineRule="auto"/>
              <w:ind w:firstLine="0"/>
              <w:rPr>
                <w:rFonts w:asciiTheme="majorHAnsi" w:hAnsiTheme="majorHAnsi" w:cstheme="majorHAnsi"/>
                <w:b w:val="0"/>
                <w:sz w:val="22"/>
                <w:szCs w:val="22"/>
                <w:lang w:val="ro-RO"/>
              </w:rPr>
            </w:pPr>
            <w:r w:rsidRPr="00B20FBD">
              <w:rPr>
                <w:rFonts w:asciiTheme="majorHAnsi" w:hAnsiTheme="majorHAnsi" w:cstheme="majorHAnsi"/>
                <w:b w:val="0"/>
                <w:sz w:val="22"/>
                <w:szCs w:val="22"/>
                <w:lang w:val="ro-RO"/>
              </w:rPr>
              <w:t>Legea nr. 451- XV din 30.07.2007 privind acordarea de licențe pentru unele genuri de activitate;</w:t>
            </w:r>
          </w:p>
        </w:tc>
      </w:tr>
      <w:tr w:rsidR="0034452A" w:rsidRPr="00911D93" w14:paraId="10825422" w14:textId="77777777" w:rsidTr="00933F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8" w:type="dxa"/>
          </w:tcPr>
          <w:p w14:paraId="42E97034" w14:textId="77777777" w:rsidR="0034452A" w:rsidRPr="00B20FBD" w:rsidRDefault="0034452A" w:rsidP="00933F2D">
            <w:pPr>
              <w:pStyle w:val="NormalWeb"/>
              <w:spacing w:line="276" w:lineRule="auto"/>
              <w:ind w:firstLine="0"/>
              <w:rPr>
                <w:rFonts w:asciiTheme="majorHAnsi" w:hAnsiTheme="majorHAnsi" w:cstheme="majorHAnsi"/>
                <w:b w:val="0"/>
                <w:sz w:val="22"/>
                <w:szCs w:val="22"/>
                <w:lang w:val="ro-RO"/>
              </w:rPr>
            </w:pPr>
            <w:r w:rsidRPr="00B20FBD">
              <w:rPr>
                <w:rFonts w:asciiTheme="majorHAnsi" w:hAnsiTheme="majorHAnsi" w:cstheme="majorHAnsi"/>
                <w:b w:val="0"/>
                <w:sz w:val="22"/>
                <w:szCs w:val="22"/>
                <w:lang w:val="ro-RO"/>
              </w:rPr>
              <w:t>Legea nr.172 din 25.07.2014 privind aprobarea Nomenclaturii combinate a mărfurilor;</w:t>
            </w:r>
          </w:p>
        </w:tc>
      </w:tr>
      <w:tr w:rsidR="0034452A" w:rsidRPr="00911D93" w14:paraId="7108D392" w14:textId="77777777" w:rsidTr="00933F2D">
        <w:trPr>
          <w:jc w:val="center"/>
        </w:trPr>
        <w:tc>
          <w:tcPr>
            <w:cnfStyle w:val="001000000000" w:firstRow="0" w:lastRow="0" w:firstColumn="1" w:lastColumn="0" w:oddVBand="0" w:evenVBand="0" w:oddHBand="0" w:evenHBand="0" w:firstRowFirstColumn="0" w:firstRowLastColumn="0" w:lastRowFirstColumn="0" w:lastRowLastColumn="0"/>
            <w:tcW w:w="9928" w:type="dxa"/>
          </w:tcPr>
          <w:p w14:paraId="72E25CA3" w14:textId="632FF467" w:rsidR="0034452A" w:rsidRPr="00B20FBD" w:rsidRDefault="0034452A" w:rsidP="001600C8">
            <w:pPr>
              <w:pStyle w:val="NormalWeb"/>
              <w:spacing w:line="276" w:lineRule="auto"/>
              <w:ind w:firstLine="0"/>
              <w:rPr>
                <w:rFonts w:asciiTheme="majorHAnsi" w:hAnsiTheme="majorHAnsi" w:cstheme="majorHAnsi"/>
                <w:sz w:val="22"/>
                <w:szCs w:val="22"/>
                <w:lang w:val="ro-RO"/>
              </w:rPr>
            </w:pPr>
            <w:r w:rsidRPr="00B20FBD">
              <w:rPr>
                <w:rFonts w:asciiTheme="majorHAnsi" w:hAnsiTheme="majorHAnsi" w:cstheme="majorHAnsi"/>
                <w:noProof/>
                <w:sz w:val="22"/>
                <w:szCs w:val="22"/>
                <w:lang w:val="ro-RO"/>
              </w:rPr>
              <w:t>Hotăr</w:t>
            </w:r>
            <w:r w:rsidR="001600C8">
              <w:rPr>
                <w:rFonts w:asciiTheme="majorHAnsi" w:hAnsiTheme="majorHAnsi" w:cstheme="majorHAnsi"/>
                <w:noProof/>
                <w:sz w:val="22"/>
                <w:szCs w:val="22"/>
                <w:lang w:val="ro-RO"/>
              </w:rPr>
              <w:t>â</w:t>
            </w:r>
            <w:r w:rsidRPr="00B20FBD">
              <w:rPr>
                <w:rFonts w:asciiTheme="majorHAnsi" w:hAnsiTheme="majorHAnsi" w:cstheme="majorHAnsi"/>
                <w:noProof/>
                <w:sz w:val="22"/>
                <w:szCs w:val="22"/>
                <w:lang w:val="ro-RO"/>
              </w:rPr>
              <w:t>ri de Guvern, acte normative ale entității</w:t>
            </w:r>
          </w:p>
        </w:tc>
      </w:tr>
      <w:tr w:rsidR="0034452A" w:rsidRPr="00911D93" w14:paraId="52AEDD5C" w14:textId="77777777" w:rsidTr="00933F2D">
        <w:trPr>
          <w:cnfStyle w:val="000000100000" w:firstRow="0" w:lastRow="0" w:firstColumn="0" w:lastColumn="0" w:oddVBand="0" w:evenVBand="0" w:oddHBand="1" w:evenHBand="0" w:firstRowFirstColumn="0" w:firstRowLastColumn="0" w:lastRowFirstColumn="0" w:lastRowLastColumn="0"/>
          <w:trHeight w:val="329"/>
          <w:jc w:val="center"/>
        </w:trPr>
        <w:tc>
          <w:tcPr>
            <w:cnfStyle w:val="001000000000" w:firstRow="0" w:lastRow="0" w:firstColumn="1" w:lastColumn="0" w:oddVBand="0" w:evenVBand="0" w:oddHBand="0" w:evenHBand="0" w:firstRowFirstColumn="0" w:firstRowLastColumn="0" w:lastRowFirstColumn="0" w:lastRowLastColumn="0"/>
            <w:tcW w:w="9928" w:type="dxa"/>
          </w:tcPr>
          <w:p w14:paraId="7AA979B4" w14:textId="77777777" w:rsidR="0034452A" w:rsidRPr="00B20FBD" w:rsidRDefault="0034452A" w:rsidP="00933F2D">
            <w:pPr>
              <w:pStyle w:val="NormalWeb"/>
              <w:spacing w:line="276" w:lineRule="auto"/>
              <w:ind w:firstLine="0"/>
              <w:rPr>
                <w:rFonts w:asciiTheme="majorHAnsi" w:hAnsiTheme="majorHAnsi" w:cstheme="majorHAnsi"/>
                <w:b w:val="0"/>
                <w:noProof/>
                <w:sz w:val="22"/>
                <w:szCs w:val="22"/>
                <w:lang w:val="ro-RO"/>
              </w:rPr>
            </w:pPr>
            <w:r w:rsidRPr="00B20FBD">
              <w:rPr>
                <w:rFonts w:asciiTheme="majorHAnsi" w:hAnsiTheme="majorHAnsi" w:cstheme="majorHAnsi"/>
                <w:b w:val="0"/>
                <w:sz w:val="22"/>
                <w:szCs w:val="22"/>
                <w:lang w:val="ro-RO"/>
              </w:rPr>
              <w:t>Hotărârea Guvernului nr. 974 din 15.08.2016 „Cu privire la aprobarea Regulamentului privind modul de declarare a valorii în vamă a mărfurilor”;</w:t>
            </w:r>
          </w:p>
        </w:tc>
      </w:tr>
      <w:tr w:rsidR="0034452A" w:rsidRPr="00911D93" w14:paraId="4F7BD73C" w14:textId="77777777" w:rsidTr="00933F2D">
        <w:trPr>
          <w:jc w:val="center"/>
        </w:trPr>
        <w:tc>
          <w:tcPr>
            <w:cnfStyle w:val="001000000000" w:firstRow="0" w:lastRow="0" w:firstColumn="1" w:lastColumn="0" w:oddVBand="0" w:evenVBand="0" w:oddHBand="0" w:evenHBand="0" w:firstRowFirstColumn="0" w:firstRowLastColumn="0" w:lastRowFirstColumn="0" w:lastRowLastColumn="0"/>
            <w:tcW w:w="9928" w:type="dxa"/>
          </w:tcPr>
          <w:p w14:paraId="196EECB7" w14:textId="7396C833" w:rsidR="0034452A" w:rsidRPr="00B20FBD" w:rsidRDefault="0034452A" w:rsidP="00933F2D">
            <w:pPr>
              <w:pStyle w:val="NormalWeb"/>
              <w:spacing w:line="276" w:lineRule="auto"/>
              <w:ind w:firstLine="0"/>
              <w:rPr>
                <w:rFonts w:asciiTheme="majorHAnsi" w:hAnsiTheme="majorHAnsi" w:cstheme="majorHAnsi"/>
                <w:b w:val="0"/>
                <w:noProof/>
                <w:sz w:val="22"/>
                <w:szCs w:val="22"/>
                <w:lang w:val="ro-RO"/>
              </w:rPr>
            </w:pPr>
            <w:r w:rsidRPr="00B20FBD">
              <w:rPr>
                <w:rFonts w:asciiTheme="majorHAnsi" w:hAnsiTheme="majorHAnsi" w:cstheme="majorHAnsi"/>
                <w:b w:val="0"/>
                <w:sz w:val="22"/>
                <w:szCs w:val="22"/>
                <w:lang w:val="ro-RO"/>
              </w:rPr>
              <w:t>Hotărârea Guvernului nr. 1140 din 02.11.2005 „Pentru aprobarea Regulamentului de aplicare a destinațiilor vamale prevăzute de Codul vamal al Republicii Moldova”</w:t>
            </w:r>
            <w:r w:rsidR="001600C8">
              <w:rPr>
                <w:rFonts w:asciiTheme="majorHAnsi" w:hAnsiTheme="majorHAnsi" w:cstheme="majorHAnsi"/>
                <w:b w:val="0"/>
                <w:sz w:val="22"/>
                <w:szCs w:val="22"/>
                <w:lang w:val="ro-RO"/>
              </w:rPr>
              <w:t>;</w:t>
            </w:r>
          </w:p>
        </w:tc>
      </w:tr>
      <w:tr w:rsidR="0034452A" w:rsidRPr="00911D93" w14:paraId="70EF121F" w14:textId="77777777" w:rsidTr="00933F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8" w:type="dxa"/>
          </w:tcPr>
          <w:p w14:paraId="5CFCFFD2" w14:textId="77777777" w:rsidR="0034452A" w:rsidRPr="00B20FBD" w:rsidRDefault="0034452A" w:rsidP="00933F2D">
            <w:pPr>
              <w:pStyle w:val="NormalWeb"/>
              <w:spacing w:line="276" w:lineRule="auto"/>
              <w:ind w:firstLine="0"/>
              <w:rPr>
                <w:rFonts w:asciiTheme="majorHAnsi" w:hAnsiTheme="majorHAnsi" w:cstheme="majorHAnsi"/>
                <w:noProof/>
                <w:sz w:val="22"/>
                <w:szCs w:val="22"/>
                <w:lang w:val="ro-RO"/>
              </w:rPr>
            </w:pPr>
            <w:r w:rsidRPr="00B20FBD">
              <w:rPr>
                <w:rFonts w:asciiTheme="majorHAnsi" w:hAnsiTheme="majorHAnsi" w:cstheme="majorHAnsi"/>
                <w:b w:val="0"/>
                <w:sz w:val="22"/>
                <w:szCs w:val="22"/>
                <w:lang w:val="ro-RO"/>
              </w:rPr>
              <w:t>Hotărârea Guvernului nr. 1290 din 09.12.2005 „Pentru aprobarea Regulamentului cu privire la activitatea brokerului vamal și a specialistului în domeniul vămuirii”;</w:t>
            </w:r>
          </w:p>
        </w:tc>
      </w:tr>
      <w:tr w:rsidR="0034452A" w:rsidRPr="009D294A" w14:paraId="297D748C" w14:textId="77777777" w:rsidTr="00933F2D">
        <w:trPr>
          <w:jc w:val="center"/>
        </w:trPr>
        <w:tc>
          <w:tcPr>
            <w:cnfStyle w:val="001000000000" w:firstRow="0" w:lastRow="0" w:firstColumn="1" w:lastColumn="0" w:oddVBand="0" w:evenVBand="0" w:oddHBand="0" w:evenHBand="0" w:firstRowFirstColumn="0" w:firstRowLastColumn="0" w:lastRowFirstColumn="0" w:lastRowLastColumn="0"/>
            <w:tcW w:w="9928" w:type="dxa"/>
          </w:tcPr>
          <w:p w14:paraId="1E97329D" w14:textId="77777777" w:rsidR="0034452A" w:rsidRPr="00B20FBD" w:rsidRDefault="0034452A" w:rsidP="00933F2D">
            <w:pPr>
              <w:pStyle w:val="NormalWeb"/>
              <w:spacing w:line="276" w:lineRule="auto"/>
              <w:ind w:firstLine="0"/>
              <w:rPr>
                <w:rFonts w:asciiTheme="majorHAnsi" w:hAnsiTheme="majorHAnsi" w:cstheme="majorHAnsi"/>
                <w:b w:val="0"/>
                <w:noProof/>
                <w:sz w:val="22"/>
                <w:szCs w:val="22"/>
                <w:lang w:val="ro-RO"/>
              </w:rPr>
            </w:pPr>
            <w:r w:rsidRPr="00B20FBD">
              <w:rPr>
                <w:rFonts w:asciiTheme="majorHAnsi" w:hAnsiTheme="majorHAnsi" w:cstheme="majorHAnsi"/>
                <w:b w:val="0"/>
                <w:sz w:val="22"/>
                <w:szCs w:val="22"/>
                <w:lang w:val="ro-RO"/>
              </w:rPr>
              <w:t>Hotărârea Guvernului nr.792 din 08.07.2004 „Despre aprobarea Regulamentului privind transportarea mărfurilor prin posturile vamale interne de control”;</w:t>
            </w:r>
          </w:p>
        </w:tc>
      </w:tr>
      <w:tr w:rsidR="0034452A" w:rsidRPr="00911D93" w14:paraId="3816B355" w14:textId="77777777" w:rsidTr="00933F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8" w:type="dxa"/>
          </w:tcPr>
          <w:p w14:paraId="4CECEB96" w14:textId="77777777" w:rsidR="0034452A" w:rsidRPr="00B20FBD" w:rsidRDefault="0034452A" w:rsidP="00933F2D">
            <w:pPr>
              <w:pStyle w:val="NormalWeb"/>
              <w:spacing w:line="276" w:lineRule="auto"/>
              <w:ind w:firstLine="0"/>
              <w:rPr>
                <w:rFonts w:asciiTheme="majorHAnsi" w:hAnsiTheme="majorHAnsi" w:cstheme="majorHAnsi"/>
                <w:b w:val="0"/>
                <w:noProof/>
                <w:sz w:val="22"/>
                <w:szCs w:val="22"/>
                <w:lang w:val="ro-RO"/>
              </w:rPr>
            </w:pPr>
            <w:r w:rsidRPr="00B20FBD">
              <w:rPr>
                <w:rFonts w:asciiTheme="majorHAnsi" w:hAnsiTheme="majorHAnsi" w:cstheme="majorHAnsi"/>
                <w:b w:val="0"/>
                <w:sz w:val="22"/>
                <w:szCs w:val="22"/>
                <w:lang w:val="ro-RO"/>
              </w:rPr>
              <w:t>Hotărârea Guvernului nr.1144/03 din 03.11.2005 „Cu privire la aprobarea Concepției sistemului de administrare a riscurilor în Serviciul Vamal”;</w:t>
            </w:r>
          </w:p>
        </w:tc>
      </w:tr>
      <w:tr w:rsidR="0034452A" w:rsidRPr="00911D93" w14:paraId="17781B9D" w14:textId="77777777" w:rsidTr="00933F2D">
        <w:trPr>
          <w:jc w:val="center"/>
        </w:trPr>
        <w:tc>
          <w:tcPr>
            <w:cnfStyle w:val="001000000000" w:firstRow="0" w:lastRow="0" w:firstColumn="1" w:lastColumn="0" w:oddVBand="0" w:evenVBand="0" w:oddHBand="0" w:evenHBand="0" w:firstRowFirstColumn="0" w:firstRowLastColumn="0" w:lastRowFirstColumn="0" w:lastRowLastColumn="0"/>
            <w:tcW w:w="9928" w:type="dxa"/>
          </w:tcPr>
          <w:p w14:paraId="59EA958D" w14:textId="77777777" w:rsidR="0034452A" w:rsidRPr="00B20FBD" w:rsidRDefault="0034452A" w:rsidP="00933F2D">
            <w:pPr>
              <w:pStyle w:val="NormalWeb"/>
              <w:spacing w:line="276" w:lineRule="auto"/>
              <w:ind w:firstLine="0"/>
              <w:rPr>
                <w:rFonts w:asciiTheme="majorHAnsi" w:hAnsiTheme="majorHAnsi" w:cstheme="majorHAnsi"/>
                <w:b w:val="0"/>
                <w:noProof/>
                <w:sz w:val="22"/>
                <w:szCs w:val="22"/>
                <w:lang w:val="ro-RO"/>
              </w:rPr>
            </w:pPr>
            <w:r w:rsidRPr="00B20FBD">
              <w:rPr>
                <w:rFonts w:asciiTheme="majorHAnsi" w:hAnsiTheme="majorHAnsi" w:cstheme="majorHAnsi"/>
                <w:b w:val="0"/>
                <w:sz w:val="22"/>
                <w:szCs w:val="22"/>
                <w:lang w:val="ro-RO"/>
              </w:rPr>
              <w:t>Hotărârea Guvernului nr.474 din 20.04.2016 „Pentru aprobarea Regulamentului cu privire la modul de aplicare a facilităților fiscale și vamale la importul mijloacelor de transport cu destinație specială”;</w:t>
            </w:r>
          </w:p>
        </w:tc>
      </w:tr>
      <w:tr w:rsidR="0034452A" w:rsidRPr="00911D93" w14:paraId="1A23EA18" w14:textId="77777777" w:rsidTr="00933F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8" w:type="dxa"/>
          </w:tcPr>
          <w:p w14:paraId="75C82442" w14:textId="77777777" w:rsidR="0034452A" w:rsidRPr="001600C8" w:rsidRDefault="0034452A" w:rsidP="00933F2D">
            <w:pPr>
              <w:pStyle w:val="NormalWeb"/>
              <w:spacing w:line="276" w:lineRule="auto"/>
              <w:ind w:firstLine="0"/>
              <w:rPr>
                <w:rFonts w:asciiTheme="majorHAnsi" w:hAnsiTheme="majorHAnsi" w:cstheme="majorHAnsi"/>
                <w:b w:val="0"/>
                <w:noProof/>
                <w:sz w:val="22"/>
                <w:szCs w:val="22"/>
                <w:lang w:val="ro-RO"/>
              </w:rPr>
            </w:pPr>
            <w:r w:rsidRPr="00D418F4">
              <w:rPr>
                <w:rFonts w:asciiTheme="majorHAnsi" w:hAnsiTheme="majorHAnsi" w:cstheme="majorHAnsi"/>
                <w:sz w:val="22"/>
                <w:szCs w:val="22"/>
                <w:lang w:val="ro-RO"/>
              </w:rPr>
              <w:t>Hotărârea Guvernului nr.561 din 18.05.2007 „Cu privire la Sistemul Informațional Integrat Vamal”;</w:t>
            </w:r>
          </w:p>
        </w:tc>
      </w:tr>
      <w:tr w:rsidR="0034452A" w:rsidRPr="00911D93" w14:paraId="7EEB7B6A" w14:textId="77777777" w:rsidTr="00933F2D">
        <w:trPr>
          <w:jc w:val="center"/>
        </w:trPr>
        <w:tc>
          <w:tcPr>
            <w:cnfStyle w:val="001000000000" w:firstRow="0" w:lastRow="0" w:firstColumn="1" w:lastColumn="0" w:oddVBand="0" w:evenVBand="0" w:oddHBand="0" w:evenHBand="0" w:firstRowFirstColumn="0" w:firstRowLastColumn="0" w:lastRowFirstColumn="0" w:lastRowLastColumn="0"/>
            <w:tcW w:w="9928" w:type="dxa"/>
          </w:tcPr>
          <w:p w14:paraId="6ED866C5" w14:textId="77777777" w:rsidR="0034452A" w:rsidRPr="00B20FBD" w:rsidRDefault="0034452A" w:rsidP="00D418F4">
            <w:pPr>
              <w:pStyle w:val="NormalWeb"/>
              <w:spacing w:line="276" w:lineRule="auto"/>
              <w:ind w:firstLine="0"/>
              <w:rPr>
                <w:rFonts w:asciiTheme="majorHAnsi" w:hAnsiTheme="majorHAnsi" w:cstheme="majorHAnsi"/>
                <w:b w:val="0"/>
                <w:noProof/>
                <w:sz w:val="22"/>
                <w:szCs w:val="22"/>
                <w:lang w:val="ro-RO"/>
              </w:rPr>
            </w:pPr>
            <w:r w:rsidRPr="00B20FBD">
              <w:rPr>
                <w:rFonts w:asciiTheme="majorHAnsi" w:hAnsiTheme="majorHAnsi" w:cstheme="majorHAnsi"/>
                <w:b w:val="0"/>
                <w:sz w:val="22"/>
                <w:szCs w:val="22"/>
                <w:lang w:val="ro-RO"/>
              </w:rPr>
              <w:t>Hotărârea Guvernului nr.145 din 26.02.2014 „Pentru aprobarea Regulamentului cu privire la modul de aplicare a facilităților fiscale stabilite în art.103 alin.(1) pct.(29) din Codul fiscal și art.28 lit.q</w:t>
            </w:r>
            <w:r w:rsidRPr="00B20FBD">
              <w:rPr>
                <w:rFonts w:asciiTheme="majorHAnsi" w:hAnsiTheme="majorHAnsi" w:cstheme="majorHAnsi"/>
                <w:b w:val="0"/>
                <w:sz w:val="22"/>
                <w:szCs w:val="22"/>
                <w:vertAlign w:val="superscript"/>
                <w:lang w:val="ro-RO"/>
              </w:rPr>
              <w:t>2</w:t>
            </w:r>
            <w:r w:rsidRPr="00B20FBD">
              <w:rPr>
                <w:rFonts w:asciiTheme="majorHAnsi" w:hAnsiTheme="majorHAnsi" w:cstheme="majorHAnsi"/>
                <w:b w:val="0"/>
                <w:sz w:val="22"/>
                <w:szCs w:val="22"/>
                <w:lang w:val="ro-RO"/>
              </w:rPr>
              <w:t>) din Legea nr.1380 din 20.11.1997 cu privire la tariful vamal”;</w:t>
            </w:r>
          </w:p>
        </w:tc>
      </w:tr>
      <w:tr w:rsidR="0034452A" w:rsidRPr="00911D93" w14:paraId="028054E8" w14:textId="77777777" w:rsidTr="00933F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8" w:type="dxa"/>
          </w:tcPr>
          <w:p w14:paraId="2AEA886C" w14:textId="77777777" w:rsidR="0034452A" w:rsidRPr="00B20FBD" w:rsidRDefault="0034452A" w:rsidP="00933F2D">
            <w:pPr>
              <w:pStyle w:val="NormalWeb"/>
              <w:spacing w:line="276" w:lineRule="auto"/>
              <w:ind w:firstLine="0"/>
              <w:rPr>
                <w:rFonts w:asciiTheme="majorHAnsi" w:hAnsiTheme="majorHAnsi" w:cstheme="majorHAnsi"/>
                <w:b w:val="0"/>
                <w:noProof/>
                <w:sz w:val="22"/>
                <w:szCs w:val="22"/>
                <w:lang w:val="ro-RO"/>
              </w:rPr>
            </w:pPr>
            <w:r w:rsidRPr="00B20FBD">
              <w:rPr>
                <w:rFonts w:asciiTheme="majorHAnsi" w:hAnsiTheme="majorHAnsi" w:cstheme="majorHAnsi"/>
                <w:b w:val="0"/>
                <w:sz w:val="22"/>
                <w:szCs w:val="22"/>
                <w:lang w:val="ro-RO"/>
              </w:rPr>
              <w:t>Ordinul SV nr. 346-O din 24.12.2009 referitor la aprobarea Normelor tehnice privind imprimarea, utilizarea și completarea declarației vamale în detaliu;</w:t>
            </w:r>
          </w:p>
        </w:tc>
      </w:tr>
      <w:tr w:rsidR="0034452A" w:rsidRPr="00911D93" w14:paraId="64E9D4E7" w14:textId="77777777" w:rsidTr="00933F2D">
        <w:trPr>
          <w:jc w:val="center"/>
        </w:trPr>
        <w:tc>
          <w:tcPr>
            <w:cnfStyle w:val="001000000000" w:firstRow="0" w:lastRow="0" w:firstColumn="1" w:lastColumn="0" w:oddVBand="0" w:evenVBand="0" w:oddHBand="0" w:evenHBand="0" w:firstRowFirstColumn="0" w:firstRowLastColumn="0" w:lastRowFirstColumn="0" w:lastRowLastColumn="0"/>
            <w:tcW w:w="9928" w:type="dxa"/>
          </w:tcPr>
          <w:p w14:paraId="1045E834" w14:textId="77777777" w:rsidR="0034452A" w:rsidRPr="00B20FBD" w:rsidRDefault="0034452A" w:rsidP="00933F2D">
            <w:pPr>
              <w:pStyle w:val="NormalWeb"/>
              <w:spacing w:line="276" w:lineRule="auto"/>
              <w:ind w:firstLine="0"/>
              <w:rPr>
                <w:rFonts w:asciiTheme="majorHAnsi" w:hAnsiTheme="majorHAnsi" w:cstheme="majorHAnsi"/>
                <w:b w:val="0"/>
                <w:noProof/>
                <w:sz w:val="22"/>
                <w:szCs w:val="22"/>
                <w:lang w:val="ro-RO"/>
              </w:rPr>
            </w:pPr>
            <w:r w:rsidRPr="00B20FBD">
              <w:rPr>
                <w:rFonts w:asciiTheme="majorHAnsi" w:hAnsiTheme="majorHAnsi" w:cstheme="majorHAnsi"/>
                <w:b w:val="0"/>
                <w:sz w:val="22"/>
                <w:szCs w:val="22"/>
                <w:lang w:val="ro-RO"/>
              </w:rPr>
              <w:t>Ordinul nr. 480-O din 18.12.2006 cu privire la aprobarea Metodologiei de prelucrare a declarației vamale în detaliu;</w:t>
            </w:r>
          </w:p>
        </w:tc>
      </w:tr>
      <w:tr w:rsidR="0034452A" w:rsidRPr="009D294A" w14:paraId="13C569C4" w14:textId="77777777" w:rsidTr="00933F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8" w:type="dxa"/>
          </w:tcPr>
          <w:p w14:paraId="799993BB" w14:textId="77777777" w:rsidR="0034452A" w:rsidRPr="00B20FBD" w:rsidRDefault="0034452A" w:rsidP="00933F2D">
            <w:pPr>
              <w:pStyle w:val="NormalWeb"/>
              <w:spacing w:line="276" w:lineRule="auto"/>
              <w:ind w:firstLine="0"/>
              <w:rPr>
                <w:rFonts w:asciiTheme="majorHAnsi" w:hAnsiTheme="majorHAnsi" w:cstheme="majorHAnsi"/>
                <w:b w:val="0"/>
                <w:noProof/>
                <w:sz w:val="22"/>
                <w:szCs w:val="22"/>
                <w:lang w:val="ro-RO"/>
              </w:rPr>
            </w:pPr>
            <w:r w:rsidRPr="00B20FBD">
              <w:rPr>
                <w:rFonts w:asciiTheme="majorHAnsi" w:hAnsiTheme="majorHAnsi" w:cstheme="majorHAnsi"/>
                <w:b w:val="0"/>
                <w:sz w:val="22"/>
                <w:szCs w:val="22"/>
                <w:lang w:val="ro-RO"/>
              </w:rPr>
              <w:t>Ordinul nr. 276-O din 24.10.2002 cu privire la perfectarea actelor vamale la vămuirea mărfurilor provenite din tranzacțiile economice externe;</w:t>
            </w:r>
          </w:p>
        </w:tc>
      </w:tr>
      <w:tr w:rsidR="0034452A" w:rsidRPr="00911D93" w14:paraId="572C3704" w14:textId="77777777" w:rsidTr="00933F2D">
        <w:trPr>
          <w:jc w:val="center"/>
        </w:trPr>
        <w:tc>
          <w:tcPr>
            <w:cnfStyle w:val="001000000000" w:firstRow="0" w:lastRow="0" w:firstColumn="1" w:lastColumn="0" w:oddVBand="0" w:evenVBand="0" w:oddHBand="0" w:evenHBand="0" w:firstRowFirstColumn="0" w:firstRowLastColumn="0" w:lastRowFirstColumn="0" w:lastRowLastColumn="0"/>
            <w:tcW w:w="9928" w:type="dxa"/>
          </w:tcPr>
          <w:p w14:paraId="17774F5C" w14:textId="41C01019" w:rsidR="0034452A" w:rsidRPr="00B20FBD" w:rsidRDefault="0034452A" w:rsidP="00933F2D">
            <w:pPr>
              <w:pStyle w:val="NormalWeb"/>
              <w:spacing w:line="276" w:lineRule="auto"/>
              <w:ind w:firstLine="0"/>
              <w:rPr>
                <w:rFonts w:asciiTheme="majorHAnsi" w:hAnsiTheme="majorHAnsi" w:cstheme="majorHAnsi"/>
                <w:b w:val="0"/>
                <w:noProof/>
                <w:sz w:val="22"/>
                <w:szCs w:val="22"/>
                <w:lang w:val="ro-RO"/>
              </w:rPr>
            </w:pPr>
            <w:r w:rsidRPr="00B20FBD">
              <w:rPr>
                <w:rFonts w:asciiTheme="majorHAnsi" w:hAnsiTheme="majorHAnsi" w:cstheme="majorHAnsi"/>
                <w:b w:val="0"/>
                <w:sz w:val="22"/>
                <w:szCs w:val="22"/>
                <w:lang w:val="ro-RO"/>
              </w:rPr>
              <w:t>Regulamentul cu privire la procedura de realizare a controlului ulterior de către organele vamale, aprobat prin Hotărârea Guvernului nr.1000 din 17.10.2018</w:t>
            </w:r>
          </w:p>
        </w:tc>
      </w:tr>
      <w:tr w:rsidR="0034452A" w:rsidRPr="00911D93" w14:paraId="0D9E4213" w14:textId="77777777" w:rsidTr="00933F2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8" w:type="dxa"/>
          </w:tcPr>
          <w:p w14:paraId="56476FF1" w14:textId="77777777" w:rsidR="0034452A" w:rsidRPr="00B20FBD" w:rsidRDefault="0034452A" w:rsidP="00933F2D">
            <w:pPr>
              <w:pStyle w:val="NormalWeb"/>
              <w:spacing w:line="276" w:lineRule="auto"/>
              <w:ind w:firstLine="0"/>
              <w:jc w:val="left"/>
              <w:rPr>
                <w:rFonts w:asciiTheme="majorHAnsi" w:hAnsiTheme="majorHAnsi" w:cstheme="majorHAnsi"/>
                <w:noProof/>
                <w:sz w:val="22"/>
                <w:szCs w:val="22"/>
                <w:lang w:val="ro-RO"/>
              </w:rPr>
            </w:pPr>
          </w:p>
        </w:tc>
      </w:tr>
    </w:tbl>
    <w:p w14:paraId="0B599E5C" w14:textId="77777777" w:rsidR="0034452A" w:rsidRPr="00B20FBD" w:rsidRDefault="0034452A" w:rsidP="0034452A">
      <w:pPr>
        <w:pStyle w:val="NormalWeb"/>
        <w:spacing w:line="276" w:lineRule="auto"/>
        <w:ind w:firstLine="0"/>
        <w:jc w:val="right"/>
        <w:rPr>
          <w:rFonts w:asciiTheme="majorHAnsi" w:hAnsiTheme="majorHAnsi" w:cstheme="majorHAnsi"/>
          <w:b/>
          <w:bCs/>
          <w:lang w:val="ro-RO"/>
        </w:rPr>
      </w:pPr>
    </w:p>
    <w:p w14:paraId="7DACAF80" w14:textId="77777777" w:rsidR="00BA578C" w:rsidRDefault="0034452A" w:rsidP="00B750D8">
      <w:pPr>
        <w:tabs>
          <w:tab w:val="left" w:pos="720"/>
        </w:tabs>
        <w:spacing w:after="0"/>
        <w:jc w:val="center"/>
        <w:rPr>
          <w:rFonts w:asciiTheme="majorHAnsi" w:hAnsiTheme="majorHAnsi" w:cstheme="majorHAnsi"/>
          <w:b/>
          <w:i/>
          <w:sz w:val="24"/>
          <w:szCs w:val="24"/>
          <w:lang w:val="ro-RO"/>
        </w:rPr>
      </w:pPr>
      <w:r w:rsidRPr="00B20FBD">
        <w:rPr>
          <w:rFonts w:asciiTheme="majorHAnsi" w:hAnsiTheme="majorHAnsi" w:cstheme="majorHAnsi"/>
          <w:b/>
          <w:i/>
          <w:sz w:val="24"/>
          <w:szCs w:val="24"/>
          <w:lang w:val="ro-RO"/>
        </w:rPr>
        <w:t xml:space="preserve">                                                                                                                                      </w:t>
      </w:r>
      <w:r w:rsidR="00BA578C">
        <w:rPr>
          <w:rFonts w:asciiTheme="majorHAnsi" w:hAnsiTheme="majorHAnsi" w:cstheme="majorHAnsi"/>
          <w:b/>
          <w:i/>
          <w:sz w:val="24"/>
          <w:szCs w:val="24"/>
          <w:lang w:val="ro-RO"/>
        </w:rPr>
        <w:br w:type="page"/>
      </w:r>
    </w:p>
    <w:p w14:paraId="56B8090C" w14:textId="0A732059" w:rsidR="0034452A" w:rsidRPr="00B20FBD" w:rsidRDefault="0034452A" w:rsidP="00B750D8">
      <w:pPr>
        <w:tabs>
          <w:tab w:val="left" w:pos="720"/>
        </w:tabs>
        <w:spacing w:after="0"/>
        <w:jc w:val="center"/>
        <w:rPr>
          <w:rFonts w:asciiTheme="majorHAnsi" w:hAnsiTheme="majorHAnsi" w:cstheme="majorHAnsi"/>
          <w:i/>
          <w:sz w:val="24"/>
          <w:szCs w:val="24"/>
          <w:lang w:val="ro-RO"/>
        </w:rPr>
      </w:pPr>
      <w:r w:rsidRPr="00B20FBD">
        <w:rPr>
          <w:rFonts w:asciiTheme="majorHAnsi" w:hAnsiTheme="majorHAnsi" w:cstheme="majorHAnsi"/>
          <w:i/>
          <w:sz w:val="24"/>
          <w:szCs w:val="24"/>
          <w:lang w:val="ro-RO"/>
        </w:rPr>
        <w:t>Anexa nr.2</w:t>
      </w:r>
    </w:p>
    <w:p w14:paraId="6D3FE461" w14:textId="43D3E6DA" w:rsidR="0034452A" w:rsidRPr="00B20FBD" w:rsidRDefault="0034452A" w:rsidP="0034452A">
      <w:pPr>
        <w:tabs>
          <w:tab w:val="left" w:pos="720"/>
        </w:tabs>
        <w:spacing w:after="0"/>
        <w:jc w:val="center"/>
        <w:rPr>
          <w:rFonts w:asciiTheme="majorHAnsi" w:hAnsiTheme="majorHAnsi" w:cstheme="majorHAnsi"/>
          <w:b/>
          <w:sz w:val="24"/>
          <w:szCs w:val="24"/>
          <w:lang w:val="ro-RO"/>
        </w:rPr>
      </w:pPr>
      <w:r w:rsidRPr="00B20FBD">
        <w:rPr>
          <w:rFonts w:asciiTheme="majorHAnsi" w:eastAsiaTheme="majorEastAsia" w:hAnsiTheme="majorHAnsi" w:cstheme="majorHAnsi"/>
          <w:b/>
          <w:bCs/>
          <w:color w:val="000000" w:themeColor="text1"/>
          <w:kern w:val="24"/>
          <w:lang w:val="ro-RO"/>
        </w:rPr>
        <w:t>Informați</w:t>
      </w:r>
      <w:r w:rsidR="001600C8">
        <w:rPr>
          <w:rFonts w:asciiTheme="majorHAnsi" w:eastAsiaTheme="majorEastAsia" w:hAnsiTheme="majorHAnsi" w:cstheme="majorHAnsi"/>
          <w:b/>
          <w:bCs/>
          <w:color w:val="000000" w:themeColor="text1"/>
          <w:kern w:val="24"/>
          <w:lang w:val="ro-RO"/>
        </w:rPr>
        <w:t>i</w:t>
      </w:r>
      <w:r w:rsidRPr="00B20FBD">
        <w:rPr>
          <w:rFonts w:asciiTheme="majorHAnsi" w:eastAsiaTheme="majorEastAsia" w:hAnsiTheme="majorHAnsi" w:cstheme="majorHAnsi"/>
          <w:b/>
          <w:bCs/>
          <w:color w:val="000000" w:themeColor="text1"/>
          <w:kern w:val="24"/>
          <w:lang w:val="ro-RO"/>
        </w:rPr>
        <w:t xml:space="preserve"> privind veniturile încasate de către SV la bugetul de stat, pe tipuri de taxe</w:t>
      </w:r>
      <w:r w:rsidR="001600C8">
        <w:rPr>
          <w:rFonts w:asciiTheme="majorHAnsi" w:eastAsiaTheme="majorEastAsia" w:hAnsiTheme="majorHAnsi" w:cstheme="majorHAnsi"/>
          <w:b/>
          <w:bCs/>
          <w:color w:val="000000" w:themeColor="text1"/>
          <w:kern w:val="24"/>
          <w:lang w:val="ro-RO"/>
        </w:rPr>
        <w:t>,</w:t>
      </w:r>
      <w:r w:rsidRPr="00B20FBD">
        <w:rPr>
          <w:rFonts w:asciiTheme="majorHAnsi" w:eastAsiaTheme="majorEastAsia" w:hAnsiTheme="majorHAnsi" w:cstheme="majorHAnsi"/>
          <w:b/>
          <w:bCs/>
          <w:color w:val="000000" w:themeColor="text1"/>
          <w:kern w:val="24"/>
          <w:lang w:val="ro-RO"/>
        </w:rPr>
        <w:t xml:space="preserve"> </w:t>
      </w:r>
      <w:r w:rsidR="001600C8">
        <w:rPr>
          <w:rFonts w:asciiTheme="majorHAnsi" w:eastAsiaTheme="majorEastAsia" w:hAnsiTheme="majorHAnsi" w:cstheme="majorHAnsi"/>
          <w:b/>
          <w:bCs/>
          <w:color w:val="000000" w:themeColor="text1"/>
          <w:kern w:val="24"/>
          <w:lang w:val="ro-RO"/>
        </w:rPr>
        <w:t>î</w:t>
      </w:r>
      <w:r w:rsidRPr="00B20FBD">
        <w:rPr>
          <w:rFonts w:asciiTheme="majorHAnsi" w:eastAsiaTheme="majorEastAsia" w:hAnsiTheme="majorHAnsi" w:cstheme="majorHAnsi"/>
          <w:b/>
          <w:bCs/>
          <w:color w:val="000000" w:themeColor="text1"/>
          <w:kern w:val="24"/>
          <w:lang w:val="ro-RO"/>
        </w:rPr>
        <w:t>n anul 2020</w:t>
      </w:r>
    </w:p>
    <w:tbl>
      <w:tblPr>
        <w:tblW w:w="9918" w:type="dxa"/>
        <w:jc w:val="center"/>
        <w:tblLook w:val="04A0" w:firstRow="1" w:lastRow="0" w:firstColumn="1" w:lastColumn="0" w:noHBand="0" w:noVBand="1"/>
      </w:tblPr>
      <w:tblGrid>
        <w:gridCol w:w="1559"/>
        <w:gridCol w:w="2547"/>
        <w:gridCol w:w="1559"/>
        <w:gridCol w:w="1701"/>
        <w:gridCol w:w="1560"/>
        <w:gridCol w:w="992"/>
      </w:tblGrid>
      <w:tr w:rsidR="0034452A" w:rsidRPr="00B20FBD" w14:paraId="64E6B0E6" w14:textId="77777777" w:rsidTr="00933F2D">
        <w:trPr>
          <w:trHeight w:val="828"/>
          <w:jc w:val="center"/>
        </w:trPr>
        <w:tc>
          <w:tcPr>
            <w:tcW w:w="1559" w:type="dxa"/>
            <w:tcBorders>
              <w:top w:val="single" w:sz="4" w:space="0" w:color="auto"/>
              <w:left w:val="single" w:sz="4" w:space="0" w:color="auto"/>
              <w:bottom w:val="single" w:sz="4" w:space="0" w:color="auto"/>
              <w:right w:val="single" w:sz="4" w:space="0" w:color="auto"/>
            </w:tcBorders>
            <w:shd w:val="clear" w:color="auto" w:fill="0000FF"/>
            <w:noWrap/>
            <w:vAlign w:val="center"/>
            <w:hideMark/>
          </w:tcPr>
          <w:p w14:paraId="472940F8" w14:textId="77777777" w:rsidR="0034452A" w:rsidRPr="00B20FBD" w:rsidRDefault="0034452A" w:rsidP="00933F2D">
            <w:pPr>
              <w:spacing w:after="0" w:line="240" w:lineRule="auto"/>
              <w:jc w:val="center"/>
              <w:rPr>
                <w:rFonts w:asciiTheme="majorHAnsi" w:eastAsia="Times New Roman" w:hAnsiTheme="majorHAnsi" w:cstheme="majorHAnsi"/>
                <w:b/>
                <w:bCs/>
                <w:color w:val="FFFFFF" w:themeColor="background1"/>
                <w:sz w:val="20"/>
                <w:szCs w:val="20"/>
                <w:lang w:val="ro-RO"/>
              </w:rPr>
            </w:pPr>
            <w:r w:rsidRPr="00B20FBD">
              <w:rPr>
                <w:rFonts w:asciiTheme="majorHAnsi" w:eastAsia="Times New Roman" w:hAnsiTheme="majorHAnsi" w:cstheme="majorHAnsi"/>
                <w:b/>
                <w:bCs/>
                <w:color w:val="FFFFFF" w:themeColor="background1"/>
                <w:sz w:val="20"/>
                <w:szCs w:val="20"/>
                <w:lang w:val="ro-RO"/>
              </w:rPr>
              <w:t>Cap.</w:t>
            </w:r>
          </w:p>
        </w:tc>
        <w:tc>
          <w:tcPr>
            <w:tcW w:w="2547" w:type="dxa"/>
            <w:tcBorders>
              <w:top w:val="single" w:sz="4" w:space="0" w:color="auto"/>
              <w:left w:val="single" w:sz="4" w:space="0" w:color="auto"/>
              <w:bottom w:val="single" w:sz="4" w:space="0" w:color="auto"/>
              <w:right w:val="single" w:sz="4" w:space="0" w:color="auto"/>
            </w:tcBorders>
            <w:shd w:val="clear" w:color="auto" w:fill="0000FF"/>
            <w:noWrap/>
            <w:vAlign w:val="center"/>
            <w:hideMark/>
          </w:tcPr>
          <w:p w14:paraId="14AE3AF2" w14:textId="334C1C2E" w:rsidR="0034452A" w:rsidRPr="00B20FBD" w:rsidRDefault="0034452A" w:rsidP="001600C8">
            <w:pPr>
              <w:spacing w:after="0" w:line="240" w:lineRule="auto"/>
              <w:jc w:val="center"/>
              <w:rPr>
                <w:rFonts w:asciiTheme="majorHAnsi" w:eastAsia="Times New Roman" w:hAnsiTheme="majorHAnsi" w:cstheme="majorHAnsi"/>
                <w:b/>
                <w:bCs/>
                <w:color w:val="FFFFFF" w:themeColor="background1"/>
                <w:sz w:val="20"/>
                <w:szCs w:val="20"/>
                <w:lang w:val="ro-RO"/>
              </w:rPr>
            </w:pPr>
            <w:r w:rsidRPr="00B20FBD">
              <w:rPr>
                <w:rFonts w:asciiTheme="majorHAnsi" w:eastAsia="Times New Roman" w:hAnsiTheme="majorHAnsi" w:cstheme="majorHAnsi"/>
                <w:b/>
                <w:bCs/>
                <w:color w:val="FFFFFF" w:themeColor="background1"/>
                <w:sz w:val="20"/>
                <w:szCs w:val="20"/>
                <w:lang w:val="ro-RO"/>
              </w:rPr>
              <w:t xml:space="preserve">Impozite </w:t>
            </w:r>
            <w:r w:rsidR="001600C8">
              <w:rPr>
                <w:rFonts w:asciiTheme="majorHAnsi" w:eastAsia="Times New Roman" w:hAnsiTheme="majorHAnsi" w:cstheme="majorHAnsi"/>
                <w:b/>
                <w:bCs/>
                <w:color w:val="FFFFFF" w:themeColor="background1"/>
                <w:sz w:val="20"/>
                <w:szCs w:val="20"/>
                <w:lang w:val="ro-RO"/>
              </w:rPr>
              <w:t>ș</w:t>
            </w:r>
            <w:r w:rsidRPr="00B20FBD">
              <w:rPr>
                <w:rFonts w:asciiTheme="majorHAnsi" w:eastAsia="Times New Roman" w:hAnsiTheme="majorHAnsi" w:cstheme="majorHAnsi"/>
                <w:b/>
                <w:bCs/>
                <w:color w:val="FFFFFF" w:themeColor="background1"/>
                <w:sz w:val="20"/>
                <w:szCs w:val="20"/>
                <w:lang w:val="ro-RO"/>
              </w:rPr>
              <w:t>i taxe</w:t>
            </w:r>
          </w:p>
        </w:tc>
        <w:tc>
          <w:tcPr>
            <w:tcW w:w="1559" w:type="dxa"/>
            <w:tcBorders>
              <w:top w:val="single" w:sz="4" w:space="0" w:color="auto"/>
              <w:left w:val="single" w:sz="4" w:space="0" w:color="auto"/>
              <w:bottom w:val="single" w:sz="4" w:space="0" w:color="auto"/>
              <w:right w:val="single" w:sz="4" w:space="0" w:color="auto"/>
            </w:tcBorders>
            <w:shd w:val="clear" w:color="auto" w:fill="0000FF"/>
            <w:vAlign w:val="center"/>
            <w:hideMark/>
          </w:tcPr>
          <w:p w14:paraId="7B180903" w14:textId="77777777" w:rsidR="0034452A" w:rsidRPr="00B20FBD" w:rsidRDefault="0034452A" w:rsidP="00933F2D">
            <w:pPr>
              <w:spacing w:after="0" w:line="240" w:lineRule="auto"/>
              <w:jc w:val="center"/>
              <w:rPr>
                <w:rFonts w:asciiTheme="majorHAnsi" w:eastAsia="Times New Roman" w:hAnsiTheme="majorHAnsi" w:cstheme="majorHAnsi"/>
                <w:b/>
                <w:bCs/>
                <w:color w:val="FFFFFF" w:themeColor="background1"/>
                <w:sz w:val="20"/>
                <w:szCs w:val="20"/>
                <w:lang w:val="ro-RO"/>
              </w:rPr>
            </w:pPr>
            <w:r w:rsidRPr="00B20FBD">
              <w:rPr>
                <w:rFonts w:asciiTheme="majorHAnsi" w:eastAsia="Times New Roman" w:hAnsiTheme="majorHAnsi" w:cstheme="majorHAnsi"/>
                <w:b/>
                <w:bCs/>
                <w:color w:val="FFFFFF" w:themeColor="background1"/>
                <w:sz w:val="20"/>
                <w:szCs w:val="20"/>
                <w:lang w:val="ro-RO"/>
              </w:rPr>
              <w:t>Cifra de control pentru anul 2020</w:t>
            </w:r>
          </w:p>
          <w:p w14:paraId="641EB3A5" w14:textId="370A81C5" w:rsidR="0034452A" w:rsidRPr="00B20FBD" w:rsidRDefault="0034452A" w:rsidP="001600C8">
            <w:pPr>
              <w:spacing w:after="0" w:line="240" w:lineRule="auto"/>
              <w:jc w:val="center"/>
              <w:rPr>
                <w:rFonts w:asciiTheme="majorHAnsi" w:eastAsia="Times New Roman" w:hAnsiTheme="majorHAnsi" w:cstheme="majorHAnsi"/>
                <w:b/>
                <w:bCs/>
                <w:color w:val="FFFFFF" w:themeColor="background1"/>
                <w:sz w:val="20"/>
                <w:szCs w:val="20"/>
                <w:lang w:val="ro-RO"/>
              </w:rPr>
            </w:pPr>
            <w:r w:rsidRPr="00B20FBD">
              <w:rPr>
                <w:rFonts w:asciiTheme="majorHAnsi" w:eastAsia="Times New Roman" w:hAnsiTheme="majorHAnsi" w:cstheme="majorHAnsi"/>
                <w:b/>
                <w:bCs/>
                <w:color w:val="FFFFFF" w:themeColor="background1"/>
                <w:sz w:val="20"/>
                <w:szCs w:val="20"/>
                <w:lang w:val="ro-RO"/>
              </w:rPr>
              <w:t>(mii lei)</w:t>
            </w:r>
          </w:p>
        </w:tc>
        <w:tc>
          <w:tcPr>
            <w:tcW w:w="1701" w:type="dxa"/>
            <w:tcBorders>
              <w:top w:val="single" w:sz="4" w:space="0" w:color="auto"/>
              <w:left w:val="single" w:sz="4" w:space="0" w:color="auto"/>
              <w:bottom w:val="single" w:sz="4" w:space="0" w:color="auto"/>
              <w:right w:val="single" w:sz="4" w:space="0" w:color="auto"/>
            </w:tcBorders>
            <w:shd w:val="clear" w:color="auto" w:fill="0000FF"/>
            <w:vAlign w:val="center"/>
            <w:hideMark/>
          </w:tcPr>
          <w:p w14:paraId="08DEAF04" w14:textId="756FA4AD" w:rsidR="0034452A" w:rsidRPr="00B20FBD" w:rsidRDefault="0034452A" w:rsidP="00933F2D">
            <w:pPr>
              <w:spacing w:after="0" w:line="240" w:lineRule="auto"/>
              <w:jc w:val="center"/>
              <w:rPr>
                <w:rFonts w:asciiTheme="majorHAnsi" w:eastAsia="Times New Roman" w:hAnsiTheme="majorHAnsi" w:cstheme="majorHAnsi"/>
                <w:b/>
                <w:bCs/>
                <w:color w:val="FFFFFF" w:themeColor="background1"/>
                <w:sz w:val="20"/>
                <w:szCs w:val="20"/>
                <w:lang w:val="ro-RO"/>
              </w:rPr>
            </w:pPr>
            <w:r w:rsidRPr="00B20FBD">
              <w:rPr>
                <w:rFonts w:asciiTheme="majorHAnsi" w:eastAsia="Times New Roman" w:hAnsiTheme="majorHAnsi" w:cstheme="majorHAnsi"/>
                <w:b/>
                <w:bCs/>
                <w:color w:val="FFFFFF" w:themeColor="background1"/>
                <w:sz w:val="20"/>
                <w:szCs w:val="20"/>
                <w:lang w:val="ro-RO"/>
              </w:rPr>
              <w:t>Calculat drepturi de im</w:t>
            </w:r>
            <w:r w:rsidR="001600C8">
              <w:rPr>
                <w:rFonts w:asciiTheme="majorHAnsi" w:eastAsia="Times New Roman" w:hAnsiTheme="majorHAnsi" w:cstheme="majorHAnsi"/>
                <w:b/>
                <w:bCs/>
                <w:color w:val="FFFFFF" w:themeColor="background1"/>
                <w:sz w:val="20"/>
                <w:szCs w:val="20"/>
                <w:lang w:val="ro-RO"/>
              </w:rPr>
              <w:t>port</w:t>
            </w:r>
            <w:r w:rsidRPr="00B20FBD">
              <w:rPr>
                <w:rFonts w:asciiTheme="majorHAnsi" w:eastAsia="Times New Roman" w:hAnsiTheme="majorHAnsi" w:cstheme="majorHAnsi"/>
                <w:b/>
                <w:bCs/>
                <w:color w:val="FFFFFF" w:themeColor="background1"/>
                <w:sz w:val="20"/>
                <w:szCs w:val="20"/>
                <w:lang w:val="ro-RO"/>
              </w:rPr>
              <w:t>-ex</w:t>
            </w:r>
            <w:r w:rsidR="001600C8">
              <w:rPr>
                <w:rFonts w:asciiTheme="majorHAnsi" w:eastAsia="Times New Roman" w:hAnsiTheme="majorHAnsi" w:cstheme="majorHAnsi"/>
                <w:b/>
                <w:bCs/>
                <w:color w:val="FFFFFF" w:themeColor="background1"/>
                <w:sz w:val="20"/>
                <w:szCs w:val="20"/>
                <w:lang w:val="ro-RO"/>
              </w:rPr>
              <w:t>port,</w:t>
            </w:r>
            <w:r w:rsidRPr="00B20FBD">
              <w:rPr>
                <w:rFonts w:asciiTheme="majorHAnsi" w:eastAsia="Times New Roman" w:hAnsiTheme="majorHAnsi" w:cstheme="majorHAnsi"/>
                <w:b/>
                <w:bCs/>
                <w:color w:val="FFFFFF" w:themeColor="background1"/>
                <w:sz w:val="20"/>
                <w:szCs w:val="20"/>
                <w:lang w:val="ro-RO"/>
              </w:rPr>
              <w:t xml:space="preserve"> anul 2020</w:t>
            </w:r>
          </w:p>
          <w:p w14:paraId="61ECD969" w14:textId="29214686" w:rsidR="0034452A" w:rsidRPr="00B20FBD" w:rsidRDefault="0034452A" w:rsidP="001600C8">
            <w:pPr>
              <w:spacing w:after="0" w:line="240" w:lineRule="auto"/>
              <w:jc w:val="center"/>
              <w:rPr>
                <w:rFonts w:asciiTheme="majorHAnsi" w:eastAsia="Times New Roman" w:hAnsiTheme="majorHAnsi" w:cstheme="majorHAnsi"/>
                <w:b/>
                <w:bCs/>
                <w:color w:val="FFFFFF" w:themeColor="background1"/>
                <w:sz w:val="20"/>
                <w:szCs w:val="20"/>
                <w:lang w:val="ro-RO"/>
              </w:rPr>
            </w:pPr>
            <w:r w:rsidRPr="00B20FBD">
              <w:rPr>
                <w:rFonts w:asciiTheme="majorHAnsi" w:eastAsia="Times New Roman" w:hAnsiTheme="majorHAnsi" w:cstheme="majorHAnsi"/>
                <w:b/>
                <w:bCs/>
                <w:color w:val="FFFFFF" w:themeColor="background1"/>
                <w:sz w:val="20"/>
                <w:szCs w:val="20"/>
                <w:lang w:val="ro-RO"/>
              </w:rPr>
              <w:t>(mii lei)</w:t>
            </w:r>
          </w:p>
        </w:tc>
        <w:tc>
          <w:tcPr>
            <w:tcW w:w="1560" w:type="dxa"/>
            <w:tcBorders>
              <w:top w:val="single" w:sz="4" w:space="0" w:color="auto"/>
              <w:left w:val="single" w:sz="4" w:space="0" w:color="auto"/>
              <w:bottom w:val="single" w:sz="4" w:space="0" w:color="auto"/>
              <w:right w:val="single" w:sz="4" w:space="0" w:color="auto"/>
            </w:tcBorders>
            <w:shd w:val="clear" w:color="auto" w:fill="0000FF"/>
            <w:vAlign w:val="center"/>
            <w:hideMark/>
          </w:tcPr>
          <w:p w14:paraId="565D6A62" w14:textId="6B3F99C4" w:rsidR="0034452A" w:rsidRPr="00B20FBD" w:rsidRDefault="0034452A" w:rsidP="00933F2D">
            <w:pPr>
              <w:spacing w:after="0" w:line="240" w:lineRule="auto"/>
              <w:jc w:val="center"/>
              <w:rPr>
                <w:rFonts w:asciiTheme="majorHAnsi" w:eastAsia="Times New Roman" w:hAnsiTheme="majorHAnsi" w:cstheme="majorHAnsi"/>
                <w:b/>
                <w:bCs/>
                <w:color w:val="FFFFFF" w:themeColor="background1"/>
                <w:sz w:val="20"/>
                <w:szCs w:val="20"/>
                <w:lang w:val="ro-RO"/>
              </w:rPr>
            </w:pPr>
            <w:r w:rsidRPr="00B20FBD">
              <w:rPr>
                <w:rFonts w:asciiTheme="majorHAnsi" w:eastAsia="Times New Roman" w:hAnsiTheme="majorHAnsi" w:cstheme="majorHAnsi"/>
                <w:b/>
                <w:bCs/>
                <w:color w:val="FFFFFF" w:themeColor="background1"/>
                <w:sz w:val="20"/>
                <w:szCs w:val="20"/>
                <w:lang w:val="ro-RO"/>
              </w:rPr>
              <w:t xml:space="preserve">Executarea </w:t>
            </w:r>
            <w:r w:rsidR="001600C8">
              <w:rPr>
                <w:rFonts w:asciiTheme="majorHAnsi" w:eastAsia="Times New Roman" w:hAnsiTheme="majorHAnsi" w:cstheme="majorHAnsi"/>
                <w:b/>
                <w:bCs/>
                <w:color w:val="FFFFFF" w:themeColor="background1"/>
                <w:sz w:val="20"/>
                <w:szCs w:val="20"/>
                <w:lang w:val="ro-RO"/>
              </w:rPr>
              <w:t>c</w:t>
            </w:r>
            <w:r w:rsidRPr="00B20FBD">
              <w:rPr>
                <w:rFonts w:asciiTheme="majorHAnsi" w:eastAsia="Times New Roman" w:hAnsiTheme="majorHAnsi" w:cstheme="majorHAnsi"/>
                <w:b/>
                <w:bCs/>
                <w:color w:val="FFFFFF" w:themeColor="background1"/>
                <w:sz w:val="20"/>
                <w:szCs w:val="20"/>
                <w:lang w:val="ro-RO"/>
              </w:rPr>
              <w:t xml:space="preserve">ifrei de </w:t>
            </w:r>
            <w:r w:rsidR="001600C8">
              <w:rPr>
                <w:rFonts w:asciiTheme="majorHAnsi" w:eastAsia="Times New Roman" w:hAnsiTheme="majorHAnsi" w:cstheme="majorHAnsi"/>
                <w:b/>
                <w:bCs/>
                <w:color w:val="FFFFFF" w:themeColor="background1"/>
                <w:sz w:val="20"/>
                <w:szCs w:val="20"/>
                <w:lang w:val="ro-RO"/>
              </w:rPr>
              <w:t>c</w:t>
            </w:r>
            <w:r w:rsidRPr="00B20FBD">
              <w:rPr>
                <w:rFonts w:asciiTheme="majorHAnsi" w:eastAsia="Times New Roman" w:hAnsiTheme="majorHAnsi" w:cstheme="majorHAnsi"/>
                <w:b/>
                <w:bCs/>
                <w:color w:val="FFFFFF" w:themeColor="background1"/>
                <w:sz w:val="20"/>
                <w:szCs w:val="20"/>
                <w:lang w:val="ro-RO"/>
              </w:rPr>
              <w:t>ontrol</w:t>
            </w:r>
            <w:r w:rsidR="001600C8">
              <w:rPr>
                <w:rFonts w:asciiTheme="majorHAnsi" w:eastAsia="Times New Roman" w:hAnsiTheme="majorHAnsi" w:cstheme="majorHAnsi"/>
                <w:b/>
                <w:bCs/>
                <w:color w:val="FFFFFF" w:themeColor="background1"/>
                <w:sz w:val="20"/>
                <w:szCs w:val="20"/>
                <w:lang w:val="ro-RO"/>
              </w:rPr>
              <w:t>,</w:t>
            </w:r>
            <w:r w:rsidRPr="00B20FBD">
              <w:rPr>
                <w:rFonts w:asciiTheme="majorHAnsi" w:eastAsia="Times New Roman" w:hAnsiTheme="majorHAnsi" w:cstheme="majorHAnsi"/>
                <w:b/>
                <w:bCs/>
                <w:color w:val="FFFFFF" w:themeColor="background1"/>
                <w:sz w:val="20"/>
                <w:szCs w:val="20"/>
                <w:lang w:val="ro-RO"/>
              </w:rPr>
              <w:t xml:space="preserve"> 2020</w:t>
            </w:r>
          </w:p>
          <w:p w14:paraId="58C71841" w14:textId="01FAF502" w:rsidR="0034452A" w:rsidRPr="00B20FBD" w:rsidRDefault="0034452A" w:rsidP="001600C8">
            <w:pPr>
              <w:spacing w:after="0" w:line="240" w:lineRule="auto"/>
              <w:jc w:val="center"/>
              <w:rPr>
                <w:rFonts w:asciiTheme="majorHAnsi" w:eastAsia="Times New Roman" w:hAnsiTheme="majorHAnsi" w:cstheme="majorHAnsi"/>
                <w:b/>
                <w:bCs/>
                <w:color w:val="FFFFFF" w:themeColor="background1"/>
                <w:sz w:val="20"/>
                <w:szCs w:val="20"/>
                <w:lang w:val="ro-RO"/>
              </w:rPr>
            </w:pPr>
            <w:r w:rsidRPr="00B20FBD">
              <w:rPr>
                <w:rFonts w:asciiTheme="majorHAnsi" w:eastAsia="Times New Roman" w:hAnsiTheme="majorHAnsi" w:cstheme="majorHAnsi"/>
                <w:b/>
                <w:bCs/>
                <w:color w:val="FFFFFF" w:themeColor="background1"/>
                <w:sz w:val="20"/>
                <w:szCs w:val="20"/>
                <w:lang w:val="ro-RO"/>
              </w:rPr>
              <w:t>(mii lei)</w:t>
            </w:r>
          </w:p>
        </w:tc>
        <w:tc>
          <w:tcPr>
            <w:tcW w:w="992" w:type="dxa"/>
            <w:tcBorders>
              <w:top w:val="single" w:sz="4" w:space="0" w:color="auto"/>
              <w:left w:val="single" w:sz="4" w:space="0" w:color="auto"/>
              <w:bottom w:val="single" w:sz="4" w:space="0" w:color="auto"/>
              <w:right w:val="single" w:sz="4" w:space="0" w:color="auto"/>
            </w:tcBorders>
            <w:shd w:val="clear" w:color="auto" w:fill="0000FF"/>
            <w:vAlign w:val="center"/>
            <w:hideMark/>
          </w:tcPr>
          <w:p w14:paraId="68FA499B" w14:textId="77777777" w:rsidR="0034452A" w:rsidRPr="00B20FBD" w:rsidRDefault="0034452A" w:rsidP="00933F2D">
            <w:pPr>
              <w:spacing w:after="0" w:line="240" w:lineRule="auto"/>
              <w:jc w:val="center"/>
              <w:rPr>
                <w:rFonts w:asciiTheme="majorHAnsi" w:eastAsia="Times New Roman" w:hAnsiTheme="majorHAnsi" w:cstheme="majorHAnsi"/>
                <w:b/>
                <w:bCs/>
                <w:color w:val="FFFFFF" w:themeColor="background1"/>
                <w:sz w:val="20"/>
                <w:szCs w:val="20"/>
                <w:lang w:val="ro-RO"/>
              </w:rPr>
            </w:pPr>
            <w:r w:rsidRPr="00B20FBD">
              <w:rPr>
                <w:rFonts w:asciiTheme="majorHAnsi" w:eastAsia="Times New Roman" w:hAnsiTheme="majorHAnsi" w:cstheme="majorHAnsi"/>
                <w:b/>
                <w:bCs/>
                <w:color w:val="FFFFFF" w:themeColor="background1"/>
                <w:sz w:val="20"/>
                <w:szCs w:val="20"/>
                <w:lang w:val="ro-RO"/>
              </w:rPr>
              <w:t>(%)</w:t>
            </w:r>
          </w:p>
        </w:tc>
      </w:tr>
      <w:tr w:rsidR="0034452A" w:rsidRPr="00B20FBD" w14:paraId="5E22872B" w14:textId="77777777" w:rsidTr="00933F2D">
        <w:trPr>
          <w:trHeight w:val="288"/>
          <w:jc w:val="center"/>
        </w:trPr>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011D4F7C" w14:textId="77777777" w:rsidR="0034452A" w:rsidRPr="00B20FBD" w:rsidRDefault="0034452A" w:rsidP="00933F2D">
            <w:pPr>
              <w:spacing w:after="0" w:line="240" w:lineRule="auto"/>
              <w:jc w:val="center"/>
              <w:rPr>
                <w:rFonts w:asciiTheme="majorHAnsi" w:eastAsia="Times New Roman" w:hAnsiTheme="majorHAnsi" w:cstheme="majorHAnsi"/>
                <w:b/>
                <w:i/>
                <w:sz w:val="20"/>
                <w:szCs w:val="20"/>
                <w:lang w:val="ro-RO"/>
              </w:rPr>
            </w:pPr>
            <w:r w:rsidRPr="00B20FBD">
              <w:rPr>
                <w:rFonts w:asciiTheme="majorHAnsi" w:eastAsia="Times New Roman" w:hAnsiTheme="majorHAnsi" w:cstheme="majorHAnsi"/>
                <w:b/>
                <w:i/>
                <w:sz w:val="20"/>
                <w:szCs w:val="20"/>
                <w:lang w:val="ro-RO"/>
              </w:rPr>
              <w:t>1</w:t>
            </w:r>
          </w:p>
        </w:tc>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5C7EF90C" w14:textId="77777777" w:rsidR="0034452A" w:rsidRPr="00B20FBD" w:rsidRDefault="0034452A" w:rsidP="00933F2D">
            <w:pPr>
              <w:spacing w:after="0" w:line="240" w:lineRule="auto"/>
              <w:jc w:val="center"/>
              <w:rPr>
                <w:rFonts w:asciiTheme="majorHAnsi" w:eastAsia="Times New Roman" w:hAnsiTheme="majorHAnsi" w:cstheme="majorHAnsi"/>
                <w:b/>
                <w:i/>
                <w:sz w:val="20"/>
                <w:szCs w:val="20"/>
                <w:lang w:val="ro-RO"/>
              </w:rPr>
            </w:pPr>
            <w:r w:rsidRPr="00B20FBD">
              <w:rPr>
                <w:rFonts w:asciiTheme="majorHAnsi" w:eastAsia="Times New Roman" w:hAnsiTheme="majorHAnsi" w:cstheme="majorHAnsi"/>
                <w:b/>
                <w:i/>
                <w:sz w:val="20"/>
                <w:szCs w:val="20"/>
                <w:lang w:val="ro-RO"/>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0E2539A0" w14:textId="77777777" w:rsidR="0034452A" w:rsidRPr="00B20FBD" w:rsidRDefault="0034452A" w:rsidP="00933F2D">
            <w:pPr>
              <w:spacing w:after="0" w:line="240" w:lineRule="auto"/>
              <w:jc w:val="center"/>
              <w:rPr>
                <w:rFonts w:asciiTheme="majorHAnsi" w:eastAsia="Times New Roman" w:hAnsiTheme="majorHAnsi" w:cstheme="majorHAnsi"/>
                <w:b/>
                <w:i/>
                <w:sz w:val="20"/>
                <w:szCs w:val="20"/>
                <w:lang w:val="ro-RO"/>
              </w:rPr>
            </w:pPr>
            <w:r w:rsidRPr="00B20FBD">
              <w:rPr>
                <w:rFonts w:asciiTheme="majorHAnsi" w:eastAsia="Times New Roman" w:hAnsiTheme="majorHAnsi" w:cstheme="majorHAnsi"/>
                <w:b/>
                <w:i/>
                <w:sz w:val="20"/>
                <w:szCs w:val="20"/>
                <w:lang w:val="ro-RO"/>
              </w:rPr>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5205C28" w14:textId="77777777" w:rsidR="0034452A" w:rsidRPr="00B20FBD" w:rsidRDefault="0034452A" w:rsidP="00933F2D">
            <w:pPr>
              <w:spacing w:after="0" w:line="240" w:lineRule="auto"/>
              <w:jc w:val="center"/>
              <w:rPr>
                <w:rFonts w:asciiTheme="majorHAnsi" w:eastAsia="Times New Roman" w:hAnsiTheme="majorHAnsi" w:cstheme="majorHAnsi"/>
                <w:b/>
                <w:i/>
                <w:sz w:val="20"/>
                <w:szCs w:val="20"/>
                <w:lang w:val="ro-RO"/>
              </w:rPr>
            </w:pPr>
            <w:r w:rsidRPr="00B20FBD">
              <w:rPr>
                <w:rFonts w:asciiTheme="majorHAnsi" w:eastAsia="Times New Roman" w:hAnsiTheme="majorHAnsi" w:cstheme="majorHAnsi"/>
                <w:b/>
                <w:i/>
                <w:sz w:val="20"/>
                <w:szCs w:val="20"/>
                <w:lang w:val="ro-RO"/>
              </w:rPr>
              <w:t>4</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14:paraId="057C4ABE" w14:textId="77777777" w:rsidR="0034452A" w:rsidRPr="00B20FBD" w:rsidRDefault="0034452A" w:rsidP="00933F2D">
            <w:pPr>
              <w:spacing w:after="0" w:line="240" w:lineRule="auto"/>
              <w:jc w:val="center"/>
              <w:rPr>
                <w:rFonts w:asciiTheme="majorHAnsi" w:eastAsia="Times New Roman" w:hAnsiTheme="majorHAnsi" w:cstheme="majorHAnsi"/>
                <w:b/>
                <w:i/>
                <w:sz w:val="20"/>
                <w:szCs w:val="20"/>
                <w:lang w:val="ro-RO"/>
              </w:rPr>
            </w:pPr>
            <w:r w:rsidRPr="00B20FBD">
              <w:rPr>
                <w:rFonts w:asciiTheme="majorHAnsi" w:eastAsia="Times New Roman" w:hAnsiTheme="majorHAnsi" w:cstheme="majorHAnsi"/>
                <w:b/>
                <w:i/>
                <w:sz w:val="20"/>
                <w:szCs w:val="20"/>
                <w:lang w:val="ro-RO"/>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0C4C1732" w14:textId="77777777" w:rsidR="0034452A" w:rsidRPr="00B20FBD" w:rsidRDefault="0034452A" w:rsidP="00933F2D">
            <w:pPr>
              <w:spacing w:after="0" w:line="240" w:lineRule="auto"/>
              <w:jc w:val="center"/>
              <w:rPr>
                <w:rFonts w:asciiTheme="majorHAnsi" w:eastAsia="Times New Roman" w:hAnsiTheme="majorHAnsi" w:cstheme="majorHAnsi"/>
                <w:b/>
                <w:i/>
                <w:sz w:val="20"/>
                <w:szCs w:val="20"/>
                <w:lang w:val="ro-RO"/>
              </w:rPr>
            </w:pPr>
            <w:r w:rsidRPr="00B20FBD">
              <w:rPr>
                <w:rFonts w:asciiTheme="majorHAnsi" w:eastAsia="Times New Roman" w:hAnsiTheme="majorHAnsi" w:cstheme="majorHAnsi"/>
                <w:b/>
                <w:i/>
                <w:sz w:val="20"/>
                <w:szCs w:val="20"/>
                <w:lang w:val="ro-RO"/>
              </w:rPr>
              <w:t>6</w:t>
            </w:r>
          </w:p>
        </w:tc>
      </w:tr>
      <w:tr w:rsidR="0034452A" w:rsidRPr="00B20FBD" w14:paraId="6E0053BF" w14:textId="77777777" w:rsidTr="00933F2D">
        <w:trPr>
          <w:trHeight w:val="429"/>
          <w:jc w:val="center"/>
        </w:trPr>
        <w:tc>
          <w:tcPr>
            <w:tcW w:w="1559" w:type="dxa"/>
            <w:tcBorders>
              <w:top w:val="single" w:sz="4" w:space="0" w:color="auto"/>
              <w:left w:val="single" w:sz="4" w:space="0" w:color="auto"/>
              <w:bottom w:val="single" w:sz="4" w:space="0" w:color="auto"/>
              <w:right w:val="single" w:sz="4" w:space="0" w:color="auto"/>
            </w:tcBorders>
            <w:shd w:val="clear" w:color="D9E1F2" w:fill="D9E1F2"/>
            <w:noWrap/>
            <w:hideMark/>
          </w:tcPr>
          <w:p w14:paraId="6DA86AB0" w14:textId="77777777" w:rsidR="0034452A" w:rsidRPr="00B20FBD" w:rsidRDefault="0034452A" w:rsidP="00933F2D">
            <w:pPr>
              <w:spacing w:after="0" w:line="240" w:lineRule="auto"/>
              <w:jc w:val="center"/>
              <w:rPr>
                <w:rFonts w:asciiTheme="majorHAnsi" w:eastAsia="Times New Roman" w:hAnsiTheme="majorHAnsi" w:cstheme="majorHAnsi"/>
                <w:b/>
                <w:bCs/>
                <w:i/>
                <w:iCs/>
                <w:color w:val="000000"/>
                <w:sz w:val="20"/>
                <w:szCs w:val="20"/>
                <w:lang w:val="ro-RO"/>
              </w:rPr>
            </w:pPr>
            <w:r w:rsidRPr="00B20FBD">
              <w:rPr>
                <w:rFonts w:asciiTheme="majorHAnsi" w:eastAsia="Times New Roman" w:hAnsiTheme="majorHAnsi" w:cstheme="majorHAnsi"/>
                <w:b/>
                <w:bCs/>
                <w:i/>
                <w:iCs/>
                <w:color w:val="000000"/>
                <w:sz w:val="20"/>
                <w:szCs w:val="20"/>
                <w:lang w:val="ro-RO"/>
              </w:rPr>
              <w:t>114120</w:t>
            </w:r>
          </w:p>
        </w:tc>
        <w:tc>
          <w:tcPr>
            <w:tcW w:w="2547" w:type="dxa"/>
            <w:tcBorders>
              <w:top w:val="single" w:sz="4" w:space="0" w:color="auto"/>
              <w:left w:val="single" w:sz="4" w:space="0" w:color="auto"/>
              <w:bottom w:val="single" w:sz="4" w:space="0" w:color="auto"/>
              <w:right w:val="single" w:sz="4" w:space="0" w:color="auto"/>
            </w:tcBorders>
            <w:shd w:val="clear" w:color="D9E1F2" w:fill="D9E1F2"/>
            <w:hideMark/>
          </w:tcPr>
          <w:p w14:paraId="7111DB9E" w14:textId="77777777" w:rsidR="0034452A" w:rsidRPr="00B20FBD" w:rsidRDefault="0034452A" w:rsidP="00933F2D">
            <w:pPr>
              <w:spacing w:after="0" w:line="240" w:lineRule="auto"/>
              <w:rPr>
                <w:rFonts w:asciiTheme="majorHAnsi" w:eastAsia="Times New Roman" w:hAnsiTheme="majorHAnsi" w:cstheme="majorHAnsi"/>
                <w:b/>
                <w:bCs/>
                <w:i/>
                <w:iCs/>
                <w:color w:val="000000"/>
                <w:sz w:val="20"/>
                <w:szCs w:val="20"/>
                <w:lang w:val="ro-RO"/>
              </w:rPr>
            </w:pPr>
            <w:r w:rsidRPr="00B20FBD">
              <w:rPr>
                <w:rFonts w:asciiTheme="majorHAnsi" w:eastAsia="Times New Roman" w:hAnsiTheme="majorHAnsi" w:cstheme="majorHAnsi"/>
                <w:b/>
                <w:bCs/>
                <w:i/>
                <w:iCs/>
                <w:color w:val="000000"/>
                <w:sz w:val="20"/>
                <w:szCs w:val="20"/>
                <w:lang w:val="ro-RO"/>
              </w:rPr>
              <w:t>Taxa pe valoarea adăugată la mărfurile importate</w:t>
            </w:r>
          </w:p>
        </w:tc>
        <w:tc>
          <w:tcPr>
            <w:tcW w:w="1559" w:type="dxa"/>
            <w:tcBorders>
              <w:top w:val="single" w:sz="4" w:space="0" w:color="auto"/>
              <w:left w:val="single" w:sz="4" w:space="0" w:color="auto"/>
              <w:bottom w:val="single" w:sz="4" w:space="0" w:color="auto"/>
              <w:right w:val="single" w:sz="4" w:space="0" w:color="auto"/>
            </w:tcBorders>
            <w:shd w:val="clear" w:color="D9E1F2" w:fill="D9E1F2"/>
            <w:noWrap/>
          </w:tcPr>
          <w:p w14:paraId="55233C00" w14:textId="77777777" w:rsidR="0034452A" w:rsidRPr="00B20FBD" w:rsidRDefault="0034452A" w:rsidP="00933F2D">
            <w:pPr>
              <w:jc w:val="right"/>
              <w:rPr>
                <w:rFonts w:asciiTheme="majorHAnsi" w:eastAsia="Times New Roman" w:hAnsiTheme="majorHAnsi" w:cstheme="majorHAnsi"/>
                <w:b/>
                <w:bCs/>
                <w:i/>
                <w:iCs/>
                <w:color w:val="000000"/>
                <w:sz w:val="20"/>
                <w:szCs w:val="20"/>
                <w:lang w:val="ro-RO"/>
              </w:rPr>
            </w:pPr>
            <w:r w:rsidRPr="00B20FBD">
              <w:rPr>
                <w:rFonts w:asciiTheme="majorHAnsi" w:eastAsia="Times New Roman" w:hAnsiTheme="majorHAnsi" w:cstheme="majorHAnsi"/>
                <w:b/>
                <w:bCs/>
                <w:i/>
                <w:iCs/>
                <w:color w:val="000000"/>
                <w:sz w:val="20"/>
                <w:szCs w:val="20"/>
                <w:lang w:val="ro-RO"/>
              </w:rPr>
              <w:t>14.713.000,0</w:t>
            </w:r>
          </w:p>
        </w:tc>
        <w:tc>
          <w:tcPr>
            <w:tcW w:w="1701" w:type="dxa"/>
            <w:tcBorders>
              <w:top w:val="single" w:sz="4" w:space="0" w:color="auto"/>
              <w:left w:val="single" w:sz="4" w:space="0" w:color="auto"/>
              <w:bottom w:val="single" w:sz="4" w:space="0" w:color="auto"/>
              <w:right w:val="single" w:sz="4" w:space="0" w:color="auto"/>
            </w:tcBorders>
            <w:shd w:val="clear" w:color="D9E1F2" w:fill="D9E1F2"/>
            <w:noWrap/>
          </w:tcPr>
          <w:p w14:paraId="43C1B2BA" w14:textId="77777777" w:rsidR="0034452A" w:rsidRPr="00B20FBD" w:rsidRDefault="0034452A" w:rsidP="00933F2D">
            <w:pPr>
              <w:jc w:val="right"/>
              <w:rPr>
                <w:rFonts w:asciiTheme="majorHAnsi" w:eastAsia="Times New Roman" w:hAnsiTheme="majorHAnsi" w:cstheme="majorHAnsi"/>
                <w:b/>
                <w:bCs/>
                <w:i/>
                <w:iCs/>
                <w:sz w:val="20"/>
                <w:szCs w:val="20"/>
                <w:lang w:val="ro-RO"/>
              </w:rPr>
            </w:pPr>
            <w:r w:rsidRPr="00B20FBD">
              <w:rPr>
                <w:rFonts w:asciiTheme="majorHAnsi" w:eastAsia="Times New Roman" w:hAnsiTheme="majorHAnsi" w:cstheme="majorHAnsi"/>
                <w:b/>
                <w:bCs/>
                <w:i/>
                <w:iCs/>
                <w:sz w:val="20"/>
                <w:szCs w:val="20"/>
                <w:lang w:val="ro-RO"/>
              </w:rPr>
              <w:t>14.914.169</w:t>
            </w:r>
          </w:p>
        </w:tc>
        <w:tc>
          <w:tcPr>
            <w:tcW w:w="1560" w:type="dxa"/>
            <w:tcBorders>
              <w:top w:val="single" w:sz="4" w:space="0" w:color="auto"/>
              <w:left w:val="single" w:sz="4" w:space="0" w:color="auto"/>
              <w:bottom w:val="single" w:sz="4" w:space="0" w:color="auto"/>
              <w:right w:val="single" w:sz="4" w:space="0" w:color="auto"/>
            </w:tcBorders>
            <w:shd w:val="clear" w:color="D9E1F2" w:fill="D9E1F2"/>
            <w:noWrap/>
          </w:tcPr>
          <w:p w14:paraId="78F26488" w14:textId="77777777" w:rsidR="0034452A" w:rsidRPr="00B20FBD" w:rsidRDefault="0034452A" w:rsidP="00933F2D">
            <w:pPr>
              <w:jc w:val="right"/>
              <w:rPr>
                <w:rFonts w:asciiTheme="majorHAnsi" w:eastAsia="Times New Roman" w:hAnsiTheme="majorHAnsi" w:cstheme="majorHAnsi"/>
                <w:b/>
                <w:bCs/>
                <w:i/>
                <w:iCs/>
                <w:sz w:val="20"/>
                <w:szCs w:val="20"/>
                <w:lang w:val="ro-RO"/>
              </w:rPr>
            </w:pPr>
            <w:r w:rsidRPr="00B20FBD">
              <w:rPr>
                <w:rFonts w:asciiTheme="majorHAnsi" w:eastAsia="Times New Roman" w:hAnsiTheme="majorHAnsi" w:cstheme="majorHAnsi"/>
                <w:b/>
                <w:bCs/>
                <w:i/>
                <w:iCs/>
                <w:sz w:val="20"/>
                <w:szCs w:val="20"/>
                <w:lang w:val="ro-RO"/>
              </w:rPr>
              <w:t>201.169</w:t>
            </w:r>
          </w:p>
        </w:tc>
        <w:tc>
          <w:tcPr>
            <w:tcW w:w="992" w:type="dxa"/>
            <w:tcBorders>
              <w:top w:val="single" w:sz="4" w:space="0" w:color="auto"/>
              <w:left w:val="single" w:sz="4" w:space="0" w:color="auto"/>
              <w:bottom w:val="single" w:sz="4" w:space="0" w:color="auto"/>
              <w:right w:val="single" w:sz="4" w:space="0" w:color="auto"/>
            </w:tcBorders>
            <w:shd w:val="clear" w:color="D9E1F2" w:fill="D9E1F2"/>
            <w:noWrap/>
          </w:tcPr>
          <w:p w14:paraId="0607A2E1" w14:textId="77777777" w:rsidR="0034452A" w:rsidRPr="00B20FBD" w:rsidRDefault="0034452A" w:rsidP="00933F2D">
            <w:pPr>
              <w:jc w:val="right"/>
              <w:rPr>
                <w:rFonts w:asciiTheme="majorHAnsi" w:eastAsia="Times New Roman" w:hAnsiTheme="majorHAnsi" w:cstheme="majorHAnsi"/>
                <w:b/>
                <w:bCs/>
                <w:i/>
                <w:iCs/>
                <w:sz w:val="20"/>
                <w:szCs w:val="20"/>
                <w:lang w:val="ro-RO"/>
              </w:rPr>
            </w:pPr>
            <w:r w:rsidRPr="00B20FBD">
              <w:rPr>
                <w:rFonts w:asciiTheme="majorHAnsi" w:eastAsia="Times New Roman" w:hAnsiTheme="majorHAnsi" w:cstheme="majorHAnsi"/>
                <w:b/>
                <w:bCs/>
                <w:i/>
                <w:iCs/>
                <w:sz w:val="20"/>
                <w:szCs w:val="20"/>
                <w:lang w:val="ro-RO"/>
              </w:rPr>
              <w:t>101,4</w:t>
            </w:r>
          </w:p>
        </w:tc>
      </w:tr>
      <w:tr w:rsidR="0034452A" w:rsidRPr="00B20FBD" w14:paraId="41B2DF00" w14:textId="77777777" w:rsidTr="00933F2D">
        <w:trPr>
          <w:trHeight w:val="423"/>
          <w:jc w:val="center"/>
        </w:trPr>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1D99C791" w14:textId="77777777" w:rsidR="0034452A" w:rsidRPr="00B20FBD" w:rsidRDefault="0034452A" w:rsidP="00933F2D">
            <w:pPr>
              <w:spacing w:after="0" w:line="240" w:lineRule="auto"/>
              <w:jc w:val="center"/>
              <w:rPr>
                <w:rFonts w:asciiTheme="majorHAnsi" w:eastAsia="Times New Roman" w:hAnsiTheme="majorHAnsi" w:cstheme="majorHAnsi"/>
                <w:sz w:val="20"/>
                <w:szCs w:val="20"/>
                <w:lang w:val="ro-RO"/>
              </w:rPr>
            </w:pPr>
            <w:r w:rsidRPr="00B20FBD">
              <w:rPr>
                <w:rFonts w:asciiTheme="majorHAnsi" w:eastAsia="Times New Roman" w:hAnsiTheme="majorHAnsi" w:cstheme="majorHAnsi"/>
                <w:sz w:val="20"/>
                <w:szCs w:val="20"/>
                <w:lang w:val="ro-RO"/>
              </w:rPr>
              <w:t>114212</w:t>
            </w:r>
          </w:p>
        </w:tc>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2F89BED9" w14:textId="77777777" w:rsidR="0034452A" w:rsidRPr="00B20FBD" w:rsidRDefault="0034452A" w:rsidP="00933F2D">
            <w:pPr>
              <w:spacing w:after="0" w:line="240" w:lineRule="auto"/>
              <w:rPr>
                <w:rFonts w:asciiTheme="majorHAnsi" w:eastAsia="Times New Roman" w:hAnsiTheme="majorHAnsi" w:cstheme="majorHAnsi"/>
                <w:sz w:val="20"/>
                <w:szCs w:val="20"/>
                <w:lang w:val="ro-RO"/>
              </w:rPr>
            </w:pPr>
            <w:r w:rsidRPr="00B20FBD">
              <w:rPr>
                <w:rFonts w:asciiTheme="majorHAnsi" w:eastAsia="Times New Roman" w:hAnsiTheme="majorHAnsi" w:cstheme="majorHAnsi"/>
                <w:sz w:val="20"/>
                <w:szCs w:val="20"/>
                <w:lang w:val="ro-RO"/>
              </w:rPr>
              <w:t>Accize la rachiu, lichioruri, divinuri si alte băuturi spirtoase importate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26B5503" w14:textId="77777777" w:rsidR="0034452A" w:rsidRPr="00B20FBD" w:rsidRDefault="0034452A" w:rsidP="00933F2D">
            <w:pPr>
              <w:jc w:val="right"/>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40.700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AA9272F" w14:textId="77777777" w:rsidR="0034452A" w:rsidRPr="00B20FBD" w:rsidRDefault="0034452A" w:rsidP="00933F2D">
            <w:pPr>
              <w:jc w:val="right"/>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48.049</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65120C6" w14:textId="77777777" w:rsidR="0034452A" w:rsidRPr="00B20FBD" w:rsidRDefault="0034452A" w:rsidP="00933F2D">
            <w:pPr>
              <w:jc w:val="right"/>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7.349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1631895" w14:textId="77777777" w:rsidR="0034452A" w:rsidRPr="00B20FBD" w:rsidRDefault="0034452A" w:rsidP="00933F2D">
            <w:pPr>
              <w:jc w:val="right"/>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118,1</w:t>
            </w:r>
          </w:p>
        </w:tc>
      </w:tr>
      <w:tr w:rsidR="0034452A" w:rsidRPr="00B20FBD" w14:paraId="61E2C0E6" w14:textId="77777777" w:rsidTr="00933F2D">
        <w:trPr>
          <w:trHeight w:val="330"/>
          <w:jc w:val="center"/>
        </w:trPr>
        <w:tc>
          <w:tcPr>
            <w:tcW w:w="1559" w:type="dxa"/>
            <w:tcBorders>
              <w:top w:val="single" w:sz="4" w:space="0" w:color="auto"/>
              <w:left w:val="single" w:sz="4" w:space="0" w:color="auto"/>
              <w:bottom w:val="single" w:sz="4" w:space="0" w:color="auto"/>
              <w:right w:val="single" w:sz="4" w:space="0" w:color="auto"/>
            </w:tcBorders>
            <w:shd w:val="clear" w:color="D9E1F2" w:fill="D9E1F2"/>
            <w:noWrap/>
            <w:hideMark/>
          </w:tcPr>
          <w:p w14:paraId="0621D8CC" w14:textId="77777777" w:rsidR="0034452A" w:rsidRPr="00B20FBD" w:rsidRDefault="0034452A" w:rsidP="00933F2D">
            <w:pPr>
              <w:spacing w:after="0" w:line="240" w:lineRule="auto"/>
              <w:jc w:val="center"/>
              <w:rPr>
                <w:rFonts w:asciiTheme="majorHAnsi" w:eastAsia="Times New Roman" w:hAnsiTheme="majorHAnsi" w:cstheme="majorHAnsi"/>
                <w:sz w:val="20"/>
                <w:szCs w:val="20"/>
                <w:lang w:val="ro-RO"/>
              </w:rPr>
            </w:pPr>
            <w:r w:rsidRPr="00B20FBD">
              <w:rPr>
                <w:rFonts w:asciiTheme="majorHAnsi" w:eastAsia="Times New Roman" w:hAnsiTheme="majorHAnsi" w:cstheme="majorHAnsi"/>
                <w:sz w:val="20"/>
                <w:szCs w:val="20"/>
                <w:lang w:val="ro-RO"/>
              </w:rPr>
              <w:t>114214</w:t>
            </w:r>
          </w:p>
        </w:tc>
        <w:tc>
          <w:tcPr>
            <w:tcW w:w="2547" w:type="dxa"/>
            <w:tcBorders>
              <w:top w:val="single" w:sz="4" w:space="0" w:color="auto"/>
              <w:left w:val="single" w:sz="4" w:space="0" w:color="auto"/>
              <w:bottom w:val="single" w:sz="4" w:space="0" w:color="auto"/>
              <w:right w:val="single" w:sz="4" w:space="0" w:color="auto"/>
            </w:tcBorders>
            <w:shd w:val="clear" w:color="D9E1F2" w:fill="D9E1F2"/>
            <w:hideMark/>
          </w:tcPr>
          <w:p w14:paraId="5B86BCC2" w14:textId="77777777" w:rsidR="0034452A" w:rsidRPr="00B20FBD" w:rsidRDefault="0034452A" w:rsidP="00933F2D">
            <w:pPr>
              <w:spacing w:after="0" w:line="240" w:lineRule="auto"/>
              <w:rPr>
                <w:rFonts w:asciiTheme="majorHAnsi" w:eastAsia="Times New Roman" w:hAnsiTheme="majorHAnsi" w:cstheme="majorHAnsi"/>
                <w:sz w:val="20"/>
                <w:szCs w:val="20"/>
                <w:lang w:val="ro-RO"/>
              </w:rPr>
            </w:pPr>
            <w:r w:rsidRPr="00B20FBD">
              <w:rPr>
                <w:rFonts w:asciiTheme="majorHAnsi" w:eastAsia="Times New Roman" w:hAnsiTheme="majorHAnsi" w:cstheme="majorHAnsi"/>
                <w:sz w:val="20"/>
                <w:szCs w:val="20"/>
                <w:lang w:val="ro-RO"/>
              </w:rPr>
              <w:t>Accize la vinuri importate</w:t>
            </w:r>
          </w:p>
        </w:tc>
        <w:tc>
          <w:tcPr>
            <w:tcW w:w="1559" w:type="dxa"/>
            <w:tcBorders>
              <w:top w:val="single" w:sz="4" w:space="0" w:color="auto"/>
              <w:left w:val="single" w:sz="4" w:space="0" w:color="auto"/>
              <w:bottom w:val="single" w:sz="4" w:space="0" w:color="auto"/>
              <w:right w:val="single" w:sz="4" w:space="0" w:color="auto"/>
            </w:tcBorders>
            <w:shd w:val="clear" w:color="D9E1F2" w:fill="D9E1F2"/>
          </w:tcPr>
          <w:p w14:paraId="5B045696" w14:textId="77777777" w:rsidR="0034452A" w:rsidRPr="00B20FBD" w:rsidRDefault="0034452A" w:rsidP="00933F2D">
            <w:pPr>
              <w:jc w:val="right"/>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31.210</w:t>
            </w:r>
          </w:p>
        </w:tc>
        <w:tc>
          <w:tcPr>
            <w:tcW w:w="1701" w:type="dxa"/>
            <w:tcBorders>
              <w:top w:val="single" w:sz="4" w:space="0" w:color="auto"/>
              <w:left w:val="single" w:sz="4" w:space="0" w:color="auto"/>
              <w:bottom w:val="single" w:sz="4" w:space="0" w:color="auto"/>
              <w:right w:val="single" w:sz="4" w:space="0" w:color="auto"/>
            </w:tcBorders>
            <w:shd w:val="clear" w:color="D9E1F2" w:fill="D9E1F2"/>
          </w:tcPr>
          <w:p w14:paraId="507A98D9" w14:textId="77777777" w:rsidR="0034452A" w:rsidRPr="00B20FBD" w:rsidRDefault="0034452A" w:rsidP="00933F2D">
            <w:pPr>
              <w:jc w:val="right"/>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33.014</w:t>
            </w:r>
          </w:p>
        </w:tc>
        <w:tc>
          <w:tcPr>
            <w:tcW w:w="1560" w:type="dxa"/>
            <w:tcBorders>
              <w:top w:val="single" w:sz="4" w:space="0" w:color="auto"/>
              <w:left w:val="single" w:sz="4" w:space="0" w:color="auto"/>
              <w:bottom w:val="single" w:sz="4" w:space="0" w:color="auto"/>
              <w:right w:val="single" w:sz="4" w:space="0" w:color="auto"/>
            </w:tcBorders>
            <w:shd w:val="clear" w:color="D9E1F2" w:fill="D9E1F2"/>
          </w:tcPr>
          <w:p w14:paraId="0A46AD4E" w14:textId="77777777" w:rsidR="0034452A" w:rsidRPr="00B20FBD" w:rsidRDefault="0034452A" w:rsidP="00933F2D">
            <w:pPr>
              <w:jc w:val="right"/>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1.804</w:t>
            </w:r>
          </w:p>
        </w:tc>
        <w:tc>
          <w:tcPr>
            <w:tcW w:w="992" w:type="dxa"/>
            <w:tcBorders>
              <w:top w:val="single" w:sz="4" w:space="0" w:color="auto"/>
              <w:left w:val="single" w:sz="4" w:space="0" w:color="auto"/>
              <w:bottom w:val="single" w:sz="4" w:space="0" w:color="auto"/>
              <w:right w:val="single" w:sz="4" w:space="0" w:color="auto"/>
            </w:tcBorders>
            <w:shd w:val="clear" w:color="D9E1F2" w:fill="D9E1F2"/>
          </w:tcPr>
          <w:p w14:paraId="54732F19" w14:textId="77777777" w:rsidR="0034452A" w:rsidRPr="00B20FBD" w:rsidRDefault="0034452A" w:rsidP="00933F2D">
            <w:pPr>
              <w:jc w:val="right"/>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105,8</w:t>
            </w:r>
          </w:p>
        </w:tc>
      </w:tr>
      <w:tr w:rsidR="0034452A" w:rsidRPr="00B20FBD" w14:paraId="2FBB3E3C" w14:textId="77777777" w:rsidTr="00933F2D">
        <w:trPr>
          <w:trHeight w:val="288"/>
          <w:jc w:val="center"/>
        </w:trPr>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530F2A32" w14:textId="77777777" w:rsidR="0034452A" w:rsidRPr="00B20FBD" w:rsidRDefault="0034452A" w:rsidP="00933F2D">
            <w:pPr>
              <w:spacing w:after="0" w:line="240" w:lineRule="auto"/>
              <w:jc w:val="center"/>
              <w:rPr>
                <w:rFonts w:asciiTheme="majorHAnsi" w:eastAsia="Times New Roman" w:hAnsiTheme="majorHAnsi" w:cstheme="majorHAnsi"/>
                <w:sz w:val="20"/>
                <w:szCs w:val="20"/>
                <w:lang w:val="ro-RO"/>
              </w:rPr>
            </w:pPr>
            <w:r w:rsidRPr="00B20FBD">
              <w:rPr>
                <w:rFonts w:asciiTheme="majorHAnsi" w:eastAsia="Times New Roman" w:hAnsiTheme="majorHAnsi" w:cstheme="majorHAnsi"/>
                <w:sz w:val="20"/>
                <w:szCs w:val="20"/>
                <w:lang w:val="ro-RO"/>
              </w:rPr>
              <w:t>114216</w:t>
            </w:r>
          </w:p>
        </w:tc>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07D2968F" w14:textId="77777777" w:rsidR="0034452A" w:rsidRPr="00B20FBD" w:rsidRDefault="0034452A" w:rsidP="00933F2D">
            <w:pPr>
              <w:spacing w:after="0" w:line="240" w:lineRule="auto"/>
              <w:rPr>
                <w:rFonts w:asciiTheme="majorHAnsi" w:eastAsia="Times New Roman" w:hAnsiTheme="majorHAnsi" w:cstheme="majorHAnsi"/>
                <w:sz w:val="20"/>
                <w:szCs w:val="20"/>
                <w:lang w:val="ro-RO"/>
              </w:rPr>
            </w:pPr>
            <w:r w:rsidRPr="00B20FBD">
              <w:rPr>
                <w:rFonts w:asciiTheme="majorHAnsi" w:eastAsia="Times New Roman" w:hAnsiTheme="majorHAnsi" w:cstheme="majorHAnsi"/>
                <w:sz w:val="20"/>
                <w:szCs w:val="20"/>
                <w:lang w:val="ro-RO"/>
              </w:rPr>
              <w:t>Accize  la berea importată</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4E6AFFC" w14:textId="77777777" w:rsidR="0034452A" w:rsidRPr="00B20FBD" w:rsidRDefault="0034452A" w:rsidP="00933F2D">
            <w:pPr>
              <w:jc w:val="right"/>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60.735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0FA2DB1" w14:textId="77777777" w:rsidR="0034452A" w:rsidRPr="00B20FBD" w:rsidRDefault="0034452A" w:rsidP="00933F2D">
            <w:pPr>
              <w:jc w:val="right"/>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74.017</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8B79C4A" w14:textId="77777777" w:rsidR="0034452A" w:rsidRPr="00B20FBD" w:rsidRDefault="0034452A" w:rsidP="00933F2D">
            <w:pPr>
              <w:jc w:val="right"/>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13.282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6F3BD8A" w14:textId="77777777" w:rsidR="0034452A" w:rsidRPr="00B20FBD" w:rsidRDefault="0034452A" w:rsidP="00933F2D">
            <w:pPr>
              <w:jc w:val="right"/>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121,9</w:t>
            </w:r>
          </w:p>
        </w:tc>
      </w:tr>
      <w:tr w:rsidR="0034452A" w:rsidRPr="00B20FBD" w14:paraId="4BC17817" w14:textId="77777777" w:rsidTr="00933F2D">
        <w:trPr>
          <w:trHeight w:val="288"/>
          <w:jc w:val="center"/>
        </w:trPr>
        <w:tc>
          <w:tcPr>
            <w:tcW w:w="1559" w:type="dxa"/>
            <w:tcBorders>
              <w:top w:val="single" w:sz="4" w:space="0" w:color="auto"/>
              <w:left w:val="single" w:sz="4" w:space="0" w:color="auto"/>
              <w:bottom w:val="single" w:sz="4" w:space="0" w:color="auto"/>
              <w:right w:val="single" w:sz="4" w:space="0" w:color="auto"/>
            </w:tcBorders>
            <w:shd w:val="clear" w:color="D9E1F2" w:fill="D9E1F2"/>
            <w:noWrap/>
            <w:hideMark/>
          </w:tcPr>
          <w:p w14:paraId="3D4F5B3D" w14:textId="77777777" w:rsidR="0034452A" w:rsidRPr="00B20FBD" w:rsidRDefault="0034452A" w:rsidP="00933F2D">
            <w:pPr>
              <w:spacing w:after="0" w:line="240" w:lineRule="auto"/>
              <w:jc w:val="center"/>
              <w:rPr>
                <w:rFonts w:asciiTheme="majorHAnsi" w:eastAsia="Times New Roman" w:hAnsiTheme="majorHAnsi" w:cstheme="majorHAnsi"/>
                <w:sz w:val="20"/>
                <w:szCs w:val="20"/>
                <w:lang w:val="ro-RO"/>
              </w:rPr>
            </w:pPr>
            <w:r w:rsidRPr="00B20FBD">
              <w:rPr>
                <w:rFonts w:asciiTheme="majorHAnsi" w:eastAsia="Times New Roman" w:hAnsiTheme="majorHAnsi" w:cstheme="majorHAnsi"/>
                <w:sz w:val="20"/>
                <w:szCs w:val="20"/>
                <w:lang w:val="ro-RO"/>
              </w:rPr>
              <w:t>114222</w:t>
            </w:r>
          </w:p>
        </w:tc>
        <w:tc>
          <w:tcPr>
            <w:tcW w:w="2547" w:type="dxa"/>
            <w:tcBorders>
              <w:top w:val="single" w:sz="4" w:space="0" w:color="auto"/>
              <w:left w:val="single" w:sz="4" w:space="0" w:color="auto"/>
              <w:bottom w:val="single" w:sz="4" w:space="0" w:color="auto"/>
              <w:right w:val="single" w:sz="4" w:space="0" w:color="auto"/>
            </w:tcBorders>
            <w:shd w:val="clear" w:color="D9E1F2" w:fill="D9E1F2"/>
            <w:hideMark/>
          </w:tcPr>
          <w:p w14:paraId="286C0C07" w14:textId="77777777" w:rsidR="0034452A" w:rsidRPr="00B20FBD" w:rsidRDefault="0034452A" w:rsidP="00933F2D">
            <w:pPr>
              <w:spacing w:after="0" w:line="240" w:lineRule="auto"/>
              <w:rPr>
                <w:rFonts w:asciiTheme="majorHAnsi" w:eastAsia="Times New Roman" w:hAnsiTheme="majorHAnsi" w:cstheme="majorHAnsi"/>
                <w:sz w:val="20"/>
                <w:szCs w:val="20"/>
                <w:lang w:val="ro-RO"/>
              </w:rPr>
            </w:pPr>
            <w:r w:rsidRPr="00B20FBD">
              <w:rPr>
                <w:rFonts w:asciiTheme="majorHAnsi" w:eastAsia="Times New Roman" w:hAnsiTheme="majorHAnsi" w:cstheme="majorHAnsi"/>
                <w:sz w:val="20"/>
                <w:szCs w:val="20"/>
                <w:lang w:val="ro-RO"/>
              </w:rPr>
              <w:t>Accize la produsele din tutun importate</w:t>
            </w:r>
          </w:p>
        </w:tc>
        <w:tc>
          <w:tcPr>
            <w:tcW w:w="1559" w:type="dxa"/>
            <w:tcBorders>
              <w:top w:val="single" w:sz="4" w:space="0" w:color="auto"/>
              <w:left w:val="single" w:sz="4" w:space="0" w:color="auto"/>
              <w:bottom w:val="single" w:sz="4" w:space="0" w:color="auto"/>
              <w:right w:val="single" w:sz="4" w:space="0" w:color="auto"/>
            </w:tcBorders>
            <w:shd w:val="clear" w:color="D9E1F2" w:fill="D9E1F2"/>
          </w:tcPr>
          <w:p w14:paraId="54162C5A" w14:textId="77777777" w:rsidR="0034452A" w:rsidRPr="00B20FBD" w:rsidRDefault="0034452A" w:rsidP="00933F2D">
            <w:pPr>
              <w:jc w:val="right"/>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2.027.000</w:t>
            </w:r>
          </w:p>
        </w:tc>
        <w:tc>
          <w:tcPr>
            <w:tcW w:w="1701" w:type="dxa"/>
            <w:tcBorders>
              <w:top w:val="single" w:sz="4" w:space="0" w:color="auto"/>
              <w:left w:val="single" w:sz="4" w:space="0" w:color="auto"/>
              <w:bottom w:val="single" w:sz="4" w:space="0" w:color="auto"/>
              <w:right w:val="single" w:sz="4" w:space="0" w:color="auto"/>
            </w:tcBorders>
            <w:shd w:val="clear" w:color="D9E1F2" w:fill="D9E1F2"/>
          </w:tcPr>
          <w:p w14:paraId="71B0614B" w14:textId="77777777" w:rsidR="0034452A" w:rsidRPr="00B20FBD" w:rsidRDefault="0034452A" w:rsidP="00933F2D">
            <w:pPr>
              <w:jc w:val="right"/>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2.065.551</w:t>
            </w:r>
          </w:p>
        </w:tc>
        <w:tc>
          <w:tcPr>
            <w:tcW w:w="1560" w:type="dxa"/>
            <w:tcBorders>
              <w:top w:val="single" w:sz="4" w:space="0" w:color="auto"/>
              <w:left w:val="single" w:sz="4" w:space="0" w:color="auto"/>
              <w:bottom w:val="single" w:sz="4" w:space="0" w:color="auto"/>
              <w:right w:val="single" w:sz="4" w:space="0" w:color="auto"/>
            </w:tcBorders>
            <w:shd w:val="clear" w:color="D9E1F2" w:fill="D9E1F2"/>
          </w:tcPr>
          <w:p w14:paraId="169169F8" w14:textId="77777777" w:rsidR="0034452A" w:rsidRPr="00B20FBD" w:rsidRDefault="0034452A" w:rsidP="00933F2D">
            <w:pPr>
              <w:jc w:val="right"/>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38.551</w:t>
            </w:r>
          </w:p>
        </w:tc>
        <w:tc>
          <w:tcPr>
            <w:tcW w:w="992" w:type="dxa"/>
            <w:tcBorders>
              <w:top w:val="single" w:sz="4" w:space="0" w:color="auto"/>
              <w:left w:val="single" w:sz="4" w:space="0" w:color="auto"/>
              <w:bottom w:val="single" w:sz="4" w:space="0" w:color="auto"/>
              <w:right w:val="single" w:sz="4" w:space="0" w:color="auto"/>
            </w:tcBorders>
            <w:shd w:val="clear" w:color="D9E1F2" w:fill="D9E1F2"/>
          </w:tcPr>
          <w:p w14:paraId="639AFBF9" w14:textId="77777777" w:rsidR="0034452A" w:rsidRPr="00B20FBD" w:rsidRDefault="0034452A" w:rsidP="00933F2D">
            <w:pPr>
              <w:jc w:val="right"/>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101,9</w:t>
            </w:r>
          </w:p>
        </w:tc>
      </w:tr>
      <w:tr w:rsidR="0034452A" w:rsidRPr="00B20FBD" w14:paraId="0F85940A" w14:textId="77777777" w:rsidTr="00933F2D">
        <w:trPr>
          <w:trHeight w:val="288"/>
          <w:jc w:val="center"/>
        </w:trPr>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5828F521" w14:textId="77777777" w:rsidR="0034452A" w:rsidRPr="00B20FBD" w:rsidRDefault="0034452A" w:rsidP="00933F2D">
            <w:pPr>
              <w:spacing w:after="0" w:line="240" w:lineRule="auto"/>
              <w:jc w:val="center"/>
              <w:rPr>
                <w:rFonts w:asciiTheme="majorHAnsi" w:eastAsia="Times New Roman" w:hAnsiTheme="majorHAnsi" w:cstheme="majorHAnsi"/>
                <w:sz w:val="20"/>
                <w:szCs w:val="20"/>
                <w:lang w:val="ro-RO"/>
              </w:rPr>
            </w:pPr>
            <w:r w:rsidRPr="00B20FBD">
              <w:rPr>
                <w:rFonts w:asciiTheme="majorHAnsi" w:eastAsia="Times New Roman" w:hAnsiTheme="majorHAnsi" w:cstheme="majorHAnsi"/>
                <w:sz w:val="20"/>
                <w:szCs w:val="20"/>
                <w:lang w:val="ro-RO"/>
              </w:rPr>
              <w:t>114232</w:t>
            </w:r>
          </w:p>
        </w:tc>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3650C69C" w14:textId="77777777" w:rsidR="0034452A" w:rsidRPr="00B20FBD" w:rsidRDefault="0034452A" w:rsidP="00933F2D">
            <w:pPr>
              <w:spacing w:after="0" w:line="240" w:lineRule="auto"/>
              <w:rPr>
                <w:rFonts w:asciiTheme="majorHAnsi" w:eastAsia="Times New Roman" w:hAnsiTheme="majorHAnsi" w:cstheme="majorHAnsi"/>
                <w:sz w:val="20"/>
                <w:szCs w:val="20"/>
                <w:lang w:val="ro-RO"/>
              </w:rPr>
            </w:pPr>
            <w:r w:rsidRPr="00B20FBD">
              <w:rPr>
                <w:rFonts w:asciiTheme="majorHAnsi" w:eastAsia="Times New Roman" w:hAnsiTheme="majorHAnsi" w:cstheme="majorHAnsi"/>
                <w:sz w:val="20"/>
                <w:szCs w:val="20"/>
                <w:lang w:val="ro-RO"/>
              </w:rPr>
              <w:t>Accize la autoturismele importate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E01D6C" w14:textId="77777777" w:rsidR="0034452A" w:rsidRPr="00B20FBD" w:rsidRDefault="0034452A" w:rsidP="00933F2D">
            <w:pPr>
              <w:jc w:val="right"/>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899.000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7D58E67" w14:textId="77777777" w:rsidR="0034452A" w:rsidRPr="00B20FBD" w:rsidRDefault="0034452A" w:rsidP="00933F2D">
            <w:pPr>
              <w:jc w:val="right"/>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961.649</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6C4DAE9" w14:textId="77777777" w:rsidR="0034452A" w:rsidRPr="00B20FBD" w:rsidRDefault="0034452A" w:rsidP="00933F2D">
            <w:pPr>
              <w:jc w:val="right"/>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62.649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0F0026" w14:textId="77777777" w:rsidR="0034452A" w:rsidRPr="00B20FBD" w:rsidRDefault="0034452A" w:rsidP="00933F2D">
            <w:pPr>
              <w:jc w:val="right"/>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107,0</w:t>
            </w:r>
          </w:p>
        </w:tc>
      </w:tr>
      <w:tr w:rsidR="0034452A" w:rsidRPr="00B20FBD" w14:paraId="6C583454" w14:textId="77777777" w:rsidTr="00933F2D">
        <w:trPr>
          <w:trHeight w:val="288"/>
          <w:jc w:val="center"/>
        </w:trPr>
        <w:tc>
          <w:tcPr>
            <w:tcW w:w="1559" w:type="dxa"/>
            <w:tcBorders>
              <w:top w:val="single" w:sz="4" w:space="0" w:color="auto"/>
              <w:left w:val="single" w:sz="4" w:space="0" w:color="auto"/>
              <w:bottom w:val="single" w:sz="4" w:space="0" w:color="auto"/>
              <w:right w:val="single" w:sz="4" w:space="0" w:color="auto"/>
            </w:tcBorders>
            <w:shd w:val="clear" w:color="D9E1F2" w:fill="D9E1F2"/>
            <w:noWrap/>
            <w:hideMark/>
          </w:tcPr>
          <w:p w14:paraId="128CFC22" w14:textId="77777777" w:rsidR="0034452A" w:rsidRPr="00B20FBD" w:rsidRDefault="0034452A" w:rsidP="00933F2D">
            <w:pPr>
              <w:spacing w:after="0" w:line="240" w:lineRule="auto"/>
              <w:jc w:val="center"/>
              <w:rPr>
                <w:rFonts w:asciiTheme="majorHAnsi" w:eastAsia="Times New Roman" w:hAnsiTheme="majorHAnsi" w:cstheme="majorHAnsi"/>
                <w:sz w:val="20"/>
                <w:szCs w:val="20"/>
                <w:lang w:val="ro-RO"/>
              </w:rPr>
            </w:pPr>
            <w:r w:rsidRPr="00B20FBD">
              <w:rPr>
                <w:rFonts w:asciiTheme="majorHAnsi" w:eastAsia="Times New Roman" w:hAnsiTheme="majorHAnsi" w:cstheme="majorHAnsi"/>
                <w:sz w:val="20"/>
                <w:szCs w:val="20"/>
                <w:lang w:val="ro-RO"/>
              </w:rPr>
              <w:t>114242</w:t>
            </w:r>
          </w:p>
        </w:tc>
        <w:tc>
          <w:tcPr>
            <w:tcW w:w="2547" w:type="dxa"/>
            <w:tcBorders>
              <w:top w:val="single" w:sz="4" w:space="0" w:color="auto"/>
              <w:left w:val="single" w:sz="4" w:space="0" w:color="auto"/>
              <w:bottom w:val="single" w:sz="4" w:space="0" w:color="auto"/>
              <w:right w:val="single" w:sz="4" w:space="0" w:color="auto"/>
            </w:tcBorders>
            <w:shd w:val="clear" w:color="D9E1F2" w:fill="D9E1F2"/>
            <w:hideMark/>
          </w:tcPr>
          <w:p w14:paraId="45B1562E" w14:textId="77777777" w:rsidR="0034452A" w:rsidRPr="00B20FBD" w:rsidRDefault="0034452A" w:rsidP="00933F2D">
            <w:pPr>
              <w:spacing w:after="0" w:line="240" w:lineRule="auto"/>
              <w:rPr>
                <w:rFonts w:asciiTheme="majorHAnsi" w:eastAsia="Times New Roman" w:hAnsiTheme="majorHAnsi" w:cstheme="majorHAnsi"/>
                <w:sz w:val="20"/>
                <w:szCs w:val="20"/>
                <w:lang w:val="ro-RO"/>
              </w:rPr>
            </w:pPr>
            <w:r w:rsidRPr="00B20FBD">
              <w:rPr>
                <w:rFonts w:asciiTheme="majorHAnsi" w:eastAsia="Times New Roman" w:hAnsiTheme="majorHAnsi" w:cstheme="majorHAnsi"/>
                <w:sz w:val="20"/>
                <w:szCs w:val="20"/>
                <w:lang w:val="ro-RO"/>
              </w:rPr>
              <w:t>Accize la produsele petroliere importate</w:t>
            </w:r>
          </w:p>
        </w:tc>
        <w:tc>
          <w:tcPr>
            <w:tcW w:w="1559" w:type="dxa"/>
            <w:tcBorders>
              <w:top w:val="single" w:sz="4" w:space="0" w:color="auto"/>
              <w:left w:val="single" w:sz="4" w:space="0" w:color="auto"/>
              <w:bottom w:val="single" w:sz="4" w:space="0" w:color="auto"/>
              <w:right w:val="single" w:sz="4" w:space="0" w:color="auto"/>
            </w:tcBorders>
            <w:shd w:val="clear" w:color="D9E1F2" w:fill="D9E1F2"/>
          </w:tcPr>
          <w:p w14:paraId="3F43F488" w14:textId="77777777" w:rsidR="0034452A" w:rsidRPr="00B20FBD" w:rsidRDefault="0034452A" w:rsidP="00933F2D">
            <w:pPr>
              <w:jc w:val="right"/>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2.474.000,0</w:t>
            </w:r>
          </w:p>
        </w:tc>
        <w:tc>
          <w:tcPr>
            <w:tcW w:w="1701" w:type="dxa"/>
            <w:tcBorders>
              <w:top w:val="single" w:sz="4" w:space="0" w:color="auto"/>
              <w:left w:val="single" w:sz="4" w:space="0" w:color="auto"/>
              <w:bottom w:val="single" w:sz="4" w:space="0" w:color="auto"/>
              <w:right w:val="single" w:sz="4" w:space="0" w:color="auto"/>
            </w:tcBorders>
            <w:shd w:val="clear" w:color="D9E1F2" w:fill="D9E1F2"/>
          </w:tcPr>
          <w:p w14:paraId="2D08ECBC" w14:textId="77777777" w:rsidR="0034452A" w:rsidRPr="00B20FBD" w:rsidRDefault="0034452A" w:rsidP="00933F2D">
            <w:pPr>
              <w:jc w:val="right"/>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2.466.142</w:t>
            </w:r>
          </w:p>
        </w:tc>
        <w:tc>
          <w:tcPr>
            <w:tcW w:w="1560" w:type="dxa"/>
            <w:tcBorders>
              <w:top w:val="single" w:sz="4" w:space="0" w:color="auto"/>
              <w:left w:val="single" w:sz="4" w:space="0" w:color="auto"/>
              <w:bottom w:val="single" w:sz="4" w:space="0" w:color="auto"/>
              <w:right w:val="single" w:sz="4" w:space="0" w:color="auto"/>
            </w:tcBorders>
            <w:shd w:val="clear" w:color="D9E1F2" w:fill="D9E1F2"/>
          </w:tcPr>
          <w:p w14:paraId="4A6EAE48" w14:textId="77777777" w:rsidR="0034452A" w:rsidRPr="00B20FBD" w:rsidRDefault="0034452A" w:rsidP="00933F2D">
            <w:pPr>
              <w:jc w:val="right"/>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-7.858</w:t>
            </w:r>
          </w:p>
        </w:tc>
        <w:tc>
          <w:tcPr>
            <w:tcW w:w="992" w:type="dxa"/>
            <w:tcBorders>
              <w:top w:val="single" w:sz="4" w:space="0" w:color="auto"/>
              <w:left w:val="single" w:sz="4" w:space="0" w:color="auto"/>
              <w:bottom w:val="single" w:sz="4" w:space="0" w:color="auto"/>
              <w:right w:val="single" w:sz="4" w:space="0" w:color="auto"/>
            </w:tcBorders>
            <w:shd w:val="clear" w:color="D9E1F2" w:fill="D9E1F2"/>
          </w:tcPr>
          <w:p w14:paraId="1320CCA9" w14:textId="77777777" w:rsidR="0034452A" w:rsidRPr="00B20FBD" w:rsidRDefault="0034452A" w:rsidP="00933F2D">
            <w:pPr>
              <w:jc w:val="right"/>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99,7</w:t>
            </w:r>
          </w:p>
        </w:tc>
      </w:tr>
      <w:tr w:rsidR="0034452A" w:rsidRPr="00B20FBD" w14:paraId="31D1BCD7" w14:textId="77777777" w:rsidTr="00933F2D">
        <w:trPr>
          <w:trHeight w:val="288"/>
          <w:jc w:val="center"/>
        </w:trPr>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0EDC588E" w14:textId="77777777" w:rsidR="0034452A" w:rsidRPr="00B20FBD" w:rsidRDefault="0034452A" w:rsidP="00933F2D">
            <w:pPr>
              <w:spacing w:after="0" w:line="240" w:lineRule="auto"/>
              <w:jc w:val="center"/>
              <w:rPr>
                <w:rFonts w:asciiTheme="majorHAnsi" w:eastAsia="Times New Roman" w:hAnsiTheme="majorHAnsi" w:cstheme="majorHAnsi"/>
                <w:sz w:val="20"/>
                <w:szCs w:val="20"/>
                <w:lang w:val="ro-RO"/>
              </w:rPr>
            </w:pPr>
            <w:r w:rsidRPr="00B20FBD">
              <w:rPr>
                <w:rFonts w:asciiTheme="majorHAnsi" w:eastAsia="Times New Roman" w:hAnsiTheme="majorHAnsi" w:cstheme="majorHAnsi"/>
                <w:sz w:val="20"/>
                <w:szCs w:val="20"/>
                <w:lang w:val="ro-RO"/>
              </w:rPr>
              <w:t>114252</w:t>
            </w:r>
          </w:p>
        </w:tc>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363DF190" w14:textId="77777777" w:rsidR="0034452A" w:rsidRPr="00B20FBD" w:rsidRDefault="0034452A" w:rsidP="00933F2D">
            <w:pPr>
              <w:spacing w:after="0" w:line="240" w:lineRule="auto"/>
              <w:rPr>
                <w:rFonts w:asciiTheme="majorHAnsi" w:eastAsia="Times New Roman" w:hAnsiTheme="majorHAnsi" w:cstheme="majorHAnsi"/>
                <w:sz w:val="20"/>
                <w:szCs w:val="20"/>
                <w:lang w:val="ro-RO"/>
              </w:rPr>
            </w:pPr>
            <w:r w:rsidRPr="00B20FBD">
              <w:rPr>
                <w:rFonts w:asciiTheme="majorHAnsi" w:eastAsia="Times New Roman" w:hAnsiTheme="majorHAnsi" w:cstheme="majorHAnsi"/>
                <w:sz w:val="20"/>
                <w:szCs w:val="20"/>
                <w:lang w:val="ro-RO"/>
              </w:rPr>
              <w:t>Accize la gazele lichefiate importate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690113" w14:textId="77777777" w:rsidR="0034452A" w:rsidRPr="00B20FBD" w:rsidRDefault="0034452A" w:rsidP="00933F2D">
            <w:pPr>
              <w:jc w:val="right"/>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223.510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45AEEA0" w14:textId="77777777" w:rsidR="0034452A" w:rsidRPr="00B20FBD" w:rsidRDefault="0034452A" w:rsidP="00933F2D">
            <w:pPr>
              <w:jc w:val="right"/>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223.746</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F8136DC" w14:textId="77777777" w:rsidR="0034452A" w:rsidRPr="00B20FBD" w:rsidRDefault="0034452A" w:rsidP="00933F2D">
            <w:pPr>
              <w:jc w:val="right"/>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236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B2266E2" w14:textId="77777777" w:rsidR="0034452A" w:rsidRPr="00B20FBD" w:rsidRDefault="0034452A" w:rsidP="00933F2D">
            <w:pPr>
              <w:jc w:val="right"/>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100,1</w:t>
            </w:r>
          </w:p>
        </w:tc>
      </w:tr>
      <w:tr w:rsidR="0034452A" w:rsidRPr="00B20FBD" w14:paraId="203FD6F1" w14:textId="77777777" w:rsidTr="00933F2D">
        <w:trPr>
          <w:trHeight w:val="288"/>
          <w:jc w:val="center"/>
        </w:trPr>
        <w:tc>
          <w:tcPr>
            <w:tcW w:w="1559" w:type="dxa"/>
            <w:tcBorders>
              <w:top w:val="single" w:sz="4" w:space="0" w:color="auto"/>
              <w:left w:val="single" w:sz="4" w:space="0" w:color="auto"/>
              <w:bottom w:val="single" w:sz="4" w:space="0" w:color="auto"/>
              <w:right w:val="single" w:sz="4" w:space="0" w:color="auto"/>
            </w:tcBorders>
            <w:shd w:val="clear" w:color="D9E1F2" w:fill="D9E1F2"/>
            <w:noWrap/>
            <w:hideMark/>
          </w:tcPr>
          <w:p w14:paraId="56463FE6" w14:textId="77777777" w:rsidR="0034452A" w:rsidRPr="00B20FBD" w:rsidRDefault="0034452A" w:rsidP="00933F2D">
            <w:pPr>
              <w:spacing w:after="0" w:line="240" w:lineRule="auto"/>
              <w:jc w:val="center"/>
              <w:rPr>
                <w:rFonts w:asciiTheme="majorHAnsi" w:eastAsia="Times New Roman" w:hAnsiTheme="majorHAnsi" w:cstheme="majorHAnsi"/>
                <w:sz w:val="20"/>
                <w:szCs w:val="20"/>
                <w:lang w:val="ro-RO"/>
              </w:rPr>
            </w:pPr>
            <w:r w:rsidRPr="00B20FBD">
              <w:rPr>
                <w:rFonts w:asciiTheme="majorHAnsi" w:eastAsia="Times New Roman" w:hAnsiTheme="majorHAnsi" w:cstheme="majorHAnsi"/>
                <w:sz w:val="20"/>
                <w:szCs w:val="20"/>
                <w:lang w:val="ro-RO"/>
              </w:rPr>
              <w:t>114272</w:t>
            </w:r>
          </w:p>
        </w:tc>
        <w:tc>
          <w:tcPr>
            <w:tcW w:w="2547" w:type="dxa"/>
            <w:tcBorders>
              <w:top w:val="single" w:sz="4" w:space="0" w:color="auto"/>
              <w:left w:val="single" w:sz="4" w:space="0" w:color="auto"/>
              <w:bottom w:val="single" w:sz="4" w:space="0" w:color="auto"/>
              <w:right w:val="single" w:sz="4" w:space="0" w:color="auto"/>
            </w:tcBorders>
            <w:shd w:val="clear" w:color="D9E1F2" w:fill="D9E1F2"/>
            <w:hideMark/>
          </w:tcPr>
          <w:p w14:paraId="600E3272" w14:textId="77777777" w:rsidR="0034452A" w:rsidRPr="00B20FBD" w:rsidRDefault="0034452A" w:rsidP="00933F2D">
            <w:pPr>
              <w:spacing w:after="0" w:line="240" w:lineRule="auto"/>
              <w:rPr>
                <w:rFonts w:asciiTheme="majorHAnsi" w:eastAsia="Times New Roman" w:hAnsiTheme="majorHAnsi" w:cstheme="majorHAnsi"/>
                <w:sz w:val="20"/>
                <w:szCs w:val="20"/>
                <w:lang w:val="ro-RO"/>
              </w:rPr>
            </w:pPr>
            <w:r w:rsidRPr="00B20FBD">
              <w:rPr>
                <w:rFonts w:asciiTheme="majorHAnsi" w:eastAsia="Times New Roman" w:hAnsiTheme="majorHAnsi" w:cstheme="majorHAnsi"/>
                <w:sz w:val="20"/>
                <w:szCs w:val="20"/>
                <w:lang w:val="ro-RO"/>
              </w:rPr>
              <w:t>Accize la alte mărfuri</w:t>
            </w:r>
          </w:p>
        </w:tc>
        <w:tc>
          <w:tcPr>
            <w:tcW w:w="1559" w:type="dxa"/>
            <w:tcBorders>
              <w:top w:val="single" w:sz="4" w:space="0" w:color="auto"/>
              <w:left w:val="single" w:sz="4" w:space="0" w:color="auto"/>
              <w:bottom w:val="single" w:sz="4" w:space="0" w:color="auto"/>
              <w:right w:val="single" w:sz="4" w:space="0" w:color="auto"/>
            </w:tcBorders>
            <w:shd w:val="clear" w:color="D9E1F2" w:fill="D9E1F2"/>
          </w:tcPr>
          <w:p w14:paraId="1BB21BBA" w14:textId="77777777" w:rsidR="0034452A" w:rsidRPr="00B20FBD" w:rsidRDefault="0034452A" w:rsidP="00933F2D">
            <w:pPr>
              <w:jc w:val="right"/>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33.545</w:t>
            </w:r>
          </w:p>
        </w:tc>
        <w:tc>
          <w:tcPr>
            <w:tcW w:w="1701" w:type="dxa"/>
            <w:tcBorders>
              <w:top w:val="single" w:sz="4" w:space="0" w:color="auto"/>
              <w:left w:val="single" w:sz="4" w:space="0" w:color="auto"/>
              <w:bottom w:val="single" w:sz="4" w:space="0" w:color="auto"/>
              <w:right w:val="single" w:sz="4" w:space="0" w:color="auto"/>
            </w:tcBorders>
            <w:shd w:val="clear" w:color="D9E1F2" w:fill="D9E1F2"/>
          </w:tcPr>
          <w:p w14:paraId="1ADE8005" w14:textId="77777777" w:rsidR="0034452A" w:rsidRPr="00B20FBD" w:rsidRDefault="0034452A" w:rsidP="00933F2D">
            <w:pPr>
              <w:jc w:val="right"/>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37.638</w:t>
            </w:r>
          </w:p>
        </w:tc>
        <w:tc>
          <w:tcPr>
            <w:tcW w:w="1560" w:type="dxa"/>
            <w:tcBorders>
              <w:top w:val="single" w:sz="4" w:space="0" w:color="auto"/>
              <w:left w:val="single" w:sz="4" w:space="0" w:color="auto"/>
              <w:bottom w:val="single" w:sz="4" w:space="0" w:color="auto"/>
              <w:right w:val="single" w:sz="4" w:space="0" w:color="auto"/>
            </w:tcBorders>
            <w:shd w:val="clear" w:color="D9E1F2" w:fill="D9E1F2"/>
          </w:tcPr>
          <w:p w14:paraId="64E2044D" w14:textId="77777777" w:rsidR="0034452A" w:rsidRPr="00B20FBD" w:rsidRDefault="0034452A" w:rsidP="00933F2D">
            <w:pPr>
              <w:jc w:val="right"/>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4.093</w:t>
            </w:r>
          </w:p>
        </w:tc>
        <w:tc>
          <w:tcPr>
            <w:tcW w:w="992" w:type="dxa"/>
            <w:tcBorders>
              <w:top w:val="single" w:sz="4" w:space="0" w:color="auto"/>
              <w:left w:val="single" w:sz="4" w:space="0" w:color="auto"/>
              <w:bottom w:val="single" w:sz="4" w:space="0" w:color="auto"/>
              <w:right w:val="single" w:sz="4" w:space="0" w:color="auto"/>
            </w:tcBorders>
            <w:shd w:val="clear" w:color="D9E1F2" w:fill="D9E1F2"/>
          </w:tcPr>
          <w:p w14:paraId="4DCBD88F" w14:textId="77777777" w:rsidR="0034452A" w:rsidRPr="00B20FBD" w:rsidRDefault="0034452A" w:rsidP="00933F2D">
            <w:pPr>
              <w:jc w:val="right"/>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112,2</w:t>
            </w:r>
          </w:p>
        </w:tc>
      </w:tr>
      <w:tr w:rsidR="0034452A" w:rsidRPr="00B20FBD" w14:paraId="49DED2B3" w14:textId="77777777" w:rsidTr="00933F2D">
        <w:trPr>
          <w:trHeight w:val="288"/>
          <w:jc w:val="center"/>
        </w:trPr>
        <w:tc>
          <w:tcPr>
            <w:tcW w:w="410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C25B218" w14:textId="77777777" w:rsidR="0034452A" w:rsidRPr="00B20FBD" w:rsidRDefault="0034452A" w:rsidP="00933F2D">
            <w:pPr>
              <w:spacing w:after="0" w:line="240" w:lineRule="auto"/>
              <w:rPr>
                <w:rFonts w:asciiTheme="majorHAnsi" w:eastAsia="Times New Roman" w:hAnsiTheme="majorHAnsi" w:cstheme="majorHAnsi"/>
                <w:b/>
                <w:bCs/>
                <w:i/>
                <w:iCs/>
                <w:sz w:val="20"/>
                <w:szCs w:val="20"/>
                <w:lang w:val="ro-RO"/>
              </w:rPr>
            </w:pPr>
            <w:r w:rsidRPr="00B20FBD">
              <w:rPr>
                <w:rFonts w:asciiTheme="majorHAnsi" w:eastAsia="Times New Roman" w:hAnsiTheme="majorHAnsi" w:cstheme="majorHAnsi"/>
                <w:b/>
                <w:bCs/>
                <w:i/>
                <w:iCs/>
                <w:sz w:val="20"/>
                <w:szCs w:val="20"/>
                <w:lang w:val="ro-RO"/>
              </w:rPr>
              <w:t>Total accize </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5D2E14B0" w14:textId="77777777" w:rsidR="0034452A" w:rsidRPr="00B20FBD" w:rsidRDefault="0034452A" w:rsidP="00933F2D">
            <w:pPr>
              <w:jc w:val="right"/>
              <w:rPr>
                <w:rFonts w:asciiTheme="majorHAnsi" w:eastAsia="Times New Roman" w:hAnsiTheme="majorHAnsi" w:cstheme="majorHAnsi"/>
                <w:b/>
                <w:bCs/>
                <w:i/>
                <w:iCs/>
                <w:color w:val="000000"/>
                <w:sz w:val="20"/>
                <w:szCs w:val="20"/>
                <w:lang w:val="ro-RO"/>
              </w:rPr>
            </w:pPr>
            <w:r w:rsidRPr="00B20FBD">
              <w:rPr>
                <w:rFonts w:asciiTheme="majorHAnsi" w:eastAsia="Times New Roman" w:hAnsiTheme="majorHAnsi" w:cstheme="majorHAnsi"/>
                <w:b/>
                <w:bCs/>
                <w:i/>
                <w:iCs/>
                <w:color w:val="000000"/>
                <w:sz w:val="20"/>
                <w:szCs w:val="20"/>
                <w:lang w:val="ro-RO"/>
              </w:rPr>
              <w:t>5.789.700,0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BDC9933" w14:textId="77777777" w:rsidR="0034452A" w:rsidRPr="00B20FBD" w:rsidRDefault="0034452A" w:rsidP="00933F2D">
            <w:pPr>
              <w:jc w:val="right"/>
              <w:rPr>
                <w:rFonts w:asciiTheme="majorHAnsi" w:eastAsia="Times New Roman" w:hAnsiTheme="majorHAnsi" w:cstheme="majorHAnsi"/>
                <w:b/>
                <w:bCs/>
                <w:i/>
                <w:iCs/>
                <w:sz w:val="20"/>
                <w:szCs w:val="20"/>
                <w:lang w:val="ro-RO"/>
              </w:rPr>
            </w:pPr>
            <w:r w:rsidRPr="00B20FBD">
              <w:rPr>
                <w:rFonts w:asciiTheme="majorHAnsi" w:eastAsia="Times New Roman" w:hAnsiTheme="majorHAnsi" w:cstheme="majorHAnsi"/>
                <w:b/>
                <w:bCs/>
                <w:i/>
                <w:iCs/>
                <w:sz w:val="20"/>
                <w:szCs w:val="20"/>
                <w:lang w:val="ro-RO"/>
              </w:rPr>
              <w:t>5.909.805</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14:paraId="68EE1DA1" w14:textId="77777777" w:rsidR="0034452A" w:rsidRPr="00B20FBD" w:rsidRDefault="0034452A" w:rsidP="00933F2D">
            <w:pPr>
              <w:jc w:val="right"/>
              <w:rPr>
                <w:rFonts w:asciiTheme="majorHAnsi" w:eastAsia="Times New Roman" w:hAnsiTheme="majorHAnsi" w:cstheme="majorHAnsi"/>
                <w:b/>
                <w:bCs/>
                <w:i/>
                <w:iCs/>
                <w:sz w:val="20"/>
                <w:szCs w:val="20"/>
                <w:lang w:val="ro-RO"/>
              </w:rPr>
            </w:pPr>
            <w:r w:rsidRPr="00B20FBD">
              <w:rPr>
                <w:rFonts w:asciiTheme="majorHAnsi" w:eastAsia="Times New Roman" w:hAnsiTheme="majorHAnsi" w:cstheme="majorHAnsi"/>
                <w:b/>
                <w:bCs/>
                <w:i/>
                <w:iCs/>
                <w:sz w:val="20"/>
                <w:szCs w:val="20"/>
                <w:lang w:val="ro-RO"/>
              </w:rPr>
              <w:t>120.105</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11F39D1B" w14:textId="77777777" w:rsidR="0034452A" w:rsidRPr="00B20FBD" w:rsidRDefault="0034452A" w:rsidP="00933F2D">
            <w:pPr>
              <w:jc w:val="right"/>
              <w:rPr>
                <w:rFonts w:asciiTheme="majorHAnsi" w:eastAsia="Times New Roman" w:hAnsiTheme="majorHAnsi" w:cstheme="majorHAnsi"/>
                <w:b/>
                <w:bCs/>
                <w:i/>
                <w:iCs/>
                <w:sz w:val="20"/>
                <w:szCs w:val="20"/>
                <w:lang w:val="ro-RO"/>
              </w:rPr>
            </w:pPr>
            <w:r w:rsidRPr="00B20FBD">
              <w:rPr>
                <w:rFonts w:asciiTheme="majorHAnsi" w:eastAsia="Times New Roman" w:hAnsiTheme="majorHAnsi" w:cstheme="majorHAnsi"/>
                <w:b/>
                <w:bCs/>
                <w:i/>
                <w:iCs/>
                <w:sz w:val="20"/>
                <w:szCs w:val="20"/>
                <w:lang w:val="ro-RO"/>
              </w:rPr>
              <w:t>102,1</w:t>
            </w:r>
          </w:p>
        </w:tc>
      </w:tr>
      <w:tr w:rsidR="0034452A" w:rsidRPr="00B20FBD" w14:paraId="400806B5" w14:textId="77777777" w:rsidTr="00933F2D">
        <w:trPr>
          <w:trHeight w:val="288"/>
          <w:jc w:val="center"/>
        </w:trPr>
        <w:tc>
          <w:tcPr>
            <w:tcW w:w="1559" w:type="dxa"/>
            <w:tcBorders>
              <w:top w:val="single" w:sz="4" w:space="0" w:color="auto"/>
              <w:left w:val="single" w:sz="4" w:space="0" w:color="auto"/>
              <w:bottom w:val="single" w:sz="4" w:space="0" w:color="auto"/>
              <w:right w:val="single" w:sz="4" w:space="0" w:color="auto"/>
            </w:tcBorders>
            <w:shd w:val="clear" w:color="D9E1F2" w:fill="D9E1F2"/>
            <w:noWrap/>
            <w:hideMark/>
          </w:tcPr>
          <w:p w14:paraId="0445F838" w14:textId="77777777" w:rsidR="0034452A" w:rsidRPr="00B20FBD" w:rsidRDefault="0034452A" w:rsidP="00933F2D">
            <w:pPr>
              <w:spacing w:after="0" w:line="240" w:lineRule="auto"/>
              <w:jc w:val="center"/>
              <w:rPr>
                <w:rFonts w:asciiTheme="majorHAnsi" w:eastAsia="Times New Roman" w:hAnsiTheme="majorHAnsi" w:cstheme="majorHAnsi"/>
                <w:sz w:val="20"/>
                <w:szCs w:val="20"/>
                <w:lang w:val="ro-RO"/>
              </w:rPr>
            </w:pPr>
            <w:r w:rsidRPr="00B20FBD">
              <w:rPr>
                <w:rFonts w:asciiTheme="majorHAnsi" w:eastAsia="Times New Roman" w:hAnsiTheme="majorHAnsi" w:cstheme="majorHAnsi"/>
                <w:sz w:val="20"/>
                <w:szCs w:val="20"/>
                <w:lang w:val="ro-RO"/>
              </w:rPr>
              <w:t>115110</w:t>
            </w:r>
          </w:p>
        </w:tc>
        <w:tc>
          <w:tcPr>
            <w:tcW w:w="2547" w:type="dxa"/>
            <w:tcBorders>
              <w:top w:val="single" w:sz="4" w:space="0" w:color="auto"/>
              <w:left w:val="single" w:sz="4" w:space="0" w:color="auto"/>
              <w:bottom w:val="single" w:sz="4" w:space="0" w:color="auto"/>
              <w:right w:val="single" w:sz="4" w:space="0" w:color="auto"/>
            </w:tcBorders>
            <w:shd w:val="clear" w:color="D9E1F2" w:fill="D9E1F2"/>
            <w:hideMark/>
          </w:tcPr>
          <w:p w14:paraId="0B5031FF" w14:textId="77777777" w:rsidR="0034452A" w:rsidRPr="00B20FBD" w:rsidRDefault="0034452A" w:rsidP="00933F2D">
            <w:pPr>
              <w:spacing w:after="0" w:line="240" w:lineRule="auto"/>
              <w:rPr>
                <w:rFonts w:asciiTheme="majorHAnsi" w:eastAsia="Times New Roman" w:hAnsiTheme="majorHAnsi" w:cstheme="majorHAnsi"/>
                <w:sz w:val="20"/>
                <w:szCs w:val="20"/>
                <w:lang w:val="ro-RO"/>
              </w:rPr>
            </w:pPr>
            <w:r w:rsidRPr="00B20FBD">
              <w:rPr>
                <w:rFonts w:asciiTheme="majorHAnsi" w:eastAsia="Times New Roman" w:hAnsiTheme="majorHAnsi" w:cstheme="majorHAnsi"/>
                <w:sz w:val="20"/>
                <w:szCs w:val="20"/>
                <w:lang w:val="ro-RO"/>
              </w:rPr>
              <w:t>Taxa vamală</w:t>
            </w:r>
          </w:p>
        </w:tc>
        <w:tc>
          <w:tcPr>
            <w:tcW w:w="1559" w:type="dxa"/>
            <w:tcBorders>
              <w:top w:val="single" w:sz="4" w:space="0" w:color="auto"/>
              <w:left w:val="single" w:sz="4" w:space="0" w:color="auto"/>
              <w:bottom w:val="single" w:sz="4" w:space="0" w:color="auto"/>
              <w:right w:val="single" w:sz="4" w:space="0" w:color="auto"/>
            </w:tcBorders>
            <w:shd w:val="clear" w:color="D9E1F2" w:fill="D9E1F2"/>
            <w:noWrap/>
          </w:tcPr>
          <w:p w14:paraId="1E9AB936" w14:textId="77777777" w:rsidR="0034452A" w:rsidRPr="00B20FBD" w:rsidRDefault="0034452A" w:rsidP="00933F2D">
            <w:pPr>
              <w:jc w:val="right"/>
              <w:rPr>
                <w:rFonts w:asciiTheme="majorHAnsi" w:eastAsia="Times New Roman" w:hAnsiTheme="majorHAnsi" w:cstheme="majorHAnsi"/>
                <w:sz w:val="20"/>
                <w:szCs w:val="20"/>
                <w:lang w:val="ro-RO"/>
              </w:rPr>
            </w:pPr>
            <w:r w:rsidRPr="00B20FBD">
              <w:rPr>
                <w:rFonts w:asciiTheme="majorHAnsi" w:eastAsia="Times New Roman" w:hAnsiTheme="majorHAnsi" w:cstheme="majorHAnsi"/>
                <w:sz w:val="20"/>
                <w:szCs w:val="20"/>
                <w:lang w:val="ro-RO"/>
              </w:rPr>
              <w:t>1.145.000</w:t>
            </w:r>
          </w:p>
        </w:tc>
        <w:tc>
          <w:tcPr>
            <w:tcW w:w="1701" w:type="dxa"/>
            <w:tcBorders>
              <w:top w:val="single" w:sz="4" w:space="0" w:color="auto"/>
              <w:left w:val="single" w:sz="4" w:space="0" w:color="auto"/>
              <w:bottom w:val="single" w:sz="4" w:space="0" w:color="auto"/>
              <w:right w:val="single" w:sz="4" w:space="0" w:color="auto"/>
            </w:tcBorders>
            <w:shd w:val="clear" w:color="D9E1F2" w:fill="D9E1F2"/>
          </w:tcPr>
          <w:p w14:paraId="30C02196" w14:textId="77777777" w:rsidR="0034452A" w:rsidRPr="00B20FBD" w:rsidRDefault="0034452A" w:rsidP="00933F2D">
            <w:pPr>
              <w:jc w:val="right"/>
              <w:rPr>
                <w:rFonts w:asciiTheme="majorHAnsi" w:eastAsia="Times New Roman" w:hAnsiTheme="majorHAnsi" w:cstheme="majorHAnsi"/>
                <w:sz w:val="20"/>
                <w:szCs w:val="20"/>
                <w:lang w:val="ro-RO"/>
              </w:rPr>
            </w:pPr>
            <w:r w:rsidRPr="00B20FBD">
              <w:rPr>
                <w:rFonts w:asciiTheme="majorHAnsi" w:eastAsia="Times New Roman" w:hAnsiTheme="majorHAnsi" w:cstheme="majorHAnsi"/>
                <w:sz w:val="20"/>
                <w:szCs w:val="20"/>
                <w:lang w:val="ro-RO"/>
              </w:rPr>
              <w:t>1.191.460</w:t>
            </w:r>
          </w:p>
        </w:tc>
        <w:tc>
          <w:tcPr>
            <w:tcW w:w="1560" w:type="dxa"/>
            <w:tcBorders>
              <w:top w:val="single" w:sz="4" w:space="0" w:color="auto"/>
              <w:left w:val="single" w:sz="4" w:space="0" w:color="auto"/>
              <w:bottom w:val="single" w:sz="4" w:space="0" w:color="auto"/>
              <w:right w:val="single" w:sz="4" w:space="0" w:color="auto"/>
            </w:tcBorders>
            <w:shd w:val="clear" w:color="D9E1F2" w:fill="D9E1F2"/>
          </w:tcPr>
          <w:p w14:paraId="55D55095" w14:textId="77777777" w:rsidR="0034452A" w:rsidRPr="00B20FBD" w:rsidRDefault="0034452A" w:rsidP="00933F2D">
            <w:pPr>
              <w:jc w:val="right"/>
              <w:rPr>
                <w:rFonts w:asciiTheme="majorHAnsi" w:eastAsia="Times New Roman" w:hAnsiTheme="majorHAnsi" w:cstheme="majorHAnsi"/>
                <w:sz w:val="20"/>
                <w:szCs w:val="20"/>
                <w:lang w:val="ro-RO"/>
              </w:rPr>
            </w:pPr>
            <w:r w:rsidRPr="00B20FBD">
              <w:rPr>
                <w:rFonts w:asciiTheme="majorHAnsi" w:eastAsia="Times New Roman" w:hAnsiTheme="majorHAnsi" w:cstheme="majorHAnsi"/>
                <w:sz w:val="20"/>
                <w:szCs w:val="20"/>
                <w:lang w:val="ro-RO"/>
              </w:rPr>
              <w:t>46.460</w:t>
            </w:r>
          </w:p>
        </w:tc>
        <w:tc>
          <w:tcPr>
            <w:tcW w:w="992" w:type="dxa"/>
            <w:tcBorders>
              <w:top w:val="single" w:sz="4" w:space="0" w:color="auto"/>
              <w:left w:val="single" w:sz="4" w:space="0" w:color="auto"/>
              <w:bottom w:val="single" w:sz="4" w:space="0" w:color="auto"/>
              <w:right w:val="single" w:sz="4" w:space="0" w:color="auto"/>
            </w:tcBorders>
            <w:shd w:val="clear" w:color="D9E1F2" w:fill="D9E1F2"/>
          </w:tcPr>
          <w:p w14:paraId="73813CD7" w14:textId="77777777" w:rsidR="0034452A" w:rsidRPr="00B20FBD" w:rsidRDefault="0034452A" w:rsidP="00933F2D">
            <w:pPr>
              <w:jc w:val="right"/>
              <w:rPr>
                <w:rFonts w:asciiTheme="majorHAnsi" w:eastAsia="Times New Roman" w:hAnsiTheme="majorHAnsi" w:cstheme="majorHAnsi"/>
                <w:sz w:val="20"/>
                <w:szCs w:val="20"/>
                <w:lang w:val="ro-RO"/>
              </w:rPr>
            </w:pPr>
            <w:r w:rsidRPr="00B20FBD">
              <w:rPr>
                <w:rFonts w:asciiTheme="majorHAnsi" w:eastAsia="Times New Roman" w:hAnsiTheme="majorHAnsi" w:cstheme="majorHAnsi"/>
                <w:sz w:val="20"/>
                <w:szCs w:val="20"/>
                <w:lang w:val="ro-RO"/>
              </w:rPr>
              <w:t>104,1</w:t>
            </w:r>
          </w:p>
        </w:tc>
      </w:tr>
      <w:tr w:rsidR="0034452A" w:rsidRPr="00B20FBD" w14:paraId="3F774695" w14:textId="77777777" w:rsidTr="00933F2D">
        <w:trPr>
          <w:trHeight w:val="288"/>
          <w:jc w:val="center"/>
        </w:trPr>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0EF61850" w14:textId="77777777" w:rsidR="0034452A" w:rsidRPr="00B20FBD" w:rsidRDefault="0034452A" w:rsidP="00933F2D">
            <w:pPr>
              <w:spacing w:after="0" w:line="240" w:lineRule="auto"/>
              <w:jc w:val="center"/>
              <w:rPr>
                <w:rFonts w:asciiTheme="majorHAnsi" w:eastAsia="Times New Roman" w:hAnsiTheme="majorHAnsi" w:cstheme="majorHAnsi"/>
                <w:sz w:val="20"/>
                <w:szCs w:val="20"/>
                <w:lang w:val="ro-RO"/>
              </w:rPr>
            </w:pPr>
            <w:r w:rsidRPr="00B20FBD">
              <w:rPr>
                <w:rFonts w:asciiTheme="majorHAnsi" w:eastAsia="Times New Roman" w:hAnsiTheme="majorHAnsi" w:cstheme="majorHAnsi"/>
                <w:sz w:val="20"/>
                <w:szCs w:val="20"/>
                <w:lang w:val="ro-RO"/>
              </w:rPr>
              <w:t>115610</w:t>
            </w:r>
          </w:p>
        </w:tc>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120F5E47" w14:textId="77777777" w:rsidR="0034452A" w:rsidRPr="00B20FBD" w:rsidRDefault="0034452A" w:rsidP="00933F2D">
            <w:pPr>
              <w:spacing w:after="0" w:line="240" w:lineRule="auto"/>
              <w:rPr>
                <w:rFonts w:asciiTheme="majorHAnsi" w:eastAsia="Times New Roman" w:hAnsiTheme="majorHAnsi" w:cstheme="majorHAnsi"/>
                <w:sz w:val="20"/>
                <w:szCs w:val="20"/>
                <w:lang w:val="ro-RO"/>
              </w:rPr>
            </w:pPr>
            <w:r w:rsidRPr="00B20FBD">
              <w:rPr>
                <w:rFonts w:asciiTheme="majorHAnsi" w:eastAsia="Times New Roman" w:hAnsiTheme="majorHAnsi" w:cstheme="majorHAnsi"/>
                <w:sz w:val="20"/>
                <w:szCs w:val="20"/>
                <w:lang w:val="ro-RO"/>
              </w:rPr>
              <w:t>Taxa pentru efectuarea procedurilor vamale</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72A07985" w14:textId="77777777" w:rsidR="0034452A" w:rsidRPr="00B20FBD" w:rsidRDefault="0034452A" w:rsidP="00933F2D">
            <w:pPr>
              <w:jc w:val="right"/>
              <w:rPr>
                <w:rFonts w:asciiTheme="majorHAnsi" w:eastAsia="Times New Roman" w:hAnsiTheme="majorHAnsi" w:cstheme="majorHAnsi"/>
                <w:sz w:val="20"/>
                <w:szCs w:val="20"/>
                <w:lang w:val="ro-RO"/>
              </w:rPr>
            </w:pPr>
            <w:r w:rsidRPr="00B20FBD">
              <w:rPr>
                <w:rFonts w:asciiTheme="majorHAnsi" w:eastAsia="Times New Roman" w:hAnsiTheme="majorHAnsi" w:cstheme="majorHAnsi"/>
                <w:sz w:val="20"/>
                <w:szCs w:val="20"/>
                <w:lang w:val="ro-RO"/>
              </w:rPr>
              <w:t>491.000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162D835" w14:textId="77777777" w:rsidR="0034452A" w:rsidRPr="00B20FBD" w:rsidRDefault="0034452A" w:rsidP="00933F2D">
            <w:pPr>
              <w:jc w:val="right"/>
              <w:rPr>
                <w:rFonts w:asciiTheme="majorHAnsi" w:eastAsia="Times New Roman" w:hAnsiTheme="majorHAnsi" w:cstheme="majorHAnsi"/>
                <w:sz w:val="20"/>
                <w:szCs w:val="20"/>
                <w:lang w:val="ro-RO"/>
              </w:rPr>
            </w:pPr>
            <w:r w:rsidRPr="00B20FBD">
              <w:rPr>
                <w:rFonts w:asciiTheme="majorHAnsi" w:eastAsia="Times New Roman" w:hAnsiTheme="majorHAnsi" w:cstheme="majorHAnsi"/>
                <w:sz w:val="20"/>
                <w:szCs w:val="20"/>
                <w:lang w:val="ro-RO"/>
              </w:rPr>
              <w:t>489.378</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80D2A85" w14:textId="77777777" w:rsidR="0034452A" w:rsidRPr="00B20FBD" w:rsidRDefault="0034452A" w:rsidP="00933F2D">
            <w:pPr>
              <w:jc w:val="right"/>
              <w:rPr>
                <w:rFonts w:asciiTheme="majorHAnsi" w:eastAsia="Times New Roman" w:hAnsiTheme="majorHAnsi" w:cstheme="majorHAnsi"/>
                <w:sz w:val="20"/>
                <w:szCs w:val="20"/>
                <w:lang w:val="ro-RO"/>
              </w:rPr>
            </w:pPr>
            <w:r w:rsidRPr="00B20FBD">
              <w:rPr>
                <w:rFonts w:asciiTheme="majorHAnsi" w:eastAsia="Times New Roman" w:hAnsiTheme="majorHAnsi" w:cstheme="majorHAnsi"/>
                <w:sz w:val="20"/>
                <w:szCs w:val="20"/>
                <w:lang w:val="ro-RO"/>
              </w:rPr>
              <w:t>-1.622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C24EBCF" w14:textId="77777777" w:rsidR="0034452A" w:rsidRPr="00B20FBD" w:rsidRDefault="0034452A" w:rsidP="00933F2D">
            <w:pPr>
              <w:jc w:val="right"/>
              <w:rPr>
                <w:rFonts w:asciiTheme="majorHAnsi" w:eastAsia="Times New Roman" w:hAnsiTheme="majorHAnsi" w:cstheme="majorHAnsi"/>
                <w:sz w:val="20"/>
                <w:szCs w:val="20"/>
                <w:lang w:val="ro-RO"/>
              </w:rPr>
            </w:pPr>
            <w:r w:rsidRPr="00B20FBD">
              <w:rPr>
                <w:rFonts w:asciiTheme="majorHAnsi" w:eastAsia="Times New Roman" w:hAnsiTheme="majorHAnsi" w:cstheme="majorHAnsi"/>
                <w:sz w:val="20"/>
                <w:szCs w:val="20"/>
                <w:lang w:val="ro-RO"/>
              </w:rPr>
              <w:t>99,7</w:t>
            </w:r>
          </w:p>
        </w:tc>
      </w:tr>
      <w:tr w:rsidR="0034452A" w:rsidRPr="00B20FBD" w14:paraId="66D85B75" w14:textId="77777777" w:rsidTr="00933F2D">
        <w:trPr>
          <w:trHeight w:val="288"/>
          <w:jc w:val="center"/>
        </w:trPr>
        <w:tc>
          <w:tcPr>
            <w:tcW w:w="1559" w:type="dxa"/>
            <w:tcBorders>
              <w:top w:val="single" w:sz="4" w:space="0" w:color="auto"/>
              <w:left w:val="single" w:sz="4" w:space="0" w:color="auto"/>
              <w:bottom w:val="single" w:sz="4" w:space="0" w:color="auto"/>
              <w:right w:val="single" w:sz="4" w:space="0" w:color="auto"/>
            </w:tcBorders>
            <w:shd w:val="clear" w:color="D9E1F2" w:fill="D9E1F2"/>
            <w:noWrap/>
            <w:hideMark/>
          </w:tcPr>
          <w:p w14:paraId="5DDB888F" w14:textId="77777777" w:rsidR="0034452A" w:rsidRPr="00B20FBD" w:rsidRDefault="0034452A" w:rsidP="00933F2D">
            <w:pPr>
              <w:spacing w:after="0" w:line="240" w:lineRule="auto"/>
              <w:jc w:val="center"/>
              <w:rPr>
                <w:rFonts w:asciiTheme="majorHAnsi" w:eastAsia="Times New Roman" w:hAnsiTheme="majorHAnsi" w:cstheme="majorHAnsi"/>
                <w:sz w:val="20"/>
                <w:szCs w:val="20"/>
                <w:lang w:val="ro-RO"/>
              </w:rPr>
            </w:pPr>
            <w:r w:rsidRPr="00B20FBD">
              <w:rPr>
                <w:rFonts w:asciiTheme="majorHAnsi" w:eastAsia="Times New Roman" w:hAnsiTheme="majorHAnsi" w:cstheme="majorHAnsi"/>
                <w:sz w:val="20"/>
                <w:szCs w:val="20"/>
                <w:lang w:val="ro-RO"/>
              </w:rPr>
              <w:t>143340</w:t>
            </w:r>
          </w:p>
        </w:tc>
        <w:tc>
          <w:tcPr>
            <w:tcW w:w="2547" w:type="dxa"/>
            <w:tcBorders>
              <w:top w:val="single" w:sz="4" w:space="0" w:color="auto"/>
              <w:left w:val="single" w:sz="4" w:space="0" w:color="auto"/>
              <w:bottom w:val="single" w:sz="4" w:space="0" w:color="auto"/>
              <w:right w:val="single" w:sz="4" w:space="0" w:color="auto"/>
            </w:tcBorders>
            <w:shd w:val="clear" w:color="D9E1F2" w:fill="D9E1F2"/>
            <w:hideMark/>
          </w:tcPr>
          <w:p w14:paraId="4A12CC43" w14:textId="77777777" w:rsidR="0034452A" w:rsidRPr="00B20FBD" w:rsidRDefault="0034452A" w:rsidP="00933F2D">
            <w:pPr>
              <w:spacing w:after="0" w:line="240" w:lineRule="auto"/>
              <w:rPr>
                <w:rFonts w:asciiTheme="majorHAnsi" w:eastAsia="Times New Roman" w:hAnsiTheme="majorHAnsi" w:cstheme="majorHAnsi"/>
                <w:sz w:val="20"/>
                <w:szCs w:val="20"/>
                <w:lang w:val="ro-RO"/>
              </w:rPr>
            </w:pPr>
            <w:r w:rsidRPr="00B20FBD">
              <w:rPr>
                <w:rFonts w:asciiTheme="majorHAnsi" w:eastAsia="Times New Roman" w:hAnsiTheme="majorHAnsi" w:cstheme="majorHAnsi"/>
                <w:sz w:val="20"/>
                <w:szCs w:val="20"/>
                <w:lang w:val="ro-RO"/>
              </w:rPr>
              <w:t>Amenzi aplicate de organele Serviciului Vamal</w:t>
            </w:r>
          </w:p>
        </w:tc>
        <w:tc>
          <w:tcPr>
            <w:tcW w:w="1559" w:type="dxa"/>
            <w:tcBorders>
              <w:top w:val="single" w:sz="4" w:space="0" w:color="auto"/>
              <w:left w:val="single" w:sz="4" w:space="0" w:color="auto"/>
              <w:bottom w:val="single" w:sz="4" w:space="0" w:color="auto"/>
              <w:right w:val="single" w:sz="4" w:space="0" w:color="auto"/>
            </w:tcBorders>
            <w:shd w:val="clear" w:color="D9E1F2" w:fill="D9E1F2"/>
            <w:noWrap/>
          </w:tcPr>
          <w:p w14:paraId="4E32F8E9" w14:textId="77777777" w:rsidR="0034452A" w:rsidRPr="00B20FBD" w:rsidRDefault="0034452A" w:rsidP="00933F2D">
            <w:pPr>
              <w:jc w:val="right"/>
              <w:rPr>
                <w:rFonts w:asciiTheme="majorHAnsi" w:eastAsia="Times New Roman" w:hAnsiTheme="majorHAnsi" w:cstheme="majorHAnsi"/>
                <w:sz w:val="20"/>
                <w:szCs w:val="20"/>
                <w:lang w:val="ro-RO"/>
              </w:rPr>
            </w:pPr>
            <w:r w:rsidRPr="00B20FBD">
              <w:rPr>
                <w:rFonts w:asciiTheme="majorHAnsi" w:eastAsia="Times New Roman" w:hAnsiTheme="majorHAnsi" w:cstheme="majorHAnsi"/>
                <w:sz w:val="20"/>
                <w:szCs w:val="20"/>
                <w:lang w:val="ro-RO"/>
              </w:rPr>
              <w:t>12.500</w:t>
            </w:r>
          </w:p>
        </w:tc>
        <w:tc>
          <w:tcPr>
            <w:tcW w:w="1701" w:type="dxa"/>
            <w:tcBorders>
              <w:top w:val="single" w:sz="4" w:space="0" w:color="auto"/>
              <w:left w:val="single" w:sz="4" w:space="0" w:color="auto"/>
              <w:bottom w:val="single" w:sz="4" w:space="0" w:color="auto"/>
              <w:right w:val="single" w:sz="4" w:space="0" w:color="auto"/>
            </w:tcBorders>
            <w:shd w:val="clear" w:color="D9E1F2" w:fill="D9E1F2"/>
          </w:tcPr>
          <w:p w14:paraId="1483E2EE" w14:textId="77777777" w:rsidR="0034452A" w:rsidRPr="00B20FBD" w:rsidRDefault="0034452A" w:rsidP="00933F2D">
            <w:pPr>
              <w:jc w:val="right"/>
              <w:rPr>
                <w:rFonts w:asciiTheme="majorHAnsi" w:eastAsia="Times New Roman" w:hAnsiTheme="majorHAnsi" w:cstheme="majorHAnsi"/>
                <w:sz w:val="20"/>
                <w:szCs w:val="20"/>
                <w:lang w:val="ro-RO"/>
              </w:rPr>
            </w:pPr>
            <w:r w:rsidRPr="00B20FBD">
              <w:rPr>
                <w:rFonts w:asciiTheme="majorHAnsi" w:eastAsia="Times New Roman" w:hAnsiTheme="majorHAnsi" w:cstheme="majorHAnsi"/>
                <w:sz w:val="20"/>
                <w:szCs w:val="20"/>
                <w:lang w:val="ro-RO"/>
              </w:rPr>
              <w:t>12.748</w:t>
            </w:r>
          </w:p>
        </w:tc>
        <w:tc>
          <w:tcPr>
            <w:tcW w:w="1560" w:type="dxa"/>
            <w:tcBorders>
              <w:top w:val="single" w:sz="4" w:space="0" w:color="auto"/>
              <w:left w:val="single" w:sz="4" w:space="0" w:color="auto"/>
              <w:bottom w:val="single" w:sz="4" w:space="0" w:color="auto"/>
              <w:right w:val="single" w:sz="4" w:space="0" w:color="auto"/>
            </w:tcBorders>
            <w:shd w:val="clear" w:color="D9E1F2" w:fill="D9E1F2"/>
          </w:tcPr>
          <w:p w14:paraId="22A58799" w14:textId="77777777" w:rsidR="0034452A" w:rsidRPr="00B20FBD" w:rsidRDefault="0034452A" w:rsidP="00933F2D">
            <w:pPr>
              <w:jc w:val="right"/>
              <w:rPr>
                <w:rFonts w:asciiTheme="majorHAnsi" w:eastAsia="Times New Roman" w:hAnsiTheme="majorHAnsi" w:cstheme="majorHAnsi"/>
                <w:sz w:val="20"/>
                <w:szCs w:val="20"/>
                <w:lang w:val="ro-RO"/>
              </w:rPr>
            </w:pPr>
            <w:r w:rsidRPr="00B20FBD">
              <w:rPr>
                <w:rFonts w:asciiTheme="majorHAnsi" w:eastAsia="Times New Roman" w:hAnsiTheme="majorHAnsi" w:cstheme="majorHAnsi"/>
                <w:sz w:val="20"/>
                <w:szCs w:val="20"/>
                <w:lang w:val="ro-RO"/>
              </w:rPr>
              <w:t>248</w:t>
            </w:r>
          </w:p>
        </w:tc>
        <w:tc>
          <w:tcPr>
            <w:tcW w:w="992" w:type="dxa"/>
            <w:tcBorders>
              <w:top w:val="single" w:sz="4" w:space="0" w:color="auto"/>
              <w:left w:val="single" w:sz="4" w:space="0" w:color="auto"/>
              <w:bottom w:val="single" w:sz="4" w:space="0" w:color="auto"/>
              <w:right w:val="single" w:sz="4" w:space="0" w:color="auto"/>
            </w:tcBorders>
            <w:shd w:val="clear" w:color="D9E1F2" w:fill="D9E1F2"/>
          </w:tcPr>
          <w:p w14:paraId="434FC8D5" w14:textId="77777777" w:rsidR="0034452A" w:rsidRPr="00B20FBD" w:rsidRDefault="0034452A" w:rsidP="00933F2D">
            <w:pPr>
              <w:jc w:val="right"/>
              <w:rPr>
                <w:rFonts w:asciiTheme="majorHAnsi" w:eastAsia="Times New Roman" w:hAnsiTheme="majorHAnsi" w:cstheme="majorHAnsi"/>
                <w:sz w:val="20"/>
                <w:szCs w:val="20"/>
                <w:lang w:val="ro-RO"/>
              </w:rPr>
            </w:pPr>
            <w:r w:rsidRPr="00B20FBD">
              <w:rPr>
                <w:rFonts w:asciiTheme="majorHAnsi" w:eastAsia="Times New Roman" w:hAnsiTheme="majorHAnsi" w:cstheme="majorHAnsi"/>
                <w:sz w:val="20"/>
                <w:szCs w:val="20"/>
                <w:lang w:val="ro-RO"/>
              </w:rPr>
              <w:t>102,0</w:t>
            </w:r>
          </w:p>
        </w:tc>
      </w:tr>
      <w:tr w:rsidR="0034452A" w:rsidRPr="00B20FBD" w14:paraId="29E2543A" w14:textId="77777777" w:rsidTr="00933F2D">
        <w:trPr>
          <w:trHeight w:val="974"/>
          <w:jc w:val="center"/>
        </w:trPr>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15398DAB" w14:textId="77777777" w:rsidR="0034452A" w:rsidRPr="00B20FBD" w:rsidRDefault="0034452A" w:rsidP="00933F2D">
            <w:pPr>
              <w:spacing w:after="0" w:line="240" w:lineRule="auto"/>
              <w:jc w:val="center"/>
              <w:rPr>
                <w:rFonts w:asciiTheme="majorHAnsi" w:eastAsia="Times New Roman" w:hAnsiTheme="majorHAnsi" w:cstheme="majorHAnsi"/>
                <w:sz w:val="20"/>
                <w:szCs w:val="20"/>
                <w:lang w:val="ro-RO"/>
              </w:rPr>
            </w:pPr>
            <w:r w:rsidRPr="00B20FBD">
              <w:rPr>
                <w:rFonts w:asciiTheme="majorHAnsi" w:eastAsia="Times New Roman" w:hAnsiTheme="majorHAnsi" w:cstheme="majorHAnsi"/>
                <w:sz w:val="20"/>
                <w:szCs w:val="20"/>
                <w:lang w:val="ro-RO"/>
              </w:rPr>
              <w:t>142236</w:t>
            </w:r>
          </w:p>
        </w:tc>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5BFC9DC1" w14:textId="13960A7F" w:rsidR="0034452A" w:rsidRPr="00B20FBD" w:rsidRDefault="0034452A" w:rsidP="00A84FAB">
            <w:pPr>
              <w:spacing w:after="0" w:line="240" w:lineRule="auto"/>
              <w:rPr>
                <w:rFonts w:asciiTheme="majorHAnsi" w:eastAsia="Times New Roman" w:hAnsiTheme="majorHAnsi" w:cstheme="majorHAnsi"/>
                <w:sz w:val="20"/>
                <w:szCs w:val="20"/>
                <w:lang w:val="ro-RO"/>
              </w:rPr>
            </w:pPr>
            <w:r w:rsidRPr="00B20FBD">
              <w:rPr>
                <w:rFonts w:asciiTheme="majorHAnsi" w:eastAsia="Times New Roman" w:hAnsiTheme="majorHAnsi" w:cstheme="majorHAnsi"/>
                <w:sz w:val="20"/>
                <w:szCs w:val="20"/>
                <w:lang w:val="ro-RO"/>
              </w:rPr>
              <w:t>Mijloace încasate la bugetul de stat de la confiscarea definitivă a mărfurilor sau încasarea contravalorii acestora, administrate de organele vamale</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053CDDA4" w14:textId="77777777" w:rsidR="0034452A" w:rsidRPr="00B20FBD" w:rsidRDefault="0034452A" w:rsidP="00933F2D">
            <w:pPr>
              <w:jc w:val="right"/>
              <w:rPr>
                <w:rFonts w:asciiTheme="majorHAnsi" w:eastAsia="Times New Roman" w:hAnsiTheme="majorHAnsi" w:cstheme="majorHAnsi"/>
                <w:sz w:val="20"/>
                <w:szCs w:val="20"/>
                <w:lang w:val="ro-RO"/>
              </w:rPr>
            </w:pPr>
            <w:r w:rsidRPr="00B20FBD">
              <w:rPr>
                <w:rFonts w:asciiTheme="majorHAnsi" w:eastAsia="Times New Roman" w:hAnsiTheme="majorHAnsi" w:cstheme="majorHAnsi"/>
                <w:sz w:val="20"/>
                <w:szCs w:val="20"/>
                <w:lang w:val="ro-RO"/>
              </w:rPr>
              <w:t>6.000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B0F9EF8" w14:textId="77777777" w:rsidR="0034452A" w:rsidRPr="00B20FBD" w:rsidRDefault="0034452A" w:rsidP="00933F2D">
            <w:pPr>
              <w:jc w:val="right"/>
              <w:rPr>
                <w:rFonts w:asciiTheme="majorHAnsi" w:eastAsia="Times New Roman" w:hAnsiTheme="majorHAnsi" w:cstheme="majorHAnsi"/>
                <w:sz w:val="20"/>
                <w:szCs w:val="20"/>
                <w:lang w:val="ro-RO"/>
              </w:rPr>
            </w:pPr>
            <w:r w:rsidRPr="00B20FBD">
              <w:rPr>
                <w:rFonts w:asciiTheme="majorHAnsi" w:eastAsia="Times New Roman" w:hAnsiTheme="majorHAnsi" w:cstheme="majorHAnsi"/>
                <w:sz w:val="20"/>
                <w:szCs w:val="20"/>
                <w:lang w:val="ro-RO"/>
              </w:rPr>
              <w:t>7.344</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1524105" w14:textId="77777777" w:rsidR="0034452A" w:rsidRPr="00B20FBD" w:rsidRDefault="0034452A" w:rsidP="00933F2D">
            <w:pPr>
              <w:jc w:val="right"/>
              <w:rPr>
                <w:rFonts w:asciiTheme="majorHAnsi" w:eastAsia="Times New Roman" w:hAnsiTheme="majorHAnsi" w:cstheme="majorHAnsi"/>
                <w:sz w:val="20"/>
                <w:szCs w:val="20"/>
                <w:lang w:val="ro-RO"/>
              </w:rPr>
            </w:pPr>
            <w:r w:rsidRPr="00B20FBD">
              <w:rPr>
                <w:rFonts w:asciiTheme="majorHAnsi" w:eastAsia="Times New Roman" w:hAnsiTheme="majorHAnsi" w:cstheme="majorHAnsi"/>
                <w:sz w:val="20"/>
                <w:szCs w:val="20"/>
                <w:lang w:val="ro-RO"/>
              </w:rPr>
              <w:t>1.344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954E1B" w14:textId="77777777" w:rsidR="0034452A" w:rsidRPr="00B20FBD" w:rsidRDefault="0034452A" w:rsidP="00933F2D">
            <w:pPr>
              <w:jc w:val="right"/>
              <w:rPr>
                <w:rFonts w:asciiTheme="majorHAnsi" w:eastAsia="Times New Roman" w:hAnsiTheme="majorHAnsi" w:cstheme="majorHAnsi"/>
                <w:sz w:val="20"/>
                <w:szCs w:val="20"/>
                <w:lang w:val="ro-RO"/>
              </w:rPr>
            </w:pPr>
            <w:r w:rsidRPr="00B20FBD">
              <w:rPr>
                <w:rFonts w:asciiTheme="majorHAnsi" w:eastAsia="Times New Roman" w:hAnsiTheme="majorHAnsi" w:cstheme="majorHAnsi"/>
                <w:sz w:val="20"/>
                <w:szCs w:val="20"/>
                <w:lang w:val="ro-RO"/>
              </w:rPr>
              <w:t>122,4</w:t>
            </w:r>
          </w:p>
        </w:tc>
      </w:tr>
      <w:tr w:rsidR="0034452A" w:rsidRPr="00B20FBD" w14:paraId="5A34DF11" w14:textId="77777777" w:rsidTr="00933F2D">
        <w:trPr>
          <w:trHeight w:val="256"/>
          <w:jc w:val="center"/>
        </w:trPr>
        <w:tc>
          <w:tcPr>
            <w:tcW w:w="4106" w:type="dxa"/>
            <w:gridSpan w:val="2"/>
            <w:tcBorders>
              <w:top w:val="single" w:sz="4" w:space="0" w:color="auto"/>
              <w:left w:val="single" w:sz="4" w:space="0" w:color="auto"/>
              <w:bottom w:val="single" w:sz="4" w:space="0" w:color="auto"/>
              <w:right w:val="single" w:sz="4" w:space="0" w:color="auto"/>
            </w:tcBorders>
            <w:shd w:val="clear" w:color="D9E1F2" w:fill="D9E1F2"/>
            <w:noWrap/>
            <w:hideMark/>
          </w:tcPr>
          <w:p w14:paraId="6AC5F6A1" w14:textId="77777777" w:rsidR="0034452A" w:rsidRPr="00B20FBD" w:rsidRDefault="0034452A" w:rsidP="00933F2D">
            <w:pPr>
              <w:spacing w:after="0" w:line="240" w:lineRule="auto"/>
              <w:rPr>
                <w:rFonts w:asciiTheme="majorHAnsi" w:eastAsia="Times New Roman" w:hAnsiTheme="majorHAnsi" w:cstheme="majorHAnsi"/>
                <w:b/>
                <w:bCs/>
                <w:i/>
                <w:iCs/>
                <w:sz w:val="20"/>
                <w:szCs w:val="20"/>
                <w:lang w:val="ro-RO"/>
              </w:rPr>
            </w:pPr>
            <w:r w:rsidRPr="00B20FBD">
              <w:rPr>
                <w:rFonts w:asciiTheme="majorHAnsi" w:eastAsia="Times New Roman" w:hAnsiTheme="majorHAnsi" w:cstheme="majorHAnsi"/>
                <w:b/>
                <w:bCs/>
                <w:i/>
                <w:iCs/>
                <w:sz w:val="20"/>
                <w:szCs w:val="20"/>
                <w:lang w:val="ro-RO"/>
              </w:rPr>
              <w:t>Total drepturi de import-export </w:t>
            </w:r>
          </w:p>
        </w:tc>
        <w:tc>
          <w:tcPr>
            <w:tcW w:w="1559" w:type="dxa"/>
            <w:tcBorders>
              <w:top w:val="single" w:sz="4" w:space="0" w:color="auto"/>
              <w:left w:val="single" w:sz="4" w:space="0" w:color="auto"/>
              <w:bottom w:val="single" w:sz="4" w:space="0" w:color="auto"/>
              <w:right w:val="single" w:sz="4" w:space="0" w:color="auto"/>
            </w:tcBorders>
            <w:shd w:val="clear" w:color="D9E1F2" w:fill="D9E1F2"/>
            <w:noWrap/>
          </w:tcPr>
          <w:p w14:paraId="47937C38" w14:textId="77777777" w:rsidR="0034452A" w:rsidRPr="00B20FBD" w:rsidRDefault="0034452A" w:rsidP="00933F2D">
            <w:pPr>
              <w:jc w:val="right"/>
              <w:rPr>
                <w:rFonts w:asciiTheme="majorHAnsi" w:eastAsia="Times New Roman" w:hAnsiTheme="majorHAnsi" w:cstheme="majorHAnsi"/>
                <w:b/>
                <w:bCs/>
                <w:i/>
                <w:iCs/>
                <w:color w:val="000000"/>
                <w:sz w:val="20"/>
                <w:szCs w:val="20"/>
                <w:lang w:val="ro-RO"/>
              </w:rPr>
            </w:pPr>
            <w:r w:rsidRPr="00B20FBD">
              <w:rPr>
                <w:rFonts w:asciiTheme="majorHAnsi" w:eastAsia="Times New Roman" w:hAnsiTheme="majorHAnsi" w:cstheme="majorHAnsi"/>
                <w:b/>
                <w:bCs/>
                <w:i/>
                <w:iCs/>
                <w:color w:val="000000"/>
                <w:sz w:val="20"/>
                <w:szCs w:val="20"/>
                <w:lang w:val="ro-RO"/>
              </w:rPr>
              <w:t>22.157.200</w:t>
            </w:r>
          </w:p>
        </w:tc>
        <w:tc>
          <w:tcPr>
            <w:tcW w:w="1701" w:type="dxa"/>
            <w:tcBorders>
              <w:top w:val="single" w:sz="4" w:space="0" w:color="auto"/>
              <w:left w:val="single" w:sz="4" w:space="0" w:color="auto"/>
              <w:bottom w:val="single" w:sz="4" w:space="0" w:color="auto"/>
              <w:right w:val="single" w:sz="4" w:space="0" w:color="auto"/>
            </w:tcBorders>
            <w:shd w:val="clear" w:color="D9E1F2" w:fill="D9E1F2"/>
            <w:noWrap/>
          </w:tcPr>
          <w:p w14:paraId="00114265" w14:textId="77777777" w:rsidR="0034452A" w:rsidRPr="00B20FBD" w:rsidRDefault="0034452A" w:rsidP="00933F2D">
            <w:pPr>
              <w:jc w:val="right"/>
              <w:rPr>
                <w:rFonts w:asciiTheme="majorHAnsi" w:eastAsia="Times New Roman" w:hAnsiTheme="majorHAnsi" w:cstheme="majorHAnsi"/>
                <w:b/>
                <w:bCs/>
                <w:i/>
                <w:iCs/>
                <w:sz w:val="20"/>
                <w:szCs w:val="20"/>
                <w:lang w:val="ro-RO"/>
              </w:rPr>
            </w:pPr>
            <w:r w:rsidRPr="00B20FBD">
              <w:rPr>
                <w:rFonts w:asciiTheme="majorHAnsi" w:eastAsia="Times New Roman" w:hAnsiTheme="majorHAnsi" w:cstheme="majorHAnsi"/>
                <w:b/>
                <w:bCs/>
                <w:i/>
                <w:iCs/>
                <w:sz w:val="20"/>
                <w:szCs w:val="20"/>
                <w:lang w:val="ro-RO"/>
              </w:rPr>
              <w:t>22.524.904</w:t>
            </w:r>
          </w:p>
        </w:tc>
        <w:tc>
          <w:tcPr>
            <w:tcW w:w="1560" w:type="dxa"/>
            <w:tcBorders>
              <w:top w:val="single" w:sz="4" w:space="0" w:color="auto"/>
              <w:left w:val="single" w:sz="4" w:space="0" w:color="auto"/>
              <w:bottom w:val="single" w:sz="4" w:space="0" w:color="auto"/>
              <w:right w:val="single" w:sz="4" w:space="0" w:color="auto"/>
            </w:tcBorders>
            <w:shd w:val="clear" w:color="D9E1F2" w:fill="D9E1F2"/>
            <w:noWrap/>
          </w:tcPr>
          <w:p w14:paraId="312CCC32" w14:textId="77777777" w:rsidR="0034452A" w:rsidRPr="00B20FBD" w:rsidRDefault="0034452A" w:rsidP="00933F2D">
            <w:pPr>
              <w:jc w:val="right"/>
              <w:rPr>
                <w:rFonts w:asciiTheme="majorHAnsi" w:eastAsia="Times New Roman" w:hAnsiTheme="majorHAnsi" w:cstheme="majorHAnsi"/>
                <w:b/>
                <w:bCs/>
                <w:i/>
                <w:iCs/>
                <w:sz w:val="20"/>
                <w:szCs w:val="20"/>
                <w:lang w:val="ro-RO"/>
              </w:rPr>
            </w:pPr>
            <w:r w:rsidRPr="00B20FBD">
              <w:rPr>
                <w:rFonts w:asciiTheme="majorHAnsi" w:eastAsia="Times New Roman" w:hAnsiTheme="majorHAnsi" w:cstheme="majorHAnsi"/>
                <w:b/>
                <w:bCs/>
                <w:i/>
                <w:iCs/>
                <w:sz w:val="20"/>
                <w:szCs w:val="20"/>
                <w:lang w:val="ro-RO"/>
              </w:rPr>
              <w:t>367.704</w:t>
            </w:r>
          </w:p>
        </w:tc>
        <w:tc>
          <w:tcPr>
            <w:tcW w:w="992" w:type="dxa"/>
            <w:tcBorders>
              <w:top w:val="single" w:sz="4" w:space="0" w:color="auto"/>
              <w:left w:val="single" w:sz="4" w:space="0" w:color="auto"/>
              <w:bottom w:val="single" w:sz="4" w:space="0" w:color="auto"/>
              <w:right w:val="single" w:sz="4" w:space="0" w:color="auto"/>
            </w:tcBorders>
            <w:shd w:val="clear" w:color="D9E1F2" w:fill="D9E1F2"/>
            <w:noWrap/>
          </w:tcPr>
          <w:p w14:paraId="1EA27A27" w14:textId="77777777" w:rsidR="0034452A" w:rsidRPr="00B20FBD" w:rsidRDefault="0034452A" w:rsidP="00933F2D">
            <w:pPr>
              <w:jc w:val="right"/>
              <w:rPr>
                <w:rFonts w:asciiTheme="majorHAnsi" w:eastAsia="Times New Roman" w:hAnsiTheme="majorHAnsi" w:cstheme="majorHAnsi"/>
                <w:b/>
                <w:bCs/>
                <w:i/>
                <w:iCs/>
                <w:sz w:val="20"/>
                <w:szCs w:val="20"/>
                <w:lang w:val="ro-RO"/>
              </w:rPr>
            </w:pPr>
            <w:r w:rsidRPr="00B20FBD">
              <w:rPr>
                <w:rFonts w:asciiTheme="majorHAnsi" w:eastAsia="Times New Roman" w:hAnsiTheme="majorHAnsi" w:cstheme="majorHAnsi"/>
                <w:b/>
                <w:bCs/>
                <w:i/>
                <w:iCs/>
                <w:sz w:val="20"/>
                <w:szCs w:val="20"/>
                <w:lang w:val="ro-RO"/>
              </w:rPr>
              <w:t>101,7</w:t>
            </w:r>
          </w:p>
        </w:tc>
      </w:tr>
      <w:tr w:rsidR="0034452A" w:rsidRPr="00B20FBD" w14:paraId="65A26CAE" w14:textId="77777777" w:rsidTr="00933F2D">
        <w:trPr>
          <w:trHeight w:val="552"/>
          <w:jc w:val="center"/>
        </w:trPr>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395E7228" w14:textId="77777777" w:rsidR="0034452A" w:rsidRPr="00B20FBD" w:rsidRDefault="0034452A" w:rsidP="00933F2D">
            <w:pPr>
              <w:spacing w:after="0" w:line="240" w:lineRule="auto"/>
              <w:jc w:val="center"/>
              <w:rPr>
                <w:rFonts w:asciiTheme="majorHAnsi" w:eastAsia="Times New Roman" w:hAnsiTheme="majorHAnsi" w:cstheme="majorHAnsi"/>
                <w:sz w:val="20"/>
                <w:szCs w:val="20"/>
                <w:lang w:val="ro-RO"/>
              </w:rPr>
            </w:pPr>
            <w:r w:rsidRPr="00B20FBD">
              <w:rPr>
                <w:rFonts w:asciiTheme="majorHAnsi" w:eastAsia="Times New Roman" w:hAnsiTheme="majorHAnsi" w:cstheme="majorHAnsi"/>
                <w:sz w:val="20"/>
                <w:szCs w:val="20"/>
                <w:lang w:val="ro-RO"/>
              </w:rPr>
              <w:t>145112</w:t>
            </w:r>
          </w:p>
        </w:tc>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774E4058" w14:textId="49664426" w:rsidR="0034452A" w:rsidRPr="00B20FBD" w:rsidRDefault="0034452A" w:rsidP="00A84FAB">
            <w:pPr>
              <w:spacing w:after="0" w:line="240" w:lineRule="auto"/>
              <w:rPr>
                <w:rFonts w:asciiTheme="majorHAnsi" w:eastAsia="Times New Roman" w:hAnsiTheme="majorHAnsi" w:cstheme="majorHAnsi"/>
                <w:sz w:val="20"/>
                <w:szCs w:val="20"/>
                <w:lang w:val="ro-RO"/>
              </w:rPr>
            </w:pPr>
            <w:r w:rsidRPr="00B20FBD">
              <w:rPr>
                <w:rFonts w:asciiTheme="majorHAnsi" w:eastAsia="Times New Roman" w:hAnsiTheme="majorHAnsi" w:cstheme="majorHAnsi"/>
                <w:sz w:val="20"/>
                <w:szCs w:val="20"/>
                <w:lang w:val="ro-RO"/>
              </w:rPr>
              <w:t xml:space="preserve">Alte venituri încasate în bugetul de stat, administrate de </w:t>
            </w:r>
            <w:r w:rsidR="00A84FAB">
              <w:rPr>
                <w:rFonts w:asciiTheme="majorHAnsi" w:eastAsia="Times New Roman" w:hAnsiTheme="majorHAnsi" w:cstheme="majorHAnsi"/>
                <w:sz w:val="20"/>
                <w:szCs w:val="20"/>
                <w:lang w:val="ro-RO"/>
              </w:rPr>
              <w:t>o</w:t>
            </w:r>
            <w:r w:rsidRPr="00B20FBD">
              <w:rPr>
                <w:rFonts w:asciiTheme="majorHAnsi" w:eastAsia="Times New Roman" w:hAnsiTheme="majorHAnsi" w:cstheme="majorHAnsi"/>
                <w:sz w:val="20"/>
                <w:szCs w:val="20"/>
                <w:lang w:val="ro-RO"/>
              </w:rPr>
              <w:t xml:space="preserve">rganele </w:t>
            </w:r>
            <w:r w:rsidR="00A84FAB">
              <w:rPr>
                <w:rFonts w:asciiTheme="majorHAnsi" w:eastAsia="Times New Roman" w:hAnsiTheme="majorHAnsi" w:cstheme="majorHAnsi"/>
                <w:sz w:val="20"/>
                <w:szCs w:val="20"/>
                <w:lang w:val="ro-RO"/>
              </w:rPr>
              <w:t>v</w:t>
            </w:r>
            <w:r w:rsidRPr="00B20FBD">
              <w:rPr>
                <w:rFonts w:asciiTheme="majorHAnsi" w:eastAsia="Times New Roman" w:hAnsiTheme="majorHAnsi" w:cstheme="majorHAnsi"/>
                <w:sz w:val="20"/>
                <w:szCs w:val="20"/>
                <w:lang w:val="ro-RO"/>
              </w:rPr>
              <w:t>amale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076BAE" w14:textId="77777777" w:rsidR="0034452A" w:rsidRPr="00B20FBD" w:rsidRDefault="0034452A" w:rsidP="00933F2D">
            <w:pPr>
              <w:jc w:val="right"/>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1.500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7BAA17F" w14:textId="77777777" w:rsidR="0034452A" w:rsidRPr="00B20FBD" w:rsidRDefault="0034452A" w:rsidP="00933F2D">
            <w:pPr>
              <w:jc w:val="right"/>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1.902</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DD229DB" w14:textId="77777777" w:rsidR="0034452A" w:rsidRPr="00B20FBD" w:rsidRDefault="0034452A" w:rsidP="00933F2D">
            <w:pPr>
              <w:jc w:val="right"/>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402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29C6A30" w14:textId="77777777" w:rsidR="0034452A" w:rsidRPr="00B20FBD" w:rsidRDefault="0034452A" w:rsidP="00933F2D">
            <w:pPr>
              <w:jc w:val="right"/>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126,8</w:t>
            </w:r>
          </w:p>
        </w:tc>
      </w:tr>
      <w:tr w:rsidR="0034452A" w:rsidRPr="00B20FBD" w14:paraId="011D00FF" w14:textId="77777777" w:rsidTr="00933F2D">
        <w:trPr>
          <w:trHeight w:val="286"/>
          <w:jc w:val="center"/>
        </w:trPr>
        <w:tc>
          <w:tcPr>
            <w:tcW w:w="4106" w:type="dxa"/>
            <w:gridSpan w:val="2"/>
            <w:tcBorders>
              <w:top w:val="single" w:sz="4" w:space="0" w:color="auto"/>
              <w:left w:val="single" w:sz="4" w:space="0" w:color="auto"/>
              <w:bottom w:val="single" w:sz="4" w:space="0" w:color="auto"/>
              <w:right w:val="single" w:sz="4" w:space="0" w:color="auto"/>
            </w:tcBorders>
            <w:shd w:val="clear" w:color="auto" w:fill="auto"/>
            <w:noWrap/>
          </w:tcPr>
          <w:p w14:paraId="233046B9" w14:textId="77777777" w:rsidR="0034452A" w:rsidRPr="00B20FBD" w:rsidRDefault="0034452A" w:rsidP="00933F2D">
            <w:pPr>
              <w:spacing w:after="0" w:line="240" w:lineRule="auto"/>
              <w:rPr>
                <w:rFonts w:asciiTheme="majorHAnsi" w:eastAsia="Times New Roman" w:hAnsiTheme="majorHAnsi" w:cstheme="majorHAnsi"/>
                <w:b/>
                <w:sz w:val="20"/>
                <w:szCs w:val="20"/>
                <w:lang w:val="ro-RO"/>
              </w:rPr>
            </w:pPr>
            <w:r w:rsidRPr="00B20FBD">
              <w:rPr>
                <w:rFonts w:asciiTheme="majorHAnsi" w:eastAsia="Times New Roman" w:hAnsiTheme="majorHAnsi" w:cstheme="majorHAnsi"/>
                <w:b/>
                <w:sz w:val="20"/>
                <w:szCs w:val="20"/>
                <w:lang w:val="ro-RO"/>
              </w:rPr>
              <w:t>Total plăți administrate de organele vamale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E15F62F" w14:textId="77777777" w:rsidR="0034452A" w:rsidRPr="00B20FBD" w:rsidRDefault="0034452A" w:rsidP="00933F2D">
            <w:pPr>
              <w:jc w:val="right"/>
              <w:rPr>
                <w:rFonts w:asciiTheme="majorHAnsi" w:eastAsia="Times New Roman" w:hAnsiTheme="majorHAnsi" w:cstheme="majorHAnsi"/>
                <w:b/>
                <w:bCs/>
                <w:iCs/>
                <w:color w:val="000000"/>
                <w:sz w:val="20"/>
                <w:szCs w:val="20"/>
                <w:lang w:val="ro-RO"/>
              </w:rPr>
            </w:pPr>
            <w:r w:rsidRPr="00B20FBD">
              <w:rPr>
                <w:rFonts w:asciiTheme="majorHAnsi" w:eastAsia="Times New Roman" w:hAnsiTheme="majorHAnsi" w:cstheme="majorHAnsi"/>
                <w:b/>
                <w:bCs/>
                <w:iCs/>
                <w:color w:val="000000"/>
                <w:sz w:val="20"/>
                <w:szCs w:val="20"/>
                <w:lang w:val="ro-RO"/>
              </w:rPr>
              <w:t>22.158.700,0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B922DC8" w14:textId="77777777" w:rsidR="0034452A" w:rsidRPr="00B20FBD" w:rsidRDefault="0034452A" w:rsidP="00933F2D">
            <w:pPr>
              <w:jc w:val="right"/>
              <w:rPr>
                <w:rFonts w:asciiTheme="majorHAnsi" w:eastAsia="Times New Roman" w:hAnsiTheme="majorHAnsi" w:cstheme="majorHAnsi"/>
                <w:b/>
                <w:bCs/>
                <w:iCs/>
                <w:sz w:val="20"/>
                <w:szCs w:val="20"/>
                <w:lang w:val="ro-RO"/>
              </w:rPr>
            </w:pPr>
            <w:r w:rsidRPr="00B20FBD">
              <w:rPr>
                <w:rFonts w:asciiTheme="majorHAnsi" w:eastAsia="Times New Roman" w:hAnsiTheme="majorHAnsi" w:cstheme="majorHAnsi"/>
                <w:b/>
                <w:bCs/>
                <w:iCs/>
                <w:sz w:val="20"/>
                <w:szCs w:val="20"/>
                <w:lang w:val="ro-RO"/>
              </w:rPr>
              <w:t>22.526.805,5</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1F34127" w14:textId="77777777" w:rsidR="0034452A" w:rsidRPr="00B20FBD" w:rsidRDefault="0034452A" w:rsidP="00933F2D">
            <w:pPr>
              <w:jc w:val="right"/>
              <w:rPr>
                <w:rFonts w:asciiTheme="majorHAnsi" w:eastAsia="Times New Roman" w:hAnsiTheme="majorHAnsi" w:cstheme="majorHAnsi"/>
                <w:b/>
                <w:bCs/>
                <w:iCs/>
                <w:sz w:val="20"/>
                <w:szCs w:val="20"/>
                <w:lang w:val="ro-RO"/>
              </w:rPr>
            </w:pPr>
            <w:r w:rsidRPr="00B20FBD">
              <w:rPr>
                <w:rFonts w:asciiTheme="majorHAnsi" w:eastAsia="Times New Roman" w:hAnsiTheme="majorHAnsi" w:cstheme="majorHAnsi"/>
                <w:b/>
                <w:bCs/>
                <w:iCs/>
                <w:sz w:val="20"/>
                <w:szCs w:val="20"/>
                <w:lang w:val="ro-RO"/>
              </w:rPr>
              <w:t>368.105,5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C17336F" w14:textId="77777777" w:rsidR="0034452A" w:rsidRPr="00B20FBD" w:rsidRDefault="0034452A" w:rsidP="00933F2D">
            <w:pPr>
              <w:jc w:val="right"/>
              <w:rPr>
                <w:rFonts w:asciiTheme="majorHAnsi" w:eastAsia="Times New Roman" w:hAnsiTheme="majorHAnsi" w:cstheme="majorHAnsi"/>
                <w:b/>
                <w:bCs/>
                <w:iCs/>
                <w:sz w:val="20"/>
                <w:szCs w:val="20"/>
                <w:lang w:val="ro-RO"/>
              </w:rPr>
            </w:pPr>
            <w:r w:rsidRPr="00B20FBD">
              <w:rPr>
                <w:rFonts w:asciiTheme="majorHAnsi" w:eastAsia="Times New Roman" w:hAnsiTheme="majorHAnsi" w:cstheme="majorHAnsi"/>
                <w:b/>
                <w:bCs/>
                <w:iCs/>
                <w:sz w:val="20"/>
                <w:szCs w:val="20"/>
                <w:lang w:val="ro-RO"/>
              </w:rPr>
              <w:t>101,7</w:t>
            </w:r>
          </w:p>
        </w:tc>
      </w:tr>
    </w:tbl>
    <w:p w14:paraId="50BBD7AE" w14:textId="6EBE6D43" w:rsidR="0034452A" w:rsidRPr="00B20FBD" w:rsidRDefault="00723462" w:rsidP="0034452A">
      <w:pPr>
        <w:tabs>
          <w:tab w:val="left" w:pos="720"/>
        </w:tabs>
        <w:spacing w:after="0"/>
        <w:ind w:left="567" w:hanging="567"/>
        <w:jc w:val="both"/>
        <w:rPr>
          <w:rFonts w:asciiTheme="majorHAnsi" w:hAnsiTheme="majorHAnsi" w:cstheme="majorHAnsi"/>
          <w:b/>
          <w:sz w:val="16"/>
          <w:szCs w:val="16"/>
          <w:lang w:val="ro-RO"/>
        </w:rPr>
      </w:pPr>
      <w:r>
        <w:rPr>
          <w:rFonts w:asciiTheme="majorHAnsi" w:hAnsiTheme="majorHAnsi" w:cstheme="majorHAnsi"/>
          <w:b/>
          <w:i/>
          <w:sz w:val="16"/>
          <w:szCs w:val="16"/>
          <w:lang w:val="ro-RO"/>
        </w:rPr>
        <w:t>Источник</w:t>
      </w:r>
      <w:r w:rsidR="0034452A" w:rsidRPr="00B20FBD">
        <w:rPr>
          <w:rFonts w:asciiTheme="majorHAnsi" w:hAnsiTheme="majorHAnsi" w:cstheme="majorHAnsi"/>
          <w:b/>
          <w:i/>
          <w:sz w:val="16"/>
          <w:szCs w:val="16"/>
          <w:lang w:val="ro-RO"/>
        </w:rPr>
        <w:t>:</w:t>
      </w:r>
      <w:r w:rsidR="0034452A" w:rsidRPr="00B20FBD">
        <w:rPr>
          <w:rFonts w:asciiTheme="majorHAnsi" w:hAnsiTheme="majorHAnsi" w:cstheme="majorHAnsi"/>
          <w:i/>
          <w:sz w:val="16"/>
          <w:szCs w:val="16"/>
          <w:lang w:val="ro-RO"/>
        </w:rPr>
        <w:t xml:space="preserve"> Informație realizată de echipa de audit în baza r</w:t>
      </w:r>
      <w:r w:rsidR="0034452A" w:rsidRPr="00B20FBD">
        <w:rPr>
          <w:rFonts w:asciiTheme="majorHAnsi" w:hAnsiTheme="majorHAnsi" w:cstheme="majorHAnsi"/>
          <w:bCs/>
          <w:i/>
          <w:sz w:val="16"/>
          <w:szCs w:val="16"/>
          <w:lang w:val="ro-RO" w:eastAsia="ru-RU"/>
        </w:rPr>
        <w:t>apoartelor anuale ale Serviciului Vamal, prezentate Ministerului Finanțelor.</w:t>
      </w:r>
    </w:p>
    <w:p w14:paraId="514E0C06" w14:textId="77777777" w:rsidR="0034452A" w:rsidRPr="00B20FBD" w:rsidRDefault="0034452A" w:rsidP="0034452A">
      <w:pPr>
        <w:tabs>
          <w:tab w:val="left" w:pos="720"/>
        </w:tabs>
        <w:spacing w:after="0"/>
        <w:jc w:val="right"/>
        <w:rPr>
          <w:rFonts w:asciiTheme="majorHAnsi" w:hAnsiTheme="majorHAnsi" w:cstheme="majorHAnsi"/>
          <w:i/>
          <w:sz w:val="24"/>
          <w:szCs w:val="24"/>
          <w:lang w:val="ro-RO"/>
        </w:rPr>
      </w:pPr>
    </w:p>
    <w:p w14:paraId="1A4A3DE2" w14:textId="77777777" w:rsidR="00BA578C" w:rsidRDefault="00BA578C" w:rsidP="0034452A">
      <w:pPr>
        <w:tabs>
          <w:tab w:val="left" w:pos="720"/>
        </w:tabs>
        <w:spacing w:after="0"/>
        <w:jc w:val="right"/>
        <w:rPr>
          <w:rFonts w:asciiTheme="majorHAnsi" w:hAnsiTheme="majorHAnsi" w:cstheme="majorHAnsi"/>
          <w:i/>
          <w:sz w:val="24"/>
          <w:szCs w:val="24"/>
          <w:lang w:val="ro-RO"/>
        </w:rPr>
      </w:pPr>
      <w:r>
        <w:rPr>
          <w:rFonts w:asciiTheme="majorHAnsi" w:hAnsiTheme="majorHAnsi" w:cstheme="majorHAnsi"/>
          <w:i/>
          <w:sz w:val="24"/>
          <w:szCs w:val="24"/>
          <w:lang w:val="ro-RO"/>
        </w:rPr>
        <w:br w:type="page"/>
      </w:r>
    </w:p>
    <w:p w14:paraId="6109307F" w14:textId="70CD97EC" w:rsidR="0034452A" w:rsidRPr="00B20FBD" w:rsidRDefault="0034452A" w:rsidP="0034452A">
      <w:pPr>
        <w:tabs>
          <w:tab w:val="left" w:pos="720"/>
        </w:tabs>
        <w:spacing w:after="0"/>
        <w:jc w:val="right"/>
        <w:rPr>
          <w:rFonts w:asciiTheme="majorHAnsi" w:hAnsiTheme="majorHAnsi" w:cstheme="majorHAnsi"/>
          <w:b/>
          <w:sz w:val="24"/>
          <w:szCs w:val="24"/>
          <w:lang w:val="ro-RO"/>
        </w:rPr>
      </w:pPr>
      <w:r w:rsidRPr="00B20FBD">
        <w:rPr>
          <w:rFonts w:asciiTheme="majorHAnsi" w:hAnsiTheme="majorHAnsi" w:cstheme="majorHAnsi"/>
          <w:i/>
          <w:sz w:val="24"/>
          <w:szCs w:val="24"/>
          <w:lang w:val="ro-RO"/>
        </w:rPr>
        <w:t>Anexa nr.3</w:t>
      </w:r>
    </w:p>
    <w:p w14:paraId="38966FDF" w14:textId="7351330E" w:rsidR="0034452A" w:rsidRPr="00B20FBD" w:rsidRDefault="0034452A" w:rsidP="0034452A">
      <w:pPr>
        <w:pStyle w:val="NormalWeb"/>
        <w:spacing w:line="276" w:lineRule="auto"/>
        <w:ind w:firstLine="0"/>
        <w:rPr>
          <w:rFonts w:asciiTheme="majorHAnsi" w:hAnsiTheme="majorHAnsi" w:cstheme="majorHAnsi"/>
          <w:sz w:val="22"/>
          <w:szCs w:val="22"/>
          <w:lang w:val="ro-RO"/>
        </w:rPr>
      </w:pPr>
      <w:r w:rsidRPr="00B20FBD">
        <w:rPr>
          <w:rFonts w:asciiTheme="majorHAnsi" w:eastAsiaTheme="majorEastAsia" w:hAnsiTheme="majorHAnsi" w:cstheme="majorHAnsi"/>
          <w:b/>
          <w:bCs/>
          <w:color w:val="000000" w:themeColor="text1"/>
          <w:kern w:val="24"/>
          <w:sz w:val="22"/>
          <w:szCs w:val="22"/>
          <w:lang w:val="ro-RO"/>
        </w:rPr>
        <w:t xml:space="preserve">         Informați</w:t>
      </w:r>
      <w:r w:rsidR="00A84FAB">
        <w:rPr>
          <w:rFonts w:asciiTheme="majorHAnsi" w:eastAsiaTheme="majorEastAsia" w:hAnsiTheme="majorHAnsi" w:cstheme="majorHAnsi"/>
          <w:b/>
          <w:bCs/>
          <w:color w:val="000000" w:themeColor="text1"/>
          <w:kern w:val="24"/>
          <w:sz w:val="22"/>
          <w:szCs w:val="22"/>
          <w:lang w:val="ro-RO"/>
        </w:rPr>
        <w:t>i</w:t>
      </w:r>
      <w:r w:rsidRPr="00B20FBD">
        <w:rPr>
          <w:rFonts w:asciiTheme="majorHAnsi" w:eastAsiaTheme="majorEastAsia" w:hAnsiTheme="majorHAnsi" w:cstheme="majorHAnsi"/>
          <w:b/>
          <w:bCs/>
          <w:color w:val="000000" w:themeColor="text1"/>
          <w:kern w:val="24"/>
          <w:sz w:val="22"/>
          <w:szCs w:val="22"/>
          <w:lang w:val="ro-RO"/>
        </w:rPr>
        <w:t xml:space="preserve"> privind veniturile încasate de către SV la bugetul de stat, pe tipuri de taxe</w:t>
      </w:r>
      <w:r w:rsidR="00A84FAB">
        <w:rPr>
          <w:rFonts w:asciiTheme="majorHAnsi" w:eastAsiaTheme="majorEastAsia" w:hAnsiTheme="majorHAnsi" w:cstheme="majorHAnsi"/>
          <w:b/>
          <w:bCs/>
          <w:color w:val="000000" w:themeColor="text1"/>
          <w:kern w:val="24"/>
          <w:sz w:val="22"/>
          <w:szCs w:val="22"/>
          <w:lang w:val="ro-RO"/>
        </w:rPr>
        <w:t>,</w:t>
      </w:r>
      <w:r w:rsidRPr="00B20FBD">
        <w:rPr>
          <w:rFonts w:asciiTheme="majorHAnsi" w:eastAsiaTheme="majorEastAsia" w:hAnsiTheme="majorHAnsi" w:cstheme="majorHAnsi"/>
          <w:b/>
          <w:bCs/>
          <w:color w:val="000000" w:themeColor="text1"/>
          <w:kern w:val="24"/>
          <w:sz w:val="22"/>
          <w:szCs w:val="22"/>
          <w:lang w:val="ro-RO"/>
        </w:rPr>
        <w:t xml:space="preserve"> în anul 2021</w:t>
      </w:r>
    </w:p>
    <w:tbl>
      <w:tblPr>
        <w:tblW w:w="9918" w:type="dxa"/>
        <w:jc w:val="center"/>
        <w:tblLook w:val="04A0" w:firstRow="1" w:lastRow="0" w:firstColumn="1" w:lastColumn="0" w:noHBand="0" w:noVBand="1"/>
      </w:tblPr>
      <w:tblGrid>
        <w:gridCol w:w="1559"/>
        <w:gridCol w:w="2547"/>
        <w:gridCol w:w="1559"/>
        <w:gridCol w:w="1701"/>
        <w:gridCol w:w="1560"/>
        <w:gridCol w:w="992"/>
      </w:tblGrid>
      <w:tr w:rsidR="0034452A" w:rsidRPr="00B20FBD" w14:paraId="2BD95BB8" w14:textId="77777777" w:rsidTr="00933F2D">
        <w:trPr>
          <w:trHeight w:val="828"/>
          <w:jc w:val="center"/>
        </w:trPr>
        <w:tc>
          <w:tcPr>
            <w:tcW w:w="1559" w:type="dxa"/>
            <w:tcBorders>
              <w:top w:val="single" w:sz="4" w:space="0" w:color="auto"/>
              <w:left w:val="single" w:sz="4" w:space="0" w:color="auto"/>
              <w:bottom w:val="single" w:sz="4" w:space="0" w:color="auto"/>
              <w:right w:val="single" w:sz="4" w:space="0" w:color="auto"/>
            </w:tcBorders>
            <w:shd w:val="clear" w:color="auto" w:fill="0000FF"/>
            <w:noWrap/>
            <w:vAlign w:val="center"/>
            <w:hideMark/>
          </w:tcPr>
          <w:p w14:paraId="7E4EA1E3" w14:textId="77777777" w:rsidR="0034452A" w:rsidRPr="00B20FBD" w:rsidRDefault="0034452A" w:rsidP="00933F2D">
            <w:pPr>
              <w:spacing w:after="0" w:line="240" w:lineRule="auto"/>
              <w:jc w:val="center"/>
              <w:rPr>
                <w:rFonts w:asciiTheme="majorHAnsi" w:eastAsia="Times New Roman" w:hAnsiTheme="majorHAnsi" w:cstheme="majorHAnsi"/>
                <w:b/>
                <w:bCs/>
                <w:color w:val="FFFFFF" w:themeColor="background1"/>
                <w:sz w:val="20"/>
                <w:szCs w:val="20"/>
                <w:lang w:val="ro-RO"/>
              </w:rPr>
            </w:pPr>
            <w:r w:rsidRPr="00B20FBD">
              <w:rPr>
                <w:rFonts w:asciiTheme="majorHAnsi" w:eastAsia="Times New Roman" w:hAnsiTheme="majorHAnsi" w:cstheme="majorHAnsi"/>
                <w:b/>
                <w:bCs/>
                <w:color w:val="FFFFFF" w:themeColor="background1"/>
                <w:sz w:val="20"/>
                <w:szCs w:val="20"/>
                <w:lang w:val="ro-RO"/>
              </w:rPr>
              <w:t>Cap.</w:t>
            </w:r>
          </w:p>
        </w:tc>
        <w:tc>
          <w:tcPr>
            <w:tcW w:w="2547" w:type="dxa"/>
            <w:tcBorders>
              <w:top w:val="single" w:sz="4" w:space="0" w:color="auto"/>
              <w:left w:val="single" w:sz="4" w:space="0" w:color="auto"/>
              <w:bottom w:val="single" w:sz="4" w:space="0" w:color="auto"/>
              <w:right w:val="single" w:sz="4" w:space="0" w:color="auto"/>
            </w:tcBorders>
            <w:shd w:val="clear" w:color="auto" w:fill="0000FF"/>
            <w:noWrap/>
            <w:vAlign w:val="center"/>
            <w:hideMark/>
          </w:tcPr>
          <w:p w14:paraId="29A5868A" w14:textId="0D208458" w:rsidR="0034452A" w:rsidRPr="00B20FBD" w:rsidRDefault="0034452A" w:rsidP="00A84FAB">
            <w:pPr>
              <w:spacing w:after="0" w:line="240" w:lineRule="auto"/>
              <w:jc w:val="center"/>
              <w:rPr>
                <w:rFonts w:asciiTheme="majorHAnsi" w:eastAsia="Times New Roman" w:hAnsiTheme="majorHAnsi" w:cstheme="majorHAnsi"/>
                <w:b/>
                <w:bCs/>
                <w:color w:val="FFFFFF" w:themeColor="background1"/>
                <w:sz w:val="20"/>
                <w:szCs w:val="20"/>
                <w:lang w:val="ro-RO"/>
              </w:rPr>
            </w:pPr>
            <w:r w:rsidRPr="00B20FBD">
              <w:rPr>
                <w:rFonts w:asciiTheme="majorHAnsi" w:eastAsia="Times New Roman" w:hAnsiTheme="majorHAnsi" w:cstheme="majorHAnsi"/>
                <w:b/>
                <w:bCs/>
                <w:color w:val="FFFFFF" w:themeColor="background1"/>
                <w:sz w:val="20"/>
                <w:szCs w:val="20"/>
                <w:lang w:val="ro-RO"/>
              </w:rPr>
              <w:t xml:space="preserve">Impozite </w:t>
            </w:r>
            <w:r w:rsidR="00A84FAB">
              <w:rPr>
                <w:rFonts w:asciiTheme="majorHAnsi" w:eastAsia="Times New Roman" w:hAnsiTheme="majorHAnsi" w:cstheme="majorHAnsi"/>
                <w:b/>
                <w:bCs/>
                <w:color w:val="FFFFFF" w:themeColor="background1"/>
                <w:sz w:val="20"/>
                <w:szCs w:val="20"/>
                <w:lang w:val="ro-RO"/>
              </w:rPr>
              <w:t>ș</w:t>
            </w:r>
            <w:r w:rsidRPr="00B20FBD">
              <w:rPr>
                <w:rFonts w:asciiTheme="majorHAnsi" w:eastAsia="Times New Roman" w:hAnsiTheme="majorHAnsi" w:cstheme="majorHAnsi"/>
                <w:b/>
                <w:bCs/>
                <w:color w:val="FFFFFF" w:themeColor="background1"/>
                <w:sz w:val="20"/>
                <w:szCs w:val="20"/>
                <w:lang w:val="ro-RO"/>
              </w:rPr>
              <w:t>i taxe</w:t>
            </w:r>
          </w:p>
        </w:tc>
        <w:tc>
          <w:tcPr>
            <w:tcW w:w="1559" w:type="dxa"/>
            <w:tcBorders>
              <w:top w:val="single" w:sz="4" w:space="0" w:color="auto"/>
              <w:left w:val="single" w:sz="4" w:space="0" w:color="auto"/>
              <w:bottom w:val="single" w:sz="4" w:space="0" w:color="auto"/>
              <w:right w:val="single" w:sz="4" w:space="0" w:color="auto"/>
            </w:tcBorders>
            <w:shd w:val="clear" w:color="auto" w:fill="0000FF"/>
            <w:vAlign w:val="center"/>
            <w:hideMark/>
          </w:tcPr>
          <w:p w14:paraId="4E272663" w14:textId="77777777" w:rsidR="0034452A" w:rsidRPr="00B20FBD" w:rsidRDefault="0034452A" w:rsidP="00933F2D">
            <w:pPr>
              <w:spacing w:after="0" w:line="240" w:lineRule="auto"/>
              <w:jc w:val="center"/>
              <w:rPr>
                <w:rFonts w:asciiTheme="majorHAnsi" w:eastAsia="Times New Roman" w:hAnsiTheme="majorHAnsi" w:cstheme="majorHAnsi"/>
                <w:b/>
                <w:bCs/>
                <w:color w:val="FFFFFF" w:themeColor="background1"/>
                <w:sz w:val="20"/>
                <w:szCs w:val="20"/>
                <w:lang w:val="ro-RO"/>
              </w:rPr>
            </w:pPr>
            <w:r w:rsidRPr="00B20FBD">
              <w:rPr>
                <w:rFonts w:asciiTheme="majorHAnsi" w:eastAsia="Times New Roman" w:hAnsiTheme="majorHAnsi" w:cstheme="majorHAnsi"/>
                <w:b/>
                <w:bCs/>
                <w:color w:val="FFFFFF" w:themeColor="background1"/>
                <w:sz w:val="20"/>
                <w:szCs w:val="20"/>
                <w:lang w:val="ro-RO"/>
              </w:rPr>
              <w:t>Cifra de control pentru anul 2021</w:t>
            </w:r>
          </w:p>
          <w:p w14:paraId="4EF87E07" w14:textId="176C7F81" w:rsidR="0034452A" w:rsidRPr="00B20FBD" w:rsidRDefault="0034452A" w:rsidP="00A84FAB">
            <w:pPr>
              <w:spacing w:after="0" w:line="240" w:lineRule="auto"/>
              <w:jc w:val="center"/>
              <w:rPr>
                <w:rFonts w:asciiTheme="majorHAnsi" w:eastAsia="Times New Roman" w:hAnsiTheme="majorHAnsi" w:cstheme="majorHAnsi"/>
                <w:b/>
                <w:bCs/>
                <w:color w:val="FFFFFF" w:themeColor="background1"/>
                <w:sz w:val="20"/>
                <w:szCs w:val="20"/>
                <w:lang w:val="ro-RO"/>
              </w:rPr>
            </w:pPr>
            <w:r w:rsidRPr="00B20FBD">
              <w:rPr>
                <w:rFonts w:asciiTheme="majorHAnsi" w:eastAsia="Times New Roman" w:hAnsiTheme="majorHAnsi" w:cstheme="majorHAnsi"/>
                <w:b/>
                <w:bCs/>
                <w:color w:val="FFFFFF" w:themeColor="background1"/>
                <w:sz w:val="20"/>
                <w:szCs w:val="20"/>
                <w:lang w:val="ro-RO"/>
              </w:rPr>
              <w:t>(mii lei)</w:t>
            </w:r>
          </w:p>
        </w:tc>
        <w:tc>
          <w:tcPr>
            <w:tcW w:w="1701" w:type="dxa"/>
            <w:tcBorders>
              <w:top w:val="single" w:sz="4" w:space="0" w:color="auto"/>
              <w:left w:val="single" w:sz="4" w:space="0" w:color="auto"/>
              <w:bottom w:val="single" w:sz="4" w:space="0" w:color="auto"/>
              <w:right w:val="single" w:sz="4" w:space="0" w:color="auto"/>
            </w:tcBorders>
            <w:shd w:val="clear" w:color="auto" w:fill="0000FF"/>
            <w:vAlign w:val="center"/>
            <w:hideMark/>
          </w:tcPr>
          <w:p w14:paraId="2E07B91F" w14:textId="23FCBCBD" w:rsidR="0034452A" w:rsidRPr="00B20FBD" w:rsidRDefault="0034452A" w:rsidP="00933F2D">
            <w:pPr>
              <w:spacing w:after="0" w:line="240" w:lineRule="auto"/>
              <w:jc w:val="center"/>
              <w:rPr>
                <w:rFonts w:asciiTheme="majorHAnsi" w:eastAsia="Times New Roman" w:hAnsiTheme="majorHAnsi" w:cstheme="majorHAnsi"/>
                <w:b/>
                <w:bCs/>
                <w:color w:val="FFFFFF" w:themeColor="background1"/>
                <w:sz w:val="20"/>
                <w:szCs w:val="20"/>
                <w:lang w:val="ro-RO"/>
              </w:rPr>
            </w:pPr>
            <w:r w:rsidRPr="00B20FBD">
              <w:rPr>
                <w:rFonts w:asciiTheme="majorHAnsi" w:eastAsia="Times New Roman" w:hAnsiTheme="majorHAnsi" w:cstheme="majorHAnsi"/>
                <w:b/>
                <w:bCs/>
                <w:color w:val="FFFFFF" w:themeColor="background1"/>
                <w:sz w:val="20"/>
                <w:szCs w:val="20"/>
                <w:lang w:val="ro-RO"/>
              </w:rPr>
              <w:t>Calculat drepturi de im</w:t>
            </w:r>
            <w:r w:rsidR="00A84FAB">
              <w:rPr>
                <w:rFonts w:asciiTheme="majorHAnsi" w:eastAsia="Times New Roman" w:hAnsiTheme="majorHAnsi" w:cstheme="majorHAnsi"/>
                <w:b/>
                <w:bCs/>
                <w:color w:val="FFFFFF" w:themeColor="background1"/>
                <w:sz w:val="20"/>
                <w:szCs w:val="20"/>
                <w:lang w:val="ro-RO"/>
              </w:rPr>
              <w:t>port</w:t>
            </w:r>
            <w:r w:rsidRPr="00B20FBD">
              <w:rPr>
                <w:rFonts w:asciiTheme="majorHAnsi" w:eastAsia="Times New Roman" w:hAnsiTheme="majorHAnsi" w:cstheme="majorHAnsi"/>
                <w:b/>
                <w:bCs/>
                <w:color w:val="FFFFFF" w:themeColor="background1"/>
                <w:sz w:val="20"/>
                <w:szCs w:val="20"/>
                <w:lang w:val="ro-RO"/>
              </w:rPr>
              <w:t>-ex</w:t>
            </w:r>
            <w:r w:rsidR="00A84FAB">
              <w:rPr>
                <w:rFonts w:asciiTheme="majorHAnsi" w:eastAsia="Times New Roman" w:hAnsiTheme="majorHAnsi" w:cstheme="majorHAnsi"/>
                <w:b/>
                <w:bCs/>
                <w:color w:val="FFFFFF" w:themeColor="background1"/>
                <w:sz w:val="20"/>
                <w:szCs w:val="20"/>
                <w:lang w:val="ro-RO"/>
              </w:rPr>
              <w:t>port,</w:t>
            </w:r>
            <w:r w:rsidRPr="00B20FBD">
              <w:rPr>
                <w:rFonts w:asciiTheme="majorHAnsi" w:eastAsia="Times New Roman" w:hAnsiTheme="majorHAnsi" w:cstheme="majorHAnsi"/>
                <w:b/>
                <w:bCs/>
                <w:color w:val="FFFFFF" w:themeColor="background1"/>
                <w:sz w:val="20"/>
                <w:szCs w:val="20"/>
                <w:lang w:val="ro-RO"/>
              </w:rPr>
              <w:t xml:space="preserve"> anul 2021</w:t>
            </w:r>
          </w:p>
          <w:p w14:paraId="7955A749" w14:textId="38642532" w:rsidR="0034452A" w:rsidRPr="00B20FBD" w:rsidRDefault="0034452A" w:rsidP="00A84FAB">
            <w:pPr>
              <w:spacing w:after="0" w:line="240" w:lineRule="auto"/>
              <w:jc w:val="center"/>
              <w:rPr>
                <w:rFonts w:asciiTheme="majorHAnsi" w:eastAsia="Times New Roman" w:hAnsiTheme="majorHAnsi" w:cstheme="majorHAnsi"/>
                <w:b/>
                <w:bCs/>
                <w:color w:val="FFFFFF" w:themeColor="background1"/>
                <w:sz w:val="20"/>
                <w:szCs w:val="20"/>
                <w:lang w:val="ro-RO"/>
              </w:rPr>
            </w:pPr>
            <w:r w:rsidRPr="00B20FBD">
              <w:rPr>
                <w:rFonts w:asciiTheme="majorHAnsi" w:eastAsia="Times New Roman" w:hAnsiTheme="majorHAnsi" w:cstheme="majorHAnsi"/>
                <w:b/>
                <w:bCs/>
                <w:color w:val="FFFFFF" w:themeColor="background1"/>
                <w:sz w:val="20"/>
                <w:szCs w:val="20"/>
                <w:lang w:val="ro-RO"/>
              </w:rPr>
              <w:t>(mii lei)</w:t>
            </w:r>
          </w:p>
        </w:tc>
        <w:tc>
          <w:tcPr>
            <w:tcW w:w="1560" w:type="dxa"/>
            <w:tcBorders>
              <w:top w:val="single" w:sz="4" w:space="0" w:color="auto"/>
              <w:left w:val="single" w:sz="4" w:space="0" w:color="auto"/>
              <w:bottom w:val="single" w:sz="4" w:space="0" w:color="auto"/>
              <w:right w:val="single" w:sz="4" w:space="0" w:color="auto"/>
            </w:tcBorders>
            <w:shd w:val="clear" w:color="auto" w:fill="0000FF"/>
            <w:vAlign w:val="center"/>
            <w:hideMark/>
          </w:tcPr>
          <w:p w14:paraId="65FF913B" w14:textId="46D4E426" w:rsidR="0034452A" w:rsidRPr="00B20FBD" w:rsidRDefault="0034452A" w:rsidP="00933F2D">
            <w:pPr>
              <w:spacing w:after="0" w:line="240" w:lineRule="auto"/>
              <w:jc w:val="center"/>
              <w:rPr>
                <w:rFonts w:asciiTheme="majorHAnsi" w:eastAsia="Times New Roman" w:hAnsiTheme="majorHAnsi" w:cstheme="majorHAnsi"/>
                <w:b/>
                <w:bCs/>
                <w:color w:val="FFFFFF" w:themeColor="background1"/>
                <w:sz w:val="20"/>
                <w:szCs w:val="20"/>
                <w:lang w:val="ro-RO"/>
              </w:rPr>
            </w:pPr>
            <w:r w:rsidRPr="00B20FBD">
              <w:rPr>
                <w:rFonts w:asciiTheme="majorHAnsi" w:eastAsia="Times New Roman" w:hAnsiTheme="majorHAnsi" w:cstheme="majorHAnsi"/>
                <w:b/>
                <w:bCs/>
                <w:color w:val="FFFFFF" w:themeColor="background1"/>
                <w:sz w:val="20"/>
                <w:szCs w:val="20"/>
                <w:lang w:val="ro-RO"/>
              </w:rPr>
              <w:t xml:space="preserve">Executarea </w:t>
            </w:r>
            <w:r w:rsidR="00A84FAB">
              <w:rPr>
                <w:rFonts w:asciiTheme="majorHAnsi" w:eastAsia="Times New Roman" w:hAnsiTheme="majorHAnsi" w:cstheme="majorHAnsi"/>
                <w:b/>
                <w:bCs/>
                <w:color w:val="FFFFFF" w:themeColor="background1"/>
                <w:sz w:val="20"/>
                <w:szCs w:val="20"/>
                <w:lang w:val="ro-RO"/>
              </w:rPr>
              <w:t>c</w:t>
            </w:r>
            <w:r w:rsidRPr="00B20FBD">
              <w:rPr>
                <w:rFonts w:asciiTheme="majorHAnsi" w:eastAsia="Times New Roman" w:hAnsiTheme="majorHAnsi" w:cstheme="majorHAnsi"/>
                <w:b/>
                <w:bCs/>
                <w:color w:val="FFFFFF" w:themeColor="background1"/>
                <w:sz w:val="20"/>
                <w:szCs w:val="20"/>
                <w:lang w:val="ro-RO"/>
              </w:rPr>
              <w:t xml:space="preserve">ifrei de </w:t>
            </w:r>
            <w:r w:rsidR="00A84FAB">
              <w:rPr>
                <w:rFonts w:asciiTheme="majorHAnsi" w:eastAsia="Times New Roman" w:hAnsiTheme="majorHAnsi" w:cstheme="majorHAnsi"/>
                <w:b/>
                <w:bCs/>
                <w:color w:val="FFFFFF" w:themeColor="background1"/>
                <w:sz w:val="20"/>
                <w:szCs w:val="20"/>
                <w:lang w:val="ro-RO"/>
              </w:rPr>
              <w:t>c</w:t>
            </w:r>
            <w:r w:rsidRPr="00B20FBD">
              <w:rPr>
                <w:rFonts w:asciiTheme="majorHAnsi" w:eastAsia="Times New Roman" w:hAnsiTheme="majorHAnsi" w:cstheme="majorHAnsi"/>
                <w:b/>
                <w:bCs/>
                <w:color w:val="FFFFFF" w:themeColor="background1"/>
                <w:sz w:val="20"/>
                <w:szCs w:val="20"/>
                <w:lang w:val="ro-RO"/>
              </w:rPr>
              <w:t>ontrol 2021</w:t>
            </w:r>
          </w:p>
          <w:p w14:paraId="18736C10" w14:textId="70415BBF" w:rsidR="0034452A" w:rsidRPr="00B20FBD" w:rsidRDefault="0034452A" w:rsidP="00A84FAB">
            <w:pPr>
              <w:spacing w:after="0" w:line="240" w:lineRule="auto"/>
              <w:jc w:val="center"/>
              <w:rPr>
                <w:rFonts w:asciiTheme="majorHAnsi" w:eastAsia="Times New Roman" w:hAnsiTheme="majorHAnsi" w:cstheme="majorHAnsi"/>
                <w:b/>
                <w:bCs/>
                <w:color w:val="FFFFFF" w:themeColor="background1"/>
                <w:sz w:val="20"/>
                <w:szCs w:val="20"/>
                <w:lang w:val="ro-RO"/>
              </w:rPr>
            </w:pPr>
            <w:r w:rsidRPr="00B20FBD">
              <w:rPr>
                <w:rFonts w:asciiTheme="majorHAnsi" w:eastAsia="Times New Roman" w:hAnsiTheme="majorHAnsi" w:cstheme="majorHAnsi"/>
                <w:b/>
                <w:bCs/>
                <w:color w:val="FFFFFF" w:themeColor="background1"/>
                <w:sz w:val="20"/>
                <w:szCs w:val="20"/>
                <w:lang w:val="ro-RO"/>
              </w:rPr>
              <w:t>(mii lei)</w:t>
            </w:r>
          </w:p>
        </w:tc>
        <w:tc>
          <w:tcPr>
            <w:tcW w:w="992" w:type="dxa"/>
            <w:tcBorders>
              <w:top w:val="single" w:sz="4" w:space="0" w:color="auto"/>
              <w:left w:val="single" w:sz="4" w:space="0" w:color="auto"/>
              <w:bottom w:val="single" w:sz="4" w:space="0" w:color="auto"/>
              <w:right w:val="single" w:sz="4" w:space="0" w:color="auto"/>
            </w:tcBorders>
            <w:shd w:val="clear" w:color="auto" w:fill="0000FF"/>
            <w:vAlign w:val="center"/>
            <w:hideMark/>
          </w:tcPr>
          <w:p w14:paraId="1F055D4F" w14:textId="77777777" w:rsidR="0034452A" w:rsidRPr="00B20FBD" w:rsidRDefault="0034452A" w:rsidP="00933F2D">
            <w:pPr>
              <w:spacing w:after="0" w:line="240" w:lineRule="auto"/>
              <w:jc w:val="center"/>
              <w:rPr>
                <w:rFonts w:asciiTheme="majorHAnsi" w:eastAsia="Times New Roman" w:hAnsiTheme="majorHAnsi" w:cstheme="majorHAnsi"/>
                <w:b/>
                <w:bCs/>
                <w:color w:val="FFFFFF" w:themeColor="background1"/>
                <w:sz w:val="20"/>
                <w:szCs w:val="20"/>
                <w:lang w:val="ro-RO"/>
              </w:rPr>
            </w:pPr>
            <w:r w:rsidRPr="00B20FBD">
              <w:rPr>
                <w:rFonts w:asciiTheme="majorHAnsi" w:eastAsia="Times New Roman" w:hAnsiTheme="majorHAnsi" w:cstheme="majorHAnsi"/>
                <w:b/>
                <w:bCs/>
                <w:color w:val="FFFFFF" w:themeColor="background1"/>
                <w:sz w:val="20"/>
                <w:szCs w:val="20"/>
                <w:lang w:val="ro-RO"/>
              </w:rPr>
              <w:t>( % )</w:t>
            </w:r>
          </w:p>
        </w:tc>
      </w:tr>
      <w:tr w:rsidR="0034452A" w:rsidRPr="00B20FBD" w14:paraId="3BE9E455" w14:textId="77777777" w:rsidTr="00933F2D">
        <w:trPr>
          <w:trHeight w:val="288"/>
          <w:jc w:val="center"/>
        </w:trPr>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4CA06847" w14:textId="77777777" w:rsidR="0034452A" w:rsidRPr="00B20FBD" w:rsidRDefault="0034452A" w:rsidP="00933F2D">
            <w:pPr>
              <w:spacing w:after="0" w:line="240" w:lineRule="auto"/>
              <w:jc w:val="center"/>
              <w:rPr>
                <w:rFonts w:asciiTheme="majorHAnsi" w:eastAsia="Times New Roman" w:hAnsiTheme="majorHAnsi" w:cstheme="majorHAnsi"/>
                <w:b/>
                <w:i/>
                <w:sz w:val="20"/>
                <w:szCs w:val="20"/>
                <w:lang w:val="ro-RO"/>
              </w:rPr>
            </w:pPr>
            <w:r w:rsidRPr="00B20FBD">
              <w:rPr>
                <w:rFonts w:asciiTheme="majorHAnsi" w:eastAsia="Times New Roman" w:hAnsiTheme="majorHAnsi" w:cstheme="majorHAnsi"/>
                <w:b/>
                <w:i/>
                <w:sz w:val="20"/>
                <w:szCs w:val="20"/>
                <w:lang w:val="ro-RO"/>
              </w:rPr>
              <w:t>1</w:t>
            </w:r>
          </w:p>
        </w:tc>
        <w:tc>
          <w:tcPr>
            <w:tcW w:w="2547" w:type="dxa"/>
            <w:tcBorders>
              <w:top w:val="single" w:sz="4" w:space="0" w:color="auto"/>
              <w:left w:val="single" w:sz="4" w:space="0" w:color="auto"/>
              <w:bottom w:val="single" w:sz="4" w:space="0" w:color="auto"/>
              <w:right w:val="single" w:sz="4" w:space="0" w:color="auto"/>
            </w:tcBorders>
            <w:shd w:val="clear" w:color="auto" w:fill="auto"/>
            <w:noWrap/>
            <w:hideMark/>
          </w:tcPr>
          <w:p w14:paraId="40CD3BBE" w14:textId="77777777" w:rsidR="0034452A" w:rsidRPr="00B20FBD" w:rsidRDefault="0034452A" w:rsidP="00933F2D">
            <w:pPr>
              <w:spacing w:after="0" w:line="240" w:lineRule="auto"/>
              <w:jc w:val="center"/>
              <w:rPr>
                <w:rFonts w:asciiTheme="majorHAnsi" w:eastAsia="Times New Roman" w:hAnsiTheme="majorHAnsi" w:cstheme="majorHAnsi"/>
                <w:b/>
                <w:i/>
                <w:sz w:val="20"/>
                <w:szCs w:val="20"/>
                <w:lang w:val="ro-RO"/>
              </w:rPr>
            </w:pPr>
            <w:r w:rsidRPr="00B20FBD">
              <w:rPr>
                <w:rFonts w:asciiTheme="majorHAnsi" w:eastAsia="Times New Roman" w:hAnsiTheme="majorHAnsi" w:cstheme="majorHAnsi"/>
                <w:b/>
                <w:i/>
                <w:sz w:val="20"/>
                <w:szCs w:val="20"/>
                <w:lang w:val="ro-RO"/>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1C79BA99" w14:textId="77777777" w:rsidR="0034452A" w:rsidRPr="00B20FBD" w:rsidRDefault="0034452A" w:rsidP="00933F2D">
            <w:pPr>
              <w:spacing w:after="0" w:line="240" w:lineRule="auto"/>
              <w:jc w:val="center"/>
              <w:rPr>
                <w:rFonts w:asciiTheme="majorHAnsi" w:eastAsia="Times New Roman" w:hAnsiTheme="majorHAnsi" w:cstheme="majorHAnsi"/>
                <w:b/>
                <w:i/>
                <w:sz w:val="20"/>
                <w:szCs w:val="20"/>
                <w:lang w:val="ro-RO"/>
              </w:rPr>
            </w:pPr>
            <w:r w:rsidRPr="00B20FBD">
              <w:rPr>
                <w:rFonts w:asciiTheme="majorHAnsi" w:eastAsia="Times New Roman" w:hAnsiTheme="majorHAnsi" w:cstheme="majorHAnsi"/>
                <w:b/>
                <w:i/>
                <w:sz w:val="20"/>
                <w:szCs w:val="20"/>
                <w:lang w:val="ro-RO"/>
              </w:rPr>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04F83981" w14:textId="77777777" w:rsidR="0034452A" w:rsidRPr="00B20FBD" w:rsidRDefault="0034452A" w:rsidP="00933F2D">
            <w:pPr>
              <w:spacing w:after="0" w:line="240" w:lineRule="auto"/>
              <w:jc w:val="center"/>
              <w:rPr>
                <w:rFonts w:asciiTheme="majorHAnsi" w:eastAsia="Times New Roman" w:hAnsiTheme="majorHAnsi" w:cstheme="majorHAnsi"/>
                <w:b/>
                <w:i/>
                <w:sz w:val="20"/>
                <w:szCs w:val="20"/>
                <w:lang w:val="ro-RO"/>
              </w:rPr>
            </w:pPr>
            <w:r w:rsidRPr="00B20FBD">
              <w:rPr>
                <w:rFonts w:asciiTheme="majorHAnsi" w:eastAsia="Times New Roman" w:hAnsiTheme="majorHAnsi" w:cstheme="majorHAnsi"/>
                <w:b/>
                <w:i/>
                <w:sz w:val="20"/>
                <w:szCs w:val="20"/>
                <w:lang w:val="ro-RO"/>
              </w:rPr>
              <w:t>4</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14:paraId="41C2CD00" w14:textId="77777777" w:rsidR="0034452A" w:rsidRPr="00B20FBD" w:rsidRDefault="0034452A" w:rsidP="00933F2D">
            <w:pPr>
              <w:spacing w:after="0" w:line="240" w:lineRule="auto"/>
              <w:jc w:val="center"/>
              <w:rPr>
                <w:rFonts w:asciiTheme="majorHAnsi" w:eastAsia="Times New Roman" w:hAnsiTheme="majorHAnsi" w:cstheme="majorHAnsi"/>
                <w:b/>
                <w:i/>
                <w:sz w:val="20"/>
                <w:szCs w:val="20"/>
                <w:lang w:val="ro-RO"/>
              </w:rPr>
            </w:pPr>
            <w:r w:rsidRPr="00B20FBD">
              <w:rPr>
                <w:rFonts w:asciiTheme="majorHAnsi" w:eastAsia="Times New Roman" w:hAnsiTheme="majorHAnsi" w:cstheme="majorHAnsi"/>
                <w:b/>
                <w:i/>
                <w:sz w:val="20"/>
                <w:szCs w:val="20"/>
                <w:lang w:val="ro-RO"/>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693F493F" w14:textId="77777777" w:rsidR="0034452A" w:rsidRPr="00B20FBD" w:rsidRDefault="0034452A" w:rsidP="00933F2D">
            <w:pPr>
              <w:spacing w:after="0" w:line="240" w:lineRule="auto"/>
              <w:jc w:val="center"/>
              <w:rPr>
                <w:rFonts w:asciiTheme="majorHAnsi" w:eastAsia="Times New Roman" w:hAnsiTheme="majorHAnsi" w:cstheme="majorHAnsi"/>
                <w:b/>
                <w:i/>
                <w:sz w:val="20"/>
                <w:szCs w:val="20"/>
                <w:lang w:val="ro-RO"/>
              </w:rPr>
            </w:pPr>
            <w:r w:rsidRPr="00B20FBD">
              <w:rPr>
                <w:rFonts w:asciiTheme="majorHAnsi" w:eastAsia="Times New Roman" w:hAnsiTheme="majorHAnsi" w:cstheme="majorHAnsi"/>
                <w:b/>
                <w:i/>
                <w:sz w:val="20"/>
                <w:szCs w:val="20"/>
                <w:lang w:val="ro-RO"/>
              </w:rPr>
              <w:t>6</w:t>
            </w:r>
          </w:p>
        </w:tc>
      </w:tr>
      <w:tr w:rsidR="0034452A" w:rsidRPr="00B20FBD" w14:paraId="34123F64" w14:textId="77777777" w:rsidTr="00933F2D">
        <w:trPr>
          <w:trHeight w:val="429"/>
          <w:jc w:val="center"/>
        </w:trPr>
        <w:tc>
          <w:tcPr>
            <w:tcW w:w="1559" w:type="dxa"/>
            <w:tcBorders>
              <w:top w:val="single" w:sz="4" w:space="0" w:color="auto"/>
              <w:left w:val="single" w:sz="4" w:space="0" w:color="auto"/>
              <w:bottom w:val="single" w:sz="4" w:space="0" w:color="auto"/>
              <w:right w:val="single" w:sz="4" w:space="0" w:color="auto"/>
            </w:tcBorders>
            <w:shd w:val="clear" w:color="D9E1F2" w:fill="D9E1F2"/>
            <w:noWrap/>
            <w:hideMark/>
          </w:tcPr>
          <w:p w14:paraId="16E960AE" w14:textId="77777777" w:rsidR="0034452A" w:rsidRPr="00B20FBD" w:rsidRDefault="0034452A" w:rsidP="00933F2D">
            <w:pPr>
              <w:spacing w:after="0" w:line="240" w:lineRule="auto"/>
              <w:jc w:val="center"/>
              <w:rPr>
                <w:rFonts w:asciiTheme="majorHAnsi" w:eastAsia="Times New Roman" w:hAnsiTheme="majorHAnsi" w:cstheme="majorHAnsi"/>
                <w:b/>
                <w:bCs/>
                <w:i/>
                <w:iCs/>
                <w:color w:val="000000"/>
                <w:sz w:val="20"/>
                <w:szCs w:val="20"/>
                <w:lang w:val="ro-RO"/>
              </w:rPr>
            </w:pPr>
            <w:r w:rsidRPr="00B20FBD">
              <w:rPr>
                <w:rFonts w:asciiTheme="majorHAnsi" w:eastAsia="Times New Roman" w:hAnsiTheme="majorHAnsi" w:cstheme="majorHAnsi"/>
                <w:b/>
                <w:bCs/>
                <w:i/>
                <w:iCs/>
                <w:color w:val="000000"/>
                <w:sz w:val="20"/>
                <w:szCs w:val="20"/>
                <w:lang w:val="ro-RO"/>
              </w:rPr>
              <w:t>114120</w:t>
            </w:r>
          </w:p>
        </w:tc>
        <w:tc>
          <w:tcPr>
            <w:tcW w:w="2547" w:type="dxa"/>
            <w:tcBorders>
              <w:top w:val="single" w:sz="4" w:space="0" w:color="auto"/>
              <w:left w:val="single" w:sz="4" w:space="0" w:color="auto"/>
              <w:bottom w:val="single" w:sz="4" w:space="0" w:color="auto"/>
              <w:right w:val="single" w:sz="4" w:space="0" w:color="auto"/>
            </w:tcBorders>
            <w:shd w:val="clear" w:color="D9E1F2" w:fill="D9E1F2"/>
            <w:hideMark/>
          </w:tcPr>
          <w:p w14:paraId="122EB7D9" w14:textId="77777777" w:rsidR="0034452A" w:rsidRPr="00B20FBD" w:rsidRDefault="0034452A" w:rsidP="00933F2D">
            <w:pPr>
              <w:spacing w:after="0" w:line="240" w:lineRule="auto"/>
              <w:rPr>
                <w:rFonts w:asciiTheme="majorHAnsi" w:eastAsia="Times New Roman" w:hAnsiTheme="majorHAnsi" w:cstheme="majorHAnsi"/>
                <w:b/>
                <w:bCs/>
                <w:i/>
                <w:iCs/>
                <w:color w:val="000000"/>
                <w:sz w:val="20"/>
                <w:szCs w:val="20"/>
                <w:lang w:val="ro-RO"/>
              </w:rPr>
            </w:pPr>
            <w:r w:rsidRPr="00B20FBD">
              <w:rPr>
                <w:rFonts w:asciiTheme="majorHAnsi" w:eastAsia="Times New Roman" w:hAnsiTheme="majorHAnsi" w:cstheme="majorHAnsi"/>
                <w:b/>
                <w:bCs/>
                <w:i/>
                <w:iCs/>
                <w:color w:val="000000"/>
                <w:sz w:val="20"/>
                <w:szCs w:val="20"/>
                <w:lang w:val="ro-RO"/>
              </w:rPr>
              <w:t>Taxa pe valoarea adăugată la mărfurile importate</w:t>
            </w:r>
          </w:p>
        </w:tc>
        <w:tc>
          <w:tcPr>
            <w:tcW w:w="1559" w:type="dxa"/>
            <w:tcBorders>
              <w:top w:val="single" w:sz="4" w:space="0" w:color="auto"/>
              <w:left w:val="single" w:sz="4" w:space="0" w:color="auto"/>
              <w:bottom w:val="single" w:sz="4" w:space="0" w:color="auto"/>
              <w:right w:val="single" w:sz="4" w:space="0" w:color="auto"/>
            </w:tcBorders>
            <w:shd w:val="clear" w:color="D9E1F2" w:fill="D9E1F2"/>
            <w:noWrap/>
            <w:hideMark/>
          </w:tcPr>
          <w:p w14:paraId="254FC1FF" w14:textId="77777777" w:rsidR="0034452A" w:rsidRPr="00B20FBD" w:rsidRDefault="0034452A" w:rsidP="00933F2D">
            <w:pPr>
              <w:spacing w:after="0" w:line="240" w:lineRule="auto"/>
              <w:jc w:val="center"/>
              <w:rPr>
                <w:rFonts w:asciiTheme="majorHAnsi" w:eastAsia="Times New Roman" w:hAnsiTheme="majorHAnsi" w:cstheme="majorHAnsi"/>
                <w:b/>
                <w:bCs/>
                <w:i/>
                <w:iCs/>
                <w:color w:val="000000"/>
                <w:sz w:val="20"/>
                <w:szCs w:val="20"/>
                <w:lang w:val="ro-RO"/>
              </w:rPr>
            </w:pPr>
            <w:r w:rsidRPr="00B20FBD">
              <w:rPr>
                <w:rFonts w:asciiTheme="majorHAnsi" w:eastAsia="Times New Roman" w:hAnsiTheme="majorHAnsi" w:cstheme="majorHAnsi"/>
                <w:b/>
                <w:bCs/>
                <w:i/>
                <w:iCs/>
                <w:color w:val="000000"/>
                <w:sz w:val="20"/>
                <w:szCs w:val="20"/>
                <w:lang w:val="ro-RO"/>
              </w:rPr>
              <w:t>18.427.100,0</w:t>
            </w:r>
          </w:p>
        </w:tc>
        <w:tc>
          <w:tcPr>
            <w:tcW w:w="1701" w:type="dxa"/>
            <w:tcBorders>
              <w:top w:val="single" w:sz="4" w:space="0" w:color="auto"/>
              <w:left w:val="single" w:sz="4" w:space="0" w:color="auto"/>
              <w:bottom w:val="single" w:sz="4" w:space="0" w:color="auto"/>
              <w:right w:val="single" w:sz="4" w:space="0" w:color="auto"/>
            </w:tcBorders>
            <w:shd w:val="clear" w:color="D9E1F2" w:fill="D9E1F2"/>
            <w:noWrap/>
            <w:hideMark/>
          </w:tcPr>
          <w:p w14:paraId="7FD21605" w14:textId="77777777" w:rsidR="0034452A" w:rsidRPr="00B20FBD" w:rsidRDefault="0034452A" w:rsidP="00933F2D">
            <w:pPr>
              <w:spacing w:after="0" w:line="240" w:lineRule="auto"/>
              <w:jc w:val="center"/>
              <w:rPr>
                <w:rFonts w:asciiTheme="majorHAnsi" w:eastAsia="Times New Roman" w:hAnsiTheme="majorHAnsi" w:cstheme="majorHAnsi"/>
                <w:b/>
                <w:bCs/>
                <w:i/>
                <w:iCs/>
                <w:sz w:val="20"/>
                <w:szCs w:val="20"/>
                <w:lang w:val="ro-RO"/>
              </w:rPr>
            </w:pPr>
            <w:r w:rsidRPr="00B20FBD">
              <w:rPr>
                <w:rFonts w:asciiTheme="majorHAnsi" w:eastAsia="Times New Roman" w:hAnsiTheme="majorHAnsi" w:cstheme="majorHAnsi"/>
                <w:b/>
                <w:bCs/>
                <w:i/>
                <w:iCs/>
                <w:sz w:val="20"/>
                <w:szCs w:val="20"/>
                <w:lang w:val="ro-RO"/>
              </w:rPr>
              <w:t>19.614.568</w:t>
            </w:r>
          </w:p>
        </w:tc>
        <w:tc>
          <w:tcPr>
            <w:tcW w:w="1560" w:type="dxa"/>
            <w:tcBorders>
              <w:top w:val="single" w:sz="4" w:space="0" w:color="auto"/>
              <w:left w:val="single" w:sz="4" w:space="0" w:color="auto"/>
              <w:bottom w:val="single" w:sz="4" w:space="0" w:color="auto"/>
              <w:right w:val="single" w:sz="4" w:space="0" w:color="auto"/>
            </w:tcBorders>
            <w:shd w:val="clear" w:color="D9E1F2" w:fill="D9E1F2"/>
            <w:noWrap/>
            <w:hideMark/>
          </w:tcPr>
          <w:p w14:paraId="39A3BB79" w14:textId="77777777" w:rsidR="0034452A" w:rsidRPr="00B20FBD" w:rsidRDefault="0034452A" w:rsidP="00933F2D">
            <w:pPr>
              <w:spacing w:after="0" w:line="240" w:lineRule="auto"/>
              <w:jc w:val="center"/>
              <w:rPr>
                <w:rFonts w:asciiTheme="majorHAnsi" w:eastAsia="Times New Roman" w:hAnsiTheme="majorHAnsi" w:cstheme="majorHAnsi"/>
                <w:b/>
                <w:bCs/>
                <w:i/>
                <w:iCs/>
                <w:sz w:val="20"/>
                <w:szCs w:val="20"/>
                <w:lang w:val="ro-RO"/>
              </w:rPr>
            </w:pPr>
            <w:r w:rsidRPr="00B20FBD">
              <w:rPr>
                <w:rFonts w:asciiTheme="majorHAnsi" w:eastAsia="Times New Roman" w:hAnsiTheme="majorHAnsi" w:cstheme="majorHAnsi"/>
                <w:b/>
                <w:bCs/>
                <w:i/>
                <w:iCs/>
                <w:sz w:val="20"/>
                <w:szCs w:val="20"/>
                <w:lang w:val="ro-RO"/>
              </w:rPr>
              <w:t>1.187.468</w:t>
            </w:r>
          </w:p>
        </w:tc>
        <w:tc>
          <w:tcPr>
            <w:tcW w:w="992" w:type="dxa"/>
            <w:tcBorders>
              <w:top w:val="single" w:sz="4" w:space="0" w:color="auto"/>
              <w:left w:val="single" w:sz="4" w:space="0" w:color="auto"/>
              <w:bottom w:val="single" w:sz="4" w:space="0" w:color="auto"/>
              <w:right w:val="single" w:sz="4" w:space="0" w:color="auto"/>
            </w:tcBorders>
            <w:shd w:val="clear" w:color="D9E1F2" w:fill="D9E1F2"/>
            <w:noWrap/>
            <w:hideMark/>
          </w:tcPr>
          <w:p w14:paraId="595BDBF6" w14:textId="77777777" w:rsidR="0034452A" w:rsidRPr="00B20FBD" w:rsidRDefault="0034452A" w:rsidP="00933F2D">
            <w:pPr>
              <w:spacing w:after="0" w:line="240" w:lineRule="auto"/>
              <w:jc w:val="center"/>
              <w:rPr>
                <w:rFonts w:asciiTheme="majorHAnsi" w:eastAsia="Times New Roman" w:hAnsiTheme="majorHAnsi" w:cstheme="majorHAnsi"/>
                <w:b/>
                <w:bCs/>
                <w:i/>
                <w:iCs/>
                <w:sz w:val="20"/>
                <w:szCs w:val="20"/>
                <w:lang w:val="ro-RO"/>
              </w:rPr>
            </w:pPr>
            <w:r w:rsidRPr="00B20FBD">
              <w:rPr>
                <w:rFonts w:asciiTheme="majorHAnsi" w:eastAsia="Times New Roman" w:hAnsiTheme="majorHAnsi" w:cstheme="majorHAnsi"/>
                <w:b/>
                <w:bCs/>
                <w:i/>
                <w:iCs/>
                <w:sz w:val="20"/>
                <w:szCs w:val="20"/>
                <w:lang w:val="ro-RO"/>
              </w:rPr>
              <w:t>106,4</w:t>
            </w:r>
          </w:p>
        </w:tc>
      </w:tr>
      <w:tr w:rsidR="0034452A" w:rsidRPr="00B20FBD" w14:paraId="2F542308" w14:textId="77777777" w:rsidTr="00933F2D">
        <w:trPr>
          <w:trHeight w:val="423"/>
          <w:jc w:val="center"/>
        </w:trPr>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3B169CB2" w14:textId="77777777" w:rsidR="0034452A" w:rsidRPr="00B20FBD" w:rsidRDefault="0034452A" w:rsidP="00933F2D">
            <w:pPr>
              <w:spacing w:after="0" w:line="240" w:lineRule="auto"/>
              <w:jc w:val="center"/>
              <w:rPr>
                <w:rFonts w:asciiTheme="majorHAnsi" w:eastAsia="Times New Roman" w:hAnsiTheme="majorHAnsi" w:cstheme="majorHAnsi"/>
                <w:sz w:val="20"/>
                <w:szCs w:val="20"/>
                <w:lang w:val="ro-RO"/>
              </w:rPr>
            </w:pPr>
            <w:r w:rsidRPr="00B20FBD">
              <w:rPr>
                <w:rFonts w:asciiTheme="majorHAnsi" w:eastAsia="Times New Roman" w:hAnsiTheme="majorHAnsi" w:cstheme="majorHAnsi"/>
                <w:sz w:val="20"/>
                <w:szCs w:val="20"/>
                <w:lang w:val="ro-RO"/>
              </w:rPr>
              <w:t>114212</w:t>
            </w:r>
          </w:p>
        </w:tc>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6D86296F" w14:textId="77777777" w:rsidR="0034452A" w:rsidRPr="00B20FBD" w:rsidRDefault="0034452A" w:rsidP="00933F2D">
            <w:pPr>
              <w:spacing w:after="0" w:line="240" w:lineRule="auto"/>
              <w:rPr>
                <w:rFonts w:asciiTheme="majorHAnsi" w:eastAsia="Times New Roman" w:hAnsiTheme="majorHAnsi" w:cstheme="majorHAnsi"/>
                <w:sz w:val="20"/>
                <w:szCs w:val="20"/>
                <w:lang w:val="ro-RO"/>
              </w:rPr>
            </w:pPr>
            <w:r w:rsidRPr="00B20FBD">
              <w:rPr>
                <w:rFonts w:asciiTheme="majorHAnsi" w:eastAsia="Times New Roman" w:hAnsiTheme="majorHAnsi" w:cstheme="majorHAnsi"/>
                <w:sz w:val="20"/>
                <w:szCs w:val="20"/>
                <w:lang w:val="ro-RO"/>
              </w:rPr>
              <w:t>Accize la rachiu, lichioruri, divinuri si alte băuturi spirtoase importate</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4EF0802F" w14:textId="77777777" w:rsidR="0034452A" w:rsidRPr="00B20FBD" w:rsidRDefault="0034452A" w:rsidP="00933F2D">
            <w:pPr>
              <w:spacing w:after="0" w:line="240" w:lineRule="auto"/>
              <w:jc w:val="center"/>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77.300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B726476" w14:textId="77777777" w:rsidR="0034452A" w:rsidRPr="00B20FBD" w:rsidRDefault="0034452A" w:rsidP="00933F2D">
            <w:pPr>
              <w:spacing w:after="0" w:line="240" w:lineRule="auto"/>
              <w:jc w:val="center"/>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115.812</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E84F774" w14:textId="77777777" w:rsidR="0034452A" w:rsidRPr="00B20FBD" w:rsidRDefault="0034452A" w:rsidP="00933F2D">
            <w:pPr>
              <w:spacing w:after="0" w:line="240" w:lineRule="auto"/>
              <w:jc w:val="center"/>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38.512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E160F41" w14:textId="77777777" w:rsidR="0034452A" w:rsidRPr="00B20FBD" w:rsidRDefault="0034452A" w:rsidP="00933F2D">
            <w:pPr>
              <w:spacing w:after="0" w:line="240" w:lineRule="auto"/>
              <w:jc w:val="center"/>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149,8</w:t>
            </w:r>
          </w:p>
        </w:tc>
      </w:tr>
      <w:tr w:rsidR="0034452A" w:rsidRPr="00B20FBD" w14:paraId="203C03BA" w14:textId="77777777" w:rsidTr="00933F2D">
        <w:trPr>
          <w:trHeight w:val="288"/>
          <w:jc w:val="center"/>
        </w:trPr>
        <w:tc>
          <w:tcPr>
            <w:tcW w:w="1559" w:type="dxa"/>
            <w:tcBorders>
              <w:top w:val="single" w:sz="4" w:space="0" w:color="auto"/>
              <w:left w:val="single" w:sz="4" w:space="0" w:color="auto"/>
              <w:bottom w:val="single" w:sz="4" w:space="0" w:color="auto"/>
              <w:right w:val="single" w:sz="4" w:space="0" w:color="auto"/>
            </w:tcBorders>
            <w:shd w:val="clear" w:color="D9E1F2" w:fill="D9E1F2"/>
            <w:noWrap/>
            <w:hideMark/>
          </w:tcPr>
          <w:p w14:paraId="49D0AB78" w14:textId="77777777" w:rsidR="0034452A" w:rsidRPr="00B20FBD" w:rsidRDefault="0034452A" w:rsidP="00933F2D">
            <w:pPr>
              <w:spacing w:after="0" w:line="240" w:lineRule="auto"/>
              <w:jc w:val="center"/>
              <w:rPr>
                <w:rFonts w:asciiTheme="majorHAnsi" w:eastAsia="Times New Roman" w:hAnsiTheme="majorHAnsi" w:cstheme="majorHAnsi"/>
                <w:sz w:val="20"/>
                <w:szCs w:val="20"/>
                <w:lang w:val="ro-RO"/>
              </w:rPr>
            </w:pPr>
            <w:r w:rsidRPr="00B20FBD">
              <w:rPr>
                <w:rFonts w:asciiTheme="majorHAnsi" w:eastAsia="Times New Roman" w:hAnsiTheme="majorHAnsi" w:cstheme="majorHAnsi"/>
                <w:sz w:val="20"/>
                <w:szCs w:val="20"/>
                <w:lang w:val="ro-RO"/>
              </w:rPr>
              <w:t>114214</w:t>
            </w:r>
          </w:p>
        </w:tc>
        <w:tc>
          <w:tcPr>
            <w:tcW w:w="2547" w:type="dxa"/>
            <w:tcBorders>
              <w:top w:val="single" w:sz="4" w:space="0" w:color="auto"/>
              <w:left w:val="single" w:sz="4" w:space="0" w:color="auto"/>
              <w:bottom w:val="single" w:sz="4" w:space="0" w:color="auto"/>
              <w:right w:val="single" w:sz="4" w:space="0" w:color="auto"/>
            </w:tcBorders>
            <w:shd w:val="clear" w:color="D9E1F2" w:fill="D9E1F2"/>
            <w:hideMark/>
          </w:tcPr>
          <w:p w14:paraId="654EF1F5" w14:textId="77777777" w:rsidR="0034452A" w:rsidRPr="00B20FBD" w:rsidRDefault="0034452A" w:rsidP="00933F2D">
            <w:pPr>
              <w:spacing w:after="0" w:line="240" w:lineRule="auto"/>
              <w:rPr>
                <w:rFonts w:asciiTheme="majorHAnsi" w:eastAsia="Times New Roman" w:hAnsiTheme="majorHAnsi" w:cstheme="majorHAnsi"/>
                <w:sz w:val="20"/>
                <w:szCs w:val="20"/>
                <w:lang w:val="ro-RO"/>
              </w:rPr>
            </w:pPr>
            <w:r w:rsidRPr="00B20FBD">
              <w:rPr>
                <w:rFonts w:asciiTheme="majorHAnsi" w:eastAsia="Times New Roman" w:hAnsiTheme="majorHAnsi" w:cstheme="majorHAnsi"/>
                <w:sz w:val="20"/>
                <w:szCs w:val="20"/>
                <w:lang w:val="ro-RO"/>
              </w:rPr>
              <w:t>Accize la vinuri importate</w:t>
            </w:r>
          </w:p>
        </w:tc>
        <w:tc>
          <w:tcPr>
            <w:tcW w:w="1559" w:type="dxa"/>
            <w:tcBorders>
              <w:top w:val="single" w:sz="4" w:space="0" w:color="auto"/>
              <w:left w:val="single" w:sz="4" w:space="0" w:color="auto"/>
              <w:bottom w:val="single" w:sz="4" w:space="0" w:color="auto"/>
              <w:right w:val="single" w:sz="4" w:space="0" w:color="auto"/>
            </w:tcBorders>
            <w:shd w:val="clear" w:color="D9E1F2" w:fill="D9E1F2"/>
            <w:hideMark/>
          </w:tcPr>
          <w:p w14:paraId="20A53C44" w14:textId="77777777" w:rsidR="0034452A" w:rsidRPr="00B20FBD" w:rsidRDefault="0034452A" w:rsidP="00933F2D">
            <w:pPr>
              <w:spacing w:after="0" w:line="240" w:lineRule="auto"/>
              <w:jc w:val="center"/>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12.000</w:t>
            </w:r>
          </w:p>
        </w:tc>
        <w:tc>
          <w:tcPr>
            <w:tcW w:w="1701" w:type="dxa"/>
            <w:tcBorders>
              <w:top w:val="single" w:sz="4" w:space="0" w:color="auto"/>
              <w:left w:val="single" w:sz="4" w:space="0" w:color="auto"/>
              <w:bottom w:val="single" w:sz="4" w:space="0" w:color="auto"/>
              <w:right w:val="single" w:sz="4" w:space="0" w:color="auto"/>
            </w:tcBorders>
            <w:shd w:val="clear" w:color="D9E1F2" w:fill="D9E1F2"/>
            <w:hideMark/>
          </w:tcPr>
          <w:p w14:paraId="7E05C4A1" w14:textId="77777777" w:rsidR="0034452A" w:rsidRPr="00B20FBD" w:rsidRDefault="0034452A" w:rsidP="00933F2D">
            <w:pPr>
              <w:spacing w:after="0" w:line="240" w:lineRule="auto"/>
              <w:jc w:val="center"/>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8.449</w:t>
            </w:r>
          </w:p>
        </w:tc>
        <w:tc>
          <w:tcPr>
            <w:tcW w:w="1560" w:type="dxa"/>
            <w:tcBorders>
              <w:top w:val="single" w:sz="4" w:space="0" w:color="auto"/>
              <w:left w:val="single" w:sz="4" w:space="0" w:color="auto"/>
              <w:bottom w:val="single" w:sz="4" w:space="0" w:color="auto"/>
              <w:right w:val="single" w:sz="4" w:space="0" w:color="auto"/>
            </w:tcBorders>
            <w:shd w:val="clear" w:color="D9E1F2" w:fill="D9E1F2"/>
            <w:hideMark/>
          </w:tcPr>
          <w:p w14:paraId="3E556314" w14:textId="77777777" w:rsidR="0034452A" w:rsidRPr="00B20FBD" w:rsidRDefault="0034452A" w:rsidP="00933F2D">
            <w:pPr>
              <w:spacing w:after="0" w:line="240" w:lineRule="auto"/>
              <w:jc w:val="center"/>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-3.551</w:t>
            </w:r>
          </w:p>
        </w:tc>
        <w:tc>
          <w:tcPr>
            <w:tcW w:w="992" w:type="dxa"/>
            <w:tcBorders>
              <w:top w:val="single" w:sz="4" w:space="0" w:color="auto"/>
              <w:left w:val="single" w:sz="4" w:space="0" w:color="auto"/>
              <w:bottom w:val="single" w:sz="4" w:space="0" w:color="auto"/>
              <w:right w:val="single" w:sz="4" w:space="0" w:color="auto"/>
            </w:tcBorders>
            <w:shd w:val="clear" w:color="D9E1F2" w:fill="D9E1F2"/>
            <w:hideMark/>
          </w:tcPr>
          <w:p w14:paraId="6CC6C337" w14:textId="77777777" w:rsidR="0034452A" w:rsidRPr="00B20FBD" w:rsidRDefault="0034452A" w:rsidP="00933F2D">
            <w:pPr>
              <w:spacing w:after="0" w:line="240" w:lineRule="auto"/>
              <w:jc w:val="center"/>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70,4</w:t>
            </w:r>
          </w:p>
        </w:tc>
      </w:tr>
      <w:tr w:rsidR="0034452A" w:rsidRPr="00B20FBD" w14:paraId="4CCC887D" w14:textId="77777777" w:rsidTr="00933F2D">
        <w:trPr>
          <w:trHeight w:val="288"/>
          <w:jc w:val="center"/>
        </w:trPr>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3967BC08" w14:textId="77777777" w:rsidR="0034452A" w:rsidRPr="00B20FBD" w:rsidRDefault="0034452A" w:rsidP="00933F2D">
            <w:pPr>
              <w:spacing w:after="0" w:line="240" w:lineRule="auto"/>
              <w:jc w:val="center"/>
              <w:rPr>
                <w:rFonts w:asciiTheme="majorHAnsi" w:eastAsia="Times New Roman" w:hAnsiTheme="majorHAnsi" w:cstheme="majorHAnsi"/>
                <w:sz w:val="20"/>
                <w:szCs w:val="20"/>
                <w:lang w:val="ro-RO"/>
              </w:rPr>
            </w:pPr>
            <w:r w:rsidRPr="00B20FBD">
              <w:rPr>
                <w:rFonts w:asciiTheme="majorHAnsi" w:eastAsia="Times New Roman" w:hAnsiTheme="majorHAnsi" w:cstheme="majorHAnsi"/>
                <w:sz w:val="20"/>
                <w:szCs w:val="20"/>
                <w:lang w:val="ro-RO"/>
              </w:rPr>
              <w:t>114216</w:t>
            </w:r>
          </w:p>
        </w:tc>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5BA540FE" w14:textId="77777777" w:rsidR="0034452A" w:rsidRPr="00B20FBD" w:rsidRDefault="0034452A" w:rsidP="00933F2D">
            <w:pPr>
              <w:spacing w:after="0" w:line="240" w:lineRule="auto"/>
              <w:rPr>
                <w:rFonts w:asciiTheme="majorHAnsi" w:eastAsia="Times New Roman" w:hAnsiTheme="majorHAnsi" w:cstheme="majorHAnsi"/>
                <w:sz w:val="20"/>
                <w:szCs w:val="20"/>
                <w:lang w:val="ro-RO"/>
              </w:rPr>
            </w:pPr>
            <w:r w:rsidRPr="00B20FBD">
              <w:rPr>
                <w:rFonts w:asciiTheme="majorHAnsi" w:eastAsia="Times New Roman" w:hAnsiTheme="majorHAnsi" w:cstheme="majorHAnsi"/>
                <w:sz w:val="20"/>
                <w:szCs w:val="20"/>
                <w:lang w:val="ro-RO"/>
              </w:rPr>
              <w:t>Accize  la berea importată</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6DBB320D" w14:textId="77777777" w:rsidR="0034452A" w:rsidRPr="00B20FBD" w:rsidRDefault="0034452A" w:rsidP="00933F2D">
            <w:pPr>
              <w:spacing w:after="0" w:line="240" w:lineRule="auto"/>
              <w:jc w:val="center"/>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83.500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17C1E80" w14:textId="77777777" w:rsidR="0034452A" w:rsidRPr="00B20FBD" w:rsidRDefault="0034452A" w:rsidP="00933F2D">
            <w:pPr>
              <w:spacing w:after="0" w:line="240" w:lineRule="auto"/>
              <w:jc w:val="center"/>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85.071</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1AADF0E" w14:textId="77777777" w:rsidR="0034452A" w:rsidRPr="00B20FBD" w:rsidRDefault="0034452A" w:rsidP="00933F2D">
            <w:pPr>
              <w:spacing w:after="0" w:line="240" w:lineRule="auto"/>
              <w:jc w:val="center"/>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1.571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33BEBA9" w14:textId="77777777" w:rsidR="0034452A" w:rsidRPr="00B20FBD" w:rsidRDefault="0034452A" w:rsidP="00933F2D">
            <w:pPr>
              <w:spacing w:after="0" w:line="240" w:lineRule="auto"/>
              <w:jc w:val="center"/>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101,9</w:t>
            </w:r>
          </w:p>
        </w:tc>
      </w:tr>
      <w:tr w:rsidR="0034452A" w:rsidRPr="00B20FBD" w14:paraId="56EE6C2C" w14:textId="77777777" w:rsidTr="00933F2D">
        <w:trPr>
          <w:trHeight w:val="288"/>
          <w:jc w:val="center"/>
        </w:trPr>
        <w:tc>
          <w:tcPr>
            <w:tcW w:w="1559" w:type="dxa"/>
            <w:tcBorders>
              <w:top w:val="single" w:sz="4" w:space="0" w:color="auto"/>
              <w:left w:val="single" w:sz="4" w:space="0" w:color="auto"/>
              <w:bottom w:val="single" w:sz="4" w:space="0" w:color="auto"/>
              <w:right w:val="single" w:sz="4" w:space="0" w:color="auto"/>
            </w:tcBorders>
            <w:shd w:val="clear" w:color="D9E1F2" w:fill="D9E1F2"/>
            <w:noWrap/>
            <w:hideMark/>
          </w:tcPr>
          <w:p w14:paraId="5D9CF1EF" w14:textId="77777777" w:rsidR="0034452A" w:rsidRPr="00B20FBD" w:rsidRDefault="0034452A" w:rsidP="00933F2D">
            <w:pPr>
              <w:spacing w:after="0" w:line="240" w:lineRule="auto"/>
              <w:jc w:val="center"/>
              <w:rPr>
                <w:rFonts w:asciiTheme="majorHAnsi" w:eastAsia="Times New Roman" w:hAnsiTheme="majorHAnsi" w:cstheme="majorHAnsi"/>
                <w:sz w:val="20"/>
                <w:szCs w:val="20"/>
                <w:lang w:val="ro-RO"/>
              </w:rPr>
            </w:pPr>
            <w:r w:rsidRPr="00B20FBD">
              <w:rPr>
                <w:rFonts w:asciiTheme="majorHAnsi" w:eastAsia="Times New Roman" w:hAnsiTheme="majorHAnsi" w:cstheme="majorHAnsi"/>
                <w:sz w:val="20"/>
                <w:szCs w:val="20"/>
                <w:lang w:val="ro-RO"/>
              </w:rPr>
              <w:t>114222</w:t>
            </w:r>
          </w:p>
        </w:tc>
        <w:tc>
          <w:tcPr>
            <w:tcW w:w="2547" w:type="dxa"/>
            <w:tcBorders>
              <w:top w:val="single" w:sz="4" w:space="0" w:color="auto"/>
              <w:left w:val="single" w:sz="4" w:space="0" w:color="auto"/>
              <w:bottom w:val="single" w:sz="4" w:space="0" w:color="auto"/>
              <w:right w:val="single" w:sz="4" w:space="0" w:color="auto"/>
            </w:tcBorders>
            <w:shd w:val="clear" w:color="D9E1F2" w:fill="D9E1F2"/>
            <w:hideMark/>
          </w:tcPr>
          <w:p w14:paraId="68FA4573" w14:textId="77777777" w:rsidR="0034452A" w:rsidRPr="00B20FBD" w:rsidRDefault="0034452A" w:rsidP="00933F2D">
            <w:pPr>
              <w:spacing w:after="0" w:line="240" w:lineRule="auto"/>
              <w:rPr>
                <w:rFonts w:asciiTheme="majorHAnsi" w:eastAsia="Times New Roman" w:hAnsiTheme="majorHAnsi" w:cstheme="majorHAnsi"/>
                <w:sz w:val="20"/>
                <w:szCs w:val="20"/>
                <w:lang w:val="ro-RO"/>
              </w:rPr>
            </w:pPr>
            <w:r w:rsidRPr="00B20FBD">
              <w:rPr>
                <w:rFonts w:asciiTheme="majorHAnsi" w:eastAsia="Times New Roman" w:hAnsiTheme="majorHAnsi" w:cstheme="majorHAnsi"/>
                <w:sz w:val="20"/>
                <w:szCs w:val="20"/>
                <w:lang w:val="ro-RO"/>
              </w:rPr>
              <w:t>Accize la produsele din tutun importate</w:t>
            </w:r>
          </w:p>
        </w:tc>
        <w:tc>
          <w:tcPr>
            <w:tcW w:w="1559" w:type="dxa"/>
            <w:tcBorders>
              <w:top w:val="single" w:sz="4" w:space="0" w:color="auto"/>
              <w:left w:val="single" w:sz="4" w:space="0" w:color="auto"/>
              <w:bottom w:val="single" w:sz="4" w:space="0" w:color="auto"/>
              <w:right w:val="single" w:sz="4" w:space="0" w:color="auto"/>
            </w:tcBorders>
            <w:shd w:val="clear" w:color="D9E1F2" w:fill="D9E1F2"/>
            <w:hideMark/>
          </w:tcPr>
          <w:p w14:paraId="64472EA2" w14:textId="77777777" w:rsidR="0034452A" w:rsidRPr="00B20FBD" w:rsidRDefault="0034452A" w:rsidP="00933F2D">
            <w:pPr>
              <w:spacing w:after="0" w:line="240" w:lineRule="auto"/>
              <w:jc w:val="center"/>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2.217.000</w:t>
            </w:r>
          </w:p>
        </w:tc>
        <w:tc>
          <w:tcPr>
            <w:tcW w:w="1701" w:type="dxa"/>
            <w:tcBorders>
              <w:top w:val="single" w:sz="4" w:space="0" w:color="auto"/>
              <w:left w:val="single" w:sz="4" w:space="0" w:color="auto"/>
              <w:bottom w:val="single" w:sz="4" w:space="0" w:color="auto"/>
              <w:right w:val="single" w:sz="4" w:space="0" w:color="auto"/>
            </w:tcBorders>
            <w:shd w:val="clear" w:color="D9E1F2" w:fill="D9E1F2"/>
            <w:hideMark/>
          </w:tcPr>
          <w:p w14:paraId="19D4DF3C" w14:textId="77777777" w:rsidR="0034452A" w:rsidRPr="00B20FBD" w:rsidRDefault="0034452A" w:rsidP="00933F2D">
            <w:pPr>
              <w:spacing w:after="0" w:line="240" w:lineRule="auto"/>
              <w:jc w:val="center"/>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2.066.256</w:t>
            </w:r>
          </w:p>
        </w:tc>
        <w:tc>
          <w:tcPr>
            <w:tcW w:w="1560" w:type="dxa"/>
            <w:tcBorders>
              <w:top w:val="single" w:sz="4" w:space="0" w:color="auto"/>
              <w:left w:val="single" w:sz="4" w:space="0" w:color="auto"/>
              <w:bottom w:val="single" w:sz="4" w:space="0" w:color="auto"/>
              <w:right w:val="single" w:sz="4" w:space="0" w:color="auto"/>
            </w:tcBorders>
            <w:shd w:val="clear" w:color="D9E1F2" w:fill="D9E1F2"/>
            <w:hideMark/>
          </w:tcPr>
          <w:p w14:paraId="1684C73B" w14:textId="77777777" w:rsidR="0034452A" w:rsidRPr="00B20FBD" w:rsidRDefault="0034452A" w:rsidP="00933F2D">
            <w:pPr>
              <w:spacing w:after="0" w:line="240" w:lineRule="auto"/>
              <w:jc w:val="center"/>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-150.744</w:t>
            </w:r>
          </w:p>
        </w:tc>
        <w:tc>
          <w:tcPr>
            <w:tcW w:w="992" w:type="dxa"/>
            <w:tcBorders>
              <w:top w:val="single" w:sz="4" w:space="0" w:color="auto"/>
              <w:left w:val="single" w:sz="4" w:space="0" w:color="auto"/>
              <w:bottom w:val="single" w:sz="4" w:space="0" w:color="auto"/>
              <w:right w:val="single" w:sz="4" w:space="0" w:color="auto"/>
            </w:tcBorders>
            <w:shd w:val="clear" w:color="D9E1F2" w:fill="D9E1F2"/>
            <w:hideMark/>
          </w:tcPr>
          <w:p w14:paraId="7EDBF261" w14:textId="77777777" w:rsidR="0034452A" w:rsidRPr="00B20FBD" w:rsidRDefault="0034452A" w:rsidP="00933F2D">
            <w:pPr>
              <w:spacing w:after="0" w:line="240" w:lineRule="auto"/>
              <w:jc w:val="center"/>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93,2</w:t>
            </w:r>
          </w:p>
        </w:tc>
      </w:tr>
      <w:tr w:rsidR="0034452A" w:rsidRPr="00B20FBD" w14:paraId="67D87F71" w14:textId="77777777" w:rsidTr="00933F2D">
        <w:trPr>
          <w:trHeight w:val="288"/>
          <w:jc w:val="center"/>
        </w:trPr>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13B8B46C" w14:textId="77777777" w:rsidR="0034452A" w:rsidRPr="00B20FBD" w:rsidRDefault="0034452A" w:rsidP="00933F2D">
            <w:pPr>
              <w:spacing w:after="0" w:line="240" w:lineRule="auto"/>
              <w:jc w:val="center"/>
              <w:rPr>
                <w:rFonts w:asciiTheme="majorHAnsi" w:eastAsia="Times New Roman" w:hAnsiTheme="majorHAnsi" w:cstheme="majorHAnsi"/>
                <w:sz w:val="20"/>
                <w:szCs w:val="20"/>
                <w:lang w:val="ro-RO"/>
              </w:rPr>
            </w:pPr>
            <w:r w:rsidRPr="00B20FBD">
              <w:rPr>
                <w:rFonts w:asciiTheme="majorHAnsi" w:eastAsia="Times New Roman" w:hAnsiTheme="majorHAnsi" w:cstheme="majorHAnsi"/>
                <w:sz w:val="20"/>
                <w:szCs w:val="20"/>
                <w:lang w:val="ro-RO"/>
              </w:rPr>
              <w:t>114232</w:t>
            </w:r>
          </w:p>
        </w:tc>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2FEE3DF2" w14:textId="77777777" w:rsidR="0034452A" w:rsidRPr="00B20FBD" w:rsidRDefault="0034452A" w:rsidP="00933F2D">
            <w:pPr>
              <w:spacing w:after="0" w:line="240" w:lineRule="auto"/>
              <w:rPr>
                <w:rFonts w:asciiTheme="majorHAnsi" w:eastAsia="Times New Roman" w:hAnsiTheme="majorHAnsi" w:cstheme="majorHAnsi"/>
                <w:sz w:val="20"/>
                <w:szCs w:val="20"/>
                <w:lang w:val="ro-RO"/>
              </w:rPr>
            </w:pPr>
            <w:r w:rsidRPr="00B20FBD">
              <w:rPr>
                <w:rFonts w:asciiTheme="majorHAnsi" w:eastAsia="Times New Roman" w:hAnsiTheme="majorHAnsi" w:cstheme="majorHAnsi"/>
                <w:sz w:val="20"/>
                <w:szCs w:val="20"/>
                <w:lang w:val="ro-RO"/>
              </w:rPr>
              <w:t>Accize la autoturismele importate</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61CB34EB" w14:textId="77777777" w:rsidR="0034452A" w:rsidRPr="00B20FBD" w:rsidRDefault="0034452A" w:rsidP="00933F2D">
            <w:pPr>
              <w:spacing w:after="0" w:line="240" w:lineRule="auto"/>
              <w:jc w:val="center"/>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1.100.000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4BBA0A90" w14:textId="77777777" w:rsidR="0034452A" w:rsidRPr="00B20FBD" w:rsidRDefault="0034452A" w:rsidP="00933F2D">
            <w:pPr>
              <w:spacing w:after="0" w:line="240" w:lineRule="auto"/>
              <w:jc w:val="center"/>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1.284.857</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3B34256F" w14:textId="77777777" w:rsidR="0034452A" w:rsidRPr="00B20FBD" w:rsidRDefault="0034452A" w:rsidP="00933F2D">
            <w:pPr>
              <w:spacing w:after="0" w:line="240" w:lineRule="auto"/>
              <w:jc w:val="center"/>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184.857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A8CD51C" w14:textId="77777777" w:rsidR="0034452A" w:rsidRPr="00B20FBD" w:rsidRDefault="0034452A" w:rsidP="00933F2D">
            <w:pPr>
              <w:spacing w:after="0" w:line="240" w:lineRule="auto"/>
              <w:jc w:val="center"/>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116,8</w:t>
            </w:r>
          </w:p>
        </w:tc>
      </w:tr>
      <w:tr w:rsidR="0034452A" w:rsidRPr="00B20FBD" w14:paraId="0AF70A8B" w14:textId="77777777" w:rsidTr="00933F2D">
        <w:trPr>
          <w:trHeight w:val="288"/>
          <w:jc w:val="center"/>
        </w:trPr>
        <w:tc>
          <w:tcPr>
            <w:tcW w:w="1559" w:type="dxa"/>
            <w:tcBorders>
              <w:top w:val="single" w:sz="4" w:space="0" w:color="auto"/>
              <w:left w:val="single" w:sz="4" w:space="0" w:color="auto"/>
              <w:bottom w:val="single" w:sz="4" w:space="0" w:color="auto"/>
              <w:right w:val="single" w:sz="4" w:space="0" w:color="auto"/>
            </w:tcBorders>
            <w:shd w:val="clear" w:color="D9E1F2" w:fill="D9E1F2"/>
            <w:noWrap/>
            <w:hideMark/>
          </w:tcPr>
          <w:p w14:paraId="779DFDF2" w14:textId="77777777" w:rsidR="0034452A" w:rsidRPr="00B20FBD" w:rsidRDefault="0034452A" w:rsidP="00933F2D">
            <w:pPr>
              <w:spacing w:after="0" w:line="240" w:lineRule="auto"/>
              <w:jc w:val="center"/>
              <w:rPr>
                <w:rFonts w:asciiTheme="majorHAnsi" w:eastAsia="Times New Roman" w:hAnsiTheme="majorHAnsi" w:cstheme="majorHAnsi"/>
                <w:sz w:val="20"/>
                <w:szCs w:val="20"/>
                <w:lang w:val="ro-RO"/>
              </w:rPr>
            </w:pPr>
            <w:r w:rsidRPr="00B20FBD">
              <w:rPr>
                <w:rFonts w:asciiTheme="majorHAnsi" w:eastAsia="Times New Roman" w:hAnsiTheme="majorHAnsi" w:cstheme="majorHAnsi"/>
                <w:sz w:val="20"/>
                <w:szCs w:val="20"/>
                <w:lang w:val="ro-RO"/>
              </w:rPr>
              <w:t>114242</w:t>
            </w:r>
          </w:p>
        </w:tc>
        <w:tc>
          <w:tcPr>
            <w:tcW w:w="2547" w:type="dxa"/>
            <w:tcBorders>
              <w:top w:val="single" w:sz="4" w:space="0" w:color="auto"/>
              <w:left w:val="single" w:sz="4" w:space="0" w:color="auto"/>
              <w:bottom w:val="single" w:sz="4" w:space="0" w:color="auto"/>
              <w:right w:val="single" w:sz="4" w:space="0" w:color="auto"/>
            </w:tcBorders>
            <w:shd w:val="clear" w:color="D9E1F2" w:fill="D9E1F2"/>
            <w:hideMark/>
          </w:tcPr>
          <w:p w14:paraId="03241C56" w14:textId="77777777" w:rsidR="0034452A" w:rsidRPr="00B20FBD" w:rsidRDefault="0034452A" w:rsidP="00933F2D">
            <w:pPr>
              <w:spacing w:after="0" w:line="240" w:lineRule="auto"/>
              <w:rPr>
                <w:rFonts w:asciiTheme="majorHAnsi" w:eastAsia="Times New Roman" w:hAnsiTheme="majorHAnsi" w:cstheme="majorHAnsi"/>
                <w:sz w:val="20"/>
                <w:szCs w:val="20"/>
                <w:lang w:val="ro-RO"/>
              </w:rPr>
            </w:pPr>
            <w:r w:rsidRPr="00B20FBD">
              <w:rPr>
                <w:rFonts w:asciiTheme="majorHAnsi" w:eastAsia="Times New Roman" w:hAnsiTheme="majorHAnsi" w:cstheme="majorHAnsi"/>
                <w:sz w:val="20"/>
                <w:szCs w:val="20"/>
                <w:lang w:val="ro-RO"/>
              </w:rPr>
              <w:t>Accize la produsele petroliere importate</w:t>
            </w:r>
          </w:p>
        </w:tc>
        <w:tc>
          <w:tcPr>
            <w:tcW w:w="1559" w:type="dxa"/>
            <w:tcBorders>
              <w:top w:val="single" w:sz="4" w:space="0" w:color="auto"/>
              <w:left w:val="single" w:sz="4" w:space="0" w:color="auto"/>
              <w:bottom w:val="single" w:sz="4" w:space="0" w:color="auto"/>
              <w:right w:val="single" w:sz="4" w:space="0" w:color="auto"/>
            </w:tcBorders>
            <w:shd w:val="clear" w:color="D9E1F2" w:fill="D9E1F2"/>
            <w:hideMark/>
          </w:tcPr>
          <w:p w14:paraId="1B5FC69E" w14:textId="77777777" w:rsidR="0034452A" w:rsidRPr="00B20FBD" w:rsidRDefault="0034452A" w:rsidP="00933F2D">
            <w:pPr>
              <w:spacing w:after="0" w:line="240" w:lineRule="auto"/>
              <w:jc w:val="center"/>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2.715.137,0</w:t>
            </w:r>
          </w:p>
        </w:tc>
        <w:tc>
          <w:tcPr>
            <w:tcW w:w="1701" w:type="dxa"/>
            <w:tcBorders>
              <w:top w:val="single" w:sz="4" w:space="0" w:color="auto"/>
              <w:left w:val="single" w:sz="4" w:space="0" w:color="auto"/>
              <w:bottom w:val="single" w:sz="4" w:space="0" w:color="auto"/>
              <w:right w:val="single" w:sz="4" w:space="0" w:color="auto"/>
            </w:tcBorders>
            <w:shd w:val="clear" w:color="D9E1F2" w:fill="D9E1F2"/>
            <w:hideMark/>
          </w:tcPr>
          <w:p w14:paraId="445357CB" w14:textId="77777777" w:rsidR="0034452A" w:rsidRPr="00B20FBD" w:rsidRDefault="0034452A" w:rsidP="00933F2D">
            <w:pPr>
              <w:spacing w:after="0" w:line="240" w:lineRule="auto"/>
              <w:jc w:val="center"/>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2.888.848</w:t>
            </w:r>
          </w:p>
        </w:tc>
        <w:tc>
          <w:tcPr>
            <w:tcW w:w="1560" w:type="dxa"/>
            <w:tcBorders>
              <w:top w:val="single" w:sz="4" w:space="0" w:color="auto"/>
              <w:left w:val="single" w:sz="4" w:space="0" w:color="auto"/>
              <w:bottom w:val="single" w:sz="4" w:space="0" w:color="auto"/>
              <w:right w:val="single" w:sz="4" w:space="0" w:color="auto"/>
            </w:tcBorders>
            <w:shd w:val="clear" w:color="D9E1F2" w:fill="D9E1F2"/>
            <w:hideMark/>
          </w:tcPr>
          <w:p w14:paraId="4C5BE0A9" w14:textId="77777777" w:rsidR="0034452A" w:rsidRPr="00B20FBD" w:rsidRDefault="0034452A" w:rsidP="00933F2D">
            <w:pPr>
              <w:spacing w:after="0" w:line="240" w:lineRule="auto"/>
              <w:jc w:val="center"/>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173.711</w:t>
            </w:r>
          </w:p>
        </w:tc>
        <w:tc>
          <w:tcPr>
            <w:tcW w:w="992" w:type="dxa"/>
            <w:tcBorders>
              <w:top w:val="single" w:sz="4" w:space="0" w:color="auto"/>
              <w:left w:val="single" w:sz="4" w:space="0" w:color="auto"/>
              <w:bottom w:val="single" w:sz="4" w:space="0" w:color="auto"/>
              <w:right w:val="single" w:sz="4" w:space="0" w:color="auto"/>
            </w:tcBorders>
            <w:shd w:val="clear" w:color="D9E1F2" w:fill="D9E1F2"/>
            <w:hideMark/>
          </w:tcPr>
          <w:p w14:paraId="7BC68C08" w14:textId="77777777" w:rsidR="0034452A" w:rsidRPr="00B20FBD" w:rsidRDefault="0034452A" w:rsidP="00933F2D">
            <w:pPr>
              <w:spacing w:after="0" w:line="240" w:lineRule="auto"/>
              <w:jc w:val="center"/>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106,4</w:t>
            </w:r>
          </w:p>
        </w:tc>
      </w:tr>
      <w:tr w:rsidR="0034452A" w:rsidRPr="00B20FBD" w14:paraId="1B4E3A93" w14:textId="77777777" w:rsidTr="00933F2D">
        <w:trPr>
          <w:trHeight w:val="288"/>
          <w:jc w:val="center"/>
        </w:trPr>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425C1EE2" w14:textId="77777777" w:rsidR="0034452A" w:rsidRPr="00B20FBD" w:rsidRDefault="0034452A" w:rsidP="00933F2D">
            <w:pPr>
              <w:spacing w:after="0" w:line="240" w:lineRule="auto"/>
              <w:jc w:val="center"/>
              <w:rPr>
                <w:rFonts w:asciiTheme="majorHAnsi" w:eastAsia="Times New Roman" w:hAnsiTheme="majorHAnsi" w:cstheme="majorHAnsi"/>
                <w:sz w:val="20"/>
                <w:szCs w:val="20"/>
                <w:lang w:val="ro-RO"/>
              </w:rPr>
            </w:pPr>
            <w:r w:rsidRPr="00B20FBD">
              <w:rPr>
                <w:rFonts w:asciiTheme="majorHAnsi" w:eastAsia="Times New Roman" w:hAnsiTheme="majorHAnsi" w:cstheme="majorHAnsi"/>
                <w:sz w:val="20"/>
                <w:szCs w:val="20"/>
                <w:lang w:val="ro-RO"/>
              </w:rPr>
              <w:t>114252</w:t>
            </w:r>
          </w:p>
        </w:tc>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63199A44" w14:textId="77777777" w:rsidR="0034452A" w:rsidRPr="00B20FBD" w:rsidRDefault="0034452A" w:rsidP="00933F2D">
            <w:pPr>
              <w:spacing w:after="0" w:line="240" w:lineRule="auto"/>
              <w:rPr>
                <w:rFonts w:asciiTheme="majorHAnsi" w:eastAsia="Times New Roman" w:hAnsiTheme="majorHAnsi" w:cstheme="majorHAnsi"/>
                <w:sz w:val="20"/>
                <w:szCs w:val="20"/>
                <w:lang w:val="ro-RO"/>
              </w:rPr>
            </w:pPr>
            <w:r w:rsidRPr="00B20FBD">
              <w:rPr>
                <w:rFonts w:asciiTheme="majorHAnsi" w:eastAsia="Times New Roman" w:hAnsiTheme="majorHAnsi" w:cstheme="majorHAnsi"/>
                <w:sz w:val="20"/>
                <w:szCs w:val="20"/>
                <w:lang w:val="ro-RO"/>
              </w:rPr>
              <w:t>Accize la gazele lichefiate importate</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68401E8F" w14:textId="77777777" w:rsidR="0034452A" w:rsidRPr="00B20FBD" w:rsidRDefault="0034452A" w:rsidP="00933F2D">
            <w:pPr>
              <w:spacing w:after="0" w:line="240" w:lineRule="auto"/>
              <w:jc w:val="center"/>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232.494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EE13773" w14:textId="77777777" w:rsidR="0034452A" w:rsidRPr="00B20FBD" w:rsidRDefault="0034452A" w:rsidP="00933F2D">
            <w:pPr>
              <w:spacing w:after="0" w:line="240" w:lineRule="auto"/>
              <w:jc w:val="center"/>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229.097</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21193F60" w14:textId="77777777" w:rsidR="0034452A" w:rsidRPr="00B20FBD" w:rsidRDefault="0034452A" w:rsidP="00933F2D">
            <w:pPr>
              <w:spacing w:after="0" w:line="240" w:lineRule="auto"/>
              <w:jc w:val="center"/>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-3.397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0A0FE72" w14:textId="77777777" w:rsidR="0034452A" w:rsidRPr="00B20FBD" w:rsidRDefault="0034452A" w:rsidP="00933F2D">
            <w:pPr>
              <w:spacing w:after="0" w:line="240" w:lineRule="auto"/>
              <w:jc w:val="center"/>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98,5</w:t>
            </w:r>
          </w:p>
        </w:tc>
      </w:tr>
      <w:tr w:rsidR="0034452A" w:rsidRPr="00B20FBD" w14:paraId="14A29048" w14:textId="77777777" w:rsidTr="00933F2D">
        <w:trPr>
          <w:trHeight w:val="288"/>
          <w:jc w:val="center"/>
        </w:trPr>
        <w:tc>
          <w:tcPr>
            <w:tcW w:w="1559" w:type="dxa"/>
            <w:tcBorders>
              <w:top w:val="single" w:sz="4" w:space="0" w:color="auto"/>
              <w:left w:val="single" w:sz="4" w:space="0" w:color="auto"/>
              <w:bottom w:val="single" w:sz="4" w:space="0" w:color="auto"/>
              <w:right w:val="single" w:sz="4" w:space="0" w:color="auto"/>
            </w:tcBorders>
            <w:shd w:val="clear" w:color="D9E1F2" w:fill="D9E1F2"/>
            <w:noWrap/>
            <w:hideMark/>
          </w:tcPr>
          <w:p w14:paraId="2329E71B" w14:textId="77777777" w:rsidR="0034452A" w:rsidRPr="00B20FBD" w:rsidRDefault="0034452A" w:rsidP="00933F2D">
            <w:pPr>
              <w:spacing w:after="0" w:line="240" w:lineRule="auto"/>
              <w:jc w:val="center"/>
              <w:rPr>
                <w:rFonts w:asciiTheme="majorHAnsi" w:eastAsia="Times New Roman" w:hAnsiTheme="majorHAnsi" w:cstheme="majorHAnsi"/>
                <w:sz w:val="20"/>
                <w:szCs w:val="20"/>
                <w:lang w:val="ro-RO"/>
              </w:rPr>
            </w:pPr>
            <w:r w:rsidRPr="00B20FBD">
              <w:rPr>
                <w:rFonts w:asciiTheme="majorHAnsi" w:eastAsia="Times New Roman" w:hAnsiTheme="majorHAnsi" w:cstheme="majorHAnsi"/>
                <w:sz w:val="20"/>
                <w:szCs w:val="20"/>
                <w:lang w:val="ro-RO"/>
              </w:rPr>
              <w:t>114272</w:t>
            </w:r>
          </w:p>
        </w:tc>
        <w:tc>
          <w:tcPr>
            <w:tcW w:w="2547" w:type="dxa"/>
            <w:tcBorders>
              <w:top w:val="single" w:sz="4" w:space="0" w:color="auto"/>
              <w:left w:val="single" w:sz="4" w:space="0" w:color="auto"/>
              <w:bottom w:val="single" w:sz="4" w:space="0" w:color="auto"/>
              <w:right w:val="single" w:sz="4" w:space="0" w:color="auto"/>
            </w:tcBorders>
            <w:shd w:val="clear" w:color="D9E1F2" w:fill="D9E1F2"/>
            <w:hideMark/>
          </w:tcPr>
          <w:p w14:paraId="1993B826" w14:textId="77777777" w:rsidR="0034452A" w:rsidRPr="00B20FBD" w:rsidRDefault="0034452A" w:rsidP="00933F2D">
            <w:pPr>
              <w:spacing w:after="0" w:line="240" w:lineRule="auto"/>
              <w:rPr>
                <w:rFonts w:asciiTheme="majorHAnsi" w:eastAsia="Times New Roman" w:hAnsiTheme="majorHAnsi" w:cstheme="majorHAnsi"/>
                <w:sz w:val="20"/>
                <w:szCs w:val="20"/>
                <w:lang w:val="ro-RO"/>
              </w:rPr>
            </w:pPr>
            <w:r w:rsidRPr="00B20FBD">
              <w:rPr>
                <w:rFonts w:asciiTheme="majorHAnsi" w:eastAsia="Times New Roman" w:hAnsiTheme="majorHAnsi" w:cstheme="majorHAnsi"/>
                <w:sz w:val="20"/>
                <w:szCs w:val="20"/>
                <w:lang w:val="ro-RO"/>
              </w:rPr>
              <w:t>Accize la alte mărfuri</w:t>
            </w:r>
          </w:p>
        </w:tc>
        <w:tc>
          <w:tcPr>
            <w:tcW w:w="1559" w:type="dxa"/>
            <w:tcBorders>
              <w:top w:val="single" w:sz="4" w:space="0" w:color="auto"/>
              <w:left w:val="single" w:sz="4" w:space="0" w:color="auto"/>
              <w:bottom w:val="single" w:sz="4" w:space="0" w:color="auto"/>
              <w:right w:val="single" w:sz="4" w:space="0" w:color="auto"/>
            </w:tcBorders>
            <w:shd w:val="clear" w:color="D9E1F2" w:fill="D9E1F2"/>
            <w:hideMark/>
          </w:tcPr>
          <w:p w14:paraId="530C4C44" w14:textId="77777777" w:rsidR="0034452A" w:rsidRPr="00B20FBD" w:rsidRDefault="0034452A" w:rsidP="00933F2D">
            <w:pPr>
              <w:spacing w:after="0" w:line="240" w:lineRule="auto"/>
              <w:jc w:val="center"/>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42.000</w:t>
            </w:r>
          </w:p>
        </w:tc>
        <w:tc>
          <w:tcPr>
            <w:tcW w:w="1701" w:type="dxa"/>
            <w:tcBorders>
              <w:top w:val="single" w:sz="4" w:space="0" w:color="auto"/>
              <w:left w:val="single" w:sz="4" w:space="0" w:color="auto"/>
              <w:bottom w:val="single" w:sz="4" w:space="0" w:color="auto"/>
              <w:right w:val="single" w:sz="4" w:space="0" w:color="auto"/>
            </w:tcBorders>
            <w:shd w:val="clear" w:color="D9E1F2" w:fill="D9E1F2"/>
            <w:hideMark/>
          </w:tcPr>
          <w:p w14:paraId="19D6AAF7" w14:textId="77777777" w:rsidR="0034452A" w:rsidRPr="00B20FBD" w:rsidRDefault="0034452A" w:rsidP="00933F2D">
            <w:pPr>
              <w:spacing w:after="0" w:line="240" w:lineRule="auto"/>
              <w:jc w:val="center"/>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53.071</w:t>
            </w:r>
          </w:p>
        </w:tc>
        <w:tc>
          <w:tcPr>
            <w:tcW w:w="1560" w:type="dxa"/>
            <w:tcBorders>
              <w:top w:val="single" w:sz="4" w:space="0" w:color="auto"/>
              <w:left w:val="single" w:sz="4" w:space="0" w:color="auto"/>
              <w:bottom w:val="single" w:sz="4" w:space="0" w:color="auto"/>
              <w:right w:val="single" w:sz="4" w:space="0" w:color="auto"/>
            </w:tcBorders>
            <w:shd w:val="clear" w:color="D9E1F2" w:fill="D9E1F2"/>
            <w:hideMark/>
          </w:tcPr>
          <w:p w14:paraId="5B698C89" w14:textId="77777777" w:rsidR="0034452A" w:rsidRPr="00B20FBD" w:rsidRDefault="0034452A" w:rsidP="00933F2D">
            <w:pPr>
              <w:spacing w:after="0" w:line="240" w:lineRule="auto"/>
              <w:jc w:val="center"/>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11.071</w:t>
            </w:r>
          </w:p>
        </w:tc>
        <w:tc>
          <w:tcPr>
            <w:tcW w:w="992" w:type="dxa"/>
            <w:tcBorders>
              <w:top w:val="single" w:sz="4" w:space="0" w:color="auto"/>
              <w:left w:val="single" w:sz="4" w:space="0" w:color="auto"/>
              <w:bottom w:val="single" w:sz="4" w:space="0" w:color="auto"/>
              <w:right w:val="single" w:sz="4" w:space="0" w:color="auto"/>
            </w:tcBorders>
            <w:shd w:val="clear" w:color="D9E1F2" w:fill="D9E1F2"/>
            <w:hideMark/>
          </w:tcPr>
          <w:p w14:paraId="7B41568E" w14:textId="77777777" w:rsidR="0034452A" w:rsidRPr="00B20FBD" w:rsidRDefault="0034452A" w:rsidP="00933F2D">
            <w:pPr>
              <w:spacing w:after="0" w:line="240" w:lineRule="auto"/>
              <w:jc w:val="center"/>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126,4</w:t>
            </w:r>
          </w:p>
        </w:tc>
      </w:tr>
      <w:tr w:rsidR="0034452A" w:rsidRPr="00B20FBD" w14:paraId="4E179181" w14:textId="77777777" w:rsidTr="00933F2D">
        <w:trPr>
          <w:trHeight w:val="288"/>
          <w:jc w:val="center"/>
        </w:trPr>
        <w:tc>
          <w:tcPr>
            <w:tcW w:w="410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B85D606" w14:textId="77777777" w:rsidR="0034452A" w:rsidRPr="00B20FBD" w:rsidRDefault="0034452A" w:rsidP="00933F2D">
            <w:pPr>
              <w:spacing w:after="0" w:line="240" w:lineRule="auto"/>
              <w:rPr>
                <w:rFonts w:asciiTheme="majorHAnsi" w:eastAsia="Times New Roman" w:hAnsiTheme="majorHAnsi" w:cstheme="majorHAnsi"/>
                <w:b/>
                <w:bCs/>
                <w:i/>
                <w:iCs/>
                <w:sz w:val="20"/>
                <w:szCs w:val="20"/>
                <w:lang w:val="ro-RO"/>
              </w:rPr>
            </w:pPr>
            <w:r w:rsidRPr="00B20FBD">
              <w:rPr>
                <w:rFonts w:asciiTheme="majorHAnsi" w:eastAsia="Times New Roman" w:hAnsiTheme="majorHAnsi" w:cstheme="majorHAnsi"/>
                <w:b/>
                <w:bCs/>
                <w:i/>
                <w:iCs/>
                <w:sz w:val="20"/>
                <w:szCs w:val="20"/>
                <w:lang w:val="ro-RO"/>
              </w:rPr>
              <w:t>Total accize </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1870830B" w14:textId="77777777" w:rsidR="0034452A" w:rsidRPr="00B20FBD" w:rsidRDefault="0034452A" w:rsidP="00933F2D">
            <w:pPr>
              <w:spacing w:after="0" w:line="240" w:lineRule="auto"/>
              <w:jc w:val="center"/>
              <w:rPr>
                <w:rFonts w:asciiTheme="majorHAnsi" w:eastAsia="Times New Roman" w:hAnsiTheme="majorHAnsi" w:cstheme="majorHAnsi"/>
                <w:b/>
                <w:bCs/>
                <w:i/>
                <w:iCs/>
                <w:color w:val="000000"/>
                <w:sz w:val="20"/>
                <w:szCs w:val="20"/>
                <w:lang w:val="ro-RO"/>
              </w:rPr>
            </w:pPr>
            <w:r w:rsidRPr="00B20FBD">
              <w:rPr>
                <w:rFonts w:asciiTheme="majorHAnsi" w:eastAsia="Times New Roman" w:hAnsiTheme="majorHAnsi" w:cstheme="majorHAnsi"/>
                <w:b/>
                <w:bCs/>
                <w:i/>
                <w:iCs/>
                <w:color w:val="000000"/>
                <w:sz w:val="20"/>
                <w:szCs w:val="20"/>
                <w:lang w:val="ro-RO"/>
              </w:rPr>
              <w:t>6.479.431,0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2F5FEED3" w14:textId="77777777" w:rsidR="0034452A" w:rsidRPr="00B20FBD" w:rsidRDefault="0034452A" w:rsidP="00933F2D">
            <w:pPr>
              <w:spacing w:after="0" w:line="240" w:lineRule="auto"/>
              <w:jc w:val="center"/>
              <w:rPr>
                <w:rFonts w:asciiTheme="majorHAnsi" w:eastAsia="Times New Roman" w:hAnsiTheme="majorHAnsi" w:cstheme="majorHAnsi"/>
                <w:b/>
                <w:bCs/>
                <w:i/>
                <w:iCs/>
                <w:sz w:val="20"/>
                <w:szCs w:val="20"/>
                <w:lang w:val="ro-RO"/>
              </w:rPr>
            </w:pPr>
            <w:r w:rsidRPr="00B20FBD">
              <w:rPr>
                <w:rFonts w:asciiTheme="majorHAnsi" w:eastAsia="Times New Roman" w:hAnsiTheme="majorHAnsi" w:cstheme="majorHAnsi"/>
                <w:b/>
                <w:bCs/>
                <w:i/>
                <w:iCs/>
                <w:sz w:val="20"/>
                <w:szCs w:val="20"/>
                <w:lang w:val="ro-RO"/>
              </w:rPr>
              <w:t>6.731.461</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14:paraId="0E59E67A" w14:textId="77777777" w:rsidR="0034452A" w:rsidRPr="00B20FBD" w:rsidRDefault="0034452A" w:rsidP="00933F2D">
            <w:pPr>
              <w:spacing w:after="0" w:line="240" w:lineRule="auto"/>
              <w:jc w:val="center"/>
              <w:rPr>
                <w:rFonts w:asciiTheme="majorHAnsi" w:eastAsia="Times New Roman" w:hAnsiTheme="majorHAnsi" w:cstheme="majorHAnsi"/>
                <w:b/>
                <w:bCs/>
                <w:i/>
                <w:iCs/>
                <w:sz w:val="20"/>
                <w:szCs w:val="20"/>
                <w:lang w:val="ro-RO"/>
              </w:rPr>
            </w:pPr>
            <w:r w:rsidRPr="00B20FBD">
              <w:rPr>
                <w:rFonts w:asciiTheme="majorHAnsi" w:eastAsia="Times New Roman" w:hAnsiTheme="majorHAnsi" w:cstheme="majorHAnsi"/>
                <w:b/>
                <w:bCs/>
                <w:i/>
                <w:iCs/>
                <w:sz w:val="20"/>
                <w:szCs w:val="20"/>
                <w:lang w:val="ro-RO"/>
              </w:rPr>
              <w:t>252.030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29EB9749" w14:textId="77777777" w:rsidR="0034452A" w:rsidRPr="00B20FBD" w:rsidRDefault="0034452A" w:rsidP="00933F2D">
            <w:pPr>
              <w:spacing w:after="0" w:line="240" w:lineRule="auto"/>
              <w:jc w:val="center"/>
              <w:rPr>
                <w:rFonts w:asciiTheme="majorHAnsi" w:eastAsia="Times New Roman" w:hAnsiTheme="majorHAnsi" w:cstheme="majorHAnsi"/>
                <w:b/>
                <w:bCs/>
                <w:i/>
                <w:iCs/>
                <w:sz w:val="20"/>
                <w:szCs w:val="20"/>
                <w:lang w:val="ro-RO"/>
              </w:rPr>
            </w:pPr>
            <w:r w:rsidRPr="00B20FBD">
              <w:rPr>
                <w:rFonts w:asciiTheme="majorHAnsi" w:eastAsia="Times New Roman" w:hAnsiTheme="majorHAnsi" w:cstheme="majorHAnsi"/>
                <w:b/>
                <w:bCs/>
                <w:i/>
                <w:iCs/>
                <w:sz w:val="20"/>
                <w:szCs w:val="20"/>
                <w:lang w:val="ro-RO"/>
              </w:rPr>
              <w:t>103,9</w:t>
            </w:r>
          </w:p>
        </w:tc>
      </w:tr>
      <w:tr w:rsidR="0034452A" w:rsidRPr="00B20FBD" w14:paraId="44AE3855" w14:textId="77777777" w:rsidTr="00933F2D">
        <w:trPr>
          <w:trHeight w:val="288"/>
          <w:jc w:val="center"/>
        </w:trPr>
        <w:tc>
          <w:tcPr>
            <w:tcW w:w="1559" w:type="dxa"/>
            <w:tcBorders>
              <w:top w:val="single" w:sz="4" w:space="0" w:color="auto"/>
              <w:left w:val="single" w:sz="4" w:space="0" w:color="auto"/>
              <w:bottom w:val="single" w:sz="4" w:space="0" w:color="auto"/>
              <w:right w:val="single" w:sz="4" w:space="0" w:color="auto"/>
            </w:tcBorders>
            <w:shd w:val="clear" w:color="D9E1F2" w:fill="D9E1F2"/>
            <w:noWrap/>
            <w:hideMark/>
          </w:tcPr>
          <w:p w14:paraId="7935CE5D" w14:textId="77777777" w:rsidR="0034452A" w:rsidRPr="00B20FBD" w:rsidRDefault="0034452A" w:rsidP="00933F2D">
            <w:pPr>
              <w:spacing w:after="0" w:line="240" w:lineRule="auto"/>
              <w:jc w:val="center"/>
              <w:rPr>
                <w:rFonts w:asciiTheme="majorHAnsi" w:eastAsia="Times New Roman" w:hAnsiTheme="majorHAnsi" w:cstheme="majorHAnsi"/>
                <w:sz w:val="20"/>
                <w:szCs w:val="20"/>
                <w:lang w:val="ro-RO"/>
              </w:rPr>
            </w:pPr>
            <w:r w:rsidRPr="00B20FBD">
              <w:rPr>
                <w:rFonts w:asciiTheme="majorHAnsi" w:eastAsia="Times New Roman" w:hAnsiTheme="majorHAnsi" w:cstheme="majorHAnsi"/>
                <w:sz w:val="20"/>
                <w:szCs w:val="20"/>
                <w:lang w:val="ro-RO"/>
              </w:rPr>
              <w:t>115110</w:t>
            </w:r>
          </w:p>
        </w:tc>
        <w:tc>
          <w:tcPr>
            <w:tcW w:w="2547" w:type="dxa"/>
            <w:tcBorders>
              <w:top w:val="single" w:sz="4" w:space="0" w:color="auto"/>
              <w:left w:val="single" w:sz="4" w:space="0" w:color="auto"/>
              <w:bottom w:val="single" w:sz="4" w:space="0" w:color="auto"/>
              <w:right w:val="single" w:sz="4" w:space="0" w:color="auto"/>
            </w:tcBorders>
            <w:shd w:val="clear" w:color="D9E1F2" w:fill="D9E1F2"/>
            <w:hideMark/>
          </w:tcPr>
          <w:p w14:paraId="203AB116" w14:textId="77777777" w:rsidR="0034452A" w:rsidRPr="00B20FBD" w:rsidRDefault="0034452A" w:rsidP="00933F2D">
            <w:pPr>
              <w:spacing w:after="0" w:line="240" w:lineRule="auto"/>
              <w:rPr>
                <w:rFonts w:asciiTheme="majorHAnsi" w:eastAsia="Times New Roman" w:hAnsiTheme="majorHAnsi" w:cstheme="majorHAnsi"/>
                <w:sz w:val="20"/>
                <w:szCs w:val="20"/>
                <w:lang w:val="ro-RO"/>
              </w:rPr>
            </w:pPr>
            <w:r w:rsidRPr="00B20FBD">
              <w:rPr>
                <w:rFonts w:asciiTheme="majorHAnsi" w:eastAsia="Times New Roman" w:hAnsiTheme="majorHAnsi" w:cstheme="majorHAnsi"/>
                <w:sz w:val="20"/>
                <w:szCs w:val="20"/>
                <w:lang w:val="ro-RO"/>
              </w:rPr>
              <w:t>Taxa vamală</w:t>
            </w:r>
          </w:p>
        </w:tc>
        <w:tc>
          <w:tcPr>
            <w:tcW w:w="1559" w:type="dxa"/>
            <w:tcBorders>
              <w:top w:val="single" w:sz="4" w:space="0" w:color="auto"/>
              <w:left w:val="single" w:sz="4" w:space="0" w:color="auto"/>
              <w:bottom w:val="single" w:sz="4" w:space="0" w:color="auto"/>
              <w:right w:val="single" w:sz="4" w:space="0" w:color="auto"/>
            </w:tcBorders>
            <w:shd w:val="clear" w:color="D9E1F2" w:fill="D9E1F2"/>
            <w:noWrap/>
            <w:hideMark/>
          </w:tcPr>
          <w:p w14:paraId="06A850AB" w14:textId="77777777" w:rsidR="0034452A" w:rsidRPr="00B20FBD" w:rsidRDefault="0034452A" w:rsidP="00933F2D">
            <w:pPr>
              <w:spacing w:after="0" w:line="240" w:lineRule="auto"/>
              <w:jc w:val="center"/>
              <w:rPr>
                <w:rFonts w:asciiTheme="majorHAnsi" w:eastAsia="Times New Roman" w:hAnsiTheme="majorHAnsi" w:cstheme="majorHAnsi"/>
                <w:sz w:val="20"/>
                <w:szCs w:val="20"/>
                <w:lang w:val="ro-RO"/>
              </w:rPr>
            </w:pPr>
            <w:r w:rsidRPr="00B20FBD">
              <w:rPr>
                <w:rFonts w:asciiTheme="majorHAnsi" w:eastAsia="Times New Roman" w:hAnsiTheme="majorHAnsi" w:cstheme="majorHAnsi"/>
                <w:sz w:val="20"/>
                <w:szCs w:val="20"/>
                <w:lang w:val="ro-RO"/>
              </w:rPr>
              <w:t>1.519.500</w:t>
            </w:r>
          </w:p>
        </w:tc>
        <w:tc>
          <w:tcPr>
            <w:tcW w:w="1701" w:type="dxa"/>
            <w:tcBorders>
              <w:top w:val="single" w:sz="4" w:space="0" w:color="auto"/>
              <w:left w:val="single" w:sz="4" w:space="0" w:color="auto"/>
              <w:bottom w:val="single" w:sz="4" w:space="0" w:color="auto"/>
              <w:right w:val="single" w:sz="4" w:space="0" w:color="auto"/>
            </w:tcBorders>
            <w:shd w:val="clear" w:color="D9E1F2" w:fill="D9E1F2"/>
            <w:hideMark/>
          </w:tcPr>
          <w:p w14:paraId="022B6207" w14:textId="77777777" w:rsidR="0034452A" w:rsidRPr="00B20FBD" w:rsidRDefault="0034452A" w:rsidP="00933F2D">
            <w:pPr>
              <w:spacing w:after="0" w:line="240" w:lineRule="auto"/>
              <w:jc w:val="center"/>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1.539.139</w:t>
            </w:r>
          </w:p>
        </w:tc>
        <w:tc>
          <w:tcPr>
            <w:tcW w:w="1560" w:type="dxa"/>
            <w:tcBorders>
              <w:top w:val="single" w:sz="4" w:space="0" w:color="auto"/>
              <w:left w:val="single" w:sz="4" w:space="0" w:color="auto"/>
              <w:bottom w:val="single" w:sz="4" w:space="0" w:color="auto"/>
              <w:right w:val="single" w:sz="4" w:space="0" w:color="auto"/>
            </w:tcBorders>
            <w:shd w:val="clear" w:color="D9E1F2" w:fill="D9E1F2"/>
            <w:hideMark/>
          </w:tcPr>
          <w:p w14:paraId="555C58F8" w14:textId="77777777" w:rsidR="0034452A" w:rsidRPr="00B20FBD" w:rsidRDefault="0034452A" w:rsidP="00933F2D">
            <w:pPr>
              <w:spacing w:after="0" w:line="240" w:lineRule="auto"/>
              <w:jc w:val="center"/>
              <w:rPr>
                <w:rFonts w:asciiTheme="majorHAnsi" w:eastAsia="Times New Roman" w:hAnsiTheme="majorHAnsi" w:cstheme="majorHAnsi"/>
                <w:sz w:val="20"/>
                <w:szCs w:val="20"/>
                <w:lang w:val="ro-RO"/>
              </w:rPr>
            </w:pPr>
            <w:r w:rsidRPr="00B20FBD">
              <w:rPr>
                <w:rFonts w:asciiTheme="majorHAnsi" w:eastAsia="Times New Roman" w:hAnsiTheme="majorHAnsi" w:cstheme="majorHAnsi"/>
                <w:sz w:val="20"/>
                <w:szCs w:val="20"/>
                <w:lang w:val="ro-RO"/>
              </w:rPr>
              <w:t>19.639</w:t>
            </w:r>
          </w:p>
        </w:tc>
        <w:tc>
          <w:tcPr>
            <w:tcW w:w="992" w:type="dxa"/>
            <w:tcBorders>
              <w:top w:val="single" w:sz="4" w:space="0" w:color="auto"/>
              <w:left w:val="single" w:sz="4" w:space="0" w:color="auto"/>
              <w:bottom w:val="single" w:sz="4" w:space="0" w:color="auto"/>
              <w:right w:val="single" w:sz="4" w:space="0" w:color="auto"/>
            </w:tcBorders>
            <w:shd w:val="clear" w:color="D9E1F2" w:fill="D9E1F2"/>
            <w:hideMark/>
          </w:tcPr>
          <w:p w14:paraId="52CE054D" w14:textId="77777777" w:rsidR="0034452A" w:rsidRPr="00B20FBD" w:rsidRDefault="0034452A" w:rsidP="00933F2D">
            <w:pPr>
              <w:spacing w:after="0" w:line="240" w:lineRule="auto"/>
              <w:jc w:val="center"/>
              <w:rPr>
                <w:rFonts w:asciiTheme="majorHAnsi" w:eastAsia="Times New Roman" w:hAnsiTheme="majorHAnsi" w:cstheme="majorHAnsi"/>
                <w:sz w:val="20"/>
                <w:szCs w:val="20"/>
                <w:lang w:val="ro-RO"/>
              </w:rPr>
            </w:pPr>
            <w:r w:rsidRPr="00B20FBD">
              <w:rPr>
                <w:rFonts w:asciiTheme="majorHAnsi" w:eastAsia="Times New Roman" w:hAnsiTheme="majorHAnsi" w:cstheme="majorHAnsi"/>
                <w:sz w:val="20"/>
                <w:szCs w:val="20"/>
                <w:lang w:val="ro-RO"/>
              </w:rPr>
              <w:t>101,3</w:t>
            </w:r>
          </w:p>
        </w:tc>
      </w:tr>
      <w:tr w:rsidR="0034452A" w:rsidRPr="00B20FBD" w14:paraId="3E6788DC" w14:textId="77777777" w:rsidTr="00933F2D">
        <w:trPr>
          <w:trHeight w:val="288"/>
          <w:jc w:val="center"/>
        </w:trPr>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6AB3FB27" w14:textId="77777777" w:rsidR="0034452A" w:rsidRPr="00B20FBD" w:rsidRDefault="0034452A" w:rsidP="00933F2D">
            <w:pPr>
              <w:spacing w:after="0" w:line="240" w:lineRule="auto"/>
              <w:jc w:val="center"/>
              <w:rPr>
                <w:rFonts w:asciiTheme="majorHAnsi" w:eastAsia="Times New Roman" w:hAnsiTheme="majorHAnsi" w:cstheme="majorHAnsi"/>
                <w:sz w:val="20"/>
                <w:szCs w:val="20"/>
                <w:lang w:val="ro-RO"/>
              </w:rPr>
            </w:pPr>
            <w:r w:rsidRPr="00B20FBD">
              <w:rPr>
                <w:rFonts w:asciiTheme="majorHAnsi" w:eastAsia="Times New Roman" w:hAnsiTheme="majorHAnsi" w:cstheme="majorHAnsi"/>
                <w:sz w:val="20"/>
                <w:szCs w:val="20"/>
                <w:lang w:val="ro-RO"/>
              </w:rPr>
              <w:t>115610</w:t>
            </w:r>
          </w:p>
        </w:tc>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15B7050D" w14:textId="77777777" w:rsidR="0034452A" w:rsidRPr="00B20FBD" w:rsidRDefault="0034452A" w:rsidP="00933F2D">
            <w:pPr>
              <w:spacing w:after="0" w:line="240" w:lineRule="auto"/>
              <w:rPr>
                <w:rFonts w:asciiTheme="majorHAnsi" w:eastAsia="Times New Roman" w:hAnsiTheme="majorHAnsi" w:cstheme="majorHAnsi"/>
                <w:sz w:val="20"/>
                <w:szCs w:val="20"/>
                <w:lang w:val="ro-RO"/>
              </w:rPr>
            </w:pPr>
            <w:r w:rsidRPr="00B20FBD">
              <w:rPr>
                <w:rFonts w:asciiTheme="majorHAnsi" w:eastAsia="Times New Roman" w:hAnsiTheme="majorHAnsi" w:cstheme="majorHAnsi"/>
                <w:sz w:val="20"/>
                <w:szCs w:val="20"/>
                <w:lang w:val="ro-RO"/>
              </w:rPr>
              <w:t>Taxa pentru efectuarea procedurilor vamale</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29497D32" w14:textId="77777777" w:rsidR="0034452A" w:rsidRPr="00B20FBD" w:rsidRDefault="0034452A" w:rsidP="00933F2D">
            <w:pPr>
              <w:spacing w:after="0" w:line="240" w:lineRule="auto"/>
              <w:jc w:val="center"/>
              <w:rPr>
                <w:rFonts w:asciiTheme="majorHAnsi" w:eastAsia="Times New Roman" w:hAnsiTheme="majorHAnsi" w:cstheme="majorHAnsi"/>
                <w:sz w:val="20"/>
                <w:szCs w:val="20"/>
                <w:lang w:val="ro-RO"/>
              </w:rPr>
            </w:pPr>
            <w:r w:rsidRPr="00B20FBD">
              <w:rPr>
                <w:rFonts w:asciiTheme="majorHAnsi" w:eastAsia="Times New Roman" w:hAnsiTheme="majorHAnsi" w:cstheme="majorHAnsi"/>
                <w:sz w:val="20"/>
                <w:szCs w:val="20"/>
                <w:lang w:val="ro-RO"/>
              </w:rPr>
              <w:t>636.000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354A6DB" w14:textId="77777777" w:rsidR="0034452A" w:rsidRPr="00B20FBD" w:rsidRDefault="0034452A" w:rsidP="00933F2D">
            <w:pPr>
              <w:spacing w:after="0" w:line="240" w:lineRule="auto"/>
              <w:jc w:val="center"/>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635.925</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191E22B" w14:textId="77777777" w:rsidR="0034452A" w:rsidRPr="00B20FBD" w:rsidRDefault="0034452A" w:rsidP="00933F2D">
            <w:pPr>
              <w:spacing w:after="0" w:line="240" w:lineRule="auto"/>
              <w:jc w:val="center"/>
              <w:rPr>
                <w:rFonts w:asciiTheme="majorHAnsi" w:eastAsia="Times New Roman" w:hAnsiTheme="majorHAnsi" w:cstheme="majorHAnsi"/>
                <w:sz w:val="20"/>
                <w:szCs w:val="20"/>
                <w:lang w:val="ro-RO"/>
              </w:rPr>
            </w:pPr>
            <w:r w:rsidRPr="00B20FBD">
              <w:rPr>
                <w:rFonts w:asciiTheme="majorHAnsi" w:eastAsia="Times New Roman" w:hAnsiTheme="majorHAnsi" w:cstheme="majorHAnsi"/>
                <w:sz w:val="20"/>
                <w:szCs w:val="20"/>
                <w:lang w:val="ro-RO"/>
              </w:rPr>
              <w:t>-75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49E77D2" w14:textId="77777777" w:rsidR="0034452A" w:rsidRPr="00B20FBD" w:rsidRDefault="0034452A" w:rsidP="00933F2D">
            <w:pPr>
              <w:spacing w:after="0" w:line="240" w:lineRule="auto"/>
              <w:jc w:val="center"/>
              <w:rPr>
                <w:rFonts w:asciiTheme="majorHAnsi" w:eastAsia="Times New Roman" w:hAnsiTheme="majorHAnsi" w:cstheme="majorHAnsi"/>
                <w:sz w:val="20"/>
                <w:szCs w:val="20"/>
                <w:lang w:val="ro-RO"/>
              </w:rPr>
            </w:pPr>
            <w:r w:rsidRPr="00B20FBD">
              <w:rPr>
                <w:rFonts w:asciiTheme="majorHAnsi" w:eastAsia="Times New Roman" w:hAnsiTheme="majorHAnsi" w:cstheme="majorHAnsi"/>
                <w:sz w:val="20"/>
                <w:szCs w:val="20"/>
                <w:lang w:val="ro-RO"/>
              </w:rPr>
              <w:t>100,0</w:t>
            </w:r>
          </w:p>
        </w:tc>
      </w:tr>
      <w:tr w:rsidR="0034452A" w:rsidRPr="00B20FBD" w14:paraId="0FFE6F80" w14:textId="77777777" w:rsidTr="00933F2D">
        <w:trPr>
          <w:trHeight w:val="288"/>
          <w:jc w:val="center"/>
        </w:trPr>
        <w:tc>
          <w:tcPr>
            <w:tcW w:w="1559" w:type="dxa"/>
            <w:tcBorders>
              <w:top w:val="single" w:sz="4" w:space="0" w:color="auto"/>
              <w:left w:val="single" w:sz="4" w:space="0" w:color="auto"/>
              <w:bottom w:val="single" w:sz="4" w:space="0" w:color="auto"/>
              <w:right w:val="single" w:sz="4" w:space="0" w:color="auto"/>
            </w:tcBorders>
            <w:shd w:val="clear" w:color="D9E1F2" w:fill="D9E1F2"/>
            <w:noWrap/>
            <w:hideMark/>
          </w:tcPr>
          <w:p w14:paraId="24FA2409" w14:textId="77777777" w:rsidR="0034452A" w:rsidRPr="00B20FBD" w:rsidRDefault="0034452A" w:rsidP="00933F2D">
            <w:pPr>
              <w:spacing w:after="0" w:line="240" w:lineRule="auto"/>
              <w:jc w:val="center"/>
              <w:rPr>
                <w:rFonts w:asciiTheme="majorHAnsi" w:eastAsia="Times New Roman" w:hAnsiTheme="majorHAnsi" w:cstheme="majorHAnsi"/>
                <w:sz w:val="20"/>
                <w:szCs w:val="20"/>
                <w:lang w:val="ro-RO"/>
              </w:rPr>
            </w:pPr>
            <w:r w:rsidRPr="00B20FBD">
              <w:rPr>
                <w:rFonts w:asciiTheme="majorHAnsi" w:eastAsia="Times New Roman" w:hAnsiTheme="majorHAnsi" w:cstheme="majorHAnsi"/>
                <w:sz w:val="20"/>
                <w:szCs w:val="20"/>
                <w:lang w:val="ro-RO"/>
              </w:rPr>
              <w:t>143340</w:t>
            </w:r>
          </w:p>
        </w:tc>
        <w:tc>
          <w:tcPr>
            <w:tcW w:w="2547" w:type="dxa"/>
            <w:tcBorders>
              <w:top w:val="single" w:sz="4" w:space="0" w:color="auto"/>
              <w:left w:val="single" w:sz="4" w:space="0" w:color="auto"/>
              <w:bottom w:val="single" w:sz="4" w:space="0" w:color="auto"/>
              <w:right w:val="single" w:sz="4" w:space="0" w:color="auto"/>
            </w:tcBorders>
            <w:shd w:val="clear" w:color="D9E1F2" w:fill="D9E1F2"/>
            <w:hideMark/>
          </w:tcPr>
          <w:p w14:paraId="2B452505" w14:textId="77777777" w:rsidR="0034452A" w:rsidRPr="00B20FBD" w:rsidRDefault="0034452A" w:rsidP="00933F2D">
            <w:pPr>
              <w:spacing w:after="0" w:line="240" w:lineRule="auto"/>
              <w:rPr>
                <w:rFonts w:asciiTheme="majorHAnsi" w:eastAsia="Times New Roman" w:hAnsiTheme="majorHAnsi" w:cstheme="majorHAnsi"/>
                <w:sz w:val="20"/>
                <w:szCs w:val="20"/>
                <w:lang w:val="ro-RO"/>
              </w:rPr>
            </w:pPr>
            <w:r w:rsidRPr="00B20FBD">
              <w:rPr>
                <w:rFonts w:asciiTheme="majorHAnsi" w:eastAsia="Times New Roman" w:hAnsiTheme="majorHAnsi" w:cstheme="majorHAnsi"/>
                <w:sz w:val="20"/>
                <w:szCs w:val="20"/>
                <w:lang w:val="ro-RO"/>
              </w:rPr>
              <w:t>Amenzi aplicate de organele Serviciului Vamal</w:t>
            </w:r>
          </w:p>
        </w:tc>
        <w:tc>
          <w:tcPr>
            <w:tcW w:w="1559" w:type="dxa"/>
            <w:tcBorders>
              <w:top w:val="single" w:sz="4" w:space="0" w:color="auto"/>
              <w:left w:val="single" w:sz="4" w:space="0" w:color="auto"/>
              <w:bottom w:val="single" w:sz="4" w:space="0" w:color="auto"/>
              <w:right w:val="single" w:sz="4" w:space="0" w:color="auto"/>
            </w:tcBorders>
            <w:shd w:val="clear" w:color="D9E1F2" w:fill="D9E1F2"/>
            <w:noWrap/>
            <w:hideMark/>
          </w:tcPr>
          <w:p w14:paraId="16A9E9B1" w14:textId="77777777" w:rsidR="0034452A" w:rsidRPr="00B20FBD" w:rsidRDefault="0034452A" w:rsidP="00933F2D">
            <w:pPr>
              <w:spacing w:after="0" w:line="240" w:lineRule="auto"/>
              <w:jc w:val="center"/>
              <w:rPr>
                <w:rFonts w:asciiTheme="majorHAnsi" w:eastAsia="Times New Roman" w:hAnsiTheme="majorHAnsi" w:cstheme="majorHAnsi"/>
                <w:sz w:val="20"/>
                <w:szCs w:val="20"/>
                <w:lang w:val="ro-RO"/>
              </w:rPr>
            </w:pPr>
            <w:r w:rsidRPr="00B20FBD">
              <w:rPr>
                <w:rFonts w:asciiTheme="majorHAnsi" w:eastAsia="Times New Roman" w:hAnsiTheme="majorHAnsi" w:cstheme="majorHAnsi"/>
                <w:sz w:val="20"/>
                <w:szCs w:val="20"/>
                <w:lang w:val="ro-RO"/>
              </w:rPr>
              <w:t>16.000</w:t>
            </w:r>
          </w:p>
        </w:tc>
        <w:tc>
          <w:tcPr>
            <w:tcW w:w="1701" w:type="dxa"/>
            <w:tcBorders>
              <w:top w:val="single" w:sz="4" w:space="0" w:color="auto"/>
              <w:left w:val="single" w:sz="4" w:space="0" w:color="auto"/>
              <w:bottom w:val="single" w:sz="4" w:space="0" w:color="auto"/>
              <w:right w:val="single" w:sz="4" w:space="0" w:color="auto"/>
            </w:tcBorders>
            <w:shd w:val="clear" w:color="D9E1F2" w:fill="D9E1F2"/>
            <w:hideMark/>
          </w:tcPr>
          <w:p w14:paraId="0F76D99C" w14:textId="77777777" w:rsidR="0034452A" w:rsidRPr="00B20FBD" w:rsidRDefault="0034452A" w:rsidP="00933F2D">
            <w:pPr>
              <w:spacing w:after="0" w:line="240" w:lineRule="auto"/>
              <w:jc w:val="center"/>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23.882</w:t>
            </w:r>
          </w:p>
        </w:tc>
        <w:tc>
          <w:tcPr>
            <w:tcW w:w="1560" w:type="dxa"/>
            <w:tcBorders>
              <w:top w:val="single" w:sz="4" w:space="0" w:color="auto"/>
              <w:left w:val="single" w:sz="4" w:space="0" w:color="auto"/>
              <w:bottom w:val="single" w:sz="4" w:space="0" w:color="auto"/>
              <w:right w:val="single" w:sz="4" w:space="0" w:color="auto"/>
            </w:tcBorders>
            <w:shd w:val="clear" w:color="D9E1F2" w:fill="D9E1F2"/>
            <w:hideMark/>
          </w:tcPr>
          <w:p w14:paraId="5D86F2E3" w14:textId="77777777" w:rsidR="0034452A" w:rsidRPr="00B20FBD" w:rsidRDefault="0034452A" w:rsidP="00933F2D">
            <w:pPr>
              <w:spacing w:after="0" w:line="240" w:lineRule="auto"/>
              <w:jc w:val="center"/>
              <w:rPr>
                <w:rFonts w:asciiTheme="majorHAnsi" w:eastAsia="Times New Roman" w:hAnsiTheme="majorHAnsi" w:cstheme="majorHAnsi"/>
                <w:sz w:val="20"/>
                <w:szCs w:val="20"/>
                <w:lang w:val="ro-RO"/>
              </w:rPr>
            </w:pPr>
            <w:r w:rsidRPr="00B20FBD">
              <w:rPr>
                <w:rFonts w:asciiTheme="majorHAnsi" w:eastAsia="Times New Roman" w:hAnsiTheme="majorHAnsi" w:cstheme="majorHAnsi"/>
                <w:sz w:val="20"/>
                <w:szCs w:val="20"/>
                <w:lang w:val="ro-RO"/>
              </w:rPr>
              <w:t>7.882</w:t>
            </w:r>
          </w:p>
        </w:tc>
        <w:tc>
          <w:tcPr>
            <w:tcW w:w="992" w:type="dxa"/>
            <w:tcBorders>
              <w:top w:val="single" w:sz="4" w:space="0" w:color="auto"/>
              <w:left w:val="single" w:sz="4" w:space="0" w:color="auto"/>
              <w:bottom w:val="single" w:sz="4" w:space="0" w:color="auto"/>
              <w:right w:val="single" w:sz="4" w:space="0" w:color="auto"/>
            </w:tcBorders>
            <w:shd w:val="clear" w:color="D9E1F2" w:fill="D9E1F2"/>
            <w:hideMark/>
          </w:tcPr>
          <w:p w14:paraId="1D20D7AB" w14:textId="77777777" w:rsidR="0034452A" w:rsidRPr="00B20FBD" w:rsidRDefault="0034452A" w:rsidP="00933F2D">
            <w:pPr>
              <w:spacing w:after="0" w:line="240" w:lineRule="auto"/>
              <w:jc w:val="center"/>
              <w:rPr>
                <w:rFonts w:asciiTheme="majorHAnsi" w:eastAsia="Times New Roman" w:hAnsiTheme="majorHAnsi" w:cstheme="majorHAnsi"/>
                <w:sz w:val="20"/>
                <w:szCs w:val="20"/>
                <w:lang w:val="ro-RO"/>
              </w:rPr>
            </w:pPr>
            <w:r w:rsidRPr="00B20FBD">
              <w:rPr>
                <w:rFonts w:asciiTheme="majorHAnsi" w:eastAsia="Times New Roman" w:hAnsiTheme="majorHAnsi" w:cstheme="majorHAnsi"/>
                <w:sz w:val="20"/>
                <w:szCs w:val="20"/>
                <w:lang w:val="ro-RO"/>
              </w:rPr>
              <w:t>149,3</w:t>
            </w:r>
          </w:p>
        </w:tc>
      </w:tr>
      <w:tr w:rsidR="0034452A" w:rsidRPr="00B20FBD" w14:paraId="002C921D" w14:textId="77777777" w:rsidTr="00933F2D">
        <w:trPr>
          <w:trHeight w:val="974"/>
          <w:jc w:val="center"/>
        </w:trPr>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2F0833B4" w14:textId="77777777" w:rsidR="0034452A" w:rsidRPr="00B20FBD" w:rsidRDefault="0034452A" w:rsidP="00933F2D">
            <w:pPr>
              <w:spacing w:after="0" w:line="240" w:lineRule="auto"/>
              <w:jc w:val="center"/>
              <w:rPr>
                <w:rFonts w:asciiTheme="majorHAnsi" w:eastAsia="Times New Roman" w:hAnsiTheme="majorHAnsi" w:cstheme="majorHAnsi"/>
                <w:sz w:val="20"/>
                <w:szCs w:val="20"/>
                <w:lang w:val="ro-RO"/>
              </w:rPr>
            </w:pPr>
            <w:r w:rsidRPr="00B20FBD">
              <w:rPr>
                <w:rFonts w:asciiTheme="majorHAnsi" w:eastAsia="Times New Roman" w:hAnsiTheme="majorHAnsi" w:cstheme="majorHAnsi"/>
                <w:sz w:val="20"/>
                <w:szCs w:val="20"/>
                <w:lang w:val="ro-RO"/>
              </w:rPr>
              <w:t>142236</w:t>
            </w:r>
          </w:p>
        </w:tc>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68B44EB0" w14:textId="16699557" w:rsidR="0034452A" w:rsidRPr="00B20FBD" w:rsidRDefault="0034452A" w:rsidP="005906F9">
            <w:pPr>
              <w:spacing w:after="0" w:line="240" w:lineRule="auto"/>
              <w:rPr>
                <w:rFonts w:asciiTheme="majorHAnsi" w:eastAsia="Times New Roman" w:hAnsiTheme="majorHAnsi" w:cstheme="majorHAnsi"/>
                <w:sz w:val="20"/>
                <w:szCs w:val="20"/>
                <w:lang w:val="ro-RO"/>
              </w:rPr>
            </w:pPr>
            <w:r w:rsidRPr="00B20FBD">
              <w:rPr>
                <w:rFonts w:asciiTheme="majorHAnsi" w:eastAsia="Times New Roman" w:hAnsiTheme="majorHAnsi" w:cstheme="majorHAnsi"/>
                <w:sz w:val="20"/>
                <w:szCs w:val="20"/>
                <w:lang w:val="ro-RO"/>
              </w:rPr>
              <w:t>Mijloace încasate la bugetul de stat de la confiscarea definitivă a mărfurilor sau încasarea contravalorii acestora, administrate de organele vamale</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683BAF05" w14:textId="77777777" w:rsidR="0034452A" w:rsidRPr="00B20FBD" w:rsidRDefault="0034452A" w:rsidP="00933F2D">
            <w:pPr>
              <w:spacing w:after="0" w:line="240" w:lineRule="auto"/>
              <w:jc w:val="center"/>
              <w:rPr>
                <w:rFonts w:asciiTheme="majorHAnsi" w:eastAsia="Times New Roman" w:hAnsiTheme="majorHAnsi" w:cstheme="majorHAnsi"/>
                <w:sz w:val="20"/>
                <w:szCs w:val="20"/>
                <w:lang w:val="ro-RO"/>
              </w:rPr>
            </w:pPr>
            <w:r w:rsidRPr="00B20FBD">
              <w:rPr>
                <w:rFonts w:asciiTheme="majorHAnsi" w:eastAsia="Times New Roman" w:hAnsiTheme="majorHAnsi" w:cstheme="majorHAnsi"/>
                <w:sz w:val="20"/>
                <w:szCs w:val="20"/>
                <w:lang w:val="ro-RO"/>
              </w:rPr>
              <w:t>7.500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4B64109" w14:textId="77777777" w:rsidR="0034452A" w:rsidRPr="00B20FBD" w:rsidRDefault="0034452A" w:rsidP="00933F2D">
            <w:pPr>
              <w:spacing w:after="0" w:line="240" w:lineRule="auto"/>
              <w:jc w:val="center"/>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7.271</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EE9D786" w14:textId="77777777" w:rsidR="0034452A" w:rsidRPr="00B20FBD" w:rsidRDefault="0034452A" w:rsidP="00933F2D">
            <w:pPr>
              <w:spacing w:after="0" w:line="240" w:lineRule="auto"/>
              <w:jc w:val="center"/>
              <w:rPr>
                <w:rFonts w:asciiTheme="majorHAnsi" w:eastAsia="Times New Roman" w:hAnsiTheme="majorHAnsi" w:cstheme="majorHAnsi"/>
                <w:sz w:val="20"/>
                <w:szCs w:val="20"/>
                <w:lang w:val="ro-RO"/>
              </w:rPr>
            </w:pPr>
            <w:r w:rsidRPr="00B20FBD">
              <w:rPr>
                <w:rFonts w:asciiTheme="majorHAnsi" w:eastAsia="Times New Roman" w:hAnsiTheme="majorHAnsi" w:cstheme="majorHAnsi"/>
                <w:sz w:val="20"/>
                <w:szCs w:val="20"/>
                <w:lang w:val="ro-RO"/>
              </w:rPr>
              <w:t>-229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BFE270B" w14:textId="77777777" w:rsidR="0034452A" w:rsidRPr="00B20FBD" w:rsidRDefault="0034452A" w:rsidP="00933F2D">
            <w:pPr>
              <w:spacing w:after="0" w:line="240" w:lineRule="auto"/>
              <w:jc w:val="center"/>
              <w:rPr>
                <w:rFonts w:asciiTheme="majorHAnsi" w:eastAsia="Times New Roman" w:hAnsiTheme="majorHAnsi" w:cstheme="majorHAnsi"/>
                <w:sz w:val="20"/>
                <w:szCs w:val="20"/>
                <w:lang w:val="ro-RO"/>
              </w:rPr>
            </w:pPr>
            <w:r w:rsidRPr="00B20FBD">
              <w:rPr>
                <w:rFonts w:asciiTheme="majorHAnsi" w:eastAsia="Times New Roman" w:hAnsiTheme="majorHAnsi" w:cstheme="majorHAnsi"/>
                <w:sz w:val="20"/>
                <w:szCs w:val="20"/>
                <w:lang w:val="ro-RO"/>
              </w:rPr>
              <w:t>96,9</w:t>
            </w:r>
          </w:p>
        </w:tc>
      </w:tr>
      <w:tr w:rsidR="0034452A" w:rsidRPr="00B20FBD" w14:paraId="7134DEE2" w14:textId="77777777" w:rsidTr="00933F2D">
        <w:trPr>
          <w:trHeight w:val="288"/>
          <w:jc w:val="center"/>
        </w:trPr>
        <w:tc>
          <w:tcPr>
            <w:tcW w:w="4106" w:type="dxa"/>
            <w:gridSpan w:val="2"/>
            <w:tcBorders>
              <w:top w:val="single" w:sz="4" w:space="0" w:color="auto"/>
              <w:left w:val="single" w:sz="4" w:space="0" w:color="auto"/>
              <w:bottom w:val="single" w:sz="4" w:space="0" w:color="auto"/>
              <w:right w:val="single" w:sz="4" w:space="0" w:color="auto"/>
            </w:tcBorders>
            <w:shd w:val="clear" w:color="D9E1F2" w:fill="D9E1F2"/>
            <w:noWrap/>
            <w:hideMark/>
          </w:tcPr>
          <w:p w14:paraId="48EE1017" w14:textId="77777777" w:rsidR="0034452A" w:rsidRPr="00B20FBD" w:rsidRDefault="0034452A" w:rsidP="00933F2D">
            <w:pPr>
              <w:spacing w:after="0" w:line="240" w:lineRule="auto"/>
              <w:rPr>
                <w:rFonts w:asciiTheme="majorHAnsi" w:eastAsia="Times New Roman" w:hAnsiTheme="majorHAnsi" w:cstheme="majorHAnsi"/>
                <w:b/>
                <w:bCs/>
                <w:i/>
                <w:iCs/>
                <w:sz w:val="20"/>
                <w:szCs w:val="20"/>
                <w:lang w:val="ro-RO"/>
              </w:rPr>
            </w:pPr>
            <w:r w:rsidRPr="00B20FBD">
              <w:rPr>
                <w:rFonts w:asciiTheme="majorHAnsi" w:eastAsia="Times New Roman" w:hAnsiTheme="majorHAnsi" w:cstheme="majorHAnsi"/>
                <w:b/>
                <w:bCs/>
                <w:i/>
                <w:iCs/>
                <w:sz w:val="20"/>
                <w:szCs w:val="20"/>
                <w:lang w:val="ro-RO"/>
              </w:rPr>
              <w:t>Total drepturi de import-export </w:t>
            </w:r>
          </w:p>
        </w:tc>
        <w:tc>
          <w:tcPr>
            <w:tcW w:w="1559" w:type="dxa"/>
            <w:tcBorders>
              <w:top w:val="single" w:sz="4" w:space="0" w:color="auto"/>
              <w:left w:val="single" w:sz="4" w:space="0" w:color="auto"/>
              <w:bottom w:val="single" w:sz="4" w:space="0" w:color="auto"/>
              <w:right w:val="single" w:sz="4" w:space="0" w:color="auto"/>
            </w:tcBorders>
            <w:shd w:val="clear" w:color="D9E1F2" w:fill="D9E1F2"/>
            <w:noWrap/>
            <w:hideMark/>
          </w:tcPr>
          <w:p w14:paraId="6FEC2CFA" w14:textId="77777777" w:rsidR="0034452A" w:rsidRPr="00B20FBD" w:rsidRDefault="0034452A" w:rsidP="00933F2D">
            <w:pPr>
              <w:spacing w:after="0" w:line="240" w:lineRule="auto"/>
              <w:jc w:val="center"/>
              <w:rPr>
                <w:rFonts w:asciiTheme="majorHAnsi" w:eastAsia="Times New Roman" w:hAnsiTheme="majorHAnsi" w:cstheme="majorHAnsi"/>
                <w:b/>
                <w:bCs/>
                <w:i/>
                <w:iCs/>
                <w:color w:val="000000"/>
                <w:sz w:val="20"/>
                <w:szCs w:val="20"/>
                <w:lang w:val="ro-RO"/>
              </w:rPr>
            </w:pPr>
            <w:r w:rsidRPr="00B20FBD">
              <w:rPr>
                <w:rFonts w:asciiTheme="majorHAnsi" w:eastAsia="Times New Roman" w:hAnsiTheme="majorHAnsi" w:cstheme="majorHAnsi"/>
                <w:b/>
                <w:bCs/>
                <w:i/>
                <w:iCs/>
                <w:color w:val="000000"/>
                <w:sz w:val="20"/>
                <w:szCs w:val="20"/>
                <w:lang w:val="ro-RO"/>
              </w:rPr>
              <w:t>27.085.531</w:t>
            </w:r>
          </w:p>
        </w:tc>
        <w:tc>
          <w:tcPr>
            <w:tcW w:w="1701" w:type="dxa"/>
            <w:tcBorders>
              <w:top w:val="single" w:sz="4" w:space="0" w:color="auto"/>
              <w:left w:val="single" w:sz="4" w:space="0" w:color="auto"/>
              <w:bottom w:val="single" w:sz="4" w:space="0" w:color="auto"/>
              <w:right w:val="single" w:sz="4" w:space="0" w:color="auto"/>
            </w:tcBorders>
            <w:shd w:val="clear" w:color="D9E1F2" w:fill="D9E1F2"/>
            <w:noWrap/>
            <w:hideMark/>
          </w:tcPr>
          <w:p w14:paraId="52866D41" w14:textId="77777777" w:rsidR="0034452A" w:rsidRPr="00B20FBD" w:rsidRDefault="0034452A" w:rsidP="00933F2D">
            <w:pPr>
              <w:spacing w:after="0" w:line="240" w:lineRule="auto"/>
              <w:jc w:val="center"/>
              <w:rPr>
                <w:rFonts w:asciiTheme="majorHAnsi" w:eastAsia="Times New Roman" w:hAnsiTheme="majorHAnsi" w:cstheme="majorHAnsi"/>
                <w:b/>
                <w:bCs/>
                <w:i/>
                <w:iCs/>
                <w:sz w:val="20"/>
                <w:szCs w:val="20"/>
                <w:lang w:val="ro-RO"/>
              </w:rPr>
            </w:pPr>
            <w:r w:rsidRPr="00B20FBD">
              <w:rPr>
                <w:rFonts w:asciiTheme="majorHAnsi" w:eastAsia="Times New Roman" w:hAnsiTheme="majorHAnsi" w:cstheme="majorHAnsi"/>
                <w:b/>
                <w:bCs/>
                <w:i/>
                <w:iCs/>
                <w:sz w:val="20"/>
                <w:szCs w:val="20"/>
                <w:lang w:val="ro-RO"/>
              </w:rPr>
              <w:t>28.552.245</w:t>
            </w:r>
          </w:p>
        </w:tc>
        <w:tc>
          <w:tcPr>
            <w:tcW w:w="1560" w:type="dxa"/>
            <w:tcBorders>
              <w:top w:val="single" w:sz="4" w:space="0" w:color="auto"/>
              <w:left w:val="single" w:sz="4" w:space="0" w:color="auto"/>
              <w:bottom w:val="single" w:sz="4" w:space="0" w:color="auto"/>
              <w:right w:val="single" w:sz="4" w:space="0" w:color="auto"/>
            </w:tcBorders>
            <w:shd w:val="clear" w:color="D9E1F2" w:fill="D9E1F2"/>
            <w:noWrap/>
            <w:hideMark/>
          </w:tcPr>
          <w:p w14:paraId="0A1A28F7" w14:textId="77777777" w:rsidR="0034452A" w:rsidRPr="00B20FBD" w:rsidRDefault="0034452A" w:rsidP="00933F2D">
            <w:pPr>
              <w:spacing w:after="0" w:line="240" w:lineRule="auto"/>
              <w:jc w:val="center"/>
              <w:rPr>
                <w:rFonts w:asciiTheme="majorHAnsi" w:eastAsia="Times New Roman" w:hAnsiTheme="majorHAnsi" w:cstheme="majorHAnsi"/>
                <w:b/>
                <w:bCs/>
                <w:i/>
                <w:iCs/>
                <w:sz w:val="20"/>
                <w:szCs w:val="20"/>
                <w:lang w:val="ro-RO"/>
              </w:rPr>
            </w:pPr>
            <w:r w:rsidRPr="00B20FBD">
              <w:rPr>
                <w:rFonts w:asciiTheme="majorHAnsi" w:eastAsia="Times New Roman" w:hAnsiTheme="majorHAnsi" w:cstheme="majorHAnsi"/>
                <w:b/>
                <w:bCs/>
                <w:i/>
                <w:iCs/>
                <w:sz w:val="20"/>
                <w:szCs w:val="20"/>
                <w:lang w:val="ro-RO"/>
              </w:rPr>
              <w:t>1.466.714</w:t>
            </w:r>
          </w:p>
        </w:tc>
        <w:tc>
          <w:tcPr>
            <w:tcW w:w="992" w:type="dxa"/>
            <w:tcBorders>
              <w:top w:val="single" w:sz="4" w:space="0" w:color="auto"/>
              <w:left w:val="single" w:sz="4" w:space="0" w:color="auto"/>
              <w:bottom w:val="single" w:sz="4" w:space="0" w:color="auto"/>
              <w:right w:val="single" w:sz="4" w:space="0" w:color="auto"/>
            </w:tcBorders>
            <w:shd w:val="clear" w:color="D9E1F2" w:fill="D9E1F2"/>
            <w:noWrap/>
            <w:hideMark/>
          </w:tcPr>
          <w:p w14:paraId="28A230BF" w14:textId="77777777" w:rsidR="0034452A" w:rsidRPr="00B20FBD" w:rsidRDefault="0034452A" w:rsidP="00933F2D">
            <w:pPr>
              <w:spacing w:after="0" w:line="240" w:lineRule="auto"/>
              <w:jc w:val="center"/>
              <w:rPr>
                <w:rFonts w:asciiTheme="majorHAnsi" w:eastAsia="Times New Roman" w:hAnsiTheme="majorHAnsi" w:cstheme="majorHAnsi"/>
                <w:b/>
                <w:bCs/>
                <w:i/>
                <w:iCs/>
                <w:sz w:val="20"/>
                <w:szCs w:val="20"/>
                <w:lang w:val="ro-RO"/>
              </w:rPr>
            </w:pPr>
            <w:r w:rsidRPr="00B20FBD">
              <w:rPr>
                <w:rFonts w:asciiTheme="majorHAnsi" w:eastAsia="Times New Roman" w:hAnsiTheme="majorHAnsi" w:cstheme="majorHAnsi"/>
                <w:b/>
                <w:bCs/>
                <w:i/>
                <w:iCs/>
                <w:sz w:val="20"/>
                <w:szCs w:val="20"/>
                <w:lang w:val="ro-RO"/>
              </w:rPr>
              <w:t>105,4</w:t>
            </w:r>
          </w:p>
        </w:tc>
      </w:tr>
      <w:tr w:rsidR="0034452A" w:rsidRPr="00B20FBD" w14:paraId="6E6B5DEB" w14:textId="77777777" w:rsidTr="00933F2D">
        <w:trPr>
          <w:trHeight w:val="552"/>
          <w:jc w:val="center"/>
        </w:trPr>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14577998" w14:textId="77777777" w:rsidR="0034452A" w:rsidRPr="00B20FBD" w:rsidRDefault="0034452A" w:rsidP="00933F2D">
            <w:pPr>
              <w:spacing w:after="0" w:line="240" w:lineRule="auto"/>
              <w:jc w:val="center"/>
              <w:rPr>
                <w:rFonts w:asciiTheme="majorHAnsi" w:eastAsia="Times New Roman" w:hAnsiTheme="majorHAnsi" w:cstheme="majorHAnsi"/>
                <w:sz w:val="20"/>
                <w:szCs w:val="20"/>
                <w:lang w:val="ro-RO"/>
              </w:rPr>
            </w:pPr>
            <w:r w:rsidRPr="00B20FBD">
              <w:rPr>
                <w:rFonts w:asciiTheme="majorHAnsi" w:eastAsia="Times New Roman" w:hAnsiTheme="majorHAnsi" w:cstheme="majorHAnsi"/>
                <w:sz w:val="20"/>
                <w:szCs w:val="20"/>
                <w:lang w:val="ro-RO"/>
              </w:rPr>
              <w:t>145112</w:t>
            </w:r>
          </w:p>
        </w:tc>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7AE06880" w14:textId="7FB17704" w:rsidR="0034452A" w:rsidRPr="00B20FBD" w:rsidRDefault="0034452A" w:rsidP="005906F9">
            <w:pPr>
              <w:spacing w:after="0" w:line="240" w:lineRule="auto"/>
              <w:rPr>
                <w:rFonts w:asciiTheme="majorHAnsi" w:eastAsia="Times New Roman" w:hAnsiTheme="majorHAnsi" w:cstheme="majorHAnsi"/>
                <w:sz w:val="20"/>
                <w:szCs w:val="20"/>
                <w:lang w:val="ro-RO"/>
              </w:rPr>
            </w:pPr>
            <w:r w:rsidRPr="00B20FBD">
              <w:rPr>
                <w:rFonts w:asciiTheme="majorHAnsi" w:eastAsia="Times New Roman" w:hAnsiTheme="majorHAnsi" w:cstheme="majorHAnsi"/>
                <w:sz w:val="20"/>
                <w:szCs w:val="20"/>
                <w:lang w:val="ro-RO"/>
              </w:rPr>
              <w:t xml:space="preserve">Alte venituri încasate în bugetul de stat, administrate de </w:t>
            </w:r>
            <w:r w:rsidR="005906F9">
              <w:rPr>
                <w:rFonts w:asciiTheme="majorHAnsi" w:eastAsia="Times New Roman" w:hAnsiTheme="majorHAnsi" w:cstheme="majorHAnsi"/>
                <w:sz w:val="20"/>
                <w:szCs w:val="20"/>
                <w:lang w:val="ro-RO"/>
              </w:rPr>
              <w:t>o</w:t>
            </w:r>
            <w:r w:rsidRPr="00B20FBD">
              <w:rPr>
                <w:rFonts w:asciiTheme="majorHAnsi" w:eastAsia="Times New Roman" w:hAnsiTheme="majorHAnsi" w:cstheme="majorHAnsi"/>
                <w:sz w:val="20"/>
                <w:szCs w:val="20"/>
                <w:lang w:val="ro-RO"/>
              </w:rPr>
              <w:t xml:space="preserve">rganele </w:t>
            </w:r>
            <w:r w:rsidR="005906F9">
              <w:rPr>
                <w:rFonts w:asciiTheme="majorHAnsi" w:eastAsia="Times New Roman" w:hAnsiTheme="majorHAnsi" w:cstheme="majorHAnsi"/>
                <w:sz w:val="20"/>
                <w:szCs w:val="20"/>
                <w:lang w:val="ro-RO"/>
              </w:rPr>
              <w:t>v</w:t>
            </w:r>
            <w:r w:rsidRPr="00B20FBD">
              <w:rPr>
                <w:rFonts w:asciiTheme="majorHAnsi" w:eastAsia="Times New Roman" w:hAnsiTheme="majorHAnsi" w:cstheme="majorHAnsi"/>
                <w:sz w:val="20"/>
                <w:szCs w:val="20"/>
                <w:lang w:val="ro-RO"/>
              </w:rPr>
              <w:t>amale</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0E15DDC1" w14:textId="77777777" w:rsidR="0034452A" w:rsidRPr="00B20FBD" w:rsidRDefault="0034452A" w:rsidP="00933F2D">
            <w:pPr>
              <w:spacing w:after="0" w:line="240" w:lineRule="auto"/>
              <w:jc w:val="center"/>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1.700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7E8F446" w14:textId="77777777" w:rsidR="0034452A" w:rsidRPr="00B20FBD" w:rsidRDefault="0034452A" w:rsidP="00933F2D">
            <w:pPr>
              <w:spacing w:after="0" w:line="240" w:lineRule="auto"/>
              <w:jc w:val="center"/>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1.498</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3EF0265A" w14:textId="77777777" w:rsidR="0034452A" w:rsidRPr="00B20FBD" w:rsidRDefault="0034452A" w:rsidP="00933F2D">
            <w:pPr>
              <w:spacing w:after="0" w:line="240" w:lineRule="auto"/>
              <w:jc w:val="center"/>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-202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DFC2D87" w14:textId="77777777" w:rsidR="0034452A" w:rsidRPr="00B20FBD" w:rsidRDefault="0034452A" w:rsidP="00933F2D">
            <w:pPr>
              <w:spacing w:after="0" w:line="240" w:lineRule="auto"/>
              <w:jc w:val="center"/>
              <w:rPr>
                <w:rFonts w:asciiTheme="majorHAnsi" w:eastAsia="Times New Roman" w:hAnsiTheme="majorHAnsi" w:cstheme="majorHAnsi"/>
                <w:color w:val="000000"/>
                <w:sz w:val="20"/>
                <w:szCs w:val="20"/>
                <w:lang w:val="ro-RO"/>
              </w:rPr>
            </w:pPr>
            <w:r w:rsidRPr="00B20FBD">
              <w:rPr>
                <w:rFonts w:asciiTheme="majorHAnsi" w:eastAsia="Times New Roman" w:hAnsiTheme="majorHAnsi" w:cstheme="majorHAnsi"/>
                <w:color w:val="000000"/>
                <w:sz w:val="20"/>
                <w:szCs w:val="20"/>
                <w:lang w:val="ro-RO"/>
              </w:rPr>
              <w:t>88,1</w:t>
            </w:r>
          </w:p>
        </w:tc>
      </w:tr>
      <w:tr w:rsidR="0034452A" w:rsidRPr="00B20FBD" w14:paraId="0A5F59CA" w14:textId="77777777" w:rsidTr="00933F2D">
        <w:trPr>
          <w:trHeight w:val="285"/>
          <w:jc w:val="center"/>
        </w:trPr>
        <w:tc>
          <w:tcPr>
            <w:tcW w:w="4106" w:type="dxa"/>
            <w:gridSpan w:val="2"/>
            <w:tcBorders>
              <w:top w:val="single" w:sz="4" w:space="0" w:color="auto"/>
              <w:left w:val="single" w:sz="4" w:space="0" w:color="auto"/>
              <w:bottom w:val="single" w:sz="4" w:space="0" w:color="auto"/>
              <w:right w:val="single" w:sz="4" w:space="0" w:color="auto"/>
            </w:tcBorders>
            <w:shd w:val="clear" w:color="auto" w:fill="auto"/>
            <w:noWrap/>
          </w:tcPr>
          <w:p w14:paraId="27FF0452" w14:textId="77777777" w:rsidR="0034452A" w:rsidRPr="00B20FBD" w:rsidRDefault="0034452A" w:rsidP="00933F2D">
            <w:pPr>
              <w:spacing w:after="0" w:line="240" w:lineRule="auto"/>
              <w:rPr>
                <w:rFonts w:asciiTheme="majorHAnsi" w:eastAsia="Times New Roman" w:hAnsiTheme="majorHAnsi" w:cstheme="majorHAnsi"/>
                <w:b/>
                <w:sz w:val="20"/>
                <w:szCs w:val="20"/>
                <w:lang w:val="ro-RO"/>
              </w:rPr>
            </w:pPr>
            <w:r w:rsidRPr="00B20FBD">
              <w:rPr>
                <w:rFonts w:asciiTheme="majorHAnsi" w:eastAsia="Times New Roman" w:hAnsiTheme="majorHAnsi" w:cstheme="majorHAnsi"/>
                <w:b/>
                <w:sz w:val="20"/>
                <w:szCs w:val="20"/>
                <w:lang w:val="ro-RO"/>
              </w:rPr>
              <w:t>Total plăți administrate de organele vamale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D5592AE" w14:textId="77777777" w:rsidR="0034452A" w:rsidRPr="00B20FBD" w:rsidRDefault="0034452A" w:rsidP="00933F2D">
            <w:pPr>
              <w:spacing w:after="0" w:line="240" w:lineRule="auto"/>
              <w:jc w:val="center"/>
              <w:rPr>
                <w:rFonts w:asciiTheme="majorHAnsi" w:eastAsia="Times New Roman" w:hAnsiTheme="majorHAnsi" w:cstheme="majorHAnsi"/>
                <w:b/>
                <w:color w:val="000000"/>
                <w:sz w:val="20"/>
                <w:szCs w:val="20"/>
                <w:lang w:val="ro-RO"/>
              </w:rPr>
            </w:pPr>
            <w:r w:rsidRPr="00B20FBD">
              <w:rPr>
                <w:rFonts w:asciiTheme="majorHAnsi" w:eastAsia="Times New Roman" w:hAnsiTheme="majorHAnsi" w:cstheme="majorHAnsi"/>
                <w:b/>
                <w:color w:val="000000"/>
                <w:sz w:val="20"/>
                <w:szCs w:val="20"/>
                <w:lang w:val="ro-RO"/>
              </w:rPr>
              <w:t>27.087.231,0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E915B2" w14:textId="77777777" w:rsidR="0034452A" w:rsidRPr="00B20FBD" w:rsidRDefault="0034452A" w:rsidP="00933F2D">
            <w:pPr>
              <w:spacing w:after="0" w:line="240" w:lineRule="auto"/>
              <w:jc w:val="center"/>
              <w:rPr>
                <w:rFonts w:asciiTheme="majorHAnsi" w:eastAsia="Times New Roman" w:hAnsiTheme="majorHAnsi" w:cstheme="majorHAnsi"/>
                <w:b/>
                <w:color w:val="000000"/>
                <w:sz w:val="20"/>
                <w:szCs w:val="20"/>
                <w:lang w:val="ro-RO"/>
              </w:rPr>
            </w:pPr>
            <w:r w:rsidRPr="00B20FBD">
              <w:rPr>
                <w:rFonts w:asciiTheme="majorHAnsi" w:eastAsia="Times New Roman" w:hAnsiTheme="majorHAnsi" w:cstheme="majorHAnsi"/>
                <w:b/>
                <w:color w:val="000000"/>
                <w:sz w:val="20"/>
                <w:szCs w:val="20"/>
                <w:lang w:val="ro-RO"/>
              </w:rPr>
              <w:t>28.553.743,1</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6F22A80" w14:textId="77777777" w:rsidR="0034452A" w:rsidRPr="00B20FBD" w:rsidRDefault="0034452A" w:rsidP="00933F2D">
            <w:pPr>
              <w:spacing w:after="0" w:line="240" w:lineRule="auto"/>
              <w:jc w:val="center"/>
              <w:rPr>
                <w:rFonts w:asciiTheme="majorHAnsi" w:eastAsia="Times New Roman" w:hAnsiTheme="majorHAnsi" w:cstheme="majorHAnsi"/>
                <w:b/>
                <w:color w:val="000000"/>
                <w:sz w:val="20"/>
                <w:szCs w:val="20"/>
                <w:lang w:val="ro-RO"/>
              </w:rPr>
            </w:pPr>
            <w:r w:rsidRPr="00B20FBD">
              <w:rPr>
                <w:rFonts w:asciiTheme="majorHAnsi" w:eastAsia="Times New Roman" w:hAnsiTheme="majorHAnsi" w:cstheme="majorHAnsi"/>
                <w:b/>
                <w:color w:val="000000"/>
                <w:sz w:val="20"/>
                <w:szCs w:val="20"/>
                <w:lang w:val="ro-RO"/>
              </w:rPr>
              <w:t>1.466.512,1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554C5C" w14:textId="77777777" w:rsidR="0034452A" w:rsidRPr="00B20FBD" w:rsidRDefault="0034452A" w:rsidP="00933F2D">
            <w:pPr>
              <w:spacing w:after="0" w:line="240" w:lineRule="auto"/>
              <w:jc w:val="center"/>
              <w:rPr>
                <w:rFonts w:asciiTheme="majorHAnsi" w:eastAsia="Times New Roman" w:hAnsiTheme="majorHAnsi" w:cstheme="majorHAnsi"/>
                <w:b/>
                <w:color w:val="000000"/>
                <w:sz w:val="20"/>
                <w:szCs w:val="20"/>
                <w:lang w:val="ro-RO"/>
              </w:rPr>
            </w:pPr>
            <w:r w:rsidRPr="00B20FBD">
              <w:rPr>
                <w:rFonts w:asciiTheme="majorHAnsi" w:eastAsia="Times New Roman" w:hAnsiTheme="majorHAnsi" w:cstheme="majorHAnsi"/>
                <w:b/>
                <w:color w:val="000000"/>
                <w:sz w:val="20"/>
                <w:szCs w:val="20"/>
                <w:lang w:val="ro-RO"/>
              </w:rPr>
              <w:t>105,4</w:t>
            </w:r>
          </w:p>
        </w:tc>
      </w:tr>
    </w:tbl>
    <w:p w14:paraId="0704513C" w14:textId="0D7DD2A6" w:rsidR="0034452A" w:rsidRDefault="00EE0124" w:rsidP="0034452A">
      <w:pPr>
        <w:tabs>
          <w:tab w:val="left" w:pos="720"/>
        </w:tabs>
        <w:spacing w:after="0"/>
        <w:ind w:left="567" w:hanging="567"/>
        <w:jc w:val="both"/>
        <w:rPr>
          <w:rFonts w:asciiTheme="majorHAnsi" w:hAnsiTheme="majorHAnsi" w:cstheme="majorHAnsi"/>
          <w:bCs/>
          <w:i/>
          <w:sz w:val="16"/>
          <w:szCs w:val="16"/>
          <w:lang w:val="ro-RO" w:eastAsia="ru-RU"/>
        </w:rPr>
      </w:pPr>
      <w:r w:rsidRPr="00B20FBD">
        <w:rPr>
          <w:rFonts w:asciiTheme="majorHAnsi" w:hAnsiTheme="majorHAnsi" w:cstheme="majorHAnsi"/>
          <w:b/>
          <w:i/>
          <w:sz w:val="16"/>
          <w:szCs w:val="16"/>
          <w:lang w:val="ro-RO"/>
        </w:rPr>
        <w:t xml:space="preserve">                 </w:t>
      </w:r>
      <w:r w:rsidR="00723462">
        <w:rPr>
          <w:rFonts w:asciiTheme="majorHAnsi" w:hAnsiTheme="majorHAnsi" w:cstheme="majorHAnsi"/>
          <w:b/>
          <w:i/>
          <w:sz w:val="16"/>
          <w:szCs w:val="16"/>
          <w:lang w:val="ro-RO"/>
        </w:rPr>
        <w:t>Источник</w:t>
      </w:r>
      <w:r w:rsidR="0034452A" w:rsidRPr="00B20FBD">
        <w:rPr>
          <w:rFonts w:asciiTheme="majorHAnsi" w:hAnsiTheme="majorHAnsi" w:cstheme="majorHAnsi"/>
          <w:b/>
          <w:i/>
          <w:sz w:val="16"/>
          <w:szCs w:val="16"/>
          <w:lang w:val="ro-RO"/>
        </w:rPr>
        <w:t>:</w:t>
      </w:r>
      <w:r w:rsidR="0034452A" w:rsidRPr="00B20FBD">
        <w:rPr>
          <w:rFonts w:asciiTheme="majorHAnsi" w:hAnsiTheme="majorHAnsi" w:cstheme="majorHAnsi"/>
          <w:i/>
          <w:sz w:val="16"/>
          <w:szCs w:val="16"/>
          <w:lang w:val="ro-RO"/>
        </w:rPr>
        <w:t xml:space="preserve"> Informație realizată de echipa de audit în baza r</w:t>
      </w:r>
      <w:r w:rsidR="0034452A" w:rsidRPr="00B20FBD">
        <w:rPr>
          <w:rFonts w:asciiTheme="majorHAnsi" w:hAnsiTheme="majorHAnsi" w:cstheme="majorHAnsi"/>
          <w:bCs/>
          <w:i/>
          <w:sz w:val="16"/>
          <w:szCs w:val="16"/>
          <w:lang w:val="ro-RO" w:eastAsia="ru-RU"/>
        </w:rPr>
        <w:t>apoartelor anuale ale Serviciului Vamal, prezentate Ministerului Finanțelor.</w:t>
      </w:r>
    </w:p>
    <w:p w14:paraId="4BAD1CC6" w14:textId="77777777" w:rsidR="00D705B6" w:rsidRDefault="00D705B6" w:rsidP="0034452A">
      <w:pPr>
        <w:tabs>
          <w:tab w:val="left" w:pos="720"/>
        </w:tabs>
        <w:spacing w:after="0"/>
        <w:ind w:left="567" w:hanging="567"/>
        <w:jc w:val="both"/>
        <w:rPr>
          <w:rFonts w:asciiTheme="majorHAnsi" w:hAnsiTheme="majorHAnsi" w:cstheme="majorHAnsi"/>
          <w:sz w:val="16"/>
          <w:szCs w:val="16"/>
          <w:lang w:val="ro-RO" w:eastAsia="ru-RU"/>
        </w:rPr>
      </w:pPr>
    </w:p>
    <w:p w14:paraId="4B35B7B0" w14:textId="77777777" w:rsidR="00D705B6" w:rsidRDefault="00D705B6" w:rsidP="0034452A">
      <w:pPr>
        <w:tabs>
          <w:tab w:val="left" w:pos="720"/>
        </w:tabs>
        <w:spacing w:after="0"/>
        <w:ind w:left="567" w:hanging="567"/>
        <w:jc w:val="both"/>
        <w:rPr>
          <w:rFonts w:asciiTheme="majorHAnsi" w:hAnsiTheme="majorHAnsi" w:cstheme="majorHAnsi"/>
          <w:sz w:val="16"/>
          <w:szCs w:val="16"/>
          <w:lang w:val="ro-RO" w:eastAsia="ru-RU"/>
        </w:rPr>
      </w:pPr>
    </w:p>
    <w:p w14:paraId="0F934AA9" w14:textId="77777777" w:rsidR="00BA578C" w:rsidRDefault="00BA578C" w:rsidP="00D705B6">
      <w:pPr>
        <w:tabs>
          <w:tab w:val="left" w:pos="720"/>
        </w:tabs>
        <w:spacing w:after="0"/>
        <w:jc w:val="right"/>
        <w:rPr>
          <w:rFonts w:asciiTheme="majorHAnsi" w:hAnsiTheme="majorHAnsi" w:cstheme="majorHAnsi"/>
          <w:i/>
          <w:sz w:val="24"/>
          <w:szCs w:val="24"/>
          <w:lang w:val="ro-RO"/>
        </w:rPr>
      </w:pPr>
      <w:r>
        <w:rPr>
          <w:rFonts w:asciiTheme="majorHAnsi" w:hAnsiTheme="majorHAnsi" w:cstheme="majorHAnsi"/>
          <w:i/>
          <w:sz w:val="24"/>
          <w:szCs w:val="24"/>
          <w:lang w:val="ro-RO"/>
        </w:rPr>
        <w:br w:type="page"/>
      </w:r>
    </w:p>
    <w:p w14:paraId="09F13EEA" w14:textId="1952910C" w:rsidR="00D705B6" w:rsidRDefault="00D705B6" w:rsidP="00D705B6">
      <w:pPr>
        <w:tabs>
          <w:tab w:val="left" w:pos="720"/>
        </w:tabs>
        <w:spacing w:after="0"/>
        <w:jc w:val="right"/>
        <w:rPr>
          <w:rFonts w:asciiTheme="majorHAnsi" w:hAnsiTheme="majorHAnsi" w:cstheme="majorHAnsi"/>
          <w:i/>
          <w:sz w:val="24"/>
          <w:szCs w:val="24"/>
          <w:lang w:val="ro-RO"/>
        </w:rPr>
      </w:pPr>
      <w:r>
        <w:rPr>
          <w:rFonts w:asciiTheme="majorHAnsi" w:hAnsiTheme="majorHAnsi" w:cstheme="majorHAnsi"/>
          <w:i/>
          <w:sz w:val="24"/>
          <w:szCs w:val="24"/>
          <w:lang w:val="ro-RO"/>
        </w:rPr>
        <w:t>Anexa nr.4</w:t>
      </w:r>
    </w:p>
    <w:p w14:paraId="07075C78" w14:textId="562FDC26" w:rsidR="00D705B6" w:rsidRPr="00D705B6" w:rsidRDefault="00D705B6" w:rsidP="002405A0">
      <w:pPr>
        <w:spacing w:after="120" w:line="240" w:lineRule="auto"/>
        <w:jc w:val="center"/>
        <w:rPr>
          <w:rFonts w:asciiTheme="majorHAnsi" w:hAnsiTheme="majorHAnsi" w:cstheme="majorHAnsi"/>
          <w:sz w:val="16"/>
          <w:szCs w:val="16"/>
          <w:lang w:val="ro-RO" w:eastAsia="ru-RU"/>
        </w:rPr>
      </w:pPr>
      <w:r w:rsidRPr="00D705B6">
        <w:rPr>
          <w:rFonts w:asciiTheme="majorHAnsi" w:eastAsia="Times New Roman" w:hAnsiTheme="majorHAnsi" w:cstheme="majorHAnsi"/>
          <w:b/>
          <w:bCs/>
          <w:iCs/>
          <w:sz w:val="24"/>
          <w:szCs w:val="24"/>
          <w:lang w:val="ro-MD" w:eastAsia="ru-RU"/>
        </w:rPr>
        <w:t xml:space="preserve">Implementarea cerințelor și recomandărilor expuse în Hotărârea Curții de Conturi nr.42 din 26 august 2020 </w:t>
      </w:r>
      <w:r w:rsidR="005906F9">
        <w:rPr>
          <w:rFonts w:asciiTheme="majorHAnsi" w:eastAsia="Times New Roman" w:hAnsiTheme="majorHAnsi" w:cstheme="majorHAnsi"/>
          <w:b/>
          <w:bCs/>
          <w:iCs/>
          <w:sz w:val="24"/>
          <w:szCs w:val="24"/>
          <w:lang w:val="ro-MD" w:eastAsia="ru-RU"/>
        </w:rPr>
        <w:t>„C</w:t>
      </w:r>
      <w:r w:rsidRPr="00D705B6">
        <w:rPr>
          <w:rFonts w:asciiTheme="majorHAnsi" w:eastAsia="Times New Roman" w:hAnsiTheme="majorHAnsi" w:cstheme="majorHAnsi"/>
          <w:b/>
          <w:bCs/>
          <w:iCs/>
          <w:sz w:val="24"/>
          <w:szCs w:val="24"/>
          <w:lang w:val="ro-MD" w:eastAsia="ru-RU"/>
        </w:rPr>
        <w:t>u privire la examinarea Raportului auditului conformității administrării veniturilor bugetului de stat de către S</w:t>
      </w:r>
      <w:r w:rsidR="005906F9">
        <w:rPr>
          <w:rFonts w:asciiTheme="majorHAnsi" w:eastAsia="Times New Roman" w:hAnsiTheme="majorHAnsi" w:cstheme="majorHAnsi"/>
          <w:b/>
          <w:bCs/>
          <w:iCs/>
          <w:sz w:val="24"/>
          <w:szCs w:val="24"/>
          <w:lang w:val="ro-MD" w:eastAsia="ru-RU"/>
        </w:rPr>
        <w:t xml:space="preserve">erviciul </w:t>
      </w:r>
      <w:r w:rsidRPr="00D705B6">
        <w:rPr>
          <w:rFonts w:asciiTheme="majorHAnsi" w:eastAsia="Times New Roman" w:hAnsiTheme="majorHAnsi" w:cstheme="majorHAnsi"/>
          <w:b/>
          <w:bCs/>
          <w:iCs/>
          <w:sz w:val="24"/>
          <w:szCs w:val="24"/>
          <w:lang w:val="ro-MD" w:eastAsia="ru-RU"/>
        </w:rPr>
        <w:t>V</w:t>
      </w:r>
      <w:r w:rsidR="005906F9">
        <w:rPr>
          <w:rFonts w:asciiTheme="majorHAnsi" w:eastAsia="Times New Roman" w:hAnsiTheme="majorHAnsi" w:cstheme="majorHAnsi"/>
          <w:b/>
          <w:bCs/>
          <w:iCs/>
          <w:sz w:val="24"/>
          <w:szCs w:val="24"/>
          <w:lang w:val="ro-MD" w:eastAsia="ru-RU"/>
        </w:rPr>
        <w:t>amal</w:t>
      </w:r>
      <w:r w:rsidRPr="00D705B6">
        <w:rPr>
          <w:rFonts w:asciiTheme="majorHAnsi" w:eastAsia="Times New Roman" w:hAnsiTheme="majorHAnsi" w:cstheme="majorHAnsi"/>
          <w:b/>
          <w:bCs/>
          <w:iCs/>
          <w:sz w:val="24"/>
          <w:szCs w:val="24"/>
          <w:lang w:val="ro-MD" w:eastAsia="ru-RU"/>
        </w:rPr>
        <w:t xml:space="preserve"> în anul 2019</w:t>
      </w:r>
      <w:r w:rsidR="005906F9">
        <w:rPr>
          <w:rFonts w:asciiTheme="majorHAnsi" w:eastAsia="Times New Roman" w:hAnsiTheme="majorHAnsi" w:cstheme="majorHAnsi"/>
          <w:b/>
          <w:bCs/>
          <w:iCs/>
          <w:sz w:val="24"/>
          <w:szCs w:val="24"/>
          <w:lang w:val="ro-MD" w:eastAsia="ru-RU"/>
        </w:rPr>
        <w:t>”</w:t>
      </w:r>
    </w:p>
    <w:tbl>
      <w:tblPr>
        <w:tblStyle w:val="TableGrid"/>
        <w:tblW w:w="10201" w:type="dxa"/>
        <w:jc w:val="center"/>
        <w:tblLayout w:type="fixed"/>
        <w:tblLook w:val="04A0" w:firstRow="1" w:lastRow="0" w:firstColumn="1" w:lastColumn="0" w:noHBand="0" w:noVBand="1"/>
      </w:tblPr>
      <w:tblGrid>
        <w:gridCol w:w="2830"/>
        <w:gridCol w:w="3119"/>
        <w:gridCol w:w="425"/>
        <w:gridCol w:w="567"/>
        <w:gridCol w:w="425"/>
        <w:gridCol w:w="2835"/>
      </w:tblGrid>
      <w:tr w:rsidR="00D705B6" w:rsidRPr="00911D93" w14:paraId="2DF1134C" w14:textId="77777777" w:rsidTr="00D705B6">
        <w:trPr>
          <w:trHeight w:val="1076"/>
          <w:jc w:val="center"/>
        </w:trPr>
        <w:tc>
          <w:tcPr>
            <w:tcW w:w="2830" w:type="dxa"/>
            <w:vMerge w:val="restart"/>
            <w:shd w:val="clear" w:color="auto" w:fill="4907EF"/>
            <w:vAlign w:val="center"/>
          </w:tcPr>
          <w:p w14:paraId="407329AE" w14:textId="77777777" w:rsidR="00D705B6" w:rsidRPr="001C4179" w:rsidRDefault="00D705B6" w:rsidP="00D705B6">
            <w:pPr>
              <w:tabs>
                <w:tab w:val="left" w:pos="720"/>
              </w:tabs>
              <w:spacing w:line="240" w:lineRule="auto"/>
              <w:jc w:val="center"/>
              <w:rPr>
                <w:rFonts w:asciiTheme="majorHAnsi" w:hAnsiTheme="majorHAnsi" w:cstheme="majorHAnsi"/>
                <w:b/>
                <w:color w:val="FFFFFF" w:themeColor="background1"/>
                <w:sz w:val="16"/>
                <w:szCs w:val="16"/>
                <w:lang w:val="ro-MD"/>
              </w:rPr>
            </w:pPr>
            <w:r w:rsidRPr="001C4179">
              <w:rPr>
                <w:rFonts w:asciiTheme="majorHAnsi" w:hAnsiTheme="majorHAnsi" w:cstheme="majorHAnsi"/>
                <w:b/>
                <w:color w:val="FFFFFF" w:themeColor="background1"/>
                <w:sz w:val="16"/>
                <w:szCs w:val="16"/>
                <w:lang w:val="ro-MD"/>
              </w:rPr>
              <w:t xml:space="preserve">Conținutul cerințelor şi recomandărilor din Hotărârile precedente ale Curții de Conturi </w:t>
            </w:r>
          </w:p>
        </w:tc>
        <w:tc>
          <w:tcPr>
            <w:tcW w:w="3119" w:type="dxa"/>
            <w:vMerge w:val="restart"/>
            <w:shd w:val="clear" w:color="auto" w:fill="4907EF"/>
            <w:vAlign w:val="center"/>
          </w:tcPr>
          <w:p w14:paraId="1D12D9FF" w14:textId="77777777" w:rsidR="00D705B6" w:rsidRPr="001C4179" w:rsidRDefault="00D705B6" w:rsidP="00D705B6">
            <w:pPr>
              <w:spacing w:line="240" w:lineRule="auto"/>
              <w:jc w:val="center"/>
              <w:rPr>
                <w:rFonts w:asciiTheme="majorHAnsi" w:hAnsiTheme="majorHAnsi" w:cstheme="majorHAnsi"/>
                <w:b/>
                <w:bCs/>
                <w:color w:val="FFFFFF" w:themeColor="background1"/>
                <w:sz w:val="16"/>
                <w:szCs w:val="16"/>
                <w:lang w:val="ro-MD"/>
              </w:rPr>
            </w:pPr>
            <w:r w:rsidRPr="001C4179">
              <w:rPr>
                <w:rFonts w:asciiTheme="majorHAnsi" w:hAnsiTheme="majorHAnsi" w:cstheme="majorHAnsi"/>
                <w:b/>
                <w:bCs/>
                <w:color w:val="FFFFFF" w:themeColor="background1"/>
                <w:sz w:val="16"/>
                <w:szCs w:val="16"/>
                <w:lang w:val="ro-MD"/>
              </w:rPr>
              <w:t>Măsurile întreprinse de către entitate conform scrisorilor adresate Curții de Conturi</w:t>
            </w:r>
          </w:p>
          <w:p w14:paraId="7741C0AF" w14:textId="77777777" w:rsidR="00D705B6" w:rsidRPr="001C4179" w:rsidRDefault="00D705B6" w:rsidP="00D705B6">
            <w:pPr>
              <w:tabs>
                <w:tab w:val="left" w:pos="720"/>
              </w:tabs>
              <w:spacing w:line="240" w:lineRule="auto"/>
              <w:jc w:val="center"/>
              <w:rPr>
                <w:rFonts w:asciiTheme="majorHAnsi" w:hAnsiTheme="majorHAnsi" w:cstheme="majorHAnsi"/>
                <w:b/>
                <w:color w:val="FFFFFF" w:themeColor="background1"/>
                <w:sz w:val="16"/>
                <w:szCs w:val="16"/>
                <w:lang w:val="ro-MD"/>
              </w:rPr>
            </w:pPr>
          </w:p>
        </w:tc>
        <w:tc>
          <w:tcPr>
            <w:tcW w:w="1417" w:type="dxa"/>
            <w:gridSpan w:val="3"/>
            <w:shd w:val="clear" w:color="auto" w:fill="4907EF"/>
            <w:vAlign w:val="center"/>
          </w:tcPr>
          <w:p w14:paraId="3089EA7E" w14:textId="77777777" w:rsidR="00D705B6" w:rsidRPr="001C4179" w:rsidRDefault="00D705B6" w:rsidP="00D705B6">
            <w:pPr>
              <w:spacing w:line="240" w:lineRule="auto"/>
              <w:jc w:val="center"/>
              <w:rPr>
                <w:rFonts w:asciiTheme="majorHAnsi" w:hAnsiTheme="majorHAnsi" w:cstheme="majorHAnsi"/>
                <w:b/>
                <w:color w:val="FFFFFF" w:themeColor="background1"/>
                <w:sz w:val="16"/>
                <w:szCs w:val="16"/>
                <w:lang w:val="ro-MD"/>
              </w:rPr>
            </w:pPr>
            <w:r w:rsidRPr="001C4179">
              <w:rPr>
                <w:rFonts w:asciiTheme="majorHAnsi" w:hAnsiTheme="majorHAnsi" w:cstheme="majorHAnsi"/>
                <w:b/>
                <w:color w:val="FFFFFF" w:themeColor="background1"/>
                <w:sz w:val="16"/>
                <w:szCs w:val="16"/>
                <w:lang w:val="ro-MD"/>
              </w:rPr>
              <w:t>Verificarea executării  implementării cerinței/ recomandării</w:t>
            </w:r>
          </w:p>
        </w:tc>
        <w:tc>
          <w:tcPr>
            <w:tcW w:w="2835" w:type="dxa"/>
            <w:vMerge w:val="restart"/>
            <w:shd w:val="clear" w:color="auto" w:fill="4907EF"/>
          </w:tcPr>
          <w:p w14:paraId="35F5B36C" w14:textId="77777777" w:rsidR="00D705B6" w:rsidRPr="001C4179" w:rsidRDefault="00D705B6" w:rsidP="00D705B6">
            <w:pPr>
              <w:spacing w:line="240" w:lineRule="auto"/>
              <w:jc w:val="center"/>
              <w:rPr>
                <w:rFonts w:asciiTheme="majorHAnsi" w:hAnsiTheme="majorHAnsi" w:cstheme="majorHAnsi"/>
                <w:b/>
                <w:color w:val="FFFFFF" w:themeColor="background1"/>
                <w:sz w:val="16"/>
                <w:szCs w:val="16"/>
                <w:lang w:val="ro-MD"/>
              </w:rPr>
            </w:pPr>
            <w:r w:rsidRPr="001C4179">
              <w:rPr>
                <w:rFonts w:asciiTheme="majorHAnsi" w:hAnsiTheme="majorHAnsi" w:cstheme="majorHAnsi"/>
                <w:b/>
                <w:color w:val="FFFFFF" w:themeColor="background1"/>
                <w:sz w:val="16"/>
                <w:szCs w:val="16"/>
                <w:lang w:val="ro-MD"/>
              </w:rPr>
              <w:t xml:space="preserve">Cauza nerealizării sau realizării parțiale a cerințelor/recomandărilor </w:t>
            </w:r>
          </w:p>
        </w:tc>
      </w:tr>
      <w:tr w:rsidR="00D705B6" w:rsidRPr="001C4179" w14:paraId="32CE67A9" w14:textId="77777777" w:rsidTr="00D705B6">
        <w:trPr>
          <w:cantSplit/>
          <w:trHeight w:val="739"/>
          <w:jc w:val="center"/>
        </w:trPr>
        <w:tc>
          <w:tcPr>
            <w:tcW w:w="2830" w:type="dxa"/>
            <w:vMerge/>
            <w:shd w:val="clear" w:color="auto" w:fill="0000FF"/>
            <w:vAlign w:val="center"/>
          </w:tcPr>
          <w:p w14:paraId="147E1504" w14:textId="77777777" w:rsidR="00D705B6" w:rsidRPr="001C4179" w:rsidRDefault="00D705B6" w:rsidP="00D705B6">
            <w:pPr>
              <w:tabs>
                <w:tab w:val="left" w:pos="720"/>
              </w:tabs>
              <w:spacing w:line="240" w:lineRule="auto"/>
              <w:jc w:val="center"/>
              <w:rPr>
                <w:rFonts w:asciiTheme="majorHAnsi" w:hAnsiTheme="majorHAnsi" w:cstheme="majorHAnsi"/>
                <w:b/>
                <w:sz w:val="16"/>
                <w:szCs w:val="16"/>
                <w:lang w:val="ro-MD"/>
              </w:rPr>
            </w:pPr>
          </w:p>
        </w:tc>
        <w:tc>
          <w:tcPr>
            <w:tcW w:w="3119" w:type="dxa"/>
            <w:vMerge/>
            <w:shd w:val="clear" w:color="auto" w:fill="0000FF"/>
            <w:vAlign w:val="center"/>
          </w:tcPr>
          <w:p w14:paraId="43F8FC17" w14:textId="77777777" w:rsidR="00D705B6" w:rsidRPr="001C4179" w:rsidRDefault="00D705B6" w:rsidP="00D705B6">
            <w:pPr>
              <w:tabs>
                <w:tab w:val="left" w:pos="720"/>
              </w:tabs>
              <w:spacing w:line="240" w:lineRule="auto"/>
              <w:jc w:val="center"/>
              <w:rPr>
                <w:rFonts w:asciiTheme="majorHAnsi" w:hAnsiTheme="majorHAnsi" w:cstheme="majorHAnsi"/>
                <w:b/>
                <w:sz w:val="16"/>
                <w:szCs w:val="16"/>
                <w:lang w:val="ro-MD"/>
              </w:rPr>
            </w:pPr>
          </w:p>
        </w:tc>
        <w:tc>
          <w:tcPr>
            <w:tcW w:w="425" w:type="dxa"/>
            <w:shd w:val="clear" w:color="auto" w:fill="4907EF"/>
            <w:textDirection w:val="btLr"/>
            <w:vAlign w:val="center"/>
          </w:tcPr>
          <w:p w14:paraId="41EBDCB1" w14:textId="77777777" w:rsidR="00D705B6" w:rsidRPr="001C4179" w:rsidRDefault="00D705B6" w:rsidP="00D705B6">
            <w:pPr>
              <w:tabs>
                <w:tab w:val="left" w:pos="720"/>
              </w:tabs>
              <w:spacing w:line="240" w:lineRule="auto"/>
              <w:ind w:left="113" w:right="113"/>
              <w:jc w:val="center"/>
              <w:rPr>
                <w:rFonts w:asciiTheme="majorHAnsi" w:hAnsiTheme="majorHAnsi" w:cstheme="majorHAnsi"/>
                <w:b/>
                <w:color w:val="FFFFFF" w:themeColor="background1"/>
                <w:sz w:val="16"/>
                <w:szCs w:val="16"/>
                <w:lang w:val="ro-MD"/>
              </w:rPr>
            </w:pPr>
            <w:r w:rsidRPr="001C4179">
              <w:rPr>
                <w:rFonts w:asciiTheme="majorHAnsi" w:hAnsiTheme="majorHAnsi" w:cstheme="majorHAnsi"/>
                <w:b/>
                <w:color w:val="FFFFFF" w:themeColor="background1"/>
                <w:sz w:val="16"/>
                <w:szCs w:val="16"/>
                <w:lang w:val="ro-MD"/>
              </w:rPr>
              <w:t>realizat</w:t>
            </w:r>
          </w:p>
        </w:tc>
        <w:tc>
          <w:tcPr>
            <w:tcW w:w="567" w:type="dxa"/>
            <w:shd w:val="clear" w:color="auto" w:fill="4907EF"/>
            <w:textDirection w:val="btLr"/>
            <w:vAlign w:val="center"/>
          </w:tcPr>
          <w:p w14:paraId="107E4014" w14:textId="77777777" w:rsidR="00D705B6" w:rsidRPr="001C4179" w:rsidRDefault="00D705B6" w:rsidP="00D705B6">
            <w:pPr>
              <w:tabs>
                <w:tab w:val="left" w:pos="720"/>
              </w:tabs>
              <w:spacing w:line="240" w:lineRule="auto"/>
              <w:ind w:left="113" w:right="113"/>
              <w:jc w:val="center"/>
              <w:rPr>
                <w:rFonts w:asciiTheme="majorHAnsi" w:hAnsiTheme="majorHAnsi" w:cstheme="majorHAnsi"/>
                <w:b/>
                <w:color w:val="FFFFFF" w:themeColor="background1"/>
                <w:sz w:val="16"/>
                <w:szCs w:val="16"/>
                <w:lang w:val="ro-MD"/>
              </w:rPr>
            </w:pPr>
            <w:r w:rsidRPr="001C4179">
              <w:rPr>
                <w:rFonts w:asciiTheme="majorHAnsi" w:hAnsiTheme="majorHAnsi" w:cstheme="majorHAnsi"/>
                <w:b/>
                <w:color w:val="FFFFFF" w:themeColor="background1"/>
                <w:sz w:val="16"/>
                <w:szCs w:val="16"/>
                <w:lang w:val="ro-MD"/>
              </w:rPr>
              <w:t>parțial realizat</w:t>
            </w:r>
          </w:p>
        </w:tc>
        <w:tc>
          <w:tcPr>
            <w:tcW w:w="425" w:type="dxa"/>
            <w:shd w:val="clear" w:color="auto" w:fill="4907EF"/>
            <w:textDirection w:val="btLr"/>
            <w:vAlign w:val="center"/>
          </w:tcPr>
          <w:p w14:paraId="566D0792" w14:textId="77777777" w:rsidR="00D705B6" w:rsidRPr="001C4179" w:rsidRDefault="00D705B6" w:rsidP="00D705B6">
            <w:pPr>
              <w:tabs>
                <w:tab w:val="left" w:pos="720"/>
              </w:tabs>
              <w:spacing w:line="240" w:lineRule="auto"/>
              <w:jc w:val="center"/>
              <w:rPr>
                <w:rFonts w:asciiTheme="majorHAnsi" w:hAnsiTheme="majorHAnsi" w:cstheme="majorHAnsi"/>
                <w:b/>
                <w:color w:val="FFFFFF" w:themeColor="background1"/>
                <w:sz w:val="16"/>
                <w:szCs w:val="16"/>
                <w:lang w:val="ro-MD"/>
              </w:rPr>
            </w:pPr>
            <w:r w:rsidRPr="001C4179">
              <w:rPr>
                <w:rFonts w:asciiTheme="majorHAnsi" w:hAnsiTheme="majorHAnsi" w:cstheme="majorHAnsi"/>
                <w:b/>
                <w:color w:val="FFFFFF" w:themeColor="background1"/>
                <w:sz w:val="16"/>
                <w:szCs w:val="16"/>
                <w:lang w:val="ro-MD"/>
              </w:rPr>
              <w:t>nerealizat</w:t>
            </w:r>
          </w:p>
        </w:tc>
        <w:tc>
          <w:tcPr>
            <w:tcW w:w="2835" w:type="dxa"/>
            <w:vMerge/>
            <w:shd w:val="clear" w:color="auto" w:fill="0000FF"/>
            <w:textDirection w:val="btLr"/>
          </w:tcPr>
          <w:p w14:paraId="2FC850BE" w14:textId="77777777" w:rsidR="00D705B6" w:rsidRPr="001C4179" w:rsidRDefault="00D705B6" w:rsidP="00D705B6">
            <w:pPr>
              <w:tabs>
                <w:tab w:val="left" w:pos="720"/>
              </w:tabs>
              <w:spacing w:line="240" w:lineRule="auto"/>
              <w:jc w:val="center"/>
              <w:rPr>
                <w:rFonts w:asciiTheme="majorHAnsi" w:hAnsiTheme="majorHAnsi" w:cstheme="majorHAnsi"/>
                <w:b/>
                <w:color w:val="FFFFFF" w:themeColor="background1"/>
                <w:sz w:val="16"/>
                <w:szCs w:val="16"/>
                <w:lang w:val="ro-MD"/>
              </w:rPr>
            </w:pPr>
          </w:p>
        </w:tc>
      </w:tr>
      <w:tr w:rsidR="00D705B6" w:rsidRPr="001C4179" w14:paraId="4CCBB79D" w14:textId="77777777" w:rsidTr="00B3263D">
        <w:trPr>
          <w:trHeight w:val="226"/>
          <w:jc w:val="center"/>
        </w:trPr>
        <w:tc>
          <w:tcPr>
            <w:tcW w:w="2830" w:type="dxa"/>
            <w:shd w:val="clear" w:color="auto" w:fill="FFFF00"/>
          </w:tcPr>
          <w:p w14:paraId="336B81AE" w14:textId="77777777" w:rsidR="00D705B6" w:rsidRPr="001C4179" w:rsidRDefault="00D705B6" w:rsidP="00D705B6">
            <w:pPr>
              <w:tabs>
                <w:tab w:val="left" w:pos="720"/>
              </w:tabs>
              <w:spacing w:line="240" w:lineRule="auto"/>
              <w:jc w:val="center"/>
              <w:rPr>
                <w:rFonts w:asciiTheme="majorHAnsi" w:hAnsiTheme="majorHAnsi" w:cstheme="majorHAnsi"/>
                <w:b/>
                <w:i/>
                <w:sz w:val="16"/>
                <w:szCs w:val="16"/>
                <w:lang w:val="ro-MD"/>
              </w:rPr>
            </w:pPr>
            <w:r w:rsidRPr="001C4179">
              <w:rPr>
                <w:rFonts w:asciiTheme="majorHAnsi" w:hAnsiTheme="majorHAnsi" w:cstheme="majorHAnsi"/>
                <w:b/>
                <w:i/>
                <w:sz w:val="16"/>
                <w:szCs w:val="16"/>
                <w:lang w:val="ro-MD"/>
              </w:rPr>
              <w:t>1</w:t>
            </w:r>
          </w:p>
        </w:tc>
        <w:tc>
          <w:tcPr>
            <w:tcW w:w="3119" w:type="dxa"/>
            <w:shd w:val="clear" w:color="auto" w:fill="FFFF00"/>
          </w:tcPr>
          <w:p w14:paraId="3E5ACE65" w14:textId="77777777" w:rsidR="00D705B6" w:rsidRPr="001C4179" w:rsidRDefault="00D705B6" w:rsidP="00D705B6">
            <w:pPr>
              <w:tabs>
                <w:tab w:val="left" w:pos="720"/>
              </w:tabs>
              <w:spacing w:line="240" w:lineRule="auto"/>
              <w:jc w:val="center"/>
              <w:rPr>
                <w:rFonts w:asciiTheme="majorHAnsi" w:hAnsiTheme="majorHAnsi" w:cstheme="majorHAnsi"/>
                <w:b/>
                <w:i/>
                <w:sz w:val="16"/>
                <w:szCs w:val="16"/>
                <w:lang w:val="ro-MD"/>
              </w:rPr>
            </w:pPr>
            <w:r w:rsidRPr="001C4179">
              <w:rPr>
                <w:rFonts w:asciiTheme="majorHAnsi" w:hAnsiTheme="majorHAnsi" w:cstheme="majorHAnsi"/>
                <w:b/>
                <w:i/>
                <w:sz w:val="16"/>
                <w:szCs w:val="16"/>
                <w:lang w:val="ro-MD"/>
              </w:rPr>
              <w:t>2</w:t>
            </w:r>
          </w:p>
        </w:tc>
        <w:tc>
          <w:tcPr>
            <w:tcW w:w="425" w:type="dxa"/>
            <w:shd w:val="clear" w:color="auto" w:fill="FFFF00"/>
          </w:tcPr>
          <w:p w14:paraId="3CACDEE5" w14:textId="77777777" w:rsidR="00D705B6" w:rsidRPr="001C4179" w:rsidRDefault="00D705B6" w:rsidP="00D705B6">
            <w:pPr>
              <w:tabs>
                <w:tab w:val="left" w:pos="720"/>
              </w:tabs>
              <w:spacing w:line="240" w:lineRule="auto"/>
              <w:jc w:val="center"/>
              <w:rPr>
                <w:rFonts w:asciiTheme="majorHAnsi" w:hAnsiTheme="majorHAnsi" w:cstheme="majorHAnsi"/>
                <w:b/>
                <w:i/>
                <w:sz w:val="16"/>
                <w:szCs w:val="16"/>
                <w:lang w:val="ro-MD"/>
              </w:rPr>
            </w:pPr>
            <w:r w:rsidRPr="001C4179">
              <w:rPr>
                <w:rFonts w:asciiTheme="majorHAnsi" w:hAnsiTheme="majorHAnsi" w:cstheme="majorHAnsi"/>
                <w:b/>
                <w:i/>
                <w:sz w:val="16"/>
                <w:szCs w:val="16"/>
                <w:lang w:val="ro-MD"/>
              </w:rPr>
              <w:t>3</w:t>
            </w:r>
          </w:p>
        </w:tc>
        <w:tc>
          <w:tcPr>
            <w:tcW w:w="567" w:type="dxa"/>
            <w:shd w:val="clear" w:color="auto" w:fill="FFFF00"/>
          </w:tcPr>
          <w:p w14:paraId="4EEFC7BD" w14:textId="77777777" w:rsidR="00D705B6" w:rsidRPr="001C4179" w:rsidRDefault="00D705B6" w:rsidP="00D705B6">
            <w:pPr>
              <w:tabs>
                <w:tab w:val="left" w:pos="720"/>
              </w:tabs>
              <w:spacing w:line="240" w:lineRule="auto"/>
              <w:jc w:val="center"/>
              <w:rPr>
                <w:rFonts w:asciiTheme="majorHAnsi" w:hAnsiTheme="majorHAnsi" w:cstheme="majorHAnsi"/>
                <w:b/>
                <w:i/>
                <w:sz w:val="16"/>
                <w:szCs w:val="16"/>
                <w:lang w:val="ro-MD"/>
              </w:rPr>
            </w:pPr>
            <w:r w:rsidRPr="001C4179">
              <w:rPr>
                <w:rFonts w:asciiTheme="majorHAnsi" w:hAnsiTheme="majorHAnsi" w:cstheme="majorHAnsi"/>
                <w:b/>
                <w:i/>
                <w:sz w:val="16"/>
                <w:szCs w:val="16"/>
                <w:lang w:val="ro-MD"/>
              </w:rPr>
              <w:t>4</w:t>
            </w:r>
          </w:p>
        </w:tc>
        <w:tc>
          <w:tcPr>
            <w:tcW w:w="425" w:type="dxa"/>
            <w:shd w:val="clear" w:color="auto" w:fill="FFFF00"/>
          </w:tcPr>
          <w:p w14:paraId="5FCE819D" w14:textId="77777777" w:rsidR="00D705B6" w:rsidRPr="001C4179" w:rsidRDefault="00D705B6" w:rsidP="00D705B6">
            <w:pPr>
              <w:tabs>
                <w:tab w:val="left" w:pos="720"/>
              </w:tabs>
              <w:spacing w:line="240" w:lineRule="auto"/>
              <w:jc w:val="center"/>
              <w:rPr>
                <w:rFonts w:asciiTheme="majorHAnsi" w:hAnsiTheme="majorHAnsi" w:cstheme="majorHAnsi"/>
                <w:b/>
                <w:i/>
                <w:sz w:val="16"/>
                <w:szCs w:val="16"/>
                <w:lang w:val="ro-MD"/>
              </w:rPr>
            </w:pPr>
            <w:r w:rsidRPr="001C4179">
              <w:rPr>
                <w:rFonts w:asciiTheme="majorHAnsi" w:hAnsiTheme="majorHAnsi" w:cstheme="majorHAnsi"/>
                <w:b/>
                <w:i/>
                <w:sz w:val="16"/>
                <w:szCs w:val="16"/>
                <w:lang w:val="ro-MD"/>
              </w:rPr>
              <w:t>5</w:t>
            </w:r>
          </w:p>
        </w:tc>
        <w:tc>
          <w:tcPr>
            <w:tcW w:w="2835" w:type="dxa"/>
            <w:shd w:val="clear" w:color="auto" w:fill="FFFF00"/>
          </w:tcPr>
          <w:p w14:paraId="104F49B7" w14:textId="77777777" w:rsidR="00D705B6" w:rsidRPr="001C4179" w:rsidRDefault="00D705B6" w:rsidP="00D705B6">
            <w:pPr>
              <w:tabs>
                <w:tab w:val="left" w:pos="720"/>
              </w:tabs>
              <w:spacing w:line="240" w:lineRule="auto"/>
              <w:jc w:val="center"/>
              <w:rPr>
                <w:rFonts w:asciiTheme="majorHAnsi" w:hAnsiTheme="majorHAnsi" w:cstheme="majorHAnsi"/>
                <w:b/>
                <w:i/>
                <w:sz w:val="16"/>
                <w:szCs w:val="16"/>
                <w:lang w:val="ro-MD"/>
              </w:rPr>
            </w:pPr>
            <w:r w:rsidRPr="001C4179">
              <w:rPr>
                <w:rFonts w:asciiTheme="majorHAnsi" w:hAnsiTheme="majorHAnsi" w:cstheme="majorHAnsi"/>
                <w:b/>
                <w:i/>
                <w:sz w:val="16"/>
                <w:szCs w:val="16"/>
                <w:lang w:val="ro-MD"/>
              </w:rPr>
              <w:t>6</w:t>
            </w:r>
          </w:p>
        </w:tc>
      </w:tr>
      <w:tr w:rsidR="00D705B6" w:rsidRPr="001C4179" w14:paraId="18C9F104" w14:textId="77777777" w:rsidTr="00B3263D">
        <w:trPr>
          <w:trHeight w:val="288"/>
          <w:jc w:val="center"/>
        </w:trPr>
        <w:tc>
          <w:tcPr>
            <w:tcW w:w="10201" w:type="dxa"/>
            <w:gridSpan w:val="6"/>
            <w:shd w:val="clear" w:color="auto" w:fill="auto"/>
          </w:tcPr>
          <w:p w14:paraId="3E4FDC79" w14:textId="77777777" w:rsidR="00D705B6" w:rsidRPr="001C4179" w:rsidRDefault="00D705B6" w:rsidP="00D705B6">
            <w:pPr>
              <w:tabs>
                <w:tab w:val="left" w:pos="720"/>
              </w:tabs>
              <w:spacing w:line="240" w:lineRule="auto"/>
              <w:jc w:val="center"/>
              <w:rPr>
                <w:rFonts w:asciiTheme="majorHAnsi" w:hAnsiTheme="majorHAnsi" w:cstheme="majorHAnsi"/>
                <w:b/>
                <w:sz w:val="16"/>
                <w:szCs w:val="16"/>
                <w:lang w:val="ro-MD"/>
              </w:rPr>
            </w:pPr>
            <w:r w:rsidRPr="001C4179">
              <w:rPr>
                <w:rFonts w:asciiTheme="majorHAnsi" w:hAnsiTheme="majorHAnsi" w:cstheme="majorHAnsi"/>
                <w:b/>
                <w:sz w:val="16"/>
                <w:szCs w:val="16"/>
                <w:lang w:val="ro-MD"/>
              </w:rPr>
              <w:t xml:space="preserve">  Recomandări</w:t>
            </w:r>
          </w:p>
        </w:tc>
      </w:tr>
      <w:tr w:rsidR="00D705B6" w:rsidRPr="001C4179" w14:paraId="5F2814DA" w14:textId="77777777" w:rsidTr="00B3263D">
        <w:trPr>
          <w:trHeight w:val="288"/>
          <w:jc w:val="center"/>
        </w:trPr>
        <w:tc>
          <w:tcPr>
            <w:tcW w:w="2830" w:type="dxa"/>
          </w:tcPr>
          <w:p w14:paraId="45860899" w14:textId="78C15605" w:rsidR="00D705B6" w:rsidRPr="001C4179" w:rsidRDefault="00D705B6" w:rsidP="00E802FB">
            <w:pPr>
              <w:spacing w:line="240" w:lineRule="auto"/>
              <w:jc w:val="both"/>
              <w:rPr>
                <w:rFonts w:asciiTheme="majorHAnsi" w:hAnsiTheme="majorHAnsi" w:cstheme="majorHAnsi"/>
                <w:b/>
                <w:sz w:val="16"/>
                <w:szCs w:val="16"/>
                <w:lang w:val="ro-MD"/>
              </w:rPr>
            </w:pPr>
            <w:r w:rsidRPr="001C4179">
              <w:rPr>
                <w:rFonts w:asciiTheme="majorHAnsi" w:eastAsia="Times New Roman" w:hAnsiTheme="majorHAnsi" w:cstheme="majorHAnsi"/>
                <w:b/>
                <w:bCs/>
                <w:sz w:val="16"/>
                <w:szCs w:val="16"/>
                <w:lang w:val="ro-MD"/>
              </w:rPr>
              <w:t>2.4. Ministerului Finanțelor şi Serviciului Vamal</w:t>
            </w:r>
            <w:r w:rsidRPr="001C4179">
              <w:rPr>
                <w:rFonts w:asciiTheme="majorHAnsi" w:eastAsia="Times New Roman" w:hAnsiTheme="majorHAnsi" w:cstheme="majorHAnsi"/>
                <w:sz w:val="16"/>
                <w:szCs w:val="16"/>
                <w:lang w:val="ro-MD"/>
              </w:rPr>
              <w:t xml:space="preserve">, pentru examinarea rezultatelor auditului şi luare de atitudine, conform competențelor, cu aprobarea unui plan de măsuri pentru remedierea situațiilor constatate şi implementarea recomandărilor cuprinse în Raportul de audit, precum şi să asigure de comun: </w:t>
            </w:r>
          </w:p>
        </w:tc>
        <w:tc>
          <w:tcPr>
            <w:tcW w:w="3119" w:type="dxa"/>
          </w:tcPr>
          <w:p w14:paraId="4204AB86" w14:textId="77777777" w:rsidR="00D705B6" w:rsidRPr="001C4179" w:rsidRDefault="00D705B6" w:rsidP="00D705B6">
            <w:pPr>
              <w:spacing w:line="240" w:lineRule="auto"/>
              <w:jc w:val="both"/>
              <w:rPr>
                <w:rFonts w:asciiTheme="majorHAnsi" w:hAnsiTheme="majorHAnsi" w:cstheme="majorHAnsi"/>
                <w:b/>
                <w:sz w:val="16"/>
                <w:szCs w:val="16"/>
                <w:lang w:val="ro-MD"/>
              </w:rPr>
            </w:pPr>
            <w:r w:rsidRPr="001C4179">
              <w:rPr>
                <w:rFonts w:asciiTheme="majorHAnsi" w:hAnsiTheme="majorHAnsi" w:cstheme="majorHAnsi"/>
                <w:sz w:val="16"/>
                <w:szCs w:val="16"/>
                <w:lang w:val="ro-RO"/>
              </w:rPr>
              <w:t xml:space="preserve">A fost aprobat </w:t>
            </w:r>
            <w:r w:rsidRPr="001C4179">
              <w:rPr>
                <w:rFonts w:asciiTheme="majorHAnsi" w:hAnsiTheme="majorHAnsi" w:cstheme="majorHAnsi"/>
                <w:b/>
                <w:sz w:val="16"/>
                <w:szCs w:val="16"/>
                <w:lang w:val="ro-RO"/>
              </w:rPr>
              <w:t>Ordinul Ministerului Finanțelor nr.141/2020</w:t>
            </w:r>
            <w:r w:rsidRPr="001C4179">
              <w:rPr>
                <w:rFonts w:asciiTheme="majorHAnsi" w:hAnsiTheme="majorHAnsi" w:cstheme="majorHAnsi"/>
                <w:sz w:val="16"/>
                <w:szCs w:val="16"/>
                <w:lang w:val="ro-RO"/>
              </w:rPr>
              <w:t xml:space="preserve"> ,,Cu privire la aprobarea Planului de acțiuni pentru implementarea recomandărilor din HCC nr.42/2020”. </w:t>
            </w:r>
            <w:r w:rsidRPr="001C4179">
              <w:rPr>
                <w:rFonts w:asciiTheme="majorHAnsi" w:hAnsiTheme="majorHAnsi" w:cstheme="majorHAnsi"/>
                <w:i/>
                <w:iCs/>
                <w:sz w:val="16"/>
                <w:szCs w:val="16"/>
                <w:lang w:val="ro-RO"/>
              </w:rPr>
              <w:t>Anexa nr.1</w:t>
            </w:r>
          </w:p>
        </w:tc>
        <w:tc>
          <w:tcPr>
            <w:tcW w:w="425" w:type="dxa"/>
          </w:tcPr>
          <w:p w14:paraId="48351AA2" w14:textId="77777777" w:rsidR="00D705B6" w:rsidRPr="001C4179" w:rsidRDefault="00D705B6" w:rsidP="00D705B6">
            <w:pPr>
              <w:tabs>
                <w:tab w:val="left" w:pos="720"/>
              </w:tabs>
              <w:spacing w:line="240" w:lineRule="auto"/>
              <w:jc w:val="right"/>
              <w:rPr>
                <w:rFonts w:asciiTheme="majorHAnsi" w:hAnsiTheme="majorHAnsi" w:cstheme="majorHAnsi"/>
                <w:b/>
                <w:sz w:val="16"/>
                <w:szCs w:val="16"/>
                <w:lang w:val="ro-MD"/>
              </w:rPr>
            </w:pPr>
            <w:r w:rsidRPr="001C4179">
              <w:rPr>
                <w:rFonts w:asciiTheme="majorHAnsi" w:hAnsiTheme="majorHAnsi" w:cstheme="majorHAnsi"/>
                <w:b/>
                <w:sz w:val="16"/>
                <w:szCs w:val="16"/>
                <w:lang w:val="ro-MD"/>
              </w:rPr>
              <w:t>V</w:t>
            </w:r>
          </w:p>
        </w:tc>
        <w:tc>
          <w:tcPr>
            <w:tcW w:w="567" w:type="dxa"/>
          </w:tcPr>
          <w:p w14:paraId="384B825B" w14:textId="77777777" w:rsidR="00D705B6" w:rsidRPr="001C4179" w:rsidRDefault="00D705B6" w:rsidP="00D705B6">
            <w:pPr>
              <w:tabs>
                <w:tab w:val="left" w:pos="720"/>
              </w:tabs>
              <w:spacing w:line="240" w:lineRule="auto"/>
              <w:jc w:val="center"/>
              <w:rPr>
                <w:rFonts w:asciiTheme="majorHAnsi" w:hAnsiTheme="majorHAnsi" w:cstheme="majorHAnsi"/>
                <w:b/>
                <w:sz w:val="16"/>
                <w:szCs w:val="16"/>
                <w:lang w:val="ro-MD"/>
              </w:rPr>
            </w:pPr>
          </w:p>
        </w:tc>
        <w:tc>
          <w:tcPr>
            <w:tcW w:w="425" w:type="dxa"/>
          </w:tcPr>
          <w:p w14:paraId="43D4BE2A" w14:textId="77777777" w:rsidR="00D705B6" w:rsidRPr="001C4179" w:rsidRDefault="00D705B6" w:rsidP="00D705B6">
            <w:pPr>
              <w:tabs>
                <w:tab w:val="left" w:pos="720"/>
              </w:tabs>
              <w:spacing w:line="240" w:lineRule="auto"/>
              <w:jc w:val="right"/>
              <w:rPr>
                <w:rFonts w:asciiTheme="majorHAnsi" w:hAnsiTheme="majorHAnsi" w:cstheme="majorHAnsi"/>
                <w:b/>
                <w:sz w:val="16"/>
                <w:szCs w:val="16"/>
                <w:lang w:val="ro-MD"/>
              </w:rPr>
            </w:pPr>
          </w:p>
        </w:tc>
        <w:tc>
          <w:tcPr>
            <w:tcW w:w="2835" w:type="dxa"/>
          </w:tcPr>
          <w:p w14:paraId="53903AAE" w14:textId="77777777" w:rsidR="00D705B6" w:rsidRPr="001C4179" w:rsidRDefault="00D705B6" w:rsidP="00D705B6">
            <w:pPr>
              <w:tabs>
                <w:tab w:val="left" w:pos="720"/>
              </w:tabs>
              <w:spacing w:line="240" w:lineRule="auto"/>
              <w:jc w:val="right"/>
              <w:rPr>
                <w:rFonts w:asciiTheme="majorHAnsi" w:hAnsiTheme="majorHAnsi" w:cstheme="majorHAnsi"/>
                <w:b/>
                <w:sz w:val="16"/>
                <w:szCs w:val="16"/>
                <w:lang w:val="ro-MD"/>
              </w:rPr>
            </w:pPr>
          </w:p>
        </w:tc>
      </w:tr>
      <w:tr w:rsidR="00D705B6" w:rsidRPr="001C4179" w14:paraId="7C243222" w14:textId="77777777" w:rsidTr="00B3263D">
        <w:trPr>
          <w:trHeight w:val="288"/>
          <w:jc w:val="center"/>
        </w:trPr>
        <w:tc>
          <w:tcPr>
            <w:tcW w:w="2830" w:type="dxa"/>
          </w:tcPr>
          <w:p w14:paraId="1FB4E1C3" w14:textId="77777777" w:rsidR="00D705B6" w:rsidRPr="001C4179" w:rsidRDefault="00D705B6" w:rsidP="00D705B6">
            <w:pPr>
              <w:spacing w:line="240" w:lineRule="auto"/>
              <w:jc w:val="both"/>
              <w:rPr>
                <w:rFonts w:asciiTheme="majorHAnsi" w:eastAsia="Times New Roman" w:hAnsiTheme="majorHAnsi" w:cstheme="majorHAnsi"/>
                <w:sz w:val="16"/>
                <w:szCs w:val="16"/>
                <w:lang w:val="ro-MD"/>
              </w:rPr>
            </w:pPr>
            <w:r w:rsidRPr="001C4179">
              <w:rPr>
                <w:rFonts w:asciiTheme="majorHAnsi" w:eastAsia="Times New Roman" w:hAnsiTheme="majorHAnsi" w:cstheme="majorHAnsi"/>
                <w:b/>
                <w:bCs/>
                <w:sz w:val="16"/>
                <w:szCs w:val="16"/>
                <w:lang w:val="ro-MD"/>
              </w:rPr>
              <w:t xml:space="preserve">2.4.1. </w:t>
            </w:r>
            <w:r w:rsidRPr="001C4179">
              <w:rPr>
                <w:rFonts w:asciiTheme="majorHAnsi" w:eastAsia="Times New Roman" w:hAnsiTheme="majorHAnsi" w:cstheme="majorHAnsi"/>
                <w:sz w:val="16"/>
                <w:szCs w:val="16"/>
                <w:lang w:val="ro-MD"/>
              </w:rPr>
              <w:t xml:space="preserve">elaborarea şi aprobarea metodologiei de planificare a veniturilor administrate de către organele vamale pentru includerea în prognoza bugetară; </w:t>
            </w:r>
          </w:p>
          <w:p w14:paraId="7945C543" w14:textId="77777777" w:rsidR="00D705B6" w:rsidRPr="001C4179" w:rsidRDefault="00D705B6" w:rsidP="00D705B6">
            <w:pPr>
              <w:pStyle w:val="ListParagraph"/>
              <w:tabs>
                <w:tab w:val="left" w:pos="40"/>
                <w:tab w:val="left" w:pos="318"/>
                <w:tab w:val="left" w:pos="1080"/>
              </w:tabs>
              <w:ind w:left="40" w:right="9"/>
              <w:jc w:val="both"/>
              <w:rPr>
                <w:rFonts w:asciiTheme="majorHAnsi" w:hAnsiTheme="majorHAnsi" w:cstheme="majorHAnsi"/>
                <w:b/>
                <w:i/>
                <w:sz w:val="16"/>
                <w:szCs w:val="16"/>
                <w:lang w:val="ro-MD" w:eastAsia="ru-RU"/>
              </w:rPr>
            </w:pPr>
          </w:p>
        </w:tc>
        <w:tc>
          <w:tcPr>
            <w:tcW w:w="3119" w:type="dxa"/>
          </w:tcPr>
          <w:p w14:paraId="04AD89DD" w14:textId="77777777" w:rsidR="00D705B6" w:rsidRPr="001C4179" w:rsidRDefault="00D705B6" w:rsidP="00D705B6">
            <w:pPr>
              <w:spacing w:line="240" w:lineRule="auto"/>
              <w:jc w:val="both"/>
              <w:rPr>
                <w:rFonts w:asciiTheme="majorHAnsi" w:hAnsiTheme="majorHAnsi" w:cstheme="majorHAnsi"/>
                <w:b/>
                <w:sz w:val="16"/>
                <w:szCs w:val="16"/>
                <w:lang w:val="ro-MD"/>
              </w:rPr>
            </w:pPr>
            <w:r w:rsidRPr="001C4179">
              <w:rPr>
                <w:rFonts w:asciiTheme="majorHAnsi" w:hAnsiTheme="majorHAnsi" w:cstheme="majorHAnsi"/>
                <w:sz w:val="16"/>
                <w:szCs w:val="16"/>
                <w:lang w:val="ro-RO"/>
              </w:rPr>
              <w:t>A fost elaborat și aprobat Ordinul Serviciului Vamal nr.197-o din 30.06.2021 ”</w:t>
            </w:r>
            <w:r w:rsidRPr="001C4179">
              <w:rPr>
                <w:rFonts w:asciiTheme="majorHAnsi" w:hAnsiTheme="majorHAnsi" w:cstheme="majorHAnsi"/>
                <w:i/>
                <w:sz w:val="16"/>
                <w:szCs w:val="16"/>
                <w:lang w:val="ro-RO"/>
              </w:rPr>
              <w:t>Cu privire la aprobarea Recomandărilor metodologice privind planificarea veniturilor administrate de Serviciul Vamal”. Anexa nr. 2</w:t>
            </w:r>
          </w:p>
        </w:tc>
        <w:tc>
          <w:tcPr>
            <w:tcW w:w="425" w:type="dxa"/>
          </w:tcPr>
          <w:p w14:paraId="108E93C4" w14:textId="77777777" w:rsidR="00D705B6" w:rsidRPr="001C4179" w:rsidRDefault="00D705B6" w:rsidP="00D705B6">
            <w:pPr>
              <w:tabs>
                <w:tab w:val="left" w:pos="720"/>
              </w:tabs>
              <w:spacing w:line="240" w:lineRule="auto"/>
              <w:jc w:val="right"/>
              <w:rPr>
                <w:rFonts w:asciiTheme="majorHAnsi" w:hAnsiTheme="majorHAnsi" w:cstheme="majorHAnsi"/>
                <w:b/>
                <w:sz w:val="16"/>
                <w:szCs w:val="16"/>
                <w:lang w:val="ro-MD"/>
              </w:rPr>
            </w:pPr>
            <w:r w:rsidRPr="001C4179">
              <w:rPr>
                <w:rFonts w:asciiTheme="majorHAnsi" w:hAnsiTheme="majorHAnsi" w:cstheme="majorHAnsi"/>
                <w:b/>
                <w:sz w:val="16"/>
                <w:szCs w:val="16"/>
                <w:lang w:val="ro-MD"/>
              </w:rPr>
              <w:t>V</w:t>
            </w:r>
          </w:p>
        </w:tc>
        <w:tc>
          <w:tcPr>
            <w:tcW w:w="567" w:type="dxa"/>
          </w:tcPr>
          <w:p w14:paraId="48C78DAF" w14:textId="77777777" w:rsidR="00D705B6" w:rsidRPr="001C4179" w:rsidRDefault="00D705B6" w:rsidP="00D705B6">
            <w:pPr>
              <w:tabs>
                <w:tab w:val="left" w:pos="720"/>
              </w:tabs>
              <w:spacing w:line="240" w:lineRule="auto"/>
              <w:jc w:val="center"/>
              <w:rPr>
                <w:rFonts w:asciiTheme="majorHAnsi" w:hAnsiTheme="majorHAnsi" w:cstheme="majorHAnsi"/>
                <w:b/>
                <w:sz w:val="16"/>
                <w:szCs w:val="16"/>
                <w:lang w:val="ro-MD"/>
              </w:rPr>
            </w:pPr>
          </w:p>
        </w:tc>
        <w:tc>
          <w:tcPr>
            <w:tcW w:w="425" w:type="dxa"/>
          </w:tcPr>
          <w:p w14:paraId="2A93575B" w14:textId="77777777" w:rsidR="00D705B6" w:rsidRPr="001C4179" w:rsidRDefault="00D705B6" w:rsidP="00D705B6">
            <w:pPr>
              <w:tabs>
                <w:tab w:val="left" w:pos="720"/>
              </w:tabs>
              <w:spacing w:line="240" w:lineRule="auto"/>
              <w:jc w:val="right"/>
              <w:rPr>
                <w:rFonts w:asciiTheme="majorHAnsi" w:hAnsiTheme="majorHAnsi" w:cstheme="majorHAnsi"/>
                <w:b/>
                <w:sz w:val="16"/>
                <w:szCs w:val="16"/>
                <w:lang w:val="ro-MD"/>
              </w:rPr>
            </w:pPr>
          </w:p>
        </w:tc>
        <w:tc>
          <w:tcPr>
            <w:tcW w:w="2835" w:type="dxa"/>
          </w:tcPr>
          <w:p w14:paraId="718AFD4C" w14:textId="77777777" w:rsidR="00D705B6" w:rsidRPr="001C4179" w:rsidRDefault="00D705B6" w:rsidP="00D705B6">
            <w:pPr>
              <w:tabs>
                <w:tab w:val="left" w:pos="720"/>
              </w:tabs>
              <w:spacing w:line="240" w:lineRule="auto"/>
              <w:jc w:val="right"/>
              <w:rPr>
                <w:rFonts w:asciiTheme="majorHAnsi" w:hAnsiTheme="majorHAnsi" w:cstheme="majorHAnsi"/>
                <w:b/>
                <w:sz w:val="16"/>
                <w:szCs w:val="16"/>
                <w:lang w:val="ro-MD"/>
              </w:rPr>
            </w:pPr>
          </w:p>
        </w:tc>
      </w:tr>
      <w:tr w:rsidR="00D705B6" w:rsidRPr="001C4179" w14:paraId="18278FB7" w14:textId="77777777" w:rsidTr="00B3263D">
        <w:trPr>
          <w:trHeight w:val="288"/>
          <w:jc w:val="center"/>
        </w:trPr>
        <w:tc>
          <w:tcPr>
            <w:tcW w:w="2830" w:type="dxa"/>
          </w:tcPr>
          <w:p w14:paraId="13A4475A" w14:textId="77777777" w:rsidR="00D705B6" w:rsidRPr="001C4179" w:rsidRDefault="00D705B6" w:rsidP="00D705B6">
            <w:pPr>
              <w:spacing w:line="240" w:lineRule="auto"/>
              <w:jc w:val="both"/>
              <w:rPr>
                <w:rFonts w:asciiTheme="majorHAnsi" w:eastAsia="Times New Roman" w:hAnsiTheme="majorHAnsi" w:cstheme="majorHAnsi"/>
                <w:sz w:val="16"/>
                <w:szCs w:val="16"/>
                <w:lang w:val="ro-MD"/>
              </w:rPr>
            </w:pPr>
            <w:r w:rsidRPr="001C4179">
              <w:rPr>
                <w:rFonts w:asciiTheme="majorHAnsi" w:eastAsia="Times New Roman" w:hAnsiTheme="majorHAnsi" w:cstheme="majorHAnsi"/>
                <w:b/>
                <w:bCs/>
                <w:sz w:val="16"/>
                <w:szCs w:val="16"/>
                <w:lang w:val="ro-MD"/>
              </w:rPr>
              <w:t>2.4.2.</w:t>
            </w:r>
            <w:r w:rsidRPr="001C4179">
              <w:rPr>
                <w:rFonts w:asciiTheme="majorHAnsi" w:eastAsia="Times New Roman" w:hAnsiTheme="majorHAnsi" w:cstheme="majorHAnsi"/>
                <w:sz w:val="16"/>
                <w:szCs w:val="16"/>
                <w:lang w:val="ro-MD"/>
              </w:rPr>
              <w:t xml:space="preserve"> elaborarea şi înaintarea propunerilor cu referire la stocurile antrepozitate, care se află la un stadiu avansat de alterare şi prezintă pericol pentru produsele depozitate alăturat;</w:t>
            </w:r>
          </w:p>
          <w:p w14:paraId="20520B0F" w14:textId="77777777" w:rsidR="00D705B6" w:rsidRPr="001C4179" w:rsidRDefault="00D705B6" w:rsidP="00D705B6">
            <w:pPr>
              <w:tabs>
                <w:tab w:val="left" w:pos="720"/>
              </w:tabs>
              <w:spacing w:line="240" w:lineRule="auto"/>
              <w:jc w:val="both"/>
              <w:rPr>
                <w:rFonts w:asciiTheme="majorHAnsi" w:hAnsiTheme="majorHAnsi" w:cstheme="majorHAnsi"/>
                <w:b/>
                <w:i/>
                <w:sz w:val="16"/>
                <w:szCs w:val="16"/>
                <w:lang w:val="ro-MD" w:eastAsia="ru-RU"/>
              </w:rPr>
            </w:pPr>
          </w:p>
        </w:tc>
        <w:tc>
          <w:tcPr>
            <w:tcW w:w="3119" w:type="dxa"/>
          </w:tcPr>
          <w:p w14:paraId="067EFD3E" w14:textId="77777777" w:rsidR="00D705B6" w:rsidRPr="001C4179" w:rsidRDefault="00D705B6" w:rsidP="00D705B6">
            <w:pPr>
              <w:spacing w:line="240" w:lineRule="auto"/>
              <w:jc w:val="both"/>
              <w:rPr>
                <w:rFonts w:asciiTheme="majorHAnsi" w:hAnsiTheme="majorHAnsi" w:cstheme="majorHAnsi"/>
                <w:i/>
                <w:iCs/>
                <w:sz w:val="16"/>
                <w:szCs w:val="16"/>
                <w:lang w:val="ro-RO"/>
              </w:rPr>
            </w:pPr>
            <w:r w:rsidRPr="001C4179">
              <w:rPr>
                <w:rFonts w:asciiTheme="majorHAnsi" w:hAnsiTheme="majorHAnsi" w:cstheme="majorHAnsi"/>
                <w:color w:val="000000" w:themeColor="text1"/>
                <w:sz w:val="16"/>
                <w:szCs w:val="16"/>
                <w:lang w:val="ro-RO"/>
              </w:rPr>
              <w:t xml:space="preserve">Serviciul Vamal: </w:t>
            </w:r>
            <w:r w:rsidRPr="001C4179">
              <w:rPr>
                <w:rFonts w:asciiTheme="majorHAnsi" w:hAnsiTheme="majorHAnsi" w:cstheme="majorHAnsi"/>
                <w:sz w:val="16"/>
                <w:szCs w:val="16"/>
                <w:lang w:val="ro-RO"/>
              </w:rPr>
              <w:t xml:space="preserve">În vederea prevenirii situațiilor în care, în antrepozitele vamale pot fi păstrate mărfuri care au termenul de valabilitate expirat și/ sau se află la un stadiu avansat de alterare împreună cu alte mărfuri, Serviciul Vamal a elaborat Dispoziția nr.685-D din 16.11.2020: </w:t>
            </w:r>
            <w:r w:rsidRPr="001C4179">
              <w:rPr>
                <w:rFonts w:asciiTheme="majorHAnsi" w:hAnsiTheme="majorHAnsi" w:cstheme="majorHAnsi"/>
                <w:i/>
                <w:iCs/>
                <w:sz w:val="16"/>
                <w:szCs w:val="16"/>
                <w:lang w:val="ro-RO"/>
              </w:rPr>
              <w:t>„Referitor la unele aspecte privind păstrarea și verificarea mărfurilor antrepozitate, cu termen limitat de valabilitate, folosite sau comercializate”. Anexa nr.3</w:t>
            </w:r>
          </w:p>
          <w:p w14:paraId="50C5EF3E" w14:textId="77777777" w:rsidR="00D705B6" w:rsidRPr="001C4179" w:rsidRDefault="00D705B6" w:rsidP="00D705B6">
            <w:pPr>
              <w:spacing w:line="240" w:lineRule="auto"/>
              <w:jc w:val="both"/>
              <w:rPr>
                <w:rFonts w:asciiTheme="majorHAnsi" w:hAnsiTheme="majorHAnsi" w:cstheme="majorHAnsi"/>
                <w:b/>
                <w:sz w:val="16"/>
                <w:szCs w:val="16"/>
                <w:lang w:val="ro-MD"/>
              </w:rPr>
            </w:pPr>
            <w:r w:rsidRPr="001C4179">
              <w:rPr>
                <w:rFonts w:asciiTheme="majorHAnsi" w:hAnsiTheme="majorHAnsi" w:cstheme="majorHAnsi"/>
                <w:sz w:val="16"/>
                <w:szCs w:val="16"/>
                <w:lang w:val="ro-RO"/>
              </w:rPr>
              <w:t xml:space="preserve">În temeiul prevederilor acestei Dispoziții, birourile vamale realizează verificarea trimestrială a condițiilor și termenelor de valabilitate a mărfurilor depozitate în cadrul antrepozitelor vamale. </w:t>
            </w:r>
          </w:p>
        </w:tc>
        <w:tc>
          <w:tcPr>
            <w:tcW w:w="425" w:type="dxa"/>
          </w:tcPr>
          <w:p w14:paraId="5477EE72" w14:textId="77777777" w:rsidR="00D705B6" w:rsidRPr="001C4179" w:rsidRDefault="00D705B6" w:rsidP="00D705B6">
            <w:pPr>
              <w:tabs>
                <w:tab w:val="left" w:pos="720"/>
              </w:tabs>
              <w:spacing w:line="240" w:lineRule="auto"/>
              <w:jc w:val="right"/>
              <w:rPr>
                <w:rFonts w:asciiTheme="majorHAnsi" w:hAnsiTheme="majorHAnsi" w:cstheme="majorHAnsi"/>
                <w:b/>
                <w:sz w:val="16"/>
                <w:szCs w:val="16"/>
                <w:lang w:val="ro-MD"/>
              </w:rPr>
            </w:pPr>
            <w:r w:rsidRPr="001C4179">
              <w:rPr>
                <w:rFonts w:asciiTheme="majorHAnsi" w:hAnsiTheme="majorHAnsi" w:cstheme="majorHAnsi"/>
                <w:b/>
                <w:sz w:val="16"/>
                <w:szCs w:val="16"/>
                <w:lang w:val="ro-MD"/>
              </w:rPr>
              <w:t>V</w:t>
            </w:r>
          </w:p>
        </w:tc>
        <w:tc>
          <w:tcPr>
            <w:tcW w:w="567" w:type="dxa"/>
          </w:tcPr>
          <w:p w14:paraId="18036BD9" w14:textId="77777777" w:rsidR="00D705B6" w:rsidRPr="001C4179" w:rsidRDefault="00D705B6" w:rsidP="00D705B6">
            <w:pPr>
              <w:tabs>
                <w:tab w:val="left" w:pos="720"/>
              </w:tabs>
              <w:spacing w:line="240" w:lineRule="auto"/>
              <w:jc w:val="center"/>
              <w:rPr>
                <w:rFonts w:asciiTheme="majorHAnsi" w:hAnsiTheme="majorHAnsi" w:cstheme="majorHAnsi"/>
                <w:b/>
                <w:sz w:val="16"/>
                <w:szCs w:val="16"/>
                <w:lang w:val="ro-MD"/>
              </w:rPr>
            </w:pPr>
          </w:p>
        </w:tc>
        <w:tc>
          <w:tcPr>
            <w:tcW w:w="425" w:type="dxa"/>
          </w:tcPr>
          <w:p w14:paraId="564D34E7" w14:textId="77777777" w:rsidR="00D705B6" w:rsidRPr="001C4179" w:rsidRDefault="00D705B6" w:rsidP="00D705B6">
            <w:pPr>
              <w:tabs>
                <w:tab w:val="left" w:pos="720"/>
              </w:tabs>
              <w:spacing w:line="240" w:lineRule="auto"/>
              <w:jc w:val="right"/>
              <w:rPr>
                <w:rFonts w:asciiTheme="majorHAnsi" w:hAnsiTheme="majorHAnsi" w:cstheme="majorHAnsi"/>
                <w:b/>
                <w:sz w:val="16"/>
                <w:szCs w:val="16"/>
                <w:lang w:val="ro-MD"/>
              </w:rPr>
            </w:pPr>
          </w:p>
        </w:tc>
        <w:tc>
          <w:tcPr>
            <w:tcW w:w="2835" w:type="dxa"/>
          </w:tcPr>
          <w:p w14:paraId="6AF37049" w14:textId="77777777" w:rsidR="00D705B6" w:rsidRPr="001C4179" w:rsidRDefault="00D705B6" w:rsidP="00D705B6">
            <w:pPr>
              <w:tabs>
                <w:tab w:val="left" w:pos="720"/>
              </w:tabs>
              <w:spacing w:line="240" w:lineRule="auto"/>
              <w:jc w:val="right"/>
              <w:rPr>
                <w:rFonts w:asciiTheme="majorHAnsi" w:hAnsiTheme="majorHAnsi" w:cstheme="majorHAnsi"/>
                <w:b/>
                <w:sz w:val="16"/>
                <w:szCs w:val="16"/>
                <w:lang w:val="ro-MD"/>
              </w:rPr>
            </w:pPr>
          </w:p>
        </w:tc>
      </w:tr>
      <w:tr w:rsidR="00D705B6" w:rsidRPr="00911D93" w14:paraId="3EF8C465" w14:textId="77777777" w:rsidTr="00B3263D">
        <w:trPr>
          <w:trHeight w:val="288"/>
          <w:jc w:val="center"/>
        </w:trPr>
        <w:tc>
          <w:tcPr>
            <w:tcW w:w="2830" w:type="dxa"/>
          </w:tcPr>
          <w:p w14:paraId="40C1283C" w14:textId="77777777" w:rsidR="00D705B6" w:rsidRPr="001C4179" w:rsidRDefault="00D705B6" w:rsidP="00D705B6">
            <w:pPr>
              <w:spacing w:line="240" w:lineRule="auto"/>
              <w:jc w:val="both"/>
              <w:rPr>
                <w:rFonts w:asciiTheme="majorHAnsi" w:eastAsia="Times New Roman" w:hAnsiTheme="majorHAnsi" w:cstheme="majorHAnsi"/>
                <w:sz w:val="16"/>
                <w:szCs w:val="16"/>
                <w:lang w:val="ro-MD"/>
              </w:rPr>
            </w:pPr>
            <w:r w:rsidRPr="001C4179">
              <w:rPr>
                <w:rFonts w:asciiTheme="majorHAnsi" w:eastAsia="Times New Roman" w:hAnsiTheme="majorHAnsi" w:cstheme="majorHAnsi"/>
                <w:b/>
                <w:bCs/>
                <w:sz w:val="16"/>
                <w:szCs w:val="16"/>
                <w:lang w:val="ro-MD"/>
              </w:rPr>
              <w:t>2.4.3.</w:t>
            </w:r>
            <w:r w:rsidRPr="001C4179">
              <w:rPr>
                <w:rFonts w:asciiTheme="majorHAnsi" w:eastAsia="Times New Roman" w:hAnsiTheme="majorHAnsi" w:cstheme="majorHAnsi"/>
                <w:sz w:val="16"/>
                <w:szCs w:val="16"/>
                <w:lang w:val="ro-MD"/>
              </w:rPr>
              <w:t xml:space="preserve"> remedierea divergențelor între datele raportate de Serviciul Vamal şi Ministerul Finanțelor privind sumele calculate şi achitate aferente drepturilor de import/export;</w:t>
            </w:r>
          </w:p>
          <w:p w14:paraId="4D316DF2" w14:textId="77777777" w:rsidR="00D705B6" w:rsidRPr="001C4179" w:rsidRDefault="00D705B6" w:rsidP="00D705B6">
            <w:pPr>
              <w:tabs>
                <w:tab w:val="left" w:pos="450"/>
                <w:tab w:val="left" w:pos="540"/>
                <w:tab w:val="left" w:pos="709"/>
                <w:tab w:val="left" w:pos="1080"/>
              </w:tabs>
              <w:spacing w:line="240" w:lineRule="auto"/>
              <w:ind w:right="9"/>
              <w:contextualSpacing/>
              <w:jc w:val="both"/>
              <w:rPr>
                <w:rFonts w:asciiTheme="majorHAnsi" w:hAnsiTheme="majorHAnsi" w:cstheme="majorHAnsi"/>
                <w:b/>
                <w:sz w:val="16"/>
                <w:szCs w:val="16"/>
                <w:lang w:val="ro-MD" w:eastAsia="ru-RU"/>
              </w:rPr>
            </w:pPr>
          </w:p>
        </w:tc>
        <w:tc>
          <w:tcPr>
            <w:tcW w:w="3119" w:type="dxa"/>
          </w:tcPr>
          <w:p w14:paraId="7C53C92F" w14:textId="77777777" w:rsidR="00D705B6" w:rsidRPr="001C4179" w:rsidRDefault="00D705B6" w:rsidP="00D705B6">
            <w:pPr>
              <w:spacing w:line="240" w:lineRule="auto"/>
              <w:jc w:val="both"/>
              <w:rPr>
                <w:rFonts w:asciiTheme="majorHAnsi" w:hAnsiTheme="majorHAnsi" w:cstheme="majorHAnsi"/>
                <w:sz w:val="16"/>
                <w:szCs w:val="16"/>
                <w:lang w:val="ro-RO"/>
              </w:rPr>
            </w:pPr>
            <w:r w:rsidRPr="001C4179">
              <w:rPr>
                <w:rFonts w:asciiTheme="majorHAnsi" w:hAnsiTheme="majorHAnsi" w:cstheme="majorHAnsi"/>
                <w:sz w:val="16"/>
                <w:szCs w:val="16"/>
                <w:lang w:val="ro-RO"/>
              </w:rPr>
              <w:t xml:space="preserve"> </w:t>
            </w:r>
          </w:p>
          <w:p w14:paraId="3559FBF9" w14:textId="77777777" w:rsidR="00D705B6" w:rsidRPr="001C4179" w:rsidRDefault="00D705B6" w:rsidP="00D705B6">
            <w:pPr>
              <w:spacing w:line="240" w:lineRule="auto"/>
              <w:jc w:val="both"/>
              <w:rPr>
                <w:rFonts w:asciiTheme="majorHAnsi" w:hAnsiTheme="majorHAnsi" w:cstheme="majorHAnsi"/>
                <w:sz w:val="16"/>
                <w:szCs w:val="16"/>
                <w:lang w:val="ro-RO"/>
              </w:rPr>
            </w:pPr>
          </w:p>
        </w:tc>
        <w:tc>
          <w:tcPr>
            <w:tcW w:w="425" w:type="dxa"/>
          </w:tcPr>
          <w:p w14:paraId="58244883" w14:textId="77777777" w:rsidR="00D705B6" w:rsidRPr="001C4179" w:rsidRDefault="00D705B6" w:rsidP="00D705B6">
            <w:pPr>
              <w:tabs>
                <w:tab w:val="left" w:pos="720"/>
              </w:tabs>
              <w:spacing w:line="240" w:lineRule="auto"/>
              <w:jc w:val="right"/>
              <w:rPr>
                <w:rFonts w:asciiTheme="majorHAnsi" w:hAnsiTheme="majorHAnsi" w:cstheme="majorHAnsi"/>
                <w:b/>
                <w:sz w:val="16"/>
                <w:szCs w:val="16"/>
                <w:lang w:val="ro-MD"/>
              </w:rPr>
            </w:pPr>
          </w:p>
        </w:tc>
        <w:tc>
          <w:tcPr>
            <w:tcW w:w="567" w:type="dxa"/>
          </w:tcPr>
          <w:p w14:paraId="02FEA741" w14:textId="77777777" w:rsidR="00D705B6" w:rsidRPr="001C4179" w:rsidRDefault="00D705B6" w:rsidP="00D705B6">
            <w:pPr>
              <w:tabs>
                <w:tab w:val="left" w:pos="720"/>
              </w:tabs>
              <w:spacing w:line="240" w:lineRule="auto"/>
              <w:jc w:val="center"/>
              <w:rPr>
                <w:rFonts w:asciiTheme="majorHAnsi" w:hAnsiTheme="majorHAnsi" w:cstheme="majorHAnsi"/>
                <w:b/>
                <w:sz w:val="16"/>
                <w:szCs w:val="16"/>
                <w:lang w:val="ro-MD"/>
              </w:rPr>
            </w:pPr>
          </w:p>
        </w:tc>
        <w:tc>
          <w:tcPr>
            <w:tcW w:w="425" w:type="dxa"/>
          </w:tcPr>
          <w:p w14:paraId="7E631E09" w14:textId="77777777" w:rsidR="00D705B6" w:rsidRPr="001C4179" w:rsidRDefault="00D705B6" w:rsidP="00D705B6">
            <w:pPr>
              <w:tabs>
                <w:tab w:val="left" w:pos="720"/>
              </w:tabs>
              <w:spacing w:line="240" w:lineRule="auto"/>
              <w:jc w:val="right"/>
              <w:rPr>
                <w:rFonts w:asciiTheme="majorHAnsi" w:hAnsiTheme="majorHAnsi" w:cstheme="majorHAnsi"/>
                <w:b/>
                <w:sz w:val="16"/>
                <w:szCs w:val="16"/>
                <w:lang w:val="ro-MD"/>
              </w:rPr>
            </w:pPr>
            <w:r w:rsidRPr="001C4179">
              <w:rPr>
                <w:rFonts w:asciiTheme="majorHAnsi" w:hAnsiTheme="majorHAnsi" w:cstheme="majorHAnsi"/>
                <w:b/>
                <w:sz w:val="16"/>
                <w:szCs w:val="16"/>
                <w:lang w:val="ro-MD"/>
              </w:rPr>
              <w:t>V</w:t>
            </w:r>
          </w:p>
        </w:tc>
        <w:tc>
          <w:tcPr>
            <w:tcW w:w="2835" w:type="dxa"/>
          </w:tcPr>
          <w:p w14:paraId="3B842CAB" w14:textId="77777777" w:rsidR="00D705B6" w:rsidRPr="001C4179" w:rsidRDefault="00D705B6" w:rsidP="00D705B6">
            <w:pPr>
              <w:spacing w:line="240" w:lineRule="auto"/>
              <w:jc w:val="both"/>
              <w:rPr>
                <w:rFonts w:asciiTheme="majorHAnsi" w:hAnsiTheme="majorHAnsi" w:cstheme="majorHAnsi"/>
                <w:sz w:val="16"/>
                <w:szCs w:val="16"/>
                <w:lang w:val="ro-RO"/>
              </w:rPr>
            </w:pPr>
            <w:r w:rsidRPr="001C4179">
              <w:rPr>
                <w:rFonts w:asciiTheme="majorHAnsi" w:hAnsiTheme="majorHAnsi" w:cstheme="majorHAnsi"/>
                <w:sz w:val="16"/>
                <w:szCs w:val="16"/>
                <w:lang w:val="ro-RO"/>
              </w:rPr>
              <w:t>Recomandarea dată este imposibil de implementat, reieșind din competențele funcționale și cadrul legislativ și normativ în vigoare, de care se conduc instituțiile respective:</w:t>
            </w:r>
          </w:p>
          <w:p w14:paraId="58B26E2B" w14:textId="77777777" w:rsidR="00D705B6" w:rsidRPr="001C4179" w:rsidRDefault="00D705B6" w:rsidP="00D705B6">
            <w:pPr>
              <w:pStyle w:val="ListParagraph"/>
              <w:numPr>
                <w:ilvl w:val="0"/>
                <w:numId w:val="22"/>
              </w:numPr>
              <w:tabs>
                <w:tab w:val="left" w:pos="313"/>
              </w:tabs>
              <w:ind w:left="30" w:firstLine="30"/>
              <w:jc w:val="both"/>
              <w:rPr>
                <w:rFonts w:asciiTheme="majorHAnsi" w:hAnsiTheme="majorHAnsi" w:cstheme="majorHAnsi"/>
                <w:sz w:val="16"/>
                <w:szCs w:val="16"/>
              </w:rPr>
            </w:pPr>
            <w:r w:rsidRPr="001C4179">
              <w:rPr>
                <w:rFonts w:asciiTheme="majorHAnsi" w:hAnsiTheme="majorHAnsi" w:cstheme="majorHAnsi"/>
                <w:sz w:val="16"/>
                <w:szCs w:val="16"/>
              </w:rPr>
              <w:t>Ministerul Finanțelor asigură evidența operațiunilor aferente mijloacelor bugetului public național prin executarea de casă potrivit Normelor metodologice privind executarea de casă, aprobate prin Ordinul MF nr.215/28.12.2015, cu modificările și completările ulterioare.</w:t>
            </w:r>
          </w:p>
          <w:p w14:paraId="50393D7D" w14:textId="77777777" w:rsidR="00D705B6" w:rsidRPr="001C4179" w:rsidRDefault="00D705B6" w:rsidP="00D705B6">
            <w:pPr>
              <w:tabs>
                <w:tab w:val="left" w:pos="720"/>
              </w:tabs>
              <w:spacing w:line="240" w:lineRule="auto"/>
              <w:jc w:val="both"/>
              <w:rPr>
                <w:rFonts w:asciiTheme="majorHAnsi" w:hAnsiTheme="majorHAnsi" w:cstheme="majorHAnsi"/>
                <w:b/>
                <w:sz w:val="16"/>
                <w:szCs w:val="16"/>
                <w:lang w:val="ro-MD"/>
              </w:rPr>
            </w:pPr>
            <w:r w:rsidRPr="001C4179">
              <w:rPr>
                <w:rFonts w:asciiTheme="majorHAnsi" w:hAnsiTheme="majorHAnsi" w:cstheme="majorHAnsi"/>
                <w:sz w:val="16"/>
                <w:szCs w:val="16"/>
                <w:lang w:val="ro-RO"/>
              </w:rPr>
              <w:t>Serviciul Vamal asigură evidență veniturilor administrate de organele vamale prin metoda de calcul, fiecare operațiune fiind reglementată de prevederile actelor legislative în vigoare. Modul de asigurare a evidenței obligațiilor vamale și Modul de ținere și actualizare a fișelor personale de evidență ale plătitorilor vamali sunt expres prevăzute de art.125</w:t>
            </w:r>
            <w:r w:rsidRPr="001C4179">
              <w:rPr>
                <w:rFonts w:asciiTheme="majorHAnsi" w:hAnsiTheme="majorHAnsi" w:cstheme="majorHAnsi"/>
                <w:sz w:val="16"/>
                <w:szCs w:val="16"/>
                <w:vertAlign w:val="superscript"/>
                <w:lang w:val="ro-RO"/>
              </w:rPr>
              <w:t>1</w:t>
            </w:r>
            <w:r w:rsidRPr="001C4179">
              <w:rPr>
                <w:rFonts w:asciiTheme="majorHAnsi" w:hAnsiTheme="majorHAnsi" w:cstheme="majorHAnsi"/>
                <w:sz w:val="16"/>
                <w:szCs w:val="16"/>
                <w:lang w:val="ro-RO"/>
              </w:rPr>
              <w:t xml:space="preserve"> și 125</w:t>
            </w:r>
            <w:r w:rsidRPr="001C4179">
              <w:rPr>
                <w:rFonts w:asciiTheme="majorHAnsi" w:hAnsiTheme="majorHAnsi" w:cstheme="majorHAnsi"/>
                <w:sz w:val="16"/>
                <w:szCs w:val="16"/>
                <w:vertAlign w:val="superscript"/>
                <w:lang w:val="ro-RO"/>
              </w:rPr>
              <w:t>2</w:t>
            </w:r>
            <w:r w:rsidRPr="001C4179">
              <w:rPr>
                <w:rFonts w:asciiTheme="majorHAnsi" w:hAnsiTheme="majorHAnsi" w:cstheme="majorHAnsi"/>
                <w:sz w:val="16"/>
                <w:szCs w:val="16"/>
                <w:lang w:val="ro-RO"/>
              </w:rPr>
              <w:t xml:space="preserve"> a Codului vamal nr.1149-XIV din 20.07.2000</w:t>
            </w:r>
          </w:p>
        </w:tc>
      </w:tr>
      <w:tr w:rsidR="00D705B6" w:rsidRPr="00911D93" w14:paraId="2843B4D6" w14:textId="77777777" w:rsidTr="00B3263D">
        <w:trPr>
          <w:trHeight w:val="288"/>
          <w:jc w:val="center"/>
        </w:trPr>
        <w:tc>
          <w:tcPr>
            <w:tcW w:w="2830" w:type="dxa"/>
          </w:tcPr>
          <w:p w14:paraId="68932451" w14:textId="77777777" w:rsidR="00D705B6" w:rsidRPr="001C4179" w:rsidRDefault="00D705B6" w:rsidP="00D705B6">
            <w:pPr>
              <w:spacing w:line="240" w:lineRule="auto"/>
              <w:jc w:val="both"/>
              <w:rPr>
                <w:rFonts w:asciiTheme="majorHAnsi" w:eastAsia="Times New Roman" w:hAnsiTheme="majorHAnsi" w:cstheme="majorHAnsi"/>
                <w:sz w:val="16"/>
                <w:szCs w:val="16"/>
                <w:lang w:val="ro-MD"/>
              </w:rPr>
            </w:pPr>
            <w:r w:rsidRPr="001C4179">
              <w:rPr>
                <w:rFonts w:asciiTheme="majorHAnsi" w:eastAsia="Times New Roman" w:hAnsiTheme="majorHAnsi" w:cstheme="majorHAnsi"/>
                <w:b/>
                <w:bCs/>
                <w:sz w:val="16"/>
                <w:szCs w:val="16"/>
                <w:lang w:val="ro-MD"/>
              </w:rPr>
              <w:t xml:space="preserve">2.4.4. </w:t>
            </w:r>
            <w:r w:rsidRPr="001C4179">
              <w:rPr>
                <w:rFonts w:asciiTheme="majorHAnsi" w:eastAsia="Times New Roman" w:hAnsiTheme="majorHAnsi" w:cstheme="majorHAnsi"/>
                <w:sz w:val="16"/>
                <w:szCs w:val="16"/>
                <w:lang w:val="ro-MD"/>
              </w:rPr>
              <w:t xml:space="preserve">racordarea prevederilor Regulamentului privind organizarea şi funcționarea Serviciului Vamal, aprobat prin Hotărârea Guvernului nr.4 din 02.01.2007, la prevederile Legii nr.302 din 21.12.2017 cu privire la Serviciul Vamal; </w:t>
            </w:r>
          </w:p>
          <w:p w14:paraId="6FE51828" w14:textId="77777777" w:rsidR="00D705B6" w:rsidRPr="001C4179" w:rsidRDefault="00D705B6" w:rsidP="00D705B6">
            <w:pPr>
              <w:spacing w:line="240" w:lineRule="auto"/>
              <w:jc w:val="both"/>
              <w:rPr>
                <w:rFonts w:asciiTheme="majorHAnsi" w:hAnsiTheme="majorHAnsi" w:cstheme="majorHAnsi"/>
                <w:b/>
                <w:sz w:val="16"/>
                <w:szCs w:val="16"/>
                <w:lang w:val="ro-MD" w:eastAsia="ru-RU"/>
              </w:rPr>
            </w:pPr>
          </w:p>
        </w:tc>
        <w:tc>
          <w:tcPr>
            <w:tcW w:w="3119" w:type="dxa"/>
          </w:tcPr>
          <w:p w14:paraId="42DCA37A" w14:textId="051D75D9" w:rsidR="00D705B6" w:rsidRPr="001C4179" w:rsidRDefault="00D705B6" w:rsidP="00F00C1A">
            <w:pPr>
              <w:spacing w:line="240" w:lineRule="auto"/>
              <w:jc w:val="both"/>
              <w:rPr>
                <w:rFonts w:asciiTheme="majorHAnsi" w:hAnsiTheme="majorHAnsi" w:cstheme="majorHAnsi"/>
                <w:b/>
                <w:color w:val="FF0000"/>
                <w:sz w:val="16"/>
                <w:szCs w:val="16"/>
                <w:lang w:val="ro-MD"/>
              </w:rPr>
            </w:pPr>
            <w:r w:rsidRPr="001C4179">
              <w:rPr>
                <w:rFonts w:asciiTheme="majorHAnsi" w:hAnsiTheme="majorHAnsi" w:cstheme="majorHAnsi"/>
                <w:sz w:val="16"/>
                <w:szCs w:val="16"/>
                <w:lang w:val="ro-RO"/>
              </w:rPr>
              <w:t>În cadrul următoarei reorganizări a Serviciului Vamal, planificată pentru anul 2022, Hotăr</w:t>
            </w:r>
            <w:r w:rsidR="00F00C1A">
              <w:rPr>
                <w:rFonts w:asciiTheme="majorHAnsi" w:hAnsiTheme="majorHAnsi" w:cstheme="majorHAnsi"/>
                <w:sz w:val="16"/>
                <w:szCs w:val="16"/>
                <w:lang w:val="ro-RO"/>
              </w:rPr>
              <w:t>â</w:t>
            </w:r>
            <w:r w:rsidRPr="001C4179">
              <w:rPr>
                <w:rFonts w:asciiTheme="majorHAnsi" w:hAnsiTheme="majorHAnsi" w:cstheme="majorHAnsi"/>
                <w:sz w:val="16"/>
                <w:szCs w:val="16"/>
                <w:lang w:val="ro-RO"/>
              </w:rPr>
              <w:t>rea Guvernului cu privire la aprobarea efectivului-limită și a Regulamentului privind organizarea și funcționarea Serviciului vamal nr. 4/2007 va fi revizuită și modificată.</w:t>
            </w:r>
          </w:p>
        </w:tc>
        <w:tc>
          <w:tcPr>
            <w:tcW w:w="425" w:type="dxa"/>
          </w:tcPr>
          <w:p w14:paraId="25785D5B" w14:textId="77777777" w:rsidR="00D705B6" w:rsidRPr="001C4179" w:rsidRDefault="00D705B6" w:rsidP="00D705B6">
            <w:pPr>
              <w:tabs>
                <w:tab w:val="left" w:pos="720"/>
              </w:tabs>
              <w:spacing w:line="240" w:lineRule="auto"/>
              <w:jc w:val="right"/>
              <w:rPr>
                <w:rFonts w:asciiTheme="majorHAnsi" w:hAnsiTheme="majorHAnsi" w:cstheme="majorHAnsi"/>
                <w:b/>
                <w:sz w:val="16"/>
                <w:szCs w:val="16"/>
                <w:lang w:val="ro-MD"/>
              </w:rPr>
            </w:pPr>
          </w:p>
        </w:tc>
        <w:tc>
          <w:tcPr>
            <w:tcW w:w="567" w:type="dxa"/>
          </w:tcPr>
          <w:p w14:paraId="15A24454" w14:textId="77777777" w:rsidR="00D705B6" w:rsidRPr="001C4179" w:rsidRDefault="00D705B6" w:rsidP="00D705B6">
            <w:pPr>
              <w:tabs>
                <w:tab w:val="left" w:pos="720"/>
              </w:tabs>
              <w:spacing w:line="240" w:lineRule="auto"/>
              <w:jc w:val="center"/>
              <w:rPr>
                <w:rFonts w:asciiTheme="majorHAnsi" w:hAnsiTheme="majorHAnsi" w:cstheme="majorHAnsi"/>
                <w:b/>
                <w:sz w:val="16"/>
                <w:szCs w:val="16"/>
                <w:lang w:val="ro-MD"/>
              </w:rPr>
            </w:pPr>
          </w:p>
        </w:tc>
        <w:tc>
          <w:tcPr>
            <w:tcW w:w="425" w:type="dxa"/>
          </w:tcPr>
          <w:p w14:paraId="0D23FCF2" w14:textId="77777777" w:rsidR="00D705B6" w:rsidRPr="001C4179" w:rsidRDefault="00D705B6" w:rsidP="00D705B6">
            <w:pPr>
              <w:tabs>
                <w:tab w:val="left" w:pos="720"/>
              </w:tabs>
              <w:spacing w:line="240" w:lineRule="auto"/>
              <w:jc w:val="right"/>
              <w:rPr>
                <w:rFonts w:asciiTheme="majorHAnsi" w:hAnsiTheme="majorHAnsi" w:cstheme="majorHAnsi"/>
                <w:b/>
                <w:sz w:val="16"/>
                <w:szCs w:val="16"/>
                <w:lang w:val="ro-MD"/>
              </w:rPr>
            </w:pPr>
            <w:r w:rsidRPr="001C4179">
              <w:rPr>
                <w:rFonts w:asciiTheme="majorHAnsi" w:hAnsiTheme="majorHAnsi" w:cstheme="majorHAnsi"/>
                <w:b/>
                <w:sz w:val="16"/>
                <w:szCs w:val="16"/>
                <w:lang w:val="ro-MD"/>
              </w:rPr>
              <w:t>V</w:t>
            </w:r>
          </w:p>
        </w:tc>
        <w:tc>
          <w:tcPr>
            <w:tcW w:w="2835" w:type="dxa"/>
          </w:tcPr>
          <w:p w14:paraId="38AB8CC2" w14:textId="77777777" w:rsidR="00D705B6" w:rsidRPr="001C4179" w:rsidRDefault="00D705B6" w:rsidP="00D705B6">
            <w:pPr>
              <w:tabs>
                <w:tab w:val="left" w:pos="35"/>
              </w:tabs>
              <w:spacing w:line="240" w:lineRule="auto"/>
              <w:jc w:val="both"/>
              <w:rPr>
                <w:rFonts w:asciiTheme="majorHAnsi" w:hAnsiTheme="majorHAnsi" w:cstheme="majorHAnsi"/>
                <w:bCs/>
                <w:sz w:val="16"/>
                <w:szCs w:val="16"/>
                <w:lang w:val="ro-MD"/>
              </w:rPr>
            </w:pPr>
            <w:r w:rsidRPr="001C4179">
              <w:rPr>
                <w:rFonts w:asciiTheme="majorHAnsi" w:hAnsiTheme="majorHAnsi" w:cstheme="majorHAnsi"/>
                <w:bCs/>
                <w:sz w:val="16"/>
                <w:szCs w:val="16"/>
                <w:lang w:val="ro-MD"/>
              </w:rPr>
              <w:t>Procesul de reorganizare a Serviciului Vamal este în curs de desfășurare.</w:t>
            </w:r>
          </w:p>
        </w:tc>
      </w:tr>
      <w:tr w:rsidR="00D705B6" w:rsidRPr="001C4179" w14:paraId="48308D75" w14:textId="77777777" w:rsidTr="00B3263D">
        <w:trPr>
          <w:trHeight w:val="288"/>
          <w:jc w:val="center"/>
        </w:trPr>
        <w:tc>
          <w:tcPr>
            <w:tcW w:w="2830" w:type="dxa"/>
          </w:tcPr>
          <w:p w14:paraId="487D3EB9" w14:textId="77777777" w:rsidR="00D705B6" w:rsidRPr="001C4179" w:rsidRDefault="00D705B6" w:rsidP="00D705B6">
            <w:pPr>
              <w:spacing w:line="240" w:lineRule="auto"/>
              <w:jc w:val="both"/>
              <w:rPr>
                <w:rFonts w:asciiTheme="majorHAnsi" w:eastAsia="Times New Roman" w:hAnsiTheme="majorHAnsi" w:cstheme="majorHAnsi"/>
                <w:sz w:val="16"/>
                <w:szCs w:val="16"/>
                <w:lang w:val="ro-MD"/>
              </w:rPr>
            </w:pPr>
            <w:r w:rsidRPr="001C4179">
              <w:rPr>
                <w:rFonts w:asciiTheme="majorHAnsi" w:eastAsia="Times New Roman" w:hAnsiTheme="majorHAnsi" w:cstheme="majorHAnsi"/>
                <w:b/>
                <w:bCs/>
                <w:sz w:val="16"/>
                <w:szCs w:val="16"/>
                <w:lang w:val="ro-MD"/>
              </w:rPr>
              <w:t xml:space="preserve">2.4.5. </w:t>
            </w:r>
            <w:r w:rsidRPr="001C4179">
              <w:rPr>
                <w:rFonts w:asciiTheme="majorHAnsi" w:eastAsia="Times New Roman" w:hAnsiTheme="majorHAnsi" w:cstheme="majorHAnsi"/>
                <w:sz w:val="16"/>
                <w:szCs w:val="16"/>
                <w:lang w:val="ro-MD"/>
              </w:rPr>
              <w:t>examinarea şi monitorizarea, de comun cu Ministerul Economiei şi Infrastructurii, a situațiilor ce ţin de importul de zahăr şi produse zaharoase, în scopul implementării prevederilor Legii privind aprobarea Nomenclaturii combinate a mărfurilor nr.172 din 25.07.2014 şi ale Acordului de Asociere între Republica Moldova, pe de o parte, şi Uniunea Europeană şi Comunitatea Europeană a Energiei Atomice şi statele membre ale acestora, pe de altă parte;</w:t>
            </w:r>
          </w:p>
        </w:tc>
        <w:tc>
          <w:tcPr>
            <w:tcW w:w="3119" w:type="dxa"/>
          </w:tcPr>
          <w:p w14:paraId="07DC15E7" w14:textId="77777777" w:rsidR="00D705B6" w:rsidRPr="001C4179" w:rsidRDefault="00D705B6" w:rsidP="00D705B6">
            <w:pPr>
              <w:spacing w:line="240" w:lineRule="auto"/>
              <w:jc w:val="both"/>
              <w:rPr>
                <w:rFonts w:asciiTheme="majorHAnsi" w:hAnsiTheme="majorHAnsi" w:cstheme="majorHAnsi"/>
                <w:sz w:val="16"/>
                <w:szCs w:val="16"/>
                <w:lang w:val="ro-RO"/>
              </w:rPr>
            </w:pPr>
            <w:r w:rsidRPr="001C4179">
              <w:rPr>
                <w:rFonts w:asciiTheme="majorHAnsi" w:hAnsiTheme="majorHAnsi" w:cstheme="majorHAnsi"/>
                <w:sz w:val="16"/>
                <w:szCs w:val="16"/>
                <w:lang w:val="ro-RO"/>
              </w:rPr>
              <w:t xml:space="preserve">Prin scrisoarea nr. 28/20-13424 din 28.10.2020, a fost solicitat suportul Ministerului Economiei și Infrastructurii cu privire la unele aspecte ce țin de regimul de import al zahărului și produselor zaharoase în Republica Moldova. </w:t>
            </w:r>
          </w:p>
          <w:p w14:paraId="2140F877" w14:textId="77777777" w:rsidR="00D705B6" w:rsidRPr="001C4179" w:rsidRDefault="00D705B6" w:rsidP="00D705B6">
            <w:pPr>
              <w:spacing w:line="240" w:lineRule="auto"/>
              <w:jc w:val="both"/>
              <w:rPr>
                <w:rFonts w:asciiTheme="majorHAnsi" w:hAnsiTheme="majorHAnsi" w:cstheme="majorHAnsi"/>
                <w:sz w:val="16"/>
                <w:szCs w:val="16"/>
                <w:lang w:val="ro-RO"/>
              </w:rPr>
            </w:pPr>
            <w:r w:rsidRPr="001C4179">
              <w:rPr>
                <w:rFonts w:asciiTheme="majorHAnsi" w:hAnsiTheme="majorHAnsi" w:cstheme="majorHAnsi"/>
                <w:sz w:val="16"/>
                <w:szCs w:val="16"/>
                <w:lang w:val="ro-RO"/>
              </w:rPr>
              <w:t>În baza scrisorilor parvenite de la Ministerul Economiei și Infrastructurii nr.13/1-7543 din 09.12.2020 și nr.13-118 din 12.01.2021, au fost elaborate:</w:t>
            </w:r>
          </w:p>
          <w:p w14:paraId="5488B3E3" w14:textId="77777777" w:rsidR="00D705B6" w:rsidRPr="001C4179" w:rsidRDefault="00D705B6" w:rsidP="00D705B6">
            <w:pPr>
              <w:spacing w:line="240" w:lineRule="auto"/>
              <w:jc w:val="both"/>
              <w:rPr>
                <w:rFonts w:asciiTheme="majorHAnsi" w:hAnsiTheme="majorHAnsi" w:cstheme="majorHAnsi"/>
                <w:i/>
                <w:iCs/>
                <w:sz w:val="16"/>
                <w:szCs w:val="16"/>
                <w:lang w:val="ro-RO"/>
              </w:rPr>
            </w:pPr>
            <w:r w:rsidRPr="001C4179">
              <w:rPr>
                <w:rFonts w:asciiTheme="majorHAnsi" w:hAnsiTheme="majorHAnsi" w:cstheme="majorHAnsi"/>
                <w:sz w:val="16"/>
                <w:szCs w:val="16"/>
                <w:lang w:val="ro-RO"/>
              </w:rPr>
              <w:t xml:space="preserve">- </w:t>
            </w:r>
            <w:r w:rsidRPr="001C4179">
              <w:rPr>
                <w:rFonts w:asciiTheme="majorHAnsi" w:hAnsiTheme="majorHAnsi" w:cstheme="majorHAnsi"/>
                <w:b/>
                <w:sz w:val="16"/>
                <w:szCs w:val="16"/>
                <w:lang w:val="ro-RO"/>
              </w:rPr>
              <w:t>Ordinul SV nr.13-O din 19.01.2021:</w:t>
            </w:r>
            <w:r w:rsidRPr="001C4179">
              <w:rPr>
                <w:rFonts w:asciiTheme="majorHAnsi" w:hAnsiTheme="majorHAnsi" w:cstheme="majorHAnsi"/>
                <w:sz w:val="16"/>
                <w:szCs w:val="16"/>
                <w:lang w:val="ro-RO"/>
              </w:rPr>
              <w:t xml:space="preserve"> </w:t>
            </w:r>
            <w:r w:rsidRPr="001C4179">
              <w:rPr>
                <w:rFonts w:asciiTheme="majorHAnsi" w:hAnsiTheme="majorHAnsi" w:cstheme="majorHAnsi"/>
                <w:i/>
                <w:iCs/>
                <w:sz w:val="16"/>
                <w:szCs w:val="16"/>
                <w:lang w:val="ro-RO"/>
              </w:rPr>
              <w:t>,,Cu privire la modificarea anexei nr.12 la Ordinul  nr.346-O/2009; Anexa nr.4</w:t>
            </w:r>
          </w:p>
          <w:p w14:paraId="1B69F052" w14:textId="77777777" w:rsidR="00D705B6" w:rsidRPr="001C4179" w:rsidRDefault="00D705B6" w:rsidP="00D705B6">
            <w:pPr>
              <w:spacing w:line="240" w:lineRule="auto"/>
              <w:jc w:val="both"/>
              <w:rPr>
                <w:rFonts w:asciiTheme="majorHAnsi" w:hAnsiTheme="majorHAnsi" w:cstheme="majorHAnsi"/>
                <w:i/>
                <w:iCs/>
                <w:sz w:val="16"/>
                <w:szCs w:val="16"/>
                <w:lang w:val="ro-RO"/>
              </w:rPr>
            </w:pPr>
            <w:r w:rsidRPr="001C4179">
              <w:rPr>
                <w:rFonts w:asciiTheme="majorHAnsi" w:hAnsiTheme="majorHAnsi" w:cstheme="majorHAnsi"/>
                <w:sz w:val="16"/>
                <w:szCs w:val="16"/>
                <w:lang w:val="ro-RO"/>
              </w:rPr>
              <w:t xml:space="preserve">- </w:t>
            </w:r>
            <w:r w:rsidRPr="001C4179">
              <w:rPr>
                <w:rFonts w:asciiTheme="majorHAnsi" w:hAnsiTheme="majorHAnsi" w:cstheme="majorHAnsi"/>
                <w:b/>
                <w:sz w:val="16"/>
                <w:szCs w:val="16"/>
                <w:lang w:val="ro-RO"/>
              </w:rPr>
              <w:t>Circulara nr.71-c din 29.01.2021:</w:t>
            </w:r>
            <w:r w:rsidRPr="001C4179">
              <w:rPr>
                <w:rFonts w:asciiTheme="majorHAnsi" w:hAnsiTheme="majorHAnsi" w:cstheme="majorHAnsi"/>
                <w:sz w:val="16"/>
                <w:szCs w:val="16"/>
                <w:lang w:val="ro-RO"/>
              </w:rPr>
              <w:t xml:space="preserve"> </w:t>
            </w:r>
            <w:r w:rsidRPr="001C4179">
              <w:rPr>
                <w:rFonts w:asciiTheme="majorHAnsi" w:hAnsiTheme="majorHAnsi" w:cstheme="majorHAnsi"/>
                <w:color w:val="FF0000"/>
                <w:sz w:val="16"/>
                <w:szCs w:val="16"/>
                <w:lang w:val="ro-RO"/>
              </w:rPr>
              <w:t xml:space="preserve"> </w:t>
            </w:r>
            <w:r w:rsidRPr="001C4179">
              <w:rPr>
                <w:rFonts w:asciiTheme="majorHAnsi" w:hAnsiTheme="majorHAnsi" w:cstheme="majorHAnsi"/>
                <w:i/>
                <w:iCs/>
                <w:sz w:val="16"/>
                <w:szCs w:val="16"/>
                <w:lang w:val="ro-RO"/>
              </w:rPr>
              <w:t>”referitor la aplicarea uniformă și transparentă a prevederilor  acordurilor internaționale la care Republica Moldova este parte și actelor legislative și normative care reglementează aplicarea tratamentului tarifar preferențial în cadrul contingentului tarifar la importul de zahăr alb și produse zaharoase”.  Anexa nr.5</w:t>
            </w:r>
          </w:p>
          <w:p w14:paraId="4A353FFF" w14:textId="77777777" w:rsidR="00D705B6" w:rsidRPr="001C4179" w:rsidRDefault="00D705B6" w:rsidP="00D705B6">
            <w:pPr>
              <w:spacing w:line="240" w:lineRule="auto"/>
              <w:jc w:val="both"/>
              <w:rPr>
                <w:rFonts w:asciiTheme="majorHAnsi" w:hAnsiTheme="majorHAnsi" w:cstheme="majorHAnsi"/>
                <w:b/>
                <w:sz w:val="16"/>
                <w:szCs w:val="16"/>
                <w:lang w:val="ro-MD"/>
              </w:rPr>
            </w:pPr>
            <w:r w:rsidRPr="001C4179">
              <w:rPr>
                <w:rFonts w:asciiTheme="majorHAnsi" w:hAnsiTheme="majorHAnsi" w:cstheme="majorHAnsi"/>
                <w:sz w:val="16"/>
                <w:szCs w:val="16"/>
                <w:lang w:val="ro-RO"/>
              </w:rPr>
              <w:t>Suplimentar, a fost prezentată conducerii Serviciului Vamal Nota informativă nr.</w:t>
            </w:r>
            <w:r w:rsidRPr="001C4179">
              <w:rPr>
                <w:rFonts w:asciiTheme="majorHAnsi" w:hAnsiTheme="majorHAnsi" w:cstheme="majorHAnsi"/>
                <w:b/>
                <w:bCs/>
                <w:sz w:val="16"/>
                <w:szCs w:val="16"/>
                <w:lang w:val="ro-RO"/>
              </w:rPr>
              <w:t>3732</w:t>
            </w:r>
            <w:r w:rsidRPr="001C4179">
              <w:rPr>
                <w:rFonts w:asciiTheme="majorHAnsi" w:hAnsiTheme="majorHAnsi" w:cstheme="majorHAnsi"/>
                <w:sz w:val="16"/>
                <w:szCs w:val="16"/>
                <w:lang w:val="ro-RO"/>
              </w:rPr>
              <w:t xml:space="preserve"> din 01.07.2021 privind importul de zahăr în anul 2020, în cadrul contingentelor tarifare. </w:t>
            </w:r>
            <w:r w:rsidRPr="001C4179">
              <w:rPr>
                <w:rFonts w:asciiTheme="majorHAnsi" w:hAnsiTheme="majorHAnsi" w:cstheme="majorHAnsi"/>
                <w:i/>
                <w:iCs/>
                <w:sz w:val="16"/>
                <w:szCs w:val="16"/>
                <w:lang w:val="ro-RO"/>
              </w:rPr>
              <w:t>Anexa nr.6</w:t>
            </w:r>
          </w:p>
        </w:tc>
        <w:tc>
          <w:tcPr>
            <w:tcW w:w="425" w:type="dxa"/>
          </w:tcPr>
          <w:p w14:paraId="77E4FB0A" w14:textId="77777777" w:rsidR="00D705B6" w:rsidRPr="001C4179" w:rsidRDefault="00D705B6" w:rsidP="00D705B6">
            <w:pPr>
              <w:tabs>
                <w:tab w:val="left" w:pos="720"/>
              </w:tabs>
              <w:spacing w:line="240" w:lineRule="auto"/>
              <w:jc w:val="right"/>
              <w:rPr>
                <w:rFonts w:asciiTheme="majorHAnsi" w:hAnsiTheme="majorHAnsi" w:cstheme="majorHAnsi"/>
                <w:b/>
                <w:sz w:val="16"/>
                <w:szCs w:val="16"/>
                <w:lang w:val="ro-MD"/>
              </w:rPr>
            </w:pPr>
            <w:r w:rsidRPr="001C4179">
              <w:rPr>
                <w:rFonts w:asciiTheme="majorHAnsi" w:hAnsiTheme="majorHAnsi" w:cstheme="majorHAnsi"/>
                <w:b/>
                <w:sz w:val="16"/>
                <w:szCs w:val="16"/>
                <w:lang w:val="ro-MD"/>
              </w:rPr>
              <w:t>V</w:t>
            </w:r>
          </w:p>
        </w:tc>
        <w:tc>
          <w:tcPr>
            <w:tcW w:w="567" w:type="dxa"/>
          </w:tcPr>
          <w:p w14:paraId="267FB3EF" w14:textId="77777777" w:rsidR="00D705B6" w:rsidRPr="001C4179" w:rsidRDefault="00D705B6" w:rsidP="00D705B6">
            <w:pPr>
              <w:tabs>
                <w:tab w:val="left" w:pos="720"/>
              </w:tabs>
              <w:spacing w:line="240" w:lineRule="auto"/>
              <w:jc w:val="center"/>
              <w:rPr>
                <w:rFonts w:asciiTheme="majorHAnsi" w:hAnsiTheme="majorHAnsi" w:cstheme="majorHAnsi"/>
                <w:b/>
                <w:sz w:val="16"/>
                <w:szCs w:val="16"/>
                <w:lang w:val="ro-MD"/>
              </w:rPr>
            </w:pPr>
          </w:p>
        </w:tc>
        <w:tc>
          <w:tcPr>
            <w:tcW w:w="425" w:type="dxa"/>
          </w:tcPr>
          <w:p w14:paraId="0C2690B3" w14:textId="77777777" w:rsidR="00D705B6" w:rsidRPr="001C4179" w:rsidRDefault="00D705B6" w:rsidP="00D705B6">
            <w:pPr>
              <w:tabs>
                <w:tab w:val="left" w:pos="720"/>
              </w:tabs>
              <w:spacing w:line="240" w:lineRule="auto"/>
              <w:jc w:val="right"/>
              <w:rPr>
                <w:rFonts w:asciiTheme="majorHAnsi" w:hAnsiTheme="majorHAnsi" w:cstheme="majorHAnsi"/>
                <w:b/>
                <w:sz w:val="16"/>
                <w:szCs w:val="16"/>
                <w:lang w:val="ro-MD"/>
              </w:rPr>
            </w:pPr>
          </w:p>
        </w:tc>
        <w:tc>
          <w:tcPr>
            <w:tcW w:w="2835" w:type="dxa"/>
          </w:tcPr>
          <w:p w14:paraId="3E89D155" w14:textId="77777777" w:rsidR="00D705B6" w:rsidRPr="001C4179" w:rsidRDefault="00D705B6" w:rsidP="00D705B6">
            <w:pPr>
              <w:tabs>
                <w:tab w:val="left" w:pos="720"/>
              </w:tabs>
              <w:spacing w:line="240" w:lineRule="auto"/>
              <w:jc w:val="right"/>
              <w:rPr>
                <w:rFonts w:asciiTheme="majorHAnsi" w:hAnsiTheme="majorHAnsi" w:cstheme="majorHAnsi"/>
                <w:b/>
                <w:sz w:val="16"/>
                <w:szCs w:val="16"/>
                <w:lang w:val="ro-MD"/>
              </w:rPr>
            </w:pPr>
          </w:p>
        </w:tc>
      </w:tr>
      <w:tr w:rsidR="00D705B6" w:rsidRPr="001C4179" w14:paraId="5C89BB52" w14:textId="77777777" w:rsidTr="00B3263D">
        <w:trPr>
          <w:trHeight w:val="288"/>
          <w:jc w:val="center"/>
        </w:trPr>
        <w:tc>
          <w:tcPr>
            <w:tcW w:w="2830" w:type="dxa"/>
          </w:tcPr>
          <w:p w14:paraId="09AFAAB5" w14:textId="77777777" w:rsidR="00D705B6" w:rsidRPr="001C4179" w:rsidRDefault="00D705B6" w:rsidP="00D705B6">
            <w:pPr>
              <w:spacing w:line="240" w:lineRule="auto"/>
              <w:jc w:val="both"/>
              <w:rPr>
                <w:rFonts w:asciiTheme="majorHAnsi" w:eastAsia="Times New Roman" w:hAnsiTheme="majorHAnsi" w:cstheme="majorHAnsi"/>
                <w:sz w:val="16"/>
                <w:szCs w:val="16"/>
                <w:lang w:val="ro-MD"/>
              </w:rPr>
            </w:pPr>
            <w:r w:rsidRPr="001C4179">
              <w:rPr>
                <w:rFonts w:asciiTheme="majorHAnsi" w:eastAsia="Times New Roman" w:hAnsiTheme="majorHAnsi" w:cstheme="majorHAnsi"/>
                <w:b/>
                <w:bCs/>
                <w:sz w:val="16"/>
                <w:szCs w:val="16"/>
                <w:lang w:val="ro-MD"/>
              </w:rPr>
              <w:t>2.4.6.</w:t>
            </w:r>
            <w:r w:rsidRPr="001C4179">
              <w:rPr>
                <w:rFonts w:asciiTheme="majorHAnsi" w:eastAsia="Times New Roman" w:hAnsiTheme="majorHAnsi" w:cstheme="majorHAnsi"/>
                <w:sz w:val="16"/>
                <w:szCs w:val="16"/>
                <w:lang w:val="ro-MD"/>
              </w:rPr>
              <w:t xml:space="preserve"> corelarea şi dezvoltarea cadrului normativ în domeniul administrării vamale, în vederea asigurării funcționalității depline a prevederilor Codului vamal referitor la evaluarea contravalorii mijloacelor de transport în cadrul controlului vamal, inclusiv cu racordarea acestuia la prevederile Legii cu privire la actele normative nr.100 din 22.12.2017, precum şi cu determinarea exhaustivă a oportunității de legalizare a competenței vizate;</w:t>
            </w:r>
          </w:p>
        </w:tc>
        <w:tc>
          <w:tcPr>
            <w:tcW w:w="3119" w:type="dxa"/>
          </w:tcPr>
          <w:p w14:paraId="33349621" w14:textId="77777777" w:rsidR="00D705B6" w:rsidRPr="001C4179" w:rsidRDefault="00D705B6" w:rsidP="00D705B6">
            <w:pPr>
              <w:spacing w:line="240" w:lineRule="auto"/>
              <w:jc w:val="both"/>
              <w:rPr>
                <w:rStyle w:val="Emphasis"/>
                <w:rFonts w:asciiTheme="majorHAnsi" w:hAnsiTheme="majorHAnsi" w:cstheme="majorHAnsi"/>
                <w:bCs/>
                <w:i w:val="0"/>
                <w:sz w:val="16"/>
                <w:szCs w:val="16"/>
                <w:lang w:val="ro-RO"/>
              </w:rPr>
            </w:pPr>
            <w:r w:rsidRPr="001C4179">
              <w:rPr>
                <w:rFonts w:asciiTheme="majorHAnsi" w:hAnsiTheme="majorHAnsi" w:cstheme="majorHAnsi"/>
                <w:sz w:val="16"/>
                <w:szCs w:val="16"/>
                <w:lang w:val="ro-RO"/>
              </w:rPr>
              <w:t xml:space="preserve">Prin </w:t>
            </w:r>
            <w:r w:rsidRPr="001C4179">
              <w:rPr>
                <w:rFonts w:asciiTheme="majorHAnsi" w:hAnsiTheme="majorHAnsi" w:cstheme="majorHAnsi"/>
                <w:b/>
                <w:sz w:val="16"/>
                <w:szCs w:val="16"/>
                <w:lang w:val="ro-RO"/>
              </w:rPr>
              <w:t>Legea nr. 257/2020</w:t>
            </w:r>
            <w:r w:rsidRPr="001C4179">
              <w:rPr>
                <w:rFonts w:asciiTheme="majorHAnsi" w:hAnsiTheme="majorHAnsi" w:cstheme="majorHAnsi"/>
                <w:sz w:val="16"/>
                <w:szCs w:val="16"/>
                <w:lang w:val="ro-RO"/>
              </w:rPr>
              <w:t xml:space="preserve"> cu privire la modificarea unor acte normative </w:t>
            </w:r>
            <w:r w:rsidRPr="001C4179">
              <w:rPr>
                <w:rFonts w:asciiTheme="majorHAnsi" w:hAnsiTheme="majorHAnsi" w:cstheme="majorHAnsi"/>
                <w:i/>
                <w:sz w:val="16"/>
                <w:szCs w:val="16"/>
                <w:lang w:val="ro-RO"/>
              </w:rPr>
              <w:t>(Monitorul Oficial al R. Moldova nr. 353-357 art. 288 din 22.12.2020)</w:t>
            </w:r>
            <w:r w:rsidRPr="001C4179">
              <w:rPr>
                <w:rFonts w:asciiTheme="majorHAnsi" w:hAnsiTheme="majorHAnsi" w:cstheme="majorHAnsi"/>
                <w:sz w:val="16"/>
                <w:szCs w:val="16"/>
                <w:lang w:val="ro-RO"/>
              </w:rPr>
              <w:t xml:space="preserve">, a fost completat </w:t>
            </w:r>
            <w:r w:rsidRPr="001C4179">
              <w:rPr>
                <w:rStyle w:val="Emphasis"/>
                <w:rFonts w:asciiTheme="majorHAnsi" w:hAnsiTheme="majorHAnsi" w:cstheme="majorHAnsi"/>
                <w:bCs/>
                <w:sz w:val="16"/>
                <w:szCs w:val="16"/>
                <w:lang w:val="ro-RO"/>
              </w:rPr>
              <w:t xml:space="preserve">articolul 245 alineatul (1), primul enunț,  Cod vamal, cu sintagma: „…,conform procedurii stabilite de Serviciul Vamal.”. </w:t>
            </w:r>
          </w:p>
          <w:p w14:paraId="059C3DE4" w14:textId="14136F42" w:rsidR="00D705B6" w:rsidRPr="001C4179" w:rsidRDefault="00D705B6" w:rsidP="00E802FB">
            <w:pPr>
              <w:spacing w:line="240" w:lineRule="auto"/>
              <w:jc w:val="both"/>
              <w:rPr>
                <w:rFonts w:asciiTheme="majorHAnsi" w:hAnsiTheme="majorHAnsi" w:cstheme="majorHAnsi"/>
                <w:b/>
                <w:sz w:val="16"/>
                <w:szCs w:val="16"/>
                <w:lang w:val="ro-MD"/>
              </w:rPr>
            </w:pPr>
            <w:r w:rsidRPr="001C4179">
              <w:rPr>
                <w:rStyle w:val="Emphasis"/>
                <w:rFonts w:asciiTheme="majorHAnsi" w:hAnsiTheme="majorHAnsi" w:cstheme="majorHAnsi"/>
                <w:bCs/>
                <w:sz w:val="16"/>
                <w:szCs w:val="16"/>
                <w:lang w:val="ro-RO"/>
              </w:rPr>
              <w:t xml:space="preserve">Completarea în cauză condiționează dezvoltarea cadrului normativ instituțional în </w:t>
            </w:r>
            <w:r w:rsidRPr="001C4179">
              <w:rPr>
                <w:rFonts w:asciiTheme="majorHAnsi" w:hAnsiTheme="majorHAnsi" w:cstheme="majorHAnsi"/>
                <w:sz w:val="16"/>
                <w:szCs w:val="16"/>
                <w:lang w:val="ro-RO"/>
              </w:rPr>
              <w:t>domeniul estimării contravalorii mărfurilor și mijloacelor de transport, la efectuarea controlului vamal.</w:t>
            </w:r>
            <w:r w:rsidRPr="001C4179">
              <w:rPr>
                <w:rFonts w:asciiTheme="majorHAnsi" w:hAnsiTheme="majorHAnsi" w:cstheme="majorHAnsi"/>
                <w:bCs/>
                <w:iCs/>
                <w:sz w:val="16"/>
                <w:szCs w:val="16"/>
                <w:lang w:val="ro-RO"/>
              </w:rPr>
              <w:t xml:space="preserve"> </w:t>
            </w:r>
          </w:p>
        </w:tc>
        <w:tc>
          <w:tcPr>
            <w:tcW w:w="425" w:type="dxa"/>
          </w:tcPr>
          <w:p w14:paraId="55FF002F" w14:textId="77777777" w:rsidR="00D705B6" w:rsidRPr="001C4179" w:rsidRDefault="00D705B6" w:rsidP="00D705B6">
            <w:pPr>
              <w:tabs>
                <w:tab w:val="left" w:pos="720"/>
              </w:tabs>
              <w:spacing w:line="240" w:lineRule="auto"/>
              <w:jc w:val="right"/>
              <w:rPr>
                <w:rFonts w:asciiTheme="majorHAnsi" w:hAnsiTheme="majorHAnsi" w:cstheme="majorHAnsi"/>
                <w:b/>
                <w:sz w:val="16"/>
                <w:szCs w:val="16"/>
                <w:lang w:val="ro-MD"/>
              </w:rPr>
            </w:pPr>
            <w:r w:rsidRPr="001C4179">
              <w:rPr>
                <w:rFonts w:asciiTheme="majorHAnsi" w:hAnsiTheme="majorHAnsi" w:cstheme="majorHAnsi"/>
                <w:b/>
                <w:sz w:val="16"/>
                <w:szCs w:val="16"/>
                <w:lang w:val="ro-MD"/>
              </w:rPr>
              <w:t>V</w:t>
            </w:r>
          </w:p>
        </w:tc>
        <w:tc>
          <w:tcPr>
            <w:tcW w:w="567" w:type="dxa"/>
          </w:tcPr>
          <w:p w14:paraId="32B6F94B" w14:textId="77777777" w:rsidR="00D705B6" w:rsidRPr="001C4179" w:rsidRDefault="00D705B6" w:rsidP="00D705B6">
            <w:pPr>
              <w:tabs>
                <w:tab w:val="left" w:pos="720"/>
              </w:tabs>
              <w:spacing w:line="240" w:lineRule="auto"/>
              <w:jc w:val="center"/>
              <w:rPr>
                <w:rFonts w:asciiTheme="majorHAnsi" w:hAnsiTheme="majorHAnsi" w:cstheme="majorHAnsi"/>
                <w:b/>
                <w:sz w:val="16"/>
                <w:szCs w:val="16"/>
                <w:lang w:val="ro-MD"/>
              </w:rPr>
            </w:pPr>
          </w:p>
        </w:tc>
        <w:tc>
          <w:tcPr>
            <w:tcW w:w="425" w:type="dxa"/>
          </w:tcPr>
          <w:p w14:paraId="30869381" w14:textId="77777777" w:rsidR="00D705B6" w:rsidRPr="001C4179" w:rsidRDefault="00D705B6" w:rsidP="00D705B6">
            <w:pPr>
              <w:tabs>
                <w:tab w:val="left" w:pos="720"/>
              </w:tabs>
              <w:spacing w:line="240" w:lineRule="auto"/>
              <w:jc w:val="right"/>
              <w:rPr>
                <w:rFonts w:asciiTheme="majorHAnsi" w:hAnsiTheme="majorHAnsi" w:cstheme="majorHAnsi"/>
                <w:b/>
                <w:sz w:val="16"/>
                <w:szCs w:val="16"/>
                <w:lang w:val="ro-MD"/>
              </w:rPr>
            </w:pPr>
          </w:p>
        </w:tc>
        <w:tc>
          <w:tcPr>
            <w:tcW w:w="2835" w:type="dxa"/>
          </w:tcPr>
          <w:p w14:paraId="35D58CDD" w14:textId="77777777" w:rsidR="00D705B6" w:rsidRPr="001C4179" w:rsidRDefault="00D705B6" w:rsidP="00D705B6">
            <w:pPr>
              <w:tabs>
                <w:tab w:val="left" w:pos="720"/>
              </w:tabs>
              <w:spacing w:line="240" w:lineRule="auto"/>
              <w:jc w:val="right"/>
              <w:rPr>
                <w:rFonts w:asciiTheme="majorHAnsi" w:hAnsiTheme="majorHAnsi" w:cstheme="majorHAnsi"/>
                <w:b/>
                <w:sz w:val="16"/>
                <w:szCs w:val="16"/>
                <w:lang w:val="ro-MD"/>
              </w:rPr>
            </w:pPr>
          </w:p>
        </w:tc>
      </w:tr>
      <w:tr w:rsidR="00D705B6" w:rsidRPr="001C4179" w14:paraId="5FACED4E" w14:textId="77777777" w:rsidTr="00B3263D">
        <w:trPr>
          <w:trHeight w:val="288"/>
          <w:jc w:val="center"/>
        </w:trPr>
        <w:tc>
          <w:tcPr>
            <w:tcW w:w="2830" w:type="dxa"/>
          </w:tcPr>
          <w:p w14:paraId="2AE42C1B" w14:textId="77777777" w:rsidR="00D705B6" w:rsidRPr="001C4179" w:rsidRDefault="00D705B6" w:rsidP="00D705B6">
            <w:pPr>
              <w:tabs>
                <w:tab w:val="left" w:pos="31"/>
                <w:tab w:val="left" w:pos="172"/>
              </w:tabs>
              <w:spacing w:line="240" w:lineRule="auto"/>
              <w:jc w:val="both"/>
              <w:rPr>
                <w:rFonts w:asciiTheme="majorHAnsi" w:hAnsiTheme="majorHAnsi" w:cstheme="majorHAnsi"/>
                <w:b/>
                <w:i/>
                <w:sz w:val="16"/>
                <w:szCs w:val="16"/>
                <w:lang w:val="ro-MD" w:eastAsia="ru-RU"/>
              </w:rPr>
            </w:pPr>
            <w:r w:rsidRPr="001C4179">
              <w:rPr>
                <w:rFonts w:asciiTheme="majorHAnsi" w:hAnsiTheme="majorHAnsi" w:cstheme="majorHAnsi"/>
                <w:b/>
                <w:sz w:val="16"/>
                <w:szCs w:val="16"/>
                <w:lang w:val="ro-RO"/>
              </w:rPr>
              <w:t>1.</w:t>
            </w:r>
            <w:r w:rsidRPr="001C4179">
              <w:rPr>
                <w:rFonts w:asciiTheme="majorHAnsi" w:hAnsiTheme="majorHAnsi" w:cstheme="majorHAnsi"/>
                <w:sz w:val="16"/>
                <w:szCs w:val="16"/>
                <w:lang w:val="ro-RO"/>
              </w:rPr>
              <w:tab/>
              <w:t xml:space="preserve">Să asigure realizarea sarcinii de colectare a veniturilor la bugetul de stat, prin executarea indicilor bugetari pe tipuri de venituri administrate. (pct.1.2) </w:t>
            </w:r>
          </w:p>
        </w:tc>
        <w:tc>
          <w:tcPr>
            <w:tcW w:w="3119" w:type="dxa"/>
          </w:tcPr>
          <w:p w14:paraId="0E7CD031" w14:textId="77777777" w:rsidR="00D705B6" w:rsidRPr="001C4179" w:rsidRDefault="00D705B6" w:rsidP="00D705B6">
            <w:pPr>
              <w:spacing w:line="240" w:lineRule="auto"/>
              <w:jc w:val="both"/>
              <w:rPr>
                <w:rFonts w:asciiTheme="majorHAnsi" w:hAnsiTheme="majorHAnsi" w:cstheme="majorHAnsi"/>
                <w:sz w:val="16"/>
                <w:szCs w:val="16"/>
                <w:lang w:val="ro-RO"/>
              </w:rPr>
            </w:pPr>
            <w:r w:rsidRPr="001C4179">
              <w:rPr>
                <w:rFonts w:asciiTheme="majorHAnsi" w:hAnsiTheme="majorHAnsi" w:cstheme="majorHAnsi"/>
                <w:sz w:val="16"/>
                <w:szCs w:val="16"/>
                <w:lang w:val="ro-RO"/>
              </w:rPr>
              <w:t>Conform Directivelor Serviciului Vamal, pe parcursul perioadei ianuarie-septembrie 2021, sarcina bugetară a fost repartizată după cum urmează:</w:t>
            </w:r>
          </w:p>
          <w:p w14:paraId="654BAD1C" w14:textId="563EC9B7" w:rsidR="00D705B6" w:rsidRPr="001C4179" w:rsidRDefault="00D705B6" w:rsidP="00D705B6">
            <w:pPr>
              <w:spacing w:line="240" w:lineRule="auto"/>
              <w:jc w:val="both"/>
              <w:rPr>
                <w:rFonts w:asciiTheme="majorHAnsi" w:hAnsiTheme="majorHAnsi" w:cstheme="majorHAnsi"/>
                <w:color w:val="000000" w:themeColor="text1"/>
                <w:sz w:val="16"/>
                <w:szCs w:val="16"/>
                <w:lang w:val="ro-RO"/>
              </w:rPr>
            </w:pPr>
            <w:r w:rsidRPr="001C4179">
              <w:rPr>
                <w:rFonts w:asciiTheme="majorHAnsi" w:hAnsiTheme="majorHAnsi" w:cstheme="majorHAnsi"/>
                <w:b/>
                <w:color w:val="000000" w:themeColor="text1"/>
                <w:sz w:val="16"/>
                <w:szCs w:val="16"/>
                <w:u w:val="single"/>
                <w:lang w:val="ro-RO"/>
              </w:rPr>
              <w:t>BVC:</w:t>
            </w:r>
            <w:r w:rsidRPr="001C4179">
              <w:rPr>
                <w:rFonts w:asciiTheme="majorHAnsi" w:hAnsiTheme="majorHAnsi" w:cstheme="majorHAnsi"/>
                <w:b/>
                <w:color w:val="000000" w:themeColor="text1"/>
                <w:sz w:val="16"/>
                <w:szCs w:val="16"/>
                <w:lang w:val="ro-RO"/>
              </w:rPr>
              <w:t xml:space="preserve"> </w:t>
            </w:r>
            <w:r w:rsidRPr="001C4179">
              <w:rPr>
                <w:rFonts w:asciiTheme="majorHAnsi" w:hAnsiTheme="majorHAnsi" w:cstheme="majorHAnsi"/>
                <w:color w:val="000000" w:themeColor="text1"/>
                <w:sz w:val="16"/>
                <w:szCs w:val="16"/>
                <w:lang w:val="ro-RO"/>
              </w:rPr>
              <w:t>Au fost repartizate spre încasare venituri vamale în sumă de 15 mlrd. 256 mln lei, de facto executat 16 mlrd. 380 m</w:t>
            </w:r>
            <w:r w:rsidR="00F00C1A">
              <w:rPr>
                <w:rFonts w:asciiTheme="majorHAnsi" w:hAnsiTheme="majorHAnsi" w:cstheme="majorHAnsi"/>
                <w:color w:val="000000" w:themeColor="text1"/>
                <w:sz w:val="16"/>
                <w:szCs w:val="16"/>
                <w:lang w:val="ro-RO"/>
              </w:rPr>
              <w:t>i</w:t>
            </w:r>
            <w:r w:rsidRPr="001C4179">
              <w:rPr>
                <w:rFonts w:asciiTheme="majorHAnsi" w:hAnsiTheme="majorHAnsi" w:cstheme="majorHAnsi"/>
                <w:color w:val="000000" w:themeColor="text1"/>
                <w:sz w:val="16"/>
                <w:szCs w:val="16"/>
                <w:lang w:val="ro-RO"/>
              </w:rPr>
              <w:t>l</w:t>
            </w:r>
            <w:r w:rsidR="00F00C1A">
              <w:rPr>
                <w:rFonts w:asciiTheme="majorHAnsi" w:hAnsiTheme="majorHAnsi" w:cstheme="majorHAnsi"/>
                <w:color w:val="000000" w:themeColor="text1"/>
                <w:sz w:val="16"/>
                <w:szCs w:val="16"/>
                <w:lang w:val="ro-RO"/>
              </w:rPr>
              <w:t>.</w:t>
            </w:r>
            <w:r w:rsidRPr="001C4179">
              <w:rPr>
                <w:rFonts w:asciiTheme="majorHAnsi" w:hAnsiTheme="majorHAnsi" w:cstheme="majorHAnsi"/>
                <w:color w:val="000000" w:themeColor="text1"/>
                <w:sz w:val="16"/>
                <w:szCs w:val="16"/>
                <w:lang w:val="ro-RO"/>
              </w:rPr>
              <w:t xml:space="preserve"> lei, ceea ce constituie 107,36% executare a sarcinii bugetare repartizate conform Directivelor Serviciului Vamal. Raportul analitic privind executarea sarcinii de colectare de către BVC. </w:t>
            </w:r>
            <w:r w:rsidRPr="001C4179">
              <w:rPr>
                <w:rFonts w:asciiTheme="majorHAnsi" w:hAnsiTheme="majorHAnsi" w:cstheme="majorHAnsi"/>
                <w:i/>
                <w:color w:val="000000" w:themeColor="text1"/>
                <w:sz w:val="16"/>
                <w:szCs w:val="16"/>
                <w:lang w:val="ro-RO"/>
              </w:rPr>
              <w:t>Anexa nr.7</w:t>
            </w:r>
          </w:p>
          <w:p w14:paraId="233CE5B0" w14:textId="48922E8C" w:rsidR="00D705B6" w:rsidRPr="001C4179" w:rsidRDefault="00D705B6" w:rsidP="00D705B6">
            <w:pPr>
              <w:spacing w:line="240" w:lineRule="auto"/>
              <w:jc w:val="both"/>
              <w:rPr>
                <w:rFonts w:asciiTheme="majorHAnsi" w:hAnsiTheme="majorHAnsi" w:cstheme="majorHAnsi"/>
                <w:sz w:val="16"/>
                <w:szCs w:val="16"/>
                <w:lang w:val="ro-RO"/>
              </w:rPr>
            </w:pPr>
            <w:r w:rsidRPr="001C4179">
              <w:rPr>
                <w:rFonts w:asciiTheme="majorHAnsi" w:hAnsiTheme="majorHAnsi" w:cstheme="majorHAnsi"/>
                <w:b/>
                <w:sz w:val="16"/>
                <w:szCs w:val="16"/>
                <w:u w:val="single"/>
                <w:lang w:val="ro-RO"/>
              </w:rPr>
              <w:t>BVN:</w:t>
            </w:r>
            <w:r w:rsidRPr="001C4179">
              <w:rPr>
                <w:rFonts w:asciiTheme="majorHAnsi" w:hAnsiTheme="majorHAnsi" w:cstheme="majorHAnsi"/>
                <w:b/>
                <w:sz w:val="16"/>
                <w:szCs w:val="16"/>
                <w:lang w:val="ro-RO"/>
              </w:rPr>
              <w:t xml:space="preserve"> </w:t>
            </w:r>
            <w:r w:rsidRPr="001C4179">
              <w:rPr>
                <w:rFonts w:asciiTheme="majorHAnsi" w:hAnsiTheme="majorHAnsi" w:cstheme="majorHAnsi"/>
                <w:sz w:val="16"/>
                <w:szCs w:val="16"/>
                <w:lang w:val="ro-RO"/>
              </w:rPr>
              <w:t>Au fost repartizate spre încasare venituri vamale în sumă de 1 mlrd</w:t>
            </w:r>
            <w:r w:rsidR="00F00C1A">
              <w:rPr>
                <w:rFonts w:asciiTheme="majorHAnsi" w:hAnsiTheme="majorHAnsi" w:cstheme="majorHAnsi"/>
                <w:sz w:val="16"/>
                <w:szCs w:val="16"/>
                <w:lang w:val="ro-RO"/>
              </w:rPr>
              <w:t>.</w:t>
            </w:r>
            <w:r w:rsidRPr="001C4179">
              <w:rPr>
                <w:rFonts w:asciiTheme="majorHAnsi" w:hAnsiTheme="majorHAnsi" w:cstheme="majorHAnsi"/>
                <w:sz w:val="16"/>
                <w:szCs w:val="16"/>
                <w:lang w:val="ro-RO"/>
              </w:rPr>
              <w:t xml:space="preserve"> 606 m</w:t>
            </w:r>
            <w:r w:rsidR="00F00C1A">
              <w:rPr>
                <w:rFonts w:asciiTheme="majorHAnsi" w:hAnsiTheme="majorHAnsi" w:cstheme="majorHAnsi"/>
                <w:sz w:val="16"/>
                <w:szCs w:val="16"/>
                <w:lang w:val="ro-RO"/>
              </w:rPr>
              <w:t>i</w:t>
            </w:r>
            <w:r w:rsidRPr="001C4179">
              <w:rPr>
                <w:rFonts w:asciiTheme="majorHAnsi" w:hAnsiTheme="majorHAnsi" w:cstheme="majorHAnsi"/>
                <w:sz w:val="16"/>
                <w:szCs w:val="16"/>
                <w:lang w:val="ro-RO"/>
              </w:rPr>
              <w:t>l</w:t>
            </w:r>
            <w:r w:rsidR="00F00C1A">
              <w:rPr>
                <w:rFonts w:asciiTheme="majorHAnsi" w:hAnsiTheme="majorHAnsi" w:cstheme="majorHAnsi"/>
                <w:sz w:val="16"/>
                <w:szCs w:val="16"/>
                <w:lang w:val="ro-RO"/>
              </w:rPr>
              <w:t>.</w:t>
            </w:r>
            <w:r w:rsidRPr="001C4179">
              <w:rPr>
                <w:rFonts w:asciiTheme="majorHAnsi" w:hAnsiTheme="majorHAnsi" w:cstheme="majorHAnsi"/>
                <w:sz w:val="16"/>
                <w:szCs w:val="16"/>
                <w:lang w:val="ro-RO"/>
              </w:rPr>
              <w:t xml:space="preserve"> 660,9 mii lei.</w:t>
            </w:r>
            <w:r w:rsidRPr="001C4179">
              <w:rPr>
                <w:rFonts w:asciiTheme="majorHAnsi" w:hAnsiTheme="majorHAnsi" w:cstheme="majorHAnsi"/>
                <w:b/>
                <w:sz w:val="16"/>
                <w:szCs w:val="16"/>
                <w:lang w:val="ro-RO"/>
              </w:rPr>
              <w:t xml:space="preserve"> </w:t>
            </w:r>
            <w:r w:rsidRPr="001C4179">
              <w:rPr>
                <w:rFonts w:asciiTheme="majorHAnsi" w:hAnsiTheme="majorHAnsi" w:cstheme="majorHAnsi"/>
                <w:sz w:val="16"/>
                <w:szCs w:val="16"/>
                <w:lang w:val="ro-RO"/>
              </w:rPr>
              <w:t>Au fost încasate 1 mlrd. 683m</w:t>
            </w:r>
            <w:r w:rsidR="005906F9">
              <w:rPr>
                <w:rFonts w:asciiTheme="majorHAnsi" w:hAnsiTheme="majorHAnsi" w:cstheme="majorHAnsi"/>
                <w:sz w:val="16"/>
                <w:szCs w:val="16"/>
                <w:lang w:val="ro-RO"/>
              </w:rPr>
              <w:t>i</w:t>
            </w:r>
            <w:r w:rsidRPr="001C4179">
              <w:rPr>
                <w:rFonts w:asciiTheme="majorHAnsi" w:hAnsiTheme="majorHAnsi" w:cstheme="majorHAnsi"/>
                <w:sz w:val="16"/>
                <w:szCs w:val="16"/>
                <w:lang w:val="ro-RO"/>
              </w:rPr>
              <w:t>l. 167,22 mii. lei, planul încasărilor fiind realizat la 104,76%, sau cu 76,51 mii lei mai mult. Comparativ cu perioada analogică a anului 2020, în anul 2021 Biroul Vamal Nord a înregistrat o creștere a veniturilor în bugetul de stat cu 11,25% mai mult, sau cu 170 m</w:t>
            </w:r>
            <w:r w:rsidR="005906F9">
              <w:rPr>
                <w:rFonts w:asciiTheme="majorHAnsi" w:hAnsiTheme="majorHAnsi" w:cstheme="majorHAnsi"/>
                <w:sz w:val="16"/>
                <w:szCs w:val="16"/>
                <w:lang w:val="ro-RO"/>
              </w:rPr>
              <w:t>i</w:t>
            </w:r>
            <w:r w:rsidRPr="001C4179">
              <w:rPr>
                <w:rFonts w:asciiTheme="majorHAnsi" w:hAnsiTheme="majorHAnsi" w:cstheme="majorHAnsi"/>
                <w:sz w:val="16"/>
                <w:szCs w:val="16"/>
                <w:lang w:val="ro-RO"/>
              </w:rPr>
              <w:t>l.131,24 mii lei</w:t>
            </w:r>
            <w:r w:rsidRPr="001C4179">
              <w:rPr>
                <w:rFonts w:asciiTheme="majorHAnsi" w:hAnsiTheme="majorHAnsi" w:cstheme="majorHAnsi"/>
                <w:i/>
                <w:sz w:val="16"/>
                <w:szCs w:val="16"/>
                <w:lang w:val="ro-RO"/>
              </w:rPr>
              <w:t>. Anexa nr.8</w:t>
            </w:r>
          </w:p>
          <w:p w14:paraId="72445498" w14:textId="77777777" w:rsidR="00D705B6" w:rsidRPr="001C4179" w:rsidRDefault="00D705B6" w:rsidP="00D705B6">
            <w:pPr>
              <w:spacing w:line="240" w:lineRule="auto"/>
              <w:jc w:val="both"/>
              <w:rPr>
                <w:rFonts w:asciiTheme="majorHAnsi" w:hAnsiTheme="majorHAnsi" w:cstheme="majorHAnsi"/>
                <w:bCs/>
                <w:i/>
                <w:iCs/>
                <w:sz w:val="16"/>
                <w:szCs w:val="16"/>
                <w:lang w:val="ro-RO"/>
              </w:rPr>
            </w:pPr>
            <w:r w:rsidRPr="001C4179">
              <w:rPr>
                <w:rFonts w:asciiTheme="majorHAnsi" w:hAnsiTheme="majorHAnsi" w:cstheme="majorHAnsi"/>
                <w:b/>
                <w:sz w:val="16"/>
                <w:szCs w:val="16"/>
                <w:u w:val="single"/>
                <w:lang w:val="ro-RO"/>
              </w:rPr>
              <w:t>BVS:</w:t>
            </w:r>
            <w:r w:rsidRPr="001C4179">
              <w:rPr>
                <w:rFonts w:asciiTheme="majorHAnsi" w:hAnsiTheme="majorHAnsi" w:cstheme="majorHAnsi"/>
                <w:sz w:val="16"/>
                <w:szCs w:val="16"/>
                <w:lang w:val="ro-RO"/>
              </w:rPr>
              <w:t xml:space="preserve"> A fost stabilită cifra de control în mărime de 937784,00 mii lei, Executată sarcina bugetară  2135748,80 mii lei. Astfel pe parcursul perioadei de 9 luni  2021 sarcina bugetară a fost îndeplinită în mărime de 227,74 %. </w:t>
            </w:r>
            <w:r w:rsidRPr="001C4179">
              <w:rPr>
                <w:rFonts w:asciiTheme="majorHAnsi" w:hAnsiTheme="majorHAnsi" w:cstheme="majorHAnsi"/>
                <w:bCs/>
                <w:i/>
                <w:iCs/>
                <w:sz w:val="16"/>
                <w:szCs w:val="16"/>
                <w:lang w:val="ro-RO"/>
              </w:rPr>
              <w:t>Anexa nr.9</w:t>
            </w:r>
          </w:p>
          <w:p w14:paraId="1C6FDEA3" w14:textId="6B79885A" w:rsidR="00D705B6" w:rsidRPr="001C4179" w:rsidRDefault="00D705B6" w:rsidP="00E802FB">
            <w:pPr>
              <w:spacing w:line="240" w:lineRule="auto"/>
              <w:jc w:val="both"/>
              <w:rPr>
                <w:rFonts w:asciiTheme="majorHAnsi" w:hAnsiTheme="majorHAnsi" w:cstheme="majorHAnsi"/>
                <w:b/>
                <w:sz w:val="16"/>
                <w:szCs w:val="16"/>
                <w:lang w:val="ro-RO"/>
              </w:rPr>
            </w:pPr>
            <w:r w:rsidRPr="001C4179">
              <w:rPr>
                <w:rFonts w:asciiTheme="majorHAnsi" w:hAnsiTheme="majorHAnsi" w:cstheme="majorHAnsi"/>
                <w:sz w:val="16"/>
                <w:szCs w:val="16"/>
                <w:lang w:val="ro-RO"/>
              </w:rPr>
              <w:t xml:space="preserve">A fost întocmită Nota informativă nr.6389 din 09.11.2021 privind colectarea la bugetul de stat a plăților administrate de Serviciul Vamal în perioada ianuarie- octombrie 2021. </w:t>
            </w:r>
            <w:r w:rsidRPr="001C4179">
              <w:rPr>
                <w:rFonts w:asciiTheme="majorHAnsi" w:hAnsiTheme="majorHAnsi" w:cstheme="majorHAnsi"/>
                <w:i/>
                <w:iCs/>
                <w:sz w:val="16"/>
                <w:szCs w:val="16"/>
                <w:lang w:val="ro-RO"/>
              </w:rPr>
              <w:t>Anexa nr.10</w:t>
            </w:r>
          </w:p>
        </w:tc>
        <w:tc>
          <w:tcPr>
            <w:tcW w:w="425" w:type="dxa"/>
          </w:tcPr>
          <w:p w14:paraId="0ABCCD37" w14:textId="77777777" w:rsidR="00D705B6" w:rsidRPr="001C4179" w:rsidRDefault="00D705B6" w:rsidP="00D705B6">
            <w:pPr>
              <w:tabs>
                <w:tab w:val="left" w:pos="720"/>
              </w:tabs>
              <w:spacing w:line="240" w:lineRule="auto"/>
              <w:jc w:val="right"/>
              <w:rPr>
                <w:rFonts w:asciiTheme="majorHAnsi" w:hAnsiTheme="majorHAnsi" w:cstheme="majorHAnsi"/>
                <w:b/>
                <w:sz w:val="16"/>
                <w:szCs w:val="16"/>
                <w:lang w:val="ro-MD"/>
              </w:rPr>
            </w:pPr>
            <w:r w:rsidRPr="001C4179">
              <w:rPr>
                <w:rFonts w:asciiTheme="majorHAnsi" w:hAnsiTheme="majorHAnsi" w:cstheme="majorHAnsi"/>
                <w:b/>
                <w:sz w:val="16"/>
                <w:szCs w:val="16"/>
                <w:lang w:val="ro-MD"/>
              </w:rPr>
              <w:t>V</w:t>
            </w:r>
          </w:p>
        </w:tc>
        <w:tc>
          <w:tcPr>
            <w:tcW w:w="567" w:type="dxa"/>
          </w:tcPr>
          <w:p w14:paraId="08195ABA" w14:textId="77777777" w:rsidR="00D705B6" w:rsidRPr="001C4179" w:rsidRDefault="00D705B6" w:rsidP="00D705B6">
            <w:pPr>
              <w:tabs>
                <w:tab w:val="left" w:pos="720"/>
              </w:tabs>
              <w:spacing w:line="240" w:lineRule="auto"/>
              <w:jc w:val="center"/>
              <w:rPr>
                <w:rFonts w:asciiTheme="majorHAnsi" w:hAnsiTheme="majorHAnsi" w:cstheme="majorHAnsi"/>
                <w:b/>
                <w:sz w:val="16"/>
                <w:szCs w:val="16"/>
                <w:lang w:val="ro-MD"/>
              </w:rPr>
            </w:pPr>
          </w:p>
        </w:tc>
        <w:tc>
          <w:tcPr>
            <w:tcW w:w="425" w:type="dxa"/>
          </w:tcPr>
          <w:p w14:paraId="4FBA3755" w14:textId="77777777" w:rsidR="00D705B6" w:rsidRPr="001C4179" w:rsidRDefault="00D705B6" w:rsidP="00D705B6">
            <w:pPr>
              <w:tabs>
                <w:tab w:val="left" w:pos="720"/>
              </w:tabs>
              <w:spacing w:line="240" w:lineRule="auto"/>
              <w:jc w:val="right"/>
              <w:rPr>
                <w:rFonts w:asciiTheme="majorHAnsi" w:hAnsiTheme="majorHAnsi" w:cstheme="majorHAnsi"/>
                <w:b/>
                <w:sz w:val="16"/>
                <w:szCs w:val="16"/>
                <w:lang w:val="ro-MD"/>
              </w:rPr>
            </w:pPr>
          </w:p>
        </w:tc>
        <w:tc>
          <w:tcPr>
            <w:tcW w:w="2835" w:type="dxa"/>
          </w:tcPr>
          <w:p w14:paraId="35E9A6B3" w14:textId="77777777" w:rsidR="00D705B6" w:rsidRPr="001C4179" w:rsidRDefault="00D705B6" w:rsidP="00D705B6">
            <w:pPr>
              <w:tabs>
                <w:tab w:val="left" w:pos="720"/>
              </w:tabs>
              <w:spacing w:line="240" w:lineRule="auto"/>
              <w:jc w:val="right"/>
              <w:rPr>
                <w:rFonts w:asciiTheme="majorHAnsi" w:hAnsiTheme="majorHAnsi" w:cstheme="majorHAnsi"/>
                <w:b/>
                <w:sz w:val="16"/>
                <w:szCs w:val="16"/>
                <w:lang w:val="ro-MD"/>
              </w:rPr>
            </w:pPr>
          </w:p>
        </w:tc>
      </w:tr>
      <w:tr w:rsidR="00D705B6" w:rsidRPr="001C4179" w14:paraId="2007865E" w14:textId="77777777" w:rsidTr="00B3263D">
        <w:trPr>
          <w:trHeight w:val="288"/>
          <w:jc w:val="center"/>
        </w:trPr>
        <w:tc>
          <w:tcPr>
            <w:tcW w:w="2830" w:type="dxa"/>
          </w:tcPr>
          <w:p w14:paraId="08189FBB" w14:textId="77777777" w:rsidR="00D705B6" w:rsidRPr="001C4179" w:rsidRDefault="00D705B6" w:rsidP="00D705B6">
            <w:pPr>
              <w:tabs>
                <w:tab w:val="left" w:pos="31"/>
                <w:tab w:val="left" w:pos="172"/>
              </w:tabs>
              <w:spacing w:line="240" w:lineRule="auto"/>
              <w:jc w:val="both"/>
              <w:rPr>
                <w:rFonts w:asciiTheme="majorHAnsi" w:hAnsiTheme="majorHAnsi" w:cstheme="majorHAnsi"/>
                <w:b/>
                <w:i/>
                <w:sz w:val="16"/>
                <w:szCs w:val="16"/>
                <w:lang w:val="ro-MD" w:eastAsia="ru-RU"/>
              </w:rPr>
            </w:pPr>
            <w:r w:rsidRPr="001C4179">
              <w:rPr>
                <w:rFonts w:asciiTheme="majorHAnsi" w:hAnsiTheme="majorHAnsi" w:cstheme="majorHAnsi"/>
                <w:b/>
                <w:sz w:val="16"/>
                <w:szCs w:val="16"/>
                <w:lang w:val="ro-RO"/>
              </w:rPr>
              <w:t>2.</w:t>
            </w:r>
            <w:r w:rsidRPr="001C4179">
              <w:rPr>
                <w:rFonts w:asciiTheme="majorHAnsi" w:hAnsiTheme="majorHAnsi" w:cstheme="majorHAnsi"/>
                <w:sz w:val="16"/>
                <w:szCs w:val="16"/>
                <w:lang w:val="ro-RO"/>
              </w:rPr>
              <w:tab/>
              <w:t>Să asigure înregistrarea integrală a proceselor-verbale contravenționale în SI și să monitorizeze achitarea și raportarea acestora. (pct. 1.4)</w:t>
            </w:r>
          </w:p>
        </w:tc>
        <w:tc>
          <w:tcPr>
            <w:tcW w:w="3119" w:type="dxa"/>
          </w:tcPr>
          <w:p w14:paraId="33B48CF8" w14:textId="77777777" w:rsidR="00D705B6" w:rsidRPr="001C4179" w:rsidRDefault="00D705B6" w:rsidP="00D705B6">
            <w:pPr>
              <w:spacing w:line="240" w:lineRule="auto"/>
              <w:jc w:val="both"/>
              <w:rPr>
                <w:rFonts w:asciiTheme="majorHAnsi" w:hAnsiTheme="majorHAnsi" w:cstheme="majorHAnsi"/>
                <w:sz w:val="16"/>
                <w:szCs w:val="16"/>
                <w:lang w:val="ro-RO"/>
              </w:rPr>
            </w:pPr>
            <w:r w:rsidRPr="001C4179">
              <w:rPr>
                <w:rFonts w:asciiTheme="majorHAnsi" w:hAnsiTheme="majorHAnsi" w:cstheme="majorHAnsi"/>
                <w:sz w:val="16"/>
                <w:szCs w:val="16"/>
                <w:lang w:val="ro-RO"/>
              </w:rPr>
              <w:t xml:space="preserve">Direcția venituri vamale asigură monitorizarea continuă a corectitudinii reflectării proceselor-verbale contravenționale emise de către agenții constatatori. În acest context, a fost întocmit Raportul nr. 5700 din 08.10.2021 care include informația privind situația reflectării amenzilor conform proceselor-verbale asupra cazurilor de contravenții vamale emise în anul 2021 de către subdiviziunile SV, în perioada ianuarie-august 2021, care denotă următorul grad de reflectare a proceselor-verbale cu privire la contravenție, în sistemele informaționale (la situația din septembrie 2021) </w:t>
            </w:r>
            <w:r w:rsidRPr="001C4179">
              <w:rPr>
                <w:rFonts w:asciiTheme="majorHAnsi" w:hAnsiTheme="majorHAnsi" w:cstheme="majorHAnsi"/>
                <w:i/>
                <w:iCs/>
                <w:sz w:val="16"/>
                <w:szCs w:val="16"/>
                <w:lang w:val="ro-RO"/>
              </w:rPr>
              <w:t>Anexa nr.11:</w:t>
            </w:r>
          </w:p>
          <w:p w14:paraId="3090DD3D" w14:textId="77777777" w:rsidR="00D705B6" w:rsidRPr="001C4179" w:rsidRDefault="00D705B6" w:rsidP="00D705B6">
            <w:pPr>
              <w:spacing w:line="240" w:lineRule="auto"/>
              <w:jc w:val="both"/>
              <w:rPr>
                <w:rFonts w:asciiTheme="majorHAnsi" w:hAnsiTheme="majorHAnsi" w:cstheme="majorHAnsi"/>
                <w:sz w:val="16"/>
                <w:szCs w:val="16"/>
                <w:lang w:val="ro-RO"/>
              </w:rPr>
            </w:pPr>
            <w:r w:rsidRPr="001C4179">
              <w:rPr>
                <w:rFonts w:asciiTheme="majorHAnsi" w:hAnsiTheme="majorHAnsi" w:cstheme="majorHAnsi"/>
                <w:sz w:val="16"/>
                <w:szCs w:val="16"/>
                <w:lang w:val="ro-RO"/>
              </w:rPr>
              <w:t>-Emise în total 6264 procese-verbale cu privire la contravenții, dintre care:</w:t>
            </w:r>
          </w:p>
          <w:p w14:paraId="40842A27" w14:textId="77777777" w:rsidR="00D705B6" w:rsidRPr="001C4179" w:rsidRDefault="00D705B6" w:rsidP="00D705B6">
            <w:pPr>
              <w:spacing w:line="240" w:lineRule="auto"/>
              <w:jc w:val="both"/>
              <w:rPr>
                <w:rFonts w:asciiTheme="majorHAnsi" w:hAnsiTheme="majorHAnsi" w:cstheme="majorHAnsi"/>
                <w:sz w:val="16"/>
                <w:szCs w:val="16"/>
                <w:lang w:val="ro-RO"/>
              </w:rPr>
            </w:pPr>
            <w:r w:rsidRPr="001C4179">
              <w:rPr>
                <w:rFonts w:asciiTheme="majorHAnsi" w:hAnsiTheme="majorHAnsi" w:cstheme="majorHAnsi"/>
                <w:sz w:val="16"/>
                <w:szCs w:val="16"/>
                <w:lang w:val="ro-RO"/>
              </w:rPr>
              <w:t>-72,62% au fost reflectate în SI ale Serviciul Vamal și au fost achitate total sau parțial (4549 procese-verbale cu privire la contravenții);</w:t>
            </w:r>
          </w:p>
          <w:p w14:paraId="2951EE77" w14:textId="77777777" w:rsidR="00D705B6" w:rsidRPr="001C4179" w:rsidRDefault="00D705B6" w:rsidP="00D705B6">
            <w:pPr>
              <w:spacing w:line="240" w:lineRule="auto"/>
              <w:jc w:val="both"/>
              <w:rPr>
                <w:rFonts w:asciiTheme="majorHAnsi" w:hAnsiTheme="majorHAnsi" w:cstheme="majorHAnsi"/>
                <w:sz w:val="16"/>
                <w:szCs w:val="16"/>
                <w:lang w:val="ro-RO"/>
              </w:rPr>
            </w:pPr>
            <w:r w:rsidRPr="001C4179">
              <w:rPr>
                <w:rFonts w:asciiTheme="majorHAnsi" w:hAnsiTheme="majorHAnsi" w:cstheme="majorHAnsi"/>
                <w:sz w:val="16"/>
                <w:szCs w:val="16"/>
                <w:lang w:val="ro-RO"/>
              </w:rPr>
              <w:t>-8,31% au fost reflectate în SI ale Serviciul Vamal în „</w:t>
            </w:r>
            <w:r w:rsidRPr="001C4179">
              <w:rPr>
                <w:rFonts w:asciiTheme="majorHAnsi" w:hAnsiTheme="majorHAnsi" w:cstheme="majorHAnsi"/>
                <w:i/>
                <w:iCs/>
                <w:sz w:val="16"/>
                <w:szCs w:val="16"/>
                <w:lang w:val="ro-RO"/>
              </w:rPr>
              <w:t>Debit</w:t>
            </w:r>
            <w:r w:rsidRPr="001C4179">
              <w:rPr>
                <w:rFonts w:asciiTheme="majorHAnsi" w:hAnsiTheme="majorHAnsi" w:cstheme="majorHAnsi"/>
                <w:sz w:val="16"/>
                <w:szCs w:val="16"/>
                <w:lang w:val="ro-RO"/>
              </w:rPr>
              <w:t>” (521 procese-verbale cu privire la contravenții);</w:t>
            </w:r>
          </w:p>
          <w:p w14:paraId="47360BF8" w14:textId="77777777" w:rsidR="00D705B6" w:rsidRPr="001C4179" w:rsidRDefault="00D705B6" w:rsidP="00D705B6">
            <w:pPr>
              <w:spacing w:line="240" w:lineRule="auto"/>
              <w:jc w:val="both"/>
              <w:rPr>
                <w:rFonts w:asciiTheme="majorHAnsi" w:hAnsiTheme="majorHAnsi" w:cstheme="majorHAnsi"/>
                <w:sz w:val="16"/>
                <w:szCs w:val="16"/>
                <w:lang w:val="ro-RO"/>
              </w:rPr>
            </w:pPr>
            <w:r w:rsidRPr="001C4179">
              <w:rPr>
                <w:rFonts w:asciiTheme="majorHAnsi" w:hAnsiTheme="majorHAnsi" w:cstheme="majorHAnsi"/>
                <w:sz w:val="16"/>
                <w:szCs w:val="16"/>
                <w:lang w:val="ro-RO"/>
              </w:rPr>
              <w:t>-8,66% nu au fost reflectate în SI ale Serviciul Vamal din motivul clasării acestora (543 procese-verbale cu privire la contravenție);</w:t>
            </w:r>
          </w:p>
          <w:p w14:paraId="7F760088" w14:textId="2B109F15" w:rsidR="00D705B6" w:rsidRPr="001C4179" w:rsidRDefault="00D705B6" w:rsidP="00D705B6">
            <w:pPr>
              <w:spacing w:line="240" w:lineRule="auto"/>
              <w:jc w:val="both"/>
              <w:rPr>
                <w:rFonts w:asciiTheme="majorHAnsi" w:hAnsiTheme="majorHAnsi" w:cstheme="majorHAnsi"/>
                <w:sz w:val="16"/>
                <w:szCs w:val="16"/>
                <w:lang w:val="ro-RO"/>
              </w:rPr>
            </w:pPr>
            <w:r w:rsidRPr="001C4179">
              <w:rPr>
                <w:rFonts w:asciiTheme="majorHAnsi" w:hAnsiTheme="majorHAnsi" w:cstheme="majorHAnsi"/>
                <w:sz w:val="16"/>
                <w:szCs w:val="16"/>
                <w:lang w:val="ro-RO"/>
              </w:rPr>
              <w:t>-1,34% nu s</w:t>
            </w:r>
            <w:r w:rsidR="00EC1F7B">
              <w:rPr>
                <w:rFonts w:asciiTheme="majorHAnsi" w:hAnsiTheme="majorHAnsi" w:cstheme="majorHAnsi"/>
                <w:sz w:val="16"/>
                <w:szCs w:val="16"/>
                <w:lang w:val="ro-RO"/>
              </w:rPr>
              <w:t>u</w:t>
            </w:r>
            <w:r w:rsidRPr="001C4179">
              <w:rPr>
                <w:rFonts w:asciiTheme="majorHAnsi" w:hAnsiTheme="majorHAnsi" w:cstheme="majorHAnsi"/>
                <w:sz w:val="16"/>
                <w:szCs w:val="16"/>
                <w:lang w:val="ro-RO"/>
              </w:rPr>
              <w:t>nt reflectate în SI ale Serviciul Vamal din motivul contestării acestora (84 procese-verbale cu privire la contravenție);</w:t>
            </w:r>
          </w:p>
          <w:p w14:paraId="6CFF60A2" w14:textId="37B3A386" w:rsidR="00D705B6" w:rsidRPr="001C4179" w:rsidRDefault="00D705B6" w:rsidP="00D705B6">
            <w:pPr>
              <w:spacing w:line="240" w:lineRule="auto"/>
              <w:jc w:val="both"/>
              <w:rPr>
                <w:rFonts w:asciiTheme="majorHAnsi" w:hAnsiTheme="majorHAnsi" w:cstheme="majorHAnsi"/>
                <w:sz w:val="16"/>
                <w:szCs w:val="16"/>
                <w:lang w:val="ro-RO"/>
              </w:rPr>
            </w:pPr>
            <w:r w:rsidRPr="001C4179">
              <w:rPr>
                <w:rFonts w:asciiTheme="majorHAnsi" w:hAnsiTheme="majorHAnsi" w:cstheme="majorHAnsi"/>
                <w:sz w:val="16"/>
                <w:szCs w:val="16"/>
                <w:lang w:val="ro-RO"/>
              </w:rPr>
              <w:t>-9,05% nu s</w:t>
            </w:r>
            <w:r w:rsidR="00EC1F7B">
              <w:rPr>
                <w:rFonts w:asciiTheme="majorHAnsi" w:hAnsiTheme="majorHAnsi" w:cstheme="majorHAnsi"/>
                <w:sz w:val="16"/>
                <w:szCs w:val="16"/>
                <w:lang w:val="ro-RO"/>
              </w:rPr>
              <w:t>u</w:t>
            </w:r>
            <w:r w:rsidRPr="001C4179">
              <w:rPr>
                <w:rFonts w:asciiTheme="majorHAnsi" w:hAnsiTheme="majorHAnsi" w:cstheme="majorHAnsi"/>
                <w:sz w:val="16"/>
                <w:szCs w:val="16"/>
                <w:lang w:val="ro-RO"/>
              </w:rPr>
              <w:t>nt reflectate în SI ale Serviciul Vamal (567 procese-verbale cu privire la contravenție), la momentul întocmirii raportului nr. 5700 din 08.10.2021.</w:t>
            </w:r>
          </w:p>
          <w:p w14:paraId="1C2B112D" w14:textId="77777777" w:rsidR="00D705B6" w:rsidRPr="001C4179" w:rsidRDefault="00D705B6" w:rsidP="00D705B6">
            <w:pPr>
              <w:spacing w:line="240" w:lineRule="auto"/>
              <w:jc w:val="both"/>
              <w:rPr>
                <w:rFonts w:asciiTheme="majorHAnsi" w:hAnsiTheme="majorHAnsi" w:cstheme="majorHAnsi"/>
                <w:sz w:val="16"/>
                <w:szCs w:val="16"/>
                <w:lang w:val="ro-RO"/>
              </w:rPr>
            </w:pPr>
            <w:r w:rsidRPr="001C4179">
              <w:rPr>
                <w:rFonts w:asciiTheme="majorHAnsi" w:hAnsiTheme="majorHAnsi" w:cstheme="majorHAnsi"/>
                <w:sz w:val="16"/>
                <w:szCs w:val="16"/>
                <w:lang w:val="ro-RO"/>
              </w:rPr>
              <w:t>Suplimentar, sunt întreprinse următoarele măsuri:</w:t>
            </w:r>
          </w:p>
          <w:p w14:paraId="3B3EBB99" w14:textId="00DDFF7B" w:rsidR="00D705B6" w:rsidRPr="001C4179" w:rsidRDefault="00D705B6" w:rsidP="00D705B6">
            <w:pPr>
              <w:spacing w:line="240" w:lineRule="auto"/>
              <w:jc w:val="both"/>
              <w:rPr>
                <w:rFonts w:asciiTheme="majorHAnsi" w:hAnsiTheme="majorHAnsi" w:cstheme="majorHAnsi"/>
                <w:i/>
                <w:sz w:val="16"/>
                <w:szCs w:val="16"/>
                <w:lang w:val="ro-RO"/>
              </w:rPr>
            </w:pPr>
            <w:r w:rsidRPr="001C4179">
              <w:rPr>
                <w:rFonts w:asciiTheme="majorHAnsi" w:hAnsiTheme="majorHAnsi" w:cstheme="majorHAnsi"/>
                <w:b/>
                <w:sz w:val="16"/>
                <w:szCs w:val="16"/>
                <w:lang w:val="ro-MD"/>
              </w:rPr>
              <w:t>-</w:t>
            </w:r>
            <w:r w:rsidRPr="001C4179">
              <w:rPr>
                <w:rFonts w:asciiTheme="majorHAnsi" w:hAnsiTheme="majorHAnsi" w:cstheme="majorHAnsi"/>
                <w:sz w:val="16"/>
                <w:szCs w:val="16"/>
                <w:lang w:val="ro-RO"/>
              </w:rPr>
              <w:t xml:space="preserve"> Raportarea lunară, de către subdiviziunile emitente, a măsurilor întreprinse vis-a-vis de procesele-verbale nereflectate și neachitate în perioada precedentă de raportare, realizată conform Ordinului Serviciului Vamal nr. 27-O din  02.03.2016 </w:t>
            </w:r>
            <w:r w:rsidRPr="001C4179">
              <w:rPr>
                <w:rFonts w:asciiTheme="majorHAnsi" w:hAnsiTheme="majorHAnsi" w:cstheme="majorHAnsi"/>
                <w:i/>
                <w:sz w:val="16"/>
                <w:szCs w:val="16"/>
                <w:lang w:val="ro-RO"/>
              </w:rPr>
              <w:t>”Cu privire la aprobarea Regulamentului referitor la procedura contravențional” (Anexa a Regulamentului 33,  pct</w:t>
            </w:r>
            <w:r w:rsidR="00F00C1A">
              <w:rPr>
                <w:rFonts w:asciiTheme="majorHAnsi" w:hAnsiTheme="majorHAnsi" w:cstheme="majorHAnsi"/>
                <w:i/>
                <w:sz w:val="16"/>
                <w:szCs w:val="16"/>
                <w:lang w:val="ro-RO"/>
              </w:rPr>
              <w:t>.</w:t>
            </w:r>
            <w:r w:rsidRPr="001C4179">
              <w:rPr>
                <w:rFonts w:asciiTheme="majorHAnsi" w:hAnsiTheme="majorHAnsi" w:cstheme="majorHAnsi"/>
                <w:i/>
                <w:sz w:val="16"/>
                <w:szCs w:val="16"/>
                <w:lang w:val="ro-RO"/>
              </w:rPr>
              <w:t xml:space="preserve"> 57);</w:t>
            </w:r>
          </w:p>
          <w:p w14:paraId="70AFA4A9" w14:textId="77777777" w:rsidR="00D705B6" w:rsidRPr="001C4179" w:rsidRDefault="00D705B6" w:rsidP="00D705B6">
            <w:pPr>
              <w:spacing w:line="240" w:lineRule="auto"/>
              <w:jc w:val="both"/>
              <w:rPr>
                <w:rFonts w:asciiTheme="majorHAnsi" w:hAnsiTheme="majorHAnsi" w:cstheme="majorHAnsi"/>
                <w:b/>
                <w:sz w:val="16"/>
                <w:szCs w:val="16"/>
                <w:lang w:val="ro-MD"/>
              </w:rPr>
            </w:pPr>
            <w:r w:rsidRPr="001C4179">
              <w:rPr>
                <w:rFonts w:asciiTheme="majorHAnsi" w:hAnsiTheme="majorHAnsi" w:cstheme="majorHAnsi"/>
                <w:i/>
                <w:sz w:val="16"/>
                <w:szCs w:val="16"/>
                <w:lang w:val="ro-RO"/>
              </w:rPr>
              <w:t>-</w:t>
            </w:r>
            <w:r w:rsidRPr="001C4179">
              <w:rPr>
                <w:rFonts w:asciiTheme="majorHAnsi" w:hAnsiTheme="majorHAnsi" w:cstheme="majorHAnsi"/>
                <w:iCs/>
                <w:sz w:val="16"/>
                <w:szCs w:val="16"/>
                <w:lang w:val="ro-RO"/>
              </w:rPr>
              <w:t>Remiterea, către subdiviziunea juridică, a deciziilor</w:t>
            </w:r>
            <w:r w:rsidRPr="001C4179">
              <w:rPr>
                <w:rFonts w:asciiTheme="majorHAnsi" w:hAnsiTheme="majorHAnsi" w:cstheme="majorHAnsi"/>
                <w:i/>
                <w:sz w:val="16"/>
                <w:szCs w:val="16"/>
                <w:lang w:val="ro-RO"/>
              </w:rPr>
              <w:t xml:space="preserve"> </w:t>
            </w:r>
            <w:r w:rsidRPr="001C4179">
              <w:rPr>
                <w:rFonts w:asciiTheme="majorHAnsi" w:eastAsiaTheme="minorEastAsia" w:hAnsiTheme="majorHAnsi" w:cstheme="majorHAnsi"/>
                <w:sz w:val="16"/>
                <w:szCs w:val="16"/>
                <w:lang w:val="ro-RO" w:eastAsia="ru-RU"/>
              </w:rPr>
              <w:t>asupra cazurilor de contravenție vamală, în vederea inițierii procedurii de executare silită (BVC-120 decizii de sancționare; BVN-492 decizii de sancționare; BVS-93 decizii de sancționare).</w:t>
            </w:r>
          </w:p>
        </w:tc>
        <w:tc>
          <w:tcPr>
            <w:tcW w:w="425" w:type="dxa"/>
          </w:tcPr>
          <w:p w14:paraId="1D4CDD8F" w14:textId="77777777" w:rsidR="00D705B6" w:rsidRPr="001C4179" w:rsidRDefault="00D705B6" w:rsidP="00D705B6">
            <w:pPr>
              <w:tabs>
                <w:tab w:val="left" w:pos="720"/>
              </w:tabs>
              <w:spacing w:line="240" w:lineRule="auto"/>
              <w:jc w:val="right"/>
              <w:rPr>
                <w:rFonts w:asciiTheme="majorHAnsi" w:hAnsiTheme="majorHAnsi" w:cstheme="majorHAnsi"/>
                <w:b/>
                <w:sz w:val="16"/>
                <w:szCs w:val="16"/>
                <w:lang w:val="ro-MD"/>
              </w:rPr>
            </w:pPr>
          </w:p>
        </w:tc>
        <w:tc>
          <w:tcPr>
            <w:tcW w:w="567" w:type="dxa"/>
          </w:tcPr>
          <w:p w14:paraId="28DC7BA9" w14:textId="77777777" w:rsidR="00D705B6" w:rsidRPr="001C4179" w:rsidRDefault="00D705B6" w:rsidP="00D705B6">
            <w:pPr>
              <w:tabs>
                <w:tab w:val="left" w:pos="720"/>
              </w:tabs>
              <w:spacing w:line="240" w:lineRule="auto"/>
              <w:jc w:val="center"/>
              <w:rPr>
                <w:rFonts w:asciiTheme="majorHAnsi" w:hAnsiTheme="majorHAnsi" w:cstheme="majorHAnsi"/>
                <w:b/>
                <w:sz w:val="16"/>
                <w:szCs w:val="16"/>
                <w:lang w:val="ro-MD"/>
              </w:rPr>
            </w:pPr>
            <w:r w:rsidRPr="001C4179">
              <w:rPr>
                <w:rFonts w:asciiTheme="majorHAnsi" w:hAnsiTheme="majorHAnsi" w:cstheme="majorHAnsi"/>
                <w:b/>
                <w:sz w:val="16"/>
                <w:szCs w:val="16"/>
                <w:lang w:val="ro-MD"/>
              </w:rPr>
              <w:t>V</w:t>
            </w:r>
          </w:p>
        </w:tc>
        <w:tc>
          <w:tcPr>
            <w:tcW w:w="425" w:type="dxa"/>
          </w:tcPr>
          <w:p w14:paraId="2D80CB87" w14:textId="77777777" w:rsidR="00D705B6" w:rsidRPr="001C4179" w:rsidRDefault="00D705B6" w:rsidP="00D705B6">
            <w:pPr>
              <w:tabs>
                <w:tab w:val="left" w:pos="720"/>
              </w:tabs>
              <w:spacing w:line="240" w:lineRule="auto"/>
              <w:jc w:val="right"/>
              <w:rPr>
                <w:rFonts w:asciiTheme="majorHAnsi" w:hAnsiTheme="majorHAnsi" w:cstheme="majorHAnsi"/>
                <w:b/>
                <w:sz w:val="16"/>
                <w:szCs w:val="16"/>
                <w:lang w:val="ro-MD"/>
              </w:rPr>
            </w:pPr>
          </w:p>
        </w:tc>
        <w:tc>
          <w:tcPr>
            <w:tcW w:w="2835" w:type="dxa"/>
          </w:tcPr>
          <w:p w14:paraId="410CB84F" w14:textId="77777777" w:rsidR="00D705B6" w:rsidRPr="001C4179" w:rsidRDefault="00D705B6" w:rsidP="00D705B6">
            <w:pPr>
              <w:tabs>
                <w:tab w:val="left" w:pos="720"/>
              </w:tabs>
              <w:spacing w:line="240" w:lineRule="auto"/>
              <w:jc w:val="right"/>
              <w:rPr>
                <w:rFonts w:asciiTheme="majorHAnsi" w:hAnsiTheme="majorHAnsi" w:cstheme="majorHAnsi"/>
                <w:b/>
                <w:sz w:val="16"/>
                <w:szCs w:val="16"/>
                <w:lang w:val="ro-MD"/>
              </w:rPr>
            </w:pPr>
          </w:p>
        </w:tc>
      </w:tr>
      <w:tr w:rsidR="00D705B6" w:rsidRPr="001C4179" w14:paraId="142F3768" w14:textId="77777777" w:rsidTr="00B3263D">
        <w:trPr>
          <w:trHeight w:val="288"/>
          <w:jc w:val="center"/>
        </w:trPr>
        <w:tc>
          <w:tcPr>
            <w:tcW w:w="2830" w:type="dxa"/>
          </w:tcPr>
          <w:p w14:paraId="5BBA8B8E" w14:textId="77777777" w:rsidR="00D705B6" w:rsidRPr="001C4179" w:rsidRDefault="00D705B6" w:rsidP="00D705B6">
            <w:pPr>
              <w:tabs>
                <w:tab w:val="left" w:pos="31"/>
                <w:tab w:val="left" w:pos="172"/>
              </w:tabs>
              <w:spacing w:line="240" w:lineRule="auto"/>
              <w:jc w:val="both"/>
              <w:rPr>
                <w:rFonts w:asciiTheme="majorHAnsi" w:hAnsiTheme="majorHAnsi" w:cstheme="majorHAnsi"/>
                <w:b/>
                <w:i/>
                <w:sz w:val="16"/>
                <w:szCs w:val="16"/>
                <w:lang w:val="ro-MD" w:eastAsia="ru-RU"/>
              </w:rPr>
            </w:pPr>
            <w:r w:rsidRPr="001C4179">
              <w:rPr>
                <w:rFonts w:asciiTheme="majorHAnsi" w:hAnsiTheme="majorHAnsi" w:cstheme="majorHAnsi"/>
                <w:b/>
                <w:sz w:val="16"/>
                <w:szCs w:val="16"/>
                <w:lang w:val="ro-RO"/>
              </w:rPr>
              <w:t>3.</w:t>
            </w:r>
            <w:r w:rsidRPr="001C4179">
              <w:rPr>
                <w:rFonts w:asciiTheme="majorHAnsi" w:hAnsiTheme="majorHAnsi" w:cstheme="majorHAnsi"/>
                <w:sz w:val="16"/>
                <w:szCs w:val="16"/>
                <w:lang w:val="ro-RO"/>
              </w:rPr>
              <w:tab/>
              <w:t>Să planifice și să efectueze controalele ulterioare doar în baza planurilor anuale și în baza riscurilor stabilite conform cadrului normativ.</w:t>
            </w:r>
          </w:p>
        </w:tc>
        <w:tc>
          <w:tcPr>
            <w:tcW w:w="3119" w:type="dxa"/>
          </w:tcPr>
          <w:p w14:paraId="1E88A466" w14:textId="77777777" w:rsidR="00D705B6" w:rsidRPr="001C4179" w:rsidRDefault="00D705B6" w:rsidP="00D705B6">
            <w:pPr>
              <w:spacing w:line="240" w:lineRule="auto"/>
              <w:jc w:val="both"/>
              <w:rPr>
                <w:rFonts w:asciiTheme="majorHAnsi" w:eastAsia="Times New Roman" w:hAnsiTheme="majorHAnsi" w:cstheme="majorHAnsi"/>
                <w:color w:val="000000"/>
                <w:sz w:val="16"/>
                <w:szCs w:val="16"/>
                <w:shd w:val="clear" w:color="auto" w:fill="FFFFFF"/>
                <w:lang w:val="ro-RO"/>
              </w:rPr>
            </w:pPr>
            <w:r w:rsidRPr="001C4179">
              <w:rPr>
                <w:rFonts w:asciiTheme="majorHAnsi" w:eastAsia="Times New Roman" w:hAnsiTheme="majorHAnsi" w:cstheme="majorHAnsi"/>
                <w:color w:val="000000"/>
                <w:sz w:val="16"/>
                <w:szCs w:val="16"/>
                <w:shd w:val="clear" w:color="auto" w:fill="FFFFFF"/>
                <w:lang w:val="ro-RO"/>
              </w:rPr>
              <w:t xml:space="preserve">Planurile de control ulterior pentru anul 2021 pentru subdiviziunile teritoriale de control ulterior au fost elaborate în baza notelor analitice, rapoartelor elaborate de către diverse subdiviziuni din cadrul SV, ca rezultat al analizei informațiilor disponibile în cadrul SV.  </w:t>
            </w:r>
          </w:p>
          <w:p w14:paraId="7B17A069" w14:textId="77777777" w:rsidR="00D705B6" w:rsidRPr="001C4179" w:rsidRDefault="00D705B6" w:rsidP="00D705B6">
            <w:pPr>
              <w:spacing w:line="240" w:lineRule="auto"/>
              <w:jc w:val="both"/>
              <w:rPr>
                <w:rFonts w:asciiTheme="majorHAnsi" w:eastAsia="Times New Roman" w:hAnsiTheme="majorHAnsi" w:cstheme="majorHAnsi"/>
                <w:color w:val="000000"/>
                <w:sz w:val="16"/>
                <w:szCs w:val="16"/>
                <w:shd w:val="clear" w:color="auto" w:fill="FFFFFF"/>
                <w:lang w:val="ro-RO"/>
              </w:rPr>
            </w:pPr>
            <w:r w:rsidRPr="001C4179">
              <w:rPr>
                <w:rFonts w:asciiTheme="majorHAnsi" w:eastAsia="Times New Roman" w:hAnsiTheme="majorHAnsi" w:cstheme="majorHAnsi"/>
                <w:color w:val="000000"/>
                <w:sz w:val="16"/>
                <w:szCs w:val="16"/>
                <w:shd w:val="clear" w:color="auto" w:fill="FFFFFF"/>
                <w:lang w:val="ro-RO"/>
              </w:rPr>
              <w:t xml:space="preserve">Planurile de control au fost aprobate de către conducerea SV, la data de  20/11/2019 cu nr.nr.522/R, 522/A, 523/R, 523/A, 524/R și 524/A. </w:t>
            </w:r>
          </w:p>
          <w:p w14:paraId="5471E7A9" w14:textId="77777777" w:rsidR="00D705B6" w:rsidRPr="00DF563B" w:rsidRDefault="00D705B6" w:rsidP="00D705B6">
            <w:pPr>
              <w:spacing w:line="240" w:lineRule="auto"/>
              <w:jc w:val="both"/>
              <w:rPr>
                <w:rFonts w:asciiTheme="majorHAnsi" w:eastAsia="Times New Roman" w:hAnsiTheme="majorHAnsi" w:cstheme="majorHAnsi"/>
                <w:color w:val="000000"/>
                <w:sz w:val="16"/>
                <w:szCs w:val="16"/>
                <w:shd w:val="clear" w:color="auto" w:fill="FFFFFF"/>
                <w:lang w:val="ro-RO"/>
              </w:rPr>
            </w:pPr>
            <w:r w:rsidRPr="001C4179">
              <w:rPr>
                <w:rFonts w:asciiTheme="majorHAnsi" w:eastAsia="Times New Roman" w:hAnsiTheme="majorHAnsi" w:cstheme="majorHAnsi"/>
                <w:color w:val="000000"/>
                <w:sz w:val="16"/>
                <w:szCs w:val="16"/>
                <w:shd w:val="clear" w:color="auto" w:fill="FFFFFF"/>
                <w:lang w:val="ro-RO"/>
              </w:rPr>
              <w:t>Lista agenților economici planificați pentru efectuarea controlului  ulterior prin audit post-vămuire pe anul 2021 a fost transmisă Cancelariei de Stat (scrisoarea nr.28/16-14674 din 20/11/2020)  pentru publicarea pe pagina oficială controale.gov.md</w:t>
            </w:r>
            <w:r w:rsidRPr="00DF563B">
              <w:rPr>
                <w:rFonts w:asciiTheme="majorHAnsi" w:eastAsia="Times New Roman" w:hAnsiTheme="majorHAnsi" w:cstheme="majorHAnsi"/>
                <w:color w:val="000000"/>
                <w:sz w:val="16"/>
                <w:szCs w:val="16"/>
                <w:shd w:val="clear" w:color="auto" w:fill="FFFFFF"/>
                <w:lang w:val="ro-RO"/>
              </w:rPr>
              <w:t xml:space="preserve">ю </w:t>
            </w:r>
            <w:r w:rsidRPr="001C4179">
              <w:rPr>
                <w:rFonts w:asciiTheme="majorHAnsi" w:eastAsia="Times New Roman" w:hAnsiTheme="majorHAnsi" w:cstheme="majorHAnsi"/>
                <w:color w:val="000000"/>
                <w:sz w:val="16"/>
                <w:szCs w:val="16"/>
                <w:shd w:val="clear" w:color="auto" w:fill="FFFFFF"/>
                <w:lang w:val="ro-RO"/>
              </w:rPr>
              <w:t xml:space="preserve">și publicată pe pagina oficială a SV, la următorul link: </w:t>
            </w:r>
            <w:hyperlink r:id="rId20" w:history="1">
              <w:r w:rsidRPr="001C4179">
                <w:rPr>
                  <w:rStyle w:val="Hyperlink"/>
                  <w:rFonts w:asciiTheme="majorHAnsi" w:eastAsia="Calibri" w:hAnsiTheme="majorHAnsi" w:cstheme="majorHAnsi"/>
                  <w:sz w:val="16"/>
                  <w:szCs w:val="16"/>
                  <w:lang w:val="ro-RO"/>
                </w:rPr>
                <w:t>https://customs.gov.md/ro/articles/graficul-controalelor</w:t>
              </w:r>
            </w:hyperlink>
          </w:p>
          <w:p w14:paraId="30D120A0" w14:textId="77777777" w:rsidR="00D705B6" w:rsidRPr="001C4179" w:rsidRDefault="00D705B6" w:rsidP="00D705B6">
            <w:pPr>
              <w:spacing w:line="240" w:lineRule="auto"/>
              <w:jc w:val="both"/>
              <w:rPr>
                <w:rFonts w:asciiTheme="majorHAnsi" w:eastAsia="Times New Roman" w:hAnsiTheme="majorHAnsi" w:cstheme="majorHAnsi"/>
                <w:i/>
                <w:iCs/>
                <w:color w:val="000000"/>
                <w:sz w:val="16"/>
                <w:szCs w:val="16"/>
                <w:shd w:val="clear" w:color="auto" w:fill="FFFFFF"/>
                <w:lang w:val="ro-RO"/>
              </w:rPr>
            </w:pPr>
            <w:r w:rsidRPr="001C4179">
              <w:rPr>
                <w:rFonts w:asciiTheme="majorHAnsi" w:eastAsia="Times New Roman" w:hAnsiTheme="majorHAnsi" w:cstheme="majorHAnsi"/>
                <w:i/>
                <w:iCs/>
                <w:color w:val="000000"/>
                <w:sz w:val="16"/>
                <w:szCs w:val="16"/>
                <w:shd w:val="clear" w:color="auto" w:fill="FFFFFF"/>
                <w:lang w:val="ro-RO"/>
              </w:rPr>
              <w:t>Anexa nr.18</w:t>
            </w:r>
          </w:p>
          <w:p w14:paraId="61DD78FC" w14:textId="10C5136C" w:rsidR="00D705B6" w:rsidRPr="001C4179" w:rsidRDefault="00D705B6" w:rsidP="00D705B6">
            <w:pPr>
              <w:spacing w:line="240" w:lineRule="auto"/>
              <w:jc w:val="both"/>
              <w:rPr>
                <w:rFonts w:asciiTheme="majorHAnsi" w:hAnsiTheme="majorHAnsi" w:cstheme="majorHAnsi"/>
                <w:b/>
                <w:sz w:val="16"/>
                <w:szCs w:val="16"/>
                <w:lang w:val="ro-MD"/>
              </w:rPr>
            </w:pPr>
            <w:r w:rsidRPr="001C4179">
              <w:rPr>
                <w:rFonts w:asciiTheme="majorHAnsi" w:hAnsiTheme="majorHAnsi" w:cstheme="majorHAnsi"/>
                <w:sz w:val="16"/>
                <w:szCs w:val="16"/>
                <w:lang w:val="ro-RO"/>
              </w:rPr>
              <w:t>Pe perioada 9 luni al</w:t>
            </w:r>
            <w:r w:rsidR="005906F9">
              <w:rPr>
                <w:rFonts w:asciiTheme="majorHAnsi" w:hAnsiTheme="majorHAnsi" w:cstheme="majorHAnsi"/>
                <w:sz w:val="16"/>
                <w:szCs w:val="16"/>
                <w:lang w:val="ro-RO"/>
              </w:rPr>
              <w:t>e</w:t>
            </w:r>
            <w:r w:rsidRPr="001C4179">
              <w:rPr>
                <w:rFonts w:asciiTheme="majorHAnsi" w:hAnsiTheme="majorHAnsi" w:cstheme="majorHAnsi"/>
                <w:sz w:val="16"/>
                <w:szCs w:val="16"/>
                <w:lang w:val="ro-RO"/>
              </w:rPr>
              <w:t xml:space="preserve"> anului 2021, au fost realizate 186 controale ulterioare, inclusiv 4 controale inopinate.</w:t>
            </w:r>
          </w:p>
        </w:tc>
        <w:tc>
          <w:tcPr>
            <w:tcW w:w="425" w:type="dxa"/>
          </w:tcPr>
          <w:p w14:paraId="087733BE" w14:textId="77777777" w:rsidR="00D705B6" w:rsidRPr="001C4179" w:rsidRDefault="00D705B6" w:rsidP="00D705B6">
            <w:pPr>
              <w:tabs>
                <w:tab w:val="left" w:pos="720"/>
              </w:tabs>
              <w:spacing w:line="240" w:lineRule="auto"/>
              <w:jc w:val="right"/>
              <w:rPr>
                <w:rFonts w:asciiTheme="majorHAnsi" w:hAnsiTheme="majorHAnsi" w:cstheme="majorHAnsi"/>
                <w:b/>
                <w:sz w:val="16"/>
                <w:szCs w:val="16"/>
                <w:lang w:val="ro-MD"/>
              </w:rPr>
            </w:pPr>
            <w:r w:rsidRPr="001C4179">
              <w:rPr>
                <w:rFonts w:asciiTheme="majorHAnsi" w:hAnsiTheme="majorHAnsi" w:cstheme="majorHAnsi"/>
                <w:b/>
                <w:sz w:val="16"/>
                <w:szCs w:val="16"/>
                <w:lang w:val="ro-MD"/>
              </w:rPr>
              <w:t>V</w:t>
            </w:r>
          </w:p>
        </w:tc>
        <w:tc>
          <w:tcPr>
            <w:tcW w:w="567" w:type="dxa"/>
          </w:tcPr>
          <w:p w14:paraId="6008AB7B" w14:textId="77777777" w:rsidR="00D705B6" w:rsidRPr="001C4179" w:rsidRDefault="00D705B6" w:rsidP="00D705B6">
            <w:pPr>
              <w:tabs>
                <w:tab w:val="left" w:pos="720"/>
              </w:tabs>
              <w:spacing w:line="240" w:lineRule="auto"/>
              <w:jc w:val="center"/>
              <w:rPr>
                <w:rFonts w:asciiTheme="majorHAnsi" w:hAnsiTheme="majorHAnsi" w:cstheme="majorHAnsi"/>
                <w:b/>
                <w:sz w:val="16"/>
                <w:szCs w:val="16"/>
                <w:lang w:val="ro-MD"/>
              </w:rPr>
            </w:pPr>
          </w:p>
        </w:tc>
        <w:tc>
          <w:tcPr>
            <w:tcW w:w="425" w:type="dxa"/>
          </w:tcPr>
          <w:p w14:paraId="47A77502" w14:textId="77777777" w:rsidR="00D705B6" w:rsidRPr="001C4179" w:rsidRDefault="00D705B6" w:rsidP="00D705B6">
            <w:pPr>
              <w:tabs>
                <w:tab w:val="left" w:pos="720"/>
              </w:tabs>
              <w:spacing w:line="240" w:lineRule="auto"/>
              <w:jc w:val="right"/>
              <w:rPr>
                <w:rFonts w:asciiTheme="majorHAnsi" w:hAnsiTheme="majorHAnsi" w:cstheme="majorHAnsi"/>
                <w:b/>
                <w:sz w:val="16"/>
                <w:szCs w:val="16"/>
                <w:lang w:val="ro-MD"/>
              </w:rPr>
            </w:pPr>
          </w:p>
        </w:tc>
        <w:tc>
          <w:tcPr>
            <w:tcW w:w="2835" w:type="dxa"/>
          </w:tcPr>
          <w:p w14:paraId="7E40BA12" w14:textId="77777777" w:rsidR="00D705B6" w:rsidRPr="001C4179" w:rsidRDefault="00D705B6" w:rsidP="00D705B6">
            <w:pPr>
              <w:tabs>
                <w:tab w:val="left" w:pos="720"/>
              </w:tabs>
              <w:spacing w:line="240" w:lineRule="auto"/>
              <w:jc w:val="right"/>
              <w:rPr>
                <w:rFonts w:asciiTheme="majorHAnsi" w:hAnsiTheme="majorHAnsi" w:cstheme="majorHAnsi"/>
                <w:b/>
                <w:sz w:val="16"/>
                <w:szCs w:val="16"/>
                <w:lang w:val="ro-MD"/>
              </w:rPr>
            </w:pPr>
          </w:p>
        </w:tc>
      </w:tr>
      <w:tr w:rsidR="00D705B6" w:rsidRPr="001C4179" w14:paraId="203C3A28" w14:textId="77777777" w:rsidTr="00B3263D">
        <w:trPr>
          <w:trHeight w:val="288"/>
          <w:jc w:val="center"/>
        </w:trPr>
        <w:tc>
          <w:tcPr>
            <w:tcW w:w="2830" w:type="dxa"/>
          </w:tcPr>
          <w:p w14:paraId="726D55CA" w14:textId="77777777" w:rsidR="00D705B6" w:rsidRPr="001C4179" w:rsidRDefault="00D705B6" w:rsidP="00D705B6">
            <w:pPr>
              <w:tabs>
                <w:tab w:val="left" w:pos="31"/>
                <w:tab w:val="left" w:pos="172"/>
              </w:tabs>
              <w:spacing w:line="240" w:lineRule="auto"/>
              <w:jc w:val="both"/>
              <w:rPr>
                <w:rFonts w:asciiTheme="majorHAnsi" w:hAnsiTheme="majorHAnsi" w:cstheme="majorHAnsi"/>
                <w:b/>
                <w:i/>
                <w:sz w:val="16"/>
                <w:szCs w:val="16"/>
                <w:lang w:val="ro-MD" w:eastAsia="ru-RU"/>
              </w:rPr>
            </w:pPr>
            <w:r w:rsidRPr="001C4179">
              <w:rPr>
                <w:rFonts w:asciiTheme="majorHAnsi" w:hAnsiTheme="majorHAnsi" w:cstheme="majorHAnsi"/>
                <w:b/>
                <w:bCs/>
                <w:sz w:val="16"/>
                <w:szCs w:val="16"/>
                <w:lang w:val="ro-RO"/>
              </w:rPr>
              <w:t>4.</w:t>
            </w:r>
            <w:r w:rsidRPr="001C4179">
              <w:rPr>
                <w:rFonts w:asciiTheme="majorHAnsi" w:hAnsiTheme="majorHAnsi" w:cstheme="majorHAnsi"/>
                <w:sz w:val="16"/>
                <w:szCs w:val="16"/>
                <w:lang w:val="ro-RO"/>
              </w:rPr>
              <w:t xml:space="preserve"> Să intensifice și să eficientizeze instrumentele de administrare în vederea colectării restanțelor și stingerii celor cu termenul de prescripție expirat.</w:t>
            </w:r>
          </w:p>
        </w:tc>
        <w:tc>
          <w:tcPr>
            <w:tcW w:w="3119" w:type="dxa"/>
          </w:tcPr>
          <w:p w14:paraId="67810B62" w14:textId="77777777" w:rsidR="00D705B6" w:rsidRPr="001C4179" w:rsidRDefault="00D705B6" w:rsidP="00D705B6">
            <w:pPr>
              <w:spacing w:line="240" w:lineRule="auto"/>
              <w:jc w:val="both"/>
              <w:rPr>
                <w:rFonts w:asciiTheme="majorHAnsi" w:hAnsiTheme="majorHAnsi" w:cstheme="majorHAnsi"/>
                <w:b/>
                <w:sz w:val="16"/>
                <w:szCs w:val="16"/>
                <w:u w:val="single"/>
                <w:lang w:val="ro-RO"/>
              </w:rPr>
            </w:pPr>
            <w:r w:rsidRPr="001C4179">
              <w:rPr>
                <w:rFonts w:asciiTheme="majorHAnsi" w:hAnsiTheme="majorHAnsi" w:cstheme="majorHAnsi"/>
                <w:sz w:val="16"/>
                <w:szCs w:val="16"/>
                <w:lang w:val="ro-RO"/>
              </w:rPr>
              <w:t>Pe parcursul perioadei ianuarie - septembrie 2021, au fost efectuate:</w:t>
            </w:r>
          </w:p>
          <w:p w14:paraId="5C9EA91C" w14:textId="77777777" w:rsidR="00D705B6" w:rsidRPr="001C4179" w:rsidRDefault="00D705B6" w:rsidP="00D705B6">
            <w:pPr>
              <w:shd w:val="clear" w:color="auto" w:fill="FFFFFF"/>
              <w:spacing w:line="240" w:lineRule="auto"/>
              <w:jc w:val="both"/>
              <w:rPr>
                <w:rFonts w:asciiTheme="majorHAnsi" w:eastAsia="Times New Roman" w:hAnsiTheme="majorHAnsi" w:cstheme="majorHAnsi"/>
                <w:color w:val="000000"/>
                <w:sz w:val="16"/>
                <w:szCs w:val="16"/>
                <w:lang w:val="ro-RO" w:eastAsia="ro-RO"/>
              </w:rPr>
            </w:pPr>
            <w:r w:rsidRPr="001C4179">
              <w:rPr>
                <w:rFonts w:asciiTheme="majorHAnsi" w:hAnsiTheme="majorHAnsi" w:cstheme="majorHAnsi"/>
                <w:b/>
                <w:sz w:val="16"/>
                <w:szCs w:val="16"/>
                <w:u w:val="single"/>
                <w:lang w:val="ro-RO"/>
              </w:rPr>
              <w:t>Serviciul Vamal:</w:t>
            </w:r>
            <w:r w:rsidRPr="001C4179">
              <w:rPr>
                <w:rFonts w:asciiTheme="majorHAnsi" w:hAnsiTheme="majorHAnsi" w:cstheme="majorHAnsi"/>
                <w:b/>
                <w:sz w:val="16"/>
                <w:szCs w:val="16"/>
                <w:lang w:val="ro-RO"/>
              </w:rPr>
              <w:t xml:space="preserve"> </w:t>
            </w:r>
            <w:r w:rsidRPr="001C4179">
              <w:rPr>
                <w:rFonts w:asciiTheme="majorHAnsi" w:hAnsiTheme="majorHAnsi" w:cstheme="majorHAnsi"/>
                <w:color w:val="FF0000"/>
                <w:sz w:val="16"/>
                <w:szCs w:val="16"/>
                <w:lang w:val="ro-RO" w:eastAsia="ro-RO"/>
              </w:rPr>
              <w:t> </w:t>
            </w:r>
            <w:r w:rsidRPr="001C4179">
              <w:rPr>
                <w:rFonts w:asciiTheme="majorHAnsi" w:eastAsia="Times New Roman" w:hAnsiTheme="majorHAnsi" w:cstheme="majorHAnsi"/>
                <w:color w:val="000000"/>
                <w:sz w:val="16"/>
                <w:szCs w:val="16"/>
                <w:lang w:val="ro-RO" w:eastAsia="ro-RO"/>
              </w:rPr>
              <w:t>       </w:t>
            </w:r>
          </w:p>
          <w:p w14:paraId="4DCA7056" w14:textId="77777777" w:rsidR="00D705B6" w:rsidRPr="001C4179" w:rsidRDefault="00D705B6" w:rsidP="00D705B6">
            <w:pPr>
              <w:shd w:val="clear" w:color="auto" w:fill="FFFFFF"/>
              <w:spacing w:line="240" w:lineRule="auto"/>
              <w:ind w:left="32"/>
              <w:jc w:val="both"/>
              <w:rPr>
                <w:rFonts w:asciiTheme="majorHAnsi" w:eastAsia="Times New Roman" w:hAnsiTheme="majorHAnsi" w:cstheme="majorHAnsi"/>
                <w:color w:val="000000"/>
                <w:sz w:val="16"/>
                <w:szCs w:val="16"/>
                <w:shd w:val="clear" w:color="auto" w:fill="FFFFFF"/>
                <w:lang w:val="ro-RO"/>
              </w:rPr>
            </w:pPr>
            <w:r w:rsidRPr="001C4179">
              <w:rPr>
                <w:rFonts w:asciiTheme="majorHAnsi" w:eastAsia="Times New Roman" w:hAnsiTheme="majorHAnsi" w:cstheme="majorHAnsi"/>
                <w:color w:val="000000"/>
                <w:sz w:val="16"/>
                <w:szCs w:val="16"/>
                <w:lang w:val="ro-RO"/>
              </w:rPr>
              <w:t>-A fost încasat de la 1 persoană fizică obligații vamale în sumă de 4</w:t>
            </w:r>
            <w:r w:rsidRPr="001C4179">
              <w:rPr>
                <w:rFonts w:asciiTheme="majorHAnsi" w:eastAsia="Times New Roman" w:hAnsiTheme="majorHAnsi" w:cstheme="majorHAnsi"/>
                <w:color w:val="000000"/>
                <w:sz w:val="16"/>
                <w:szCs w:val="16"/>
                <w:shd w:val="clear" w:color="auto" w:fill="FFFFFF"/>
                <w:lang w:val="ro-RO"/>
              </w:rPr>
              <w:t> 200,00 (lei).</w:t>
            </w:r>
          </w:p>
          <w:p w14:paraId="6A4472EC" w14:textId="77777777" w:rsidR="00D705B6" w:rsidRPr="001C4179" w:rsidRDefault="00D705B6" w:rsidP="00D705B6">
            <w:pPr>
              <w:shd w:val="clear" w:color="auto" w:fill="FFFFFF"/>
              <w:spacing w:line="240" w:lineRule="auto"/>
              <w:ind w:left="32"/>
              <w:jc w:val="both"/>
              <w:rPr>
                <w:rFonts w:asciiTheme="majorHAnsi" w:eastAsia="Times New Roman" w:hAnsiTheme="majorHAnsi" w:cstheme="majorHAnsi"/>
                <w:color w:val="000000"/>
                <w:sz w:val="16"/>
                <w:szCs w:val="16"/>
                <w:lang w:val="ro-RO"/>
              </w:rPr>
            </w:pPr>
            <w:r w:rsidRPr="001C4179">
              <w:rPr>
                <w:rFonts w:asciiTheme="majorHAnsi" w:eastAsia="Times New Roman" w:hAnsiTheme="majorHAnsi" w:cstheme="majorHAnsi"/>
                <w:color w:val="000000"/>
                <w:sz w:val="16"/>
                <w:szCs w:val="16"/>
                <w:shd w:val="clear" w:color="auto" w:fill="FFFFFF"/>
                <w:lang w:val="ro-RO"/>
              </w:rPr>
              <w:t>- Au fost remise 61 cauze contravenționale în sumă de </w:t>
            </w:r>
            <w:hyperlink r:id="rId21" w:history="1">
              <w:r w:rsidRPr="001C4179">
                <w:rPr>
                  <w:rFonts w:asciiTheme="majorHAnsi" w:eastAsia="Times New Roman" w:hAnsiTheme="majorHAnsi" w:cstheme="majorHAnsi"/>
                  <w:sz w:val="16"/>
                  <w:szCs w:val="16"/>
                  <w:shd w:val="clear" w:color="auto" w:fill="FFFFFF"/>
                  <w:lang w:val="ro-RO"/>
                </w:rPr>
                <w:t>1 971 475,50</w:t>
              </w:r>
            </w:hyperlink>
            <w:r w:rsidRPr="001C4179">
              <w:rPr>
                <w:rFonts w:asciiTheme="majorHAnsi" w:eastAsia="Times New Roman" w:hAnsiTheme="majorHAnsi" w:cstheme="majorHAnsi"/>
                <w:sz w:val="16"/>
                <w:szCs w:val="16"/>
                <w:shd w:val="clear" w:color="auto" w:fill="FFFFFF"/>
                <w:lang w:val="ro-RO"/>
              </w:rPr>
              <w:t>  (lei)</w:t>
            </w:r>
            <w:r w:rsidRPr="001C4179">
              <w:rPr>
                <w:rFonts w:asciiTheme="majorHAnsi" w:eastAsia="Times New Roman" w:hAnsiTheme="majorHAnsi" w:cstheme="majorHAnsi"/>
                <w:color w:val="000000"/>
                <w:sz w:val="16"/>
                <w:szCs w:val="16"/>
                <w:shd w:val="clear" w:color="auto" w:fill="FFFFFF"/>
                <w:lang w:val="ro-RO"/>
              </w:rPr>
              <w:t> </w:t>
            </w:r>
            <w:r w:rsidRPr="001C4179">
              <w:rPr>
                <w:rFonts w:asciiTheme="majorHAnsi" w:eastAsia="Times New Roman" w:hAnsiTheme="majorHAnsi" w:cstheme="majorHAnsi"/>
                <w:color w:val="000000"/>
                <w:sz w:val="16"/>
                <w:szCs w:val="16"/>
                <w:lang w:val="ro-RO"/>
              </w:rPr>
              <w:t>spre executare silită către executorii judecătorești conform competențelor teritoriale, cu urmărirea ulterioară a măsurilor  care sunt întreprinse, dintre care 9 debitori (remiși spre executare la executorii judecătorești) cu obligații vamale în sumă de 171 903,00 (lei) au achitat prin aplicarea măsurilor de executare de către executori.</w:t>
            </w:r>
          </w:p>
          <w:p w14:paraId="5EF9C636" w14:textId="77777777" w:rsidR="00D705B6" w:rsidRPr="001C4179" w:rsidRDefault="00D705B6" w:rsidP="00D705B6">
            <w:pPr>
              <w:shd w:val="clear" w:color="auto" w:fill="FFFFFF"/>
              <w:spacing w:line="240" w:lineRule="auto"/>
              <w:ind w:left="32"/>
              <w:jc w:val="both"/>
              <w:rPr>
                <w:rFonts w:asciiTheme="majorHAnsi" w:eastAsia="Times New Roman" w:hAnsiTheme="majorHAnsi" w:cstheme="majorHAnsi"/>
                <w:color w:val="000000"/>
                <w:sz w:val="16"/>
                <w:szCs w:val="16"/>
                <w:lang w:val="ro-RO"/>
              </w:rPr>
            </w:pPr>
            <w:r w:rsidRPr="001C4179">
              <w:rPr>
                <w:rFonts w:asciiTheme="majorHAnsi" w:eastAsia="Times New Roman" w:hAnsiTheme="majorHAnsi" w:cstheme="majorHAnsi"/>
                <w:color w:val="000000"/>
                <w:sz w:val="16"/>
                <w:szCs w:val="16"/>
                <w:lang w:val="ro-RO"/>
              </w:rPr>
              <w:t xml:space="preserve">- În privința persoanelor juridice (debitori vamali), pe parcursul </w:t>
            </w:r>
            <w:r w:rsidRPr="001C4179">
              <w:rPr>
                <w:rFonts w:asciiTheme="majorHAnsi" w:eastAsia="Times New Roman" w:hAnsiTheme="majorHAnsi" w:cstheme="majorHAnsi"/>
                <w:sz w:val="16"/>
                <w:szCs w:val="16"/>
                <w:lang w:val="ro-RO"/>
              </w:rPr>
              <w:t xml:space="preserve">perioadei </w:t>
            </w:r>
            <w:r w:rsidRPr="001C4179">
              <w:rPr>
                <w:rFonts w:asciiTheme="majorHAnsi" w:eastAsia="Times New Roman" w:hAnsiTheme="majorHAnsi" w:cstheme="majorHAnsi"/>
                <w:sz w:val="16"/>
                <w:szCs w:val="16"/>
                <w:u w:val="single"/>
                <w:lang w:val="ro-RO"/>
              </w:rPr>
              <w:t xml:space="preserve">Ianuarie-Septembrie, 2021 </w:t>
            </w:r>
            <w:r w:rsidRPr="001C4179">
              <w:rPr>
                <w:rFonts w:asciiTheme="majorHAnsi" w:eastAsia="Times New Roman" w:hAnsiTheme="majorHAnsi" w:cstheme="majorHAnsi"/>
                <w:color w:val="000000"/>
                <w:sz w:val="16"/>
                <w:szCs w:val="16"/>
                <w:lang w:val="ro-RO"/>
              </w:rPr>
              <w:t>nu au fost transmise către Aparatul Central spre executare nici o Decizie de regularizare cu obligații vamale debitoare, astfel, nu au fost întreprinse măsuri de executare silită în privința persoanelor juridice. </w:t>
            </w:r>
          </w:p>
          <w:p w14:paraId="2F35F6D6" w14:textId="77777777" w:rsidR="00D705B6" w:rsidRPr="001C4179" w:rsidRDefault="00D705B6" w:rsidP="00D705B6">
            <w:pPr>
              <w:spacing w:line="240" w:lineRule="auto"/>
              <w:jc w:val="both"/>
              <w:rPr>
                <w:rFonts w:asciiTheme="majorHAnsi" w:hAnsiTheme="majorHAnsi" w:cstheme="majorHAnsi"/>
                <w:sz w:val="16"/>
                <w:szCs w:val="16"/>
                <w:lang w:val="ro-RO"/>
              </w:rPr>
            </w:pPr>
            <w:r w:rsidRPr="001C4179">
              <w:rPr>
                <w:rFonts w:asciiTheme="majorHAnsi" w:hAnsiTheme="majorHAnsi" w:cstheme="majorHAnsi"/>
                <w:b/>
                <w:sz w:val="16"/>
                <w:szCs w:val="16"/>
                <w:u w:val="single"/>
                <w:lang w:val="ro-RO"/>
              </w:rPr>
              <w:t xml:space="preserve">BVC: </w:t>
            </w:r>
            <w:r w:rsidRPr="001C4179">
              <w:rPr>
                <w:rFonts w:asciiTheme="majorHAnsi" w:hAnsiTheme="majorHAnsi" w:cstheme="majorHAnsi"/>
                <w:sz w:val="16"/>
                <w:szCs w:val="16"/>
                <w:lang w:val="ro-RO"/>
              </w:rPr>
              <w:t>Au fost emise 44 decizii cu privire la declanșarea procedurii de executare silită a obligației vamale a plătitorului vamal.</w:t>
            </w:r>
          </w:p>
          <w:p w14:paraId="444B34D3" w14:textId="77777777" w:rsidR="00D705B6" w:rsidRPr="001C4179" w:rsidRDefault="00D705B6" w:rsidP="00D705B6">
            <w:pPr>
              <w:spacing w:line="240" w:lineRule="auto"/>
              <w:jc w:val="both"/>
              <w:rPr>
                <w:rFonts w:asciiTheme="majorHAnsi" w:hAnsiTheme="majorHAnsi" w:cstheme="majorHAnsi"/>
                <w:sz w:val="16"/>
                <w:szCs w:val="16"/>
                <w:lang w:val="ro-RO"/>
              </w:rPr>
            </w:pPr>
            <w:r w:rsidRPr="001C4179">
              <w:rPr>
                <w:rFonts w:asciiTheme="majorHAnsi" w:hAnsiTheme="majorHAnsi" w:cstheme="majorHAnsi"/>
                <w:sz w:val="16"/>
                <w:szCs w:val="16"/>
                <w:lang w:val="ro-RO"/>
              </w:rPr>
              <w:t>- Suma încasată de pe conturile bancare ale plătitorilor vamali constituie 636 278 lei;</w:t>
            </w:r>
          </w:p>
          <w:p w14:paraId="14366EA1" w14:textId="00E086C7" w:rsidR="00D705B6" w:rsidRPr="001C4179" w:rsidRDefault="00D705B6" w:rsidP="00D705B6">
            <w:pPr>
              <w:spacing w:line="240" w:lineRule="auto"/>
              <w:jc w:val="both"/>
              <w:rPr>
                <w:rFonts w:asciiTheme="majorHAnsi" w:hAnsiTheme="majorHAnsi" w:cstheme="majorHAnsi"/>
                <w:sz w:val="16"/>
                <w:szCs w:val="16"/>
                <w:lang w:val="ro-RO"/>
              </w:rPr>
            </w:pPr>
            <w:r w:rsidRPr="001C4179">
              <w:rPr>
                <w:rFonts w:asciiTheme="majorHAnsi" w:hAnsiTheme="majorHAnsi" w:cstheme="majorHAnsi"/>
                <w:sz w:val="16"/>
                <w:szCs w:val="16"/>
                <w:lang w:val="ro-RO"/>
              </w:rPr>
              <w:t>-</w:t>
            </w:r>
            <w:r w:rsidR="00EC1F7B">
              <w:rPr>
                <w:rFonts w:asciiTheme="majorHAnsi" w:hAnsiTheme="majorHAnsi" w:cstheme="majorHAnsi"/>
                <w:sz w:val="16"/>
                <w:szCs w:val="16"/>
                <w:lang w:val="ro-RO"/>
              </w:rPr>
              <w:t xml:space="preserve"> </w:t>
            </w:r>
            <w:r w:rsidRPr="001C4179">
              <w:rPr>
                <w:rFonts w:asciiTheme="majorHAnsi" w:hAnsiTheme="majorHAnsi" w:cstheme="majorHAnsi"/>
                <w:sz w:val="16"/>
                <w:szCs w:val="16"/>
                <w:lang w:val="ro-RO"/>
              </w:rPr>
              <w:t>Prin intermediul executorilor judecătorești și executarea silită întreprinsă de către Secția juridică și executarea silită au fost încasate mijloace bănești în mărime de 13 462 177 lei;</w:t>
            </w:r>
          </w:p>
          <w:p w14:paraId="073EC027" w14:textId="77777777" w:rsidR="00D705B6" w:rsidRPr="001C4179" w:rsidRDefault="00D705B6" w:rsidP="00D705B6">
            <w:pPr>
              <w:spacing w:line="240" w:lineRule="auto"/>
              <w:jc w:val="both"/>
              <w:rPr>
                <w:rFonts w:asciiTheme="majorHAnsi" w:hAnsiTheme="majorHAnsi" w:cstheme="majorHAnsi"/>
                <w:color w:val="000000" w:themeColor="text1"/>
                <w:sz w:val="16"/>
                <w:szCs w:val="16"/>
                <w:lang w:val="ro-RO"/>
              </w:rPr>
            </w:pPr>
            <w:r w:rsidRPr="001C4179">
              <w:rPr>
                <w:rFonts w:asciiTheme="majorHAnsi" w:hAnsiTheme="majorHAnsi" w:cstheme="majorHAnsi"/>
                <w:color w:val="000000" w:themeColor="text1"/>
                <w:sz w:val="16"/>
                <w:szCs w:val="16"/>
                <w:lang w:val="ro-RO"/>
              </w:rPr>
              <w:t>- Au fost emise 32 dispoziții privind suspendarea operațiunilor la conturile bancare;</w:t>
            </w:r>
          </w:p>
          <w:p w14:paraId="0D5E4B59" w14:textId="004D3FBD" w:rsidR="00D705B6" w:rsidRPr="001C4179" w:rsidRDefault="00D705B6" w:rsidP="00D705B6">
            <w:pPr>
              <w:spacing w:line="240" w:lineRule="auto"/>
              <w:jc w:val="both"/>
              <w:rPr>
                <w:rFonts w:asciiTheme="majorHAnsi" w:hAnsiTheme="majorHAnsi" w:cstheme="majorHAnsi"/>
                <w:color w:val="000000" w:themeColor="text1"/>
                <w:sz w:val="16"/>
                <w:szCs w:val="16"/>
                <w:lang w:val="ro-RO"/>
              </w:rPr>
            </w:pPr>
            <w:r w:rsidRPr="001C4179">
              <w:rPr>
                <w:rFonts w:asciiTheme="majorHAnsi" w:hAnsiTheme="majorHAnsi" w:cstheme="majorHAnsi"/>
                <w:color w:val="000000" w:themeColor="text1"/>
                <w:sz w:val="16"/>
                <w:szCs w:val="16"/>
                <w:lang w:val="ro-RO"/>
              </w:rPr>
              <w:t>-</w:t>
            </w:r>
            <w:r w:rsidR="00F00C1A">
              <w:rPr>
                <w:rFonts w:asciiTheme="majorHAnsi" w:hAnsiTheme="majorHAnsi" w:cstheme="majorHAnsi"/>
                <w:color w:val="000000" w:themeColor="text1"/>
                <w:sz w:val="16"/>
                <w:szCs w:val="16"/>
                <w:lang w:val="ro-RO"/>
              </w:rPr>
              <w:t xml:space="preserve"> </w:t>
            </w:r>
            <w:r w:rsidRPr="001C4179">
              <w:rPr>
                <w:rFonts w:asciiTheme="majorHAnsi" w:hAnsiTheme="majorHAnsi" w:cstheme="majorHAnsi"/>
                <w:color w:val="000000" w:themeColor="text1"/>
                <w:sz w:val="16"/>
                <w:szCs w:val="16"/>
                <w:lang w:val="ro-RO"/>
              </w:rPr>
              <w:t>Au fost emise 5 ordine de incaso;</w:t>
            </w:r>
          </w:p>
          <w:p w14:paraId="757D4B21" w14:textId="7A65F0A1" w:rsidR="00D705B6" w:rsidRPr="001C4179" w:rsidRDefault="00D705B6" w:rsidP="00D705B6">
            <w:pPr>
              <w:spacing w:line="240" w:lineRule="auto"/>
              <w:jc w:val="both"/>
              <w:rPr>
                <w:rFonts w:asciiTheme="majorHAnsi" w:hAnsiTheme="majorHAnsi" w:cstheme="majorHAnsi"/>
                <w:color w:val="000000" w:themeColor="text1"/>
                <w:sz w:val="16"/>
                <w:szCs w:val="16"/>
                <w:lang w:val="ro-RO"/>
              </w:rPr>
            </w:pPr>
            <w:r w:rsidRPr="001C4179">
              <w:rPr>
                <w:rFonts w:asciiTheme="majorHAnsi" w:hAnsiTheme="majorHAnsi" w:cstheme="majorHAnsi"/>
                <w:color w:val="000000" w:themeColor="text1"/>
                <w:sz w:val="16"/>
                <w:szCs w:val="16"/>
                <w:lang w:val="ro-RO"/>
              </w:rPr>
              <w:t>-</w:t>
            </w:r>
            <w:r w:rsidR="00F00C1A">
              <w:rPr>
                <w:rFonts w:asciiTheme="majorHAnsi" w:hAnsiTheme="majorHAnsi" w:cstheme="majorHAnsi"/>
                <w:color w:val="000000" w:themeColor="text1"/>
                <w:sz w:val="16"/>
                <w:szCs w:val="16"/>
                <w:lang w:val="ro-RO"/>
              </w:rPr>
              <w:t xml:space="preserve"> </w:t>
            </w:r>
            <w:r w:rsidRPr="001C4179">
              <w:rPr>
                <w:rFonts w:asciiTheme="majorHAnsi" w:hAnsiTheme="majorHAnsi" w:cstheme="majorHAnsi"/>
                <w:color w:val="000000" w:themeColor="text1"/>
                <w:sz w:val="16"/>
                <w:szCs w:val="16"/>
                <w:lang w:val="ro-RO"/>
              </w:rPr>
              <w:t>Au fost aplicate 9 interdicții de înstrăinare a bunurilor;</w:t>
            </w:r>
          </w:p>
          <w:p w14:paraId="62B81ADC" w14:textId="689CA394" w:rsidR="00D705B6" w:rsidRPr="001C4179" w:rsidRDefault="00D705B6" w:rsidP="00D705B6">
            <w:pPr>
              <w:spacing w:line="240" w:lineRule="auto"/>
              <w:jc w:val="both"/>
              <w:rPr>
                <w:rFonts w:asciiTheme="majorHAnsi" w:hAnsiTheme="majorHAnsi" w:cstheme="majorHAnsi"/>
                <w:color w:val="000000" w:themeColor="text1"/>
                <w:sz w:val="16"/>
                <w:szCs w:val="16"/>
                <w:lang w:val="ro-RO"/>
              </w:rPr>
            </w:pPr>
            <w:r w:rsidRPr="001C4179">
              <w:rPr>
                <w:rFonts w:asciiTheme="majorHAnsi" w:hAnsiTheme="majorHAnsi" w:cstheme="majorHAnsi"/>
                <w:color w:val="000000" w:themeColor="text1"/>
                <w:sz w:val="16"/>
                <w:szCs w:val="16"/>
                <w:lang w:val="ro-RO"/>
              </w:rPr>
              <w:t>-</w:t>
            </w:r>
            <w:r w:rsidR="00F00C1A">
              <w:rPr>
                <w:rFonts w:asciiTheme="majorHAnsi" w:hAnsiTheme="majorHAnsi" w:cstheme="majorHAnsi"/>
                <w:color w:val="000000" w:themeColor="text1"/>
                <w:sz w:val="16"/>
                <w:szCs w:val="16"/>
                <w:lang w:val="ro-RO"/>
              </w:rPr>
              <w:t xml:space="preserve"> </w:t>
            </w:r>
            <w:r w:rsidRPr="001C4179">
              <w:rPr>
                <w:rFonts w:asciiTheme="majorHAnsi" w:hAnsiTheme="majorHAnsi" w:cstheme="majorHAnsi"/>
                <w:color w:val="000000" w:themeColor="text1"/>
                <w:sz w:val="16"/>
                <w:szCs w:val="16"/>
                <w:lang w:val="ro-RO"/>
              </w:rPr>
              <w:t>Au fost inițiate 3 proceduri de insolvabilitate.</w:t>
            </w:r>
          </w:p>
          <w:p w14:paraId="4BEB5D16" w14:textId="0EDA369B" w:rsidR="00D705B6" w:rsidRPr="001C4179" w:rsidRDefault="00D705B6" w:rsidP="00D705B6">
            <w:pPr>
              <w:spacing w:line="240" w:lineRule="auto"/>
              <w:jc w:val="both"/>
              <w:rPr>
                <w:rFonts w:asciiTheme="majorHAnsi" w:hAnsiTheme="majorHAnsi" w:cstheme="majorHAnsi"/>
                <w:color w:val="000000" w:themeColor="text1"/>
                <w:sz w:val="16"/>
                <w:szCs w:val="16"/>
                <w:lang w:val="ro-RO"/>
              </w:rPr>
            </w:pPr>
            <w:r w:rsidRPr="001C4179">
              <w:rPr>
                <w:rFonts w:asciiTheme="majorHAnsi" w:hAnsiTheme="majorHAnsi" w:cstheme="majorHAnsi"/>
                <w:color w:val="000000" w:themeColor="text1"/>
                <w:sz w:val="16"/>
                <w:szCs w:val="16"/>
                <w:lang w:val="ro-RO"/>
              </w:rPr>
              <w:t>-</w:t>
            </w:r>
            <w:r w:rsidR="00F00C1A">
              <w:rPr>
                <w:rFonts w:asciiTheme="majorHAnsi" w:hAnsiTheme="majorHAnsi" w:cstheme="majorHAnsi"/>
                <w:color w:val="000000" w:themeColor="text1"/>
                <w:sz w:val="16"/>
                <w:szCs w:val="16"/>
                <w:lang w:val="ro-RO"/>
              </w:rPr>
              <w:t xml:space="preserve"> </w:t>
            </w:r>
            <w:r w:rsidRPr="001C4179">
              <w:rPr>
                <w:rFonts w:asciiTheme="majorHAnsi" w:hAnsiTheme="majorHAnsi" w:cstheme="majorHAnsi"/>
                <w:color w:val="000000" w:themeColor="text1"/>
                <w:sz w:val="16"/>
                <w:szCs w:val="16"/>
                <w:lang w:val="ro-RO"/>
              </w:rPr>
              <w:t>Au fost remise spre executare silită către executori judecătorești- 477 decizii de contravenție vamală;</w:t>
            </w:r>
          </w:p>
          <w:p w14:paraId="1F5EF5CD" w14:textId="70E1B5DE" w:rsidR="00D705B6" w:rsidRPr="001C4179" w:rsidRDefault="00D705B6" w:rsidP="00D705B6">
            <w:pPr>
              <w:spacing w:line="240" w:lineRule="auto"/>
              <w:jc w:val="both"/>
              <w:rPr>
                <w:rFonts w:asciiTheme="majorHAnsi" w:hAnsiTheme="majorHAnsi" w:cstheme="majorHAnsi"/>
                <w:color w:val="000000" w:themeColor="text1"/>
                <w:sz w:val="16"/>
                <w:szCs w:val="16"/>
                <w:lang w:val="ro-RO"/>
              </w:rPr>
            </w:pPr>
            <w:r w:rsidRPr="001C4179">
              <w:rPr>
                <w:rFonts w:asciiTheme="majorHAnsi" w:hAnsiTheme="majorHAnsi" w:cstheme="majorHAnsi"/>
                <w:color w:val="000000" w:themeColor="text1"/>
                <w:sz w:val="16"/>
                <w:szCs w:val="16"/>
                <w:lang w:val="ro-RO"/>
              </w:rPr>
              <w:t>-</w:t>
            </w:r>
            <w:r w:rsidR="00F00C1A">
              <w:rPr>
                <w:rFonts w:asciiTheme="majorHAnsi" w:hAnsiTheme="majorHAnsi" w:cstheme="majorHAnsi"/>
                <w:color w:val="000000" w:themeColor="text1"/>
                <w:sz w:val="16"/>
                <w:szCs w:val="16"/>
                <w:lang w:val="ro-RO"/>
              </w:rPr>
              <w:t xml:space="preserve"> </w:t>
            </w:r>
            <w:r w:rsidRPr="001C4179">
              <w:rPr>
                <w:rFonts w:asciiTheme="majorHAnsi" w:hAnsiTheme="majorHAnsi" w:cstheme="majorHAnsi"/>
                <w:color w:val="000000" w:themeColor="text1"/>
                <w:sz w:val="16"/>
                <w:szCs w:val="16"/>
                <w:lang w:val="ro-RO"/>
              </w:rPr>
              <w:t>Au fost create 193 consemne în SI al Serviciului Vamal.</w:t>
            </w:r>
          </w:p>
          <w:p w14:paraId="19088707" w14:textId="105B8F58" w:rsidR="00D705B6" w:rsidRPr="001C4179" w:rsidRDefault="00D705B6" w:rsidP="00D705B6">
            <w:pPr>
              <w:spacing w:line="240" w:lineRule="auto"/>
              <w:jc w:val="both"/>
              <w:rPr>
                <w:rFonts w:asciiTheme="majorHAnsi" w:hAnsiTheme="majorHAnsi" w:cstheme="majorHAnsi"/>
                <w:b/>
                <w:color w:val="000000" w:themeColor="text1"/>
                <w:sz w:val="16"/>
                <w:szCs w:val="16"/>
                <w:lang w:val="ro-RO"/>
              </w:rPr>
            </w:pPr>
            <w:r w:rsidRPr="001C4179">
              <w:rPr>
                <w:rFonts w:asciiTheme="majorHAnsi" w:hAnsiTheme="majorHAnsi" w:cstheme="majorHAnsi"/>
                <w:color w:val="000000" w:themeColor="text1"/>
                <w:sz w:val="16"/>
                <w:szCs w:val="16"/>
                <w:lang w:val="ro-RO"/>
              </w:rPr>
              <w:t>-</w:t>
            </w:r>
            <w:r w:rsidR="00F00C1A">
              <w:rPr>
                <w:rFonts w:asciiTheme="majorHAnsi" w:hAnsiTheme="majorHAnsi" w:cstheme="majorHAnsi"/>
                <w:color w:val="000000" w:themeColor="text1"/>
                <w:sz w:val="16"/>
                <w:szCs w:val="16"/>
                <w:lang w:val="ro-RO"/>
              </w:rPr>
              <w:t xml:space="preserve"> </w:t>
            </w:r>
            <w:r w:rsidRPr="001C4179">
              <w:rPr>
                <w:rFonts w:asciiTheme="majorHAnsi" w:hAnsiTheme="majorHAnsi" w:cstheme="majorHAnsi"/>
                <w:color w:val="000000" w:themeColor="text1"/>
                <w:sz w:val="16"/>
                <w:szCs w:val="16"/>
                <w:lang w:val="ro-RO"/>
              </w:rPr>
              <w:t xml:space="preserve">Au avut loc 3 ședințe, în urma la care Comisia de experți privind stingerea obligației vamale restante la bugetul de stat </w:t>
            </w:r>
            <w:r w:rsidRPr="001C4179">
              <w:rPr>
                <w:rFonts w:asciiTheme="majorHAnsi" w:hAnsiTheme="majorHAnsi" w:cstheme="majorHAnsi"/>
                <w:i/>
                <w:color w:val="000000" w:themeColor="text1"/>
                <w:sz w:val="16"/>
                <w:szCs w:val="16"/>
                <w:lang w:val="ro-RO"/>
              </w:rPr>
              <w:t>(instituită prin Ordinul b/v Centru nr. 176 – O din 16.11.2020)</w:t>
            </w:r>
            <w:r w:rsidRPr="001C4179">
              <w:rPr>
                <w:rFonts w:asciiTheme="majorHAnsi" w:hAnsiTheme="majorHAnsi" w:cstheme="majorHAnsi"/>
                <w:color w:val="000000" w:themeColor="text1"/>
                <w:sz w:val="16"/>
                <w:szCs w:val="16"/>
                <w:lang w:val="ro-RO"/>
              </w:rPr>
              <w:t xml:space="preserve">, au decis să stingă obligația vamală în suma totală de </w:t>
            </w:r>
            <w:r w:rsidRPr="001C4179">
              <w:rPr>
                <w:rFonts w:asciiTheme="majorHAnsi" w:hAnsiTheme="majorHAnsi" w:cstheme="majorHAnsi"/>
                <w:b/>
                <w:color w:val="000000" w:themeColor="text1"/>
                <w:sz w:val="16"/>
                <w:szCs w:val="16"/>
                <w:lang w:val="ro-RO"/>
              </w:rPr>
              <w:t>33 504 539 lei.</w:t>
            </w:r>
          </w:p>
          <w:p w14:paraId="25E6709F" w14:textId="77777777" w:rsidR="00D705B6" w:rsidRPr="001C4179" w:rsidRDefault="00D705B6" w:rsidP="00D705B6">
            <w:pPr>
              <w:spacing w:line="240" w:lineRule="auto"/>
              <w:jc w:val="both"/>
              <w:rPr>
                <w:rFonts w:asciiTheme="majorHAnsi" w:hAnsiTheme="majorHAnsi" w:cstheme="majorHAnsi"/>
                <w:sz w:val="16"/>
                <w:szCs w:val="16"/>
                <w:lang w:val="ro-RO"/>
              </w:rPr>
            </w:pPr>
            <w:r w:rsidRPr="001C4179">
              <w:rPr>
                <w:rFonts w:asciiTheme="majorHAnsi" w:hAnsiTheme="majorHAnsi" w:cstheme="majorHAnsi"/>
                <w:b/>
                <w:sz w:val="16"/>
                <w:szCs w:val="16"/>
                <w:u w:val="single"/>
                <w:lang w:val="ro-RO"/>
              </w:rPr>
              <w:t>BVN:</w:t>
            </w:r>
            <w:r w:rsidRPr="001C4179">
              <w:rPr>
                <w:rFonts w:asciiTheme="majorHAnsi" w:hAnsiTheme="majorHAnsi" w:cstheme="majorHAnsi"/>
                <w:sz w:val="16"/>
                <w:szCs w:val="16"/>
                <w:lang w:val="ro-RO"/>
              </w:rPr>
              <w:t>-Au fost emise 40 decizii de declanșare a procedurii de executare silită;</w:t>
            </w:r>
          </w:p>
          <w:p w14:paraId="147B3AFD" w14:textId="77777777" w:rsidR="00D705B6" w:rsidRPr="001C4179" w:rsidRDefault="00D705B6" w:rsidP="00D705B6">
            <w:pPr>
              <w:spacing w:line="240" w:lineRule="auto"/>
              <w:jc w:val="both"/>
              <w:rPr>
                <w:rFonts w:asciiTheme="majorHAnsi" w:hAnsiTheme="majorHAnsi" w:cstheme="majorHAnsi"/>
                <w:sz w:val="16"/>
                <w:szCs w:val="16"/>
                <w:lang w:val="ro-RO"/>
              </w:rPr>
            </w:pPr>
            <w:r w:rsidRPr="001C4179">
              <w:rPr>
                <w:rFonts w:asciiTheme="majorHAnsi" w:hAnsiTheme="majorHAnsi" w:cstheme="majorHAnsi"/>
                <w:sz w:val="16"/>
                <w:szCs w:val="16"/>
                <w:lang w:val="ro-RO"/>
              </w:rPr>
              <w:t>- Au fost emise 15 dispoziții de suspendare a conturilor bancare;</w:t>
            </w:r>
          </w:p>
          <w:p w14:paraId="5692AA5D" w14:textId="77777777" w:rsidR="00D705B6" w:rsidRPr="001C4179" w:rsidRDefault="00D705B6" w:rsidP="00D705B6">
            <w:pPr>
              <w:spacing w:line="240" w:lineRule="auto"/>
              <w:jc w:val="both"/>
              <w:rPr>
                <w:rFonts w:asciiTheme="majorHAnsi" w:hAnsiTheme="majorHAnsi" w:cstheme="majorHAnsi"/>
                <w:sz w:val="16"/>
                <w:szCs w:val="16"/>
                <w:lang w:val="ro-RO"/>
              </w:rPr>
            </w:pPr>
            <w:r w:rsidRPr="001C4179">
              <w:rPr>
                <w:rFonts w:asciiTheme="majorHAnsi" w:hAnsiTheme="majorHAnsi" w:cstheme="majorHAnsi"/>
                <w:sz w:val="16"/>
                <w:szCs w:val="16"/>
                <w:lang w:val="ro-RO"/>
              </w:rPr>
              <w:t xml:space="preserve">- A fost emis 1 ordin incaso; </w:t>
            </w:r>
          </w:p>
          <w:p w14:paraId="539EA34D" w14:textId="77777777" w:rsidR="00D705B6" w:rsidRPr="001C4179" w:rsidRDefault="00D705B6" w:rsidP="00D705B6">
            <w:pPr>
              <w:spacing w:line="240" w:lineRule="auto"/>
              <w:jc w:val="both"/>
              <w:rPr>
                <w:rFonts w:asciiTheme="majorHAnsi" w:hAnsiTheme="majorHAnsi" w:cstheme="majorHAnsi"/>
                <w:sz w:val="16"/>
                <w:szCs w:val="16"/>
                <w:lang w:val="ro-RO"/>
              </w:rPr>
            </w:pPr>
            <w:r w:rsidRPr="001C4179">
              <w:rPr>
                <w:rFonts w:asciiTheme="majorHAnsi" w:hAnsiTheme="majorHAnsi" w:cstheme="majorHAnsi"/>
                <w:sz w:val="16"/>
                <w:szCs w:val="16"/>
                <w:lang w:val="ro-RO"/>
              </w:rPr>
              <w:t>-Au fost expediate 195 demersuri către registrele publice cu solicitarea de a fi acordată informația despre bunurile mobile/imobile disponibile ale plătitorilor vamali, cu aplicare în același timp a interdicției de înstrăinare;</w:t>
            </w:r>
          </w:p>
          <w:p w14:paraId="07EBA1EF" w14:textId="77777777" w:rsidR="00D705B6" w:rsidRPr="001C4179" w:rsidRDefault="00D705B6" w:rsidP="00D705B6">
            <w:pPr>
              <w:spacing w:line="240" w:lineRule="auto"/>
              <w:jc w:val="both"/>
              <w:rPr>
                <w:rFonts w:asciiTheme="majorHAnsi" w:hAnsiTheme="majorHAnsi" w:cstheme="majorHAnsi"/>
                <w:sz w:val="16"/>
                <w:szCs w:val="16"/>
                <w:lang w:val="ro-RO"/>
              </w:rPr>
            </w:pPr>
            <w:r w:rsidRPr="001C4179">
              <w:rPr>
                <w:rFonts w:asciiTheme="majorHAnsi" w:hAnsiTheme="majorHAnsi" w:cstheme="majorHAnsi"/>
                <w:sz w:val="16"/>
                <w:szCs w:val="16"/>
                <w:lang w:val="ro-RO"/>
              </w:rPr>
              <w:t>- A fost înaintată 1 cerere de intentare a procedurii de insolvabilitate;</w:t>
            </w:r>
          </w:p>
          <w:p w14:paraId="75B002F2" w14:textId="77777777" w:rsidR="00D705B6" w:rsidRPr="001C4179" w:rsidRDefault="00D705B6" w:rsidP="00D705B6">
            <w:pPr>
              <w:spacing w:line="240" w:lineRule="auto"/>
              <w:jc w:val="both"/>
              <w:rPr>
                <w:rFonts w:asciiTheme="majorHAnsi" w:hAnsiTheme="majorHAnsi" w:cstheme="majorHAnsi"/>
                <w:sz w:val="16"/>
                <w:szCs w:val="16"/>
                <w:lang w:val="ro-RO"/>
              </w:rPr>
            </w:pPr>
            <w:r w:rsidRPr="001C4179">
              <w:rPr>
                <w:rFonts w:asciiTheme="majorHAnsi" w:hAnsiTheme="majorHAnsi" w:cstheme="majorHAnsi"/>
                <w:sz w:val="16"/>
                <w:szCs w:val="16"/>
                <w:lang w:val="ro-RO"/>
              </w:rPr>
              <w:t>- Au fost înaintate 9 cereri de validare a creanțelor în cadrul proceselor de insolvabilitate a debitorilor;</w:t>
            </w:r>
          </w:p>
          <w:p w14:paraId="7C6DF5CC" w14:textId="77777777" w:rsidR="00D705B6" w:rsidRPr="001C4179" w:rsidRDefault="00D705B6" w:rsidP="00D705B6">
            <w:pPr>
              <w:spacing w:line="240" w:lineRule="auto"/>
              <w:jc w:val="both"/>
              <w:rPr>
                <w:rFonts w:asciiTheme="majorHAnsi" w:hAnsiTheme="majorHAnsi" w:cstheme="majorHAnsi"/>
                <w:sz w:val="16"/>
                <w:szCs w:val="16"/>
                <w:lang w:val="ro-RO"/>
              </w:rPr>
            </w:pPr>
            <w:r w:rsidRPr="001C4179">
              <w:rPr>
                <w:rFonts w:asciiTheme="majorHAnsi" w:hAnsiTheme="majorHAnsi" w:cstheme="majorHAnsi"/>
                <w:sz w:val="16"/>
                <w:szCs w:val="16"/>
                <w:lang w:val="ro-RO"/>
              </w:rPr>
              <w:t>- Conform competențelor teritoriale, au fost remise în adresa executorilor judecătorești 456 decizii asupra cazurilor de contravenție vamală privind încasarea plăților de plătitorii vamali;</w:t>
            </w:r>
          </w:p>
          <w:p w14:paraId="217B84ED" w14:textId="77777777" w:rsidR="00D705B6" w:rsidRPr="001C4179" w:rsidRDefault="00D705B6" w:rsidP="00D705B6">
            <w:pPr>
              <w:spacing w:line="240" w:lineRule="auto"/>
              <w:jc w:val="both"/>
              <w:rPr>
                <w:rFonts w:asciiTheme="majorHAnsi" w:hAnsiTheme="majorHAnsi" w:cstheme="majorHAnsi"/>
                <w:sz w:val="16"/>
                <w:szCs w:val="16"/>
                <w:lang w:val="ro-RO"/>
              </w:rPr>
            </w:pPr>
            <w:r w:rsidRPr="001C4179">
              <w:rPr>
                <w:rFonts w:asciiTheme="majorHAnsi" w:hAnsiTheme="majorHAnsi" w:cstheme="majorHAnsi"/>
                <w:sz w:val="16"/>
                <w:szCs w:val="16"/>
                <w:lang w:val="ro-RO"/>
              </w:rPr>
              <w:t xml:space="preserve">- Au fost înaintate 626 demersuri către executorii judecătorești de a ne fi comunicată informația despre mersul executării silite a plăților vamale de la debitor, cu solicitarea de a fi întreprinse toate măsurile posibile, inclusiv măsura de căutare și aducere forțată a debitorului; </w:t>
            </w:r>
          </w:p>
          <w:p w14:paraId="1AA74EA4" w14:textId="77777777" w:rsidR="00D705B6" w:rsidRPr="001C4179" w:rsidRDefault="00D705B6" w:rsidP="00D705B6">
            <w:pPr>
              <w:spacing w:line="240" w:lineRule="auto"/>
              <w:jc w:val="both"/>
              <w:rPr>
                <w:rFonts w:asciiTheme="majorHAnsi" w:hAnsiTheme="majorHAnsi" w:cstheme="majorHAnsi"/>
                <w:sz w:val="16"/>
                <w:szCs w:val="16"/>
                <w:lang w:val="ro-RO"/>
              </w:rPr>
            </w:pPr>
            <w:r w:rsidRPr="001C4179">
              <w:rPr>
                <w:rFonts w:asciiTheme="majorHAnsi" w:hAnsiTheme="majorHAnsi" w:cstheme="majorHAnsi"/>
                <w:sz w:val="16"/>
                <w:szCs w:val="16"/>
                <w:lang w:val="ro-RO"/>
              </w:rPr>
              <w:t xml:space="preserve">- Au fost create 586 consemne în SI al Serviciului Vamal; </w:t>
            </w:r>
          </w:p>
          <w:p w14:paraId="1F80BB8D" w14:textId="507A003F" w:rsidR="00D705B6" w:rsidRPr="001C4179" w:rsidRDefault="00D705B6" w:rsidP="00D705B6">
            <w:pPr>
              <w:spacing w:line="240" w:lineRule="auto"/>
              <w:jc w:val="both"/>
              <w:rPr>
                <w:rFonts w:asciiTheme="majorHAnsi" w:hAnsiTheme="majorHAnsi" w:cstheme="majorHAnsi"/>
                <w:sz w:val="16"/>
                <w:szCs w:val="16"/>
                <w:lang w:val="ro-RO"/>
              </w:rPr>
            </w:pPr>
            <w:r w:rsidRPr="001C4179">
              <w:rPr>
                <w:rFonts w:asciiTheme="majorHAnsi" w:hAnsiTheme="majorHAnsi" w:cstheme="majorHAnsi"/>
                <w:sz w:val="16"/>
                <w:szCs w:val="16"/>
                <w:lang w:val="ro-RO"/>
              </w:rPr>
              <w:t>Astfel, ca rezultat al măsurilor de executare silită întreprinse, au fost încasate obligații vamale în sumă de 23 m</w:t>
            </w:r>
            <w:r w:rsidR="00F00C1A">
              <w:rPr>
                <w:rFonts w:asciiTheme="majorHAnsi" w:hAnsiTheme="majorHAnsi" w:cstheme="majorHAnsi"/>
                <w:sz w:val="16"/>
                <w:szCs w:val="16"/>
                <w:lang w:val="ro-RO"/>
              </w:rPr>
              <w:t>i</w:t>
            </w:r>
            <w:r w:rsidRPr="001C4179">
              <w:rPr>
                <w:rFonts w:asciiTheme="majorHAnsi" w:hAnsiTheme="majorHAnsi" w:cstheme="majorHAnsi"/>
                <w:sz w:val="16"/>
                <w:szCs w:val="16"/>
                <w:lang w:val="ro-RO"/>
              </w:rPr>
              <w:t>l</w:t>
            </w:r>
            <w:r w:rsidR="00F00C1A">
              <w:rPr>
                <w:rFonts w:asciiTheme="majorHAnsi" w:hAnsiTheme="majorHAnsi" w:cstheme="majorHAnsi"/>
                <w:sz w:val="16"/>
                <w:szCs w:val="16"/>
                <w:lang w:val="ro-RO"/>
              </w:rPr>
              <w:t>.</w:t>
            </w:r>
            <w:r w:rsidRPr="001C4179">
              <w:rPr>
                <w:rFonts w:asciiTheme="majorHAnsi" w:hAnsiTheme="majorHAnsi" w:cstheme="majorHAnsi"/>
                <w:sz w:val="16"/>
                <w:szCs w:val="16"/>
                <w:lang w:val="ro-RO"/>
              </w:rPr>
              <w:t>lei.</w:t>
            </w:r>
          </w:p>
          <w:p w14:paraId="28A7DF20" w14:textId="77777777" w:rsidR="00D705B6" w:rsidRPr="001C4179" w:rsidRDefault="00D705B6" w:rsidP="00D705B6">
            <w:pPr>
              <w:spacing w:line="240" w:lineRule="auto"/>
              <w:jc w:val="both"/>
              <w:rPr>
                <w:rFonts w:asciiTheme="majorHAnsi" w:hAnsiTheme="majorHAnsi" w:cstheme="majorHAnsi"/>
                <w:sz w:val="16"/>
                <w:szCs w:val="16"/>
                <w:lang w:val="ro-RO"/>
              </w:rPr>
            </w:pPr>
            <w:r w:rsidRPr="001C4179">
              <w:rPr>
                <w:rFonts w:asciiTheme="majorHAnsi" w:hAnsiTheme="majorHAnsi" w:cstheme="majorHAnsi"/>
                <w:sz w:val="16"/>
                <w:szCs w:val="16"/>
                <w:lang w:val="ro-RO"/>
              </w:rPr>
              <w:t>- Au fost organizate 2 ședințe a Comisiei privind stingerea obligațiilor vamale datorate, unde ca rezultat au fost stinse prin scădere și prescripție obligații vamale în sumă de 2 262 842,64 lei, pentru 35 debitori.</w:t>
            </w:r>
          </w:p>
          <w:p w14:paraId="4740BF66" w14:textId="77777777" w:rsidR="00D705B6" w:rsidRPr="001C4179" w:rsidRDefault="00D705B6" w:rsidP="00D705B6">
            <w:pPr>
              <w:spacing w:line="240" w:lineRule="auto"/>
              <w:jc w:val="both"/>
              <w:rPr>
                <w:rFonts w:asciiTheme="majorHAnsi" w:hAnsiTheme="majorHAnsi" w:cstheme="majorHAnsi"/>
                <w:sz w:val="16"/>
                <w:szCs w:val="16"/>
                <w:lang w:val="ro-RO"/>
              </w:rPr>
            </w:pPr>
            <w:r w:rsidRPr="001C4179">
              <w:rPr>
                <w:rFonts w:asciiTheme="majorHAnsi" w:hAnsiTheme="majorHAnsi" w:cstheme="majorHAnsi"/>
                <w:b/>
                <w:sz w:val="16"/>
                <w:szCs w:val="16"/>
                <w:u w:val="single"/>
                <w:lang w:val="ro-RO"/>
              </w:rPr>
              <w:t xml:space="preserve">BVS: </w:t>
            </w:r>
          </w:p>
          <w:p w14:paraId="19FB9050" w14:textId="77777777" w:rsidR="00D705B6" w:rsidRPr="001C4179" w:rsidRDefault="00D705B6" w:rsidP="00D705B6">
            <w:pPr>
              <w:spacing w:line="240" w:lineRule="auto"/>
              <w:jc w:val="both"/>
              <w:rPr>
                <w:rFonts w:asciiTheme="majorHAnsi" w:hAnsiTheme="majorHAnsi" w:cstheme="majorHAnsi"/>
                <w:sz w:val="16"/>
                <w:szCs w:val="16"/>
                <w:lang w:val="ro-RO"/>
              </w:rPr>
            </w:pPr>
            <w:r w:rsidRPr="001C4179">
              <w:rPr>
                <w:rFonts w:asciiTheme="majorHAnsi" w:hAnsiTheme="majorHAnsi" w:cstheme="majorHAnsi"/>
                <w:sz w:val="16"/>
                <w:szCs w:val="16"/>
                <w:lang w:val="ro-RO"/>
              </w:rPr>
              <w:t>-141 decizii de declanșare a procedurii de executare silită;</w:t>
            </w:r>
          </w:p>
          <w:p w14:paraId="62DC01E3" w14:textId="77777777" w:rsidR="00D705B6" w:rsidRPr="001C4179" w:rsidRDefault="00D705B6" w:rsidP="00D705B6">
            <w:pPr>
              <w:spacing w:line="240" w:lineRule="auto"/>
              <w:jc w:val="both"/>
              <w:rPr>
                <w:rFonts w:asciiTheme="majorHAnsi" w:hAnsiTheme="majorHAnsi" w:cstheme="majorHAnsi"/>
                <w:sz w:val="16"/>
                <w:szCs w:val="16"/>
                <w:lang w:val="ro-RO"/>
              </w:rPr>
            </w:pPr>
            <w:r w:rsidRPr="001C4179">
              <w:rPr>
                <w:rFonts w:asciiTheme="majorHAnsi" w:hAnsiTheme="majorHAnsi" w:cstheme="majorHAnsi"/>
                <w:sz w:val="16"/>
                <w:szCs w:val="16"/>
                <w:lang w:val="ro-RO"/>
              </w:rPr>
              <w:t>-11 dispoziții de suspendare a conturilor bancare.</w:t>
            </w:r>
          </w:p>
          <w:p w14:paraId="2D413D7A" w14:textId="77777777" w:rsidR="00D705B6" w:rsidRPr="001C4179" w:rsidRDefault="00D705B6" w:rsidP="00D705B6">
            <w:pPr>
              <w:spacing w:line="240" w:lineRule="auto"/>
              <w:jc w:val="both"/>
              <w:rPr>
                <w:rFonts w:asciiTheme="majorHAnsi" w:hAnsiTheme="majorHAnsi" w:cstheme="majorHAnsi"/>
                <w:sz w:val="16"/>
                <w:szCs w:val="16"/>
                <w:lang w:val="ro-RO"/>
              </w:rPr>
            </w:pPr>
            <w:r w:rsidRPr="001C4179">
              <w:rPr>
                <w:rFonts w:asciiTheme="majorHAnsi" w:hAnsiTheme="majorHAnsi" w:cstheme="majorHAnsi"/>
                <w:sz w:val="16"/>
                <w:szCs w:val="16"/>
                <w:lang w:val="ro-RO"/>
              </w:rPr>
              <w:t xml:space="preserve"> Au fost încasate sumele de 1263901,00 lei de la  debitori persoane juridice și persoane fizice ;</w:t>
            </w:r>
          </w:p>
          <w:p w14:paraId="3AE04D42" w14:textId="77777777" w:rsidR="00D705B6" w:rsidRPr="001C4179" w:rsidRDefault="00D705B6" w:rsidP="00D705B6">
            <w:pPr>
              <w:spacing w:line="240" w:lineRule="auto"/>
              <w:jc w:val="both"/>
              <w:rPr>
                <w:rFonts w:asciiTheme="majorHAnsi" w:hAnsiTheme="majorHAnsi" w:cstheme="majorHAnsi"/>
                <w:sz w:val="16"/>
                <w:szCs w:val="16"/>
                <w:lang w:val="ro-RO"/>
              </w:rPr>
            </w:pPr>
            <w:r w:rsidRPr="001C4179">
              <w:rPr>
                <w:rFonts w:asciiTheme="majorHAnsi" w:hAnsiTheme="majorHAnsi" w:cstheme="majorHAnsi"/>
                <w:sz w:val="16"/>
                <w:szCs w:val="16"/>
                <w:lang w:val="ro-RO"/>
              </w:rPr>
              <w:t>-230 scrisori către ASP cu solicitarea de aplicare a interdicțiilor pe bunurile mobile/imobile;</w:t>
            </w:r>
          </w:p>
          <w:p w14:paraId="4A00B1F2" w14:textId="77777777" w:rsidR="00D705B6" w:rsidRPr="001C4179" w:rsidRDefault="00D705B6" w:rsidP="00D705B6">
            <w:pPr>
              <w:spacing w:line="240" w:lineRule="auto"/>
              <w:jc w:val="both"/>
              <w:rPr>
                <w:rFonts w:asciiTheme="majorHAnsi" w:hAnsiTheme="majorHAnsi" w:cstheme="majorHAnsi"/>
                <w:sz w:val="16"/>
                <w:szCs w:val="16"/>
                <w:lang w:val="ro-RO"/>
              </w:rPr>
            </w:pPr>
            <w:r w:rsidRPr="001C4179">
              <w:rPr>
                <w:rFonts w:asciiTheme="majorHAnsi" w:hAnsiTheme="majorHAnsi" w:cstheme="majorHAnsi"/>
                <w:sz w:val="16"/>
                <w:szCs w:val="16"/>
                <w:lang w:val="ro-RO"/>
              </w:rPr>
              <w:t>-A fost inițiată o procedură de  insolvabilitate pentru agentul economic „LGS Design” c/f 1017605004352;</w:t>
            </w:r>
          </w:p>
          <w:p w14:paraId="17B76A02" w14:textId="77777777" w:rsidR="00D705B6" w:rsidRPr="001C4179" w:rsidRDefault="00D705B6" w:rsidP="00D705B6">
            <w:pPr>
              <w:spacing w:line="240" w:lineRule="auto"/>
              <w:jc w:val="both"/>
              <w:rPr>
                <w:rFonts w:asciiTheme="majorHAnsi" w:hAnsiTheme="majorHAnsi" w:cstheme="majorHAnsi"/>
                <w:sz w:val="16"/>
                <w:szCs w:val="16"/>
                <w:lang w:val="ro-RO"/>
              </w:rPr>
            </w:pPr>
            <w:r w:rsidRPr="001C4179">
              <w:rPr>
                <w:rFonts w:asciiTheme="majorHAnsi" w:hAnsiTheme="majorHAnsi" w:cstheme="majorHAnsi"/>
                <w:sz w:val="16"/>
                <w:szCs w:val="16"/>
                <w:lang w:val="ro-RO"/>
              </w:rPr>
              <w:t>-133 decizii asupra cazului de contravenție vamală remise în adresa executorilor judecătorești;</w:t>
            </w:r>
          </w:p>
          <w:p w14:paraId="726A8113" w14:textId="77777777" w:rsidR="00D705B6" w:rsidRPr="001C4179" w:rsidRDefault="00D705B6" w:rsidP="00D705B6">
            <w:pPr>
              <w:spacing w:line="240" w:lineRule="auto"/>
              <w:jc w:val="both"/>
              <w:rPr>
                <w:rFonts w:asciiTheme="majorHAnsi" w:hAnsiTheme="majorHAnsi" w:cstheme="majorHAnsi"/>
                <w:sz w:val="16"/>
                <w:szCs w:val="16"/>
                <w:lang w:val="ro-RO"/>
              </w:rPr>
            </w:pPr>
            <w:r w:rsidRPr="001C4179">
              <w:rPr>
                <w:rFonts w:asciiTheme="majorHAnsi" w:hAnsiTheme="majorHAnsi" w:cstheme="majorHAnsi"/>
                <w:sz w:val="16"/>
                <w:szCs w:val="16"/>
                <w:lang w:val="ro-RO"/>
              </w:rPr>
              <w:t>-56 rapoarte către SAR creare consemn.</w:t>
            </w:r>
          </w:p>
          <w:p w14:paraId="7AE6B880" w14:textId="77777777" w:rsidR="00D705B6" w:rsidRPr="001C4179" w:rsidRDefault="00D705B6" w:rsidP="00D705B6">
            <w:pPr>
              <w:spacing w:line="240" w:lineRule="auto"/>
              <w:jc w:val="both"/>
              <w:rPr>
                <w:rFonts w:asciiTheme="majorHAnsi" w:hAnsiTheme="majorHAnsi" w:cstheme="majorHAnsi"/>
                <w:sz w:val="16"/>
                <w:szCs w:val="16"/>
                <w:lang w:val="ro-RO"/>
              </w:rPr>
            </w:pPr>
            <w:r w:rsidRPr="001C4179">
              <w:rPr>
                <w:rFonts w:asciiTheme="majorHAnsi" w:hAnsiTheme="majorHAnsi" w:cstheme="majorHAnsi"/>
                <w:sz w:val="16"/>
                <w:szCs w:val="16"/>
                <w:lang w:val="ro-RO"/>
              </w:rPr>
              <w:t xml:space="preserve">- Au fost organizate 3 ședințe a Comisiei privind stingerea obligației vamale prin prescripție. </w:t>
            </w:r>
          </w:p>
          <w:p w14:paraId="0040F76C" w14:textId="77777777" w:rsidR="00D705B6" w:rsidRPr="001C4179" w:rsidRDefault="00D705B6" w:rsidP="00D705B6">
            <w:pPr>
              <w:spacing w:line="240" w:lineRule="auto"/>
              <w:jc w:val="both"/>
              <w:rPr>
                <w:rFonts w:asciiTheme="majorHAnsi" w:hAnsiTheme="majorHAnsi" w:cstheme="majorHAnsi"/>
                <w:sz w:val="16"/>
                <w:szCs w:val="16"/>
                <w:lang w:val="ro-RO"/>
              </w:rPr>
            </w:pPr>
            <w:r w:rsidRPr="001C4179">
              <w:rPr>
                <w:rFonts w:asciiTheme="majorHAnsi" w:hAnsiTheme="majorHAnsi" w:cstheme="majorHAnsi"/>
                <w:sz w:val="16"/>
                <w:szCs w:val="16"/>
                <w:lang w:val="ro-RO"/>
              </w:rPr>
              <w:t xml:space="preserve"> Au fost stinse 8 dosare cu termen de prescripție expirat. Cuantumul obligației vamale stinse prin prescripție constituie 467774,61  lei.</w:t>
            </w:r>
          </w:p>
          <w:p w14:paraId="57609385" w14:textId="77777777" w:rsidR="00D705B6" w:rsidRPr="001C4179" w:rsidRDefault="00D705B6" w:rsidP="00D705B6">
            <w:pPr>
              <w:spacing w:line="240" w:lineRule="auto"/>
              <w:jc w:val="both"/>
              <w:rPr>
                <w:rFonts w:asciiTheme="majorHAnsi" w:hAnsiTheme="majorHAnsi" w:cstheme="majorHAnsi"/>
                <w:sz w:val="16"/>
                <w:szCs w:val="16"/>
                <w:lang w:val="ro-RO"/>
              </w:rPr>
            </w:pPr>
            <w:r w:rsidRPr="001C4179">
              <w:rPr>
                <w:rFonts w:asciiTheme="majorHAnsi" w:hAnsiTheme="majorHAnsi" w:cstheme="majorHAnsi"/>
                <w:sz w:val="16"/>
                <w:szCs w:val="16"/>
                <w:lang w:val="ro-RO"/>
              </w:rPr>
              <w:t>A fost stins prin scădere un dosar pentru agentul economic „Trans Sud” SRL c/f 1011611002142. Cuantumul obligației vamale stinse prin scădere constituie 208086,47 lei.</w:t>
            </w:r>
          </w:p>
        </w:tc>
        <w:tc>
          <w:tcPr>
            <w:tcW w:w="425" w:type="dxa"/>
          </w:tcPr>
          <w:p w14:paraId="2F083261" w14:textId="77777777" w:rsidR="00D705B6" w:rsidRPr="001C4179" w:rsidRDefault="00D705B6" w:rsidP="00D705B6">
            <w:pPr>
              <w:tabs>
                <w:tab w:val="left" w:pos="720"/>
              </w:tabs>
              <w:spacing w:line="240" w:lineRule="auto"/>
              <w:jc w:val="right"/>
              <w:rPr>
                <w:rFonts w:asciiTheme="majorHAnsi" w:hAnsiTheme="majorHAnsi" w:cstheme="majorHAnsi"/>
                <w:b/>
                <w:sz w:val="16"/>
                <w:szCs w:val="16"/>
                <w:lang w:val="ro-MD"/>
              </w:rPr>
            </w:pPr>
            <w:r w:rsidRPr="001C4179">
              <w:rPr>
                <w:rFonts w:asciiTheme="majorHAnsi" w:hAnsiTheme="majorHAnsi" w:cstheme="majorHAnsi"/>
                <w:b/>
                <w:sz w:val="16"/>
                <w:szCs w:val="16"/>
                <w:lang w:val="ro-MD"/>
              </w:rPr>
              <w:t>V</w:t>
            </w:r>
          </w:p>
        </w:tc>
        <w:tc>
          <w:tcPr>
            <w:tcW w:w="567" w:type="dxa"/>
          </w:tcPr>
          <w:p w14:paraId="68818C07" w14:textId="77777777" w:rsidR="00D705B6" w:rsidRPr="001C4179" w:rsidRDefault="00D705B6" w:rsidP="00D705B6">
            <w:pPr>
              <w:tabs>
                <w:tab w:val="left" w:pos="720"/>
              </w:tabs>
              <w:spacing w:line="240" w:lineRule="auto"/>
              <w:jc w:val="center"/>
              <w:rPr>
                <w:rFonts w:asciiTheme="majorHAnsi" w:hAnsiTheme="majorHAnsi" w:cstheme="majorHAnsi"/>
                <w:b/>
                <w:sz w:val="16"/>
                <w:szCs w:val="16"/>
                <w:lang w:val="ro-MD"/>
              </w:rPr>
            </w:pPr>
          </w:p>
        </w:tc>
        <w:tc>
          <w:tcPr>
            <w:tcW w:w="425" w:type="dxa"/>
          </w:tcPr>
          <w:p w14:paraId="4CE5CBBF" w14:textId="77777777" w:rsidR="00D705B6" w:rsidRPr="001C4179" w:rsidRDefault="00D705B6" w:rsidP="00D705B6">
            <w:pPr>
              <w:tabs>
                <w:tab w:val="left" w:pos="720"/>
              </w:tabs>
              <w:spacing w:line="240" w:lineRule="auto"/>
              <w:jc w:val="right"/>
              <w:rPr>
                <w:rFonts w:asciiTheme="majorHAnsi" w:hAnsiTheme="majorHAnsi" w:cstheme="majorHAnsi"/>
                <w:b/>
                <w:sz w:val="16"/>
                <w:szCs w:val="16"/>
                <w:lang w:val="ro-MD"/>
              </w:rPr>
            </w:pPr>
          </w:p>
        </w:tc>
        <w:tc>
          <w:tcPr>
            <w:tcW w:w="2835" w:type="dxa"/>
          </w:tcPr>
          <w:p w14:paraId="26C64B1C" w14:textId="77777777" w:rsidR="00D705B6" w:rsidRPr="001C4179" w:rsidRDefault="00D705B6" w:rsidP="00D705B6">
            <w:pPr>
              <w:tabs>
                <w:tab w:val="left" w:pos="720"/>
              </w:tabs>
              <w:spacing w:line="240" w:lineRule="auto"/>
              <w:jc w:val="right"/>
              <w:rPr>
                <w:rFonts w:asciiTheme="majorHAnsi" w:hAnsiTheme="majorHAnsi" w:cstheme="majorHAnsi"/>
                <w:b/>
                <w:sz w:val="16"/>
                <w:szCs w:val="16"/>
                <w:lang w:val="ro-MD"/>
              </w:rPr>
            </w:pPr>
          </w:p>
        </w:tc>
      </w:tr>
      <w:tr w:rsidR="00D705B6" w:rsidRPr="00911D93" w14:paraId="797F1793" w14:textId="77777777" w:rsidTr="00B3263D">
        <w:trPr>
          <w:trHeight w:val="288"/>
          <w:jc w:val="center"/>
        </w:trPr>
        <w:tc>
          <w:tcPr>
            <w:tcW w:w="2830" w:type="dxa"/>
          </w:tcPr>
          <w:p w14:paraId="418FC0DC" w14:textId="77777777" w:rsidR="00D705B6" w:rsidRPr="001C4179" w:rsidRDefault="00D705B6" w:rsidP="00D705B6">
            <w:pPr>
              <w:spacing w:line="240" w:lineRule="auto"/>
              <w:jc w:val="both"/>
              <w:rPr>
                <w:rFonts w:asciiTheme="majorHAnsi" w:hAnsiTheme="majorHAnsi" w:cstheme="majorHAnsi"/>
                <w:sz w:val="16"/>
                <w:szCs w:val="16"/>
                <w:lang w:val="ro-RO"/>
              </w:rPr>
            </w:pPr>
            <w:r w:rsidRPr="001C4179">
              <w:rPr>
                <w:rFonts w:asciiTheme="majorHAnsi" w:hAnsiTheme="majorHAnsi" w:cstheme="majorHAnsi"/>
                <w:b/>
                <w:sz w:val="16"/>
                <w:szCs w:val="16"/>
                <w:lang w:val="ro-RO"/>
              </w:rPr>
              <w:t>5.</w:t>
            </w:r>
            <w:r w:rsidRPr="001C4179">
              <w:rPr>
                <w:rFonts w:asciiTheme="majorHAnsi" w:hAnsiTheme="majorHAnsi" w:cstheme="majorHAnsi"/>
                <w:sz w:val="16"/>
                <w:szCs w:val="16"/>
                <w:lang w:val="ro-RO"/>
              </w:rPr>
              <w:tab/>
              <w:t xml:space="preserve">Să înainteze propuneri pentru elaborarea cadrului normativ aferent </w:t>
            </w:r>
          </w:p>
          <w:p w14:paraId="42E697D5" w14:textId="77777777" w:rsidR="00D705B6" w:rsidRPr="001C4179" w:rsidRDefault="00D705B6" w:rsidP="00D705B6">
            <w:pPr>
              <w:tabs>
                <w:tab w:val="left" w:pos="31"/>
                <w:tab w:val="left" w:pos="172"/>
              </w:tabs>
              <w:spacing w:line="240" w:lineRule="auto"/>
              <w:jc w:val="both"/>
              <w:rPr>
                <w:rFonts w:asciiTheme="majorHAnsi" w:hAnsiTheme="majorHAnsi" w:cstheme="majorHAnsi"/>
                <w:b/>
                <w:i/>
                <w:sz w:val="16"/>
                <w:szCs w:val="16"/>
                <w:lang w:val="ro-MD" w:eastAsia="ru-RU"/>
              </w:rPr>
            </w:pPr>
            <w:r w:rsidRPr="001C4179">
              <w:rPr>
                <w:rFonts w:asciiTheme="majorHAnsi" w:hAnsiTheme="majorHAnsi" w:cstheme="majorHAnsi"/>
                <w:sz w:val="16"/>
                <w:szCs w:val="16"/>
                <w:lang w:val="ro-RO"/>
              </w:rPr>
              <w:t>procesului de executare silită a persoanelor nerezidente în vederea onorării obligațiilor vamale.</w:t>
            </w:r>
          </w:p>
        </w:tc>
        <w:tc>
          <w:tcPr>
            <w:tcW w:w="3119" w:type="dxa"/>
          </w:tcPr>
          <w:p w14:paraId="235B8D0A" w14:textId="77777777" w:rsidR="00D705B6" w:rsidRPr="001C4179" w:rsidRDefault="00D705B6" w:rsidP="00D705B6">
            <w:pPr>
              <w:spacing w:line="240" w:lineRule="auto"/>
              <w:jc w:val="both"/>
              <w:rPr>
                <w:rFonts w:asciiTheme="majorHAnsi" w:hAnsiTheme="majorHAnsi" w:cstheme="majorHAnsi"/>
                <w:b/>
                <w:color w:val="000000" w:themeColor="text1"/>
                <w:sz w:val="16"/>
                <w:szCs w:val="16"/>
                <w:lang w:val="ro-RO"/>
              </w:rPr>
            </w:pPr>
          </w:p>
          <w:p w14:paraId="0A3E7720" w14:textId="77777777" w:rsidR="00D705B6" w:rsidRPr="001C4179" w:rsidRDefault="00D705B6" w:rsidP="00D705B6">
            <w:pPr>
              <w:spacing w:line="240" w:lineRule="auto"/>
              <w:jc w:val="both"/>
              <w:rPr>
                <w:rFonts w:asciiTheme="majorHAnsi" w:hAnsiTheme="majorHAnsi" w:cstheme="majorHAnsi"/>
                <w:b/>
                <w:sz w:val="16"/>
                <w:szCs w:val="16"/>
                <w:lang w:val="ro-MD"/>
              </w:rPr>
            </w:pPr>
            <w:r w:rsidRPr="001C4179">
              <w:rPr>
                <w:rFonts w:asciiTheme="majorHAnsi" w:hAnsiTheme="majorHAnsi" w:cstheme="majorHAnsi"/>
                <w:sz w:val="16"/>
                <w:szCs w:val="16"/>
                <w:lang w:val="ro-RO"/>
              </w:rPr>
              <w:t xml:space="preserve"> </w:t>
            </w:r>
          </w:p>
          <w:p w14:paraId="196CCCD6" w14:textId="77777777" w:rsidR="00D705B6" w:rsidRPr="001C4179" w:rsidRDefault="00D705B6" w:rsidP="00D705B6">
            <w:pPr>
              <w:spacing w:line="240" w:lineRule="auto"/>
              <w:jc w:val="both"/>
              <w:rPr>
                <w:rFonts w:asciiTheme="majorHAnsi" w:hAnsiTheme="majorHAnsi" w:cstheme="majorHAnsi"/>
                <w:b/>
                <w:sz w:val="16"/>
                <w:szCs w:val="16"/>
                <w:lang w:val="ro-MD"/>
              </w:rPr>
            </w:pPr>
          </w:p>
        </w:tc>
        <w:tc>
          <w:tcPr>
            <w:tcW w:w="425" w:type="dxa"/>
          </w:tcPr>
          <w:p w14:paraId="7DFAE8C8" w14:textId="77777777" w:rsidR="00D705B6" w:rsidRPr="001C4179" w:rsidRDefault="00D705B6" w:rsidP="00D705B6">
            <w:pPr>
              <w:tabs>
                <w:tab w:val="left" w:pos="720"/>
              </w:tabs>
              <w:spacing w:line="240" w:lineRule="auto"/>
              <w:jc w:val="right"/>
              <w:rPr>
                <w:rFonts w:asciiTheme="majorHAnsi" w:hAnsiTheme="majorHAnsi" w:cstheme="majorHAnsi"/>
                <w:b/>
                <w:sz w:val="16"/>
                <w:szCs w:val="16"/>
                <w:lang w:val="ro-MD"/>
              </w:rPr>
            </w:pPr>
          </w:p>
        </w:tc>
        <w:tc>
          <w:tcPr>
            <w:tcW w:w="567" w:type="dxa"/>
          </w:tcPr>
          <w:p w14:paraId="1DC145F5" w14:textId="77777777" w:rsidR="00D705B6" w:rsidRPr="001C4179" w:rsidRDefault="00D705B6" w:rsidP="00D705B6">
            <w:pPr>
              <w:tabs>
                <w:tab w:val="left" w:pos="720"/>
              </w:tabs>
              <w:spacing w:line="240" w:lineRule="auto"/>
              <w:jc w:val="center"/>
              <w:rPr>
                <w:rFonts w:asciiTheme="majorHAnsi" w:hAnsiTheme="majorHAnsi" w:cstheme="majorHAnsi"/>
                <w:b/>
                <w:sz w:val="16"/>
                <w:szCs w:val="16"/>
                <w:lang w:val="ro-MD"/>
              </w:rPr>
            </w:pPr>
          </w:p>
        </w:tc>
        <w:tc>
          <w:tcPr>
            <w:tcW w:w="425" w:type="dxa"/>
          </w:tcPr>
          <w:p w14:paraId="1AA580E1" w14:textId="77777777" w:rsidR="00D705B6" w:rsidRPr="001C4179" w:rsidRDefault="00D705B6" w:rsidP="00D705B6">
            <w:pPr>
              <w:tabs>
                <w:tab w:val="left" w:pos="720"/>
              </w:tabs>
              <w:spacing w:line="240" w:lineRule="auto"/>
              <w:jc w:val="right"/>
              <w:rPr>
                <w:rFonts w:asciiTheme="majorHAnsi" w:hAnsiTheme="majorHAnsi" w:cstheme="majorHAnsi"/>
                <w:b/>
                <w:sz w:val="16"/>
                <w:szCs w:val="16"/>
                <w:lang w:val="ro-MD"/>
              </w:rPr>
            </w:pPr>
            <w:r w:rsidRPr="001C4179">
              <w:rPr>
                <w:rFonts w:asciiTheme="majorHAnsi" w:hAnsiTheme="majorHAnsi" w:cstheme="majorHAnsi"/>
                <w:b/>
                <w:sz w:val="16"/>
                <w:szCs w:val="16"/>
                <w:lang w:val="ro-MD"/>
              </w:rPr>
              <w:t>V</w:t>
            </w:r>
          </w:p>
        </w:tc>
        <w:tc>
          <w:tcPr>
            <w:tcW w:w="2835" w:type="dxa"/>
          </w:tcPr>
          <w:p w14:paraId="5A4DE60B" w14:textId="77777777" w:rsidR="00D705B6" w:rsidRPr="001C4179" w:rsidRDefault="00D705B6" w:rsidP="00D705B6">
            <w:pPr>
              <w:tabs>
                <w:tab w:val="left" w:pos="720"/>
              </w:tabs>
              <w:spacing w:line="240" w:lineRule="auto"/>
              <w:jc w:val="both"/>
              <w:rPr>
                <w:rFonts w:asciiTheme="majorHAnsi" w:hAnsiTheme="majorHAnsi" w:cstheme="majorHAnsi"/>
                <w:b/>
                <w:iCs/>
                <w:sz w:val="16"/>
                <w:szCs w:val="16"/>
                <w:lang w:val="ro-MD"/>
              </w:rPr>
            </w:pPr>
            <w:r w:rsidRPr="001C4179">
              <w:rPr>
                <w:rFonts w:asciiTheme="majorHAnsi" w:hAnsiTheme="majorHAnsi" w:cstheme="majorHAnsi"/>
                <w:iCs/>
                <w:sz w:val="16"/>
                <w:szCs w:val="16"/>
                <w:lang w:val="ro-RO"/>
              </w:rPr>
              <w:t>Înaintarea propunerilor de elaborare a cadrului normativ aferent procesului de executare silită a persoanelor nerezidente, va fi posibilă doar după încheierea de către Guvern, a acordurilor bilaterale cu statele lumii, în vederea recunoașterii reciproce a creanțelor și executarea silită a acestora.</w:t>
            </w:r>
          </w:p>
        </w:tc>
      </w:tr>
      <w:tr w:rsidR="00D705B6" w:rsidRPr="001C4179" w14:paraId="26A4321A" w14:textId="77777777" w:rsidTr="00B3263D">
        <w:trPr>
          <w:trHeight w:val="288"/>
          <w:jc w:val="center"/>
        </w:trPr>
        <w:tc>
          <w:tcPr>
            <w:tcW w:w="2830" w:type="dxa"/>
          </w:tcPr>
          <w:p w14:paraId="1BB84B9B" w14:textId="77777777" w:rsidR="00D705B6" w:rsidRPr="001C4179" w:rsidRDefault="00D705B6" w:rsidP="00D705B6">
            <w:pPr>
              <w:tabs>
                <w:tab w:val="left" w:pos="31"/>
                <w:tab w:val="left" w:pos="172"/>
              </w:tabs>
              <w:spacing w:line="240" w:lineRule="auto"/>
              <w:jc w:val="both"/>
              <w:rPr>
                <w:rFonts w:asciiTheme="majorHAnsi" w:hAnsiTheme="majorHAnsi" w:cstheme="majorHAnsi"/>
                <w:b/>
                <w:i/>
                <w:sz w:val="16"/>
                <w:szCs w:val="16"/>
                <w:lang w:val="ro-MD" w:eastAsia="ru-RU"/>
              </w:rPr>
            </w:pPr>
            <w:r w:rsidRPr="001C4179">
              <w:rPr>
                <w:rFonts w:asciiTheme="majorHAnsi" w:hAnsiTheme="majorHAnsi" w:cstheme="majorHAnsi"/>
                <w:b/>
                <w:sz w:val="16"/>
                <w:szCs w:val="16"/>
                <w:lang w:val="ro-RO"/>
              </w:rPr>
              <w:t>6.</w:t>
            </w:r>
            <w:r w:rsidRPr="001C4179">
              <w:rPr>
                <w:rFonts w:asciiTheme="majorHAnsi" w:hAnsiTheme="majorHAnsi" w:cstheme="majorHAnsi"/>
                <w:sz w:val="16"/>
                <w:szCs w:val="16"/>
                <w:lang w:val="ro-RO"/>
              </w:rPr>
              <w:tab/>
              <w:t>Să asigure funcționalitatea modulului informațional, pentru calcularea deplină a majorărilor de întârziere aferente obligațiilor vamale, în vederea înregistrării, evidenței și raportării veridice a situației privind restanțele plătitorilor vamali la bugetul de stat. (pct.1.6)</w:t>
            </w:r>
          </w:p>
        </w:tc>
        <w:tc>
          <w:tcPr>
            <w:tcW w:w="3119" w:type="dxa"/>
          </w:tcPr>
          <w:p w14:paraId="08392DB0" w14:textId="77777777" w:rsidR="00D705B6" w:rsidRPr="001C4179" w:rsidRDefault="00D705B6" w:rsidP="00D705B6">
            <w:pPr>
              <w:spacing w:line="240" w:lineRule="auto"/>
              <w:jc w:val="both"/>
              <w:rPr>
                <w:rFonts w:asciiTheme="majorHAnsi" w:hAnsiTheme="majorHAnsi" w:cstheme="majorHAnsi"/>
                <w:b/>
                <w:sz w:val="16"/>
                <w:szCs w:val="16"/>
                <w:lang w:val="ro-MD"/>
              </w:rPr>
            </w:pPr>
          </w:p>
        </w:tc>
        <w:tc>
          <w:tcPr>
            <w:tcW w:w="425" w:type="dxa"/>
          </w:tcPr>
          <w:p w14:paraId="149A6B24" w14:textId="77777777" w:rsidR="00D705B6" w:rsidRPr="001C4179" w:rsidRDefault="00D705B6" w:rsidP="00D705B6">
            <w:pPr>
              <w:tabs>
                <w:tab w:val="left" w:pos="720"/>
              </w:tabs>
              <w:spacing w:line="240" w:lineRule="auto"/>
              <w:jc w:val="right"/>
              <w:rPr>
                <w:rFonts w:asciiTheme="majorHAnsi" w:hAnsiTheme="majorHAnsi" w:cstheme="majorHAnsi"/>
                <w:b/>
                <w:sz w:val="16"/>
                <w:szCs w:val="16"/>
                <w:lang w:val="ro-MD"/>
              </w:rPr>
            </w:pPr>
          </w:p>
        </w:tc>
        <w:tc>
          <w:tcPr>
            <w:tcW w:w="567" w:type="dxa"/>
          </w:tcPr>
          <w:p w14:paraId="030D1262" w14:textId="77777777" w:rsidR="00D705B6" w:rsidRPr="001C4179" w:rsidRDefault="00D705B6" w:rsidP="00D705B6">
            <w:pPr>
              <w:tabs>
                <w:tab w:val="left" w:pos="720"/>
              </w:tabs>
              <w:spacing w:line="240" w:lineRule="auto"/>
              <w:jc w:val="center"/>
              <w:rPr>
                <w:rFonts w:asciiTheme="majorHAnsi" w:hAnsiTheme="majorHAnsi" w:cstheme="majorHAnsi"/>
                <w:b/>
                <w:sz w:val="16"/>
                <w:szCs w:val="16"/>
                <w:lang w:val="ro-MD"/>
              </w:rPr>
            </w:pPr>
          </w:p>
        </w:tc>
        <w:tc>
          <w:tcPr>
            <w:tcW w:w="425" w:type="dxa"/>
          </w:tcPr>
          <w:p w14:paraId="2786E5F6" w14:textId="77777777" w:rsidR="00D705B6" w:rsidRPr="001C4179" w:rsidRDefault="00D705B6" w:rsidP="00D705B6">
            <w:pPr>
              <w:tabs>
                <w:tab w:val="left" w:pos="720"/>
              </w:tabs>
              <w:spacing w:line="240" w:lineRule="auto"/>
              <w:jc w:val="right"/>
              <w:rPr>
                <w:rFonts w:asciiTheme="majorHAnsi" w:hAnsiTheme="majorHAnsi" w:cstheme="majorHAnsi"/>
                <w:b/>
                <w:sz w:val="16"/>
                <w:szCs w:val="16"/>
                <w:lang w:val="ro-MD"/>
              </w:rPr>
            </w:pPr>
            <w:r w:rsidRPr="001C4179">
              <w:rPr>
                <w:rFonts w:asciiTheme="majorHAnsi" w:hAnsiTheme="majorHAnsi" w:cstheme="majorHAnsi"/>
                <w:b/>
                <w:sz w:val="16"/>
                <w:szCs w:val="16"/>
                <w:lang w:val="ro-MD"/>
              </w:rPr>
              <w:t>V</w:t>
            </w:r>
          </w:p>
        </w:tc>
        <w:tc>
          <w:tcPr>
            <w:tcW w:w="2835" w:type="dxa"/>
          </w:tcPr>
          <w:p w14:paraId="7D30D639" w14:textId="77777777" w:rsidR="00D705B6" w:rsidRPr="001C4179" w:rsidRDefault="00D705B6" w:rsidP="00D705B6">
            <w:pPr>
              <w:spacing w:line="240" w:lineRule="auto"/>
              <w:jc w:val="both"/>
              <w:rPr>
                <w:rFonts w:asciiTheme="majorHAnsi" w:hAnsiTheme="majorHAnsi" w:cstheme="majorHAnsi"/>
                <w:sz w:val="16"/>
                <w:szCs w:val="16"/>
                <w:lang w:val="ro-MD"/>
              </w:rPr>
            </w:pPr>
            <w:r w:rsidRPr="001C4179">
              <w:rPr>
                <w:rFonts w:asciiTheme="majorHAnsi" w:hAnsiTheme="majorHAnsi" w:cstheme="majorHAnsi"/>
                <w:sz w:val="16"/>
                <w:szCs w:val="16"/>
                <w:lang w:val="ro-MD"/>
              </w:rPr>
              <w:t xml:space="preserve">De comun cu dezvoltatorii, s-a stabilit necesitatea revizuirii și soluționării mai multor deficiențe a modulului ”Accounting” al SIIV ”Asycuda World”. Astfel, urmează a fi identificate resurse financiare, pentru organizarea unui Tender, întru soluționarea deficiențelor. </w:t>
            </w:r>
          </w:p>
          <w:p w14:paraId="559740F7" w14:textId="77777777" w:rsidR="00D705B6" w:rsidRPr="001C4179" w:rsidRDefault="00D705B6" w:rsidP="00D705B6">
            <w:pPr>
              <w:spacing w:line="240" w:lineRule="auto"/>
              <w:jc w:val="both"/>
              <w:rPr>
                <w:rFonts w:asciiTheme="majorHAnsi" w:hAnsiTheme="majorHAnsi" w:cstheme="majorHAnsi"/>
                <w:b/>
                <w:sz w:val="16"/>
                <w:szCs w:val="16"/>
                <w:lang w:val="ro-MD"/>
              </w:rPr>
            </w:pPr>
            <w:r w:rsidRPr="001C4179">
              <w:rPr>
                <w:rFonts w:asciiTheme="majorHAnsi" w:hAnsiTheme="majorHAnsi" w:cstheme="majorHAnsi"/>
                <w:sz w:val="16"/>
                <w:szCs w:val="16"/>
                <w:lang w:val="ro-MD"/>
              </w:rPr>
              <w:t xml:space="preserve">Ședințele de lucru cu reprezentanții UNTCAD, pentru identificarea soluțiilor tehnice ale problemei respective,  conform Ordinului SV nr.39-O din 04.02.2022, se desfășoară în perioada 07-09 februarie 2022. </w:t>
            </w:r>
            <w:r w:rsidRPr="001C4179">
              <w:rPr>
                <w:rFonts w:asciiTheme="majorHAnsi" w:hAnsiTheme="majorHAnsi" w:cstheme="majorHAnsi"/>
                <w:i/>
                <w:iCs/>
                <w:sz w:val="16"/>
                <w:szCs w:val="16"/>
                <w:lang w:val="ro-MD"/>
              </w:rPr>
              <w:t>Anexa nr.12</w:t>
            </w:r>
          </w:p>
        </w:tc>
      </w:tr>
      <w:tr w:rsidR="00D705B6" w:rsidRPr="001C4179" w14:paraId="41E81EDF" w14:textId="77777777" w:rsidTr="00B3263D">
        <w:trPr>
          <w:trHeight w:val="288"/>
          <w:jc w:val="center"/>
        </w:trPr>
        <w:tc>
          <w:tcPr>
            <w:tcW w:w="2830" w:type="dxa"/>
          </w:tcPr>
          <w:p w14:paraId="0422D848" w14:textId="77777777" w:rsidR="00D705B6" w:rsidRPr="001C4179" w:rsidRDefault="00D705B6" w:rsidP="00D705B6">
            <w:pPr>
              <w:tabs>
                <w:tab w:val="left" w:pos="31"/>
                <w:tab w:val="left" w:pos="172"/>
              </w:tabs>
              <w:spacing w:line="240" w:lineRule="auto"/>
              <w:jc w:val="both"/>
              <w:rPr>
                <w:rFonts w:asciiTheme="majorHAnsi" w:hAnsiTheme="majorHAnsi" w:cstheme="majorHAnsi"/>
                <w:b/>
                <w:i/>
                <w:sz w:val="16"/>
                <w:szCs w:val="16"/>
                <w:lang w:val="ro-MD" w:eastAsia="ru-RU"/>
              </w:rPr>
            </w:pPr>
            <w:r w:rsidRPr="001C4179">
              <w:rPr>
                <w:rFonts w:asciiTheme="majorHAnsi" w:hAnsiTheme="majorHAnsi" w:cstheme="majorHAnsi"/>
                <w:b/>
                <w:sz w:val="16"/>
                <w:szCs w:val="16"/>
                <w:lang w:val="ro-RO"/>
              </w:rPr>
              <w:t>7.</w:t>
            </w:r>
            <w:r w:rsidRPr="001C4179">
              <w:rPr>
                <w:rFonts w:asciiTheme="majorHAnsi" w:hAnsiTheme="majorHAnsi" w:cstheme="majorHAnsi"/>
                <w:sz w:val="16"/>
                <w:szCs w:val="16"/>
                <w:lang w:val="ro-RO"/>
              </w:rPr>
              <w:tab/>
              <w:t xml:space="preserve"> Să asigure corectitudinea aplicării consecutive a metodelor de determinare a valorii în vamă a mărfurilor importate în situația în care nu poate fi aplicată metoda în baza valorii tranzacției, respectiv, în baza prețului efectiv plătit sau de plătit. ( pct. 3.1)</w:t>
            </w:r>
          </w:p>
        </w:tc>
        <w:tc>
          <w:tcPr>
            <w:tcW w:w="3119" w:type="dxa"/>
          </w:tcPr>
          <w:p w14:paraId="47CFE48C" w14:textId="77777777" w:rsidR="00D705B6" w:rsidRPr="001C4179" w:rsidRDefault="00D705B6" w:rsidP="00D705B6">
            <w:pPr>
              <w:spacing w:line="240" w:lineRule="auto"/>
              <w:jc w:val="both"/>
              <w:rPr>
                <w:rFonts w:asciiTheme="majorHAnsi" w:hAnsiTheme="majorHAnsi" w:cstheme="majorHAnsi"/>
                <w:sz w:val="16"/>
                <w:szCs w:val="16"/>
                <w:lang w:val="ro-RO"/>
              </w:rPr>
            </w:pPr>
            <w:r w:rsidRPr="001C4179">
              <w:rPr>
                <w:rFonts w:asciiTheme="majorHAnsi" w:hAnsiTheme="majorHAnsi" w:cstheme="majorHAnsi"/>
                <w:sz w:val="16"/>
                <w:szCs w:val="16"/>
                <w:lang w:val="ro-RO"/>
              </w:rPr>
              <w:t xml:space="preserve">A fost aprobat Ordinul SV nr.442-O/2020 </w:t>
            </w:r>
            <w:r w:rsidRPr="001C4179">
              <w:rPr>
                <w:rFonts w:asciiTheme="majorHAnsi" w:hAnsiTheme="majorHAnsi" w:cstheme="majorHAnsi"/>
                <w:i/>
                <w:iCs/>
                <w:sz w:val="16"/>
                <w:szCs w:val="16"/>
                <w:lang w:val="ro-RO"/>
              </w:rPr>
              <w:t>,,Cu privire la modificarea Ordinului Serviciului Vamal nr 373-O/2016 ,,Cu privire la aprobarea Normelor metodologice privind procedura verificării valorii în vamă a mărfurilor importate””</w:t>
            </w:r>
            <w:r w:rsidRPr="001C4179">
              <w:rPr>
                <w:rFonts w:asciiTheme="majorHAnsi" w:hAnsiTheme="majorHAnsi" w:cstheme="majorHAnsi"/>
                <w:i/>
                <w:iCs/>
                <w:color w:val="FF0000"/>
                <w:sz w:val="16"/>
                <w:szCs w:val="16"/>
                <w:lang w:val="ro-RO"/>
              </w:rPr>
              <w:t xml:space="preserve"> </w:t>
            </w:r>
            <w:r w:rsidRPr="001C4179">
              <w:rPr>
                <w:rFonts w:asciiTheme="majorHAnsi" w:hAnsiTheme="majorHAnsi" w:cstheme="majorHAnsi"/>
                <w:i/>
                <w:iCs/>
                <w:sz w:val="16"/>
                <w:szCs w:val="16"/>
                <w:lang w:val="ro-RO"/>
              </w:rPr>
              <w:t>Anexa nr.13</w:t>
            </w:r>
          </w:p>
          <w:p w14:paraId="0D7FB703" w14:textId="77777777" w:rsidR="00D705B6" w:rsidRPr="001C4179" w:rsidRDefault="00D705B6" w:rsidP="00D705B6">
            <w:pPr>
              <w:spacing w:line="240" w:lineRule="auto"/>
              <w:jc w:val="both"/>
              <w:rPr>
                <w:rFonts w:asciiTheme="majorHAnsi" w:hAnsiTheme="majorHAnsi" w:cstheme="majorHAnsi"/>
                <w:sz w:val="16"/>
                <w:szCs w:val="16"/>
                <w:lang w:val="ro-RO"/>
              </w:rPr>
            </w:pPr>
            <w:r w:rsidRPr="001C4179">
              <w:rPr>
                <w:rFonts w:asciiTheme="majorHAnsi" w:hAnsiTheme="majorHAnsi" w:cstheme="majorHAnsi"/>
                <w:sz w:val="16"/>
                <w:szCs w:val="16"/>
                <w:lang w:val="ro-RO"/>
              </w:rPr>
              <w:t>Pe parcursul perioadei ianuarie-septembrie 2021:</w:t>
            </w:r>
          </w:p>
          <w:p w14:paraId="779CB3FF" w14:textId="06D8F2BD" w:rsidR="00D705B6" w:rsidRPr="001C4179" w:rsidRDefault="00D705B6" w:rsidP="00D705B6">
            <w:pPr>
              <w:spacing w:line="240" w:lineRule="auto"/>
              <w:jc w:val="both"/>
              <w:rPr>
                <w:rFonts w:asciiTheme="majorHAnsi" w:hAnsiTheme="majorHAnsi" w:cstheme="majorHAnsi"/>
                <w:sz w:val="16"/>
                <w:szCs w:val="16"/>
                <w:lang w:val="ro-RO"/>
              </w:rPr>
            </w:pPr>
            <w:r w:rsidRPr="001C4179">
              <w:rPr>
                <w:rFonts w:asciiTheme="majorHAnsi" w:hAnsiTheme="majorHAnsi" w:cstheme="majorHAnsi"/>
                <w:b/>
                <w:sz w:val="16"/>
                <w:szCs w:val="16"/>
                <w:u w:val="single"/>
                <w:lang w:val="ro-RO"/>
              </w:rPr>
              <w:t>BVC:</w:t>
            </w:r>
            <w:r w:rsidRPr="001C4179">
              <w:rPr>
                <w:rFonts w:asciiTheme="majorHAnsi" w:hAnsiTheme="majorHAnsi" w:cstheme="majorHAnsi"/>
                <w:b/>
                <w:sz w:val="16"/>
                <w:szCs w:val="16"/>
                <w:lang w:val="ro-RO"/>
              </w:rPr>
              <w:t xml:space="preserve"> </w:t>
            </w:r>
            <w:r w:rsidRPr="001C4179">
              <w:rPr>
                <w:rFonts w:asciiTheme="majorHAnsi" w:hAnsiTheme="majorHAnsi" w:cstheme="majorHAnsi"/>
                <w:sz w:val="16"/>
                <w:szCs w:val="16"/>
                <w:lang w:val="ro-RO"/>
              </w:rPr>
              <w:t>Valoare în vamă a mărfurilor a fost rectificată în 13031 cazuri, suma majorării constituind 1 mlrd. 105 m</w:t>
            </w:r>
            <w:r w:rsidR="005906F9">
              <w:rPr>
                <w:rFonts w:asciiTheme="majorHAnsi" w:hAnsiTheme="majorHAnsi" w:cstheme="majorHAnsi"/>
                <w:sz w:val="16"/>
                <w:szCs w:val="16"/>
                <w:lang w:val="ro-RO"/>
              </w:rPr>
              <w:t>i</w:t>
            </w:r>
            <w:r w:rsidRPr="001C4179">
              <w:rPr>
                <w:rFonts w:asciiTheme="majorHAnsi" w:hAnsiTheme="majorHAnsi" w:cstheme="majorHAnsi"/>
                <w:sz w:val="16"/>
                <w:szCs w:val="16"/>
                <w:lang w:val="ro-RO"/>
              </w:rPr>
              <w:t>l. 855,2 mii lei. Drepturile de import încasate suplimentar constituie 278 m</w:t>
            </w:r>
            <w:r w:rsidR="005906F9">
              <w:rPr>
                <w:rFonts w:asciiTheme="majorHAnsi" w:hAnsiTheme="majorHAnsi" w:cstheme="majorHAnsi"/>
                <w:sz w:val="16"/>
                <w:szCs w:val="16"/>
                <w:lang w:val="ro-RO"/>
              </w:rPr>
              <w:t>i</w:t>
            </w:r>
            <w:r w:rsidRPr="001C4179">
              <w:rPr>
                <w:rFonts w:asciiTheme="majorHAnsi" w:hAnsiTheme="majorHAnsi" w:cstheme="majorHAnsi"/>
                <w:sz w:val="16"/>
                <w:szCs w:val="16"/>
                <w:lang w:val="ro-RO"/>
              </w:rPr>
              <w:t>l. 069,59 mii lei;</w:t>
            </w:r>
          </w:p>
          <w:p w14:paraId="51B22988" w14:textId="77777777" w:rsidR="00D705B6" w:rsidRPr="001C4179" w:rsidRDefault="00D705B6" w:rsidP="00D705B6">
            <w:pPr>
              <w:spacing w:line="240" w:lineRule="auto"/>
              <w:jc w:val="both"/>
              <w:rPr>
                <w:rFonts w:asciiTheme="majorHAnsi" w:hAnsiTheme="majorHAnsi" w:cstheme="majorHAnsi"/>
                <w:color w:val="000000" w:themeColor="text1"/>
                <w:sz w:val="16"/>
                <w:szCs w:val="16"/>
                <w:lang w:val="ro-RO" w:eastAsia="ru-RU"/>
              </w:rPr>
            </w:pPr>
            <w:r w:rsidRPr="001C4179">
              <w:rPr>
                <w:rFonts w:asciiTheme="majorHAnsi" w:hAnsiTheme="majorHAnsi" w:cstheme="majorHAnsi"/>
                <w:color w:val="000000" w:themeColor="text1"/>
                <w:sz w:val="16"/>
                <w:szCs w:val="16"/>
                <w:lang w:val="ro-RO" w:eastAsia="ru-RU"/>
              </w:rPr>
              <w:t>Au fost prezentate 6 propuneri privind profilarea riscurilor în domeniul valorii în vamă.</w:t>
            </w:r>
          </w:p>
          <w:p w14:paraId="3AF035D3" w14:textId="07DA9F66" w:rsidR="00D705B6" w:rsidRPr="001C4179" w:rsidRDefault="00D705B6" w:rsidP="00D705B6">
            <w:pPr>
              <w:spacing w:line="240" w:lineRule="auto"/>
              <w:jc w:val="both"/>
              <w:rPr>
                <w:rFonts w:asciiTheme="majorHAnsi" w:hAnsiTheme="majorHAnsi" w:cstheme="majorHAnsi"/>
                <w:sz w:val="16"/>
                <w:szCs w:val="16"/>
                <w:lang w:val="ro-RO"/>
              </w:rPr>
            </w:pPr>
            <w:r w:rsidRPr="001C4179">
              <w:rPr>
                <w:rFonts w:asciiTheme="majorHAnsi" w:hAnsiTheme="majorHAnsi" w:cstheme="majorHAnsi"/>
                <w:b/>
                <w:sz w:val="16"/>
                <w:szCs w:val="16"/>
                <w:u w:val="single"/>
                <w:lang w:val="ro-RO"/>
              </w:rPr>
              <w:t>BVN:</w:t>
            </w:r>
            <w:r w:rsidRPr="001C4179">
              <w:rPr>
                <w:rFonts w:asciiTheme="majorHAnsi" w:hAnsiTheme="majorHAnsi" w:cstheme="majorHAnsi"/>
                <w:b/>
                <w:sz w:val="16"/>
                <w:szCs w:val="16"/>
                <w:lang w:val="ro-RO"/>
              </w:rPr>
              <w:t xml:space="preserve"> </w:t>
            </w:r>
            <w:r w:rsidRPr="001C4179">
              <w:rPr>
                <w:rFonts w:asciiTheme="majorHAnsi" w:hAnsiTheme="majorHAnsi" w:cstheme="majorHAnsi"/>
                <w:sz w:val="16"/>
                <w:szCs w:val="16"/>
                <w:lang w:val="ro-RO"/>
              </w:rPr>
              <w:t xml:space="preserve">S-au verificat 5003 DVD de import depuse pe culoar galben și </w:t>
            </w:r>
            <w:r w:rsidR="00F00C1A">
              <w:rPr>
                <w:rFonts w:asciiTheme="majorHAnsi" w:hAnsiTheme="majorHAnsi" w:cstheme="majorHAnsi"/>
                <w:sz w:val="16"/>
                <w:szCs w:val="16"/>
                <w:lang w:val="ro-RO"/>
              </w:rPr>
              <w:t xml:space="preserve">culoar </w:t>
            </w:r>
            <w:r w:rsidRPr="001C4179">
              <w:rPr>
                <w:rFonts w:asciiTheme="majorHAnsi" w:hAnsiTheme="majorHAnsi" w:cstheme="majorHAnsi"/>
                <w:sz w:val="16"/>
                <w:szCs w:val="16"/>
                <w:lang w:val="ro-RO"/>
              </w:rPr>
              <w:t>roșu de vămuire, unde s-a  verificat valoarea în vamă și  s-a întocmit actele de inspecție.</w:t>
            </w:r>
            <w:r w:rsidR="00F00C1A">
              <w:rPr>
                <w:rFonts w:asciiTheme="majorHAnsi" w:hAnsiTheme="majorHAnsi" w:cstheme="majorHAnsi"/>
                <w:sz w:val="16"/>
                <w:szCs w:val="16"/>
                <w:lang w:val="ro-RO"/>
              </w:rPr>
              <w:t xml:space="preserve"> </w:t>
            </w:r>
            <w:r w:rsidRPr="001C4179">
              <w:rPr>
                <w:rFonts w:asciiTheme="majorHAnsi" w:hAnsiTheme="majorHAnsi" w:cstheme="majorHAnsi"/>
                <w:sz w:val="16"/>
                <w:szCs w:val="16"/>
                <w:lang w:val="ro-RO"/>
              </w:rPr>
              <w:t>S-a asistat la 1148 de controale fizice cu întocmirea actelor de inspecție</w:t>
            </w:r>
          </w:p>
          <w:p w14:paraId="2C4DBD50" w14:textId="77777777" w:rsidR="00D705B6" w:rsidRPr="001C4179" w:rsidRDefault="00D705B6" w:rsidP="00D705B6">
            <w:pPr>
              <w:spacing w:line="240" w:lineRule="auto"/>
              <w:jc w:val="both"/>
              <w:rPr>
                <w:rFonts w:asciiTheme="majorHAnsi" w:hAnsiTheme="majorHAnsi" w:cstheme="majorHAnsi"/>
                <w:color w:val="000000" w:themeColor="text1"/>
                <w:sz w:val="16"/>
                <w:szCs w:val="16"/>
                <w:lang w:val="ro-RO" w:eastAsia="ru-RU"/>
              </w:rPr>
            </w:pPr>
            <w:r w:rsidRPr="001C4179">
              <w:rPr>
                <w:rFonts w:asciiTheme="majorHAnsi" w:hAnsiTheme="majorHAnsi" w:cstheme="majorHAnsi"/>
                <w:color w:val="000000" w:themeColor="text1"/>
                <w:sz w:val="16"/>
                <w:szCs w:val="16"/>
                <w:lang w:val="ro-RO"/>
              </w:rPr>
              <w:t>Au fost înaintate 16 de propuneri privind crearea criteriilor de selectivitate.</w:t>
            </w:r>
          </w:p>
          <w:p w14:paraId="3D6481DA" w14:textId="77777777" w:rsidR="00D705B6" w:rsidRPr="001C4179" w:rsidRDefault="00D705B6" w:rsidP="00D705B6">
            <w:pPr>
              <w:spacing w:line="240" w:lineRule="auto"/>
              <w:jc w:val="both"/>
              <w:rPr>
                <w:rFonts w:asciiTheme="majorHAnsi" w:hAnsiTheme="majorHAnsi" w:cstheme="majorHAnsi"/>
                <w:sz w:val="16"/>
                <w:szCs w:val="16"/>
                <w:lang w:val="ro-RO"/>
              </w:rPr>
            </w:pPr>
            <w:r w:rsidRPr="001C4179">
              <w:rPr>
                <w:rFonts w:asciiTheme="majorHAnsi" w:hAnsiTheme="majorHAnsi" w:cstheme="majorHAnsi"/>
                <w:b/>
                <w:sz w:val="16"/>
                <w:szCs w:val="16"/>
                <w:u w:val="single"/>
                <w:lang w:val="ro-RO"/>
              </w:rPr>
              <w:t xml:space="preserve">BVS: </w:t>
            </w:r>
            <w:r w:rsidRPr="001C4179">
              <w:rPr>
                <w:rFonts w:asciiTheme="majorHAnsi" w:hAnsiTheme="majorHAnsi" w:cstheme="majorHAnsi"/>
                <w:sz w:val="16"/>
                <w:szCs w:val="16"/>
                <w:lang w:val="ro-RO"/>
              </w:rPr>
              <w:t xml:space="preserve">Veniturile încasate suplimentar în urma rectificării valorii în vamă și/sau clasificării eronate constituie 21249,31 mii lei. </w:t>
            </w:r>
          </w:p>
          <w:p w14:paraId="53D64F3A" w14:textId="77777777" w:rsidR="00D705B6" w:rsidRPr="001C4179" w:rsidRDefault="00D705B6" w:rsidP="00D705B6">
            <w:pPr>
              <w:spacing w:line="240" w:lineRule="auto"/>
              <w:jc w:val="both"/>
              <w:rPr>
                <w:rFonts w:asciiTheme="majorHAnsi" w:hAnsiTheme="majorHAnsi" w:cstheme="majorHAnsi"/>
                <w:sz w:val="16"/>
                <w:szCs w:val="16"/>
                <w:lang w:val="ro-RO"/>
              </w:rPr>
            </w:pPr>
            <w:r w:rsidRPr="001C4179">
              <w:rPr>
                <w:rFonts w:asciiTheme="majorHAnsi" w:hAnsiTheme="majorHAnsi" w:cstheme="majorHAnsi"/>
                <w:sz w:val="16"/>
                <w:szCs w:val="16"/>
                <w:lang w:val="ro-RO"/>
              </w:rPr>
              <w:t>Se monitorizează permanent toate operațiunile vamale curente de import a mărfurilor.</w:t>
            </w:r>
          </w:p>
          <w:p w14:paraId="5FAA4567" w14:textId="77777777" w:rsidR="00D705B6" w:rsidRPr="001C4179" w:rsidRDefault="00D705B6" w:rsidP="00D705B6">
            <w:pPr>
              <w:spacing w:line="240" w:lineRule="auto"/>
              <w:jc w:val="both"/>
              <w:rPr>
                <w:rFonts w:asciiTheme="majorHAnsi" w:hAnsiTheme="majorHAnsi" w:cstheme="majorHAnsi"/>
                <w:sz w:val="16"/>
                <w:szCs w:val="16"/>
                <w:lang w:val="ro-RO" w:eastAsia="ru-RU"/>
              </w:rPr>
            </w:pPr>
            <w:r w:rsidRPr="001C4179">
              <w:rPr>
                <w:rFonts w:asciiTheme="majorHAnsi" w:hAnsiTheme="majorHAnsi" w:cstheme="majorHAnsi"/>
                <w:sz w:val="16"/>
                <w:szCs w:val="16"/>
                <w:lang w:val="ro-RO" w:eastAsia="ru-RU"/>
              </w:rPr>
              <w:t xml:space="preserve">A fost emisă 1 notă de serviciu prin care s-au adus la cunoștința responsabililor din cadrul posturilor vamale necesitatea respectării consecutivității metodelor de evaluare.  Problematica domeniului valorii în vamă și aspectele acesteia  se aduc la cunoștința responsabililor de activitatea posturilor vamale în cadrul ședințelor săptămânale ce au loc la BV SUD. În cazurile mai dificile, în conformitate cu pct. 5 al Normelor metodologice (Ordinul SV nr. 373-O din 12.10.2016)  funcționarii responsabili din cadrul posturilor vamale se adresează prin solicitare pentru asistență Serviciul valoarea în vamă. </w:t>
            </w:r>
          </w:p>
          <w:p w14:paraId="22355863" w14:textId="77777777" w:rsidR="00D705B6" w:rsidRPr="001C4179" w:rsidRDefault="00D705B6" w:rsidP="00D705B6">
            <w:pPr>
              <w:spacing w:line="240" w:lineRule="auto"/>
              <w:jc w:val="both"/>
              <w:rPr>
                <w:rFonts w:asciiTheme="majorHAnsi" w:hAnsiTheme="majorHAnsi" w:cstheme="majorHAnsi"/>
                <w:sz w:val="16"/>
                <w:szCs w:val="16"/>
                <w:lang w:val="ro-RO" w:eastAsia="ru-RU"/>
              </w:rPr>
            </w:pPr>
            <w:r w:rsidRPr="001C4179">
              <w:rPr>
                <w:rFonts w:asciiTheme="majorHAnsi" w:hAnsiTheme="majorHAnsi" w:cstheme="majorHAnsi"/>
                <w:sz w:val="16"/>
                <w:szCs w:val="16"/>
                <w:lang w:val="ro-RO" w:eastAsia="ru-RU"/>
              </w:rPr>
              <w:t>-Pe parcursul perioadei ianuarie – septembrie a anului 2021 au fost recepționate 16 solicitări și  întocmite 16 note de recomandare în acest sens.</w:t>
            </w:r>
          </w:p>
          <w:p w14:paraId="738C8AE1" w14:textId="77777777" w:rsidR="00D705B6" w:rsidRPr="001C4179" w:rsidRDefault="00D705B6" w:rsidP="00D705B6">
            <w:pPr>
              <w:spacing w:line="240" w:lineRule="auto"/>
              <w:jc w:val="both"/>
              <w:rPr>
                <w:rFonts w:asciiTheme="majorHAnsi" w:hAnsiTheme="majorHAnsi" w:cstheme="majorHAnsi"/>
                <w:b/>
                <w:sz w:val="16"/>
                <w:szCs w:val="16"/>
                <w:lang w:val="ro-MD"/>
              </w:rPr>
            </w:pPr>
            <w:r w:rsidRPr="001C4179">
              <w:rPr>
                <w:rFonts w:asciiTheme="majorHAnsi" w:hAnsiTheme="majorHAnsi" w:cstheme="majorHAnsi"/>
                <w:sz w:val="16"/>
                <w:szCs w:val="16"/>
                <w:lang w:val="ro-RO" w:eastAsia="ru-RU"/>
              </w:rPr>
              <w:t>- Au fost înaintate 2 propuneri privind crearea criteriilor de selectivitate în domeniul valorii în vamă.</w:t>
            </w:r>
          </w:p>
        </w:tc>
        <w:tc>
          <w:tcPr>
            <w:tcW w:w="425" w:type="dxa"/>
          </w:tcPr>
          <w:p w14:paraId="71B8CD6D" w14:textId="77777777" w:rsidR="00D705B6" w:rsidRPr="001C4179" w:rsidRDefault="00D705B6" w:rsidP="00D705B6">
            <w:pPr>
              <w:tabs>
                <w:tab w:val="left" w:pos="720"/>
              </w:tabs>
              <w:spacing w:line="240" w:lineRule="auto"/>
              <w:jc w:val="right"/>
              <w:rPr>
                <w:rFonts w:asciiTheme="majorHAnsi" w:hAnsiTheme="majorHAnsi" w:cstheme="majorHAnsi"/>
                <w:b/>
                <w:sz w:val="16"/>
                <w:szCs w:val="16"/>
                <w:lang w:val="ro-MD"/>
              </w:rPr>
            </w:pPr>
            <w:r w:rsidRPr="001C4179">
              <w:rPr>
                <w:rFonts w:asciiTheme="majorHAnsi" w:hAnsiTheme="majorHAnsi" w:cstheme="majorHAnsi"/>
                <w:b/>
                <w:sz w:val="16"/>
                <w:szCs w:val="16"/>
                <w:lang w:val="ro-MD"/>
              </w:rPr>
              <w:t>V</w:t>
            </w:r>
          </w:p>
        </w:tc>
        <w:tc>
          <w:tcPr>
            <w:tcW w:w="567" w:type="dxa"/>
          </w:tcPr>
          <w:p w14:paraId="59ADB9D2" w14:textId="77777777" w:rsidR="00D705B6" w:rsidRPr="001C4179" w:rsidRDefault="00D705B6" w:rsidP="00D705B6">
            <w:pPr>
              <w:tabs>
                <w:tab w:val="left" w:pos="720"/>
              </w:tabs>
              <w:spacing w:line="240" w:lineRule="auto"/>
              <w:jc w:val="center"/>
              <w:rPr>
                <w:rFonts w:asciiTheme="majorHAnsi" w:hAnsiTheme="majorHAnsi" w:cstheme="majorHAnsi"/>
                <w:b/>
                <w:sz w:val="16"/>
                <w:szCs w:val="16"/>
                <w:lang w:val="ro-MD"/>
              </w:rPr>
            </w:pPr>
          </w:p>
        </w:tc>
        <w:tc>
          <w:tcPr>
            <w:tcW w:w="425" w:type="dxa"/>
          </w:tcPr>
          <w:p w14:paraId="78BE846D" w14:textId="77777777" w:rsidR="00D705B6" w:rsidRPr="001C4179" w:rsidRDefault="00D705B6" w:rsidP="00D705B6">
            <w:pPr>
              <w:tabs>
                <w:tab w:val="left" w:pos="720"/>
              </w:tabs>
              <w:spacing w:line="240" w:lineRule="auto"/>
              <w:jc w:val="right"/>
              <w:rPr>
                <w:rFonts w:asciiTheme="majorHAnsi" w:hAnsiTheme="majorHAnsi" w:cstheme="majorHAnsi"/>
                <w:b/>
                <w:sz w:val="16"/>
                <w:szCs w:val="16"/>
                <w:lang w:val="ro-MD"/>
              </w:rPr>
            </w:pPr>
          </w:p>
        </w:tc>
        <w:tc>
          <w:tcPr>
            <w:tcW w:w="2835" w:type="dxa"/>
          </w:tcPr>
          <w:p w14:paraId="3FEB5351" w14:textId="77777777" w:rsidR="00D705B6" w:rsidRPr="001C4179" w:rsidRDefault="00D705B6" w:rsidP="00D705B6">
            <w:pPr>
              <w:tabs>
                <w:tab w:val="left" w:pos="720"/>
              </w:tabs>
              <w:spacing w:line="240" w:lineRule="auto"/>
              <w:jc w:val="right"/>
              <w:rPr>
                <w:rFonts w:asciiTheme="majorHAnsi" w:hAnsiTheme="majorHAnsi" w:cstheme="majorHAnsi"/>
                <w:b/>
                <w:sz w:val="16"/>
                <w:szCs w:val="16"/>
                <w:lang w:val="ro-MD"/>
              </w:rPr>
            </w:pPr>
          </w:p>
        </w:tc>
      </w:tr>
      <w:tr w:rsidR="00D705B6" w:rsidRPr="00911D93" w14:paraId="475F869F" w14:textId="77777777" w:rsidTr="00B3263D">
        <w:trPr>
          <w:trHeight w:val="288"/>
          <w:jc w:val="center"/>
        </w:trPr>
        <w:tc>
          <w:tcPr>
            <w:tcW w:w="2830" w:type="dxa"/>
          </w:tcPr>
          <w:p w14:paraId="00F51FB1" w14:textId="77777777" w:rsidR="00D705B6" w:rsidRPr="001C4179" w:rsidRDefault="00D705B6" w:rsidP="00D705B6">
            <w:pPr>
              <w:tabs>
                <w:tab w:val="left" w:pos="31"/>
                <w:tab w:val="left" w:pos="172"/>
              </w:tabs>
              <w:spacing w:line="240" w:lineRule="auto"/>
              <w:jc w:val="both"/>
              <w:rPr>
                <w:rFonts w:asciiTheme="majorHAnsi" w:hAnsiTheme="majorHAnsi" w:cstheme="majorHAnsi"/>
                <w:b/>
                <w:i/>
                <w:sz w:val="16"/>
                <w:szCs w:val="16"/>
                <w:lang w:val="ro-MD" w:eastAsia="ru-RU"/>
              </w:rPr>
            </w:pPr>
            <w:r w:rsidRPr="001C4179">
              <w:rPr>
                <w:rFonts w:asciiTheme="majorHAnsi" w:hAnsiTheme="majorHAnsi" w:cstheme="majorHAnsi"/>
                <w:b/>
                <w:sz w:val="16"/>
                <w:szCs w:val="16"/>
                <w:lang w:val="ro-RO"/>
              </w:rPr>
              <w:t>8.</w:t>
            </w:r>
            <w:r w:rsidRPr="001C4179">
              <w:rPr>
                <w:rFonts w:asciiTheme="majorHAnsi" w:hAnsiTheme="majorHAnsi" w:cstheme="majorHAnsi"/>
                <w:sz w:val="16"/>
                <w:szCs w:val="16"/>
                <w:lang w:val="ro-RO"/>
              </w:rPr>
              <w:tab/>
              <w:t>Să asigure funcționalitatea și aplicarea  modulului „Valoarea în vamă” în vederea asigurării unui instrument eficient de gestionare a riscurilor de evaluare a mărfurilor importate.</w:t>
            </w:r>
          </w:p>
        </w:tc>
        <w:tc>
          <w:tcPr>
            <w:tcW w:w="3119" w:type="dxa"/>
          </w:tcPr>
          <w:p w14:paraId="56CD7223" w14:textId="77777777" w:rsidR="00D705B6" w:rsidRPr="001C4179" w:rsidRDefault="00D705B6" w:rsidP="00D705B6">
            <w:pPr>
              <w:spacing w:line="240" w:lineRule="auto"/>
              <w:jc w:val="both"/>
              <w:rPr>
                <w:rFonts w:asciiTheme="majorHAnsi" w:hAnsiTheme="majorHAnsi" w:cstheme="majorHAnsi"/>
                <w:b/>
                <w:sz w:val="16"/>
                <w:szCs w:val="16"/>
                <w:lang w:val="ro-MD"/>
              </w:rPr>
            </w:pPr>
          </w:p>
        </w:tc>
        <w:tc>
          <w:tcPr>
            <w:tcW w:w="425" w:type="dxa"/>
          </w:tcPr>
          <w:p w14:paraId="22A08255" w14:textId="77777777" w:rsidR="00D705B6" w:rsidRPr="001C4179" w:rsidRDefault="00D705B6" w:rsidP="00D705B6">
            <w:pPr>
              <w:tabs>
                <w:tab w:val="left" w:pos="720"/>
              </w:tabs>
              <w:spacing w:line="240" w:lineRule="auto"/>
              <w:jc w:val="right"/>
              <w:rPr>
                <w:rFonts w:asciiTheme="majorHAnsi" w:hAnsiTheme="majorHAnsi" w:cstheme="majorHAnsi"/>
                <w:b/>
                <w:sz w:val="16"/>
                <w:szCs w:val="16"/>
                <w:lang w:val="ro-MD"/>
              </w:rPr>
            </w:pPr>
          </w:p>
        </w:tc>
        <w:tc>
          <w:tcPr>
            <w:tcW w:w="567" w:type="dxa"/>
          </w:tcPr>
          <w:p w14:paraId="02B4BF1D" w14:textId="77777777" w:rsidR="00D705B6" w:rsidRPr="001C4179" w:rsidRDefault="00D705B6" w:rsidP="00D705B6">
            <w:pPr>
              <w:tabs>
                <w:tab w:val="left" w:pos="720"/>
              </w:tabs>
              <w:spacing w:line="240" w:lineRule="auto"/>
              <w:jc w:val="center"/>
              <w:rPr>
                <w:rFonts w:asciiTheme="majorHAnsi" w:hAnsiTheme="majorHAnsi" w:cstheme="majorHAnsi"/>
                <w:b/>
                <w:sz w:val="16"/>
                <w:szCs w:val="16"/>
                <w:lang w:val="ro-MD"/>
              </w:rPr>
            </w:pPr>
          </w:p>
        </w:tc>
        <w:tc>
          <w:tcPr>
            <w:tcW w:w="425" w:type="dxa"/>
          </w:tcPr>
          <w:p w14:paraId="6B1472E8" w14:textId="77777777" w:rsidR="00D705B6" w:rsidRPr="001C4179" w:rsidRDefault="00D705B6" w:rsidP="00D705B6">
            <w:pPr>
              <w:tabs>
                <w:tab w:val="left" w:pos="720"/>
              </w:tabs>
              <w:spacing w:line="240" w:lineRule="auto"/>
              <w:jc w:val="right"/>
              <w:rPr>
                <w:rFonts w:asciiTheme="majorHAnsi" w:hAnsiTheme="majorHAnsi" w:cstheme="majorHAnsi"/>
                <w:b/>
                <w:sz w:val="16"/>
                <w:szCs w:val="16"/>
                <w:lang w:val="ro-MD"/>
              </w:rPr>
            </w:pPr>
            <w:r w:rsidRPr="001C4179">
              <w:rPr>
                <w:rFonts w:asciiTheme="majorHAnsi" w:hAnsiTheme="majorHAnsi" w:cstheme="majorHAnsi"/>
                <w:b/>
                <w:sz w:val="16"/>
                <w:szCs w:val="16"/>
                <w:lang w:val="ro-MD"/>
              </w:rPr>
              <w:t>V</w:t>
            </w:r>
          </w:p>
        </w:tc>
        <w:tc>
          <w:tcPr>
            <w:tcW w:w="2835" w:type="dxa"/>
          </w:tcPr>
          <w:p w14:paraId="0A89110B" w14:textId="2A58AF51" w:rsidR="00D705B6" w:rsidRPr="001C4179" w:rsidRDefault="00D705B6" w:rsidP="00F00C1A">
            <w:pPr>
              <w:tabs>
                <w:tab w:val="left" w:pos="720"/>
              </w:tabs>
              <w:spacing w:line="240" w:lineRule="auto"/>
              <w:jc w:val="both"/>
              <w:rPr>
                <w:rFonts w:asciiTheme="majorHAnsi" w:hAnsiTheme="majorHAnsi" w:cstheme="majorHAnsi"/>
                <w:bCs/>
                <w:sz w:val="16"/>
                <w:szCs w:val="16"/>
                <w:lang w:val="ro-MD"/>
              </w:rPr>
            </w:pPr>
            <w:r w:rsidRPr="001C4179">
              <w:rPr>
                <w:rFonts w:asciiTheme="majorHAnsi" w:hAnsiTheme="majorHAnsi" w:cstheme="majorHAnsi"/>
                <w:bCs/>
                <w:sz w:val="16"/>
                <w:szCs w:val="16"/>
                <w:lang w:val="ro-MD"/>
              </w:rPr>
              <w:t xml:space="preserve">În cadrul ședințelor de lucru cu reprezentanții UNCTAD din 07-09 februarie 2022, va fi discutată problematica asociată funcționalității modulului ”Valoare în vamă” al SIIV </w:t>
            </w:r>
            <w:r w:rsidR="00F00C1A">
              <w:rPr>
                <w:rFonts w:asciiTheme="majorHAnsi" w:hAnsiTheme="majorHAnsi" w:cstheme="majorHAnsi"/>
                <w:bCs/>
                <w:sz w:val="16"/>
                <w:szCs w:val="16"/>
                <w:lang w:val="ro-MD"/>
              </w:rPr>
              <w:t>„</w:t>
            </w:r>
            <w:r w:rsidRPr="001C4179">
              <w:rPr>
                <w:rFonts w:asciiTheme="majorHAnsi" w:hAnsiTheme="majorHAnsi" w:cstheme="majorHAnsi"/>
                <w:bCs/>
                <w:sz w:val="16"/>
                <w:szCs w:val="16"/>
                <w:lang w:val="ro-MD"/>
              </w:rPr>
              <w:t>Asycuda World</w:t>
            </w:r>
            <w:r w:rsidR="00F00C1A">
              <w:rPr>
                <w:rFonts w:asciiTheme="majorHAnsi" w:hAnsiTheme="majorHAnsi" w:cstheme="majorHAnsi"/>
                <w:bCs/>
                <w:sz w:val="16"/>
                <w:szCs w:val="16"/>
                <w:lang w:val="ro-MD"/>
              </w:rPr>
              <w:t>”</w:t>
            </w:r>
            <w:r w:rsidRPr="001C4179">
              <w:rPr>
                <w:rFonts w:asciiTheme="majorHAnsi" w:hAnsiTheme="majorHAnsi" w:cstheme="majorHAnsi"/>
                <w:bCs/>
                <w:sz w:val="16"/>
                <w:szCs w:val="16"/>
                <w:lang w:val="ro-MD"/>
              </w:rPr>
              <w:t>. Vizita rep</w:t>
            </w:r>
            <w:r w:rsidR="00F00C1A">
              <w:rPr>
                <w:rFonts w:asciiTheme="majorHAnsi" w:hAnsiTheme="majorHAnsi" w:cstheme="majorHAnsi"/>
                <w:bCs/>
                <w:sz w:val="16"/>
                <w:szCs w:val="16"/>
                <w:lang w:val="ro-MD"/>
              </w:rPr>
              <w:t>r</w:t>
            </w:r>
            <w:r w:rsidRPr="001C4179">
              <w:rPr>
                <w:rFonts w:asciiTheme="majorHAnsi" w:hAnsiTheme="majorHAnsi" w:cstheme="majorHAnsi"/>
                <w:bCs/>
                <w:sz w:val="16"/>
                <w:szCs w:val="16"/>
                <w:lang w:val="ro-MD"/>
              </w:rPr>
              <w:t>e</w:t>
            </w:r>
            <w:r w:rsidR="00F00C1A">
              <w:rPr>
                <w:rFonts w:asciiTheme="majorHAnsi" w:hAnsiTheme="majorHAnsi" w:cstheme="majorHAnsi"/>
                <w:bCs/>
                <w:sz w:val="16"/>
                <w:szCs w:val="16"/>
                <w:lang w:val="ro-MD"/>
              </w:rPr>
              <w:t>z</w:t>
            </w:r>
            <w:r w:rsidRPr="001C4179">
              <w:rPr>
                <w:rFonts w:asciiTheme="majorHAnsi" w:hAnsiTheme="majorHAnsi" w:cstheme="majorHAnsi"/>
                <w:bCs/>
                <w:sz w:val="16"/>
                <w:szCs w:val="16"/>
                <w:lang w:val="ro-MD"/>
              </w:rPr>
              <w:t xml:space="preserve">entanților UNCTAD, se desfășoară în conformitate cu Ordinul Serviciului Vamal nr.39-O din 04.02.2022 </w:t>
            </w:r>
            <w:r w:rsidRPr="001C4179">
              <w:rPr>
                <w:rFonts w:asciiTheme="majorHAnsi" w:hAnsiTheme="majorHAnsi" w:cstheme="majorHAnsi"/>
                <w:bCs/>
                <w:i/>
                <w:iCs/>
                <w:sz w:val="16"/>
                <w:szCs w:val="16"/>
                <w:lang w:val="ro-MD"/>
              </w:rPr>
              <w:t>Anexa nr.12</w:t>
            </w:r>
          </w:p>
        </w:tc>
      </w:tr>
      <w:tr w:rsidR="00D705B6" w:rsidRPr="001C4179" w14:paraId="49FD391F" w14:textId="77777777" w:rsidTr="00B3263D">
        <w:trPr>
          <w:trHeight w:val="288"/>
          <w:jc w:val="center"/>
        </w:trPr>
        <w:tc>
          <w:tcPr>
            <w:tcW w:w="2830" w:type="dxa"/>
          </w:tcPr>
          <w:p w14:paraId="36BC615F" w14:textId="77777777" w:rsidR="00D705B6" w:rsidRPr="001C4179" w:rsidRDefault="00D705B6" w:rsidP="00D705B6">
            <w:pPr>
              <w:tabs>
                <w:tab w:val="left" w:pos="31"/>
                <w:tab w:val="left" w:pos="172"/>
              </w:tabs>
              <w:spacing w:line="240" w:lineRule="auto"/>
              <w:jc w:val="both"/>
              <w:rPr>
                <w:rFonts w:asciiTheme="majorHAnsi" w:hAnsiTheme="majorHAnsi" w:cstheme="majorHAnsi"/>
                <w:b/>
                <w:i/>
                <w:sz w:val="16"/>
                <w:szCs w:val="16"/>
                <w:lang w:val="ro-MD" w:eastAsia="ru-RU"/>
              </w:rPr>
            </w:pPr>
            <w:r w:rsidRPr="001C4179">
              <w:rPr>
                <w:rFonts w:asciiTheme="majorHAnsi" w:hAnsiTheme="majorHAnsi" w:cstheme="majorHAnsi"/>
                <w:b/>
                <w:bCs/>
                <w:sz w:val="16"/>
                <w:szCs w:val="16"/>
                <w:lang w:val="ro-RO"/>
              </w:rPr>
              <w:t>9.</w:t>
            </w:r>
            <w:r w:rsidRPr="001C4179">
              <w:rPr>
                <w:rFonts w:asciiTheme="majorHAnsi" w:hAnsiTheme="majorHAnsi" w:cstheme="majorHAnsi"/>
                <w:sz w:val="16"/>
                <w:szCs w:val="16"/>
                <w:lang w:val="ro-RO"/>
              </w:rPr>
              <w:t xml:space="preserve"> Să asigure respectarea regulamentară a prevederilor normative la acordarea tuturor tipurilor de scutiri, reduceri și facilități fiscale și vamale, cu intensificarea măsurilor de supraveghere vamală aplicate contribuabililor.</w:t>
            </w:r>
          </w:p>
        </w:tc>
        <w:tc>
          <w:tcPr>
            <w:tcW w:w="3119" w:type="dxa"/>
          </w:tcPr>
          <w:p w14:paraId="73F04AA8" w14:textId="77777777" w:rsidR="00D705B6" w:rsidRPr="001C4179" w:rsidRDefault="00D705B6" w:rsidP="00D705B6">
            <w:pPr>
              <w:spacing w:line="240" w:lineRule="auto"/>
              <w:jc w:val="both"/>
              <w:rPr>
                <w:rFonts w:asciiTheme="majorHAnsi" w:hAnsiTheme="majorHAnsi" w:cstheme="majorHAnsi"/>
                <w:b/>
                <w:i/>
                <w:iCs/>
                <w:color w:val="000000" w:themeColor="text1"/>
                <w:sz w:val="16"/>
                <w:szCs w:val="16"/>
                <w:lang w:val="ro-RO"/>
              </w:rPr>
            </w:pPr>
            <w:r w:rsidRPr="001C4179">
              <w:rPr>
                <w:rFonts w:asciiTheme="majorHAnsi" w:hAnsiTheme="majorHAnsi" w:cstheme="majorHAnsi"/>
                <w:b/>
                <w:sz w:val="16"/>
                <w:szCs w:val="16"/>
                <w:lang w:val="ro-MD"/>
              </w:rPr>
              <w:t xml:space="preserve">1. </w:t>
            </w:r>
            <w:r w:rsidRPr="001C4179">
              <w:rPr>
                <w:rFonts w:asciiTheme="majorHAnsi" w:hAnsiTheme="majorHAnsi" w:cstheme="majorHAnsi"/>
                <w:b/>
                <w:i/>
                <w:iCs/>
                <w:sz w:val="16"/>
                <w:szCs w:val="16"/>
                <w:lang w:val="ro-RO"/>
              </w:rPr>
              <w:t>Măsuri de monitorizare a</w:t>
            </w:r>
            <w:r w:rsidRPr="001C4179">
              <w:rPr>
                <w:rFonts w:asciiTheme="majorHAnsi" w:hAnsiTheme="majorHAnsi" w:cstheme="majorHAnsi"/>
                <w:b/>
                <w:i/>
                <w:iCs/>
                <w:color w:val="000000" w:themeColor="text1"/>
                <w:sz w:val="16"/>
                <w:szCs w:val="16"/>
                <w:lang w:val="ro-RO"/>
              </w:rPr>
              <w:t xml:space="preserve"> modificărilor legislative aferente facilităților la import și elaborarea/actualizarea, după caz, a Anexei nr.11 a Ordinului SV nr. 346-O/2009:</w:t>
            </w:r>
          </w:p>
          <w:p w14:paraId="646D045E" w14:textId="77777777" w:rsidR="00D705B6" w:rsidRPr="001C4179" w:rsidRDefault="00D705B6" w:rsidP="00D705B6">
            <w:pPr>
              <w:spacing w:line="240" w:lineRule="auto"/>
              <w:jc w:val="both"/>
              <w:rPr>
                <w:rFonts w:asciiTheme="majorHAnsi" w:eastAsia="Calibri" w:hAnsiTheme="majorHAnsi" w:cstheme="majorHAnsi"/>
                <w:i/>
                <w:iCs/>
                <w:color w:val="FF0000"/>
                <w:sz w:val="16"/>
                <w:szCs w:val="16"/>
                <w:lang w:val="ro-RO"/>
              </w:rPr>
            </w:pPr>
            <w:r w:rsidRPr="001C4179">
              <w:rPr>
                <w:rFonts w:asciiTheme="majorHAnsi" w:hAnsiTheme="majorHAnsi" w:cstheme="majorHAnsi"/>
                <w:color w:val="000000" w:themeColor="text1"/>
                <w:sz w:val="16"/>
                <w:szCs w:val="16"/>
                <w:lang w:val="ro-RO"/>
              </w:rPr>
              <w:t>-</w:t>
            </w:r>
            <w:r w:rsidRPr="001C4179">
              <w:rPr>
                <w:rFonts w:asciiTheme="majorHAnsi" w:hAnsiTheme="majorHAnsi" w:cstheme="majorHAnsi"/>
                <w:sz w:val="16"/>
                <w:szCs w:val="16"/>
                <w:lang w:val="ro-RO"/>
              </w:rPr>
              <w:t xml:space="preserve"> Au fost elaborate ordinele ”</w:t>
            </w:r>
            <w:r w:rsidRPr="001C4179">
              <w:rPr>
                <w:rFonts w:asciiTheme="majorHAnsi" w:hAnsiTheme="majorHAnsi" w:cstheme="majorHAnsi"/>
                <w:i/>
                <w:sz w:val="16"/>
                <w:szCs w:val="16"/>
                <w:lang w:val="ro-RO"/>
              </w:rPr>
              <w:t>Cu privire la completarea anexei nr.11 al Ordinului nr.346-O din 24.12.2009 „Referitor la aprobarea  Normelor tehnice privind imprimarea, utilizarea şi completarea  declaraţiei vamale în detaliu</w:t>
            </w:r>
            <w:r w:rsidRPr="001C4179">
              <w:rPr>
                <w:rFonts w:asciiTheme="majorHAnsi" w:hAnsiTheme="majorHAnsi" w:cstheme="majorHAnsi"/>
                <w:sz w:val="16"/>
                <w:szCs w:val="16"/>
                <w:lang w:val="ro-RO"/>
              </w:rPr>
              <w:t xml:space="preserve"> ”: </w:t>
            </w:r>
            <w:r w:rsidRPr="001C4179">
              <w:rPr>
                <w:rFonts w:asciiTheme="majorHAnsi" w:eastAsia="Calibri" w:hAnsiTheme="majorHAnsi" w:cstheme="majorHAnsi"/>
                <w:sz w:val="16"/>
                <w:szCs w:val="16"/>
                <w:lang w:val="ro-RO"/>
              </w:rPr>
              <w:t xml:space="preserve">nr.438-O din 29.12.2020 (în vigoare din 01.01.2021); nr.08-O din 13.01.2021; nr. 13-O din 19.01.2021; nr. 27-O din 29.01.2021; nr.35-O din 08.02.2021; nr.56-O din 24.02.2021; nr. 57-O din 24.02.2021; nr.86-O din 31.03.2021; nr.96-O din 09.04.2021; nr.111-O din 20.04.2021; nr.112-O din 20.04.2021; nr.139-O din 19.05.2021; nr.184-O din 17.06.2021. </w:t>
            </w:r>
            <w:r w:rsidRPr="001C4179">
              <w:rPr>
                <w:rFonts w:asciiTheme="majorHAnsi" w:eastAsia="Calibri" w:hAnsiTheme="majorHAnsi" w:cstheme="majorHAnsi"/>
                <w:i/>
                <w:iCs/>
                <w:sz w:val="16"/>
                <w:szCs w:val="16"/>
                <w:lang w:val="ro-RO"/>
              </w:rPr>
              <w:t>Anexa nr.14</w:t>
            </w:r>
          </w:p>
          <w:p w14:paraId="454D755F" w14:textId="77777777" w:rsidR="00D705B6" w:rsidRPr="001C4179" w:rsidRDefault="00D705B6" w:rsidP="00D705B6">
            <w:pPr>
              <w:spacing w:line="240" w:lineRule="auto"/>
              <w:jc w:val="both"/>
              <w:rPr>
                <w:rFonts w:asciiTheme="majorHAnsi" w:hAnsiTheme="majorHAnsi" w:cstheme="majorHAnsi"/>
                <w:b/>
                <w:bCs/>
                <w:i/>
                <w:iCs/>
                <w:sz w:val="16"/>
                <w:szCs w:val="16"/>
                <w:lang w:val="ro-RO"/>
              </w:rPr>
            </w:pPr>
            <w:r w:rsidRPr="001C4179">
              <w:rPr>
                <w:rFonts w:asciiTheme="majorHAnsi" w:eastAsia="Calibri" w:hAnsiTheme="majorHAnsi" w:cstheme="majorHAnsi"/>
                <w:b/>
                <w:bCs/>
                <w:i/>
                <w:iCs/>
                <w:sz w:val="16"/>
                <w:szCs w:val="16"/>
                <w:lang w:val="ro-RO"/>
              </w:rPr>
              <w:t xml:space="preserve">2. Măsuri de </w:t>
            </w:r>
            <w:r w:rsidRPr="001C4179">
              <w:rPr>
                <w:rFonts w:asciiTheme="majorHAnsi" w:hAnsiTheme="majorHAnsi" w:cstheme="majorHAnsi"/>
                <w:b/>
                <w:bCs/>
                <w:i/>
                <w:iCs/>
                <w:sz w:val="16"/>
                <w:szCs w:val="16"/>
                <w:lang w:val="ro-RO"/>
              </w:rPr>
              <w:t>supraveghere vamală a respectării destinației finale a mărfurilor care au beneficiat de tratament tarifar favorabil, conform pct. 50</w:t>
            </w:r>
            <w:r w:rsidRPr="001C4179">
              <w:rPr>
                <w:rFonts w:asciiTheme="majorHAnsi" w:hAnsiTheme="majorHAnsi" w:cstheme="majorHAnsi"/>
                <w:b/>
                <w:bCs/>
                <w:i/>
                <w:iCs/>
                <w:sz w:val="16"/>
                <w:szCs w:val="16"/>
                <w:vertAlign w:val="superscript"/>
                <w:lang w:val="ro-RO"/>
              </w:rPr>
              <w:t>1</w:t>
            </w:r>
            <w:r w:rsidRPr="001C4179">
              <w:rPr>
                <w:rFonts w:asciiTheme="majorHAnsi" w:hAnsiTheme="majorHAnsi" w:cstheme="majorHAnsi"/>
                <w:b/>
                <w:bCs/>
                <w:i/>
                <w:iCs/>
                <w:sz w:val="16"/>
                <w:szCs w:val="16"/>
                <w:lang w:val="ro-RO"/>
              </w:rPr>
              <w:t xml:space="preserve"> al HG 1140:</w:t>
            </w:r>
          </w:p>
          <w:p w14:paraId="479C9494" w14:textId="77777777" w:rsidR="00D705B6" w:rsidRPr="001C4179" w:rsidRDefault="00D705B6" w:rsidP="00D705B6">
            <w:pPr>
              <w:spacing w:line="240" w:lineRule="auto"/>
              <w:jc w:val="both"/>
              <w:rPr>
                <w:rFonts w:asciiTheme="majorHAnsi" w:hAnsiTheme="majorHAnsi" w:cstheme="majorHAnsi"/>
                <w:sz w:val="16"/>
                <w:szCs w:val="16"/>
                <w:lang w:val="ro-RO"/>
              </w:rPr>
            </w:pPr>
            <w:r w:rsidRPr="001C4179">
              <w:rPr>
                <w:rFonts w:asciiTheme="majorHAnsi" w:hAnsiTheme="majorHAnsi" w:cstheme="majorHAnsi"/>
                <w:sz w:val="16"/>
                <w:szCs w:val="16"/>
                <w:lang w:val="ro-RO"/>
              </w:rPr>
              <w:t>-</w:t>
            </w:r>
            <w:r w:rsidRPr="001C4179">
              <w:rPr>
                <w:rFonts w:asciiTheme="majorHAnsi" w:hAnsiTheme="majorHAnsi" w:cstheme="majorHAnsi"/>
                <w:bCs/>
                <w:color w:val="000000" w:themeColor="text1"/>
                <w:sz w:val="16"/>
                <w:szCs w:val="16"/>
                <w:lang w:val="ro-RO"/>
              </w:rPr>
              <w:t xml:space="preserve"> </w:t>
            </w:r>
            <w:r w:rsidRPr="001C4179">
              <w:rPr>
                <w:rFonts w:asciiTheme="majorHAnsi" w:hAnsiTheme="majorHAnsi" w:cstheme="majorHAnsi"/>
                <w:sz w:val="16"/>
                <w:szCs w:val="16"/>
                <w:lang w:val="ro-RO"/>
              </w:rPr>
              <w:t>prezentate și examinate 502 informații conform  pct.501  HG 1140/2005;</w:t>
            </w:r>
          </w:p>
          <w:p w14:paraId="5CFCCE27" w14:textId="58C49F77" w:rsidR="00D705B6" w:rsidRPr="001C4179" w:rsidRDefault="00D705B6" w:rsidP="00D705B6">
            <w:pPr>
              <w:spacing w:line="240" w:lineRule="auto"/>
              <w:jc w:val="both"/>
              <w:rPr>
                <w:rFonts w:asciiTheme="majorHAnsi" w:hAnsiTheme="majorHAnsi" w:cstheme="majorHAnsi"/>
                <w:sz w:val="16"/>
                <w:szCs w:val="16"/>
                <w:lang w:val="ro-RO"/>
              </w:rPr>
            </w:pPr>
            <w:r w:rsidRPr="001C4179">
              <w:rPr>
                <w:rFonts w:asciiTheme="majorHAnsi" w:hAnsiTheme="majorHAnsi" w:cstheme="majorHAnsi"/>
                <w:sz w:val="16"/>
                <w:szCs w:val="16"/>
                <w:lang w:val="ro-RO"/>
              </w:rPr>
              <w:t>-</w:t>
            </w:r>
            <w:r w:rsidR="00F00C1A">
              <w:rPr>
                <w:rFonts w:asciiTheme="majorHAnsi" w:hAnsiTheme="majorHAnsi" w:cstheme="majorHAnsi"/>
                <w:sz w:val="16"/>
                <w:szCs w:val="16"/>
                <w:lang w:val="ro-RO"/>
              </w:rPr>
              <w:t xml:space="preserve"> </w:t>
            </w:r>
            <w:r w:rsidRPr="001C4179">
              <w:rPr>
                <w:rFonts w:asciiTheme="majorHAnsi" w:hAnsiTheme="majorHAnsi" w:cstheme="majorHAnsi"/>
                <w:sz w:val="16"/>
                <w:szCs w:val="16"/>
                <w:lang w:val="ro-RO"/>
              </w:rPr>
              <w:t>emise 852 avize de înștiințare;</w:t>
            </w:r>
          </w:p>
          <w:p w14:paraId="697D8695" w14:textId="77777777" w:rsidR="00D705B6" w:rsidRPr="001C4179" w:rsidRDefault="00D705B6" w:rsidP="00D705B6">
            <w:pPr>
              <w:pStyle w:val="ListParagraph"/>
              <w:numPr>
                <w:ilvl w:val="0"/>
                <w:numId w:val="23"/>
              </w:numPr>
              <w:ind w:left="177" w:hanging="142"/>
              <w:jc w:val="both"/>
              <w:rPr>
                <w:rFonts w:asciiTheme="majorHAnsi" w:hAnsiTheme="majorHAnsi" w:cstheme="majorHAnsi"/>
                <w:sz w:val="16"/>
                <w:szCs w:val="16"/>
              </w:rPr>
            </w:pPr>
            <w:r w:rsidRPr="001C4179">
              <w:rPr>
                <w:rFonts w:asciiTheme="majorHAnsi" w:hAnsiTheme="majorHAnsi" w:cstheme="majorHAnsi"/>
                <w:sz w:val="16"/>
                <w:szCs w:val="16"/>
              </w:rPr>
              <w:t>ponderea informațiilor conforme constituie 97 %</w:t>
            </w:r>
          </w:p>
          <w:p w14:paraId="0FA0E8DC" w14:textId="77777777" w:rsidR="00D705B6" w:rsidRPr="001C4179" w:rsidRDefault="00D705B6" w:rsidP="00D705B6">
            <w:pPr>
              <w:pStyle w:val="ListParagraph"/>
              <w:numPr>
                <w:ilvl w:val="0"/>
                <w:numId w:val="23"/>
              </w:numPr>
              <w:ind w:left="177" w:hanging="142"/>
              <w:jc w:val="both"/>
              <w:rPr>
                <w:rFonts w:asciiTheme="majorHAnsi" w:hAnsiTheme="majorHAnsi" w:cstheme="majorHAnsi"/>
                <w:sz w:val="16"/>
                <w:szCs w:val="16"/>
              </w:rPr>
            </w:pPr>
            <w:r w:rsidRPr="001C4179">
              <w:rPr>
                <w:rFonts w:asciiTheme="majorHAnsi" w:hAnsiTheme="majorHAnsi" w:cstheme="majorHAnsi"/>
                <w:sz w:val="16"/>
                <w:szCs w:val="16"/>
              </w:rPr>
              <w:t>elaborate 13 rapoarte analitice, urmare a activității de supraveghere vamală.</w:t>
            </w:r>
          </w:p>
          <w:p w14:paraId="2B11F486" w14:textId="77777777" w:rsidR="00D705B6" w:rsidRPr="001C4179" w:rsidRDefault="00D705B6" w:rsidP="00D705B6">
            <w:pPr>
              <w:spacing w:line="240" w:lineRule="auto"/>
              <w:jc w:val="both"/>
              <w:rPr>
                <w:rFonts w:asciiTheme="majorHAnsi" w:hAnsiTheme="majorHAnsi" w:cstheme="majorHAnsi"/>
                <w:b/>
                <w:bCs/>
                <w:i/>
                <w:iCs/>
                <w:sz w:val="16"/>
                <w:szCs w:val="16"/>
                <w:lang w:val="ro-RO"/>
              </w:rPr>
            </w:pPr>
            <w:r w:rsidRPr="001C4179">
              <w:rPr>
                <w:rFonts w:asciiTheme="majorHAnsi" w:hAnsiTheme="majorHAnsi" w:cstheme="majorHAnsi"/>
                <w:b/>
                <w:bCs/>
                <w:i/>
                <w:iCs/>
                <w:sz w:val="16"/>
                <w:szCs w:val="16"/>
                <w:lang w:val="ro-RO"/>
              </w:rPr>
              <w:t>3. Măsuri de verificare a corectitudinii acordării facilităților fiscale și vamale la import:</w:t>
            </w:r>
          </w:p>
          <w:p w14:paraId="6ADE7FC9" w14:textId="7BA97CFA" w:rsidR="00D705B6" w:rsidRPr="001C4179" w:rsidRDefault="00D705B6" w:rsidP="00D705B6">
            <w:pPr>
              <w:spacing w:line="240" w:lineRule="auto"/>
              <w:jc w:val="both"/>
              <w:rPr>
                <w:rFonts w:asciiTheme="majorHAnsi" w:hAnsiTheme="majorHAnsi" w:cstheme="majorHAnsi"/>
                <w:sz w:val="16"/>
                <w:szCs w:val="16"/>
                <w:lang w:val="ro-RO"/>
              </w:rPr>
            </w:pPr>
            <w:r w:rsidRPr="001C4179">
              <w:rPr>
                <w:rFonts w:asciiTheme="majorHAnsi" w:hAnsiTheme="majorHAnsi" w:cstheme="majorHAnsi"/>
                <w:sz w:val="16"/>
                <w:szCs w:val="16"/>
                <w:lang w:val="ro-RO"/>
              </w:rPr>
              <w:t>Declarațiile vamale în detaliu, prin care se solicită facilități vamale și fiscale, se verifică permanent, fiind  solicitate actele de însoțire a mărfurilor în original, ce stau la baza acordării facilităților fiscale și vamale. Totodată, DVD care în baza analizei de risc, s</w:t>
            </w:r>
            <w:r w:rsidR="00F00C1A">
              <w:rPr>
                <w:rFonts w:asciiTheme="majorHAnsi" w:hAnsiTheme="majorHAnsi" w:cstheme="majorHAnsi"/>
                <w:sz w:val="16"/>
                <w:szCs w:val="16"/>
                <w:lang w:val="ro-RO"/>
              </w:rPr>
              <w:t>u</w:t>
            </w:r>
            <w:r w:rsidRPr="001C4179">
              <w:rPr>
                <w:rFonts w:asciiTheme="majorHAnsi" w:hAnsiTheme="majorHAnsi" w:cstheme="majorHAnsi"/>
                <w:sz w:val="16"/>
                <w:szCs w:val="16"/>
                <w:lang w:val="ro-RO"/>
              </w:rPr>
              <w:t>nt susceptibile de incorectitudine la regimul declarat sau la preferințele acordate, s</w:t>
            </w:r>
            <w:r w:rsidR="00F00C1A">
              <w:rPr>
                <w:rFonts w:asciiTheme="majorHAnsi" w:hAnsiTheme="majorHAnsi" w:cstheme="majorHAnsi"/>
                <w:sz w:val="16"/>
                <w:szCs w:val="16"/>
                <w:lang w:val="ro-RO"/>
              </w:rPr>
              <w:t>u</w:t>
            </w:r>
            <w:r w:rsidRPr="001C4179">
              <w:rPr>
                <w:rFonts w:asciiTheme="majorHAnsi" w:hAnsiTheme="majorHAnsi" w:cstheme="majorHAnsi"/>
                <w:sz w:val="16"/>
                <w:szCs w:val="16"/>
                <w:lang w:val="ro-RO"/>
              </w:rPr>
              <w:t>nt redirecționate pe un culoar mai aspru de vămuire Astfel, dacă în urma controlului vamal, s</w:t>
            </w:r>
            <w:r w:rsidR="00F00C1A">
              <w:rPr>
                <w:rFonts w:asciiTheme="majorHAnsi" w:hAnsiTheme="majorHAnsi" w:cstheme="majorHAnsi"/>
                <w:sz w:val="16"/>
                <w:szCs w:val="16"/>
                <w:lang w:val="ro-RO"/>
              </w:rPr>
              <w:t>u</w:t>
            </w:r>
            <w:r w:rsidRPr="001C4179">
              <w:rPr>
                <w:rFonts w:asciiTheme="majorHAnsi" w:hAnsiTheme="majorHAnsi" w:cstheme="majorHAnsi"/>
                <w:sz w:val="16"/>
                <w:szCs w:val="16"/>
                <w:lang w:val="ro-RO"/>
              </w:rPr>
              <w:t>nt depistate careva iregularități, acordarea preferințelor vamale nu este acceptată de către organul vamal.</w:t>
            </w:r>
          </w:p>
          <w:p w14:paraId="74D92A51" w14:textId="77777777" w:rsidR="00D705B6" w:rsidRPr="001C4179" w:rsidRDefault="00D705B6" w:rsidP="00D705B6">
            <w:pPr>
              <w:spacing w:line="240" w:lineRule="auto"/>
              <w:jc w:val="both"/>
              <w:rPr>
                <w:rFonts w:asciiTheme="majorHAnsi" w:hAnsiTheme="majorHAnsi" w:cstheme="majorHAnsi"/>
                <w:sz w:val="16"/>
                <w:szCs w:val="16"/>
                <w:lang w:val="ro-RO"/>
              </w:rPr>
            </w:pPr>
            <w:r w:rsidRPr="001C4179">
              <w:rPr>
                <w:rFonts w:asciiTheme="majorHAnsi" w:hAnsiTheme="majorHAnsi" w:cstheme="majorHAnsi"/>
                <w:sz w:val="16"/>
                <w:szCs w:val="16"/>
                <w:lang w:val="ro-RO"/>
              </w:rPr>
              <w:t xml:space="preserve">Pe parcursul perioadei ianuarie-septembrie 2021, au fost perfectate DVD care au beneficiat de facilități fiscale și vamale la import, după cum urmează: </w:t>
            </w:r>
          </w:p>
          <w:p w14:paraId="7F0DFDE6" w14:textId="341D6950" w:rsidR="00D705B6" w:rsidRPr="001C4179" w:rsidRDefault="00D705B6" w:rsidP="00E802FB">
            <w:pPr>
              <w:spacing w:line="240" w:lineRule="auto"/>
              <w:jc w:val="both"/>
              <w:rPr>
                <w:rFonts w:asciiTheme="majorHAnsi" w:hAnsiTheme="majorHAnsi" w:cstheme="majorHAnsi"/>
                <w:b/>
                <w:sz w:val="16"/>
                <w:szCs w:val="16"/>
                <w:lang w:val="ro-RO"/>
              </w:rPr>
            </w:pPr>
            <w:r w:rsidRPr="001C4179">
              <w:rPr>
                <w:rFonts w:asciiTheme="majorHAnsi" w:hAnsiTheme="majorHAnsi" w:cstheme="majorHAnsi"/>
                <w:b/>
                <w:sz w:val="16"/>
                <w:szCs w:val="16"/>
                <w:lang w:val="ro-RO"/>
              </w:rPr>
              <w:t>BVN:</w:t>
            </w:r>
            <w:r w:rsidRPr="001C4179">
              <w:rPr>
                <w:rFonts w:asciiTheme="majorHAnsi" w:hAnsiTheme="majorHAnsi" w:cstheme="majorHAnsi"/>
                <w:sz w:val="16"/>
                <w:szCs w:val="16"/>
                <w:lang w:val="ro-RO"/>
              </w:rPr>
              <w:t xml:space="preserve"> 955 DVD;</w:t>
            </w:r>
            <w:r w:rsidRPr="001C4179">
              <w:rPr>
                <w:rFonts w:asciiTheme="majorHAnsi" w:hAnsiTheme="majorHAnsi" w:cstheme="majorHAnsi"/>
                <w:b/>
                <w:sz w:val="16"/>
                <w:szCs w:val="16"/>
                <w:lang w:val="ro-RO"/>
              </w:rPr>
              <w:t>BVC:</w:t>
            </w:r>
            <w:r w:rsidRPr="001C4179">
              <w:rPr>
                <w:rFonts w:asciiTheme="majorHAnsi" w:hAnsiTheme="majorHAnsi" w:cstheme="majorHAnsi"/>
                <w:sz w:val="16"/>
                <w:szCs w:val="16"/>
                <w:lang w:val="ro-RO"/>
              </w:rPr>
              <w:t xml:space="preserve"> 44 687 DVD;</w:t>
            </w:r>
            <w:r w:rsidRPr="001C4179">
              <w:rPr>
                <w:rFonts w:asciiTheme="majorHAnsi" w:hAnsiTheme="majorHAnsi" w:cstheme="majorHAnsi"/>
                <w:b/>
                <w:sz w:val="16"/>
                <w:szCs w:val="16"/>
                <w:lang w:val="ro-RO"/>
              </w:rPr>
              <w:t>BVS:</w:t>
            </w:r>
            <w:r w:rsidRPr="001C4179">
              <w:rPr>
                <w:rFonts w:asciiTheme="majorHAnsi" w:hAnsiTheme="majorHAnsi" w:cstheme="majorHAnsi"/>
                <w:sz w:val="16"/>
                <w:szCs w:val="16"/>
                <w:lang w:val="ro-RO"/>
              </w:rPr>
              <w:t xml:space="preserve"> 1588 DVD</w:t>
            </w:r>
            <w:r w:rsidRPr="001C4179">
              <w:rPr>
                <w:rFonts w:asciiTheme="majorHAnsi" w:hAnsiTheme="majorHAnsi" w:cstheme="majorHAnsi"/>
                <w:b/>
                <w:sz w:val="16"/>
                <w:szCs w:val="16"/>
                <w:lang w:val="ro-RO"/>
              </w:rPr>
              <w:t>.</w:t>
            </w:r>
          </w:p>
        </w:tc>
        <w:tc>
          <w:tcPr>
            <w:tcW w:w="425" w:type="dxa"/>
          </w:tcPr>
          <w:p w14:paraId="56D2596A" w14:textId="77777777" w:rsidR="00D705B6" w:rsidRPr="001C4179" w:rsidRDefault="00D705B6" w:rsidP="00D705B6">
            <w:pPr>
              <w:tabs>
                <w:tab w:val="left" w:pos="720"/>
              </w:tabs>
              <w:spacing w:line="240" w:lineRule="auto"/>
              <w:jc w:val="right"/>
              <w:rPr>
                <w:rFonts w:asciiTheme="majorHAnsi" w:hAnsiTheme="majorHAnsi" w:cstheme="majorHAnsi"/>
                <w:b/>
                <w:sz w:val="16"/>
                <w:szCs w:val="16"/>
                <w:lang w:val="ro-MD"/>
              </w:rPr>
            </w:pPr>
            <w:r w:rsidRPr="001C4179">
              <w:rPr>
                <w:rFonts w:asciiTheme="majorHAnsi" w:hAnsiTheme="majorHAnsi" w:cstheme="majorHAnsi"/>
                <w:b/>
                <w:sz w:val="16"/>
                <w:szCs w:val="16"/>
                <w:lang w:val="ro-MD"/>
              </w:rPr>
              <w:t>V</w:t>
            </w:r>
          </w:p>
        </w:tc>
        <w:tc>
          <w:tcPr>
            <w:tcW w:w="567" w:type="dxa"/>
          </w:tcPr>
          <w:p w14:paraId="5EBD10E5" w14:textId="77777777" w:rsidR="00D705B6" w:rsidRPr="001C4179" w:rsidRDefault="00D705B6" w:rsidP="00D705B6">
            <w:pPr>
              <w:tabs>
                <w:tab w:val="left" w:pos="720"/>
              </w:tabs>
              <w:spacing w:line="240" w:lineRule="auto"/>
              <w:jc w:val="center"/>
              <w:rPr>
                <w:rFonts w:asciiTheme="majorHAnsi" w:hAnsiTheme="majorHAnsi" w:cstheme="majorHAnsi"/>
                <w:b/>
                <w:sz w:val="16"/>
                <w:szCs w:val="16"/>
                <w:lang w:val="ro-MD"/>
              </w:rPr>
            </w:pPr>
          </w:p>
        </w:tc>
        <w:tc>
          <w:tcPr>
            <w:tcW w:w="425" w:type="dxa"/>
          </w:tcPr>
          <w:p w14:paraId="163E15C8" w14:textId="77777777" w:rsidR="00D705B6" w:rsidRPr="001C4179" w:rsidRDefault="00D705B6" w:rsidP="00D705B6">
            <w:pPr>
              <w:tabs>
                <w:tab w:val="left" w:pos="720"/>
              </w:tabs>
              <w:spacing w:line="240" w:lineRule="auto"/>
              <w:jc w:val="right"/>
              <w:rPr>
                <w:rFonts w:asciiTheme="majorHAnsi" w:hAnsiTheme="majorHAnsi" w:cstheme="majorHAnsi"/>
                <w:b/>
                <w:sz w:val="16"/>
                <w:szCs w:val="16"/>
                <w:lang w:val="ro-MD"/>
              </w:rPr>
            </w:pPr>
          </w:p>
        </w:tc>
        <w:tc>
          <w:tcPr>
            <w:tcW w:w="2835" w:type="dxa"/>
          </w:tcPr>
          <w:p w14:paraId="66D66568" w14:textId="77777777" w:rsidR="00D705B6" w:rsidRPr="001C4179" w:rsidRDefault="00D705B6" w:rsidP="00D705B6">
            <w:pPr>
              <w:tabs>
                <w:tab w:val="left" w:pos="720"/>
              </w:tabs>
              <w:spacing w:line="240" w:lineRule="auto"/>
              <w:jc w:val="right"/>
              <w:rPr>
                <w:rFonts w:asciiTheme="majorHAnsi" w:hAnsiTheme="majorHAnsi" w:cstheme="majorHAnsi"/>
                <w:b/>
                <w:sz w:val="16"/>
                <w:szCs w:val="16"/>
                <w:lang w:val="ro-MD"/>
              </w:rPr>
            </w:pPr>
          </w:p>
        </w:tc>
      </w:tr>
      <w:tr w:rsidR="00D705B6" w:rsidRPr="001C4179" w14:paraId="40B2F863" w14:textId="77777777" w:rsidTr="00B3263D">
        <w:trPr>
          <w:trHeight w:val="288"/>
          <w:jc w:val="center"/>
        </w:trPr>
        <w:tc>
          <w:tcPr>
            <w:tcW w:w="2830" w:type="dxa"/>
          </w:tcPr>
          <w:p w14:paraId="12853B26" w14:textId="77777777" w:rsidR="00D705B6" w:rsidRPr="001C4179" w:rsidRDefault="00D705B6" w:rsidP="00D705B6">
            <w:pPr>
              <w:tabs>
                <w:tab w:val="left" w:pos="31"/>
                <w:tab w:val="left" w:pos="172"/>
              </w:tabs>
              <w:spacing w:line="240" w:lineRule="auto"/>
              <w:jc w:val="both"/>
              <w:rPr>
                <w:rFonts w:asciiTheme="majorHAnsi" w:hAnsiTheme="majorHAnsi" w:cstheme="majorHAnsi"/>
                <w:b/>
                <w:i/>
                <w:sz w:val="16"/>
                <w:szCs w:val="16"/>
                <w:lang w:val="ro-MD" w:eastAsia="ru-RU"/>
              </w:rPr>
            </w:pPr>
            <w:r w:rsidRPr="001C4179">
              <w:rPr>
                <w:rFonts w:asciiTheme="majorHAnsi" w:hAnsiTheme="majorHAnsi" w:cstheme="majorHAnsi"/>
                <w:b/>
                <w:sz w:val="16"/>
                <w:szCs w:val="16"/>
                <w:lang w:val="ro-RO"/>
              </w:rPr>
              <w:t>10.</w:t>
            </w:r>
            <w:r w:rsidRPr="001C4179">
              <w:rPr>
                <w:rFonts w:asciiTheme="majorHAnsi" w:hAnsiTheme="majorHAnsi" w:cstheme="majorHAnsi"/>
                <w:sz w:val="16"/>
                <w:szCs w:val="16"/>
                <w:lang w:val="ro-RO"/>
              </w:rPr>
              <w:t xml:space="preserve"> Să racordeze Ordinul Serviciului Vamal nr.346 din 24.12.2009 la normele Hotărârii de Guvern nr.904 din 13.11.2013, precum și a Ordinului Serviciului Vamal nr. 88-O din 05.03.2015 la prevederile Codului vamal nr.1149-XIV din 20.07.2000. (pct. 5.3)</w:t>
            </w:r>
          </w:p>
        </w:tc>
        <w:tc>
          <w:tcPr>
            <w:tcW w:w="3119" w:type="dxa"/>
          </w:tcPr>
          <w:p w14:paraId="1C3ACEF7" w14:textId="77777777" w:rsidR="00D705B6" w:rsidRPr="001C4179" w:rsidRDefault="00D705B6" w:rsidP="00D705B6">
            <w:pPr>
              <w:spacing w:line="240" w:lineRule="auto"/>
              <w:ind w:right="175"/>
              <w:jc w:val="both"/>
              <w:rPr>
                <w:rFonts w:asciiTheme="majorHAnsi" w:hAnsiTheme="majorHAnsi" w:cstheme="majorHAnsi"/>
                <w:sz w:val="16"/>
                <w:szCs w:val="16"/>
                <w:lang w:val="ro-RO"/>
              </w:rPr>
            </w:pPr>
            <w:r w:rsidRPr="001C4179">
              <w:rPr>
                <w:rFonts w:asciiTheme="majorHAnsi" w:hAnsiTheme="majorHAnsi" w:cstheme="majorHAnsi"/>
                <w:sz w:val="16"/>
                <w:szCs w:val="16"/>
                <w:lang w:val="ro-RO"/>
              </w:rPr>
              <w:t>A fost aprobat Ordinul Serviciului Vamal nr. 321-O din 05.11.2021 ”</w:t>
            </w:r>
            <w:r w:rsidRPr="001C4179">
              <w:rPr>
                <w:rFonts w:asciiTheme="majorHAnsi" w:hAnsiTheme="majorHAnsi" w:cstheme="majorHAnsi"/>
                <w:i/>
                <w:iCs/>
                <w:sz w:val="16"/>
                <w:szCs w:val="16"/>
                <w:lang w:val="ro-RO"/>
              </w:rPr>
              <w:t>Privind aprobarea Regulamentului cu privire la procedura de invalidare/modificare/rectificare a declarațiilor vamale în detaliu și formularelor tipizate TV-14, TV-24, TV-25, TV-26, prin care a fost abrogat Ordinul Serviciului Vamal nr. 88-O din 05.03.2015.</w:t>
            </w:r>
            <w:r w:rsidRPr="001C4179">
              <w:rPr>
                <w:rFonts w:asciiTheme="majorHAnsi" w:hAnsiTheme="majorHAnsi" w:cstheme="majorHAnsi"/>
                <w:sz w:val="16"/>
                <w:szCs w:val="16"/>
                <w:lang w:val="ro-RO"/>
              </w:rPr>
              <w:t xml:space="preserve"> </w:t>
            </w:r>
            <w:r w:rsidRPr="001C4179">
              <w:rPr>
                <w:rFonts w:asciiTheme="majorHAnsi" w:hAnsiTheme="majorHAnsi" w:cstheme="majorHAnsi"/>
                <w:i/>
                <w:sz w:val="16"/>
                <w:szCs w:val="16"/>
                <w:lang w:val="ro-RO"/>
              </w:rPr>
              <w:t>Anexa nr.15</w:t>
            </w:r>
          </w:p>
          <w:p w14:paraId="17228903" w14:textId="77777777" w:rsidR="00D705B6" w:rsidRPr="001C4179" w:rsidRDefault="00D705B6" w:rsidP="00D705B6">
            <w:pPr>
              <w:spacing w:line="240" w:lineRule="auto"/>
              <w:jc w:val="both"/>
              <w:rPr>
                <w:rFonts w:asciiTheme="majorHAnsi" w:hAnsiTheme="majorHAnsi" w:cstheme="majorHAnsi"/>
                <w:b/>
                <w:sz w:val="16"/>
                <w:szCs w:val="16"/>
                <w:lang w:val="ro-MD"/>
              </w:rPr>
            </w:pPr>
            <w:r w:rsidRPr="001C4179">
              <w:rPr>
                <w:rFonts w:asciiTheme="majorHAnsi" w:hAnsiTheme="majorHAnsi" w:cstheme="majorHAnsi"/>
                <w:sz w:val="16"/>
                <w:szCs w:val="16"/>
                <w:lang w:val="ro-RO"/>
              </w:rPr>
              <w:t xml:space="preserve">- aferent aplicării prevederilor pct. 8 din Anexa nr. 2 la HG nr. 904/2013 </w:t>
            </w:r>
            <w:r w:rsidRPr="001C4179">
              <w:rPr>
                <w:rFonts w:asciiTheme="majorHAnsi" w:hAnsiTheme="majorHAnsi" w:cstheme="majorHAnsi"/>
                <w:i/>
                <w:sz w:val="16"/>
                <w:szCs w:val="16"/>
                <w:lang w:val="ro-RO"/>
              </w:rPr>
              <w:t>Cu privire la procedurile de vămuire electronică a mărfurilor,</w:t>
            </w:r>
            <w:r w:rsidRPr="001C4179">
              <w:rPr>
                <w:rFonts w:asciiTheme="majorHAnsi" w:hAnsiTheme="majorHAnsi" w:cstheme="majorHAnsi"/>
                <w:sz w:val="16"/>
                <w:szCs w:val="16"/>
                <w:lang w:val="ro-RO"/>
              </w:rPr>
              <w:t xml:space="preserve"> menționăm că rubrica 27 din declarația vamală de import se completează în cazurile în care locul vămuirii mărfurilor este diferit de postul vamal de înregistrare a declarației vamale indicat în rubrica A. În acest sens, Serviciul Vamal a elaborat Ordinele nr. nr. 185-O/2018 și 119-O/2021 care reglementează că în rubrica 27 a DVD ,,loc de încărcare/descărcare” se indică codul zonelor de control vamal extinse. </w:t>
            </w:r>
            <w:r w:rsidRPr="001C4179">
              <w:rPr>
                <w:rFonts w:asciiTheme="majorHAnsi" w:hAnsiTheme="majorHAnsi" w:cstheme="majorHAnsi"/>
                <w:i/>
                <w:sz w:val="16"/>
                <w:szCs w:val="16"/>
                <w:lang w:val="ro-RO"/>
              </w:rPr>
              <w:t>Anexa nr.16-17</w:t>
            </w:r>
          </w:p>
        </w:tc>
        <w:tc>
          <w:tcPr>
            <w:tcW w:w="425" w:type="dxa"/>
          </w:tcPr>
          <w:p w14:paraId="22EF032C" w14:textId="77777777" w:rsidR="00D705B6" w:rsidRPr="001C4179" w:rsidRDefault="00D705B6" w:rsidP="00D705B6">
            <w:pPr>
              <w:tabs>
                <w:tab w:val="left" w:pos="720"/>
              </w:tabs>
              <w:spacing w:line="240" w:lineRule="auto"/>
              <w:jc w:val="right"/>
              <w:rPr>
                <w:rFonts w:asciiTheme="majorHAnsi" w:hAnsiTheme="majorHAnsi" w:cstheme="majorHAnsi"/>
                <w:b/>
                <w:sz w:val="16"/>
                <w:szCs w:val="16"/>
                <w:lang w:val="ro-MD"/>
              </w:rPr>
            </w:pPr>
            <w:r w:rsidRPr="001C4179">
              <w:rPr>
                <w:rFonts w:asciiTheme="majorHAnsi" w:hAnsiTheme="majorHAnsi" w:cstheme="majorHAnsi"/>
                <w:b/>
                <w:sz w:val="16"/>
                <w:szCs w:val="16"/>
                <w:lang w:val="ro-MD"/>
              </w:rPr>
              <w:t>V</w:t>
            </w:r>
          </w:p>
        </w:tc>
        <w:tc>
          <w:tcPr>
            <w:tcW w:w="567" w:type="dxa"/>
          </w:tcPr>
          <w:p w14:paraId="4659629C" w14:textId="77777777" w:rsidR="00D705B6" w:rsidRPr="001C4179" w:rsidRDefault="00D705B6" w:rsidP="00D705B6">
            <w:pPr>
              <w:tabs>
                <w:tab w:val="left" w:pos="720"/>
              </w:tabs>
              <w:spacing w:line="240" w:lineRule="auto"/>
              <w:jc w:val="center"/>
              <w:rPr>
                <w:rFonts w:asciiTheme="majorHAnsi" w:hAnsiTheme="majorHAnsi" w:cstheme="majorHAnsi"/>
                <w:b/>
                <w:sz w:val="16"/>
                <w:szCs w:val="16"/>
                <w:lang w:val="ro-MD"/>
              </w:rPr>
            </w:pPr>
          </w:p>
        </w:tc>
        <w:tc>
          <w:tcPr>
            <w:tcW w:w="425" w:type="dxa"/>
          </w:tcPr>
          <w:p w14:paraId="6E28DA47" w14:textId="77777777" w:rsidR="00D705B6" w:rsidRPr="001C4179" w:rsidRDefault="00D705B6" w:rsidP="00D705B6">
            <w:pPr>
              <w:tabs>
                <w:tab w:val="left" w:pos="720"/>
              </w:tabs>
              <w:spacing w:line="240" w:lineRule="auto"/>
              <w:jc w:val="right"/>
              <w:rPr>
                <w:rFonts w:asciiTheme="majorHAnsi" w:hAnsiTheme="majorHAnsi" w:cstheme="majorHAnsi"/>
                <w:b/>
                <w:sz w:val="16"/>
                <w:szCs w:val="16"/>
                <w:lang w:val="ro-MD"/>
              </w:rPr>
            </w:pPr>
          </w:p>
        </w:tc>
        <w:tc>
          <w:tcPr>
            <w:tcW w:w="2835" w:type="dxa"/>
          </w:tcPr>
          <w:p w14:paraId="304ACD4E" w14:textId="77777777" w:rsidR="00D705B6" w:rsidRPr="001C4179" w:rsidRDefault="00D705B6" w:rsidP="00D705B6">
            <w:pPr>
              <w:tabs>
                <w:tab w:val="left" w:pos="720"/>
              </w:tabs>
              <w:spacing w:line="240" w:lineRule="auto"/>
              <w:jc w:val="right"/>
              <w:rPr>
                <w:rFonts w:asciiTheme="majorHAnsi" w:hAnsiTheme="majorHAnsi" w:cstheme="majorHAnsi"/>
                <w:b/>
                <w:sz w:val="16"/>
                <w:szCs w:val="16"/>
                <w:lang w:val="ro-MD"/>
              </w:rPr>
            </w:pPr>
          </w:p>
        </w:tc>
      </w:tr>
    </w:tbl>
    <w:p w14:paraId="2CEFB9A5" w14:textId="77777777" w:rsidR="00D705B6" w:rsidRPr="00B20FBD" w:rsidRDefault="00D705B6" w:rsidP="0034452A">
      <w:pPr>
        <w:tabs>
          <w:tab w:val="left" w:pos="720"/>
        </w:tabs>
        <w:spacing w:after="0"/>
        <w:ind w:left="567" w:hanging="567"/>
        <w:jc w:val="both"/>
        <w:rPr>
          <w:rFonts w:asciiTheme="majorHAnsi" w:hAnsiTheme="majorHAnsi" w:cstheme="majorHAnsi"/>
          <w:bCs/>
          <w:i/>
          <w:sz w:val="16"/>
          <w:szCs w:val="16"/>
          <w:lang w:val="ro-RO" w:eastAsia="ru-RU"/>
        </w:rPr>
      </w:pPr>
    </w:p>
    <w:sectPr w:rsidR="00D705B6" w:rsidRPr="00B20FBD" w:rsidSect="00BA3EDF">
      <w:footerReference w:type="default" r:id="rId22"/>
      <w:pgSz w:w="12240" w:h="15840"/>
      <w:pgMar w:top="900" w:right="720" w:bottom="900" w:left="135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BD211" w14:textId="77777777" w:rsidR="00531D5D" w:rsidRDefault="00531D5D" w:rsidP="00C84965">
      <w:pPr>
        <w:spacing w:after="0" w:line="240" w:lineRule="auto"/>
      </w:pPr>
      <w:r>
        <w:separator/>
      </w:r>
    </w:p>
  </w:endnote>
  <w:endnote w:type="continuationSeparator" w:id="0">
    <w:p w14:paraId="589A0B59" w14:textId="77777777" w:rsidR="00531D5D" w:rsidRDefault="00531D5D" w:rsidP="00C84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MinionPro-Regular">
    <w:altName w:val="Times New Roman"/>
    <w:charset w:val="CC"/>
    <w:family w:val="auto"/>
    <w:pitch w:val="default"/>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588657"/>
      <w:docPartObj>
        <w:docPartGallery w:val="Page Numbers (Bottom of Page)"/>
        <w:docPartUnique/>
      </w:docPartObj>
    </w:sdtPr>
    <w:sdtEndPr>
      <w:rPr>
        <w:noProof/>
      </w:rPr>
    </w:sdtEndPr>
    <w:sdtContent>
      <w:p w14:paraId="085FB968" w14:textId="24C91296" w:rsidR="00B707C5" w:rsidRDefault="00B707C5">
        <w:pPr>
          <w:pStyle w:val="Footer"/>
          <w:jc w:val="right"/>
        </w:pPr>
        <w:r>
          <w:fldChar w:fldCharType="begin"/>
        </w:r>
        <w:r>
          <w:instrText xml:space="preserve"> PAGE   \* MERGEFORMAT </w:instrText>
        </w:r>
        <w:r>
          <w:fldChar w:fldCharType="separate"/>
        </w:r>
        <w:r w:rsidR="00F85718">
          <w:rPr>
            <w:noProof/>
          </w:rPr>
          <w:t>7</w:t>
        </w:r>
        <w:r>
          <w:rPr>
            <w:noProof/>
          </w:rPr>
          <w:fldChar w:fldCharType="end"/>
        </w:r>
      </w:p>
    </w:sdtContent>
  </w:sdt>
  <w:p w14:paraId="5B588F6A" w14:textId="771188DD" w:rsidR="00B707C5" w:rsidRDefault="00B707C5" w:rsidP="00873B29">
    <w:pPr>
      <w:pStyle w:val="Footer"/>
      <w:tabs>
        <w:tab w:val="clear" w:pos="4844"/>
        <w:tab w:val="clear" w:pos="9689"/>
        <w:tab w:val="left" w:pos="837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6602D" w14:textId="77777777" w:rsidR="00531D5D" w:rsidRDefault="00531D5D" w:rsidP="00C84965">
      <w:pPr>
        <w:spacing w:after="0" w:line="240" w:lineRule="auto"/>
      </w:pPr>
      <w:r>
        <w:separator/>
      </w:r>
    </w:p>
  </w:footnote>
  <w:footnote w:type="continuationSeparator" w:id="0">
    <w:p w14:paraId="2CBAF119" w14:textId="77777777" w:rsidR="00531D5D" w:rsidRDefault="00531D5D" w:rsidP="00C84965">
      <w:pPr>
        <w:spacing w:after="0" w:line="240" w:lineRule="auto"/>
      </w:pPr>
      <w:r>
        <w:continuationSeparator/>
      </w:r>
    </w:p>
  </w:footnote>
  <w:footnote w:id="1">
    <w:p w14:paraId="4DCA9C55" w14:textId="72500BF7" w:rsidR="00B707C5" w:rsidRPr="00237057" w:rsidRDefault="00B707C5" w:rsidP="00237057">
      <w:pPr>
        <w:pStyle w:val="FootnoteText"/>
        <w:jc w:val="both"/>
        <w:rPr>
          <w:rFonts w:asciiTheme="majorHAnsi" w:hAnsiTheme="majorHAnsi" w:cstheme="majorHAnsi"/>
          <w:lang w:val="ru-MD"/>
        </w:rPr>
      </w:pPr>
      <w:r w:rsidRPr="00237057">
        <w:rPr>
          <w:rStyle w:val="FootnoteReference"/>
          <w:rFonts w:asciiTheme="majorHAnsi" w:hAnsiTheme="majorHAnsi" w:cstheme="majorHAnsi"/>
          <w:lang w:val="ru-MD"/>
        </w:rPr>
        <w:footnoteRef/>
      </w:r>
      <w:r w:rsidRPr="00237057">
        <w:rPr>
          <w:rFonts w:asciiTheme="majorHAnsi" w:hAnsiTheme="majorHAnsi" w:cstheme="majorHAnsi"/>
          <w:lang w:val="ru-MD"/>
        </w:rPr>
        <w:t xml:space="preserve"> Программа аудиторской деятельности на 2022 год, утвержденная Постановлением Счетной палаты №75 от 28.12.2021. </w:t>
      </w:r>
    </w:p>
  </w:footnote>
  <w:footnote w:id="2">
    <w:p w14:paraId="4F273B93" w14:textId="10E8ADE7" w:rsidR="00B707C5" w:rsidRPr="00237057" w:rsidRDefault="00B707C5" w:rsidP="00237057">
      <w:pPr>
        <w:spacing w:after="0"/>
        <w:ind w:right="-2"/>
        <w:jc w:val="both"/>
        <w:rPr>
          <w:rFonts w:asciiTheme="majorHAnsi" w:hAnsiTheme="majorHAnsi" w:cstheme="majorHAnsi"/>
          <w:sz w:val="20"/>
          <w:szCs w:val="20"/>
          <w:lang w:val="ru-MD"/>
        </w:rPr>
      </w:pPr>
      <w:r w:rsidRPr="00237057">
        <w:rPr>
          <w:rStyle w:val="FootnoteReference"/>
          <w:rFonts w:asciiTheme="majorHAnsi" w:hAnsiTheme="majorHAnsi" w:cstheme="majorHAnsi"/>
          <w:sz w:val="20"/>
          <w:szCs w:val="20"/>
          <w:lang w:val="ru-MD"/>
        </w:rPr>
        <w:footnoteRef/>
      </w:r>
      <w:r w:rsidRPr="00237057">
        <w:rPr>
          <w:rFonts w:asciiTheme="majorHAnsi" w:hAnsiTheme="majorHAnsi" w:cstheme="majorHAnsi"/>
          <w:sz w:val="20"/>
          <w:szCs w:val="20"/>
          <w:lang w:val="ru-MD"/>
        </w:rPr>
        <w:t xml:space="preserve"> Цели Национального банка Молдовы-5% плюс-минус 1,5% (13,94% - рост в 2021 году в 35 раз по сравнению с предыдущим периодом)</w:t>
      </w:r>
      <w:r w:rsidRPr="00237057">
        <w:rPr>
          <w:rFonts w:asciiTheme="majorHAnsi" w:hAnsiTheme="majorHAnsi" w:cstheme="majorHAnsi"/>
          <w:sz w:val="20"/>
          <w:szCs w:val="20"/>
          <w:shd w:val="clear" w:color="auto" w:fill="FFFFFF"/>
          <w:lang w:val="ru-MD"/>
        </w:rPr>
        <w:t>.</w:t>
      </w:r>
    </w:p>
  </w:footnote>
  <w:footnote w:id="3">
    <w:p w14:paraId="24BB9958" w14:textId="474D71A6" w:rsidR="00B707C5" w:rsidRPr="00237057" w:rsidRDefault="00B707C5" w:rsidP="00237057">
      <w:pPr>
        <w:pStyle w:val="FootnoteText"/>
        <w:jc w:val="both"/>
        <w:rPr>
          <w:rFonts w:asciiTheme="majorHAnsi" w:hAnsiTheme="majorHAnsi" w:cstheme="majorHAnsi"/>
          <w:lang w:val="ru-MD"/>
        </w:rPr>
      </w:pPr>
      <w:r w:rsidRPr="00237057">
        <w:rPr>
          <w:rStyle w:val="FootnoteReference"/>
          <w:rFonts w:asciiTheme="majorHAnsi" w:hAnsiTheme="majorHAnsi" w:cstheme="majorHAnsi"/>
          <w:lang w:val="ru-MD"/>
        </w:rPr>
        <w:footnoteRef/>
      </w:r>
      <w:r w:rsidRPr="00237057">
        <w:rPr>
          <w:rFonts w:asciiTheme="majorHAnsi" w:hAnsiTheme="majorHAnsi" w:cstheme="majorHAnsi"/>
          <w:lang w:val="ru-MD"/>
        </w:rPr>
        <w:t xml:space="preserve"> </w:t>
      </w:r>
      <w:r w:rsidRPr="00237057">
        <w:rPr>
          <w:rFonts w:asciiTheme="majorHAnsi" w:eastAsia="Times New Roman" w:hAnsiTheme="majorHAnsi" w:cstheme="majorHAnsi"/>
          <w:lang w:val="ru-MD" w:eastAsia="ro-RO"/>
        </w:rPr>
        <w:t>Таможенный кодекс №</w:t>
      </w:r>
      <w:hyperlink r:id="rId1" w:history="1">
        <w:r w:rsidRPr="00237057">
          <w:rPr>
            <w:rFonts w:asciiTheme="majorHAnsi" w:eastAsia="Times New Roman" w:hAnsiTheme="majorHAnsi" w:cstheme="majorHAnsi"/>
            <w:lang w:val="ru-MD" w:eastAsia="ro-RO"/>
          </w:rPr>
          <w:t>1149-XIV от 20.07.2000</w:t>
        </w:r>
      </w:hyperlink>
      <w:r w:rsidRPr="00237057">
        <w:rPr>
          <w:rFonts w:asciiTheme="majorHAnsi" w:eastAsia="Times New Roman" w:hAnsiTheme="majorHAnsi" w:cstheme="majorHAnsi"/>
          <w:lang w:val="ru-MD" w:eastAsia="ro-RO"/>
        </w:rPr>
        <w:t>.</w:t>
      </w:r>
    </w:p>
  </w:footnote>
  <w:footnote w:id="4">
    <w:p w14:paraId="4BF68256" w14:textId="257E11E7" w:rsidR="00B707C5" w:rsidRPr="00237057" w:rsidRDefault="00B707C5" w:rsidP="00237057">
      <w:pPr>
        <w:spacing w:after="0" w:line="240" w:lineRule="auto"/>
        <w:jc w:val="both"/>
        <w:rPr>
          <w:rFonts w:asciiTheme="majorHAnsi" w:hAnsiTheme="majorHAnsi" w:cstheme="majorHAnsi"/>
          <w:sz w:val="20"/>
          <w:szCs w:val="20"/>
          <w:lang w:val="ru-MD"/>
        </w:rPr>
      </w:pPr>
      <w:r w:rsidRPr="00237057">
        <w:rPr>
          <w:rStyle w:val="FootnoteReference"/>
          <w:rFonts w:asciiTheme="majorHAnsi" w:hAnsiTheme="majorHAnsi" w:cstheme="majorHAnsi"/>
          <w:sz w:val="20"/>
          <w:szCs w:val="20"/>
          <w:lang w:val="ru-MD"/>
        </w:rPr>
        <w:footnoteRef/>
      </w:r>
      <w:r w:rsidRPr="00237057">
        <w:rPr>
          <w:rFonts w:asciiTheme="majorHAnsi" w:hAnsiTheme="majorHAnsi" w:cstheme="majorHAnsi"/>
          <w:sz w:val="20"/>
          <w:szCs w:val="20"/>
          <w:lang w:val="ru-MD"/>
        </w:rPr>
        <w:t xml:space="preserve"> </w:t>
      </w:r>
      <w:r w:rsidRPr="00237057">
        <w:rPr>
          <w:rFonts w:asciiTheme="majorHAnsi" w:eastAsia="Times New Roman" w:hAnsiTheme="majorHAnsi" w:cstheme="majorHAnsi"/>
          <w:sz w:val="20"/>
          <w:szCs w:val="20"/>
          <w:lang w:val="ru-MD" w:eastAsia="ro-RO"/>
        </w:rPr>
        <w:t>Налоговый кодекс №</w:t>
      </w:r>
      <w:hyperlink r:id="rId2" w:history="1">
        <w:r w:rsidRPr="00237057">
          <w:rPr>
            <w:rFonts w:asciiTheme="majorHAnsi" w:eastAsia="Times New Roman" w:hAnsiTheme="majorHAnsi" w:cstheme="majorHAnsi"/>
            <w:sz w:val="20"/>
            <w:szCs w:val="20"/>
            <w:lang w:val="ru-MD" w:eastAsia="ro-RO"/>
          </w:rPr>
          <w:t>1163-XIII от 24.04.1997</w:t>
        </w:r>
      </w:hyperlink>
      <w:r w:rsidRPr="00237057">
        <w:rPr>
          <w:rFonts w:asciiTheme="majorHAnsi" w:eastAsia="Times New Roman" w:hAnsiTheme="majorHAnsi" w:cstheme="majorHAnsi"/>
          <w:sz w:val="20"/>
          <w:szCs w:val="20"/>
          <w:lang w:val="ru-MD" w:eastAsia="ro-RO"/>
        </w:rPr>
        <w:t xml:space="preserve"> (с последующими изменениями; далее – Налоговый кодекс). </w:t>
      </w:r>
    </w:p>
  </w:footnote>
  <w:footnote w:id="5">
    <w:p w14:paraId="4AF2EE04" w14:textId="5182E5BC" w:rsidR="00B707C5" w:rsidRPr="00237057" w:rsidRDefault="00B707C5" w:rsidP="00237057">
      <w:pPr>
        <w:pStyle w:val="FootnoteText"/>
        <w:jc w:val="both"/>
        <w:rPr>
          <w:rFonts w:asciiTheme="majorHAnsi" w:hAnsiTheme="majorHAnsi" w:cstheme="majorHAnsi"/>
          <w:lang w:val="ru-MD"/>
        </w:rPr>
      </w:pPr>
      <w:r w:rsidRPr="00237057">
        <w:rPr>
          <w:rStyle w:val="FootnoteReference"/>
          <w:rFonts w:asciiTheme="majorHAnsi" w:hAnsiTheme="majorHAnsi" w:cstheme="majorHAnsi"/>
          <w:lang w:val="ru-MD"/>
        </w:rPr>
        <w:footnoteRef/>
      </w:r>
      <w:r w:rsidRPr="00237057">
        <w:rPr>
          <w:rFonts w:asciiTheme="majorHAnsi" w:hAnsiTheme="majorHAnsi" w:cstheme="majorHAnsi"/>
          <w:lang w:val="ru-MD"/>
        </w:rPr>
        <w:t xml:space="preserve"> </w:t>
      </w:r>
      <w:hyperlink r:id="rId3" w:history="1">
        <w:r w:rsidRPr="00237057">
          <w:rPr>
            <w:rFonts w:asciiTheme="majorHAnsi" w:eastAsia="Times New Roman" w:hAnsiTheme="majorHAnsi" w:cstheme="majorHAnsi"/>
            <w:lang w:val="ru-MD" w:eastAsia="ro-RO"/>
          </w:rPr>
          <w:t>Закон о таможенном тарифе №1380-XIII от 20.11.1997</w:t>
        </w:r>
      </w:hyperlink>
      <w:r w:rsidRPr="00237057">
        <w:rPr>
          <w:rFonts w:asciiTheme="majorHAnsi" w:eastAsia="Times New Roman" w:hAnsiTheme="majorHAnsi" w:cstheme="majorHAnsi"/>
          <w:lang w:val="ru-MD" w:eastAsia="ro-RO"/>
        </w:rPr>
        <w:t xml:space="preserve"> (с последующими изменениями; далее – Закон №</w:t>
      </w:r>
      <w:hyperlink r:id="rId4" w:history="1">
        <w:r w:rsidRPr="00237057">
          <w:rPr>
            <w:rFonts w:asciiTheme="majorHAnsi" w:eastAsia="Times New Roman" w:hAnsiTheme="majorHAnsi" w:cstheme="majorHAnsi"/>
            <w:lang w:val="ru-MD" w:eastAsia="ro-RO"/>
          </w:rPr>
          <w:t>1380-XIII от 20.11.1997</w:t>
        </w:r>
      </w:hyperlink>
      <w:r w:rsidRPr="00237057">
        <w:rPr>
          <w:rFonts w:asciiTheme="majorHAnsi" w:eastAsia="Times New Roman" w:hAnsiTheme="majorHAnsi" w:cstheme="majorHAnsi"/>
          <w:lang w:val="ru-MD" w:eastAsia="ro-RO"/>
        </w:rPr>
        <w:t>).</w:t>
      </w:r>
    </w:p>
  </w:footnote>
  <w:footnote w:id="6">
    <w:p w14:paraId="64A1E1F2" w14:textId="77777777" w:rsidR="00B707C5" w:rsidRPr="00237057" w:rsidRDefault="00B707C5" w:rsidP="00237057">
      <w:pPr>
        <w:pStyle w:val="FootnoteText"/>
        <w:jc w:val="both"/>
        <w:rPr>
          <w:rFonts w:asciiTheme="majorHAnsi" w:hAnsiTheme="majorHAnsi" w:cstheme="majorHAnsi"/>
          <w:lang w:val="ru-MD"/>
        </w:rPr>
      </w:pPr>
      <w:r w:rsidRPr="00237057">
        <w:rPr>
          <w:rStyle w:val="FootnoteReference"/>
          <w:rFonts w:asciiTheme="majorHAnsi" w:hAnsiTheme="majorHAnsi" w:cstheme="majorHAnsi"/>
          <w:lang w:val="ru-MD"/>
        </w:rPr>
        <w:footnoteRef/>
      </w:r>
      <w:r w:rsidRPr="00237057">
        <w:rPr>
          <w:rFonts w:asciiTheme="majorHAnsi" w:hAnsiTheme="majorHAnsi" w:cstheme="majorHAnsi"/>
          <w:lang w:val="ru-MD"/>
        </w:rPr>
        <w:t xml:space="preserve"> Закон о Таможенной службе №302 от 21.12.2012.</w:t>
      </w:r>
    </w:p>
  </w:footnote>
  <w:footnote w:id="7">
    <w:p w14:paraId="6EAE5C44" w14:textId="15C03237" w:rsidR="00B707C5" w:rsidRPr="00237057" w:rsidRDefault="00B707C5" w:rsidP="00237057">
      <w:pPr>
        <w:pStyle w:val="FootnoteText"/>
        <w:jc w:val="both"/>
        <w:rPr>
          <w:rFonts w:asciiTheme="majorHAnsi" w:hAnsiTheme="majorHAnsi" w:cstheme="majorHAnsi"/>
          <w:lang w:val="ru-MD"/>
        </w:rPr>
      </w:pPr>
      <w:r w:rsidRPr="00237057">
        <w:rPr>
          <w:rStyle w:val="FootnoteReference"/>
          <w:rFonts w:asciiTheme="majorHAnsi" w:hAnsiTheme="majorHAnsi" w:cstheme="majorHAnsi"/>
          <w:lang w:val="ru-MD"/>
        </w:rPr>
        <w:footnoteRef/>
      </w:r>
      <w:r w:rsidRPr="00237057">
        <w:rPr>
          <w:rFonts w:asciiTheme="majorHAnsi" w:hAnsiTheme="majorHAnsi" w:cstheme="majorHAnsi"/>
          <w:lang w:val="ru-MD"/>
        </w:rPr>
        <w:t xml:space="preserve"> Постановление Счетной палаты №2 от 24.01.2020 „Об утверждении Системы профессиональных деклараций INTOSAI”.</w:t>
      </w:r>
    </w:p>
  </w:footnote>
  <w:footnote w:id="8">
    <w:p w14:paraId="5BB15173" w14:textId="77777777" w:rsidR="00B707C5" w:rsidRPr="00237057" w:rsidRDefault="00B707C5" w:rsidP="00237057">
      <w:pPr>
        <w:pStyle w:val="FootnoteText"/>
        <w:jc w:val="both"/>
        <w:rPr>
          <w:rFonts w:asciiTheme="majorHAnsi" w:hAnsiTheme="majorHAnsi" w:cstheme="majorHAnsi"/>
          <w:lang w:val="ru-MD"/>
        </w:rPr>
      </w:pPr>
      <w:r w:rsidRPr="00237057">
        <w:rPr>
          <w:rStyle w:val="FootnoteReference"/>
          <w:rFonts w:asciiTheme="majorHAnsi" w:hAnsiTheme="majorHAnsi" w:cstheme="majorHAnsi"/>
          <w:lang w:val="ru-MD"/>
        </w:rPr>
        <w:footnoteRef/>
      </w:r>
      <w:r w:rsidRPr="00237057">
        <w:rPr>
          <w:rFonts w:asciiTheme="majorHAnsi" w:hAnsiTheme="majorHAnsi" w:cstheme="majorHAnsi"/>
          <w:lang w:val="ru-MD"/>
        </w:rPr>
        <w:t xml:space="preserve"> Закон </w:t>
      </w:r>
      <w:r w:rsidRPr="00237057">
        <w:rPr>
          <w:rFonts w:asciiTheme="majorHAnsi" w:hAnsiTheme="majorHAnsi" w:cstheme="majorHAnsi"/>
          <w:bCs/>
          <w:lang w:val="ru-MD"/>
        </w:rPr>
        <w:t>об утверждении Комбинированной товарной номенклатуры</w:t>
      </w:r>
      <w:r w:rsidRPr="00237057">
        <w:rPr>
          <w:rFonts w:asciiTheme="majorHAnsi" w:hAnsiTheme="majorHAnsi" w:cstheme="majorHAnsi"/>
          <w:color w:val="000000" w:themeColor="text1"/>
          <w:lang w:val="ru-MD"/>
        </w:rPr>
        <w:t xml:space="preserve"> №172 от 27.07.2018.</w:t>
      </w:r>
    </w:p>
  </w:footnote>
  <w:footnote w:id="9">
    <w:p w14:paraId="24E9EDF7" w14:textId="717709AB" w:rsidR="00B707C5" w:rsidRPr="00237057" w:rsidRDefault="00B707C5" w:rsidP="00237057">
      <w:pPr>
        <w:pStyle w:val="NormalWeb"/>
        <w:ind w:firstLine="0"/>
        <w:rPr>
          <w:rFonts w:asciiTheme="majorHAnsi" w:hAnsiTheme="majorHAnsi" w:cstheme="majorHAnsi"/>
          <w:sz w:val="20"/>
          <w:szCs w:val="20"/>
          <w:lang w:val="ru-MD"/>
        </w:rPr>
      </w:pPr>
      <w:r w:rsidRPr="00237057">
        <w:rPr>
          <w:rStyle w:val="FootnoteReference"/>
          <w:rFonts w:asciiTheme="majorHAnsi" w:hAnsiTheme="majorHAnsi" w:cstheme="majorHAnsi"/>
          <w:sz w:val="20"/>
          <w:szCs w:val="20"/>
          <w:lang w:val="ru-MD"/>
        </w:rPr>
        <w:footnoteRef/>
      </w:r>
      <w:r w:rsidRPr="00237057">
        <w:rPr>
          <w:rFonts w:asciiTheme="majorHAnsi" w:hAnsiTheme="majorHAnsi" w:cstheme="majorHAnsi"/>
          <w:sz w:val="20"/>
          <w:szCs w:val="20"/>
          <w:lang w:val="ru-MD"/>
        </w:rPr>
        <w:t xml:space="preserve"> Закон </w:t>
      </w:r>
      <w:r w:rsidRPr="00237057">
        <w:rPr>
          <w:rFonts w:asciiTheme="majorHAnsi" w:hAnsiTheme="majorHAnsi" w:cstheme="majorHAnsi"/>
          <w:bCs/>
          <w:sz w:val="20"/>
          <w:szCs w:val="20"/>
          <w:lang w:val="ru-MD"/>
        </w:rPr>
        <w:t>о публичных финансах и бюджетно-налоговой ответственности</w:t>
      </w:r>
      <w:r w:rsidRPr="00237057">
        <w:rPr>
          <w:rFonts w:asciiTheme="majorHAnsi" w:hAnsiTheme="majorHAnsi" w:cstheme="majorHAnsi"/>
          <w:sz w:val="20"/>
          <w:szCs w:val="20"/>
          <w:lang w:val="ru-MD"/>
        </w:rPr>
        <w:t xml:space="preserve"> №181 от 25.07.2014; п</w:t>
      </w:r>
      <w:r w:rsidRPr="00237057">
        <w:rPr>
          <w:rStyle w:val="Strong"/>
          <w:rFonts w:asciiTheme="majorHAnsi" w:hAnsiTheme="majorHAnsi" w:cstheme="majorHAnsi"/>
          <w:b w:val="0"/>
          <w:sz w:val="20"/>
          <w:szCs w:val="20"/>
          <w:lang w:val="ru-MD"/>
        </w:rPr>
        <w:t>.194 Приказа министра Финансов №</w:t>
      </w:r>
      <w:r w:rsidRPr="00237057">
        <w:rPr>
          <w:rFonts w:asciiTheme="majorHAnsi" w:hAnsiTheme="majorHAnsi" w:cstheme="majorHAnsi"/>
          <w:sz w:val="20"/>
          <w:szCs w:val="20"/>
          <w:lang w:val="ru-MD"/>
        </w:rPr>
        <w:t xml:space="preserve">209 от 24.12.2015 </w:t>
      </w:r>
      <w:r w:rsidRPr="00237057">
        <w:rPr>
          <w:rStyle w:val="Strong"/>
          <w:rFonts w:asciiTheme="majorHAnsi" w:hAnsiTheme="majorHAnsi" w:cstheme="majorHAnsi"/>
          <w:b w:val="0"/>
          <w:sz w:val="20"/>
          <w:szCs w:val="20"/>
          <w:lang w:val="ru-MD"/>
        </w:rPr>
        <w:t>„Об у</w:t>
      </w:r>
      <w:r w:rsidRPr="00237057">
        <w:rPr>
          <w:rFonts w:asciiTheme="majorHAnsi" w:hAnsiTheme="majorHAnsi" w:cstheme="majorHAnsi"/>
          <w:bCs/>
          <w:sz w:val="20"/>
          <w:szCs w:val="20"/>
          <w:lang w:val="ru-MD"/>
        </w:rPr>
        <w:t>тверждении Методологического руководства по разработке, утверждению и изменению бюджета</w:t>
      </w:r>
      <w:r w:rsidRPr="00237057">
        <w:rPr>
          <w:rFonts w:asciiTheme="majorHAnsi" w:hAnsiTheme="majorHAnsi" w:cstheme="majorHAnsi"/>
          <w:sz w:val="20"/>
          <w:szCs w:val="20"/>
          <w:lang w:val="ru-MD"/>
        </w:rPr>
        <w:t>”.</w:t>
      </w:r>
    </w:p>
  </w:footnote>
  <w:footnote w:id="10">
    <w:p w14:paraId="64D8EE48" w14:textId="64644863" w:rsidR="00B707C5" w:rsidRPr="00237057" w:rsidRDefault="00B707C5" w:rsidP="00237057">
      <w:pPr>
        <w:pStyle w:val="FootnoteText"/>
        <w:jc w:val="both"/>
        <w:rPr>
          <w:rFonts w:asciiTheme="majorHAnsi" w:hAnsiTheme="majorHAnsi" w:cstheme="majorHAnsi"/>
          <w:lang w:val="ru-MD"/>
        </w:rPr>
      </w:pPr>
      <w:r w:rsidRPr="00237057">
        <w:rPr>
          <w:rStyle w:val="FootnoteReference"/>
          <w:rFonts w:asciiTheme="majorHAnsi" w:hAnsiTheme="majorHAnsi" w:cstheme="majorHAnsi"/>
          <w:lang w:val="ru-MD"/>
        </w:rPr>
        <w:footnoteRef/>
      </w:r>
      <w:r w:rsidRPr="00237057">
        <w:rPr>
          <w:rFonts w:asciiTheme="majorHAnsi" w:hAnsiTheme="majorHAnsi" w:cstheme="majorHAnsi"/>
          <w:lang w:val="ru-MD"/>
        </w:rPr>
        <w:t xml:space="preserve"> Закон </w:t>
      </w:r>
      <w:r w:rsidRPr="00237057">
        <w:rPr>
          <w:rFonts w:asciiTheme="majorHAnsi" w:hAnsiTheme="majorHAnsi" w:cstheme="majorHAnsi"/>
          <w:bCs/>
          <w:lang w:val="ru-MD"/>
        </w:rPr>
        <w:t>о</w:t>
      </w:r>
      <w:r w:rsidRPr="00237057">
        <w:rPr>
          <w:rFonts w:asciiTheme="majorHAnsi" w:hAnsiTheme="majorHAnsi" w:cstheme="majorHAnsi"/>
          <w:lang w:val="ru-MD"/>
        </w:rPr>
        <w:t xml:space="preserve"> государственном бюджете на 2020 год №172 от 19.12.2019.</w:t>
      </w:r>
    </w:p>
  </w:footnote>
  <w:footnote w:id="11">
    <w:p w14:paraId="0879799E" w14:textId="55955161" w:rsidR="00B707C5" w:rsidRPr="00237057" w:rsidRDefault="00B707C5" w:rsidP="00237057">
      <w:pPr>
        <w:pStyle w:val="FootnoteText"/>
        <w:jc w:val="both"/>
        <w:rPr>
          <w:rFonts w:asciiTheme="majorHAnsi" w:hAnsiTheme="majorHAnsi" w:cstheme="majorHAnsi"/>
          <w:lang w:val="ru-MD"/>
        </w:rPr>
      </w:pPr>
      <w:r w:rsidRPr="00237057">
        <w:rPr>
          <w:rStyle w:val="FootnoteReference"/>
          <w:rFonts w:asciiTheme="majorHAnsi" w:hAnsiTheme="majorHAnsi" w:cstheme="majorHAnsi"/>
          <w:lang w:val="ru-MD"/>
        </w:rPr>
        <w:footnoteRef/>
      </w:r>
      <w:r w:rsidRPr="00237057">
        <w:rPr>
          <w:rFonts w:asciiTheme="majorHAnsi" w:hAnsiTheme="majorHAnsi" w:cstheme="majorHAnsi"/>
          <w:lang w:val="ru-MD"/>
        </w:rPr>
        <w:t xml:space="preserve"> Закон №173 от 11.09.2020 о внесении изменений в Закон </w:t>
      </w:r>
      <w:r w:rsidRPr="00237057">
        <w:rPr>
          <w:rFonts w:asciiTheme="majorHAnsi" w:hAnsiTheme="majorHAnsi" w:cstheme="majorHAnsi"/>
          <w:bCs/>
          <w:lang w:val="ru-MD"/>
        </w:rPr>
        <w:t>о</w:t>
      </w:r>
      <w:r w:rsidRPr="00237057">
        <w:rPr>
          <w:rFonts w:asciiTheme="majorHAnsi" w:hAnsiTheme="majorHAnsi" w:cstheme="majorHAnsi"/>
          <w:lang w:val="ru-MD"/>
        </w:rPr>
        <w:t xml:space="preserve"> государственном бюджете на 2020 год №172 от 19.12.2019. </w:t>
      </w:r>
    </w:p>
  </w:footnote>
  <w:footnote w:id="12">
    <w:p w14:paraId="05BFD9A0" w14:textId="2071F286" w:rsidR="00B707C5" w:rsidRPr="00237057" w:rsidRDefault="00B707C5" w:rsidP="00237057">
      <w:pPr>
        <w:pStyle w:val="FootnoteText"/>
        <w:jc w:val="both"/>
        <w:rPr>
          <w:rFonts w:asciiTheme="majorHAnsi" w:hAnsiTheme="majorHAnsi" w:cstheme="majorHAnsi"/>
          <w:lang w:val="ru-MD"/>
        </w:rPr>
      </w:pPr>
      <w:r w:rsidRPr="00237057">
        <w:rPr>
          <w:rStyle w:val="FootnoteReference"/>
          <w:rFonts w:asciiTheme="majorHAnsi" w:hAnsiTheme="majorHAnsi" w:cstheme="majorHAnsi"/>
          <w:lang w:val="ru-MD"/>
        </w:rPr>
        <w:footnoteRef/>
      </w:r>
      <w:r w:rsidRPr="00237057">
        <w:rPr>
          <w:rFonts w:asciiTheme="majorHAnsi" w:hAnsiTheme="majorHAnsi" w:cstheme="majorHAnsi"/>
          <w:lang w:val="ru-MD"/>
        </w:rPr>
        <w:t xml:space="preserve"> Закон </w:t>
      </w:r>
      <w:r w:rsidRPr="00237057">
        <w:rPr>
          <w:rFonts w:asciiTheme="majorHAnsi" w:hAnsiTheme="majorHAnsi" w:cstheme="majorHAnsi"/>
          <w:bCs/>
          <w:lang w:val="ru-MD"/>
        </w:rPr>
        <w:t>о</w:t>
      </w:r>
      <w:r w:rsidRPr="00237057">
        <w:rPr>
          <w:rFonts w:asciiTheme="majorHAnsi" w:hAnsiTheme="majorHAnsi" w:cstheme="majorHAnsi"/>
          <w:lang w:val="ru-MD"/>
        </w:rPr>
        <w:t xml:space="preserve"> государственном бюджете на 2021 год №258 от 16.12.2020.</w:t>
      </w:r>
    </w:p>
  </w:footnote>
  <w:footnote w:id="13">
    <w:p w14:paraId="19B31183" w14:textId="45E88C38" w:rsidR="00B707C5" w:rsidRPr="00237057" w:rsidRDefault="00B707C5" w:rsidP="00237057">
      <w:pPr>
        <w:pStyle w:val="FootnoteText"/>
        <w:jc w:val="both"/>
        <w:rPr>
          <w:rFonts w:asciiTheme="majorHAnsi" w:hAnsiTheme="majorHAnsi" w:cstheme="majorHAnsi"/>
          <w:lang w:val="ru-MD"/>
        </w:rPr>
      </w:pPr>
      <w:r w:rsidRPr="00237057">
        <w:rPr>
          <w:rStyle w:val="FootnoteReference"/>
          <w:rFonts w:asciiTheme="majorHAnsi" w:hAnsiTheme="majorHAnsi" w:cstheme="majorHAnsi"/>
          <w:lang w:val="ru-MD"/>
        </w:rPr>
        <w:footnoteRef/>
      </w:r>
      <w:r w:rsidRPr="00237057">
        <w:rPr>
          <w:rFonts w:asciiTheme="majorHAnsi" w:hAnsiTheme="majorHAnsi" w:cstheme="majorHAnsi"/>
          <w:lang w:val="ru-MD"/>
        </w:rPr>
        <w:t xml:space="preserve"> Законы №135 от 14.10.2021 и, соответственно, №188 от 25.11.2021 о внесении изменений в Закон </w:t>
      </w:r>
      <w:r w:rsidRPr="00237057">
        <w:rPr>
          <w:rFonts w:asciiTheme="majorHAnsi" w:hAnsiTheme="majorHAnsi" w:cstheme="majorHAnsi"/>
          <w:bCs/>
          <w:lang w:val="ru-MD"/>
        </w:rPr>
        <w:t>о</w:t>
      </w:r>
      <w:r w:rsidRPr="00237057">
        <w:rPr>
          <w:rFonts w:asciiTheme="majorHAnsi" w:hAnsiTheme="majorHAnsi" w:cstheme="majorHAnsi"/>
          <w:lang w:val="ru-MD"/>
        </w:rPr>
        <w:t xml:space="preserve"> государственном бюджете на 2021 год №258 от 16.12.2020. </w:t>
      </w:r>
    </w:p>
  </w:footnote>
  <w:footnote w:id="14">
    <w:p w14:paraId="05397CA1" w14:textId="76657940" w:rsidR="00B707C5" w:rsidRPr="00237057" w:rsidRDefault="00B707C5" w:rsidP="00237057">
      <w:pPr>
        <w:spacing w:after="0"/>
        <w:ind w:right="-2"/>
        <w:jc w:val="both"/>
        <w:rPr>
          <w:rFonts w:asciiTheme="majorHAnsi" w:hAnsiTheme="majorHAnsi" w:cstheme="majorHAnsi"/>
          <w:sz w:val="20"/>
          <w:szCs w:val="20"/>
          <w:lang w:val="ru-MD"/>
        </w:rPr>
      </w:pPr>
      <w:r w:rsidRPr="00237057">
        <w:rPr>
          <w:rStyle w:val="FootnoteReference"/>
          <w:rFonts w:asciiTheme="majorHAnsi" w:hAnsiTheme="majorHAnsi" w:cstheme="majorHAnsi"/>
          <w:sz w:val="20"/>
          <w:szCs w:val="20"/>
          <w:lang w:val="ru-MD"/>
        </w:rPr>
        <w:footnoteRef/>
      </w:r>
      <w:r w:rsidRPr="00237057">
        <w:rPr>
          <w:rFonts w:asciiTheme="majorHAnsi" w:hAnsiTheme="majorHAnsi" w:cstheme="majorHAnsi"/>
          <w:sz w:val="20"/>
          <w:szCs w:val="20"/>
          <w:lang w:val="ru-MD"/>
        </w:rPr>
        <w:t xml:space="preserve"> Цели Национального банка Молдовы</w:t>
      </w:r>
      <w:r w:rsidRPr="00237057">
        <w:rPr>
          <w:rFonts w:asciiTheme="majorHAnsi" w:hAnsiTheme="majorHAnsi" w:cstheme="majorHAnsi"/>
          <w:color w:val="424242"/>
          <w:sz w:val="20"/>
          <w:szCs w:val="20"/>
          <w:shd w:val="clear" w:color="auto" w:fill="FFFFFF"/>
          <w:lang w:val="ru-MD"/>
        </w:rPr>
        <w:t xml:space="preserve"> – 5% плюс/минус 1,5% (</w:t>
      </w:r>
      <w:r w:rsidRPr="00237057">
        <w:rPr>
          <w:rFonts w:asciiTheme="majorHAnsi" w:hAnsiTheme="majorHAnsi" w:cstheme="majorHAnsi"/>
          <w:sz w:val="20"/>
          <w:szCs w:val="20"/>
          <w:lang w:val="ru-MD"/>
        </w:rPr>
        <w:t xml:space="preserve">13,94% - </w:t>
      </w:r>
      <w:r w:rsidRPr="00237057">
        <w:rPr>
          <w:rFonts w:asciiTheme="majorHAnsi" w:hAnsiTheme="majorHAnsi" w:cstheme="majorHAnsi"/>
          <w:color w:val="424242"/>
          <w:sz w:val="20"/>
          <w:szCs w:val="20"/>
          <w:shd w:val="clear" w:color="auto" w:fill="FFFFFF"/>
          <w:lang w:val="ru-MD"/>
        </w:rPr>
        <w:t>рост в 2021 году в 35 раз по сравнению с предыдущим периодом).</w:t>
      </w:r>
    </w:p>
  </w:footnote>
  <w:footnote w:id="15">
    <w:p w14:paraId="23D0C83F" w14:textId="31A01DDD" w:rsidR="00B707C5" w:rsidRPr="00237057" w:rsidRDefault="00B707C5" w:rsidP="00237057">
      <w:pPr>
        <w:pStyle w:val="FootnoteText"/>
        <w:jc w:val="both"/>
        <w:rPr>
          <w:rFonts w:asciiTheme="majorHAnsi" w:hAnsiTheme="majorHAnsi" w:cstheme="majorHAnsi"/>
          <w:lang w:val="ru-MD"/>
        </w:rPr>
      </w:pPr>
      <w:r w:rsidRPr="00237057">
        <w:rPr>
          <w:rStyle w:val="FootnoteReference"/>
          <w:rFonts w:asciiTheme="majorHAnsi" w:hAnsiTheme="majorHAnsi" w:cstheme="majorHAnsi"/>
          <w:lang w:val="ru-MD"/>
        </w:rPr>
        <w:footnoteRef/>
      </w:r>
      <w:r w:rsidRPr="00237057">
        <w:rPr>
          <w:rFonts w:asciiTheme="majorHAnsi" w:hAnsiTheme="majorHAnsi" w:cstheme="majorHAnsi"/>
          <w:lang w:val="ru-MD"/>
        </w:rPr>
        <w:t xml:space="preserve"> </w:t>
      </w:r>
      <w:r w:rsidRPr="00237057">
        <w:rPr>
          <w:rStyle w:val="Strong"/>
          <w:rFonts w:asciiTheme="majorHAnsi" w:hAnsiTheme="majorHAnsi" w:cstheme="majorHAnsi"/>
          <w:b w:val="0"/>
          <w:lang w:val="ru-MD"/>
        </w:rPr>
        <w:t>Приказ Таможенной службы №</w:t>
      </w:r>
      <w:r w:rsidRPr="00237057">
        <w:rPr>
          <w:rFonts w:asciiTheme="majorHAnsi" w:eastAsia="Times New Roman" w:hAnsiTheme="majorHAnsi" w:cstheme="majorHAnsi"/>
          <w:bCs/>
          <w:iCs/>
          <w:lang w:val="ru-MD" w:eastAsia="ro-RO"/>
        </w:rPr>
        <w:t>197-0 от 30.06.2021</w:t>
      </w:r>
      <w:r w:rsidRPr="00237057">
        <w:rPr>
          <w:rFonts w:asciiTheme="majorHAnsi" w:hAnsiTheme="majorHAnsi" w:cstheme="majorHAnsi"/>
          <w:lang w:val="ru-MD"/>
        </w:rPr>
        <w:t xml:space="preserve"> </w:t>
      </w:r>
      <w:r w:rsidRPr="00237057">
        <w:rPr>
          <w:rStyle w:val="Strong"/>
          <w:rFonts w:asciiTheme="majorHAnsi" w:hAnsiTheme="majorHAnsi" w:cstheme="majorHAnsi"/>
          <w:b w:val="0"/>
          <w:lang w:val="ru-MD"/>
        </w:rPr>
        <w:t>„Об у</w:t>
      </w:r>
      <w:r w:rsidRPr="00237057">
        <w:rPr>
          <w:rFonts w:asciiTheme="majorHAnsi" w:hAnsiTheme="majorHAnsi" w:cstheme="majorHAnsi"/>
          <w:bCs/>
          <w:lang w:val="ru-MD"/>
        </w:rPr>
        <w:t>тверждении Методологических рекомендаций по планированию доходов, администрируемых Таможенной службой</w:t>
      </w:r>
      <w:r w:rsidRPr="00237057">
        <w:rPr>
          <w:rFonts w:asciiTheme="majorHAnsi" w:hAnsiTheme="majorHAnsi" w:cstheme="majorHAnsi"/>
          <w:lang w:val="ru-MD"/>
        </w:rPr>
        <w:t>”</w:t>
      </w:r>
      <w:r w:rsidRPr="00237057">
        <w:rPr>
          <w:rFonts w:asciiTheme="majorHAnsi" w:eastAsia="Times New Roman" w:hAnsiTheme="majorHAnsi" w:cstheme="majorHAnsi"/>
          <w:bCs/>
          <w:iCs/>
          <w:lang w:val="ru-MD" w:eastAsia="ro-RO"/>
        </w:rPr>
        <w:t>.</w:t>
      </w:r>
    </w:p>
  </w:footnote>
  <w:footnote w:id="16">
    <w:p w14:paraId="654D9036" w14:textId="1764CE09" w:rsidR="00B707C5" w:rsidRPr="00237057" w:rsidRDefault="00B707C5" w:rsidP="00237057">
      <w:pPr>
        <w:pStyle w:val="NormalWeb"/>
        <w:ind w:firstLine="0"/>
        <w:rPr>
          <w:rFonts w:asciiTheme="majorHAnsi" w:hAnsiTheme="majorHAnsi" w:cstheme="majorHAnsi"/>
          <w:sz w:val="20"/>
          <w:szCs w:val="20"/>
          <w:lang w:val="ru-MD"/>
        </w:rPr>
      </w:pPr>
      <w:r w:rsidRPr="00237057">
        <w:rPr>
          <w:rStyle w:val="FootnoteReference"/>
          <w:rFonts w:asciiTheme="majorHAnsi" w:hAnsiTheme="majorHAnsi" w:cstheme="majorHAnsi"/>
          <w:sz w:val="20"/>
          <w:szCs w:val="20"/>
          <w:lang w:val="ru-MD"/>
        </w:rPr>
        <w:footnoteRef/>
      </w:r>
      <w:r w:rsidRPr="00237057">
        <w:rPr>
          <w:rFonts w:asciiTheme="majorHAnsi" w:hAnsiTheme="majorHAnsi" w:cstheme="majorHAnsi"/>
          <w:sz w:val="20"/>
          <w:szCs w:val="20"/>
          <w:lang w:val="ru-MD"/>
        </w:rPr>
        <w:t xml:space="preserve"> Ст.4 (1) Закона о Таможенной службе №302 от 21.12.2017; п</w:t>
      </w:r>
      <w:r w:rsidRPr="00237057">
        <w:rPr>
          <w:rStyle w:val="Strong"/>
          <w:rFonts w:asciiTheme="majorHAnsi" w:hAnsiTheme="majorHAnsi" w:cstheme="majorHAnsi"/>
          <w:b w:val="0"/>
          <w:sz w:val="20"/>
          <w:szCs w:val="20"/>
          <w:lang w:val="ru-MD"/>
        </w:rPr>
        <w:t>.194 Приказа министра Финансов №</w:t>
      </w:r>
      <w:r w:rsidRPr="00237057">
        <w:rPr>
          <w:rFonts w:asciiTheme="majorHAnsi" w:hAnsiTheme="majorHAnsi" w:cstheme="majorHAnsi"/>
          <w:sz w:val="20"/>
          <w:szCs w:val="20"/>
          <w:lang w:val="ru-MD"/>
        </w:rPr>
        <w:t xml:space="preserve">209 от 24.12.2015 </w:t>
      </w:r>
      <w:r w:rsidRPr="00237057">
        <w:rPr>
          <w:rStyle w:val="Strong"/>
          <w:rFonts w:asciiTheme="majorHAnsi" w:hAnsiTheme="majorHAnsi" w:cstheme="majorHAnsi"/>
          <w:b w:val="0"/>
          <w:sz w:val="20"/>
          <w:szCs w:val="20"/>
          <w:lang w:val="ru-MD"/>
        </w:rPr>
        <w:t>„Об у</w:t>
      </w:r>
      <w:r w:rsidRPr="00237057">
        <w:rPr>
          <w:rFonts w:asciiTheme="majorHAnsi" w:hAnsiTheme="majorHAnsi" w:cstheme="majorHAnsi"/>
          <w:bCs/>
          <w:sz w:val="20"/>
          <w:szCs w:val="20"/>
          <w:lang w:val="ru-MD"/>
        </w:rPr>
        <w:t>тверждении Методологического руководства по разработке, утверждению и изменению бюджета</w:t>
      </w:r>
      <w:r w:rsidRPr="00237057">
        <w:rPr>
          <w:rFonts w:asciiTheme="majorHAnsi" w:hAnsiTheme="majorHAnsi" w:cstheme="majorHAnsi"/>
          <w:sz w:val="20"/>
          <w:szCs w:val="20"/>
          <w:lang w:val="ru-MD"/>
        </w:rPr>
        <w:t>”.</w:t>
      </w:r>
    </w:p>
  </w:footnote>
  <w:footnote w:id="17">
    <w:p w14:paraId="326A288F" w14:textId="656DBB4E" w:rsidR="00B707C5" w:rsidRPr="00237057" w:rsidRDefault="00B707C5" w:rsidP="00237057">
      <w:pPr>
        <w:pStyle w:val="FootnoteText"/>
        <w:jc w:val="both"/>
        <w:rPr>
          <w:rFonts w:asciiTheme="majorHAnsi" w:hAnsiTheme="majorHAnsi" w:cstheme="majorHAnsi"/>
          <w:lang w:val="ru-MD"/>
        </w:rPr>
      </w:pPr>
      <w:r w:rsidRPr="00237057">
        <w:rPr>
          <w:rStyle w:val="FootnoteReference"/>
          <w:rFonts w:asciiTheme="majorHAnsi" w:hAnsiTheme="majorHAnsi" w:cstheme="majorHAnsi"/>
          <w:lang w:val="ru-MD"/>
        </w:rPr>
        <w:footnoteRef/>
      </w:r>
      <w:r w:rsidRPr="00237057">
        <w:rPr>
          <w:rFonts w:asciiTheme="majorHAnsi" w:hAnsiTheme="majorHAnsi" w:cstheme="majorHAnsi"/>
          <w:lang w:val="ru-MD"/>
        </w:rPr>
        <w:t xml:space="preserve"> Ст.7 Закона о Таможенной службе №302 от 21.12.2017.</w:t>
      </w:r>
    </w:p>
  </w:footnote>
  <w:footnote w:id="18">
    <w:p w14:paraId="1F1F3B47" w14:textId="0307D673" w:rsidR="00B707C5" w:rsidRPr="00237057" w:rsidRDefault="00B707C5" w:rsidP="00237057">
      <w:pPr>
        <w:pStyle w:val="FootnoteText"/>
        <w:jc w:val="both"/>
        <w:rPr>
          <w:rFonts w:asciiTheme="majorHAnsi" w:hAnsiTheme="majorHAnsi" w:cstheme="majorHAnsi"/>
          <w:lang w:val="ru-MD"/>
        </w:rPr>
      </w:pPr>
      <w:r w:rsidRPr="00237057">
        <w:rPr>
          <w:rStyle w:val="FootnoteReference"/>
          <w:rFonts w:asciiTheme="majorHAnsi" w:hAnsiTheme="majorHAnsi" w:cstheme="majorHAnsi"/>
          <w:lang w:val="ru-MD"/>
        </w:rPr>
        <w:footnoteRef/>
      </w:r>
      <w:r w:rsidRPr="00237057">
        <w:rPr>
          <w:rFonts w:asciiTheme="majorHAnsi" w:hAnsiTheme="majorHAnsi" w:cstheme="majorHAnsi"/>
          <w:lang w:val="ru-MD"/>
        </w:rPr>
        <w:t xml:space="preserve"> Ст.130 Таможенного кодекса №1149 от 20.07.2000.</w:t>
      </w:r>
    </w:p>
  </w:footnote>
  <w:footnote w:id="19">
    <w:p w14:paraId="4629611C" w14:textId="77777777" w:rsidR="00B707C5" w:rsidRPr="00237057" w:rsidRDefault="00B707C5" w:rsidP="00237057">
      <w:pPr>
        <w:pStyle w:val="FootnoteText"/>
        <w:jc w:val="both"/>
        <w:rPr>
          <w:rFonts w:asciiTheme="majorHAnsi" w:hAnsiTheme="majorHAnsi" w:cstheme="majorHAnsi"/>
          <w:lang w:val="ru-MD"/>
        </w:rPr>
      </w:pPr>
      <w:r w:rsidRPr="00237057">
        <w:rPr>
          <w:rStyle w:val="FootnoteReference"/>
          <w:rFonts w:asciiTheme="majorHAnsi" w:hAnsiTheme="majorHAnsi" w:cstheme="majorHAnsi"/>
          <w:lang w:val="ru-MD"/>
        </w:rPr>
        <w:footnoteRef/>
      </w:r>
      <w:r w:rsidRPr="00237057">
        <w:rPr>
          <w:rFonts w:asciiTheme="majorHAnsi" w:hAnsiTheme="majorHAnsi" w:cstheme="majorHAnsi"/>
          <w:lang w:val="ru-MD"/>
        </w:rPr>
        <w:t xml:space="preserve"> Регистр доходов ГБ (Форма FI-006), Информация о поступлениях в ГБ импортно-экспортных платежей, уплаченных авансом экономическими агентами (FI-002), утвержденные Приказом МФ №215 об утверждении Методологических норм по кассовому исполнению бюджетов-компонентов национального публичного бюджета.</w:t>
      </w:r>
    </w:p>
  </w:footnote>
  <w:footnote w:id="20">
    <w:p w14:paraId="348B6638" w14:textId="7A804760" w:rsidR="00B707C5" w:rsidRPr="00237057" w:rsidRDefault="00B707C5" w:rsidP="00237057">
      <w:pPr>
        <w:pStyle w:val="FootnoteText"/>
        <w:jc w:val="both"/>
        <w:rPr>
          <w:rFonts w:asciiTheme="majorHAnsi" w:hAnsiTheme="majorHAnsi" w:cstheme="majorHAnsi"/>
          <w:lang w:val="ru-MD"/>
        </w:rPr>
      </w:pPr>
      <w:r w:rsidRPr="00237057">
        <w:rPr>
          <w:rStyle w:val="FootnoteReference"/>
          <w:rFonts w:asciiTheme="majorHAnsi" w:hAnsiTheme="majorHAnsi" w:cstheme="majorHAnsi"/>
          <w:lang w:val="ru-MD"/>
        </w:rPr>
        <w:footnoteRef/>
      </w:r>
      <w:r w:rsidRPr="00237057">
        <w:rPr>
          <w:rFonts w:asciiTheme="majorHAnsi" w:hAnsiTheme="majorHAnsi" w:cstheme="majorHAnsi"/>
          <w:lang w:val="ru-MD"/>
        </w:rPr>
        <w:t xml:space="preserve"> Положение об обмене информацией между МФ и ТС в контексте управления доходами ГБ, администрируемыми ТС, разработанное и утвержденное сторонами в 2005 году.</w:t>
      </w:r>
    </w:p>
  </w:footnote>
  <w:footnote w:id="21">
    <w:p w14:paraId="10BFFFB6" w14:textId="753D2B17" w:rsidR="00B707C5" w:rsidRPr="00237057" w:rsidRDefault="00B707C5" w:rsidP="00237057">
      <w:pPr>
        <w:pStyle w:val="FootnoteText"/>
        <w:jc w:val="both"/>
        <w:rPr>
          <w:rFonts w:asciiTheme="majorHAnsi" w:hAnsiTheme="majorHAnsi" w:cstheme="majorHAnsi"/>
          <w:lang w:val="ru-MD"/>
        </w:rPr>
      </w:pPr>
      <w:r w:rsidRPr="00237057">
        <w:rPr>
          <w:rStyle w:val="FootnoteReference"/>
          <w:rFonts w:asciiTheme="majorHAnsi" w:hAnsiTheme="majorHAnsi" w:cstheme="majorHAnsi"/>
          <w:lang w:val="ru-MD"/>
        </w:rPr>
        <w:footnoteRef/>
      </w:r>
      <w:r w:rsidRPr="00237057">
        <w:rPr>
          <w:rFonts w:asciiTheme="majorHAnsi" w:hAnsiTheme="majorHAnsi" w:cstheme="majorHAnsi"/>
          <w:lang w:val="ru-MD"/>
        </w:rPr>
        <w:t xml:space="preserve"> Приказ ТС №174 - О от 15.06.2021 „Об утверждении форм статистических отчетов Таможенной службы и порядке их представления Министерству финансов”. Ежемесячные отчеты: Таблицы об эволюции импорта некоторых товарных групп (Приложения №1-4); Отчет о долгах экономических агентов (Приложение №5); Отчет о решениях по регулированию (Приложение №6); Приказ ТС №94-О от 22.03.2010 „Об утверждении форм статистических отчетов Таможенной службы и порядке их представления Министерству финансов” (отменен Приказом ТС №174-О от 15.06.2021); PO-20.1 от 31.03.2021, составленный Управлением таможенных доходов и утвержденный директором ТС; Оперативная информация о начисленных и взысканных суммах импортно-экспортных сборов и других платежей, администрируемых ТС (Приложение №1); Информация о начисленных суммах импортно-экспортных сборов, по типам платежей (Приложение №2); Отчет о долгах экономических агентов (Приложение №3); Отчет о решениях по регулированию (Приложение №4); Реестр заявок на перечисление  (Приложение №5); Реестр платежных поручений (Приложение №6).</w:t>
      </w:r>
    </w:p>
  </w:footnote>
  <w:footnote w:id="22">
    <w:p w14:paraId="77D397D7" w14:textId="5D0AF99C" w:rsidR="00B707C5" w:rsidRPr="00237057" w:rsidRDefault="00B707C5" w:rsidP="00237057">
      <w:pPr>
        <w:pStyle w:val="FootnoteText"/>
        <w:jc w:val="both"/>
        <w:rPr>
          <w:rFonts w:asciiTheme="majorHAnsi" w:hAnsiTheme="majorHAnsi" w:cstheme="majorHAnsi"/>
          <w:lang w:val="ru-MD"/>
        </w:rPr>
      </w:pPr>
      <w:r w:rsidRPr="00237057">
        <w:rPr>
          <w:rStyle w:val="FootnoteReference"/>
          <w:rFonts w:asciiTheme="majorHAnsi" w:hAnsiTheme="majorHAnsi" w:cstheme="majorHAnsi"/>
          <w:lang w:val="ru-MD"/>
        </w:rPr>
        <w:footnoteRef/>
      </w:r>
      <w:r w:rsidRPr="00237057">
        <w:rPr>
          <w:rFonts w:asciiTheme="majorHAnsi" w:hAnsiTheme="majorHAnsi" w:cstheme="majorHAnsi"/>
          <w:lang w:val="ru-MD"/>
        </w:rPr>
        <w:t xml:space="preserve"> Ст.1 (2) Закона о бюджетно-налоговой ответственности №181 от 25.07.2014. П.6, 7 Постановления Правительства №696 от 30.07.2017 „Об организации и функционировании Министерства финансов”.</w:t>
      </w:r>
    </w:p>
  </w:footnote>
  <w:footnote w:id="23">
    <w:p w14:paraId="3E85B745" w14:textId="3AB09F71" w:rsidR="00B707C5" w:rsidRPr="00237057" w:rsidRDefault="00B707C5" w:rsidP="00237057">
      <w:pPr>
        <w:pStyle w:val="FootnoteText"/>
        <w:jc w:val="both"/>
        <w:rPr>
          <w:rFonts w:asciiTheme="majorHAnsi" w:hAnsiTheme="majorHAnsi" w:cstheme="majorHAnsi"/>
          <w:lang w:val="ru-MD"/>
        </w:rPr>
      </w:pPr>
      <w:r w:rsidRPr="00237057">
        <w:rPr>
          <w:rStyle w:val="FootnoteReference"/>
          <w:rFonts w:asciiTheme="majorHAnsi" w:hAnsiTheme="majorHAnsi" w:cstheme="majorHAnsi"/>
          <w:lang w:val="ru-MD"/>
        </w:rPr>
        <w:footnoteRef/>
      </w:r>
      <w:r w:rsidRPr="00237057">
        <w:rPr>
          <w:rFonts w:asciiTheme="majorHAnsi" w:hAnsiTheme="majorHAnsi" w:cstheme="majorHAnsi"/>
          <w:lang w:val="ru-MD"/>
        </w:rPr>
        <w:t xml:space="preserve"> Глава 5 „</w:t>
      </w:r>
      <w:r w:rsidRPr="00237057">
        <w:rPr>
          <w:rFonts w:asciiTheme="majorHAnsi" w:hAnsiTheme="majorHAnsi" w:cstheme="majorHAnsi"/>
          <w:bCs/>
          <w:lang w:val="ru-MD"/>
        </w:rPr>
        <w:t>Таможенный режим и содействие торговле</w:t>
      </w:r>
      <w:r w:rsidRPr="00237057">
        <w:rPr>
          <w:rFonts w:asciiTheme="majorHAnsi" w:hAnsiTheme="majorHAnsi" w:cstheme="majorHAnsi"/>
          <w:lang w:val="ru-MD"/>
        </w:rPr>
        <w:t>”, статьи 197, 198 и 423 Постановления Правительства №1472 от 30.12.2016 „Национальный план действий по внедрению Соглашения об ассоциации Республика Молдова – Европейский Союз на 2017 – 2019 годы”.</w:t>
      </w:r>
    </w:p>
  </w:footnote>
  <w:footnote w:id="24">
    <w:p w14:paraId="21E35885" w14:textId="20F3F5DA" w:rsidR="00B707C5" w:rsidRPr="00237057" w:rsidRDefault="00B707C5" w:rsidP="00237057">
      <w:pPr>
        <w:pStyle w:val="FootnoteText"/>
        <w:jc w:val="both"/>
        <w:rPr>
          <w:rFonts w:asciiTheme="majorHAnsi" w:hAnsiTheme="majorHAnsi" w:cstheme="majorHAnsi"/>
          <w:lang w:val="ru-MD"/>
        </w:rPr>
      </w:pPr>
      <w:r w:rsidRPr="00237057">
        <w:rPr>
          <w:rStyle w:val="FootnoteReference"/>
          <w:rFonts w:asciiTheme="majorHAnsi" w:hAnsiTheme="majorHAnsi" w:cstheme="majorHAnsi"/>
          <w:lang w:val="ru-MD"/>
        </w:rPr>
        <w:footnoteRef/>
      </w:r>
      <w:r w:rsidRPr="00237057">
        <w:rPr>
          <w:rFonts w:asciiTheme="majorHAnsi" w:hAnsiTheme="majorHAnsi" w:cstheme="majorHAnsi"/>
          <w:lang w:val="ru-MD"/>
        </w:rPr>
        <w:t xml:space="preserve"> Ст.11 (c), (d) и (n); ст.17</w:t>
      </w:r>
      <w:r w:rsidRPr="00237057">
        <w:rPr>
          <w:rFonts w:asciiTheme="majorHAnsi" w:hAnsiTheme="majorHAnsi" w:cstheme="majorHAnsi"/>
          <w:vertAlign w:val="superscript"/>
          <w:lang w:val="ru-MD"/>
        </w:rPr>
        <w:t xml:space="preserve">1   </w:t>
      </w:r>
      <w:r w:rsidRPr="00237057">
        <w:rPr>
          <w:rFonts w:asciiTheme="majorHAnsi" w:hAnsiTheme="majorHAnsi" w:cstheme="majorHAnsi"/>
          <w:lang w:val="ru-MD"/>
        </w:rPr>
        <w:t>(1) Таможенного кодекса</w:t>
      </w:r>
      <w:r w:rsidRPr="00237057">
        <w:rPr>
          <w:rFonts w:asciiTheme="majorHAnsi" w:eastAsia="Times New Roman" w:hAnsiTheme="majorHAnsi" w:cstheme="majorHAnsi"/>
          <w:lang w:val="ru-MD"/>
        </w:rPr>
        <w:t xml:space="preserve">; </w:t>
      </w:r>
      <w:r w:rsidRPr="00237057">
        <w:rPr>
          <w:rFonts w:asciiTheme="majorHAnsi" w:hAnsiTheme="majorHAnsi" w:cstheme="majorHAnsi"/>
          <w:lang w:val="ru-MD"/>
        </w:rPr>
        <w:t xml:space="preserve"> ст.8 (r) Закона о Таможенной службе №302 от 21.12.2017.</w:t>
      </w:r>
    </w:p>
  </w:footnote>
  <w:footnote w:id="25">
    <w:p w14:paraId="714E0AF3" w14:textId="0D7219DA" w:rsidR="00B707C5" w:rsidRPr="00237057" w:rsidRDefault="00B707C5" w:rsidP="00237057">
      <w:pPr>
        <w:pStyle w:val="FootnoteText"/>
        <w:jc w:val="both"/>
        <w:rPr>
          <w:rFonts w:asciiTheme="majorHAnsi" w:hAnsiTheme="majorHAnsi" w:cstheme="majorHAnsi"/>
          <w:lang w:val="ru-MD"/>
        </w:rPr>
      </w:pPr>
      <w:r w:rsidRPr="00237057">
        <w:rPr>
          <w:rStyle w:val="FootnoteReference"/>
          <w:rFonts w:asciiTheme="majorHAnsi" w:hAnsiTheme="majorHAnsi" w:cstheme="majorHAnsi"/>
          <w:lang w:val="ru-MD"/>
        </w:rPr>
        <w:footnoteRef/>
      </w:r>
      <w:r w:rsidRPr="00237057">
        <w:rPr>
          <w:rFonts w:asciiTheme="majorHAnsi" w:eastAsia="Times New Roman" w:hAnsiTheme="majorHAnsi" w:cstheme="majorHAnsi"/>
          <w:bCs/>
          <w:color w:val="000000"/>
          <w:lang w:val="ru-MD"/>
        </w:rPr>
        <w:t xml:space="preserve"> Украина, Румыния, Республика Беларусь и Российская Федерация.</w:t>
      </w:r>
      <w:r w:rsidRPr="00237057">
        <w:rPr>
          <w:rFonts w:asciiTheme="majorHAnsi" w:hAnsiTheme="majorHAnsi" w:cstheme="majorHAnsi"/>
          <w:lang w:val="ru-MD"/>
        </w:rPr>
        <w:t xml:space="preserve"> </w:t>
      </w:r>
    </w:p>
  </w:footnote>
  <w:footnote w:id="26">
    <w:p w14:paraId="3D71C2B9" w14:textId="1C51A59A" w:rsidR="00B707C5" w:rsidRPr="00237057" w:rsidRDefault="00B707C5" w:rsidP="00237057">
      <w:pPr>
        <w:spacing w:after="0" w:line="240" w:lineRule="auto"/>
        <w:jc w:val="both"/>
        <w:rPr>
          <w:rFonts w:asciiTheme="majorHAnsi" w:hAnsiTheme="majorHAnsi" w:cstheme="majorHAnsi"/>
          <w:sz w:val="20"/>
          <w:szCs w:val="20"/>
          <w:lang w:val="ru-MD"/>
        </w:rPr>
      </w:pPr>
      <w:r w:rsidRPr="00237057">
        <w:rPr>
          <w:rStyle w:val="FootnoteReference"/>
          <w:rFonts w:asciiTheme="majorHAnsi" w:hAnsiTheme="majorHAnsi" w:cstheme="majorHAnsi"/>
          <w:sz w:val="20"/>
          <w:szCs w:val="20"/>
          <w:lang w:val="ru-MD"/>
        </w:rPr>
        <w:footnoteRef/>
      </w:r>
      <w:r w:rsidRPr="00237057">
        <w:rPr>
          <w:rFonts w:asciiTheme="majorHAnsi" w:hAnsiTheme="majorHAnsi" w:cstheme="majorHAnsi"/>
          <w:sz w:val="20"/>
          <w:szCs w:val="20"/>
          <w:lang w:val="ru-MD"/>
        </w:rPr>
        <w:t xml:space="preserve"> П</w:t>
      </w:r>
      <w:r w:rsidRPr="00237057">
        <w:rPr>
          <w:rFonts w:asciiTheme="majorHAnsi" w:eastAsia="Times New Roman" w:hAnsiTheme="majorHAnsi" w:cstheme="majorHAnsi"/>
          <w:sz w:val="20"/>
          <w:szCs w:val="20"/>
          <w:lang w:val="ru-MD"/>
        </w:rPr>
        <w:t>.17.2. Плана действий Правительства на 2016-2018 годы, утвержденного Постановлением Правительства №</w:t>
      </w:r>
      <w:r w:rsidRPr="00237057">
        <w:rPr>
          <w:rFonts w:asciiTheme="majorHAnsi" w:eastAsia="Times New Roman" w:hAnsiTheme="majorHAnsi" w:cstheme="majorHAnsi"/>
          <w:bCs/>
          <w:sz w:val="20"/>
          <w:szCs w:val="20"/>
          <w:lang w:val="ru-MD"/>
        </w:rPr>
        <w:t>890 от 20.07.2016; п</w:t>
      </w:r>
      <w:r w:rsidRPr="00237057">
        <w:rPr>
          <w:rFonts w:asciiTheme="majorHAnsi" w:hAnsiTheme="majorHAnsi" w:cstheme="majorHAnsi"/>
          <w:sz w:val="20"/>
          <w:szCs w:val="20"/>
          <w:lang w:val="ru-MD"/>
        </w:rPr>
        <w:t>.</w:t>
      </w:r>
      <w:r w:rsidRPr="00237057">
        <w:rPr>
          <w:rFonts w:asciiTheme="majorHAnsi" w:eastAsia="Times New Roman" w:hAnsiTheme="majorHAnsi" w:cstheme="majorHAnsi"/>
          <w:sz w:val="20"/>
          <w:szCs w:val="20"/>
          <w:lang w:val="ru-MD"/>
        </w:rPr>
        <w:t>3.18.4 Плана действий Правительства на 2020-2023 годы, утвержденного Постановлением Правительства №636 от 11.12.2019</w:t>
      </w:r>
      <w:r w:rsidRPr="00237057">
        <w:rPr>
          <w:rFonts w:asciiTheme="majorHAnsi" w:eastAsia="Times New Roman" w:hAnsiTheme="majorHAnsi" w:cstheme="majorHAnsi"/>
          <w:bCs/>
          <w:sz w:val="20"/>
          <w:szCs w:val="20"/>
          <w:lang w:val="ru-MD"/>
        </w:rPr>
        <w:t>.</w:t>
      </w:r>
    </w:p>
  </w:footnote>
  <w:footnote w:id="27">
    <w:p w14:paraId="0FEDD82E" w14:textId="47A2750D" w:rsidR="00B707C5" w:rsidRPr="00237057" w:rsidRDefault="00B707C5" w:rsidP="00237057">
      <w:pPr>
        <w:pStyle w:val="FootnoteText"/>
        <w:jc w:val="both"/>
        <w:rPr>
          <w:rFonts w:asciiTheme="majorHAnsi" w:hAnsiTheme="majorHAnsi" w:cstheme="majorHAnsi"/>
          <w:lang w:val="ru-MD"/>
        </w:rPr>
      </w:pPr>
      <w:r w:rsidRPr="00237057">
        <w:rPr>
          <w:rStyle w:val="FootnoteReference"/>
          <w:rFonts w:asciiTheme="majorHAnsi" w:hAnsiTheme="majorHAnsi" w:cstheme="majorHAnsi"/>
          <w:lang w:val="ru-MD"/>
        </w:rPr>
        <w:footnoteRef/>
      </w:r>
      <w:r w:rsidRPr="00237057">
        <w:rPr>
          <w:rFonts w:asciiTheme="majorHAnsi" w:hAnsiTheme="majorHAnsi" w:cstheme="majorHAnsi"/>
          <w:lang w:val="ru-MD"/>
        </w:rPr>
        <w:t xml:space="preserve"> </w:t>
      </w:r>
      <w:r w:rsidRPr="00237057">
        <w:rPr>
          <w:rFonts w:asciiTheme="majorHAnsi" w:hAnsiTheme="majorHAnsi" w:cstheme="majorHAnsi"/>
          <w:color w:val="000000"/>
          <w:lang w:val="ru-MD"/>
        </w:rPr>
        <w:t>Украина, Грузия, Республика Азербайджан.</w:t>
      </w:r>
    </w:p>
  </w:footnote>
  <w:footnote w:id="28">
    <w:p w14:paraId="5C58EB7E" w14:textId="0D77FE52" w:rsidR="00B707C5" w:rsidRPr="00237057" w:rsidRDefault="00B707C5" w:rsidP="00237057">
      <w:pPr>
        <w:pStyle w:val="FootnoteText"/>
        <w:jc w:val="both"/>
        <w:rPr>
          <w:rFonts w:asciiTheme="majorHAnsi" w:hAnsiTheme="majorHAnsi" w:cstheme="majorHAnsi"/>
          <w:lang w:val="ru-MD"/>
        </w:rPr>
      </w:pPr>
      <w:r w:rsidRPr="00237057">
        <w:rPr>
          <w:rStyle w:val="FootnoteReference"/>
          <w:rFonts w:asciiTheme="majorHAnsi" w:hAnsiTheme="majorHAnsi" w:cstheme="majorHAnsi"/>
          <w:lang w:val="ru-MD"/>
        </w:rPr>
        <w:footnoteRef/>
      </w:r>
      <w:r w:rsidRPr="00237057">
        <w:rPr>
          <w:rFonts w:asciiTheme="majorHAnsi" w:hAnsiTheme="majorHAnsi" w:cstheme="majorHAnsi"/>
          <w:lang w:val="ru-MD"/>
        </w:rPr>
        <w:t xml:space="preserve"> В 2020 году был осуществлен импорт через оффшорные зоны на сумму 3 176,5 млн. леев, и экспорт - 1500,9 млн. леев; в 2021 году был осуществлен импорт через оффшорные зоны на сумму 21 562,9 млн. леев, и экспорт - 3 176,5 млн. леев.</w:t>
      </w:r>
    </w:p>
  </w:footnote>
  <w:footnote w:id="29">
    <w:p w14:paraId="0FB74FD0" w14:textId="43940891" w:rsidR="00B707C5" w:rsidRPr="00237057" w:rsidRDefault="00B707C5" w:rsidP="00237057">
      <w:pPr>
        <w:pStyle w:val="FootnoteText"/>
        <w:jc w:val="both"/>
        <w:rPr>
          <w:rFonts w:asciiTheme="majorHAnsi" w:hAnsiTheme="majorHAnsi" w:cstheme="majorHAnsi"/>
          <w:lang w:val="ru-MD"/>
        </w:rPr>
      </w:pPr>
      <w:r w:rsidRPr="00237057">
        <w:rPr>
          <w:rStyle w:val="FootnoteReference"/>
          <w:rFonts w:asciiTheme="majorHAnsi" w:hAnsiTheme="majorHAnsi" w:cstheme="majorHAnsi"/>
          <w:lang w:val="ru-MD"/>
        </w:rPr>
        <w:footnoteRef/>
      </w:r>
      <w:r w:rsidRPr="00237057">
        <w:rPr>
          <w:rFonts w:asciiTheme="majorHAnsi" w:hAnsiTheme="majorHAnsi" w:cstheme="majorHAnsi"/>
          <w:lang w:val="ru-MD"/>
        </w:rPr>
        <w:t xml:space="preserve"> Ст.11 (c), (d) и (i) Таможенного кодекса №</w:t>
      </w:r>
      <w:r w:rsidRPr="00237057">
        <w:rPr>
          <w:rFonts w:asciiTheme="majorHAnsi" w:eastAsia="Times New Roman" w:hAnsiTheme="majorHAnsi" w:cstheme="majorHAnsi"/>
          <w:lang w:val="ru-MD"/>
        </w:rPr>
        <w:t>1149 от 20.07.2000;</w:t>
      </w:r>
      <w:r w:rsidRPr="00237057">
        <w:rPr>
          <w:rFonts w:asciiTheme="majorHAnsi" w:hAnsiTheme="majorHAnsi" w:cstheme="majorHAnsi"/>
          <w:color w:val="000000"/>
          <w:lang w:val="ru-MD"/>
        </w:rPr>
        <w:t xml:space="preserve"> Постановление Национального банка Молдовы №</w:t>
      </w:r>
      <w:r w:rsidRPr="00237057">
        <w:rPr>
          <w:rFonts w:asciiTheme="majorHAnsi" w:hAnsiTheme="majorHAnsi" w:cstheme="majorHAnsi"/>
          <w:bCs/>
          <w:color w:val="000000"/>
          <w:lang w:val="ru-MD"/>
        </w:rPr>
        <w:t>91 от 02.05.2013 „Об определении перечня юрисдикций, не отвечающих международным стандартам прозрачности</w:t>
      </w:r>
      <w:r w:rsidRPr="00237057">
        <w:rPr>
          <w:rFonts w:asciiTheme="majorHAnsi" w:hAnsiTheme="majorHAnsi" w:cstheme="majorHAnsi"/>
          <w:color w:val="000000"/>
          <w:lang w:val="ru-MD"/>
        </w:rPr>
        <w:t xml:space="preserve">”.  </w:t>
      </w:r>
    </w:p>
  </w:footnote>
  <w:footnote w:id="30">
    <w:p w14:paraId="1D845D0B" w14:textId="47D347E7" w:rsidR="00B707C5" w:rsidRPr="00237057" w:rsidRDefault="00B707C5" w:rsidP="00237057">
      <w:pPr>
        <w:pStyle w:val="FootnoteText"/>
        <w:jc w:val="both"/>
        <w:rPr>
          <w:rFonts w:asciiTheme="majorHAnsi" w:hAnsiTheme="majorHAnsi" w:cstheme="majorHAnsi"/>
          <w:lang w:val="ru-MD"/>
        </w:rPr>
      </w:pPr>
      <w:r w:rsidRPr="00237057">
        <w:rPr>
          <w:rStyle w:val="FootnoteReference"/>
          <w:rFonts w:asciiTheme="majorHAnsi" w:hAnsiTheme="majorHAnsi" w:cstheme="majorHAnsi"/>
          <w:lang w:val="ru-MD"/>
        </w:rPr>
        <w:footnoteRef/>
      </w:r>
      <w:r w:rsidRPr="00237057">
        <w:rPr>
          <w:rFonts w:asciiTheme="majorHAnsi" w:hAnsiTheme="majorHAnsi" w:cstheme="majorHAnsi"/>
          <w:lang w:val="ru-MD"/>
        </w:rPr>
        <w:t xml:space="preserve"> Ст.123, ст.124, ст.127 (1) Таможенного кодекса.</w:t>
      </w:r>
    </w:p>
  </w:footnote>
  <w:footnote w:id="31">
    <w:p w14:paraId="79F24323" w14:textId="23A5BF2E" w:rsidR="00B707C5" w:rsidRPr="00237057" w:rsidRDefault="00B707C5" w:rsidP="00237057">
      <w:pPr>
        <w:pStyle w:val="FootnoteText"/>
        <w:jc w:val="both"/>
        <w:rPr>
          <w:rFonts w:asciiTheme="majorHAnsi" w:hAnsiTheme="majorHAnsi" w:cstheme="majorHAnsi"/>
          <w:lang w:val="ru-MD"/>
        </w:rPr>
      </w:pPr>
      <w:r w:rsidRPr="00237057">
        <w:rPr>
          <w:rStyle w:val="FootnoteReference"/>
          <w:rFonts w:asciiTheme="majorHAnsi" w:hAnsiTheme="majorHAnsi" w:cstheme="majorHAnsi"/>
          <w:lang w:val="ru-MD"/>
        </w:rPr>
        <w:footnoteRef/>
      </w:r>
      <w:r w:rsidRPr="00237057">
        <w:rPr>
          <w:rFonts w:asciiTheme="majorHAnsi" w:hAnsiTheme="majorHAnsi" w:cstheme="majorHAnsi"/>
          <w:lang w:val="ru-MD"/>
        </w:rPr>
        <w:t xml:space="preserve"> Ст.202</w:t>
      </w:r>
      <w:r w:rsidRPr="00237057">
        <w:rPr>
          <w:rFonts w:asciiTheme="majorHAnsi" w:hAnsiTheme="majorHAnsi" w:cstheme="majorHAnsi"/>
          <w:vertAlign w:val="superscript"/>
          <w:lang w:val="ru-MD"/>
        </w:rPr>
        <w:t>3</w:t>
      </w:r>
      <w:r w:rsidRPr="00237057">
        <w:rPr>
          <w:rFonts w:asciiTheme="majorHAnsi" w:hAnsiTheme="majorHAnsi" w:cstheme="majorHAnsi"/>
          <w:lang w:val="ru-MD"/>
        </w:rPr>
        <w:t xml:space="preserve"> (1) (f), (g) и (e) Таможенного кодекса. </w:t>
      </w:r>
    </w:p>
  </w:footnote>
  <w:footnote w:id="32">
    <w:p w14:paraId="1CFCDBEB" w14:textId="73AC4550" w:rsidR="00B707C5" w:rsidRPr="00237057" w:rsidRDefault="00B707C5" w:rsidP="00237057">
      <w:pPr>
        <w:pStyle w:val="FootnoteText"/>
        <w:jc w:val="both"/>
        <w:rPr>
          <w:rFonts w:asciiTheme="majorHAnsi" w:hAnsiTheme="majorHAnsi" w:cstheme="majorHAnsi"/>
          <w:lang w:val="ru-MD"/>
        </w:rPr>
      </w:pPr>
      <w:r w:rsidRPr="00237057">
        <w:rPr>
          <w:rStyle w:val="FootnoteReference"/>
          <w:rFonts w:asciiTheme="majorHAnsi" w:hAnsiTheme="majorHAnsi" w:cstheme="majorHAnsi"/>
          <w:lang w:val="ru-MD"/>
        </w:rPr>
        <w:footnoteRef/>
      </w:r>
      <w:r w:rsidRPr="00237057">
        <w:rPr>
          <w:rFonts w:asciiTheme="majorHAnsi" w:hAnsiTheme="majorHAnsi" w:cstheme="majorHAnsi"/>
          <w:lang w:val="ru-MD"/>
        </w:rPr>
        <w:t xml:space="preserve"> Ст.3 Закона №181 от 25.07.2014.</w:t>
      </w:r>
    </w:p>
  </w:footnote>
  <w:footnote w:id="33">
    <w:p w14:paraId="084FECC8" w14:textId="3F4BE4D3" w:rsidR="00B707C5" w:rsidRPr="00237057" w:rsidRDefault="00B707C5" w:rsidP="00237057">
      <w:pPr>
        <w:pStyle w:val="FootnoteText"/>
        <w:jc w:val="both"/>
        <w:rPr>
          <w:rFonts w:asciiTheme="majorHAnsi" w:hAnsiTheme="majorHAnsi" w:cstheme="majorHAnsi"/>
          <w:lang w:val="ru-MD"/>
        </w:rPr>
      </w:pPr>
      <w:r w:rsidRPr="00237057">
        <w:rPr>
          <w:rStyle w:val="FootnoteReference"/>
          <w:rFonts w:asciiTheme="majorHAnsi" w:hAnsiTheme="majorHAnsi" w:cstheme="majorHAnsi"/>
          <w:lang w:val="ru-MD"/>
        </w:rPr>
        <w:footnoteRef/>
      </w:r>
      <w:r w:rsidRPr="00237057">
        <w:rPr>
          <w:rFonts w:asciiTheme="majorHAnsi" w:hAnsiTheme="majorHAnsi" w:cstheme="majorHAnsi"/>
          <w:lang w:val="ru-MD"/>
        </w:rPr>
        <w:t xml:space="preserve"> Вещественные доказательства (стоимость конфискованных товаров).</w:t>
      </w:r>
    </w:p>
  </w:footnote>
  <w:footnote w:id="34">
    <w:p w14:paraId="168FC81D" w14:textId="51C52BE3" w:rsidR="00B707C5" w:rsidRPr="00237057" w:rsidRDefault="00B707C5" w:rsidP="00237057">
      <w:pPr>
        <w:pStyle w:val="FootnoteText"/>
        <w:jc w:val="both"/>
        <w:rPr>
          <w:rFonts w:asciiTheme="majorHAnsi" w:hAnsiTheme="majorHAnsi" w:cstheme="majorHAnsi"/>
          <w:lang w:val="ru-MD"/>
        </w:rPr>
      </w:pPr>
      <w:r w:rsidRPr="00237057">
        <w:rPr>
          <w:rStyle w:val="FootnoteReference"/>
          <w:rFonts w:asciiTheme="majorHAnsi" w:hAnsiTheme="majorHAnsi" w:cstheme="majorHAnsi"/>
          <w:lang w:val="ru-MD"/>
        </w:rPr>
        <w:footnoteRef/>
      </w:r>
      <w:r w:rsidRPr="00237057">
        <w:rPr>
          <w:rFonts w:asciiTheme="majorHAnsi" w:hAnsiTheme="majorHAnsi" w:cstheme="majorHAnsi"/>
          <w:lang w:val="ru-MD"/>
        </w:rPr>
        <w:t xml:space="preserve"> Ст. 130</w:t>
      </w:r>
      <w:r w:rsidRPr="00237057">
        <w:rPr>
          <w:rFonts w:asciiTheme="majorHAnsi" w:hAnsiTheme="majorHAnsi" w:cstheme="majorHAnsi"/>
          <w:vertAlign w:val="superscript"/>
          <w:lang w:val="ru-MD"/>
        </w:rPr>
        <w:t>1</w:t>
      </w:r>
      <w:r w:rsidRPr="00237057">
        <w:rPr>
          <w:rFonts w:asciiTheme="majorHAnsi" w:hAnsiTheme="majorHAnsi" w:cstheme="majorHAnsi"/>
          <w:lang w:val="ru-MD"/>
        </w:rPr>
        <w:t>-130</w:t>
      </w:r>
      <w:r w:rsidRPr="00237057">
        <w:rPr>
          <w:rFonts w:asciiTheme="majorHAnsi" w:hAnsiTheme="majorHAnsi" w:cstheme="majorHAnsi"/>
          <w:vertAlign w:val="superscript"/>
          <w:lang w:val="ru-MD"/>
        </w:rPr>
        <w:t>14</w:t>
      </w:r>
      <w:r w:rsidRPr="00237057">
        <w:rPr>
          <w:rFonts w:asciiTheme="majorHAnsi" w:hAnsiTheme="majorHAnsi" w:cstheme="majorHAnsi"/>
          <w:lang w:val="ru-MD"/>
        </w:rPr>
        <w:t xml:space="preserve"> Таможенного кодекса.</w:t>
      </w:r>
    </w:p>
  </w:footnote>
  <w:footnote w:id="35">
    <w:p w14:paraId="4DDC4941" w14:textId="62F52DAB" w:rsidR="00B707C5" w:rsidRPr="00237057" w:rsidRDefault="00B707C5" w:rsidP="00237057">
      <w:pPr>
        <w:pStyle w:val="FootnoteText"/>
        <w:jc w:val="both"/>
        <w:rPr>
          <w:rFonts w:asciiTheme="majorHAnsi" w:hAnsiTheme="majorHAnsi" w:cstheme="majorHAnsi"/>
          <w:lang w:val="ru-MD"/>
        </w:rPr>
      </w:pPr>
      <w:r w:rsidRPr="00237057">
        <w:rPr>
          <w:rStyle w:val="FootnoteReference"/>
          <w:rFonts w:asciiTheme="majorHAnsi" w:hAnsiTheme="majorHAnsi" w:cstheme="majorHAnsi"/>
          <w:lang w:val="ru-MD"/>
        </w:rPr>
        <w:footnoteRef/>
      </w:r>
      <w:r w:rsidRPr="00237057">
        <w:rPr>
          <w:rFonts w:asciiTheme="majorHAnsi" w:hAnsiTheme="majorHAnsi" w:cstheme="majorHAnsi"/>
          <w:lang w:val="ru-MD"/>
        </w:rPr>
        <w:t xml:space="preserve"> Закон </w:t>
      </w:r>
      <w:r w:rsidRPr="00237057">
        <w:rPr>
          <w:rFonts w:asciiTheme="majorHAnsi" w:hAnsiTheme="majorHAnsi" w:cstheme="majorHAnsi"/>
          <w:bCs/>
          <w:lang w:val="ru-MD"/>
        </w:rPr>
        <w:t>о добровольном декларировании и налоговом стимулировании №</w:t>
      </w:r>
      <w:r w:rsidRPr="00237057">
        <w:rPr>
          <w:rFonts w:asciiTheme="majorHAnsi" w:hAnsiTheme="majorHAnsi" w:cstheme="majorHAnsi"/>
          <w:lang w:val="ru-MD"/>
        </w:rPr>
        <w:t>180 от 26.07.20</w:t>
      </w:r>
      <w:r w:rsidRPr="00237057">
        <w:rPr>
          <w:rFonts w:asciiTheme="majorHAnsi" w:hAnsiTheme="majorHAnsi" w:cstheme="majorHAnsi"/>
          <w:color w:val="FF0000"/>
          <w:lang w:val="ru-MD"/>
        </w:rPr>
        <w:t>18</w:t>
      </w:r>
      <w:r w:rsidRPr="00237057">
        <w:rPr>
          <w:rFonts w:asciiTheme="majorHAnsi" w:hAnsiTheme="majorHAnsi" w:cstheme="majorHAnsi"/>
          <w:lang w:val="ru-MD"/>
        </w:rPr>
        <w:t>; ст.128</w:t>
      </w:r>
      <w:r w:rsidRPr="00237057">
        <w:rPr>
          <w:rFonts w:asciiTheme="majorHAnsi" w:hAnsiTheme="majorHAnsi" w:cstheme="majorHAnsi"/>
          <w:vertAlign w:val="superscript"/>
          <w:lang w:val="ru-MD"/>
        </w:rPr>
        <w:t xml:space="preserve">2 </w:t>
      </w:r>
      <w:r w:rsidRPr="00237057">
        <w:rPr>
          <w:rFonts w:asciiTheme="majorHAnsi" w:hAnsiTheme="majorHAnsi" w:cstheme="majorHAnsi"/>
          <w:lang w:val="ru-MD"/>
        </w:rPr>
        <w:t>Таможенного кодекса.</w:t>
      </w:r>
    </w:p>
  </w:footnote>
  <w:footnote w:id="36">
    <w:p w14:paraId="05E3AE0D" w14:textId="77777777" w:rsidR="00B707C5" w:rsidRPr="00237057" w:rsidRDefault="00B707C5" w:rsidP="00237057">
      <w:pPr>
        <w:pStyle w:val="FootnoteText"/>
        <w:jc w:val="both"/>
        <w:rPr>
          <w:rFonts w:asciiTheme="majorHAnsi" w:hAnsiTheme="majorHAnsi" w:cstheme="majorHAnsi"/>
          <w:lang w:val="ru-MD"/>
        </w:rPr>
      </w:pPr>
      <w:r w:rsidRPr="00237057">
        <w:rPr>
          <w:rStyle w:val="FootnoteReference"/>
          <w:rFonts w:asciiTheme="majorHAnsi" w:hAnsiTheme="majorHAnsi" w:cstheme="majorHAnsi"/>
          <w:lang w:val="ru-MD"/>
        </w:rPr>
        <w:footnoteRef/>
      </w:r>
      <w:r w:rsidRPr="00237057">
        <w:rPr>
          <w:rFonts w:asciiTheme="majorHAnsi" w:hAnsiTheme="majorHAnsi" w:cstheme="majorHAnsi"/>
          <w:lang w:val="ru-MD"/>
        </w:rPr>
        <w:t xml:space="preserve"> Ст.128</w:t>
      </w:r>
      <w:r w:rsidRPr="00237057">
        <w:rPr>
          <w:rFonts w:asciiTheme="majorHAnsi" w:hAnsiTheme="majorHAnsi" w:cstheme="majorHAnsi"/>
          <w:vertAlign w:val="superscript"/>
          <w:lang w:val="ru-MD"/>
        </w:rPr>
        <w:t xml:space="preserve">3 </w:t>
      </w:r>
      <w:r w:rsidRPr="00237057">
        <w:rPr>
          <w:rFonts w:asciiTheme="majorHAnsi" w:hAnsiTheme="majorHAnsi" w:cstheme="majorHAnsi"/>
          <w:lang w:val="ru-MD"/>
        </w:rPr>
        <w:t>Таможенного кодекса.</w:t>
      </w:r>
    </w:p>
  </w:footnote>
  <w:footnote w:id="37">
    <w:p w14:paraId="528DBFF9" w14:textId="6642C0C0" w:rsidR="00B707C5" w:rsidRPr="00237057" w:rsidRDefault="00B707C5" w:rsidP="00237057">
      <w:pPr>
        <w:spacing w:after="0"/>
        <w:jc w:val="both"/>
        <w:rPr>
          <w:rFonts w:asciiTheme="majorHAnsi" w:hAnsiTheme="majorHAnsi" w:cstheme="majorHAnsi"/>
          <w:sz w:val="20"/>
          <w:szCs w:val="20"/>
          <w:lang w:val="ru-MD"/>
        </w:rPr>
      </w:pPr>
      <w:r w:rsidRPr="00237057">
        <w:rPr>
          <w:rStyle w:val="FootnoteReference"/>
          <w:rFonts w:asciiTheme="majorHAnsi" w:hAnsiTheme="majorHAnsi" w:cstheme="majorHAnsi"/>
          <w:sz w:val="20"/>
          <w:szCs w:val="20"/>
          <w:lang w:val="ru-MD"/>
        </w:rPr>
        <w:footnoteRef/>
      </w:r>
      <w:r w:rsidRPr="00237057">
        <w:rPr>
          <w:rFonts w:asciiTheme="majorHAnsi" w:hAnsiTheme="majorHAnsi" w:cstheme="majorHAnsi"/>
          <w:sz w:val="20"/>
          <w:szCs w:val="20"/>
          <w:lang w:val="ru-MD"/>
        </w:rPr>
        <w:t xml:space="preserve"> ООО „Midenio” - 23,5 млн. леев, ООО„Inva-Produs” - 12,1 млн. леев, АО „Liga-2” - 5,4 млн. леев, ООО „Patinoar” -  4,6 млн. леев, ООО „Dantelax” - 4,6 млн. леев, АО Сахарный завод - 3,9 млн. леев, „Nistru Moldova” - 3,7 млн. леев, ООО „Octopus–Prof” - 3,7 млн. леев, ООО„Steldis” - 3,4 млн. леев и т.д.</w:t>
      </w:r>
    </w:p>
  </w:footnote>
  <w:footnote w:id="38">
    <w:p w14:paraId="5589BDF7" w14:textId="59D0A87C" w:rsidR="00B707C5" w:rsidRPr="00237057" w:rsidRDefault="00B707C5" w:rsidP="00237057">
      <w:pPr>
        <w:pStyle w:val="FootnoteText"/>
        <w:jc w:val="both"/>
        <w:rPr>
          <w:rFonts w:asciiTheme="majorHAnsi" w:hAnsiTheme="majorHAnsi" w:cstheme="majorHAnsi"/>
          <w:lang w:val="ru-MD"/>
        </w:rPr>
      </w:pPr>
      <w:r w:rsidRPr="00237057">
        <w:rPr>
          <w:rStyle w:val="FootnoteReference"/>
          <w:rFonts w:asciiTheme="majorHAnsi" w:hAnsiTheme="majorHAnsi" w:cstheme="majorHAnsi"/>
          <w:lang w:val="ru-MD"/>
        </w:rPr>
        <w:footnoteRef/>
      </w:r>
      <w:r w:rsidRPr="00237057">
        <w:rPr>
          <w:rFonts w:asciiTheme="majorHAnsi" w:hAnsiTheme="majorHAnsi" w:cstheme="majorHAnsi"/>
          <w:lang w:val="ru-MD"/>
        </w:rPr>
        <w:t xml:space="preserve"> П.3.9.3 Приказа МФ №215 от 28.12.2015 „</w:t>
      </w:r>
      <w:r w:rsidRPr="00237057">
        <w:rPr>
          <w:rFonts w:asciiTheme="majorHAnsi" w:hAnsiTheme="majorHAnsi" w:cstheme="majorHAnsi"/>
          <w:bCs/>
          <w:lang w:val="ru-MD"/>
        </w:rPr>
        <w:t>Об утверждении Методологических норм кассового исполнения бюджетов, составляющих национальный публичный бюджет, и внебюджетных средств через Единый Казначейский счет Министерства финансов</w:t>
      </w:r>
      <w:r w:rsidRPr="00237057">
        <w:rPr>
          <w:rFonts w:asciiTheme="majorHAnsi" w:hAnsiTheme="majorHAnsi" w:cstheme="majorHAnsi"/>
          <w:lang w:val="ru-MD"/>
        </w:rPr>
        <w:t>”.</w:t>
      </w:r>
    </w:p>
  </w:footnote>
  <w:footnote w:id="39">
    <w:p w14:paraId="111268CE" w14:textId="3EED97FF" w:rsidR="00B707C5" w:rsidRPr="00237057" w:rsidRDefault="00B707C5" w:rsidP="00237057">
      <w:pPr>
        <w:pStyle w:val="FootnoteText"/>
        <w:jc w:val="both"/>
        <w:rPr>
          <w:rFonts w:asciiTheme="majorHAnsi" w:hAnsiTheme="majorHAnsi" w:cstheme="majorHAnsi"/>
          <w:lang w:val="ru-MD"/>
        </w:rPr>
      </w:pPr>
      <w:r w:rsidRPr="00237057">
        <w:rPr>
          <w:rStyle w:val="FootnoteReference"/>
          <w:rFonts w:asciiTheme="majorHAnsi" w:hAnsiTheme="majorHAnsi" w:cstheme="majorHAnsi"/>
          <w:lang w:val="ru-MD"/>
        </w:rPr>
        <w:footnoteRef/>
      </w:r>
      <w:r w:rsidRPr="00237057">
        <w:rPr>
          <w:rFonts w:asciiTheme="majorHAnsi" w:hAnsiTheme="majorHAnsi" w:cstheme="majorHAnsi"/>
          <w:lang w:val="ru-MD"/>
        </w:rPr>
        <w:t xml:space="preserve"> П.7 Положения об организации и функционировании Министерства финансов, утвержденного Постановлением Правительства №696 отn 30.08.2017.</w:t>
      </w:r>
    </w:p>
  </w:footnote>
  <w:footnote w:id="40">
    <w:p w14:paraId="1B15CC23" w14:textId="6A08A481" w:rsidR="00B707C5" w:rsidRPr="00237057" w:rsidRDefault="00B707C5" w:rsidP="00237057">
      <w:pPr>
        <w:pStyle w:val="FootnoteText"/>
        <w:jc w:val="both"/>
        <w:rPr>
          <w:rFonts w:asciiTheme="majorHAnsi" w:hAnsiTheme="majorHAnsi" w:cstheme="majorHAnsi"/>
          <w:lang w:val="ru-MD"/>
        </w:rPr>
      </w:pPr>
      <w:r w:rsidRPr="00237057">
        <w:rPr>
          <w:rStyle w:val="FootnoteReference"/>
          <w:rFonts w:asciiTheme="majorHAnsi" w:hAnsiTheme="majorHAnsi" w:cstheme="majorHAnsi"/>
          <w:lang w:val="ru-MD"/>
        </w:rPr>
        <w:footnoteRef/>
      </w:r>
      <w:r w:rsidRPr="00237057">
        <w:rPr>
          <w:rFonts w:asciiTheme="majorHAnsi" w:hAnsiTheme="majorHAnsi" w:cstheme="majorHAnsi"/>
          <w:lang w:val="ru-MD"/>
        </w:rPr>
        <w:t xml:space="preserve"> П.6 Положения об организации и функционировании Министерства финансов, утвержденного Постановлением Правительства №696 отin 30.08.2017.</w:t>
      </w:r>
    </w:p>
  </w:footnote>
  <w:footnote w:id="41">
    <w:p w14:paraId="0E0B21DE" w14:textId="257A5EEF" w:rsidR="00B707C5" w:rsidRPr="00237057" w:rsidRDefault="00B707C5" w:rsidP="00237057">
      <w:pPr>
        <w:pStyle w:val="FootnoteText"/>
        <w:jc w:val="both"/>
        <w:rPr>
          <w:rFonts w:asciiTheme="majorHAnsi" w:hAnsiTheme="majorHAnsi" w:cstheme="majorHAnsi"/>
          <w:lang w:val="ru-MD"/>
        </w:rPr>
      </w:pPr>
      <w:r w:rsidRPr="00237057">
        <w:rPr>
          <w:rStyle w:val="FootnoteReference"/>
          <w:rFonts w:asciiTheme="majorHAnsi" w:hAnsiTheme="majorHAnsi" w:cstheme="majorHAnsi"/>
          <w:lang w:val="ru-MD"/>
        </w:rPr>
        <w:footnoteRef/>
      </w:r>
      <w:r w:rsidRPr="00237057">
        <w:rPr>
          <w:rFonts w:asciiTheme="majorHAnsi" w:hAnsiTheme="majorHAnsi" w:cstheme="majorHAnsi"/>
          <w:lang w:val="ru-MD"/>
        </w:rPr>
        <w:t xml:space="preserve"> 1) Soft „Economist-Cont Unic” (код 31710309) стоимостью 1.130,3 тыс. леев, в эксплуатации с 2007; 2) Soft-ТИИС-модуль „Economist” (код 31700318) стоимостью 2.850,9 тыс. леев, в эксплуатации с 2007; 3) Система „Economist” (код 31710291) стоимостью 98,5 тыс. леев, в эксплуатации с 2012; 4) Изменение Информационной системы „Economist” (код 31710307) стоимостью 98,0 тыс. леев, в эксплуатации с 2004.</w:t>
      </w:r>
    </w:p>
  </w:footnote>
  <w:footnote w:id="42">
    <w:p w14:paraId="3FF7B2A6" w14:textId="50A32D0C" w:rsidR="00B707C5" w:rsidRPr="00237057" w:rsidRDefault="00B707C5" w:rsidP="00237057">
      <w:pPr>
        <w:spacing w:after="0" w:line="240" w:lineRule="auto"/>
        <w:jc w:val="both"/>
        <w:rPr>
          <w:rFonts w:asciiTheme="majorHAnsi" w:hAnsiTheme="majorHAnsi" w:cstheme="majorHAnsi"/>
          <w:iCs/>
          <w:color w:val="000000" w:themeColor="text1"/>
          <w:sz w:val="20"/>
          <w:szCs w:val="20"/>
          <w:lang w:val="ru-MD"/>
        </w:rPr>
      </w:pPr>
      <w:r w:rsidRPr="00237057">
        <w:rPr>
          <w:rStyle w:val="FootnoteReference"/>
          <w:rFonts w:asciiTheme="majorHAnsi" w:hAnsiTheme="majorHAnsi" w:cstheme="majorHAnsi"/>
          <w:sz w:val="20"/>
          <w:szCs w:val="20"/>
          <w:lang w:val="ru-MD"/>
        </w:rPr>
        <w:footnoteRef/>
      </w:r>
      <w:r w:rsidRPr="00237057">
        <w:rPr>
          <w:rFonts w:asciiTheme="majorHAnsi" w:hAnsiTheme="majorHAnsi" w:cstheme="majorHAnsi"/>
          <w:sz w:val="20"/>
          <w:szCs w:val="20"/>
          <w:lang w:val="ru-MD"/>
        </w:rPr>
        <w:t xml:space="preserve"> Таможенная служба организовала публичный аукцион №2337/06 от 23.01.2007, в результате которого был заключен договор №73 ТС с КО „UTI SYSTEMS” АО (Румыния) на сумму 1 360,0 тыс. евро без НДС по разработке и внедрению 12 программных модулей, в том числе Модуля „Economist” (единый счет), на который было перечислено 231,2 тыс. евро (1,1 млн. леев) со сроком завершения договора 31.12.2007</w:t>
      </w:r>
      <w:r w:rsidRPr="00237057">
        <w:rPr>
          <w:rFonts w:asciiTheme="majorHAnsi" w:hAnsiTheme="majorHAnsi" w:cstheme="majorHAnsi"/>
          <w:iCs/>
          <w:color w:val="000000" w:themeColor="text1"/>
          <w:sz w:val="20"/>
          <w:szCs w:val="20"/>
          <w:lang w:val="ru-MD"/>
        </w:rPr>
        <w:t>.</w:t>
      </w:r>
    </w:p>
  </w:footnote>
  <w:footnote w:id="43">
    <w:p w14:paraId="073B5326" w14:textId="64853484" w:rsidR="00B707C5" w:rsidRPr="00237057" w:rsidRDefault="00B707C5" w:rsidP="00237057">
      <w:pPr>
        <w:pStyle w:val="tt"/>
        <w:jc w:val="both"/>
        <w:rPr>
          <w:rFonts w:asciiTheme="majorHAnsi" w:hAnsiTheme="majorHAnsi" w:cstheme="majorHAnsi"/>
          <w:b w:val="0"/>
          <w:iCs/>
          <w:color w:val="000000" w:themeColor="text1"/>
          <w:sz w:val="20"/>
          <w:szCs w:val="20"/>
          <w:lang w:val="ru-MD"/>
        </w:rPr>
      </w:pPr>
      <w:r w:rsidRPr="00237057">
        <w:rPr>
          <w:rStyle w:val="FootnoteReference"/>
          <w:rFonts w:asciiTheme="majorHAnsi" w:hAnsiTheme="majorHAnsi" w:cstheme="majorHAnsi"/>
          <w:b w:val="0"/>
          <w:color w:val="000000" w:themeColor="text1"/>
          <w:sz w:val="20"/>
          <w:szCs w:val="20"/>
          <w:lang w:val="ru-MD"/>
        </w:rPr>
        <w:footnoteRef/>
      </w:r>
      <w:r w:rsidRPr="00237057">
        <w:rPr>
          <w:rFonts w:asciiTheme="majorHAnsi" w:hAnsiTheme="majorHAnsi" w:cstheme="majorHAnsi"/>
          <w:b w:val="0"/>
          <w:color w:val="000000" w:themeColor="text1"/>
          <w:sz w:val="20"/>
          <w:szCs w:val="20"/>
          <w:lang w:val="ru-MD"/>
        </w:rPr>
        <w:t xml:space="preserve"> Постановление Счетной палаты №12 от 02.03.2011 „По Отчету аудита Таможенной интегрированной информационной системы Таможенной службы Республики Молдова” (рекомендация №1 Интеграция модулей </w:t>
      </w:r>
      <w:r w:rsidRPr="00237057">
        <w:rPr>
          <w:rFonts w:asciiTheme="majorHAnsi" w:hAnsiTheme="majorHAnsi" w:cstheme="majorHAnsi"/>
          <w:b w:val="0"/>
          <w:iCs/>
          <w:color w:val="000000" w:themeColor="text1"/>
          <w:sz w:val="20"/>
          <w:szCs w:val="20"/>
          <w:lang w:val="ru-MD"/>
        </w:rPr>
        <w:t xml:space="preserve">„Economist” </w:t>
      </w:r>
      <w:r w:rsidRPr="00237057">
        <w:rPr>
          <w:rFonts w:asciiTheme="majorHAnsi" w:hAnsiTheme="majorHAnsi" w:cstheme="majorHAnsi"/>
          <w:b w:val="0"/>
          <w:color w:val="000000" w:themeColor="text1"/>
          <w:sz w:val="20"/>
          <w:szCs w:val="20"/>
          <w:lang w:val="ru-MD"/>
        </w:rPr>
        <w:t>и "</w:t>
      </w:r>
      <w:r w:rsidRPr="00237057">
        <w:rPr>
          <w:rFonts w:asciiTheme="majorHAnsi" w:hAnsiTheme="majorHAnsi" w:cstheme="majorHAnsi"/>
          <w:b w:val="0"/>
          <w:iCs/>
          <w:color w:val="000000" w:themeColor="text1"/>
          <w:sz w:val="20"/>
          <w:szCs w:val="20"/>
          <w:lang w:val="ru-MD"/>
        </w:rPr>
        <w:t>„Garanții”</w:t>
      </w:r>
      <w:r w:rsidRPr="00237057">
        <w:rPr>
          <w:rFonts w:asciiTheme="majorHAnsi" w:hAnsiTheme="majorHAnsi" w:cstheme="majorHAnsi"/>
          <w:b w:val="0"/>
          <w:color w:val="000000" w:themeColor="text1"/>
          <w:sz w:val="20"/>
          <w:szCs w:val="20"/>
          <w:lang w:val="ru-MD"/>
        </w:rPr>
        <w:t xml:space="preserve">, разработанных </w:t>
      </w:r>
      <w:r w:rsidRPr="00237057">
        <w:rPr>
          <w:rFonts w:asciiTheme="majorHAnsi" w:hAnsiTheme="majorHAnsi" w:cstheme="majorHAnsi"/>
          <w:b w:val="0"/>
          <w:iCs/>
          <w:color w:val="000000" w:themeColor="text1"/>
          <w:sz w:val="20"/>
          <w:szCs w:val="20"/>
          <w:lang w:val="ru-MD"/>
        </w:rPr>
        <w:t xml:space="preserve">„UTI SYSTEMS” </w:t>
      </w:r>
      <w:r w:rsidRPr="00237057">
        <w:rPr>
          <w:rFonts w:asciiTheme="majorHAnsi" w:hAnsiTheme="majorHAnsi" w:cstheme="majorHAnsi"/>
          <w:b w:val="0"/>
          <w:color w:val="000000" w:themeColor="text1"/>
          <w:sz w:val="20"/>
          <w:szCs w:val="20"/>
          <w:lang w:val="ru-MD"/>
        </w:rPr>
        <w:t xml:space="preserve">AO, в платформу Системы </w:t>
      </w:r>
      <w:r w:rsidRPr="00237057">
        <w:rPr>
          <w:rFonts w:asciiTheme="majorHAnsi" w:hAnsiTheme="majorHAnsi" w:cstheme="majorHAnsi"/>
          <w:b w:val="0"/>
          <w:iCs/>
          <w:color w:val="000000" w:themeColor="text1"/>
          <w:sz w:val="20"/>
          <w:szCs w:val="20"/>
          <w:lang w:val="ru-MD"/>
        </w:rPr>
        <w:t>„Asycuda World”</w:t>
      </w:r>
      <w:r w:rsidRPr="00237057">
        <w:rPr>
          <w:rFonts w:asciiTheme="majorHAnsi" w:hAnsiTheme="majorHAnsi" w:cstheme="majorHAnsi"/>
          <w:b w:val="0"/>
          <w:color w:val="000000" w:themeColor="text1"/>
          <w:sz w:val="20"/>
          <w:szCs w:val="20"/>
          <w:lang w:val="ru-MD"/>
        </w:rPr>
        <w:t>, как предусмотрено Концепцией Таможенной интегрированной информационной системы</w:t>
      </w:r>
      <w:r w:rsidRPr="00237057">
        <w:rPr>
          <w:rFonts w:asciiTheme="majorHAnsi" w:hAnsiTheme="majorHAnsi" w:cstheme="majorHAnsi"/>
          <w:b w:val="0"/>
          <w:iCs/>
          <w:color w:val="000000" w:themeColor="text1"/>
          <w:sz w:val="20"/>
          <w:szCs w:val="20"/>
          <w:lang w:val="ru-MD"/>
        </w:rPr>
        <w:t>”)</w:t>
      </w:r>
      <w:r w:rsidRPr="00237057">
        <w:rPr>
          <w:rFonts w:asciiTheme="majorHAnsi" w:hAnsiTheme="majorHAnsi" w:cstheme="majorHAnsi"/>
          <w:b w:val="0"/>
          <w:color w:val="000000" w:themeColor="text1"/>
          <w:sz w:val="20"/>
          <w:szCs w:val="20"/>
          <w:lang w:val="ru-MD"/>
        </w:rPr>
        <w:t xml:space="preserve">; Постановление Счетной палаты №61 от 26.09.2011 </w:t>
      </w:r>
      <w:r w:rsidRPr="00237057">
        <w:rPr>
          <w:rFonts w:asciiTheme="majorHAnsi" w:hAnsiTheme="majorHAnsi" w:cstheme="majorHAnsi"/>
          <w:b w:val="0"/>
          <w:iCs/>
          <w:color w:val="000000" w:themeColor="text1"/>
          <w:sz w:val="20"/>
          <w:szCs w:val="20"/>
          <w:lang w:val="ru-MD"/>
        </w:rPr>
        <w:t>„По О</w:t>
      </w:r>
      <w:r w:rsidRPr="00237057">
        <w:rPr>
          <w:rFonts w:asciiTheme="majorHAnsi" w:hAnsiTheme="majorHAnsi" w:cstheme="majorHAnsi"/>
          <w:b w:val="0"/>
          <w:color w:val="000000" w:themeColor="text1"/>
          <w:sz w:val="20"/>
          <w:szCs w:val="20"/>
          <w:lang w:val="ru-MD"/>
        </w:rPr>
        <w:t xml:space="preserve">тчету аудита публичных доходов, администрируемых Таможенной службой в 2010 году” (рекомендация №15. Соблюдать рекомендации из Постановления Счетной палаты №12 от 02.03.2011, включая обеспечение интеграции модуля </w:t>
      </w:r>
      <w:r w:rsidRPr="00237057">
        <w:rPr>
          <w:rFonts w:asciiTheme="majorHAnsi" w:hAnsiTheme="majorHAnsi" w:cstheme="majorHAnsi"/>
          <w:b w:val="0"/>
          <w:iCs/>
          <w:color w:val="000000" w:themeColor="text1"/>
          <w:sz w:val="20"/>
          <w:szCs w:val="20"/>
          <w:lang w:val="ru-MD"/>
        </w:rPr>
        <w:t>„Economist”</w:t>
      </w:r>
      <w:r w:rsidRPr="00237057">
        <w:rPr>
          <w:rFonts w:asciiTheme="majorHAnsi" w:hAnsiTheme="majorHAnsi" w:cstheme="majorHAnsi"/>
          <w:b w:val="0"/>
          <w:color w:val="000000" w:themeColor="text1"/>
          <w:sz w:val="20"/>
          <w:szCs w:val="20"/>
          <w:lang w:val="ru-MD"/>
        </w:rPr>
        <w:t xml:space="preserve"> в Информационную систему </w:t>
      </w:r>
      <w:r w:rsidRPr="00237057">
        <w:rPr>
          <w:rFonts w:asciiTheme="majorHAnsi" w:hAnsiTheme="majorHAnsi" w:cstheme="majorHAnsi"/>
          <w:b w:val="0"/>
          <w:iCs/>
          <w:color w:val="000000" w:themeColor="text1"/>
          <w:sz w:val="20"/>
          <w:szCs w:val="20"/>
          <w:lang w:val="ru-MD"/>
        </w:rPr>
        <w:t>„Asycuda World”) и другие.</w:t>
      </w:r>
    </w:p>
  </w:footnote>
  <w:footnote w:id="44">
    <w:p w14:paraId="76D7FA0C" w14:textId="2A5CCE80" w:rsidR="00B707C5" w:rsidRPr="00237057" w:rsidRDefault="00B707C5" w:rsidP="00237057">
      <w:pPr>
        <w:pStyle w:val="FootnoteText"/>
        <w:jc w:val="both"/>
        <w:rPr>
          <w:rFonts w:asciiTheme="majorHAnsi" w:hAnsiTheme="majorHAnsi" w:cstheme="majorHAnsi"/>
          <w:lang w:val="ru-MD"/>
        </w:rPr>
      </w:pPr>
      <w:r w:rsidRPr="00237057">
        <w:rPr>
          <w:rStyle w:val="FootnoteReference"/>
          <w:rFonts w:asciiTheme="majorHAnsi" w:hAnsiTheme="majorHAnsi" w:cstheme="majorHAnsi"/>
          <w:lang w:val="ru-MD"/>
        </w:rPr>
        <w:footnoteRef/>
      </w:r>
      <w:r w:rsidRPr="00237057">
        <w:rPr>
          <w:rFonts w:asciiTheme="majorHAnsi" w:hAnsiTheme="majorHAnsi" w:cstheme="majorHAnsi"/>
          <w:lang w:val="ru-MD"/>
        </w:rPr>
        <w:t xml:space="preserve"> „Accounting” из ТИИС „Asycuda World”.</w:t>
      </w:r>
    </w:p>
  </w:footnote>
  <w:footnote w:id="45">
    <w:p w14:paraId="09828574" w14:textId="15F0D2A7" w:rsidR="00B707C5" w:rsidRPr="00237057" w:rsidRDefault="00B707C5" w:rsidP="00237057">
      <w:pPr>
        <w:tabs>
          <w:tab w:val="left" w:pos="993"/>
        </w:tabs>
        <w:spacing w:after="0"/>
        <w:jc w:val="both"/>
        <w:outlineLvl w:val="1"/>
        <w:rPr>
          <w:rFonts w:asciiTheme="majorHAnsi" w:hAnsiTheme="majorHAnsi" w:cstheme="majorHAnsi"/>
          <w:sz w:val="20"/>
          <w:szCs w:val="20"/>
          <w:lang w:val="ru-MD"/>
        </w:rPr>
      </w:pPr>
      <w:r w:rsidRPr="00237057">
        <w:rPr>
          <w:rStyle w:val="FootnoteReference"/>
          <w:rFonts w:asciiTheme="majorHAnsi" w:hAnsiTheme="majorHAnsi" w:cstheme="majorHAnsi"/>
          <w:sz w:val="20"/>
          <w:szCs w:val="20"/>
          <w:lang w:val="ru-MD"/>
        </w:rPr>
        <w:footnoteRef/>
      </w:r>
      <w:r w:rsidRPr="00237057">
        <w:rPr>
          <w:rFonts w:asciiTheme="majorHAnsi" w:hAnsiTheme="majorHAnsi" w:cstheme="majorHAnsi"/>
          <w:sz w:val="20"/>
          <w:szCs w:val="20"/>
          <w:lang w:val="ru-MD"/>
        </w:rPr>
        <w:t xml:space="preserve"> </w:t>
      </w:r>
      <w:r w:rsidRPr="00237057">
        <w:rPr>
          <w:rFonts w:asciiTheme="majorHAnsi" w:eastAsia="Calibri" w:hAnsiTheme="majorHAnsi" w:cstheme="majorHAnsi"/>
          <w:sz w:val="20"/>
          <w:szCs w:val="20"/>
          <w:lang w:val="ru-MD"/>
        </w:rPr>
        <w:t>Согласно объяснениям ТС, описанная ситуация вызвана сложностью интеграции механизма автоматического расчета в рамках модуля „Accounting” из ИС „</w:t>
      </w:r>
      <w:r w:rsidRPr="00237057">
        <w:rPr>
          <w:rFonts w:asciiTheme="majorHAnsi" w:hAnsiTheme="majorHAnsi" w:cstheme="majorHAnsi"/>
          <w:iCs/>
          <w:color w:val="000000" w:themeColor="text1"/>
          <w:sz w:val="20"/>
          <w:szCs w:val="20"/>
          <w:lang w:val="ru-MD"/>
        </w:rPr>
        <w:t>Asycuda</w:t>
      </w:r>
      <w:r w:rsidRPr="00237057">
        <w:rPr>
          <w:rFonts w:asciiTheme="majorHAnsi" w:eastAsia="Calibri" w:hAnsiTheme="majorHAnsi" w:cstheme="majorHAnsi"/>
          <w:sz w:val="20"/>
          <w:szCs w:val="20"/>
          <w:lang w:val="ru-MD"/>
        </w:rPr>
        <w:t xml:space="preserve"> World” ТС.</w:t>
      </w:r>
    </w:p>
  </w:footnote>
  <w:footnote w:id="46">
    <w:p w14:paraId="23F56C35" w14:textId="41CCF92D" w:rsidR="00B707C5" w:rsidRPr="00237057" w:rsidRDefault="00B707C5" w:rsidP="00237057">
      <w:pPr>
        <w:pStyle w:val="FootnoteText"/>
        <w:jc w:val="both"/>
        <w:rPr>
          <w:rFonts w:asciiTheme="majorHAnsi" w:hAnsiTheme="majorHAnsi" w:cstheme="majorHAnsi"/>
          <w:lang w:val="ru-MD"/>
        </w:rPr>
      </w:pPr>
      <w:r w:rsidRPr="00237057">
        <w:rPr>
          <w:rStyle w:val="FootnoteReference"/>
          <w:rFonts w:asciiTheme="majorHAnsi" w:hAnsiTheme="majorHAnsi" w:cstheme="majorHAnsi"/>
          <w:lang w:val="ru-MD"/>
        </w:rPr>
        <w:footnoteRef/>
      </w:r>
      <w:r w:rsidRPr="00237057">
        <w:rPr>
          <w:rFonts w:asciiTheme="majorHAnsi" w:hAnsiTheme="majorHAnsi" w:cstheme="majorHAnsi"/>
          <w:lang w:val="ru-MD"/>
        </w:rPr>
        <w:t xml:space="preserve"> Ст.10 (1) и (2) Закона о таможенном тарифе №1380 от 20.11.1997.</w:t>
      </w:r>
    </w:p>
  </w:footnote>
  <w:footnote w:id="47">
    <w:p w14:paraId="47CDEFF1" w14:textId="77777777" w:rsidR="00B707C5" w:rsidRPr="00237057" w:rsidRDefault="00B707C5" w:rsidP="00237057">
      <w:pPr>
        <w:pStyle w:val="FootnoteText"/>
        <w:jc w:val="both"/>
        <w:rPr>
          <w:rFonts w:asciiTheme="majorHAnsi" w:hAnsiTheme="majorHAnsi" w:cstheme="majorHAnsi"/>
          <w:lang w:val="ru-MD"/>
        </w:rPr>
      </w:pPr>
      <w:r w:rsidRPr="00237057">
        <w:rPr>
          <w:rStyle w:val="FootnoteReference"/>
          <w:rFonts w:asciiTheme="majorHAnsi" w:hAnsiTheme="majorHAnsi" w:cstheme="majorHAnsi"/>
          <w:lang w:val="ru-MD"/>
        </w:rPr>
        <w:footnoteRef/>
      </w:r>
      <w:r w:rsidRPr="00237057">
        <w:rPr>
          <w:rFonts w:asciiTheme="majorHAnsi" w:hAnsiTheme="majorHAnsi" w:cstheme="majorHAnsi"/>
          <w:lang w:val="ru-MD"/>
        </w:rPr>
        <w:t xml:space="preserve"> Согласно </w:t>
      </w:r>
      <w:r w:rsidRPr="00237057">
        <w:rPr>
          <w:rFonts w:asciiTheme="majorHAnsi" w:eastAsia="Times New Roman" w:hAnsiTheme="majorHAnsi" w:cstheme="majorHAnsi"/>
          <w:lang w:val="ru-MD" w:eastAsia="ro-RO"/>
        </w:rPr>
        <w:t>ст.8 (3) Закона №</w:t>
      </w:r>
      <w:hyperlink r:id="rId5" w:history="1">
        <w:r w:rsidRPr="00237057">
          <w:rPr>
            <w:rFonts w:asciiTheme="majorHAnsi" w:eastAsia="Times New Roman" w:hAnsiTheme="majorHAnsi" w:cstheme="majorHAnsi"/>
            <w:lang w:val="ru-MD" w:eastAsia="ro-RO"/>
          </w:rPr>
          <w:t>1380-XIII от 20.11.1997</w:t>
        </w:r>
      </w:hyperlink>
      <w:r w:rsidRPr="00237057">
        <w:rPr>
          <w:rFonts w:asciiTheme="majorHAnsi" w:eastAsia="Times New Roman" w:hAnsiTheme="majorHAnsi" w:cstheme="majorHAnsi"/>
          <w:lang w:val="ru-MD" w:eastAsia="ro-RO"/>
        </w:rPr>
        <w:t>, таможенный орган вправе самостоятельно определить таможенную стоимость товара, последовательно применяя один из шести методов, предусмотренных ст.10 указанного закона,</w:t>
      </w:r>
      <w:r w:rsidRPr="00237057">
        <w:rPr>
          <w:rFonts w:asciiTheme="majorHAnsi" w:hAnsiTheme="majorHAnsi" w:cstheme="majorHAnsi"/>
          <w:color w:val="333333"/>
          <w:shd w:val="clear" w:color="auto" w:fill="FFFFFF"/>
          <w:lang w:val="ru-MD"/>
        </w:rPr>
        <w:t xml:space="preserve"> </w:t>
      </w:r>
      <w:r w:rsidRPr="00237057">
        <w:rPr>
          <w:rFonts w:asciiTheme="majorHAnsi" w:eastAsia="Times New Roman" w:hAnsiTheme="majorHAnsi" w:cstheme="majorHAnsi"/>
          <w:lang w:val="ru-MD" w:eastAsia="ro-RO"/>
        </w:rPr>
        <w:t>в случае отсутствия данных, подтверждающих правильность определения заявленной таможенной стоимости товара, либо при наличии оснований полагать, что представленные декларантом сведения недостоверны и/или недостаточны.</w:t>
      </w:r>
    </w:p>
  </w:footnote>
  <w:footnote w:id="48">
    <w:p w14:paraId="1C0173A3" w14:textId="7CFD9B2B" w:rsidR="00B707C5" w:rsidRPr="00237057" w:rsidRDefault="00B707C5" w:rsidP="00237057">
      <w:pPr>
        <w:spacing w:after="0"/>
        <w:jc w:val="both"/>
        <w:rPr>
          <w:rFonts w:asciiTheme="majorHAnsi" w:hAnsiTheme="majorHAnsi" w:cstheme="majorHAnsi"/>
          <w:b/>
          <w:sz w:val="20"/>
          <w:szCs w:val="20"/>
          <w:lang w:val="ru-MD"/>
        </w:rPr>
      </w:pPr>
      <w:r w:rsidRPr="00237057">
        <w:rPr>
          <w:rStyle w:val="FootnoteReference"/>
          <w:rFonts w:asciiTheme="majorHAnsi" w:hAnsiTheme="majorHAnsi" w:cstheme="majorHAnsi"/>
          <w:sz w:val="20"/>
          <w:szCs w:val="20"/>
          <w:lang w:val="ru-MD"/>
        </w:rPr>
        <w:footnoteRef/>
      </w:r>
      <w:r w:rsidRPr="00237057">
        <w:rPr>
          <w:rFonts w:asciiTheme="majorHAnsi" w:hAnsiTheme="majorHAnsi" w:cstheme="majorHAnsi"/>
          <w:sz w:val="20"/>
          <w:szCs w:val="20"/>
          <w:lang w:val="ru-MD"/>
        </w:rPr>
        <w:t xml:space="preserve"> П.5 Положения о процедуре проведения посттаможенного контроля таможенными органами</w:t>
      </w:r>
      <w:r w:rsidRPr="00237057">
        <w:rPr>
          <w:rFonts w:asciiTheme="majorHAnsi" w:eastAsia="Times New Roman" w:hAnsiTheme="majorHAnsi" w:cstheme="majorHAnsi"/>
          <w:sz w:val="20"/>
          <w:szCs w:val="20"/>
          <w:lang w:val="ru-MD"/>
        </w:rPr>
        <w:t>,</w:t>
      </w:r>
      <w:r w:rsidR="00237057" w:rsidRPr="00237057">
        <w:rPr>
          <w:rFonts w:asciiTheme="majorHAnsi" w:eastAsia="Times New Roman" w:hAnsiTheme="majorHAnsi" w:cstheme="majorHAnsi"/>
          <w:sz w:val="20"/>
          <w:szCs w:val="20"/>
          <w:lang w:val="ru-MD"/>
        </w:rPr>
        <w:t xml:space="preserve"> </w:t>
      </w:r>
      <w:r w:rsidRPr="00237057">
        <w:rPr>
          <w:rFonts w:asciiTheme="majorHAnsi" w:eastAsia="Times New Roman" w:hAnsiTheme="majorHAnsi" w:cstheme="majorHAnsi"/>
          <w:sz w:val="20"/>
          <w:szCs w:val="20"/>
          <w:lang w:val="ru-MD"/>
        </w:rPr>
        <w:t>утвержденного Постановлением Правительства №1000 от 17.10.2018</w:t>
      </w:r>
      <w:r w:rsidRPr="00237057">
        <w:rPr>
          <w:rFonts w:asciiTheme="majorHAnsi" w:eastAsia="Times New Roman" w:hAnsiTheme="majorHAnsi" w:cstheme="majorHAnsi"/>
          <w:bCs/>
          <w:sz w:val="20"/>
          <w:szCs w:val="20"/>
          <w:lang w:val="ru-MD"/>
        </w:rPr>
        <w:t>.</w:t>
      </w:r>
    </w:p>
  </w:footnote>
  <w:footnote w:id="49">
    <w:p w14:paraId="199D406E" w14:textId="77777777" w:rsidR="00B707C5" w:rsidRPr="00237057" w:rsidRDefault="00B707C5" w:rsidP="00237057">
      <w:pPr>
        <w:pStyle w:val="FootnoteText"/>
        <w:jc w:val="both"/>
        <w:rPr>
          <w:rFonts w:asciiTheme="majorHAnsi" w:hAnsiTheme="majorHAnsi" w:cstheme="majorHAnsi"/>
          <w:lang w:val="ru-MD"/>
        </w:rPr>
      </w:pPr>
      <w:r w:rsidRPr="00237057">
        <w:rPr>
          <w:rStyle w:val="FootnoteReference"/>
          <w:rFonts w:asciiTheme="majorHAnsi" w:hAnsiTheme="majorHAnsi" w:cstheme="majorHAnsi"/>
          <w:lang w:val="ru-MD"/>
        </w:rPr>
        <w:footnoteRef/>
      </w:r>
      <w:r w:rsidRPr="00237057">
        <w:rPr>
          <w:rFonts w:asciiTheme="majorHAnsi" w:hAnsiTheme="majorHAnsi" w:cstheme="majorHAnsi"/>
          <w:lang w:val="ru-MD"/>
        </w:rPr>
        <w:t xml:space="preserve"> Закон №</w:t>
      </w:r>
      <w:r w:rsidRPr="00237057">
        <w:rPr>
          <w:rFonts w:asciiTheme="majorHAnsi" w:eastAsia="Times New Roman" w:hAnsiTheme="majorHAnsi" w:cstheme="majorHAnsi"/>
          <w:color w:val="000000"/>
          <w:lang w:val="ru-MD" w:eastAsia="ru-RU"/>
        </w:rPr>
        <w:t>1380-XIII от 20.11.1997.</w:t>
      </w:r>
    </w:p>
  </w:footnote>
  <w:footnote w:id="50">
    <w:p w14:paraId="099CAB27" w14:textId="0F2CC35A" w:rsidR="00B707C5" w:rsidRPr="00237057" w:rsidRDefault="00B707C5" w:rsidP="00237057">
      <w:pPr>
        <w:pStyle w:val="FootnoteText"/>
        <w:jc w:val="both"/>
        <w:rPr>
          <w:rFonts w:asciiTheme="majorHAnsi" w:hAnsiTheme="majorHAnsi" w:cstheme="majorHAnsi"/>
          <w:lang w:val="ru-MD"/>
        </w:rPr>
      </w:pPr>
      <w:r w:rsidRPr="00237057">
        <w:rPr>
          <w:rStyle w:val="FootnoteReference"/>
          <w:rFonts w:asciiTheme="majorHAnsi" w:hAnsiTheme="majorHAnsi" w:cstheme="majorHAnsi"/>
          <w:lang w:val="ru-MD"/>
        </w:rPr>
        <w:footnoteRef/>
      </w:r>
      <w:r w:rsidRPr="00237057">
        <w:rPr>
          <w:rFonts w:asciiTheme="majorHAnsi" w:hAnsiTheme="majorHAnsi" w:cstheme="majorHAnsi"/>
          <w:lang w:val="ru-MD"/>
        </w:rPr>
        <w:t xml:space="preserve"> Бетономешалки и оборудование для смешивания цемента (код 847431000).</w:t>
      </w:r>
    </w:p>
  </w:footnote>
  <w:footnote w:id="51">
    <w:p w14:paraId="412E86CA" w14:textId="7DDC943D" w:rsidR="00B707C5" w:rsidRPr="00237057" w:rsidRDefault="00B707C5" w:rsidP="00237057">
      <w:pPr>
        <w:pStyle w:val="FootnoteText"/>
        <w:jc w:val="both"/>
        <w:rPr>
          <w:rFonts w:asciiTheme="majorHAnsi" w:hAnsiTheme="majorHAnsi" w:cstheme="majorHAnsi"/>
          <w:lang w:val="ru-MD"/>
        </w:rPr>
      </w:pPr>
      <w:r w:rsidRPr="00237057">
        <w:rPr>
          <w:rStyle w:val="FootnoteReference"/>
          <w:rFonts w:asciiTheme="majorHAnsi" w:hAnsiTheme="majorHAnsi" w:cstheme="majorHAnsi"/>
          <w:lang w:val="ru-MD"/>
        </w:rPr>
        <w:footnoteRef/>
      </w:r>
      <w:r w:rsidRPr="00237057">
        <w:rPr>
          <w:rFonts w:asciiTheme="majorHAnsi" w:hAnsiTheme="majorHAnsi" w:cstheme="majorHAnsi"/>
          <w:lang w:val="ru-MD"/>
        </w:rPr>
        <w:t xml:space="preserve"> Ст.193, Глава 5 „Таможенные вопросы и содействие торговле” Национального Плана действий по внедрению Соглашения об ассоциации Республика Молдова - Европейский Союз на период 2014-2016 годы, утвержденного Постановлением Правительства №808 от 07.10.2014; Глава 5 „Таможенные вопросы и содействие торговле” Постановления Правительства №1472 от 30.12.2016 „</w:t>
      </w:r>
      <w:r w:rsidRPr="00237057">
        <w:rPr>
          <w:rFonts w:asciiTheme="majorHAnsi" w:hAnsiTheme="majorHAnsi" w:cstheme="majorHAnsi"/>
          <w:bCs/>
          <w:lang w:val="ru-MD"/>
        </w:rPr>
        <w:t>Об утверждении Национального плана действий по внедрению Соглашения об ассоциации Республика Молдова – Европейский Союз на 2017 – 2019 годы</w:t>
      </w:r>
      <w:r w:rsidRPr="00237057">
        <w:rPr>
          <w:rFonts w:asciiTheme="majorHAnsi" w:hAnsiTheme="majorHAnsi" w:cstheme="majorHAnsi"/>
          <w:lang w:val="ru-MD"/>
        </w:rPr>
        <w:t>”.</w:t>
      </w:r>
    </w:p>
  </w:footnote>
  <w:footnote w:id="52">
    <w:p w14:paraId="3B96FDA2" w14:textId="77777777" w:rsidR="00B707C5" w:rsidRPr="00237057" w:rsidRDefault="00B707C5" w:rsidP="00237057">
      <w:pPr>
        <w:pStyle w:val="FootnoteText"/>
        <w:jc w:val="both"/>
        <w:rPr>
          <w:rFonts w:asciiTheme="majorHAnsi" w:hAnsiTheme="majorHAnsi" w:cstheme="majorHAnsi"/>
          <w:lang w:val="ru-MD"/>
        </w:rPr>
      </w:pPr>
      <w:r w:rsidRPr="00237057">
        <w:rPr>
          <w:rStyle w:val="FootnoteReference"/>
          <w:rFonts w:asciiTheme="majorHAnsi" w:hAnsiTheme="majorHAnsi" w:cstheme="majorHAnsi"/>
          <w:lang w:val="ru-MD"/>
        </w:rPr>
        <w:footnoteRef/>
      </w:r>
      <w:r w:rsidRPr="00237057">
        <w:rPr>
          <w:rFonts w:asciiTheme="majorHAnsi" w:hAnsiTheme="majorHAnsi" w:cstheme="majorHAnsi"/>
          <w:lang w:val="ru-MD"/>
        </w:rPr>
        <w:t xml:space="preserve"> Письма Управления таможенной стоимости, классификации и происхождения товаров, направленные Управлению развития и информационной безопасности: №3985 от 19.07.2016; №7294 от 16.12.2016; №7142 от 23.10.2020 и №1124 от 24.02.2021.</w:t>
      </w:r>
    </w:p>
  </w:footnote>
  <w:footnote w:id="53">
    <w:p w14:paraId="1E92C07B" w14:textId="77777777" w:rsidR="00B707C5" w:rsidRPr="00237057" w:rsidRDefault="00B707C5" w:rsidP="00237057">
      <w:pPr>
        <w:spacing w:after="0" w:line="240" w:lineRule="auto"/>
        <w:jc w:val="both"/>
        <w:rPr>
          <w:rFonts w:asciiTheme="majorHAnsi" w:hAnsiTheme="majorHAnsi" w:cstheme="majorHAnsi"/>
          <w:sz w:val="20"/>
          <w:szCs w:val="20"/>
          <w:lang w:val="ru-MD"/>
        </w:rPr>
      </w:pPr>
      <w:r w:rsidRPr="00237057">
        <w:rPr>
          <w:rStyle w:val="FootnoteReference"/>
          <w:rFonts w:asciiTheme="majorHAnsi" w:hAnsiTheme="majorHAnsi" w:cstheme="majorHAnsi"/>
          <w:sz w:val="20"/>
          <w:szCs w:val="20"/>
          <w:lang w:val="ru-MD"/>
        </w:rPr>
        <w:footnoteRef/>
      </w:r>
      <w:r w:rsidRPr="00237057">
        <w:rPr>
          <w:rFonts w:asciiTheme="majorHAnsi" w:hAnsiTheme="majorHAnsi" w:cstheme="majorHAnsi"/>
          <w:sz w:val="20"/>
          <w:szCs w:val="20"/>
          <w:lang w:val="ru-MD"/>
        </w:rPr>
        <w:t xml:space="preserve"> П.1 Положения о порядке декларирования таможенной стоимости товаров, утвержденного Постановление Правительства №974 от 15.08. 2016</w:t>
      </w:r>
      <w:r w:rsidRPr="00237057">
        <w:rPr>
          <w:rFonts w:asciiTheme="majorHAnsi" w:eastAsia="Times New Roman" w:hAnsiTheme="majorHAnsi" w:cstheme="majorHAnsi"/>
          <w:bCs/>
          <w:sz w:val="20"/>
          <w:szCs w:val="20"/>
          <w:lang w:val="ru-MD"/>
        </w:rPr>
        <w:t>.</w:t>
      </w:r>
      <w:r w:rsidRPr="00237057">
        <w:rPr>
          <w:rFonts w:asciiTheme="majorHAnsi" w:hAnsiTheme="majorHAnsi" w:cstheme="majorHAnsi"/>
          <w:sz w:val="20"/>
          <w:szCs w:val="20"/>
          <w:lang w:val="ru-MD"/>
        </w:rPr>
        <w:t xml:space="preserve"> </w:t>
      </w:r>
    </w:p>
  </w:footnote>
  <w:footnote w:id="54">
    <w:p w14:paraId="178E16C2" w14:textId="7C07341A" w:rsidR="00B707C5" w:rsidRPr="00237057" w:rsidRDefault="00B707C5" w:rsidP="00237057">
      <w:pPr>
        <w:pStyle w:val="FootnoteText"/>
        <w:jc w:val="both"/>
        <w:rPr>
          <w:rFonts w:asciiTheme="majorHAnsi" w:hAnsiTheme="majorHAnsi" w:cstheme="majorHAnsi"/>
          <w:lang w:val="ru-MD"/>
        </w:rPr>
      </w:pPr>
      <w:r w:rsidRPr="00237057">
        <w:rPr>
          <w:rStyle w:val="FootnoteReference"/>
          <w:rFonts w:asciiTheme="majorHAnsi" w:hAnsiTheme="majorHAnsi" w:cstheme="majorHAnsi"/>
          <w:lang w:val="ru-MD"/>
        </w:rPr>
        <w:footnoteRef/>
      </w:r>
      <w:r w:rsidRPr="00237057">
        <w:rPr>
          <w:rFonts w:asciiTheme="majorHAnsi" w:hAnsiTheme="majorHAnsi" w:cstheme="majorHAnsi"/>
          <w:lang w:val="ru-MD"/>
        </w:rPr>
        <w:t xml:space="preserve"> Письма Управления таможенной стоимости, классификации и происхождения товаров, направленные Управлению развития и информационной безопасности: №7973 от 20.12.2014; №124 от 15.01.2015; №208 от 19.01.2015; №2121 от 30.04.2015; №2138 от 30.04.2015; №2140 от 30.04.2015; №2565 от 26.05.2015; №3982 от 17.08.2015; №251 от 12.01.2017 и №2900 от 10.05.2017.</w:t>
      </w:r>
    </w:p>
  </w:footnote>
  <w:footnote w:id="55">
    <w:p w14:paraId="5F4C8483" w14:textId="14DA1A98" w:rsidR="00B707C5" w:rsidRPr="00237057" w:rsidRDefault="00B707C5" w:rsidP="00237057">
      <w:pPr>
        <w:pStyle w:val="FootnoteText"/>
        <w:jc w:val="both"/>
        <w:rPr>
          <w:rFonts w:asciiTheme="majorHAnsi" w:hAnsiTheme="majorHAnsi" w:cstheme="majorHAnsi"/>
          <w:lang w:val="ru-MD"/>
        </w:rPr>
      </w:pPr>
      <w:r w:rsidRPr="00237057">
        <w:rPr>
          <w:rStyle w:val="FootnoteReference"/>
          <w:rFonts w:asciiTheme="majorHAnsi" w:hAnsiTheme="majorHAnsi" w:cstheme="majorHAnsi"/>
          <w:lang w:val="ru-MD"/>
        </w:rPr>
        <w:footnoteRef/>
      </w:r>
      <w:r w:rsidRPr="00237057">
        <w:rPr>
          <w:rFonts w:asciiTheme="majorHAnsi" w:hAnsiTheme="majorHAnsi" w:cstheme="majorHAnsi"/>
          <w:lang w:val="ru-MD"/>
        </w:rPr>
        <w:t xml:space="preserve"> Письмо Управления таможенной стоимости, классификации и происхождения товаров от 21.04.2021, направленное Управлению по организации таможенного контроля и содействию торговле, №276-C от 19.04.2021.</w:t>
      </w:r>
    </w:p>
  </w:footnote>
  <w:footnote w:id="56">
    <w:p w14:paraId="5ED16F63" w14:textId="08AAC879" w:rsidR="00B707C5" w:rsidRPr="00237057" w:rsidRDefault="00B707C5" w:rsidP="00237057">
      <w:pPr>
        <w:widowControl w:val="0"/>
        <w:tabs>
          <w:tab w:val="left" w:pos="861"/>
        </w:tabs>
        <w:spacing w:after="0" w:line="240" w:lineRule="auto"/>
        <w:jc w:val="both"/>
        <w:rPr>
          <w:rFonts w:asciiTheme="majorHAnsi" w:hAnsiTheme="majorHAnsi" w:cstheme="majorHAnsi"/>
          <w:sz w:val="20"/>
          <w:szCs w:val="20"/>
          <w:lang w:val="ru-MD"/>
        </w:rPr>
      </w:pPr>
      <w:r w:rsidRPr="00237057">
        <w:rPr>
          <w:rStyle w:val="FootnoteReference"/>
          <w:rFonts w:asciiTheme="majorHAnsi" w:hAnsiTheme="majorHAnsi" w:cstheme="majorHAnsi"/>
          <w:sz w:val="20"/>
          <w:szCs w:val="20"/>
          <w:lang w:val="ru-MD"/>
        </w:rPr>
        <w:footnoteRef/>
      </w:r>
      <w:r w:rsidRPr="00237057">
        <w:rPr>
          <w:rFonts w:asciiTheme="majorHAnsi" w:hAnsiTheme="majorHAnsi" w:cstheme="majorHAnsi"/>
          <w:sz w:val="20"/>
          <w:szCs w:val="20"/>
          <w:lang w:val="ru-MD"/>
        </w:rPr>
        <w:t xml:space="preserve"> Таможенный кодекс; Закон №1380-XIII от 20.11.1997; Приказ Таможенной службы №325-0 от 12.07.2012 „</w:t>
      </w:r>
      <w:r w:rsidRPr="00237057">
        <w:rPr>
          <w:rFonts w:asciiTheme="majorHAnsi" w:hAnsiTheme="majorHAnsi" w:cstheme="majorHAnsi"/>
          <w:bCs/>
          <w:sz w:val="20"/>
          <w:szCs w:val="20"/>
          <w:lang w:val="ru-MD"/>
        </w:rPr>
        <w:t>Об утверждении Инструкции по запросу и предоставлению обязательной информации о происхождении товаров</w:t>
      </w:r>
      <w:r w:rsidRPr="00237057">
        <w:rPr>
          <w:rFonts w:asciiTheme="majorHAnsi" w:hAnsiTheme="majorHAnsi" w:cstheme="majorHAnsi"/>
          <w:sz w:val="20"/>
          <w:szCs w:val="20"/>
          <w:lang w:val="ru-MD"/>
        </w:rPr>
        <w:t>”.</w:t>
      </w:r>
    </w:p>
  </w:footnote>
  <w:footnote w:id="57">
    <w:p w14:paraId="4EDCDE7E" w14:textId="6781ADD0" w:rsidR="00B707C5" w:rsidRPr="00237057" w:rsidRDefault="00B707C5" w:rsidP="00237057">
      <w:pPr>
        <w:pStyle w:val="FootnoteText"/>
        <w:jc w:val="both"/>
        <w:rPr>
          <w:rFonts w:asciiTheme="majorHAnsi" w:hAnsiTheme="majorHAnsi" w:cstheme="majorHAnsi"/>
          <w:lang w:val="ru-MD"/>
        </w:rPr>
      </w:pPr>
      <w:r w:rsidRPr="00237057">
        <w:rPr>
          <w:rStyle w:val="FootnoteReference"/>
          <w:rFonts w:asciiTheme="majorHAnsi" w:hAnsiTheme="majorHAnsi" w:cstheme="majorHAnsi"/>
          <w:lang w:val="ru-MD"/>
        </w:rPr>
        <w:footnoteRef/>
      </w:r>
      <w:r w:rsidRPr="00237057">
        <w:rPr>
          <w:rFonts w:asciiTheme="majorHAnsi" w:hAnsiTheme="majorHAnsi" w:cstheme="majorHAnsi"/>
          <w:lang w:val="ru-MD"/>
        </w:rPr>
        <w:t xml:space="preserve"> В 2020 году было импортировано 831,8 тыс. тонн нефтепродуктов, в том числе дизельное топливо-603,5 тыс. тонн, бензин-211,5 тыс. тонн, и </w:t>
      </w:r>
      <w:r w:rsidRPr="00237057">
        <w:rPr>
          <w:rFonts w:asciiTheme="majorHAnsi" w:eastAsia="Times New Roman" w:hAnsiTheme="majorHAnsi" w:cstheme="majorHAnsi"/>
          <w:bCs/>
          <w:lang w:val="ru-MD" w:eastAsia="ro-RO"/>
        </w:rPr>
        <w:t xml:space="preserve">Jet Fuel A </w:t>
      </w:r>
      <w:r w:rsidRPr="00237057">
        <w:rPr>
          <w:rFonts w:asciiTheme="majorHAnsi" w:hAnsiTheme="majorHAnsi" w:cstheme="majorHAnsi"/>
          <w:lang w:val="ru-MD"/>
        </w:rPr>
        <w:t>l - 16,7 тыс. тонн.</w:t>
      </w:r>
    </w:p>
  </w:footnote>
  <w:footnote w:id="58">
    <w:p w14:paraId="7A1A120E" w14:textId="47C96664" w:rsidR="00B707C5" w:rsidRPr="00237057" w:rsidRDefault="00B707C5" w:rsidP="00237057">
      <w:pPr>
        <w:spacing w:after="0"/>
        <w:jc w:val="both"/>
        <w:rPr>
          <w:rFonts w:asciiTheme="majorHAnsi" w:hAnsiTheme="majorHAnsi" w:cstheme="majorHAnsi"/>
          <w:sz w:val="20"/>
          <w:szCs w:val="20"/>
          <w:lang w:val="ru-MD"/>
        </w:rPr>
      </w:pPr>
      <w:r w:rsidRPr="00237057">
        <w:rPr>
          <w:rStyle w:val="FootnoteReference"/>
          <w:rFonts w:asciiTheme="majorHAnsi" w:hAnsiTheme="majorHAnsi" w:cstheme="majorHAnsi"/>
          <w:sz w:val="20"/>
          <w:szCs w:val="20"/>
          <w:lang w:val="ru-MD"/>
        </w:rPr>
        <w:footnoteRef/>
      </w:r>
      <w:r w:rsidRPr="00237057">
        <w:rPr>
          <w:rFonts w:asciiTheme="majorHAnsi" w:hAnsiTheme="majorHAnsi" w:cstheme="majorHAnsi"/>
          <w:sz w:val="20"/>
          <w:szCs w:val="20"/>
          <w:lang w:val="ru-MD"/>
        </w:rPr>
        <w:t xml:space="preserve"> В 2021 году было импортировано 927,7 тыс. тонн нефтепродуктов, в том числе дизельное топливо - 654,9 тыс. тонн, бензин - 230,9 тыс. тонн, и </w:t>
      </w:r>
      <w:r w:rsidRPr="00237057">
        <w:rPr>
          <w:rFonts w:asciiTheme="majorHAnsi" w:hAnsiTheme="majorHAnsi" w:cstheme="majorHAnsi"/>
          <w:bCs/>
          <w:sz w:val="20"/>
          <w:szCs w:val="20"/>
          <w:lang w:val="ru-MD"/>
        </w:rPr>
        <w:t xml:space="preserve">Jet Fuel </w:t>
      </w:r>
      <w:r w:rsidRPr="00237057">
        <w:rPr>
          <w:rFonts w:asciiTheme="majorHAnsi" w:hAnsiTheme="majorHAnsi" w:cstheme="majorHAnsi"/>
          <w:sz w:val="20"/>
          <w:szCs w:val="20"/>
          <w:lang w:val="ru-MD"/>
        </w:rPr>
        <w:t>А1 - 41,7 тыс. тонн.</w:t>
      </w:r>
    </w:p>
  </w:footnote>
  <w:footnote w:id="59">
    <w:p w14:paraId="1ED12ADE" w14:textId="522BCC7A" w:rsidR="00B707C5" w:rsidRPr="00237057" w:rsidRDefault="00B707C5" w:rsidP="00237057">
      <w:pPr>
        <w:pStyle w:val="FootnoteText"/>
        <w:jc w:val="both"/>
        <w:rPr>
          <w:rFonts w:asciiTheme="majorHAnsi" w:hAnsiTheme="majorHAnsi" w:cstheme="majorHAnsi"/>
          <w:lang w:val="ru-MD"/>
        </w:rPr>
      </w:pPr>
      <w:r w:rsidRPr="00237057">
        <w:rPr>
          <w:rStyle w:val="FootnoteReference"/>
          <w:rFonts w:asciiTheme="majorHAnsi" w:hAnsiTheme="majorHAnsi" w:cstheme="majorHAnsi"/>
          <w:lang w:val="ru-MD"/>
        </w:rPr>
        <w:footnoteRef/>
      </w:r>
      <w:r w:rsidRPr="00237057">
        <w:rPr>
          <w:rFonts w:asciiTheme="majorHAnsi" w:hAnsiTheme="majorHAnsi" w:cstheme="majorHAnsi"/>
          <w:lang w:val="ru-MD"/>
        </w:rPr>
        <w:t xml:space="preserve"> ООО „Lukoil –Moldova”; ООО „Rompetrol Moldova”; ООО „Petrom Moldova”.</w:t>
      </w:r>
    </w:p>
  </w:footnote>
  <w:footnote w:id="60">
    <w:p w14:paraId="5A93A51B" w14:textId="45572051" w:rsidR="00B707C5" w:rsidRPr="00237057" w:rsidRDefault="00B707C5" w:rsidP="00237057">
      <w:pPr>
        <w:pStyle w:val="FootnoteText"/>
        <w:jc w:val="both"/>
        <w:rPr>
          <w:rFonts w:asciiTheme="majorHAnsi" w:hAnsiTheme="majorHAnsi" w:cstheme="majorHAnsi"/>
          <w:noProof/>
          <w:lang w:val="ru-MD"/>
        </w:rPr>
      </w:pPr>
      <w:r w:rsidRPr="00237057">
        <w:rPr>
          <w:rStyle w:val="FootnoteReference"/>
          <w:rFonts w:asciiTheme="majorHAnsi" w:hAnsiTheme="majorHAnsi" w:cstheme="majorHAnsi"/>
          <w:noProof/>
          <w:lang w:val="ru-MD"/>
        </w:rPr>
        <w:footnoteRef/>
      </w:r>
      <w:r w:rsidRPr="00237057">
        <w:rPr>
          <w:rFonts w:asciiTheme="majorHAnsi" w:hAnsiTheme="majorHAnsi" w:cstheme="majorHAnsi"/>
          <w:noProof/>
          <w:lang w:val="ru-MD"/>
        </w:rPr>
        <w:t xml:space="preserve"> ООО„Lukoil–Moldova</w:t>
      </w:r>
      <w:r w:rsidRPr="00237057">
        <w:rPr>
          <w:rFonts w:asciiTheme="majorHAnsi" w:hAnsiTheme="majorHAnsi" w:cstheme="majorHAnsi"/>
          <w:lang w:val="ru-MD"/>
        </w:rPr>
        <w:t>”</w:t>
      </w:r>
      <w:r w:rsidRPr="00237057">
        <w:rPr>
          <w:rFonts w:asciiTheme="majorHAnsi" w:hAnsiTheme="majorHAnsi" w:cstheme="majorHAnsi"/>
          <w:noProof/>
          <w:lang w:val="ru-MD"/>
        </w:rPr>
        <w:t>; ООО „Rompetrol Moldova”; ООО „Avante”; ООО „Veronadina”; ООО „Cancun Prim”; ООО „Naftatrans”.</w:t>
      </w:r>
    </w:p>
  </w:footnote>
  <w:footnote w:id="61">
    <w:p w14:paraId="5BF1DF8B" w14:textId="140BB9CC" w:rsidR="00B707C5" w:rsidRPr="00237057" w:rsidRDefault="00B707C5" w:rsidP="00237057">
      <w:pPr>
        <w:pStyle w:val="FootnoteText"/>
        <w:jc w:val="both"/>
        <w:rPr>
          <w:rFonts w:asciiTheme="majorHAnsi" w:hAnsiTheme="majorHAnsi" w:cstheme="majorHAnsi"/>
          <w:noProof/>
          <w:lang w:val="ru-MD"/>
        </w:rPr>
      </w:pPr>
      <w:r w:rsidRPr="00237057">
        <w:rPr>
          <w:rStyle w:val="FootnoteReference"/>
          <w:rFonts w:asciiTheme="majorHAnsi" w:hAnsiTheme="majorHAnsi" w:cstheme="majorHAnsi"/>
          <w:noProof/>
          <w:lang w:val="ru-MD"/>
        </w:rPr>
        <w:footnoteRef/>
      </w:r>
      <w:r w:rsidRPr="00237057">
        <w:rPr>
          <w:rFonts w:asciiTheme="majorHAnsi" w:hAnsiTheme="majorHAnsi" w:cstheme="majorHAnsi"/>
          <w:noProof/>
          <w:lang w:val="ru-MD"/>
        </w:rPr>
        <w:t xml:space="preserve"> ООО„Lukoil –Moldova</w:t>
      </w:r>
      <w:r w:rsidRPr="00237057">
        <w:rPr>
          <w:rFonts w:asciiTheme="majorHAnsi" w:hAnsiTheme="majorHAnsi" w:cstheme="majorHAnsi"/>
          <w:lang w:val="ru-MD"/>
        </w:rPr>
        <w:t>”</w:t>
      </w:r>
      <w:r w:rsidRPr="00237057">
        <w:rPr>
          <w:rFonts w:asciiTheme="majorHAnsi" w:hAnsiTheme="majorHAnsi" w:cstheme="majorHAnsi"/>
          <w:noProof/>
          <w:lang w:val="ru-MD"/>
        </w:rPr>
        <w:t>.</w:t>
      </w:r>
    </w:p>
  </w:footnote>
  <w:footnote w:id="62">
    <w:p w14:paraId="3B422379" w14:textId="5587A65D" w:rsidR="00B707C5" w:rsidRPr="00237057" w:rsidRDefault="00B707C5" w:rsidP="00237057">
      <w:pPr>
        <w:pStyle w:val="FootnoteText"/>
        <w:jc w:val="both"/>
        <w:rPr>
          <w:rFonts w:asciiTheme="majorHAnsi" w:hAnsiTheme="majorHAnsi" w:cstheme="majorHAnsi"/>
          <w:noProof/>
          <w:lang w:val="ru-MD"/>
        </w:rPr>
      </w:pPr>
      <w:r w:rsidRPr="00237057">
        <w:rPr>
          <w:rStyle w:val="FootnoteReference"/>
          <w:rFonts w:asciiTheme="majorHAnsi" w:hAnsiTheme="majorHAnsi" w:cstheme="majorHAnsi"/>
          <w:noProof/>
          <w:lang w:val="ru-MD"/>
        </w:rPr>
        <w:footnoteRef/>
      </w:r>
      <w:r w:rsidRPr="00237057">
        <w:rPr>
          <w:rFonts w:asciiTheme="majorHAnsi" w:hAnsiTheme="majorHAnsi" w:cstheme="majorHAnsi"/>
          <w:noProof/>
          <w:lang w:val="ru-MD"/>
        </w:rPr>
        <w:t xml:space="preserve"> ООО „Lukoil–Moldova” импортировало 16,6 тыс. тонн бензина на сумму 226,8 млн. леев, страна сделки Швейцария, страна экспедиции и страна происхождения товара в 79% - Румыния и 10% - Болгария; ООО „Cancun Prim” - 265 тонн на сумму 3,9 </w:t>
      </w:r>
      <w:r w:rsidRPr="00237057">
        <w:rPr>
          <w:rFonts w:asciiTheme="majorHAnsi" w:eastAsia="Times New Roman" w:hAnsiTheme="majorHAnsi" w:cstheme="majorHAnsi"/>
          <w:noProof/>
          <w:lang w:val="ru-MD" w:eastAsia="ro-RO"/>
        </w:rPr>
        <w:t>млн. леев</w:t>
      </w:r>
      <w:r w:rsidRPr="00237057">
        <w:rPr>
          <w:rFonts w:asciiTheme="majorHAnsi" w:hAnsiTheme="majorHAnsi" w:cstheme="majorHAnsi"/>
          <w:noProof/>
          <w:lang w:val="ru-MD"/>
        </w:rPr>
        <w:t xml:space="preserve">, из Румынии, страна сделки Кипр; ООО „Naftatrans” - 267 тонн на сумму 3,9 </w:t>
      </w:r>
      <w:r w:rsidRPr="00237057">
        <w:rPr>
          <w:rFonts w:asciiTheme="majorHAnsi" w:eastAsia="Times New Roman" w:hAnsiTheme="majorHAnsi" w:cstheme="majorHAnsi"/>
          <w:noProof/>
          <w:lang w:val="ru-MD" w:eastAsia="ro-RO"/>
        </w:rPr>
        <w:t>млн. леев</w:t>
      </w:r>
      <w:r w:rsidRPr="00237057">
        <w:rPr>
          <w:rFonts w:asciiTheme="majorHAnsi" w:hAnsiTheme="majorHAnsi" w:cstheme="majorHAnsi"/>
          <w:noProof/>
          <w:lang w:val="ru-MD"/>
        </w:rPr>
        <w:t xml:space="preserve"> из Румынии, страна сделки-Кипр</w:t>
      </w:r>
      <w:r w:rsidRPr="00237057">
        <w:rPr>
          <w:rFonts w:asciiTheme="majorHAnsi" w:eastAsia="Times New Roman" w:hAnsiTheme="majorHAnsi" w:cstheme="majorHAnsi"/>
          <w:noProof/>
          <w:lang w:val="ru-MD" w:eastAsia="ro-RO"/>
        </w:rPr>
        <w:t>.</w:t>
      </w:r>
    </w:p>
  </w:footnote>
  <w:footnote w:id="63">
    <w:p w14:paraId="00EB5E81" w14:textId="6FB0A4D3" w:rsidR="00B707C5" w:rsidRPr="00237057" w:rsidRDefault="00B707C5" w:rsidP="00237057">
      <w:pPr>
        <w:pStyle w:val="FootnoteText"/>
        <w:jc w:val="both"/>
        <w:rPr>
          <w:rFonts w:asciiTheme="majorHAnsi" w:hAnsiTheme="majorHAnsi" w:cstheme="majorHAnsi"/>
          <w:noProof/>
          <w:lang w:val="ru-MD"/>
        </w:rPr>
      </w:pPr>
      <w:r w:rsidRPr="00237057">
        <w:rPr>
          <w:rStyle w:val="FootnoteReference"/>
          <w:rFonts w:asciiTheme="majorHAnsi" w:hAnsiTheme="majorHAnsi" w:cstheme="majorHAnsi"/>
          <w:noProof/>
          <w:lang w:val="ru-MD"/>
        </w:rPr>
        <w:footnoteRef/>
      </w:r>
      <w:r w:rsidRPr="00237057">
        <w:rPr>
          <w:rFonts w:asciiTheme="majorHAnsi" w:hAnsiTheme="majorHAnsi" w:cstheme="majorHAnsi"/>
          <w:noProof/>
          <w:lang w:val="ru-MD"/>
        </w:rPr>
        <w:t>Ст.11 (c), (d) и (i) Таможенного кодекса №</w:t>
      </w:r>
      <w:r w:rsidRPr="00237057">
        <w:rPr>
          <w:rFonts w:asciiTheme="majorHAnsi" w:eastAsia="Times New Roman" w:hAnsiTheme="majorHAnsi" w:cstheme="majorHAnsi"/>
          <w:noProof/>
          <w:lang w:val="ru-MD"/>
        </w:rPr>
        <w:t>1149 от 20.07.2000;</w:t>
      </w:r>
      <w:r w:rsidRPr="00237057">
        <w:rPr>
          <w:rFonts w:asciiTheme="majorHAnsi" w:hAnsiTheme="majorHAnsi" w:cstheme="majorHAnsi"/>
          <w:noProof/>
          <w:color w:val="000000"/>
          <w:lang w:val="ru-MD"/>
        </w:rPr>
        <w:t xml:space="preserve"> Постановление Национального банка Молдовы №</w:t>
      </w:r>
      <w:r w:rsidRPr="00237057">
        <w:rPr>
          <w:rFonts w:asciiTheme="majorHAnsi" w:hAnsiTheme="majorHAnsi" w:cstheme="majorHAnsi"/>
          <w:bCs/>
          <w:noProof/>
          <w:color w:val="000000"/>
          <w:lang w:val="ru-MD"/>
        </w:rPr>
        <w:t xml:space="preserve">91 от 02.05.2013 </w:t>
      </w:r>
      <w:r w:rsidRPr="00237057">
        <w:rPr>
          <w:rFonts w:asciiTheme="majorHAnsi" w:hAnsiTheme="majorHAnsi" w:cstheme="majorHAnsi"/>
          <w:noProof/>
          <w:color w:val="000000"/>
          <w:lang w:val="ru-MD"/>
        </w:rPr>
        <w:t>„</w:t>
      </w:r>
      <w:r w:rsidRPr="00237057">
        <w:rPr>
          <w:rFonts w:asciiTheme="majorHAnsi" w:hAnsiTheme="majorHAnsi" w:cstheme="majorHAnsi"/>
          <w:bCs/>
          <w:noProof/>
          <w:color w:val="000000"/>
          <w:lang w:val="ru-MD"/>
        </w:rPr>
        <w:t>Об определении перечня юрисдикций, не отвечающих международным стандартам прозрачности</w:t>
      </w:r>
      <w:r w:rsidRPr="00237057">
        <w:rPr>
          <w:rFonts w:asciiTheme="majorHAnsi" w:hAnsiTheme="majorHAnsi" w:cstheme="majorHAnsi"/>
          <w:noProof/>
          <w:color w:val="000000"/>
          <w:lang w:val="ru-MD"/>
        </w:rPr>
        <w:t xml:space="preserve">”.  </w:t>
      </w:r>
    </w:p>
  </w:footnote>
  <w:footnote w:id="64">
    <w:p w14:paraId="56B75E76" w14:textId="7D6089B7" w:rsidR="00B707C5" w:rsidRPr="00237057" w:rsidRDefault="00B707C5" w:rsidP="00237057">
      <w:pPr>
        <w:tabs>
          <w:tab w:val="left" w:pos="851"/>
        </w:tabs>
        <w:spacing w:after="0"/>
        <w:contextualSpacing/>
        <w:jc w:val="both"/>
        <w:rPr>
          <w:rFonts w:asciiTheme="majorHAnsi" w:hAnsiTheme="majorHAnsi" w:cstheme="majorHAnsi"/>
          <w:noProof/>
          <w:sz w:val="20"/>
          <w:szCs w:val="20"/>
          <w:lang w:val="ru-MD"/>
        </w:rPr>
      </w:pPr>
      <w:r w:rsidRPr="00237057">
        <w:rPr>
          <w:rStyle w:val="FootnoteReference"/>
          <w:rFonts w:asciiTheme="majorHAnsi" w:hAnsiTheme="majorHAnsi" w:cstheme="majorHAnsi"/>
          <w:noProof/>
          <w:sz w:val="20"/>
          <w:szCs w:val="20"/>
          <w:lang w:val="ru-MD"/>
        </w:rPr>
        <w:footnoteRef/>
      </w:r>
      <w:r w:rsidRPr="00237057">
        <w:rPr>
          <w:rFonts w:asciiTheme="majorHAnsi" w:hAnsiTheme="majorHAnsi" w:cstheme="majorHAnsi"/>
          <w:noProof/>
          <w:sz w:val="20"/>
          <w:szCs w:val="20"/>
          <w:lang w:val="ru-MD"/>
        </w:rPr>
        <w:t xml:space="preserve"> ООО „Avante” импортировало 10,4 тыс. тонн дизельного топлива на сумму 44,8 </w:t>
      </w:r>
      <w:r w:rsidRPr="00237057">
        <w:rPr>
          <w:rFonts w:asciiTheme="majorHAnsi" w:eastAsia="Times New Roman" w:hAnsiTheme="majorHAnsi" w:cstheme="majorHAnsi"/>
          <w:noProof/>
          <w:sz w:val="20"/>
          <w:szCs w:val="20"/>
          <w:lang w:val="ru-MD" w:eastAsia="ro-RO"/>
        </w:rPr>
        <w:t>млн. леев</w:t>
      </w:r>
      <w:r w:rsidRPr="00237057">
        <w:rPr>
          <w:rFonts w:asciiTheme="majorHAnsi" w:hAnsiTheme="majorHAnsi" w:cstheme="majorHAnsi"/>
          <w:noProof/>
          <w:sz w:val="20"/>
          <w:szCs w:val="20"/>
          <w:lang w:val="ru-MD"/>
        </w:rPr>
        <w:t xml:space="preserve"> из Румынии и Беларуси, в том числе 5,9 тыс. тонн на сумму 39,0 </w:t>
      </w:r>
      <w:r w:rsidRPr="00237057">
        <w:rPr>
          <w:rFonts w:asciiTheme="majorHAnsi" w:eastAsia="Times New Roman" w:hAnsiTheme="majorHAnsi" w:cstheme="majorHAnsi"/>
          <w:noProof/>
          <w:sz w:val="20"/>
          <w:szCs w:val="20"/>
          <w:lang w:val="ru-MD" w:eastAsia="ro-RO"/>
        </w:rPr>
        <w:t>млн. леев,</w:t>
      </w:r>
      <w:r w:rsidRPr="00237057">
        <w:rPr>
          <w:rFonts w:asciiTheme="majorHAnsi" w:hAnsiTheme="majorHAnsi" w:cstheme="majorHAnsi"/>
          <w:noProof/>
          <w:sz w:val="20"/>
          <w:szCs w:val="20"/>
          <w:lang w:val="ru-MD"/>
        </w:rPr>
        <w:t xml:space="preserve"> страна сделки-Швейцария, и 4,5 тыс. тонн в сумме 39,0 </w:t>
      </w:r>
      <w:r w:rsidRPr="00237057">
        <w:rPr>
          <w:rFonts w:asciiTheme="majorHAnsi" w:eastAsia="Times New Roman" w:hAnsiTheme="majorHAnsi" w:cstheme="majorHAnsi"/>
          <w:noProof/>
          <w:sz w:val="20"/>
          <w:szCs w:val="20"/>
          <w:lang w:val="ru-MD" w:eastAsia="ro-RO"/>
        </w:rPr>
        <w:t>млн. леев,</w:t>
      </w:r>
      <w:r w:rsidRPr="00237057">
        <w:rPr>
          <w:rFonts w:asciiTheme="majorHAnsi" w:hAnsiTheme="majorHAnsi" w:cstheme="majorHAnsi"/>
          <w:noProof/>
          <w:sz w:val="20"/>
          <w:szCs w:val="20"/>
          <w:lang w:val="ru-MD"/>
        </w:rPr>
        <w:t xml:space="preserve"> страна сделки-Кипр; ООО„Veronadina” импортировало 9,9 тыс. тонн на сумму 74,0 тыс. тонн. навоз из Беларуси, страна сделки-Швейцария; ОВОС "Нафтатранс" импортировал 1,6 тыс. тонн на сумму 14,1 </w:t>
      </w:r>
      <w:r w:rsidRPr="00237057">
        <w:rPr>
          <w:rFonts w:asciiTheme="majorHAnsi" w:eastAsia="Times New Roman" w:hAnsiTheme="majorHAnsi" w:cstheme="majorHAnsi"/>
          <w:noProof/>
          <w:sz w:val="20"/>
          <w:szCs w:val="20"/>
          <w:lang w:val="ru-MD" w:eastAsia="ro-RO"/>
        </w:rPr>
        <w:t>млн. леев, из</w:t>
      </w:r>
      <w:r w:rsidRPr="00237057">
        <w:rPr>
          <w:rFonts w:asciiTheme="majorHAnsi" w:hAnsiTheme="majorHAnsi" w:cstheme="majorHAnsi"/>
          <w:noProof/>
          <w:sz w:val="20"/>
          <w:szCs w:val="20"/>
          <w:lang w:val="ru-MD"/>
        </w:rPr>
        <w:t xml:space="preserve"> Беларуси, страна сделки-Кипр</w:t>
      </w:r>
      <w:r w:rsidRPr="00237057">
        <w:rPr>
          <w:rFonts w:asciiTheme="majorHAnsi" w:eastAsia="Times New Roman" w:hAnsiTheme="majorHAnsi" w:cstheme="majorHAnsi"/>
          <w:noProof/>
          <w:sz w:val="20"/>
          <w:szCs w:val="20"/>
          <w:lang w:val="ru-MD" w:eastAsia="ro-RO"/>
        </w:rPr>
        <w:t xml:space="preserve">. </w:t>
      </w:r>
    </w:p>
  </w:footnote>
  <w:footnote w:id="65">
    <w:p w14:paraId="00ABC2BF" w14:textId="5A2D3D4C" w:rsidR="00B707C5" w:rsidRPr="00237057" w:rsidRDefault="00B707C5" w:rsidP="00237057">
      <w:pPr>
        <w:pStyle w:val="FootnoteText"/>
        <w:jc w:val="both"/>
        <w:rPr>
          <w:rFonts w:asciiTheme="majorHAnsi" w:hAnsiTheme="majorHAnsi" w:cstheme="majorHAnsi"/>
          <w:lang w:val="ru-MD"/>
        </w:rPr>
      </w:pPr>
      <w:r w:rsidRPr="00237057">
        <w:rPr>
          <w:rStyle w:val="FootnoteReference"/>
          <w:rFonts w:asciiTheme="majorHAnsi" w:hAnsiTheme="majorHAnsi" w:cstheme="majorHAnsi"/>
          <w:lang w:val="ru-MD"/>
        </w:rPr>
        <w:footnoteRef/>
      </w:r>
      <w:r w:rsidRPr="00237057">
        <w:rPr>
          <w:rFonts w:asciiTheme="majorHAnsi" w:hAnsiTheme="majorHAnsi" w:cstheme="majorHAnsi"/>
          <w:lang w:val="ru-MD"/>
        </w:rPr>
        <w:t xml:space="preserve"> </w:t>
      </w:r>
      <w:r w:rsidRPr="00237057">
        <w:rPr>
          <w:rFonts w:asciiTheme="majorHAnsi" w:hAnsiTheme="majorHAnsi" w:cstheme="majorHAnsi"/>
          <w:color w:val="000000"/>
          <w:lang w:val="ru-MD" w:eastAsia="ro-RO" w:bidi="ro-RO"/>
        </w:rPr>
        <w:t> Соглашение об ассоциации между Республикой Молдова, с одной стороны, и Европейским Союзом и Европейским сообществом по атомной энергии, с другой стороны</w:t>
      </w:r>
      <w:r w:rsidRPr="00237057">
        <w:rPr>
          <w:rFonts w:asciiTheme="majorHAnsi" w:hAnsiTheme="majorHAnsi" w:cstheme="majorHAnsi"/>
          <w:lang w:val="ru-MD"/>
        </w:rPr>
        <w:t>, ратифицированное Законом №112 от 02.07.2014.</w:t>
      </w:r>
    </w:p>
  </w:footnote>
  <w:footnote w:id="66">
    <w:p w14:paraId="64BD54A1" w14:textId="28FC04F9" w:rsidR="00B707C5" w:rsidRPr="00237057" w:rsidRDefault="00B707C5" w:rsidP="00237057">
      <w:pPr>
        <w:pStyle w:val="FootnoteText"/>
        <w:jc w:val="both"/>
        <w:rPr>
          <w:rFonts w:asciiTheme="majorHAnsi" w:hAnsiTheme="majorHAnsi" w:cstheme="majorHAnsi"/>
          <w:lang w:val="ru-MD"/>
        </w:rPr>
      </w:pPr>
      <w:r w:rsidRPr="00237057">
        <w:rPr>
          <w:rStyle w:val="FootnoteReference"/>
          <w:rFonts w:asciiTheme="majorHAnsi" w:hAnsiTheme="majorHAnsi" w:cstheme="majorHAnsi"/>
          <w:lang w:val="ru-MD"/>
        </w:rPr>
        <w:footnoteRef/>
      </w:r>
      <w:r w:rsidRPr="00237057">
        <w:rPr>
          <w:rFonts w:asciiTheme="majorHAnsi" w:hAnsiTheme="majorHAnsi" w:cstheme="majorHAnsi"/>
          <w:lang w:val="ru-MD"/>
        </w:rPr>
        <w:t>Ст. 192-201, Глава 5 „Таможенные вопросы и содействие торговле” Национального Плана действий по внедрению Соглашения об ассоциации Республика Молдова - Европейский Союз на период 2014-2016 годы, утвержденного Постановлением Правительства №808 от 07.10.2014; ст. 192-201, Глава 5 „Таможенные вопросы и содействие торговле” Национального плана действий по внедрению Соглашения об ассоциации Республика Молдова – Европейский Союз на 2017 – 2019 годы, утвержденного Постановлением Правительства №1472 от 30.12.2016.</w:t>
      </w:r>
    </w:p>
  </w:footnote>
  <w:footnote w:id="67">
    <w:p w14:paraId="423C301F" w14:textId="6FAC9192" w:rsidR="00B707C5" w:rsidRPr="00237057" w:rsidRDefault="00B707C5" w:rsidP="00237057">
      <w:pPr>
        <w:pStyle w:val="FootnoteText"/>
        <w:jc w:val="both"/>
        <w:rPr>
          <w:rFonts w:asciiTheme="majorHAnsi" w:hAnsiTheme="majorHAnsi" w:cstheme="majorHAnsi"/>
          <w:lang w:val="ru-MD"/>
        </w:rPr>
      </w:pPr>
      <w:r w:rsidRPr="00237057">
        <w:rPr>
          <w:rStyle w:val="FootnoteReference"/>
          <w:rFonts w:asciiTheme="majorHAnsi" w:hAnsiTheme="majorHAnsi" w:cstheme="majorHAnsi"/>
          <w:lang w:val="ru-MD"/>
        </w:rPr>
        <w:footnoteRef/>
      </w:r>
      <w:r w:rsidRPr="00237057">
        <w:rPr>
          <w:rFonts w:asciiTheme="majorHAnsi" w:hAnsiTheme="majorHAnsi" w:cstheme="majorHAnsi"/>
          <w:lang w:val="ru-MD"/>
        </w:rPr>
        <w:t>Ст.201, Глава 5 „Таможенные вопросы и содействие торговле” Национального плана действий по внедрению Соглашения об ассоциации Республика Молдова – Европейский Союз на 2017 – 2019 годы.</w:t>
      </w:r>
    </w:p>
  </w:footnote>
  <w:footnote w:id="68">
    <w:p w14:paraId="15C7C22F" w14:textId="7BD52279" w:rsidR="00B707C5" w:rsidRPr="00237057" w:rsidRDefault="00B707C5" w:rsidP="00237057">
      <w:pPr>
        <w:spacing w:after="0" w:line="240" w:lineRule="auto"/>
        <w:jc w:val="both"/>
        <w:rPr>
          <w:rFonts w:asciiTheme="majorHAnsi" w:hAnsiTheme="majorHAnsi" w:cstheme="majorHAnsi"/>
          <w:sz w:val="20"/>
          <w:szCs w:val="20"/>
          <w:lang w:val="ru-MD"/>
        </w:rPr>
      </w:pPr>
      <w:r w:rsidRPr="00237057">
        <w:rPr>
          <w:rStyle w:val="FootnoteReference"/>
          <w:rFonts w:asciiTheme="majorHAnsi" w:hAnsiTheme="majorHAnsi" w:cstheme="majorHAnsi"/>
          <w:sz w:val="20"/>
          <w:szCs w:val="20"/>
          <w:lang w:val="ru-MD"/>
        </w:rPr>
        <w:footnoteRef/>
      </w:r>
      <w:r w:rsidRPr="00237057">
        <w:rPr>
          <w:rFonts w:asciiTheme="majorHAnsi" w:hAnsiTheme="majorHAnsi" w:cstheme="majorHAnsi"/>
          <w:sz w:val="20"/>
          <w:szCs w:val="20"/>
          <w:lang w:val="ru-MD"/>
        </w:rPr>
        <w:t>Ст.201, Глава 5 „Таможенные вопросы и содействие торговле” Постановления Правительства №1472 от 30.12.2016 „Об утверждении Национального плана действий по внедрению Соглашения об ассоциации Республика Молдова – Европейский Союз на 2017 – 2019 годы” (Закон в силе с IV кв. 2018 года);</w:t>
      </w:r>
      <w:r w:rsidRPr="00237057">
        <w:rPr>
          <w:rFonts w:asciiTheme="majorHAnsi" w:eastAsia="Times New Roman" w:hAnsiTheme="majorHAnsi" w:cstheme="majorHAnsi"/>
          <w:b/>
          <w:bCs/>
          <w:sz w:val="20"/>
          <w:szCs w:val="20"/>
          <w:lang w:val="ru-MD"/>
        </w:rPr>
        <w:t xml:space="preserve"> </w:t>
      </w:r>
      <w:r w:rsidRPr="00237057">
        <w:rPr>
          <w:rFonts w:asciiTheme="majorHAnsi" w:hAnsiTheme="majorHAnsi" w:cstheme="majorHAnsi"/>
          <w:sz w:val="20"/>
          <w:szCs w:val="20"/>
          <w:lang w:val="ru-MD"/>
        </w:rPr>
        <w:t xml:space="preserve">Глава </w:t>
      </w:r>
      <w:r w:rsidRPr="00237057">
        <w:rPr>
          <w:rFonts w:asciiTheme="majorHAnsi" w:eastAsia="Times New Roman" w:hAnsiTheme="majorHAnsi" w:cstheme="majorHAnsi"/>
          <w:bCs/>
          <w:sz w:val="20"/>
          <w:szCs w:val="20"/>
          <w:lang w:val="ru-MD"/>
        </w:rPr>
        <w:t>20 „Утверждение нового Таможенного кодекса” Национального плана действий в сфере содействия торговле на 2018-2020 годы, утвержденного Постановлением Правительства №1065 от 12.12.2017</w:t>
      </w:r>
      <w:r w:rsidRPr="00237057">
        <w:rPr>
          <w:rFonts w:asciiTheme="majorHAnsi" w:hAnsiTheme="majorHAnsi" w:cstheme="majorHAnsi"/>
          <w:sz w:val="20"/>
          <w:szCs w:val="20"/>
          <w:lang w:val="ru-MD"/>
        </w:rPr>
        <w:t>.</w:t>
      </w:r>
    </w:p>
  </w:footnote>
  <w:footnote w:id="69">
    <w:p w14:paraId="669025B8" w14:textId="2EF93D28" w:rsidR="00B707C5" w:rsidRPr="00237057" w:rsidRDefault="00B707C5" w:rsidP="00237057">
      <w:pPr>
        <w:spacing w:after="0" w:line="240" w:lineRule="auto"/>
        <w:jc w:val="both"/>
        <w:rPr>
          <w:rFonts w:asciiTheme="majorHAnsi" w:hAnsiTheme="majorHAnsi" w:cstheme="majorHAnsi"/>
          <w:sz w:val="20"/>
          <w:szCs w:val="20"/>
          <w:lang w:val="ru-MD"/>
        </w:rPr>
      </w:pPr>
      <w:r w:rsidRPr="00237057">
        <w:rPr>
          <w:rStyle w:val="FootnoteReference"/>
          <w:rFonts w:asciiTheme="majorHAnsi" w:hAnsiTheme="majorHAnsi" w:cstheme="majorHAnsi"/>
          <w:sz w:val="20"/>
          <w:szCs w:val="20"/>
          <w:lang w:val="ru-MD"/>
        </w:rPr>
        <w:footnoteRef/>
      </w:r>
      <w:r w:rsidRPr="00237057">
        <w:rPr>
          <w:rFonts w:asciiTheme="majorHAnsi" w:hAnsiTheme="majorHAnsi" w:cstheme="majorHAnsi"/>
          <w:sz w:val="20"/>
          <w:szCs w:val="20"/>
          <w:lang w:val="ru-MD"/>
        </w:rPr>
        <w:t xml:space="preserve"> Таможенный кодекс Республики Молдова №</w:t>
      </w:r>
      <w:r w:rsidRPr="00237057">
        <w:rPr>
          <w:rFonts w:asciiTheme="majorHAnsi" w:eastAsia="Times New Roman" w:hAnsiTheme="majorHAnsi" w:cstheme="majorHAnsi"/>
          <w:sz w:val="20"/>
          <w:szCs w:val="20"/>
          <w:lang w:val="ru-MD"/>
        </w:rPr>
        <w:t>95  от 24.08.2021 (в силе с 01.01.2023).</w:t>
      </w:r>
    </w:p>
  </w:footnote>
  <w:footnote w:id="70">
    <w:p w14:paraId="28FB7EBF" w14:textId="43FB8D08" w:rsidR="00B707C5" w:rsidRPr="00237057" w:rsidRDefault="00B707C5" w:rsidP="00237057">
      <w:pPr>
        <w:spacing w:after="0" w:line="240" w:lineRule="auto"/>
        <w:jc w:val="both"/>
        <w:rPr>
          <w:rFonts w:asciiTheme="majorHAnsi" w:hAnsiTheme="majorHAnsi" w:cstheme="majorHAnsi"/>
          <w:sz w:val="20"/>
          <w:szCs w:val="20"/>
          <w:lang w:val="ru-MD"/>
        </w:rPr>
      </w:pPr>
      <w:r w:rsidRPr="00237057">
        <w:rPr>
          <w:rStyle w:val="FootnoteReference"/>
          <w:rFonts w:asciiTheme="majorHAnsi" w:hAnsiTheme="majorHAnsi" w:cstheme="majorHAnsi"/>
          <w:sz w:val="20"/>
          <w:szCs w:val="20"/>
          <w:lang w:val="ru-MD"/>
        </w:rPr>
        <w:footnoteRef/>
      </w:r>
      <w:r w:rsidRPr="00237057">
        <w:rPr>
          <w:rFonts w:asciiTheme="majorHAnsi" w:hAnsiTheme="majorHAnsi" w:cstheme="majorHAnsi"/>
          <w:sz w:val="20"/>
          <w:szCs w:val="20"/>
          <w:lang w:val="ru-MD"/>
        </w:rPr>
        <w:t xml:space="preserve"> Глава </w:t>
      </w:r>
      <w:r w:rsidRPr="00237057">
        <w:rPr>
          <w:rFonts w:asciiTheme="majorHAnsi" w:eastAsia="Times New Roman" w:hAnsiTheme="majorHAnsi" w:cstheme="majorHAnsi"/>
          <w:bCs/>
          <w:sz w:val="20"/>
          <w:szCs w:val="20"/>
          <w:lang w:val="ru-MD"/>
        </w:rPr>
        <w:t>4 „Общие положения о сборах и тарифах, рассчитываемых или причитающихся за импорт или экспорт” Национального плана действий в сфере содействия торговле на 2018-2020 годы, утвержденного Постановлением Правительства №1065 от 12.12.2017</w:t>
      </w:r>
      <w:r w:rsidRPr="00237057">
        <w:rPr>
          <w:rFonts w:asciiTheme="majorHAnsi" w:hAnsiTheme="majorHAnsi" w:cstheme="majorHAnsi"/>
          <w:sz w:val="20"/>
          <w:szCs w:val="20"/>
          <w:lang w:val="ru-MD"/>
        </w:rPr>
        <w:t>.</w:t>
      </w:r>
    </w:p>
  </w:footnote>
  <w:footnote w:id="71">
    <w:p w14:paraId="5A7715EF" w14:textId="3AC53B67" w:rsidR="00B707C5" w:rsidRPr="00237057" w:rsidRDefault="00B707C5" w:rsidP="00237057">
      <w:pPr>
        <w:spacing w:after="0" w:line="240" w:lineRule="auto"/>
        <w:jc w:val="both"/>
        <w:rPr>
          <w:rFonts w:asciiTheme="majorHAnsi" w:hAnsiTheme="majorHAnsi" w:cstheme="majorHAnsi"/>
          <w:sz w:val="20"/>
          <w:szCs w:val="20"/>
          <w:lang w:val="ru-MD"/>
        </w:rPr>
      </w:pPr>
      <w:r w:rsidRPr="00237057">
        <w:rPr>
          <w:rStyle w:val="FootnoteReference"/>
          <w:rFonts w:asciiTheme="majorHAnsi" w:hAnsiTheme="majorHAnsi" w:cstheme="majorHAnsi"/>
          <w:sz w:val="20"/>
          <w:szCs w:val="20"/>
          <w:lang w:val="ru-MD"/>
        </w:rPr>
        <w:footnoteRef/>
      </w:r>
      <w:r w:rsidRPr="00237057">
        <w:rPr>
          <w:rFonts w:asciiTheme="majorHAnsi" w:hAnsiTheme="majorHAnsi" w:cstheme="majorHAnsi"/>
          <w:sz w:val="20"/>
          <w:szCs w:val="20"/>
          <w:lang w:val="ru-MD"/>
        </w:rPr>
        <w:t xml:space="preserve"> Глава </w:t>
      </w:r>
      <w:r w:rsidRPr="00237057">
        <w:rPr>
          <w:rFonts w:asciiTheme="majorHAnsi" w:eastAsia="Times New Roman" w:hAnsiTheme="majorHAnsi" w:cstheme="majorHAnsi"/>
          <w:bCs/>
          <w:sz w:val="20"/>
          <w:szCs w:val="20"/>
          <w:lang w:val="ru-MD"/>
        </w:rPr>
        <w:t>7 „Либерализация транзита” и</w:t>
      </w:r>
      <w:r w:rsidRPr="00237057">
        <w:rPr>
          <w:rFonts w:asciiTheme="majorHAnsi" w:eastAsia="Times New Roman" w:hAnsiTheme="majorHAnsi" w:cstheme="majorHAnsi"/>
          <w:b/>
          <w:bCs/>
          <w:sz w:val="20"/>
          <w:szCs w:val="20"/>
          <w:lang w:val="ru-MD"/>
        </w:rPr>
        <w:t xml:space="preserve"> </w:t>
      </w:r>
      <w:r w:rsidRPr="00237057">
        <w:rPr>
          <w:rFonts w:asciiTheme="majorHAnsi" w:hAnsiTheme="majorHAnsi" w:cstheme="majorHAnsi"/>
          <w:sz w:val="20"/>
          <w:szCs w:val="20"/>
          <w:lang w:val="ru-MD"/>
        </w:rPr>
        <w:t>Глава 10</w:t>
      </w:r>
      <w:r w:rsidRPr="00237057">
        <w:rPr>
          <w:rFonts w:asciiTheme="majorHAnsi" w:eastAsia="Times New Roman" w:hAnsiTheme="majorHAnsi" w:cstheme="majorHAnsi"/>
          <w:bCs/>
          <w:sz w:val="20"/>
          <w:szCs w:val="20"/>
          <w:lang w:val="ru-MD"/>
        </w:rPr>
        <w:t xml:space="preserve"> „Меры по содействию торговле для лицензированных экономических агентов” Национального плана действий в сфере содействия торговле на 2018-2020 годы, утвержденного Постановлением Правительства №1065 от 12.12.2017</w:t>
      </w:r>
      <w:r w:rsidRPr="00237057">
        <w:rPr>
          <w:rFonts w:asciiTheme="majorHAnsi" w:hAnsiTheme="majorHAnsi" w:cstheme="majorHAnsi"/>
          <w:sz w:val="20"/>
          <w:szCs w:val="20"/>
          <w:lang w:val="ru-MD"/>
        </w:rPr>
        <w:t>.</w:t>
      </w:r>
    </w:p>
  </w:footnote>
  <w:footnote w:id="72">
    <w:p w14:paraId="525E6682" w14:textId="1D76EABC" w:rsidR="00B707C5" w:rsidRPr="00237057" w:rsidRDefault="00B707C5" w:rsidP="00237057">
      <w:pPr>
        <w:spacing w:after="0" w:line="240" w:lineRule="auto"/>
        <w:jc w:val="both"/>
        <w:rPr>
          <w:rFonts w:asciiTheme="majorHAnsi" w:hAnsiTheme="majorHAnsi" w:cstheme="majorHAnsi"/>
          <w:sz w:val="20"/>
          <w:szCs w:val="20"/>
          <w:lang w:val="ru-MD"/>
        </w:rPr>
      </w:pPr>
      <w:r w:rsidRPr="00237057">
        <w:rPr>
          <w:rStyle w:val="FootnoteReference"/>
          <w:rFonts w:asciiTheme="majorHAnsi" w:hAnsiTheme="majorHAnsi" w:cstheme="majorHAnsi"/>
          <w:sz w:val="20"/>
          <w:szCs w:val="20"/>
          <w:lang w:val="ru-MD"/>
        </w:rPr>
        <w:footnoteRef/>
      </w:r>
      <w:r w:rsidRPr="00237057">
        <w:rPr>
          <w:rFonts w:asciiTheme="majorHAnsi" w:hAnsiTheme="majorHAnsi" w:cstheme="majorHAnsi"/>
          <w:sz w:val="20"/>
          <w:szCs w:val="20"/>
          <w:lang w:val="ru-MD"/>
        </w:rPr>
        <w:t xml:space="preserve"> Ст.193 и ст.201, Глава 5 „Таможенные вопросы и содействие торговле” Национального плана действий по внедрению Соглашения об ассоциации Республика Молдова – Европейский Союз на период 2014-2016 годов; ст.193 и ст.201, Глава 5 „Таможенные вопросы и содействие торговле” Национального плана действий по внедрению Соглашения об ассоциации Республика Молдова – Европейский Союз на 2017 – 2019 годы; Глава </w:t>
      </w:r>
      <w:r w:rsidRPr="00237057">
        <w:rPr>
          <w:rFonts w:asciiTheme="majorHAnsi" w:eastAsia="Times New Roman" w:hAnsiTheme="majorHAnsi" w:cstheme="majorHAnsi"/>
          <w:bCs/>
          <w:sz w:val="20"/>
          <w:szCs w:val="20"/>
          <w:lang w:val="ru-MD"/>
        </w:rPr>
        <w:t>13 „Формальности и требования к документации” Национального плана действий в сфере содействия торговле на 2018-2020 годы, утвержденного Постановлением Правительства №1065 от 12.12.2017</w:t>
      </w:r>
      <w:r w:rsidRPr="00237057">
        <w:rPr>
          <w:rFonts w:asciiTheme="majorHAnsi" w:hAnsiTheme="majorHAnsi" w:cstheme="majorHAnsi"/>
          <w:sz w:val="20"/>
          <w:szCs w:val="20"/>
          <w:lang w:val="ru-MD"/>
        </w:rPr>
        <w:t>.</w:t>
      </w:r>
    </w:p>
  </w:footnote>
  <w:footnote w:id="73">
    <w:p w14:paraId="2E1AF1D1" w14:textId="204C4F81" w:rsidR="00B707C5" w:rsidRPr="00237057" w:rsidRDefault="00B707C5" w:rsidP="00237057">
      <w:pPr>
        <w:spacing w:after="0" w:line="240" w:lineRule="auto"/>
        <w:jc w:val="both"/>
        <w:rPr>
          <w:rFonts w:asciiTheme="majorHAnsi" w:hAnsiTheme="majorHAnsi" w:cstheme="majorHAnsi"/>
          <w:sz w:val="20"/>
          <w:szCs w:val="20"/>
          <w:lang w:val="ru-MD"/>
        </w:rPr>
      </w:pPr>
      <w:r w:rsidRPr="00237057">
        <w:rPr>
          <w:rStyle w:val="FootnoteReference"/>
          <w:rFonts w:asciiTheme="majorHAnsi" w:hAnsiTheme="majorHAnsi" w:cstheme="majorHAnsi"/>
          <w:sz w:val="20"/>
          <w:szCs w:val="20"/>
          <w:lang w:val="ru-MD"/>
        </w:rPr>
        <w:footnoteRef/>
      </w:r>
      <w:r w:rsidRPr="00237057">
        <w:rPr>
          <w:rFonts w:asciiTheme="majorHAnsi" w:hAnsiTheme="majorHAnsi" w:cstheme="majorHAnsi"/>
          <w:sz w:val="20"/>
          <w:szCs w:val="20"/>
          <w:lang w:val="ru-MD"/>
        </w:rPr>
        <w:t xml:space="preserve"> Ст</w:t>
      </w:r>
      <w:r w:rsidRPr="00237057">
        <w:rPr>
          <w:rFonts w:asciiTheme="majorHAnsi" w:eastAsia="Times New Roman" w:hAnsiTheme="majorHAnsi" w:cstheme="majorHAnsi"/>
          <w:sz w:val="20"/>
          <w:szCs w:val="20"/>
          <w:lang w:val="ru-MD"/>
        </w:rPr>
        <w:t>.2 Закона №</w:t>
      </w:r>
      <w:hyperlink r:id="rId6" w:history="1">
        <w:r w:rsidRPr="00237057">
          <w:rPr>
            <w:rFonts w:asciiTheme="majorHAnsi" w:eastAsia="Times New Roman" w:hAnsiTheme="majorHAnsi" w:cstheme="majorHAnsi"/>
            <w:sz w:val="20"/>
            <w:szCs w:val="20"/>
            <w:lang w:val="ru-MD"/>
          </w:rPr>
          <w:t>129 от 09.06.2016</w:t>
        </w:r>
      </w:hyperlink>
      <w:r w:rsidRPr="00237057">
        <w:rPr>
          <w:rFonts w:asciiTheme="majorHAnsi" w:eastAsia="Times New Roman" w:hAnsiTheme="majorHAnsi" w:cstheme="majorHAnsi"/>
          <w:sz w:val="20"/>
          <w:szCs w:val="20"/>
          <w:lang w:val="ru-MD"/>
        </w:rPr>
        <w:t xml:space="preserve"> о принятии Протокола о внесении изменений в Марракешское соглашение об учреждении Всемирной торговой организации</w:t>
      </w:r>
      <w:r w:rsidRPr="00237057">
        <w:rPr>
          <w:rFonts w:asciiTheme="majorHAnsi" w:hAnsiTheme="majorHAnsi" w:cstheme="majorHAnsi"/>
          <w:sz w:val="20"/>
          <w:szCs w:val="20"/>
          <w:lang w:val="ru-MD"/>
        </w:rPr>
        <w:t>.</w:t>
      </w:r>
      <w:r w:rsidRPr="00237057">
        <w:rPr>
          <w:rFonts w:asciiTheme="majorHAnsi" w:eastAsia="Times New Roman" w:hAnsiTheme="majorHAnsi" w:cstheme="majorHAnsi"/>
          <w:bCs/>
          <w:sz w:val="20"/>
          <w:szCs w:val="20"/>
          <w:lang w:val="ru-MD"/>
        </w:rPr>
        <w:t xml:space="preserve"> </w:t>
      </w:r>
      <w:r w:rsidRPr="00237057">
        <w:rPr>
          <w:rFonts w:asciiTheme="majorHAnsi" w:eastAsia="Times New Roman" w:hAnsiTheme="majorHAnsi" w:cstheme="majorHAnsi"/>
          <w:sz w:val="20"/>
          <w:szCs w:val="20"/>
          <w:lang w:val="ru-MD"/>
        </w:rPr>
        <w:t>Протокол о внесении изменений в Марракешское соглашение об учреждении Всемирной торговой организации от</w:t>
      </w:r>
      <w:r w:rsidRPr="00237057">
        <w:rPr>
          <w:rFonts w:asciiTheme="majorHAnsi" w:eastAsia="Times New Roman" w:hAnsiTheme="majorHAnsi" w:cstheme="majorHAnsi"/>
          <w:bCs/>
          <w:sz w:val="20"/>
          <w:szCs w:val="20"/>
          <w:lang w:val="ru-MD"/>
        </w:rPr>
        <w:t> 27.11.2014.</w:t>
      </w:r>
    </w:p>
  </w:footnote>
  <w:footnote w:id="74">
    <w:p w14:paraId="272307A1" w14:textId="0DB1BDFE" w:rsidR="00B707C5" w:rsidRPr="00237057" w:rsidRDefault="00B707C5" w:rsidP="00237057">
      <w:pPr>
        <w:pStyle w:val="FootnoteText"/>
        <w:jc w:val="both"/>
        <w:rPr>
          <w:rFonts w:asciiTheme="majorHAnsi" w:hAnsiTheme="majorHAnsi" w:cstheme="majorHAnsi"/>
          <w:lang w:val="ru-MD"/>
        </w:rPr>
      </w:pPr>
      <w:r w:rsidRPr="00237057">
        <w:rPr>
          <w:rStyle w:val="FootnoteReference"/>
          <w:rFonts w:asciiTheme="majorHAnsi" w:hAnsiTheme="majorHAnsi" w:cstheme="majorHAnsi"/>
          <w:lang w:val="ru-MD"/>
        </w:rPr>
        <w:footnoteRef/>
      </w:r>
      <w:r w:rsidRPr="00237057">
        <w:rPr>
          <w:rFonts w:asciiTheme="majorHAnsi" w:hAnsiTheme="majorHAnsi" w:cstheme="majorHAnsi"/>
          <w:lang w:val="ru-MD"/>
        </w:rPr>
        <w:t xml:space="preserve">Ст. 192-201, Глава 5 „Таможенные вопросы и содействие торговле” Национального плана действий по внедрению Соглашения об ассоциации Республика Молдова – Европейский Союз на 2014-2016 годы; ст. 192-201, Глава 5 „Таможенные вопросы и содействие торговле” Национального плана действий по внедрению Соглашения об ассоциации Республика Молдова – Европейский Союз на 2017 – 2019 годы; Глава </w:t>
      </w:r>
      <w:r w:rsidRPr="00237057">
        <w:rPr>
          <w:rFonts w:asciiTheme="majorHAnsi" w:eastAsia="Times New Roman" w:hAnsiTheme="majorHAnsi" w:cstheme="majorHAnsi"/>
          <w:bCs/>
          <w:lang w:val="ru-MD"/>
        </w:rPr>
        <w:t>18 „Содействие более широкому использованию электронных документов” Национального плана действий в сфере содействия торговле на 2018-2020 годы, утвержденного Постановлением Правительства №1065 от 12.12.2017</w:t>
      </w:r>
      <w:r w:rsidRPr="00237057">
        <w:rPr>
          <w:rFonts w:asciiTheme="majorHAnsi" w:hAnsiTheme="majorHAnsi" w:cstheme="majorHAnsi"/>
          <w:lang w:val="ru-MD"/>
        </w:rPr>
        <w:t xml:space="preserve">. </w:t>
      </w:r>
    </w:p>
  </w:footnote>
  <w:footnote w:id="75">
    <w:p w14:paraId="529236D9" w14:textId="5EC9014C" w:rsidR="00B707C5" w:rsidRPr="00237057" w:rsidRDefault="00B707C5" w:rsidP="00237057">
      <w:pPr>
        <w:autoSpaceDE w:val="0"/>
        <w:autoSpaceDN w:val="0"/>
        <w:adjustRightInd w:val="0"/>
        <w:spacing w:after="0"/>
        <w:jc w:val="both"/>
        <w:rPr>
          <w:rFonts w:asciiTheme="majorHAnsi" w:hAnsiTheme="majorHAnsi" w:cstheme="majorHAnsi"/>
          <w:sz w:val="20"/>
          <w:szCs w:val="20"/>
          <w:lang w:val="ru-MD"/>
        </w:rPr>
      </w:pPr>
      <w:r w:rsidRPr="00237057">
        <w:rPr>
          <w:rStyle w:val="FootnoteReference"/>
          <w:rFonts w:asciiTheme="majorHAnsi" w:hAnsiTheme="majorHAnsi" w:cstheme="majorHAnsi"/>
          <w:sz w:val="20"/>
          <w:szCs w:val="20"/>
          <w:lang w:val="ru-MD"/>
        </w:rPr>
        <w:footnoteRef/>
      </w:r>
      <w:r w:rsidRPr="00237057">
        <w:rPr>
          <w:rFonts w:asciiTheme="majorHAnsi" w:hAnsiTheme="majorHAnsi" w:cstheme="majorHAnsi"/>
          <w:sz w:val="20"/>
          <w:szCs w:val="20"/>
          <w:lang w:val="ru-MD"/>
        </w:rPr>
        <w:t xml:space="preserve"> Глава </w:t>
      </w:r>
      <w:r w:rsidRPr="00237057">
        <w:rPr>
          <w:rFonts w:asciiTheme="majorHAnsi" w:eastAsia="Times New Roman" w:hAnsiTheme="majorHAnsi" w:cstheme="majorHAnsi"/>
          <w:bCs/>
          <w:sz w:val="20"/>
          <w:szCs w:val="20"/>
          <w:lang w:val="ru-MD"/>
        </w:rPr>
        <w:t>15 „Единое окно” Национального плана действий в сфере содействия торговле на 2018-2020 годы, утвержденного Постановлением Правительства №1065 от 12.12.2017</w:t>
      </w:r>
      <w:r w:rsidRPr="00237057">
        <w:rPr>
          <w:rFonts w:asciiTheme="majorHAnsi" w:hAnsiTheme="majorHAnsi" w:cstheme="majorHAnsi"/>
          <w:sz w:val="20"/>
          <w:szCs w:val="20"/>
          <w:lang w:val="ru-MD"/>
        </w:rPr>
        <w:t xml:space="preserve"> (</w:t>
      </w:r>
      <w:r w:rsidRPr="00237057">
        <w:rPr>
          <w:rFonts w:asciiTheme="majorHAnsi" w:eastAsia="Times New Roman" w:hAnsiTheme="majorHAnsi" w:cstheme="majorHAnsi"/>
          <w:sz w:val="20"/>
          <w:szCs w:val="20"/>
          <w:lang w:val="ru-MD"/>
        </w:rPr>
        <w:t>Национальное агентство по безопасности пищевых продуктов; Национальное агентство автомобильного транспорта; Генеральный инспекторат Пограничной полиции).</w:t>
      </w:r>
    </w:p>
  </w:footnote>
  <w:footnote w:id="76">
    <w:p w14:paraId="7D40721E" w14:textId="1BCD3497" w:rsidR="00B707C5" w:rsidRPr="00237057" w:rsidRDefault="00B707C5" w:rsidP="00237057">
      <w:pPr>
        <w:pStyle w:val="FootnoteText"/>
        <w:jc w:val="both"/>
        <w:rPr>
          <w:rFonts w:asciiTheme="majorHAnsi" w:hAnsiTheme="majorHAnsi" w:cstheme="majorHAnsi"/>
          <w:lang w:val="ru-MD"/>
        </w:rPr>
      </w:pPr>
      <w:r w:rsidRPr="00237057">
        <w:rPr>
          <w:rStyle w:val="FootnoteReference"/>
          <w:rFonts w:asciiTheme="majorHAnsi" w:hAnsiTheme="majorHAnsi" w:cstheme="majorHAnsi"/>
          <w:lang w:val="ru-MD"/>
        </w:rPr>
        <w:footnoteRef/>
      </w:r>
      <w:r w:rsidRPr="00237057">
        <w:rPr>
          <w:rFonts w:asciiTheme="majorHAnsi" w:hAnsiTheme="majorHAnsi" w:cstheme="majorHAnsi"/>
          <w:lang w:val="ru-MD"/>
        </w:rPr>
        <w:t xml:space="preserve">Ст.17 (2) Таможенного кодекса. </w:t>
      </w:r>
    </w:p>
  </w:footnote>
  <w:footnote w:id="77">
    <w:p w14:paraId="646EF932" w14:textId="6BF6AA16" w:rsidR="00B707C5" w:rsidRPr="00237057" w:rsidRDefault="00B707C5" w:rsidP="00237057">
      <w:pPr>
        <w:pStyle w:val="FootnoteText"/>
        <w:jc w:val="both"/>
        <w:rPr>
          <w:rFonts w:asciiTheme="majorHAnsi" w:hAnsiTheme="majorHAnsi" w:cstheme="majorHAnsi"/>
          <w:lang w:val="ru-MD"/>
        </w:rPr>
      </w:pPr>
      <w:r w:rsidRPr="00237057">
        <w:rPr>
          <w:rStyle w:val="FootnoteReference"/>
          <w:rFonts w:asciiTheme="majorHAnsi" w:hAnsiTheme="majorHAnsi" w:cstheme="majorHAnsi"/>
          <w:lang w:val="ru-MD"/>
        </w:rPr>
        <w:footnoteRef/>
      </w:r>
      <w:r w:rsidRPr="00237057">
        <w:rPr>
          <w:rFonts w:asciiTheme="majorHAnsi" w:hAnsiTheme="majorHAnsi" w:cstheme="majorHAnsi"/>
          <w:lang w:val="ru-MD"/>
        </w:rPr>
        <w:t xml:space="preserve"> Письмо Таможенной службы №28/05-04 от 04.01.2021, адресованное Министерству экономики и инфраструктуры; письмо Таможенной службы №28/05-3703 от 23.03.2021, адресованное Министерству юстиции.</w:t>
      </w:r>
    </w:p>
  </w:footnote>
  <w:footnote w:id="78">
    <w:p w14:paraId="63747519" w14:textId="578C2635" w:rsidR="00B707C5" w:rsidRPr="00237057" w:rsidRDefault="00B707C5" w:rsidP="00237057">
      <w:pPr>
        <w:pStyle w:val="FootnoteText"/>
        <w:jc w:val="both"/>
        <w:rPr>
          <w:rFonts w:asciiTheme="majorHAnsi" w:hAnsiTheme="majorHAnsi" w:cstheme="majorHAnsi"/>
          <w:lang w:val="ru-MD"/>
        </w:rPr>
      </w:pPr>
      <w:r w:rsidRPr="00237057">
        <w:rPr>
          <w:rStyle w:val="FootnoteReference"/>
          <w:rFonts w:asciiTheme="majorHAnsi" w:hAnsiTheme="majorHAnsi" w:cstheme="majorHAnsi"/>
          <w:lang w:val="ru-MD"/>
        </w:rPr>
        <w:footnoteRef/>
      </w:r>
      <w:r w:rsidRPr="00237057">
        <w:rPr>
          <w:rFonts w:asciiTheme="majorHAnsi" w:hAnsiTheme="majorHAnsi" w:cstheme="majorHAnsi"/>
          <w:lang w:val="ru-MD"/>
        </w:rPr>
        <w:t xml:space="preserve"> Письмо Министерства экономики и инфраструктуры, адресованное Таможенной службе и Министерству финансов №06/1-960 от 02.03.2021.</w:t>
      </w:r>
    </w:p>
  </w:footnote>
  <w:footnote w:id="79">
    <w:p w14:paraId="7F034ACD" w14:textId="1D286DF4" w:rsidR="00B707C5" w:rsidRPr="00237057" w:rsidRDefault="00B707C5" w:rsidP="00237057">
      <w:pPr>
        <w:pStyle w:val="FootnoteText"/>
        <w:jc w:val="both"/>
        <w:rPr>
          <w:rFonts w:asciiTheme="majorHAnsi" w:hAnsiTheme="majorHAnsi" w:cstheme="majorHAnsi"/>
          <w:lang w:val="ru-MD"/>
        </w:rPr>
      </w:pPr>
      <w:r w:rsidRPr="00237057">
        <w:rPr>
          <w:rStyle w:val="FootnoteReference"/>
          <w:rFonts w:asciiTheme="majorHAnsi" w:hAnsiTheme="majorHAnsi" w:cstheme="majorHAnsi"/>
          <w:lang w:val="ru-MD"/>
        </w:rPr>
        <w:footnoteRef/>
      </w:r>
      <w:r w:rsidRPr="00237057">
        <w:rPr>
          <w:rFonts w:asciiTheme="majorHAnsi" w:hAnsiTheme="majorHAnsi" w:cstheme="majorHAnsi"/>
          <w:lang w:val="ru-MD"/>
        </w:rPr>
        <w:t xml:space="preserve"> Ст</w:t>
      </w:r>
      <w:r w:rsidRPr="00237057">
        <w:rPr>
          <w:rFonts w:asciiTheme="majorHAnsi" w:eastAsia="Times New Roman" w:hAnsiTheme="majorHAnsi" w:cstheme="majorHAnsi"/>
          <w:lang w:val="ru-MD"/>
        </w:rPr>
        <w:t>.200 Соглашения об ассоциации с Европейским Союзом и Европейским сообществом по Атомной энергии, ратифицированного Законом №</w:t>
      </w:r>
      <w:r w:rsidRPr="00237057">
        <w:rPr>
          <w:rFonts w:asciiTheme="majorHAnsi" w:hAnsiTheme="majorHAnsi" w:cstheme="majorHAnsi"/>
          <w:lang w:val="ru-MD"/>
        </w:rPr>
        <w:t>112 от 02.07.2014.</w:t>
      </w:r>
    </w:p>
  </w:footnote>
  <w:footnote w:id="80">
    <w:p w14:paraId="4E2FE6FD" w14:textId="1A16B3EE" w:rsidR="00B707C5" w:rsidRPr="00237057" w:rsidRDefault="00B707C5" w:rsidP="00237057">
      <w:pPr>
        <w:spacing w:after="0" w:line="240" w:lineRule="auto"/>
        <w:jc w:val="both"/>
        <w:rPr>
          <w:rFonts w:asciiTheme="majorHAnsi" w:hAnsiTheme="majorHAnsi" w:cstheme="majorHAnsi"/>
          <w:sz w:val="20"/>
          <w:szCs w:val="20"/>
          <w:lang w:val="ru-MD"/>
        </w:rPr>
      </w:pPr>
      <w:r w:rsidRPr="00237057">
        <w:rPr>
          <w:rStyle w:val="FootnoteReference"/>
          <w:rFonts w:asciiTheme="majorHAnsi" w:hAnsiTheme="majorHAnsi" w:cstheme="majorHAnsi"/>
          <w:sz w:val="20"/>
          <w:szCs w:val="20"/>
          <w:lang w:val="ru-MD"/>
        </w:rPr>
        <w:footnoteRef/>
      </w:r>
      <w:r w:rsidRPr="00237057">
        <w:rPr>
          <w:rFonts w:asciiTheme="majorHAnsi" w:hAnsiTheme="majorHAnsi" w:cstheme="majorHAnsi"/>
          <w:sz w:val="20"/>
          <w:szCs w:val="20"/>
          <w:lang w:val="ru-MD"/>
        </w:rPr>
        <w:t xml:space="preserve"> Глава </w:t>
      </w:r>
      <w:r w:rsidRPr="00237057">
        <w:rPr>
          <w:rFonts w:asciiTheme="majorHAnsi" w:eastAsia="Times New Roman" w:hAnsiTheme="majorHAnsi" w:cstheme="majorHAnsi"/>
          <w:bCs/>
          <w:sz w:val="20"/>
          <w:szCs w:val="20"/>
          <w:lang w:val="ru-MD"/>
        </w:rPr>
        <w:t>21 „Улучшение процесса оценки таможенной стоимости” Национального плана действий в сфере содействия торговле на 2018-2020 годы, утвержденного Постановлением Правительства №1065 от 12.12.2017</w:t>
      </w:r>
      <w:r w:rsidRPr="00237057">
        <w:rPr>
          <w:rFonts w:asciiTheme="majorHAnsi" w:hAnsiTheme="majorHAnsi" w:cstheme="majorHAnsi"/>
          <w:sz w:val="20"/>
          <w:szCs w:val="20"/>
          <w:lang w:val="ru-MD"/>
        </w:rPr>
        <w:t>.</w:t>
      </w:r>
    </w:p>
  </w:footnote>
  <w:footnote w:id="81">
    <w:p w14:paraId="474DD462" w14:textId="728A6A62" w:rsidR="00B707C5" w:rsidRPr="00237057" w:rsidRDefault="00B707C5" w:rsidP="00237057">
      <w:pPr>
        <w:pStyle w:val="FootnoteText"/>
        <w:jc w:val="both"/>
        <w:rPr>
          <w:rFonts w:asciiTheme="majorHAnsi" w:hAnsiTheme="majorHAnsi" w:cstheme="majorHAnsi"/>
          <w:lang w:val="ru-MD"/>
        </w:rPr>
      </w:pPr>
      <w:r w:rsidRPr="00237057">
        <w:rPr>
          <w:rStyle w:val="FootnoteReference"/>
          <w:rFonts w:asciiTheme="majorHAnsi" w:hAnsiTheme="majorHAnsi" w:cstheme="majorHAnsi"/>
          <w:lang w:val="ru-MD"/>
        </w:rPr>
        <w:footnoteRef/>
      </w:r>
      <w:r w:rsidRPr="00237057">
        <w:rPr>
          <w:rFonts w:asciiTheme="majorHAnsi" w:hAnsiTheme="majorHAnsi" w:cstheme="majorHAnsi"/>
          <w:lang w:val="ru-MD"/>
        </w:rPr>
        <w:t xml:space="preserve"> Положение о порядке декларирования таможенной стоимости товаров</w:t>
      </w:r>
      <w:r w:rsidRPr="00237057">
        <w:rPr>
          <w:rFonts w:asciiTheme="majorHAnsi" w:eastAsia="Times New Roman" w:hAnsiTheme="majorHAnsi" w:cstheme="majorHAnsi"/>
          <w:bCs/>
          <w:lang w:val="ru-MD"/>
        </w:rPr>
        <w:t xml:space="preserve">, утверждено Постановлением Правительства Республики Молдова №974 от 15.08.2016 „Об утверждении Положения о порядке декларирования таможенной стоимости товаров” </w:t>
      </w:r>
      <w:r w:rsidRPr="00237057">
        <w:rPr>
          <w:rFonts w:asciiTheme="majorHAnsi" w:eastAsia="Times New Roman" w:hAnsiTheme="majorHAnsi" w:cstheme="majorHAnsi"/>
          <w:lang w:val="ru-MD"/>
        </w:rPr>
        <w:t xml:space="preserve">(далее – </w:t>
      </w:r>
      <w:r w:rsidRPr="00237057">
        <w:rPr>
          <w:rFonts w:asciiTheme="majorHAnsi" w:hAnsiTheme="majorHAnsi" w:cstheme="majorHAnsi"/>
          <w:lang w:val="ru-MD"/>
        </w:rPr>
        <w:t xml:space="preserve">Положение, </w:t>
      </w:r>
      <w:r w:rsidRPr="00237057">
        <w:rPr>
          <w:rFonts w:asciiTheme="majorHAnsi" w:eastAsia="Times New Roman" w:hAnsiTheme="majorHAnsi" w:cstheme="majorHAnsi"/>
          <w:bCs/>
          <w:lang w:val="ru-MD"/>
        </w:rPr>
        <w:t>утвержденное Постановлением Правительства №</w:t>
      </w:r>
      <w:r w:rsidRPr="00237057">
        <w:rPr>
          <w:rFonts w:asciiTheme="majorHAnsi" w:eastAsia="Times New Roman" w:hAnsiTheme="majorHAnsi" w:cstheme="majorHAnsi"/>
          <w:lang w:val="ru-MD"/>
        </w:rPr>
        <w:t>974 от 15.08.2016)</w:t>
      </w:r>
      <w:r w:rsidRPr="00237057">
        <w:rPr>
          <w:rFonts w:asciiTheme="majorHAnsi" w:eastAsia="Times New Roman" w:hAnsiTheme="majorHAnsi" w:cstheme="majorHAnsi"/>
          <w:bCs/>
          <w:lang w:val="ru-MD"/>
        </w:rPr>
        <w:t>.</w:t>
      </w:r>
    </w:p>
  </w:footnote>
  <w:footnote w:id="82">
    <w:p w14:paraId="00677DC3" w14:textId="77BF6633" w:rsidR="00B707C5" w:rsidRPr="00237057" w:rsidRDefault="00B707C5" w:rsidP="00237057">
      <w:pPr>
        <w:pStyle w:val="FootnoteText"/>
        <w:jc w:val="both"/>
        <w:rPr>
          <w:rFonts w:asciiTheme="majorHAnsi" w:hAnsiTheme="majorHAnsi" w:cstheme="majorHAnsi"/>
          <w:lang w:val="ru-MD"/>
        </w:rPr>
      </w:pPr>
      <w:r w:rsidRPr="00237057">
        <w:rPr>
          <w:rStyle w:val="FootnoteReference"/>
          <w:rFonts w:asciiTheme="majorHAnsi" w:hAnsiTheme="majorHAnsi" w:cstheme="majorHAnsi"/>
          <w:lang w:val="ru-MD"/>
        </w:rPr>
        <w:footnoteRef/>
      </w:r>
      <w:r w:rsidRPr="00237057">
        <w:rPr>
          <w:rFonts w:asciiTheme="majorHAnsi" w:hAnsiTheme="majorHAnsi" w:cstheme="majorHAnsi"/>
          <w:lang w:val="ru-MD"/>
        </w:rPr>
        <w:t xml:space="preserve"> П</w:t>
      </w:r>
      <w:r w:rsidRPr="00237057">
        <w:rPr>
          <w:rFonts w:asciiTheme="majorHAnsi" w:eastAsia="Times New Roman" w:hAnsiTheme="majorHAnsi" w:cstheme="majorHAnsi"/>
          <w:lang w:val="ru-MD"/>
        </w:rPr>
        <w:t xml:space="preserve">.29 Положения о введении в действие таможенных назначений, предусмотренных Таможенным кодексом Республики Молдова, </w:t>
      </w:r>
      <w:r w:rsidRPr="00237057">
        <w:rPr>
          <w:rFonts w:asciiTheme="majorHAnsi" w:eastAsia="Times New Roman" w:hAnsiTheme="majorHAnsi" w:cstheme="majorHAnsi"/>
          <w:bCs/>
          <w:lang w:val="ru-MD"/>
        </w:rPr>
        <w:t>утвержденное Постановлением Правительства №</w:t>
      </w:r>
      <w:r w:rsidRPr="00237057">
        <w:rPr>
          <w:rFonts w:asciiTheme="majorHAnsi" w:eastAsia="Times New Roman" w:hAnsiTheme="majorHAnsi" w:cstheme="majorHAnsi"/>
          <w:lang w:val="ru-MD"/>
        </w:rPr>
        <w:t xml:space="preserve">1140 от 02.11.2005 (далее – </w:t>
      </w:r>
      <w:r w:rsidRPr="00237057">
        <w:rPr>
          <w:rFonts w:asciiTheme="majorHAnsi" w:hAnsiTheme="majorHAnsi" w:cstheme="majorHAnsi"/>
          <w:lang w:val="ru-MD"/>
        </w:rPr>
        <w:t xml:space="preserve">Положение, </w:t>
      </w:r>
      <w:r w:rsidRPr="00237057">
        <w:rPr>
          <w:rFonts w:asciiTheme="majorHAnsi" w:eastAsia="Times New Roman" w:hAnsiTheme="majorHAnsi" w:cstheme="majorHAnsi"/>
          <w:bCs/>
          <w:lang w:val="ru-MD"/>
        </w:rPr>
        <w:t>утвержденное Постановлением Правительства №</w:t>
      </w:r>
      <w:r w:rsidRPr="00237057">
        <w:rPr>
          <w:rFonts w:asciiTheme="majorHAnsi" w:eastAsia="Times New Roman" w:hAnsiTheme="majorHAnsi" w:cstheme="majorHAnsi"/>
          <w:lang w:val="ru-MD"/>
        </w:rPr>
        <w:t>1140 от 02.11.2005).</w:t>
      </w:r>
    </w:p>
  </w:footnote>
  <w:footnote w:id="83">
    <w:p w14:paraId="0E66A478" w14:textId="3FA781F7" w:rsidR="00B707C5" w:rsidRPr="00237057" w:rsidRDefault="00B707C5" w:rsidP="00237057">
      <w:pPr>
        <w:spacing w:after="0" w:line="240" w:lineRule="auto"/>
        <w:jc w:val="both"/>
        <w:rPr>
          <w:rFonts w:asciiTheme="majorHAnsi" w:hAnsiTheme="majorHAnsi" w:cstheme="majorHAnsi"/>
          <w:sz w:val="20"/>
          <w:szCs w:val="20"/>
          <w:lang w:val="ru-MD"/>
        </w:rPr>
      </w:pPr>
      <w:r w:rsidRPr="00237057">
        <w:rPr>
          <w:rStyle w:val="FootnoteReference"/>
          <w:rFonts w:asciiTheme="majorHAnsi" w:hAnsiTheme="majorHAnsi" w:cstheme="majorHAnsi"/>
          <w:sz w:val="20"/>
          <w:szCs w:val="20"/>
          <w:lang w:val="ru-MD"/>
        </w:rPr>
        <w:footnoteRef/>
      </w:r>
      <w:r w:rsidRPr="00237057">
        <w:rPr>
          <w:rFonts w:asciiTheme="majorHAnsi" w:hAnsiTheme="majorHAnsi" w:cstheme="majorHAnsi"/>
          <w:sz w:val="20"/>
          <w:szCs w:val="20"/>
          <w:lang w:val="ru-MD"/>
        </w:rPr>
        <w:t xml:space="preserve"> П.29</w:t>
      </w:r>
      <w:r w:rsidRPr="00237057">
        <w:rPr>
          <w:rFonts w:asciiTheme="majorHAnsi" w:hAnsiTheme="majorHAnsi" w:cstheme="majorHAnsi"/>
          <w:sz w:val="20"/>
          <w:szCs w:val="20"/>
          <w:vertAlign w:val="superscript"/>
          <w:lang w:val="ru-MD"/>
        </w:rPr>
        <w:t>1</w:t>
      </w:r>
      <w:r w:rsidRPr="00237057">
        <w:rPr>
          <w:rFonts w:asciiTheme="majorHAnsi" w:hAnsiTheme="majorHAnsi" w:cstheme="majorHAnsi"/>
          <w:sz w:val="20"/>
          <w:szCs w:val="20"/>
          <w:lang w:val="ru-MD"/>
        </w:rPr>
        <w:t xml:space="preserve"> и 29</w:t>
      </w:r>
      <w:r w:rsidRPr="00237057">
        <w:rPr>
          <w:rFonts w:asciiTheme="majorHAnsi" w:hAnsiTheme="majorHAnsi" w:cstheme="majorHAnsi"/>
          <w:sz w:val="20"/>
          <w:szCs w:val="20"/>
          <w:vertAlign w:val="superscript"/>
          <w:lang w:val="ru-MD"/>
        </w:rPr>
        <w:t>2</w:t>
      </w:r>
      <w:r w:rsidRPr="00237057">
        <w:rPr>
          <w:rFonts w:asciiTheme="majorHAnsi" w:hAnsiTheme="majorHAnsi" w:cstheme="majorHAnsi"/>
          <w:sz w:val="20"/>
          <w:szCs w:val="20"/>
          <w:lang w:val="ru-MD"/>
        </w:rPr>
        <w:t xml:space="preserve"> Положения о введении в действие таможенных назначений, предусмотренных Таможенным кодексом Республики Молдова</w:t>
      </w:r>
      <w:r w:rsidRPr="00237057">
        <w:rPr>
          <w:rFonts w:asciiTheme="majorHAnsi" w:eastAsia="Times New Roman" w:hAnsiTheme="majorHAnsi" w:cstheme="majorHAnsi"/>
          <w:bCs/>
          <w:sz w:val="20"/>
          <w:szCs w:val="20"/>
          <w:lang w:val="ru-MD"/>
        </w:rPr>
        <w:t>,</w:t>
      </w:r>
      <w:r w:rsidRPr="00237057">
        <w:rPr>
          <w:rFonts w:asciiTheme="majorHAnsi" w:hAnsiTheme="majorHAnsi" w:cstheme="majorHAnsi"/>
          <w:sz w:val="20"/>
          <w:szCs w:val="20"/>
          <w:lang w:val="ru-MD"/>
        </w:rPr>
        <w:t xml:space="preserve"> Приложение №1 к </w:t>
      </w:r>
      <w:r w:rsidRPr="00237057">
        <w:rPr>
          <w:rFonts w:asciiTheme="majorHAnsi" w:hAnsiTheme="majorHAnsi" w:cstheme="majorHAnsi"/>
          <w:bCs/>
          <w:sz w:val="20"/>
          <w:szCs w:val="20"/>
          <w:lang w:val="ru-MD"/>
        </w:rPr>
        <w:t>Постановлением Правительства №</w:t>
      </w:r>
      <w:r w:rsidRPr="00237057">
        <w:rPr>
          <w:rFonts w:asciiTheme="majorHAnsi" w:eastAsia="Times New Roman" w:hAnsiTheme="majorHAnsi" w:cstheme="majorHAnsi"/>
          <w:bCs/>
          <w:sz w:val="20"/>
          <w:szCs w:val="20"/>
          <w:lang w:val="ru-MD"/>
        </w:rPr>
        <w:t>1140  от  02.11.2005  „Об утверждении Положения о введении в действие таможенных назначений, предусмотренных Таможенным кодексом Республики Молдова”.</w:t>
      </w:r>
      <w:r w:rsidRPr="00237057">
        <w:rPr>
          <w:rFonts w:asciiTheme="majorHAnsi" w:hAnsiTheme="majorHAnsi" w:cstheme="majorHAnsi"/>
          <w:sz w:val="20"/>
          <w:szCs w:val="20"/>
          <w:lang w:val="ru-MD"/>
        </w:rPr>
        <w:t xml:space="preserve"> </w:t>
      </w:r>
    </w:p>
  </w:footnote>
  <w:footnote w:id="84">
    <w:p w14:paraId="12C052A8" w14:textId="6080473C" w:rsidR="00B707C5" w:rsidRPr="00237057" w:rsidRDefault="00B707C5" w:rsidP="00237057">
      <w:pPr>
        <w:pStyle w:val="FootnoteText"/>
        <w:jc w:val="both"/>
        <w:rPr>
          <w:rFonts w:asciiTheme="majorHAnsi" w:hAnsiTheme="majorHAnsi" w:cstheme="majorHAnsi"/>
          <w:lang w:val="ru-MD"/>
        </w:rPr>
      </w:pPr>
      <w:r w:rsidRPr="00237057">
        <w:rPr>
          <w:rStyle w:val="FootnoteReference"/>
          <w:rFonts w:asciiTheme="majorHAnsi" w:hAnsiTheme="majorHAnsi" w:cstheme="majorHAnsi"/>
          <w:lang w:val="ru-MD"/>
        </w:rPr>
        <w:footnoteRef/>
      </w:r>
      <w:r w:rsidRPr="00237057">
        <w:rPr>
          <w:rFonts w:asciiTheme="majorHAnsi" w:hAnsiTheme="majorHAnsi" w:cstheme="majorHAnsi"/>
          <w:lang w:val="ru-MD"/>
        </w:rPr>
        <w:t xml:space="preserve"> П.1 (b) и (c) Приказа Таможенной Службы №276-O от 24.10.2002 „О</w:t>
      </w:r>
      <w:r w:rsidRPr="00237057">
        <w:rPr>
          <w:rFonts w:asciiTheme="majorHAnsi" w:hAnsiTheme="majorHAnsi" w:cstheme="majorHAnsi"/>
          <w:bCs/>
          <w:lang w:val="ru-MD"/>
        </w:rPr>
        <w:t>б оформлении таможенных документов при</w:t>
      </w:r>
      <w:r w:rsidRPr="00237057">
        <w:rPr>
          <w:rFonts w:asciiTheme="majorHAnsi" w:hAnsiTheme="majorHAnsi" w:cstheme="majorHAnsi"/>
          <w:bCs/>
          <w:lang w:val="ru-MD"/>
        </w:rPr>
        <w:br/>
        <w:t>таможенном оформлении товаров, являющихся предметом внешнеэкономических сделок</w:t>
      </w:r>
      <w:r w:rsidRPr="00237057">
        <w:rPr>
          <w:rFonts w:asciiTheme="majorHAnsi" w:hAnsiTheme="majorHAnsi" w:cstheme="majorHAnsi"/>
          <w:lang w:val="ru-MD"/>
        </w:rPr>
        <w:t>”.</w:t>
      </w:r>
    </w:p>
  </w:footnote>
  <w:footnote w:id="85">
    <w:p w14:paraId="499DF7FC" w14:textId="56937966" w:rsidR="00B707C5" w:rsidRPr="00237057" w:rsidRDefault="00B707C5" w:rsidP="00237057">
      <w:pPr>
        <w:spacing w:after="0" w:line="240" w:lineRule="auto"/>
        <w:jc w:val="both"/>
        <w:rPr>
          <w:rFonts w:asciiTheme="majorHAnsi" w:hAnsiTheme="majorHAnsi" w:cstheme="majorHAnsi"/>
          <w:sz w:val="20"/>
          <w:szCs w:val="20"/>
          <w:lang w:val="ru-MD"/>
        </w:rPr>
      </w:pPr>
      <w:r w:rsidRPr="00237057">
        <w:rPr>
          <w:rStyle w:val="FootnoteReference"/>
          <w:rFonts w:asciiTheme="majorHAnsi" w:hAnsiTheme="majorHAnsi" w:cstheme="majorHAnsi"/>
          <w:sz w:val="20"/>
          <w:szCs w:val="20"/>
          <w:lang w:val="ru-MD"/>
        </w:rPr>
        <w:footnoteRef/>
      </w:r>
      <w:r w:rsidRPr="00237057">
        <w:rPr>
          <w:rFonts w:asciiTheme="majorHAnsi" w:hAnsiTheme="majorHAnsi" w:cstheme="majorHAnsi"/>
          <w:sz w:val="20"/>
          <w:szCs w:val="20"/>
          <w:lang w:val="ru-MD"/>
        </w:rPr>
        <w:t xml:space="preserve"> Глава </w:t>
      </w:r>
      <w:r w:rsidRPr="00237057">
        <w:rPr>
          <w:rFonts w:asciiTheme="majorHAnsi" w:eastAsia="Times New Roman" w:hAnsiTheme="majorHAnsi" w:cstheme="majorHAnsi"/>
          <w:bCs/>
          <w:sz w:val="20"/>
          <w:szCs w:val="20"/>
          <w:lang w:val="ru-MD"/>
        </w:rPr>
        <w:t>13 „Формальности и требования к документации” Национального плана действий в сфере содействия торговле на 2018-2020 годы, утвержденного Постановлением Правительства №1065 от 12.12.2017</w:t>
      </w:r>
      <w:r w:rsidRPr="00237057">
        <w:rPr>
          <w:rFonts w:asciiTheme="majorHAnsi" w:hAnsiTheme="majorHAnsi" w:cstheme="majorHAnsi"/>
          <w:sz w:val="20"/>
          <w:szCs w:val="20"/>
          <w:lang w:val="ru-MD"/>
        </w:rPr>
        <w:t>.</w:t>
      </w:r>
    </w:p>
  </w:footnote>
  <w:footnote w:id="86">
    <w:p w14:paraId="7DF18943" w14:textId="30304B8C" w:rsidR="00B707C5" w:rsidRPr="00237057" w:rsidRDefault="00B707C5" w:rsidP="00237057">
      <w:pPr>
        <w:pStyle w:val="Default"/>
        <w:spacing w:line="276" w:lineRule="auto"/>
        <w:jc w:val="both"/>
        <w:rPr>
          <w:rFonts w:asciiTheme="majorHAnsi" w:hAnsiTheme="majorHAnsi" w:cstheme="majorHAnsi"/>
          <w:sz w:val="20"/>
          <w:szCs w:val="20"/>
          <w:lang w:val="ru-MD"/>
        </w:rPr>
      </w:pPr>
      <w:r w:rsidRPr="00237057">
        <w:rPr>
          <w:rStyle w:val="FootnoteReference"/>
          <w:rFonts w:asciiTheme="majorHAnsi" w:hAnsiTheme="majorHAnsi" w:cstheme="majorHAnsi"/>
          <w:sz w:val="20"/>
          <w:szCs w:val="20"/>
          <w:lang w:val="ru-MD"/>
        </w:rPr>
        <w:footnoteRef/>
      </w:r>
      <w:r w:rsidRPr="00237057">
        <w:rPr>
          <w:rFonts w:asciiTheme="majorHAnsi" w:hAnsiTheme="majorHAnsi" w:cstheme="majorHAnsi"/>
          <w:sz w:val="20"/>
          <w:szCs w:val="20"/>
          <w:lang w:val="ru-MD"/>
        </w:rPr>
        <w:t xml:space="preserve"> Приказ ТС №276-O от 24.10.2002 „О</w:t>
      </w:r>
      <w:r w:rsidRPr="00237057">
        <w:rPr>
          <w:rFonts w:asciiTheme="majorHAnsi" w:hAnsiTheme="majorHAnsi" w:cstheme="majorHAnsi"/>
          <w:bCs/>
          <w:sz w:val="20"/>
          <w:szCs w:val="20"/>
          <w:lang w:val="ru-MD"/>
        </w:rPr>
        <w:t>б оформлении таможенных документов при таможенном оформлении товаров, являющихся предметом внешнеэкономических сделок</w:t>
      </w:r>
      <w:r w:rsidRPr="00237057">
        <w:rPr>
          <w:rFonts w:asciiTheme="majorHAnsi" w:hAnsiTheme="majorHAnsi" w:cstheme="majorHAnsi"/>
          <w:sz w:val="20"/>
          <w:szCs w:val="20"/>
          <w:lang w:val="ru-MD"/>
        </w:rPr>
        <w:t>”.</w:t>
      </w:r>
    </w:p>
  </w:footnote>
  <w:footnote w:id="87">
    <w:p w14:paraId="08E71C6E" w14:textId="5E51EEB3" w:rsidR="00B707C5" w:rsidRPr="00237057" w:rsidRDefault="00B707C5" w:rsidP="00237057">
      <w:pPr>
        <w:pStyle w:val="FootnoteText"/>
        <w:jc w:val="both"/>
        <w:rPr>
          <w:rFonts w:asciiTheme="majorHAnsi" w:hAnsiTheme="majorHAnsi" w:cstheme="majorHAnsi"/>
          <w:lang w:val="ru-MD"/>
        </w:rPr>
      </w:pPr>
      <w:r w:rsidRPr="00237057">
        <w:rPr>
          <w:rStyle w:val="FootnoteReference"/>
          <w:rFonts w:asciiTheme="majorHAnsi" w:hAnsiTheme="majorHAnsi" w:cstheme="majorHAnsi"/>
          <w:lang w:val="ru-MD"/>
        </w:rPr>
        <w:footnoteRef/>
      </w:r>
      <w:r w:rsidRPr="00237057">
        <w:rPr>
          <w:rFonts w:asciiTheme="majorHAnsi" w:hAnsiTheme="majorHAnsi" w:cstheme="majorHAnsi"/>
          <w:lang w:val="ru-MD"/>
        </w:rPr>
        <w:t xml:space="preserve"> Постановление Правительства №</w:t>
      </w:r>
      <w:r w:rsidRPr="00237057">
        <w:rPr>
          <w:rFonts w:asciiTheme="majorHAnsi" w:eastAsia="Times New Roman" w:hAnsiTheme="majorHAnsi" w:cstheme="majorHAnsi"/>
          <w:bCs/>
          <w:lang w:val="ru-MD"/>
        </w:rPr>
        <w:t>600 от 14.05.2002</w:t>
      </w:r>
      <w:r w:rsidRPr="00237057">
        <w:rPr>
          <w:rFonts w:asciiTheme="majorHAnsi" w:hAnsiTheme="majorHAnsi" w:cstheme="majorHAnsi"/>
          <w:lang w:val="ru-MD"/>
        </w:rPr>
        <w:t xml:space="preserve"> „</w:t>
      </w:r>
      <w:r w:rsidRPr="00237057">
        <w:rPr>
          <w:rFonts w:asciiTheme="majorHAnsi" w:hAnsiTheme="majorHAnsi" w:cstheme="majorHAnsi"/>
          <w:bCs/>
          <w:lang w:val="ru-MD"/>
        </w:rPr>
        <w:t>Об утверждении Положения о порядке декларирования таможенной стоимости товаров, ввозимых на территорию Республики Молдова</w:t>
      </w:r>
      <w:r w:rsidRPr="00237057">
        <w:rPr>
          <w:rFonts w:asciiTheme="majorHAnsi" w:eastAsia="Times New Roman" w:hAnsiTheme="majorHAnsi" w:cstheme="majorHAnsi"/>
          <w:bCs/>
          <w:lang w:val="ru-MD"/>
        </w:rPr>
        <w:t xml:space="preserve">”. </w:t>
      </w:r>
    </w:p>
  </w:footnote>
  <w:footnote w:id="88">
    <w:p w14:paraId="301C1266" w14:textId="1D420D50" w:rsidR="00B707C5" w:rsidRPr="00237057" w:rsidRDefault="00B707C5" w:rsidP="00237057">
      <w:pPr>
        <w:spacing w:after="0" w:line="240" w:lineRule="auto"/>
        <w:jc w:val="both"/>
        <w:rPr>
          <w:rFonts w:asciiTheme="majorHAnsi" w:hAnsiTheme="majorHAnsi" w:cstheme="majorHAnsi"/>
          <w:sz w:val="20"/>
          <w:szCs w:val="20"/>
          <w:lang w:val="ru-MD"/>
        </w:rPr>
      </w:pPr>
      <w:r w:rsidRPr="00237057">
        <w:rPr>
          <w:rStyle w:val="FootnoteReference"/>
          <w:rFonts w:asciiTheme="majorHAnsi" w:hAnsiTheme="majorHAnsi" w:cstheme="majorHAnsi"/>
          <w:sz w:val="20"/>
          <w:szCs w:val="20"/>
          <w:lang w:val="ru-MD"/>
        </w:rPr>
        <w:footnoteRef/>
      </w:r>
      <w:r w:rsidRPr="00237057">
        <w:rPr>
          <w:rFonts w:asciiTheme="majorHAnsi" w:hAnsiTheme="majorHAnsi" w:cstheme="majorHAnsi"/>
          <w:sz w:val="20"/>
          <w:szCs w:val="20"/>
          <w:lang w:val="ru-MD"/>
        </w:rPr>
        <w:t xml:space="preserve"> </w:t>
      </w:r>
      <w:r w:rsidRPr="00237057">
        <w:rPr>
          <w:rFonts w:asciiTheme="majorHAnsi" w:eastAsia="Times New Roman" w:hAnsiTheme="majorHAnsi" w:cstheme="majorHAnsi"/>
          <w:bCs/>
          <w:sz w:val="20"/>
          <w:szCs w:val="20"/>
          <w:lang w:val="ru-MD"/>
        </w:rPr>
        <w:t xml:space="preserve">Постановление Счетной палаты №40 от 10.07.2014 „По Отчету аудита соответствия администрирования налога на добавленную стоимость Таможенной службой в 2013 году”; Постановление Счетной палаты №37 от 10.07.2013 „По Отчету аудита администрирования публичных доходов Таможенной службой в 2012 году”. </w:t>
      </w:r>
    </w:p>
  </w:footnote>
  <w:footnote w:id="89">
    <w:p w14:paraId="5436EAF8" w14:textId="7195DBAB" w:rsidR="00B707C5" w:rsidRPr="00237057" w:rsidRDefault="00B707C5" w:rsidP="00237057">
      <w:pPr>
        <w:spacing w:after="0"/>
        <w:jc w:val="both"/>
        <w:rPr>
          <w:rFonts w:asciiTheme="majorHAnsi" w:hAnsiTheme="majorHAnsi" w:cstheme="majorHAnsi"/>
          <w:sz w:val="20"/>
          <w:szCs w:val="20"/>
          <w:lang w:val="ru-MD"/>
        </w:rPr>
      </w:pPr>
      <w:r w:rsidRPr="00237057">
        <w:rPr>
          <w:rStyle w:val="FootnoteReference"/>
          <w:rFonts w:asciiTheme="majorHAnsi" w:hAnsiTheme="majorHAnsi" w:cstheme="majorHAnsi"/>
          <w:sz w:val="20"/>
          <w:szCs w:val="20"/>
          <w:lang w:val="ru-MD"/>
        </w:rPr>
        <w:footnoteRef/>
      </w:r>
      <w:r w:rsidRPr="00237057">
        <w:rPr>
          <w:rFonts w:asciiTheme="majorHAnsi" w:hAnsiTheme="majorHAnsi" w:cstheme="majorHAnsi"/>
          <w:sz w:val="20"/>
          <w:szCs w:val="20"/>
          <w:lang w:val="ru-MD"/>
        </w:rPr>
        <w:t xml:space="preserve"> П.4 Положения, утвержденного Постановлением Правительства №</w:t>
      </w:r>
      <w:r w:rsidRPr="00237057">
        <w:rPr>
          <w:rFonts w:asciiTheme="majorHAnsi" w:eastAsia="Times New Roman" w:hAnsiTheme="majorHAnsi" w:cstheme="majorHAnsi"/>
          <w:sz w:val="20"/>
          <w:szCs w:val="20"/>
          <w:lang w:val="ru-MD"/>
        </w:rPr>
        <w:t>974 от 15.08.2016.</w:t>
      </w:r>
    </w:p>
  </w:footnote>
  <w:footnote w:id="90">
    <w:p w14:paraId="57BBC2F9" w14:textId="15A8A96A" w:rsidR="00B707C5" w:rsidRPr="00237057" w:rsidRDefault="00B707C5" w:rsidP="00237057">
      <w:pPr>
        <w:pStyle w:val="FootnoteText"/>
        <w:jc w:val="both"/>
        <w:rPr>
          <w:rFonts w:asciiTheme="majorHAnsi" w:hAnsiTheme="majorHAnsi" w:cstheme="majorHAnsi"/>
          <w:lang w:val="ru-MD"/>
        </w:rPr>
      </w:pPr>
      <w:r w:rsidRPr="00237057">
        <w:rPr>
          <w:rStyle w:val="FootnoteReference"/>
          <w:rFonts w:asciiTheme="majorHAnsi" w:hAnsiTheme="majorHAnsi" w:cstheme="majorHAnsi"/>
          <w:lang w:val="ru-MD"/>
        </w:rPr>
        <w:footnoteRef/>
      </w:r>
      <w:r w:rsidRPr="00237057">
        <w:rPr>
          <w:rFonts w:asciiTheme="majorHAnsi" w:hAnsiTheme="majorHAnsi" w:cstheme="majorHAnsi"/>
          <w:lang w:val="ru-MD"/>
        </w:rPr>
        <w:t xml:space="preserve"> Ст.5 (6) (b) Налогового кодекса, Глава I „Общие положения”; ст.75 (2) Налогового кодекса, Глава II „Подоходный налог” и ст.112 Главы III „Налог на добавленную стоимость”.</w:t>
      </w:r>
    </w:p>
  </w:footnote>
  <w:footnote w:id="91">
    <w:p w14:paraId="606C5ED4" w14:textId="77777777" w:rsidR="00B707C5" w:rsidRPr="00237057" w:rsidRDefault="00B707C5" w:rsidP="00237057">
      <w:pPr>
        <w:pStyle w:val="FootnoteText"/>
        <w:jc w:val="both"/>
        <w:rPr>
          <w:rFonts w:asciiTheme="majorHAnsi" w:hAnsiTheme="majorHAnsi" w:cstheme="majorHAnsi"/>
          <w:noProof/>
          <w:lang w:val="ru-MD"/>
        </w:rPr>
      </w:pPr>
      <w:r w:rsidRPr="00237057">
        <w:rPr>
          <w:rStyle w:val="FootnoteReference"/>
          <w:rFonts w:asciiTheme="majorHAnsi" w:hAnsiTheme="majorHAnsi" w:cstheme="majorHAnsi"/>
          <w:noProof/>
          <w:lang w:val="ru-MD"/>
        </w:rPr>
        <w:footnoteRef/>
      </w:r>
      <w:r w:rsidRPr="00237057">
        <w:rPr>
          <w:rFonts w:asciiTheme="majorHAnsi" w:hAnsiTheme="majorHAnsi" w:cstheme="majorHAnsi"/>
          <w:noProof/>
          <w:lang w:val="ru-MD"/>
        </w:rPr>
        <w:t xml:space="preserve"> Ст.50 Таможенного кодекса №</w:t>
      </w:r>
      <w:r w:rsidRPr="00237057">
        <w:rPr>
          <w:rFonts w:asciiTheme="majorHAnsi" w:eastAsia="Times New Roman" w:hAnsiTheme="majorHAnsi" w:cstheme="majorHAnsi"/>
          <w:noProof/>
          <w:lang w:val="ru-MD"/>
        </w:rPr>
        <w:t>1149 от 20.07.2000.</w:t>
      </w:r>
    </w:p>
  </w:footnote>
  <w:footnote w:id="92">
    <w:p w14:paraId="63AA5506" w14:textId="77777777" w:rsidR="00B707C5" w:rsidRPr="00237057" w:rsidRDefault="00B707C5" w:rsidP="00237057">
      <w:pPr>
        <w:pStyle w:val="FootnoteText"/>
        <w:jc w:val="both"/>
        <w:rPr>
          <w:rFonts w:asciiTheme="majorHAnsi" w:hAnsiTheme="majorHAnsi" w:cstheme="majorHAnsi"/>
          <w:noProof/>
          <w:lang w:val="ru-MD"/>
        </w:rPr>
      </w:pPr>
      <w:r w:rsidRPr="00237057">
        <w:rPr>
          <w:rStyle w:val="FootnoteReference"/>
          <w:rFonts w:asciiTheme="majorHAnsi" w:hAnsiTheme="majorHAnsi" w:cstheme="majorHAnsi"/>
          <w:noProof/>
          <w:lang w:val="ru-MD"/>
        </w:rPr>
        <w:footnoteRef/>
      </w:r>
      <w:r w:rsidRPr="00237057">
        <w:rPr>
          <w:rFonts w:asciiTheme="majorHAnsi" w:hAnsiTheme="majorHAnsi" w:cstheme="majorHAnsi"/>
          <w:noProof/>
          <w:lang w:val="ru-MD"/>
        </w:rPr>
        <w:t xml:space="preserve"> П.125 Постановления Правительства №1140 от 02.11.2005 „Об утверждении Положения о введении в действие таможенных назначений, предусмотренных Таможенным кодексом Республики Молдова”.</w:t>
      </w:r>
    </w:p>
  </w:footnote>
  <w:footnote w:id="93">
    <w:p w14:paraId="4443CE28" w14:textId="77777777" w:rsidR="00B707C5" w:rsidRPr="00237057" w:rsidRDefault="00B707C5" w:rsidP="00237057">
      <w:pPr>
        <w:pStyle w:val="FootnoteText"/>
        <w:jc w:val="both"/>
        <w:rPr>
          <w:rFonts w:asciiTheme="majorHAnsi" w:hAnsiTheme="majorHAnsi" w:cstheme="majorHAnsi"/>
          <w:noProof/>
          <w:lang w:val="ru-MD"/>
        </w:rPr>
      </w:pPr>
      <w:r w:rsidRPr="00237057">
        <w:rPr>
          <w:rStyle w:val="FootnoteReference"/>
          <w:rFonts w:asciiTheme="majorHAnsi" w:hAnsiTheme="majorHAnsi" w:cstheme="majorHAnsi"/>
          <w:noProof/>
          <w:lang w:val="ru-MD"/>
        </w:rPr>
        <w:footnoteRef/>
      </w:r>
      <w:r w:rsidRPr="00237057">
        <w:rPr>
          <w:rFonts w:asciiTheme="majorHAnsi" w:hAnsiTheme="majorHAnsi" w:cstheme="majorHAnsi"/>
          <w:noProof/>
          <w:lang w:val="ru-MD"/>
        </w:rPr>
        <w:t xml:space="preserve"> ООО „Bmz Prim”; ООО „Softron”; ООО „Politrans Brocher”; ООО „Arsenal Firearms”.</w:t>
      </w:r>
    </w:p>
  </w:footnote>
  <w:footnote w:id="94">
    <w:p w14:paraId="2DE9B504" w14:textId="77777777" w:rsidR="00B707C5" w:rsidRPr="00237057" w:rsidRDefault="00B707C5" w:rsidP="00237057">
      <w:pPr>
        <w:pStyle w:val="FootnoteText"/>
        <w:jc w:val="both"/>
        <w:rPr>
          <w:rFonts w:asciiTheme="majorHAnsi" w:hAnsiTheme="majorHAnsi" w:cstheme="majorHAnsi"/>
          <w:noProof/>
          <w:lang w:val="ru-MD"/>
        </w:rPr>
      </w:pPr>
      <w:r w:rsidRPr="00237057">
        <w:rPr>
          <w:rStyle w:val="FootnoteReference"/>
          <w:rFonts w:asciiTheme="majorHAnsi" w:hAnsiTheme="majorHAnsi" w:cstheme="majorHAnsi"/>
          <w:noProof/>
          <w:lang w:val="ru-MD"/>
        </w:rPr>
        <w:footnoteRef/>
      </w:r>
      <w:r w:rsidRPr="00237057">
        <w:rPr>
          <w:rFonts w:asciiTheme="majorHAnsi" w:hAnsiTheme="majorHAnsi" w:cstheme="majorHAnsi"/>
          <w:noProof/>
          <w:lang w:val="ru-MD"/>
        </w:rPr>
        <w:t xml:space="preserve"> ООО„Arsenal Firearms”.</w:t>
      </w:r>
    </w:p>
  </w:footnote>
  <w:footnote w:id="95">
    <w:p w14:paraId="1C86A877" w14:textId="77777777" w:rsidR="00B707C5" w:rsidRPr="00237057" w:rsidRDefault="00B707C5" w:rsidP="00237057">
      <w:pPr>
        <w:pStyle w:val="FootnoteText"/>
        <w:jc w:val="both"/>
        <w:rPr>
          <w:rFonts w:asciiTheme="majorHAnsi" w:hAnsiTheme="majorHAnsi" w:cstheme="majorHAnsi"/>
          <w:noProof/>
          <w:lang w:val="ru-MD"/>
        </w:rPr>
      </w:pPr>
      <w:r w:rsidRPr="00237057">
        <w:rPr>
          <w:rStyle w:val="FootnoteReference"/>
          <w:rFonts w:asciiTheme="majorHAnsi" w:hAnsiTheme="majorHAnsi" w:cstheme="majorHAnsi"/>
          <w:noProof/>
          <w:lang w:val="ru-MD"/>
        </w:rPr>
        <w:footnoteRef/>
      </w:r>
      <w:r w:rsidRPr="00237057">
        <w:rPr>
          <w:rFonts w:asciiTheme="majorHAnsi" w:hAnsiTheme="majorHAnsi" w:cstheme="majorHAnsi"/>
          <w:noProof/>
          <w:lang w:val="ru-MD"/>
        </w:rPr>
        <w:t xml:space="preserve"> ООО„Roafart”; ООО„Global Alco M”; ООО„Agroopt”; ООО„Monicol”; ГКП „Moldova Zahăr” ООО.</w:t>
      </w:r>
      <w:r w:rsidRPr="00237057">
        <w:rPr>
          <w:rFonts w:asciiTheme="majorHAnsi" w:hAnsiTheme="majorHAnsi" w:cstheme="majorHAnsi"/>
          <w:noProof/>
          <w:lang w:val="ru-MD"/>
        </w:rPr>
        <w:tab/>
      </w:r>
    </w:p>
  </w:footnote>
  <w:footnote w:id="96">
    <w:p w14:paraId="620B36E3" w14:textId="77777777" w:rsidR="00B707C5" w:rsidRPr="00237057" w:rsidRDefault="00B707C5" w:rsidP="00237057">
      <w:pPr>
        <w:pStyle w:val="FootnoteText"/>
        <w:jc w:val="both"/>
        <w:rPr>
          <w:rFonts w:asciiTheme="majorHAnsi" w:hAnsiTheme="majorHAnsi" w:cstheme="majorHAnsi"/>
          <w:noProof/>
          <w:lang w:val="ru-MD"/>
        </w:rPr>
      </w:pPr>
      <w:r w:rsidRPr="00237057">
        <w:rPr>
          <w:rStyle w:val="FootnoteReference"/>
          <w:rFonts w:asciiTheme="majorHAnsi" w:hAnsiTheme="majorHAnsi" w:cstheme="majorHAnsi"/>
          <w:noProof/>
          <w:lang w:val="ru-MD"/>
        </w:rPr>
        <w:footnoteRef/>
      </w:r>
      <w:r w:rsidRPr="00237057">
        <w:rPr>
          <w:rFonts w:asciiTheme="majorHAnsi" w:hAnsiTheme="majorHAnsi" w:cstheme="majorHAnsi"/>
          <w:noProof/>
          <w:lang w:val="ru-MD"/>
        </w:rPr>
        <w:t xml:space="preserve"> Ст.53 (1) (a) и ст.54 (6) Таможенного кодекса</w:t>
      </w:r>
      <w:r w:rsidRPr="00237057">
        <w:rPr>
          <w:rFonts w:asciiTheme="majorHAnsi" w:eastAsia="Times New Roman" w:hAnsiTheme="majorHAnsi" w:cstheme="majorHAnsi"/>
          <w:noProof/>
          <w:lang w:val="ru-MD"/>
        </w:rPr>
        <w:t>; п</w:t>
      </w:r>
      <w:r w:rsidRPr="00237057">
        <w:rPr>
          <w:rFonts w:asciiTheme="majorHAnsi" w:hAnsiTheme="majorHAnsi" w:cstheme="majorHAnsi"/>
          <w:noProof/>
          <w:lang w:val="ru-MD"/>
        </w:rPr>
        <w:t>.125 Постановления Правительства №1140 от 02.11.2005 „Об утверждении Положения о введении в действие таможенных назначений, предусмотренных Таможенным кодексом Республики Молдова”</w:t>
      </w:r>
      <w:r w:rsidRPr="00237057">
        <w:rPr>
          <w:rFonts w:asciiTheme="majorHAnsi" w:eastAsia="Times New Roman" w:hAnsiTheme="majorHAnsi" w:cstheme="majorHAnsi"/>
          <w:noProof/>
          <w:lang w:val="ru-MD"/>
        </w:rPr>
        <w:t>.</w:t>
      </w:r>
    </w:p>
  </w:footnote>
  <w:footnote w:id="97">
    <w:p w14:paraId="7F19EB92" w14:textId="77777777" w:rsidR="00B707C5" w:rsidRPr="00237057" w:rsidRDefault="00B707C5" w:rsidP="00237057">
      <w:pPr>
        <w:spacing w:after="0"/>
        <w:jc w:val="both"/>
        <w:rPr>
          <w:rFonts w:asciiTheme="majorHAnsi" w:hAnsiTheme="majorHAnsi" w:cstheme="majorHAnsi"/>
          <w:noProof/>
          <w:sz w:val="20"/>
          <w:szCs w:val="20"/>
          <w:lang w:val="ru-MD"/>
        </w:rPr>
      </w:pPr>
      <w:r w:rsidRPr="00237057">
        <w:rPr>
          <w:rStyle w:val="FootnoteReference"/>
          <w:rFonts w:asciiTheme="majorHAnsi" w:hAnsiTheme="majorHAnsi" w:cstheme="majorHAnsi"/>
          <w:noProof/>
          <w:sz w:val="20"/>
          <w:szCs w:val="20"/>
          <w:lang w:val="ru-MD"/>
        </w:rPr>
        <w:footnoteRef/>
      </w:r>
      <w:r w:rsidRPr="00237057">
        <w:rPr>
          <w:rFonts w:asciiTheme="majorHAnsi" w:hAnsiTheme="majorHAnsi" w:cstheme="majorHAnsi"/>
          <w:noProof/>
          <w:sz w:val="20"/>
          <w:szCs w:val="20"/>
          <w:lang w:val="ru-MD"/>
        </w:rPr>
        <w:t xml:space="preserve">  Ст.10 и ст.11 Закона </w:t>
      </w:r>
      <w:r w:rsidRPr="00237057">
        <w:rPr>
          <w:rFonts w:asciiTheme="majorHAnsi" w:hAnsiTheme="majorHAnsi" w:cstheme="majorHAnsi"/>
          <w:bCs/>
          <w:noProof/>
          <w:sz w:val="20"/>
          <w:szCs w:val="20"/>
          <w:lang w:val="ru-MD"/>
        </w:rPr>
        <w:t>о регулировании предпринимательский деятельности путем разрешения</w:t>
      </w:r>
      <w:r w:rsidRPr="00237057">
        <w:rPr>
          <w:rFonts w:asciiTheme="majorHAnsi" w:hAnsiTheme="majorHAnsi" w:cstheme="majorHAnsi"/>
          <w:noProof/>
          <w:sz w:val="20"/>
          <w:szCs w:val="20"/>
          <w:lang w:val="ru-MD"/>
        </w:rPr>
        <w:t xml:space="preserve"> №</w:t>
      </w:r>
      <w:r w:rsidRPr="00237057">
        <w:rPr>
          <w:rFonts w:asciiTheme="majorHAnsi" w:eastAsia="Times New Roman" w:hAnsiTheme="majorHAnsi" w:cstheme="majorHAnsi"/>
          <w:bCs/>
          <w:noProof/>
          <w:sz w:val="20"/>
          <w:szCs w:val="20"/>
          <w:lang w:val="ru-MD"/>
        </w:rPr>
        <w:t>160 от 22.07.2011.</w:t>
      </w:r>
    </w:p>
  </w:footnote>
  <w:footnote w:id="98">
    <w:p w14:paraId="1BD574D5" w14:textId="37FDD701" w:rsidR="00B707C5" w:rsidRPr="00237057" w:rsidRDefault="00B707C5" w:rsidP="00237057">
      <w:pPr>
        <w:spacing w:after="0"/>
        <w:jc w:val="both"/>
        <w:rPr>
          <w:rFonts w:asciiTheme="majorHAnsi" w:hAnsiTheme="majorHAnsi" w:cstheme="majorHAnsi"/>
          <w:noProof/>
          <w:sz w:val="20"/>
          <w:szCs w:val="20"/>
          <w:lang w:val="ru-MD"/>
        </w:rPr>
      </w:pPr>
      <w:r w:rsidRPr="00237057">
        <w:rPr>
          <w:rStyle w:val="FootnoteReference"/>
          <w:rFonts w:asciiTheme="majorHAnsi" w:hAnsiTheme="majorHAnsi" w:cstheme="majorHAnsi"/>
          <w:noProof/>
          <w:sz w:val="20"/>
          <w:szCs w:val="20"/>
          <w:lang w:val="ru-MD"/>
        </w:rPr>
        <w:footnoteRef/>
      </w:r>
      <w:r w:rsidRPr="00237057">
        <w:rPr>
          <w:rFonts w:asciiTheme="majorHAnsi" w:hAnsiTheme="majorHAnsi" w:cstheme="majorHAnsi"/>
          <w:noProof/>
          <w:sz w:val="20"/>
          <w:szCs w:val="20"/>
          <w:lang w:val="ru-MD"/>
        </w:rPr>
        <w:t xml:space="preserve"> Ст.1 (17) и (32) Таможенного кодекса;  </w:t>
      </w:r>
      <w:r w:rsidRPr="00237057">
        <w:rPr>
          <w:rFonts w:asciiTheme="majorHAnsi" w:hAnsiTheme="majorHAnsi" w:cstheme="majorHAnsi"/>
          <w:i/>
          <w:iCs/>
          <w:noProof/>
          <w:sz w:val="20"/>
          <w:szCs w:val="20"/>
          <w:lang w:val="ru-MD"/>
        </w:rPr>
        <w:t>таможенный режим</w:t>
      </w:r>
      <w:r w:rsidRPr="00237057">
        <w:rPr>
          <w:rFonts w:asciiTheme="majorHAnsi" w:hAnsiTheme="majorHAnsi" w:cstheme="majorHAnsi"/>
          <w:noProof/>
          <w:sz w:val="20"/>
          <w:szCs w:val="20"/>
          <w:lang w:val="ru-MD"/>
        </w:rPr>
        <w:t xml:space="preserve"> - совокупность таможенных правил, определяющих статус товаров и транспортных средств в соответствии с целями операции и предназначением товаров; </w:t>
      </w:r>
      <w:r w:rsidRPr="00237057">
        <w:rPr>
          <w:rFonts w:asciiTheme="majorHAnsi" w:hAnsiTheme="majorHAnsi" w:cstheme="majorHAnsi"/>
          <w:i/>
          <w:iCs/>
          <w:noProof/>
          <w:sz w:val="20"/>
          <w:szCs w:val="20"/>
          <w:lang w:val="ru-MD"/>
        </w:rPr>
        <w:t>таможенное назначение</w:t>
      </w:r>
      <w:r w:rsidRPr="00237057">
        <w:rPr>
          <w:rFonts w:asciiTheme="majorHAnsi" w:hAnsiTheme="majorHAnsi" w:cstheme="majorHAnsi"/>
          <w:noProof/>
          <w:sz w:val="20"/>
          <w:szCs w:val="20"/>
          <w:lang w:val="ru-MD"/>
        </w:rPr>
        <w:t> - помещение товаров под таможенный режим, размещение их в свободной зоне, реэкспорт, реимпорт, уничтожение, отказ в пользу государства</w:t>
      </w:r>
      <w:r w:rsidRPr="00237057">
        <w:rPr>
          <w:rFonts w:asciiTheme="majorHAnsi" w:hAnsiTheme="majorHAnsi" w:cstheme="majorHAnsi"/>
          <w:noProof/>
          <w:color w:val="333333"/>
          <w:sz w:val="20"/>
          <w:szCs w:val="20"/>
          <w:shd w:val="clear" w:color="auto" w:fill="FFFFFF"/>
          <w:lang w:val="ru-MD"/>
        </w:rPr>
        <w:t>.</w:t>
      </w:r>
    </w:p>
  </w:footnote>
  <w:footnote w:id="99">
    <w:p w14:paraId="47DBD714" w14:textId="53FE8C48" w:rsidR="00B707C5" w:rsidRPr="00237057" w:rsidRDefault="00B707C5" w:rsidP="00237057">
      <w:pPr>
        <w:pStyle w:val="FootnoteText"/>
        <w:jc w:val="both"/>
        <w:rPr>
          <w:rFonts w:asciiTheme="majorHAnsi" w:hAnsiTheme="majorHAnsi" w:cstheme="majorHAnsi"/>
          <w:noProof/>
          <w:lang w:val="ru-MD"/>
        </w:rPr>
      </w:pPr>
      <w:r w:rsidRPr="00237057">
        <w:rPr>
          <w:rStyle w:val="FootnoteReference"/>
          <w:rFonts w:asciiTheme="majorHAnsi" w:hAnsiTheme="majorHAnsi" w:cstheme="majorHAnsi"/>
          <w:noProof/>
          <w:lang w:val="ru-MD"/>
        </w:rPr>
        <w:footnoteRef/>
      </w:r>
      <w:r w:rsidRPr="00237057">
        <w:rPr>
          <w:rFonts w:asciiTheme="majorHAnsi" w:hAnsiTheme="majorHAnsi" w:cstheme="majorHAnsi"/>
          <w:noProof/>
          <w:lang w:val="ru-MD"/>
        </w:rPr>
        <w:t xml:space="preserve"> Ст.29 (5) Таможенного кодекса.</w:t>
      </w:r>
    </w:p>
  </w:footnote>
  <w:footnote w:id="100">
    <w:p w14:paraId="0F9747F2" w14:textId="77777777" w:rsidR="00B707C5" w:rsidRPr="00237057" w:rsidRDefault="00B707C5" w:rsidP="00237057">
      <w:pPr>
        <w:pStyle w:val="FootnoteText"/>
        <w:jc w:val="both"/>
        <w:rPr>
          <w:rFonts w:asciiTheme="majorHAnsi" w:hAnsiTheme="majorHAnsi" w:cstheme="majorHAnsi"/>
          <w:noProof/>
          <w:lang w:val="ru-MD"/>
        </w:rPr>
      </w:pPr>
      <w:r w:rsidRPr="00237057">
        <w:rPr>
          <w:rStyle w:val="FootnoteReference"/>
          <w:rFonts w:asciiTheme="majorHAnsi" w:hAnsiTheme="majorHAnsi" w:cstheme="majorHAnsi"/>
          <w:noProof/>
          <w:lang w:val="ru-MD"/>
        </w:rPr>
        <w:footnoteRef/>
      </w:r>
      <w:r w:rsidRPr="00237057">
        <w:rPr>
          <w:rFonts w:asciiTheme="majorHAnsi" w:hAnsiTheme="majorHAnsi" w:cstheme="majorHAnsi"/>
          <w:noProof/>
          <w:lang w:val="ru-MD"/>
        </w:rPr>
        <w:t xml:space="preserve"> П.144 Положения о введении в действие таможенных назначений, предусмотренных Таможенным кодексом Республики Молдова, утвержденного Постановлением Правительства №1140 от 02.11.2005.</w:t>
      </w:r>
    </w:p>
  </w:footnote>
  <w:footnote w:id="101">
    <w:p w14:paraId="7BF5E68B" w14:textId="47BF70AB" w:rsidR="00B707C5" w:rsidRPr="00237057" w:rsidRDefault="00B707C5" w:rsidP="00237057">
      <w:pPr>
        <w:pStyle w:val="FootnoteText"/>
        <w:jc w:val="both"/>
        <w:rPr>
          <w:rFonts w:asciiTheme="majorHAnsi" w:hAnsiTheme="majorHAnsi" w:cstheme="majorHAnsi"/>
          <w:noProof/>
          <w:lang w:val="ru-MD"/>
        </w:rPr>
      </w:pPr>
      <w:r w:rsidRPr="00237057">
        <w:rPr>
          <w:rStyle w:val="FootnoteReference"/>
          <w:rFonts w:asciiTheme="majorHAnsi" w:hAnsiTheme="majorHAnsi" w:cstheme="majorHAnsi"/>
          <w:noProof/>
          <w:lang w:val="ru-MD"/>
        </w:rPr>
        <w:footnoteRef/>
      </w:r>
      <w:r w:rsidRPr="00237057">
        <w:rPr>
          <w:rFonts w:asciiTheme="majorHAnsi" w:hAnsiTheme="majorHAnsi" w:cstheme="majorHAnsi"/>
          <w:noProof/>
          <w:lang w:val="ru-MD"/>
        </w:rPr>
        <w:t xml:space="preserve"> ООО „Grand Premium”.  </w:t>
      </w:r>
    </w:p>
  </w:footnote>
  <w:footnote w:id="102">
    <w:p w14:paraId="0FEAA3E6" w14:textId="1B6BF44B" w:rsidR="00B707C5" w:rsidRPr="00237057" w:rsidRDefault="00B707C5" w:rsidP="00237057">
      <w:pPr>
        <w:pStyle w:val="FootnoteText"/>
        <w:jc w:val="both"/>
        <w:rPr>
          <w:rFonts w:asciiTheme="majorHAnsi" w:hAnsiTheme="majorHAnsi" w:cstheme="majorHAnsi"/>
          <w:noProof/>
          <w:lang w:val="ru-MD"/>
        </w:rPr>
      </w:pPr>
      <w:r w:rsidRPr="00237057">
        <w:rPr>
          <w:rStyle w:val="FootnoteReference"/>
          <w:rFonts w:asciiTheme="majorHAnsi" w:hAnsiTheme="majorHAnsi" w:cstheme="majorHAnsi"/>
          <w:noProof/>
          <w:lang w:val="ru-MD"/>
        </w:rPr>
        <w:footnoteRef/>
      </w:r>
      <w:r w:rsidRPr="00237057">
        <w:rPr>
          <w:rFonts w:asciiTheme="majorHAnsi" w:hAnsiTheme="majorHAnsi" w:cstheme="majorHAnsi"/>
          <w:noProof/>
          <w:lang w:val="ru-MD"/>
        </w:rPr>
        <w:t xml:space="preserve"> ООО „Vamcomplex”; ООО „Oscan Impex”, ООО „Individual Auto”; ООО „Autotronic”; ООО „Autopar Com”.</w:t>
      </w:r>
    </w:p>
  </w:footnote>
  <w:footnote w:id="103">
    <w:p w14:paraId="48C7060D" w14:textId="77777777" w:rsidR="00B707C5" w:rsidRPr="00237057" w:rsidRDefault="00B707C5" w:rsidP="00237057">
      <w:pPr>
        <w:pStyle w:val="FootnoteText"/>
        <w:jc w:val="both"/>
        <w:rPr>
          <w:rFonts w:asciiTheme="majorHAnsi" w:hAnsiTheme="majorHAnsi" w:cstheme="majorHAnsi"/>
          <w:noProof/>
          <w:lang w:val="ru-MD"/>
        </w:rPr>
      </w:pPr>
      <w:r w:rsidRPr="00237057">
        <w:rPr>
          <w:rStyle w:val="FootnoteReference"/>
          <w:rFonts w:asciiTheme="majorHAnsi" w:hAnsiTheme="majorHAnsi" w:cstheme="majorHAnsi"/>
          <w:noProof/>
          <w:lang w:val="ru-MD"/>
        </w:rPr>
        <w:footnoteRef/>
      </w:r>
      <w:r w:rsidRPr="00237057">
        <w:rPr>
          <w:rFonts w:asciiTheme="majorHAnsi" w:hAnsiTheme="majorHAnsi" w:cstheme="majorHAnsi"/>
          <w:noProof/>
          <w:lang w:val="ru-MD"/>
        </w:rPr>
        <w:t xml:space="preserve"> ООО„Vamcomplex”.</w:t>
      </w:r>
    </w:p>
  </w:footnote>
  <w:footnote w:id="104">
    <w:p w14:paraId="29FBA630" w14:textId="1BABA73F" w:rsidR="00B707C5" w:rsidRPr="00237057" w:rsidRDefault="00B707C5" w:rsidP="00237057">
      <w:pPr>
        <w:pStyle w:val="FootnoteText"/>
        <w:jc w:val="both"/>
        <w:rPr>
          <w:rFonts w:asciiTheme="majorHAnsi" w:hAnsiTheme="majorHAnsi" w:cstheme="majorHAnsi"/>
          <w:noProof/>
          <w:lang w:val="ru-MD"/>
        </w:rPr>
      </w:pPr>
      <w:r w:rsidRPr="00237057">
        <w:rPr>
          <w:rStyle w:val="FootnoteReference"/>
          <w:rFonts w:asciiTheme="majorHAnsi" w:hAnsiTheme="majorHAnsi" w:cstheme="majorHAnsi"/>
          <w:noProof/>
          <w:lang w:val="ru-MD"/>
        </w:rPr>
        <w:footnoteRef/>
      </w:r>
      <w:r w:rsidRPr="00237057">
        <w:rPr>
          <w:rFonts w:asciiTheme="majorHAnsi" w:hAnsiTheme="majorHAnsi" w:cstheme="majorHAnsi"/>
          <w:noProof/>
          <w:lang w:val="ru-MD"/>
        </w:rPr>
        <w:t xml:space="preserve"> Ст.11 (i) Таможенного кодекса</w:t>
      </w:r>
      <w:r w:rsidRPr="00237057">
        <w:rPr>
          <w:rFonts w:asciiTheme="majorHAnsi" w:eastAsia="Times New Roman" w:hAnsiTheme="majorHAnsi" w:cstheme="majorHAnsi"/>
          <w:noProof/>
          <w:lang w:val="ru-MD"/>
        </w:rPr>
        <w:t>;</w:t>
      </w:r>
      <w:r w:rsidRPr="00237057">
        <w:rPr>
          <w:rFonts w:asciiTheme="majorHAnsi" w:hAnsiTheme="majorHAnsi" w:cstheme="majorHAnsi"/>
          <w:noProof/>
          <w:color w:val="000000"/>
          <w:lang w:val="ru-MD"/>
        </w:rPr>
        <w:t xml:space="preserve"> Постановление Национального банка Молдовы №</w:t>
      </w:r>
      <w:r w:rsidRPr="00237057">
        <w:rPr>
          <w:rFonts w:asciiTheme="majorHAnsi" w:hAnsiTheme="majorHAnsi" w:cstheme="majorHAnsi"/>
          <w:bCs/>
          <w:noProof/>
          <w:color w:val="000000"/>
          <w:lang w:val="ru-MD"/>
        </w:rPr>
        <w:t>91 от 02.05.2013 „Об определении перечня юрисдикций, не отвечающих международным стандартам прозрачности</w:t>
      </w:r>
      <w:r w:rsidRPr="00237057">
        <w:rPr>
          <w:rFonts w:asciiTheme="majorHAnsi" w:hAnsiTheme="majorHAnsi" w:cstheme="majorHAnsi"/>
          <w:noProof/>
          <w:color w:val="000000"/>
          <w:lang w:val="ru-MD"/>
        </w:rPr>
        <w:t xml:space="preserve">”.  </w:t>
      </w:r>
    </w:p>
  </w:footnote>
  <w:footnote w:id="105">
    <w:p w14:paraId="72079BED" w14:textId="77777777" w:rsidR="00B707C5" w:rsidRPr="00237057" w:rsidRDefault="00B707C5" w:rsidP="00237057">
      <w:pPr>
        <w:pStyle w:val="FootnoteText"/>
        <w:jc w:val="both"/>
        <w:rPr>
          <w:rFonts w:asciiTheme="majorHAnsi" w:hAnsiTheme="majorHAnsi" w:cstheme="majorHAnsi"/>
          <w:noProof/>
          <w:lang w:val="ru-MD"/>
        </w:rPr>
      </w:pPr>
      <w:r w:rsidRPr="00237057">
        <w:rPr>
          <w:rStyle w:val="FootnoteReference"/>
          <w:rFonts w:asciiTheme="majorHAnsi" w:hAnsiTheme="majorHAnsi" w:cstheme="majorHAnsi"/>
          <w:noProof/>
          <w:lang w:val="ru-MD"/>
        </w:rPr>
        <w:footnoteRef/>
      </w:r>
      <w:r w:rsidRPr="00237057">
        <w:rPr>
          <w:rFonts w:asciiTheme="majorHAnsi" w:hAnsiTheme="majorHAnsi" w:cstheme="majorHAnsi"/>
          <w:noProof/>
          <w:lang w:val="ru-MD"/>
        </w:rPr>
        <w:t xml:space="preserve"> ООО„Vamcomplex”.</w:t>
      </w:r>
    </w:p>
  </w:footnote>
  <w:footnote w:id="106">
    <w:p w14:paraId="0404B45F" w14:textId="77777777" w:rsidR="00B707C5" w:rsidRPr="00237057" w:rsidRDefault="00B707C5" w:rsidP="00237057">
      <w:pPr>
        <w:pStyle w:val="FootnoteText"/>
        <w:jc w:val="both"/>
        <w:rPr>
          <w:rFonts w:asciiTheme="majorHAnsi" w:hAnsiTheme="majorHAnsi" w:cstheme="majorHAnsi"/>
          <w:lang w:val="ru-MD"/>
        </w:rPr>
      </w:pPr>
      <w:r w:rsidRPr="00237057">
        <w:rPr>
          <w:rStyle w:val="FootnoteReference"/>
          <w:rFonts w:asciiTheme="majorHAnsi" w:hAnsiTheme="majorHAnsi" w:cstheme="majorHAnsi"/>
          <w:lang w:val="ru-MD"/>
        </w:rPr>
        <w:footnoteRef/>
      </w:r>
      <w:r w:rsidRPr="00237057">
        <w:rPr>
          <w:rFonts w:asciiTheme="majorHAnsi" w:hAnsiTheme="majorHAnsi" w:cstheme="majorHAnsi"/>
          <w:lang w:val="ru-MD"/>
        </w:rPr>
        <w:t xml:space="preserve"> Письмо ТС №28/15-7265 от 27.05.2021, адресованное Службе по предотвращению и борьбе с отмыванием денег</w:t>
      </w:r>
      <w:r w:rsidRPr="00237057">
        <w:rPr>
          <w:rFonts w:asciiTheme="majorHAnsi" w:hAnsiTheme="majorHAnsi" w:cstheme="majorHAnsi"/>
          <w:i/>
          <w:color w:val="333333"/>
          <w:shd w:val="clear" w:color="auto" w:fill="FFFFFF"/>
          <w:lang w:val="ru-MD"/>
        </w:rPr>
        <w:t>.</w:t>
      </w:r>
    </w:p>
  </w:footnote>
  <w:footnote w:id="107">
    <w:p w14:paraId="7219A353" w14:textId="59CD9D36" w:rsidR="00B707C5" w:rsidRPr="00237057" w:rsidRDefault="00B707C5" w:rsidP="00237057">
      <w:pPr>
        <w:pStyle w:val="11"/>
        <w:rPr>
          <w:rFonts w:asciiTheme="majorHAnsi" w:hAnsiTheme="majorHAnsi" w:cstheme="majorHAnsi"/>
          <w:sz w:val="20"/>
          <w:szCs w:val="20"/>
          <w:lang w:val="ru-MD"/>
        </w:rPr>
      </w:pPr>
      <w:r w:rsidRPr="00237057">
        <w:rPr>
          <w:rStyle w:val="FootnoteReference"/>
          <w:rFonts w:asciiTheme="majorHAnsi" w:eastAsiaTheme="majorEastAsia" w:hAnsiTheme="majorHAnsi" w:cstheme="majorHAnsi"/>
          <w:sz w:val="20"/>
          <w:szCs w:val="20"/>
          <w:lang w:val="ru-MD"/>
        </w:rPr>
        <w:footnoteRef/>
      </w:r>
      <w:r w:rsidRPr="00237057">
        <w:rPr>
          <w:rFonts w:asciiTheme="majorHAnsi" w:hAnsiTheme="majorHAnsi" w:cstheme="majorHAnsi"/>
          <w:sz w:val="20"/>
          <w:szCs w:val="20"/>
          <w:lang w:val="ru-MD"/>
        </w:rPr>
        <w:t xml:space="preserve"> Ст.15 Закона о государственном внутреннем финансовом контроле №229 от 23.09.2010; Приказы министра Финансов №189 от 05.11.2015 „Об утверждении Национальных стандартов по внутреннему контролю в  публичном секторе” и №4 от 09.01.2019 „Об утверждении Регламента самооценки, отчетности системы управленческого внутреннего контроля и выдачи Декларации об управленческой ответственности”.</w:t>
      </w:r>
    </w:p>
  </w:footnote>
  <w:footnote w:id="108">
    <w:p w14:paraId="5C9B8A35" w14:textId="310AED1A" w:rsidR="00B707C5" w:rsidRPr="00237057" w:rsidRDefault="00B707C5" w:rsidP="00237057">
      <w:pPr>
        <w:pStyle w:val="FootnoteText"/>
        <w:jc w:val="both"/>
        <w:rPr>
          <w:rFonts w:asciiTheme="majorHAnsi" w:hAnsiTheme="majorHAnsi" w:cstheme="majorHAnsi"/>
          <w:lang w:val="ru-MD"/>
        </w:rPr>
      </w:pPr>
      <w:r w:rsidRPr="00237057">
        <w:rPr>
          <w:rStyle w:val="FootnoteReference"/>
          <w:rFonts w:asciiTheme="majorHAnsi" w:hAnsiTheme="majorHAnsi" w:cstheme="majorHAnsi"/>
          <w:lang w:val="ru-MD"/>
        </w:rPr>
        <w:footnoteRef/>
      </w:r>
      <w:r w:rsidRPr="00237057">
        <w:rPr>
          <w:rFonts w:asciiTheme="majorHAnsi" w:hAnsiTheme="majorHAnsi" w:cstheme="majorHAnsi"/>
          <w:lang w:val="ru-MD"/>
        </w:rPr>
        <w:t xml:space="preserve"> Ст.181</w:t>
      </w:r>
      <w:r w:rsidRPr="00237057">
        <w:rPr>
          <w:rFonts w:asciiTheme="majorHAnsi" w:hAnsiTheme="majorHAnsi" w:cstheme="majorHAnsi"/>
          <w:vertAlign w:val="superscript"/>
          <w:lang w:val="ru-MD"/>
        </w:rPr>
        <w:t>1</w:t>
      </w:r>
      <w:r w:rsidRPr="00237057">
        <w:rPr>
          <w:rFonts w:asciiTheme="majorHAnsi" w:hAnsiTheme="majorHAnsi" w:cstheme="majorHAnsi"/>
          <w:lang w:val="ru-MD"/>
        </w:rPr>
        <w:t xml:space="preserve">  (1) Таможенного кодекса.</w:t>
      </w:r>
    </w:p>
  </w:footnote>
  <w:footnote w:id="109">
    <w:p w14:paraId="5611FD93" w14:textId="2EA28352" w:rsidR="00B707C5" w:rsidRPr="00237057" w:rsidRDefault="00B707C5" w:rsidP="00237057">
      <w:pPr>
        <w:pStyle w:val="FootnoteText"/>
        <w:jc w:val="both"/>
        <w:rPr>
          <w:rFonts w:asciiTheme="majorHAnsi" w:hAnsiTheme="majorHAnsi" w:cstheme="majorHAnsi"/>
          <w:lang w:val="ru-MD"/>
        </w:rPr>
      </w:pPr>
      <w:r w:rsidRPr="00237057">
        <w:rPr>
          <w:rStyle w:val="FootnoteReference"/>
          <w:rFonts w:asciiTheme="majorHAnsi" w:hAnsiTheme="majorHAnsi" w:cstheme="majorHAnsi"/>
          <w:lang w:val="ru-MD"/>
        </w:rPr>
        <w:footnoteRef/>
      </w:r>
      <w:r w:rsidRPr="00237057">
        <w:rPr>
          <w:rFonts w:asciiTheme="majorHAnsi" w:hAnsiTheme="majorHAnsi" w:cstheme="majorHAnsi"/>
          <w:lang w:val="ru-MD"/>
        </w:rPr>
        <w:t xml:space="preserve"> Ст.185  (1) e</w:t>
      </w:r>
      <w:r w:rsidRPr="00237057">
        <w:rPr>
          <w:rFonts w:asciiTheme="majorHAnsi" w:hAnsiTheme="majorHAnsi" w:cstheme="majorHAnsi"/>
          <w:vertAlign w:val="superscript"/>
          <w:lang w:val="ru-MD"/>
        </w:rPr>
        <w:t>1</w:t>
      </w:r>
      <w:r w:rsidRPr="00237057">
        <w:rPr>
          <w:rFonts w:asciiTheme="majorHAnsi" w:hAnsiTheme="majorHAnsi" w:cstheme="majorHAnsi"/>
          <w:lang w:val="ru-MD"/>
        </w:rPr>
        <w:t>), f</w:t>
      </w:r>
      <w:r w:rsidRPr="00237057">
        <w:rPr>
          <w:rFonts w:asciiTheme="majorHAnsi" w:hAnsiTheme="majorHAnsi" w:cstheme="majorHAnsi"/>
          <w:vertAlign w:val="superscript"/>
          <w:lang w:val="ru-MD"/>
        </w:rPr>
        <w:t>1</w:t>
      </w:r>
      <w:r w:rsidRPr="00237057">
        <w:rPr>
          <w:rFonts w:asciiTheme="majorHAnsi" w:hAnsiTheme="majorHAnsi" w:cstheme="majorHAnsi"/>
          <w:lang w:val="ru-MD"/>
        </w:rPr>
        <w:t>) Таможенного кодекса.</w:t>
      </w:r>
    </w:p>
  </w:footnote>
  <w:footnote w:id="110">
    <w:p w14:paraId="6A053ED5" w14:textId="7E4210F0" w:rsidR="00B707C5" w:rsidRPr="00237057" w:rsidRDefault="00B707C5" w:rsidP="00237057">
      <w:pPr>
        <w:pStyle w:val="FootnoteText"/>
        <w:jc w:val="both"/>
        <w:rPr>
          <w:rFonts w:asciiTheme="majorHAnsi" w:hAnsiTheme="majorHAnsi" w:cstheme="majorHAnsi"/>
          <w:lang w:val="ru-MD"/>
        </w:rPr>
      </w:pPr>
      <w:r w:rsidRPr="00237057">
        <w:rPr>
          <w:rStyle w:val="FootnoteReference"/>
          <w:rFonts w:asciiTheme="majorHAnsi" w:hAnsiTheme="majorHAnsi" w:cstheme="majorHAnsi"/>
          <w:lang w:val="ru-MD"/>
        </w:rPr>
        <w:footnoteRef/>
      </w:r>
      <w:r w:rsidRPr="00237057">
        <w:rPr>
          <w:rFonts w:asciiTheme="majorHAnsi" w:hAnsiTheme="majorHAnsi" w:cstheme="majorHAnsi"/>
          <w:lang w:val="ru-MD"/>
        </w:rPr>
        <w:t xml:space="preserve"> П.3 Положения о процедуре проведения посттаможенного контроля таможенными органами, </w:t>
      </w:r>
      <w:r w:rsidR="00DE58E0" w:rsidRPr="00237057">
        <w:rPr>
          <w:rFonts w:asciiTheme="majorHAnsi" w:hAnsiTheme="majorHAnsi" w:cstheme="majorHAnsi"/>
          <w:lang w:val="ru-MD"/>
        </w:rPr>
        <w:t>утвержденного Постановлением Правительства №</w:t>
      </w:r>
      <w:r w:rsidRPr="00237057">
        <w:rPr>
          <w:rFonts w:asciiTheme="majorHAnsi" w:hAnsiTheme="majorHAnsi" w:cstheme="majorHAnsi"/>
          <w:lang w:val="ru-MD"/>
        </w:rPr>
        <w:t xml:space="preserve">1000 </w:t>
      </w:r>
      <w:r w:rsidR="00DE58E0" w:rsidRPr="00237057">
        <w:rPr>
          <w:rFonts w:asciiTheme="majorHAnsi" w:hAnsiTheme="majorHAnsi" w:cstheme="majorHAnsi"/>
          <w:lang w:val="ru-MD"/>
        </w:rPr>
        <w:t>от</w:t>
      </w:r>
      <w:r w:rsidRPr="00237057">
        <w:rPr>
          <w:rFonts w:asciiTheme="majorHAnsi" w:hAnsiTheme="majorHAnsi" w:cstheme="majorHAnsi"/>
          <w:lang w:val="ru-MD"/>
        </w:rPr>
        <w:t xml:space="preserve"> 17.10.2018.</w:t>
      </w:r>
    </w:p>
  </w:footnote>
  <w:footnote w:id="111">
    <w:p w14:paraId="2E71CE21" w14:textId="04423FE2" w:rsidR="00B707C5" w:rsidRPr="00237057" w:rsidRDefault="00B707C5" w:rsidP="00237057">
      <w:pPr>
        <w:spacing w:after="0" w:line="240" w:lineRule="auto"/>
        <w:jc w:val="both"/>
        <w:rPr>
          <w:rFonts w:asciiTheme="majorHAnsi" w:eastAsia="Times New Roman" w:hAnsiTheme="majorHAnsi" w:cstheme="majorHAnsi"/>
          <w:b/>
          <w:bCs/>
          <w:sz w:val="20"/>
          <w:szCs w:val="20"/>
          <w:lang w:val="ru-MD" w:eastAsia="ru-RU"/>
        </w:rPr>
      </w:pPr>
      <w:r w:rsidRPr="00237057">
        <w:rPr>
          <w:rStyle w:val="FootnoteReference"/>
          <w:rFonts w:asciiTheme="majorHAnsi" w:hAnsiTheme="majorHAnsi" w:cstheme="majorHAnsi"/>
          <w:sz w:val="20"/>
          <w:szCs w:val="20"/>
          <w:lang w:val="ru-MD"/>
        </w:rPr>
        <w:footnoteRef/>
      </w:r>
      <w:r w:rsidRPr="00237057">
        <w:rPr>
          <w:rFonts w:asciiTheme="majorHAnsi" w:hAnsiTheme="majorHAnsi" w:cstheme="majorHAnsi"/>
          <w:sz w:val="20"/>
          <w:szCs w:val="20"/>
          <w:lang w:val="ru-MD"/>
        </w:rPr>
        <w:t xml:space="preserve"> Постановление Счетной палаты №42 от 26.08.2020</w:t>
      </w:r>
      <w:r w:rsidRPr="00237057">
        <w:rPr>
          <w:rFonts w:asciiTheme="majorHAnsi" w:eastAsia="Times New Roman" w:hAnsiTheme="majorHAnsi" w:cstheme="majorHAnsi"/>
          <w:bCs/>
          <w:sz w:val="20"/>
          <w:szCs w:val="20"/>
          <w:lang w:val="ru-MD" w:eastAsia="ru-RU"/>
        </w:rPr>
        <w:t xml:space="preserve"> </w:t>
      </w:r>
      <w:r w:rsidRPr="00237057">
        <w:rPr>
          <w:rFonts w:asciiTheme="majorHAnsi" w:hAnsiTheme="majorHAnsi" w:cstheme="majorHAnsi"/>
          <w:sz w:val="20"/>
          <w:szCs w:val="20"/>
          <w:lang w:val="ru-MD"/>
        </w:rPr>
        <w:t xml:space="preserve">по Отчету </w:t>
      </w:r>
      <w:r w:rsidRPr="00237057">
        <w:rPr>
          <w:rFonts w:asciiTheme="majorHAnsi" w:eastAsia="Times New Roman" w:hAnsiTheme="majorHAnsi" w:cstheme="majorHAnsi"/>
          <w:bCs/>
          <w:sz w:val="20"/>
          <w:szCs w:val="20"/>
          <w:lang w:val="ru-MD" w:eastAsia="ru-RU"/>
        </w:rPr>
        <w:t>аудита соответствия администрирования доходов государственного бюджета Таможенной службой за 2019 год</w:t>
      </w:r>
      <w:r w:rsidRPr="00237057">
        <w:rPr>
          <w:rFonts w:asciiTheme="majorHAnsi" w:hAnsiTheme="majorHAnsi" w:cstheme="majorHAnsi"/>
          <w:bCs/>
          <w:sz w:val="20"/>
          <w:szCs w:val="20"/>
          <w:lang w:val="ru-MD"/>
        </w:rPr>
        <w:t>.</w:t>
      </w:r>
      <w:r w:rsidRPr="00237057">
        <w:rPr>
          <w:rFonts w:asciiTheme="majorHAnsi" w:hAnsiTheme="majorHAnsi" w:cstheme="majorHAnsi"/>
          <w:sz w:val="20"/>
          <w:szCs w:val="20"/>
          <w:lang w:val="ru-MD"/>
        </w:rPr>
        <w:t xml:space="preserve"> </w:t>
      </w:r>
    </w:p>
  </w:footnote>
  <w:footnote w:id="112">
    <w:p w14:paraId="34301A56" w14:textId="77777777" w:rsidR="00B707C5" w:rsidRPr="00237057" w:rsidRDefault="00B707C5" w:rsidP="00237057">
      <w:pPr>
        <w:pStyle w:val="FootnoteText"/>
        <w:jc w:val="both"/>
        <w:rPr>
          <w:rFonts w:asciiTheme="majorHAnsi" w:hAnsiTheme="majorHAnsi" w:cstheme="majorHAnsi"/>
          <w:lang w:val="ru-MD"/>
        </w:rPr>
      </w:pPr>
      <w:r w:rsidRPr="00237057">
        <w:rPr>
          <w:rStyle w:val="FootnoteReference"/>
          <w:rFonts w:asciiTheme="majorHAnsi" w:hAnsiTheme="majorHAnsi" w:cstheme="majorHAnsi"/>
          <w:lang w:val="ru-MD"/>
        </w:rPr>
        <w:footnoteRef/>
      </w:r>
      <w:r w:rsidRPr="00237057">
        <w:rPr>
          <w:rFonts w:asciiTheme="majorHAnsi" w:hAnsiTheme="majorHAnsi" w:cstheme="majorHAnsi"/>
          <w:lang w:val="ru-MD"/>
        </w:rPr>
        <w:t xml:space="preserve"> Постановление Счетной палаты №50 от 10.09.2021 по Отчету аудита соответствия государственных закупок в рамках Министерства внутренних дел за 2019-2020 годы</w:t>
      </w:r>
      <w:r w:rsidRPr="00237057">
        <w:rPr>
          <w:rStyle w:val="Bodytext2Italic"/>
          <w:rFonts w:asciiTheme="majorHAnsi" w:eastAsiaTheme="majorEastAsia" w:hAnsiTheme="majorHAnsi" w:cstheme="majorHAnsi"/>
          <w:sz w:val="20"/>
          <w:szCs w:val="20"/>
          <w:lang w:val="ru-MD"/>
        </w:rPr>
        <w:t>.</w:t>
      </w:r>
    </w:p>
  </w:footnote>
  <w:footnote w:id="113">
    <w:p w14:paraId="4CB6BE30" w14:textId="77777777" w:rsidR="00B707C5" w:rsidRPr="00237057" w:rsidRDefault="00B707C5" w:rsidP="00237057">
      <w:pPr>
        <w:pStyle w:val="FootnoteText"/>
        <w:jc w:val="both"/>
        <w:rPr>
          <w:rFonts w:asciiTheme="majorHAnsi" w:hAnsiTheme="majorHAnsi" w:cstheme="majorHAnsi"/>
          <w:lang w:val="ru-MD"/>
        </w:rPr>
      </w:pPr>
      <w:r w:rsidRPr="00237057">
        <w:rPr>
          <w:rStyle w:val="FootnoteReference"/>
          <w:rFonts w:asciiTheme="majorHAnsi" w:hAnsiTheme="majorHAnsi" w:cstheme="majorHAnsi"/>
          <w:lang w:val="ru-MD"/>
        </w:rPr>
        <w:footnoteRef/>
      </w:r>
      <w:r w:rsidRPr="00237057">
        <w:rPr>
          <w:rFonts w:asciiTheme="majorHAnsi" w:hAnsiTheme="majorHAnsi" w:cstheme="majorHAnsi"/>
          <w:lang w:val="ru-MD"/>
        </w:rPr>
        <w:t xml:space="preserve"> Письмо №28/24-9427 от 28.06.2022.</w:t>
      </w:r>
    </w:p>
  </w:footnote>
  <w:footnote w:id="114">
    <w:p w14:paraId="2C4393A4" w14:textId="4FFCC2FB" w:rsidR="00B707C5" w:rsidRPr="00237057" w:rsidRDefault="00B707C5" w:rsidP="00237057">
      <w:pPr>
        <w:pStyle w:val="FootnoteText"/>
        <w:jc w:val="both"/>
        <w:rPr>
          <w:rFonts w:asciiTheme="majorHAnsi" w:hAnsiTheme="majorHAnsi" w:cstheme="majorHAnsi"/>
          <w:lang w:val="ru-MD"/>
        </w:rPr>
      </w:pPr>
      <w:r w:rsidRPr="00237057">
        <w:rPr>
          <w:rStyle w:val="FootnoteReference"/>
          <w:rFonts w:asciiTheme="majorHAnsi" w:hAnsiTheme="majorHAnsi" w:cstheme="majorHAnsi"/>
          <w:lang w:val="ru-MD"/>
        </w:rPr>
        <w:footnoteRef/>
      </w:r>
      <w:r w:rsidRPr="00237057">
        <w:rPr>
          <w:rFonts w:asciiTheme="majorHAnsi" w:hAnsiTheme="majorHAnsi" w:cstheme="majorHAnsi"/>
          <w:lang w:val="ru-MD"/>
        </w:rPr>
        <w:t xml:space="preserve"> Propus spre testare prin Hotărârea Curții de Conturi nr.55 din 20.09.2019 „Cu privire la aprobarea spre testare a proiectului Ghidului privind auditul conformității”. </w:t>
      </w:r>
    </w:p>
  </w:footnote>
  <w:footnote w:id="115">
    <w:p w14:paraId="3783D192" w14:textId="77777777" w:rsidR="00B707C5" w:rsidRPr="00237057" w:rsidRDefault="00B707C5" w:rsidP="00237057">
      <w:pPr>
        <w:pStyle w:val="FootnoteText"/>
        <w:jc w:val="both"/>
        <w:rPr>
          <w:rFonts w:asciiTheme="majorHAnsi" w:hAnsiTheme="majorHAnsi" w:cstheme="majorHAnsi"/>
          <w:lang w:val="ru-MD"/>
        </w:rPr>
      </w:pPr>
      <w:r w:rsidRPr="00237057">
        <w:rPr>
          <w:rStyle w:val="FootnoteReference"/>
          <w:rFonts w:asciiTheme="majorHAnsi" w:hAnsiTheme="majorHAnsi" w:cstheme="majorHAnsi"/>
          <w:lang w:val="ru-MD"/>
        </w:rPr>
        <w:footnoteRef/>
      </w:r>
      <w:r w:rsidRPr="00237057">
        <w:rPr>
          <w:rFonts w:asciiTheme="majorHAnsi" w:hAnsiTheme="majorHAnsi" w:cstheme="majorHAnsi"/>
          <w:lang w:val="ru-MD"/>
        </w:rPr>
        <w:t xml:space="preserve"> Hotărârea Parlamentului nr.55 din 17.03.2020 privind decretarea stării de urgență.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6A9D"/>
    <w:multiLevelType w:val="hybridMultilevel"/>
    <w:tmpl w:val="ACDAB6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B0506"/>
    <w:multiLevelType w:val="multilevel"/>
    <w:tmpl w:val="751E6A00"/>
    <w:lvl w:ilvl="0">
      <w:start w:val="1"/>
      <w:numFmt w:val="decimal"/>
      <w:lvlText w:val="%1."/>
      <w:lvlJc w:val="left"/>
      <w:pPr>
        <w:ind w:left="360" w:hanging="360"/>
      </w:pPr>
      <w:rPr>
        <w:rFonts w:hint="default"/>
        <w:i/>
      </w:rPr>
    </w:lvl>
    <w:lvl w:ilvl="1">
      <w:start w:val="1"/>
      <w:numFmt w:val="decimal"/>
      <w:lvlText w:val="%1.%2."/>
      <w:lvlJc w:val="left"/>
      <w:pPr>
        <w:ind w:left="1146" w:hanging="720"/>
      </w:pPr>
      <w:rPr>
        <w:rFonts w:hint="default"/>
        <w:i w:val="0"/>
      </w:rPr>
    </w:lvl>
    <w:lvl w:ilvl="2">
      <w:start w:val="1"/>
      <w:numFmt w:val="decimal"/>
      <w:lvlText w:val="%1.%2.%3."/>
      <w:lvlJc w:val="left"/>
      <w:pPr>
        <w:ind w:left="1572" w:hanging="720"/>
      </w:pPr>
      <w:rPr>
        <w:rFonts w:hint="default"/>
        <w:i/>
      </w:rPr>
    </w:lvl>
    <w:lvl w:ilvl="3">
      <w:start w:val="1"/>
      <w:numFmt w:val="decimal"/>
      <w:lvlText w:val="%1.%2.%3.%4."/>
      <w:lvlJc w:val="left"/>
      <w:pPr>
        <w:ind w:left="2358" w:hanging="1080"/>
      </w:pPr>
      <w:rPr>
        <w:rFonts w:hint="default"/>
        <w:i/>
      </w:rPr>
    </w:lvl>
    <w:lvl w:ilvl="4">
      <w:start w:val="1"/>
      <w:numFmt w:val="decimal"/>
      <w:lvlText w:val="%1.%2.%3.%4.%5."/>
      <w:lvlJc w:val="left"/>
      <w:pPr>
        <w:ind w:left="2784" w:hanging="1080"/>
      </w:pPr>
      <w:rPr>
        <w:rFonts w:hint="default"/>
        <w:i/>
      </w:rPr>
    </w:lvl>
    <w:lvl w:ilvl="5">
      <w:start w:val="1"/>
      <w:numFmt w:val="decimal"/>
      <w:lvlText w:val="%1.%2.%3.%4.%5.%6."/>
      <w:lvlJc w:val="left"/>
      <w:pPr>
        <w:ind w:left="3570" w:hanging="1440"/>
      </w:pPr>
      <w:rPr>
        <w:rFonts w:hint="default"/>
        <w:i/>
      </w:rPr>
    </w:lvl>
    <w:lvl w:ilvl="6">
      <w:start w:val="1"/>
      <w:numFmt w:val="decimal"/>
      <w:lvlText w:val="%1.%2.%3.%4.%5.%6.%7."/>
      <w:lvlJc w:val="left"/>
      <w:pPr>
        <w:ind w:left="3996" w:hanging="1440"/>
      </w:pPr>
      <w:rPr>
        <w:rFonts w:hint="default"/>
        <w:i/>
      </w:rPr>
    </w:lvl>
    <w:lvl w:ilvl="7">
      <w:start w:val="1"/>
      <w:numFmt w:val="decimal"/>
      <w:lvlText w:val="%1.%2.%3.%4.%5.%6.%7.%8."/>
      <w:lvlJc w:val="left"/>
      <w:pPr>
        <w:ind w:left="4782" w:hanging="1800"/>
      </w:pPr>
      <w:rPr>
        <w:rFonts w:hint="default"/>
        <w:i/>
      </w:rPr>
    </w:lvl>
    <w:lvl w:ilvl="8">
      <w:start w:val="1"/>
      <w:numFmt w:val="decimal"/>
      <w:lvlText w:val="%1.%2.%3.%4.%5.%6.%7.%8.%9."/>
      <w:lvlJc w:val="left"/>
      <w:pPr>
        <w:ind w:left="5208" w:hanging="1800"/>
      </w:pPr>
      <w:rPr>
        <w:rFonts w:hint="default"/>
        <w:i/>
      </w:rPr>
    </w:lvl>
  </w:abstractNum>
  <w:abstractNum w:abstractNumId="2" w15:restartNumberingAfterBreak="0">
    <w:nsid w:val="076B3A47"/>
    <w:multiLevelType w:val="hybridMultilevel"/>
    <w:tmpl w:val="10609F52"/>
    <w:lvl w:ilvl="0" w:tplc="B2BA07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F5902"/>
    <w:multiLevelType w:val="hybridMultilevel"/>
    <w:tmpl w:val="F1583D5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BEB4726"/>
    <w:multiLevelType w:val="multilevel"/>
    <w:tmpl w:val="E1DEC538"/>
    <w:lvl w:ilvl="0">
      <w:start w:val="1"/>
      <w:numFmt w:val="decimal"/>
      <w:lvlText w:val="%1."/>
      <w:lvlJc w:val="left"/>
      <w:pPr>
        <w:ind w:left="720" w:hanging="360"/>
      </w:pPr>
      <w:rPr>
        <w:rFonts w:hint="default"/>
        <w:b w:val="0"/>
        <w:i/>
      </w:rPr>
    </w:lvl>
    <w:lvl w:ilvl="1">
      <w:start w:val="2"/>
      <w:numFmt w:val="decimal"/>
      <w:isLgl/>
      <w:lvlText w:val="%1.%2."/>
      <w:lvlJc w:val="left"/>
      <w:pPr>
        <w:ind w:left="538"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E56756A"/>
    <w:multiLevelType w:val="multilevel"/>
    <w:tmpl w:val="751E6A00"/>
    <w:lvl w:ilvl="0">
      <w:start w:val="1"/>
      <w:numFmt w:val="decimal"/>
      <w:lvlText w:val="%1."/>
      <w:lvlJc w:val="left"/>
      <w:pPr>
        <w:ind w:left="360" w:hanging="360"/>
      </w:pPr>
      <w:rPr>
        <w:rFonts w:hint="default"/>
        <w:i/>
      </w:rPr>
    </w:lvl>
    <w:lvl w:ilvl="1">
      <w:start w:val="1"/>
      <w:numFmt w:val="decimal"/>
      <w:lvlText w:val="%1.%2."/>
      <w:lvlJc w:val="left"/>
      <w:pPr>
        <w:ind w:left="1146" w:hanging="720"/>
      </w:pPr>
      <w:rPr>
        <w:rFonts w:hint="default"/>
        <w:i w:val="0"/>
      </w:rPr>
    </w:lvl>
    <w:lvl w:ilvl="2">
      <w:start w:val="1"/>
      <w:numFmt w:val="decimal"/>
      <w:lvlText w:val="%1.%2.%3."/>
      <w:lvlJc w:val="left"/>
      <w:pPr>
        <w:ind w:left="1572" w:hanging="720"/>
      </w:pPr>
      <w:rPr>
        <w:rFonts w:hint="default"/>
        <w:i/>
      </w:rPr>
    </w:lvl>
    <w:lvl w:ilvl="3">
      <w:start w:val="1"/>
      <w:numFmt w:val="decimal"/>
      <w:lvlText w:val="%1.%2.%3.%4."/>
      <w:lvlJc w:val="left"/>
      <w:pPr>
        <w:ind w:left="2358" w:hanging="1080"/>
      </w:pPr>
      <w:rPr>
        <w:rFonts w:hint="default"/>
        <w:i/>
      </w:rPr>
    </w:lvl>
    <w:lvl w:ilvl="4">
      <w:start w:val="1"/>
      <w:numFmt w:val="decimal"/>
      <w:lvlText w:val="%1.%2.%3.%4.%5."/>
      <w:lvlJc w:val="left"/>
      <w:pPr>
        <w:ind w:left="2784" w:hanging="1080"/>
      </w:pPr>
      <w:rPr>
        <w:rFonts w:hint="default"/>
        <w:i/>
      </w:rPr>
    </w:lvl>
    <w:lvl w:ilvl="5">
      <w:start w:val="1"/>
      <w:numFmt w:val="decimal"/>
      <w:lvlText w:val="%1.%2.%3.%4.%5.%6."/>
      <w:lvlJc w:val="left"/>
      <w:pPr>
        <w:ind w:left="3570" w:hanging="1440"/>
      </w:pPr>
      <w:rPr>
        <w:rFonts w:hint="default"/>
        <w:i/>
      </w:rPr>
    </w:lvl>
    <w:lvl w:ilvl="6">
      <w:start w:val="1"/>
      <w:numFmt w:val="decimal"/>
      <w:lvlText w:val="%1.%2.%3.%4.%5.%6.%7."/>
      <w:lvlJc w:val="left"/>
      <w:pPr>
        <w:ind w:left="3996" w:hanging="1440"/>
      </w:pPr>
      <w:rPr>
        <w:rFonts w:hint="default"/>
        <w:i/>
      </w:rPr>
    </w:lvl>
    <w:lvl w:ilvl="7">
      <w:start w:val="1"/>
      <w:numFmt w:val="decimal"/>
      <w:lvlText w:val="%1.%2.%3.%4.%5.%6.%7.%8."/>
      <w:lvlJc w:val="left"/>
      <w:pPr>
        <w:ind w:left="4782" w:hanging="1800"/>
      </w:pPr>
      <w:rPr>
        <w:rFonts w:hint="default"/>
        <w:i/>
      </w:rPr>
    </w:lvl>
    <w:lvl w:ilvl="8">
      <w:start w:val="1"/>
      <w:numFmt w:val="decimal"/>
      <w:lvlText w:val="%1.%2.%3.%4.%5.%6.%7.%8.%9."/>
      <w:lvlJc w:val="left"/>
      <w:pPr>
        <w:ind w:left="5208" w:hanging="1800"/>
      </w:pPr>
      <w:rPr>
        <w:rFonts w:hint="default"/>
        <w:i/>
      </w:rPr>
    </w:lvl>
  </w:abstractNum>
  <w:abstractNum w:abstractNumId="6" w15:restartNumberingAfterBreak="0">
    <w:nsid w:val="296669B3"/>
    <w:multiLevelType w:val="hybridMultilevel"/>
    <w:tmpl w:val="2B386390"/>
    <w:lvl w:ilvl="0" w:tplc="04180001">
      <w:start w:val="1"/>
      <w:numFmt w:val="bullet"/>
      <w:lvlText w:val=""/>
      <w:lvlJc w:val="left"/>
      <w:pPr>
        <w:ind w:left="1890" w:hanging="360"/>
      </w:pPr>
      <w:rPr>
        <w:rFonts w:ascii="Symbol" w:hAnsi="Symbol" w:hint="default"/>
      </w:rPr>
    </w:lvl>
    <w:lvl w:ilvl="1" w:tplc="04180003" w:tentative="1">
      <w:start w:val="1"/>
      <w:numFmt w:val="bullet"/>
      <w:lvlText w:val="o"/>
      <w:lvlJc w:val="left"/>
      <w:pPr>
        <w:ind w:left="2610" w:hanging="360"/>
      </w:pPr>
      <w:rPr>
        <w:rFonts w:ascii="Courier New" w:hAnsi="Courier New" w:cs="Courier New" w:hint="default"/>
      </w:rPr>
    </w:lvl>
    <w:lvl w:ilvl="2" w:tplc="04180005">
      <w:start w:val="1"/>
      <w:numFmt w:val="bullet"/>
      <w:lvlText w:val=""/>
      <w:lvlJc w:val="left"/>
      <w:pPr>
        <w:ind w:left="3330" w:hanging="360"/>
      </w:pPr>
      <w:rPr>
        <w:rFonts w:ascii="Wingdings" w:hAnsi="Wingdings" w:hint="default"/>
      </w:rPr>
    </w:lvl>
    <w:lvl w:ilvl="3" w:tplc="04180001" w:tentative="1">
      <w:start w:val="1"/>
      <w:numFmt w:val="bullet"/>
      <w:lvlText w:val=""/>
      <w:lvlJc w:val="left"/>
      <w:pPr>
        <w:ind w:left="4050" w:hanging="360"/>
      </w:pPr>
      <w:rPr>
        <w:rFonts w:ascii="Symbol" w:hAnsi="Symbol" w:hint="default"/>
      </w:rPr>
    </w:lvl>
    <w:lvl w:ilvl="4" w:tplc="04180003" w:tentative="1">
      <w:start w:val="1"/>
      <w:numFmt w:val="bullet"/>
      <w:lvlText w:val="o"/>
      <w:lvlJc w:val="left"/>
      <w:pPr>
        <w:ind w:left="4770" w:hanging="360"/>
      </w:pPr>
      <w:rPr>
        <w:rFonts w:ascii="Courier New" w:hAnsi="Courier New" w:cs="Courier New" w:hint="default"/>
      </w:rPr>
    </w:lvl>
    <w:lvl w:ilvl="5" w:tplc="04180005" w:tentative="1">
      <w:start w:val="1"/>
      <w:numFmt w:val="bullet"/>
      <w:lvlText w:val=""/>
      <w:lvlJc w:val="left"/>
      <w:pPr>
        <w:ind w:left="5490" w:hanging="360"/>
      </w:pPr>
      <w:rPr>
        <w:rFonts w:ascii="Wingdings" w:hAnsi="Wingdings" w:hint="default"/>
      </w:rPr>
    </w:lvl>
    <w:lvl w:ilvl="6" w:tplc="04180001" w:tentative="1">
      <w:start w:val="1"/>
      <w:numFmt w:val="bullet"/>
      <w:lvlText w:val=""/>
      <w:lvlJc w:val="left"/>
      <w:pPr>
        <w:ind w:left="6210" w:hanging="360"/>
      </w:pPr>
      <w:rPr>
        <w:rFonts w:ascii="Symbol" w:hAnsi="Symbol" w:hint="default"/>
      </w:rPr>
    </w:lvl>
    <w:lvl w:ilvl="7" w:tplc="04180003" w:tentative="1">
      <w:start w:val="1"/>
      <w:numFmt w:val="bullet"/>
      <w:lvlText w:val="o"/>
      <w:lvlJc w:val="left"/>
      <w:pPr>
        <w:ind w:left="6930" w:hanging="360"/>
      </w:pPr>
      <w:rPr>
        <w:rFonts w:ascii="Courier New" w:hAnsi="Courier New" w:cs="Courier New" w:hint="default"/>
      </w:rPr>
    </w:lvl>
    <w:lvl w:ilvl="8" w:tplc="04180005" w:tentative="1">
      <w:start w:val="1"/>
      <w:numFmt w:val="bullet"/>
      <w:lvlText w:val=""/>
      <w:lvlJc w:val="left"/>
      <w:pPr>
        <w:ind w:left="7650" w:hanging="360"/>
      </w:pPr>
      <w:rPr>
        <w:rFonts w:ascii="Wingdings" w:hAnsi="Wingdings" w:hint="default"/>
      </w:rPr>
    </w:lvl>
  </w:abstractNum>
  <w:abstractNum w:abstractNumId="7" w15:restartNumberingAfterBreak="0">
    <w:nsid w:val="2CE75582"/>
    <w:multiLevelType w:val="multilevel"/>
    <w:tmpl w:val="5D48EC3C"/>
    <w:lvl w:ilvl="0">
      <w:start w:val="4"/>
      <w:numFmt w:val="decimal"/>
      <w:lvlText w:val="%1."/>
      <w:lvlJc w:val="left"/>
      <w:pPr>
        <w:ind w:left="360" w:hanging="360"/>
      </w:pPr>
      <w:rPr>
        <w:rFonts w:hint="default"/>
        <w:b/>
        <w:i w:val="0"/>
        <w:color w:val="auto"/>
      </w:rPr>
    </w:lvl>
    <w:lvl w:ilvl="1">
      <w:start w:val="5"/>
      <w:numFmt w:val="decimal"/>
      <w:lvlText w:val="%1.%2."/>
      <w:lvlJc w:val="left"/>
      <w:pPr>
        <w:ind w:left="360" w:hanging="360"/>
      </w:pPr>
      <w:rPr>
        <w:rFonts w:hint="default"/>
        <w:b/>
        <w:i w:val="0"/>
        <w:color w:val="auto"/>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720" w:hanging="720"/>
      </w:pPr>
      <w:rPr>
        <w:rFonts w:hint="default"/>
        <w:b/>
        <w:i w:val="0"/>
        <w:color w:val="auto"/>
      </w:rPr>
    </w:lvl>
    <w:lvl w:ilvl="4">
      <w:start w:val="1"/>
      <w:numFmt w:val="decimal"/>
      <w:lvlText w:val="%1.%2.%3.%4.%5."/>
      <w:lvlJc w:val="left"/>
      <w:pPr>
        <w:ind w:left="1080" w:hanging="1080"/>
      </w:pPr>
      <w:rPr>
        <w:rFonts w:hint="default"/>
        <w:b/>
        <w:i w:val="0"/>
        <w:color w:val="auto"/>
      </w:rPr>
    </w:lvl>
    <w:lvl w:ilvl="5">
      <w:start w:val="1"/>
      <w:numFmt w:val="decimal"/>
      <w:lvlText w:val="%1.%2.%3.%4.%5.%6."/>
      <w:lvlJc w:val="left"/>
      <w:pPr>
        <w:ind w:left="1080" w:hanging="1080"/>
      </w:pPr>
      <w:rPr>
        <w:rFonts w:hint="default"/>
        <w:b/>
        <w:i w:val="0"/>
        <w:color w:val="auto"/>
      </w:rPr>
    </w:lvl>
    <w:lvl w:ilvl="6">
      <w:start w:val="1"/>
      <w:numFmt w:val="decimal"/>
      <w:lvlText w:val="%1.%2.%3.%4.%5.%6.%7."/>
      <w:lvlJc w:val="left"/>
      <w:pPr>
        <w:ind w:left="1440" w:hanging="1440"/>
      </w:pPr>
      <w:rPr>
        <w:rFonts w:hint="default"/>
        <w:b/>
        <w:i w:val="0"/>
        <w:color w:val="auto"/>
      </w:rPr>
    </w:lvl>
    <w:lvl w:ilvl="7">
      <w:start w:val="1"/>
      <w:numFmt w:val="decimal"/>
      <w:lvlText w:val="%1.%2.%3.%4.%5.%6.%7.%8."/>
      <w:lvlJc w:val="left"/>
      <w:pPr>
        <w:ind w:left="1440" w:hanging="1440"/>
      </w:pPr>
      <w:rPr>
        <w:rFonts w:hint="default"/>
        <w:b/>
        <w:i w:val="0"/>
        <w:color w:val="auto"/>
      </w:rPr>
    </w:lvl>
    <w:lvl w:ilvl="8">
      <w:start w:val="1"/>
      <w:numFmt w:val="decimal"/>
      <w:lvlText w:val="%1.%2.%3.%4.%5.%6.%7.%8.%9."/>
      <w:lvlJc w:val="left"/>
      <w:pPr>
        <w:ind w:left="1800" w:hanging="1800"/>
      </w:pPr>
      <w:rPr>
        <w:rFonts w:hint="default"/>
        <w:b/>
        <w:i w:val="0"/>
        <w:color w:val="auto"/>
      </w:rPr>
    </w:lvl>
  </w:abstractNum>
  <w:abstractNum w:abstractNumId="8" w15:restartNumberingAfterBreak="0">
    <w:nsid w:val="31827E31"/>
    <w:multiLevelType w:val="hybridMultilevel"/>
    <w:tmpl w:val="BC221062"/>
    <w:lvl w:ilvl="0" w:tplc="D5A0F3F6">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9" w15:restartNumberingAfterBreak="0">
    <w:nsid w:val="31C87F7F"/>
    <w:multiLevelType w:val="hybridMultilevel"/>
    <w:tmpl w:val="8C2ACD12"/>
    <w:lvl w:ilvl="0" w:tplc="0409000F">
      <w:start w:val="1"/>
      <w:numFmt w:val="decimal"/>
      <w:lvlText w:val="%1."/>
      <w:lvlJc w:val="left"/>
      <w:pPr>
        <w:ind w:left="107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0A1BB6"/>
    <w:multiLevelType w:val="hybridMultilevel"/>
    <w:tmpl w:val="0784A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496CEF"/>
    <w:multiLevelType w:val="hybridMultilevel"/>
    <w:tmpl w:val="F7840756"/>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EB623B"/>
    <w:multiLevelType w:val="multilevel"/>
    <w:tmpl w:val="02001754"/>
    <w:lvl w:ilvl="0">
      <w:start w:val="1"/>
      <w:numFmt w:val="upperRoman"/>
      <w:lvlText w:val="%1."/>
      <w:lvlJc w:val="left"/>
      <w:pPr>
        <w:ind w:left="1080" w:hanging="720"/>
      </w:pPr>
      <w:rPr>
        <w:rFonts w:hint="default"/>
        <w:color w:val="auto"/>
        <w:sz w:val="32"/>
      </w:rPr>
    </w:lvl>
    <w:lvl w:ilvl="1">
      <w:start w:val="3"/>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40111B5"/>
    <w:multiLevelType w:val="multilevel"/>
    <w:tmpl w:val="2E3E793A"/>
    <w:lvl w:ilvl="0">
      <w:start w:val="1"/>
      <w:numFmt w:val="decimal"/>
      <w:suff w:val="space"/>
      <w:lvlText w:val="(%1)"/>
      <w:lvlJc w:val="left"/>
      <w:pPr>
        <w:ind w:left="0" w:firstLine="0"/>
      </w:pPr>
      <w:rPr>
        <w:rFonts w:ascii="Times New Roman" w:eastAsia="Times New Roman" w:hAnsi="Times New Roman" w:cs="Times New Roman"/>
        <w:b/>
        <w:sz w:val="22"/>
        <w:szCs w:val="22"/>
      </w:rPr>
    </w:lvl>
    <w:lvl w:ilvl="1">
      <w:start w:val="1"/>
      <w:numFmt w:val="decimal"/>
      <w:lvlText w:val="%2."/>
      <w:lvlJc w:val="left"/>
      <w:pPr>
        <w:tabs>
          <w:tab w:val="num" w:pos="360"/>
        </w:tabs>
        <w:ind w:left="0" w:firstLine="0"/>
      </w:pPr>
      <w:rPr>
        <w:rFonts w:cs="Times New Roman" w:hint="default"/>
      </w:rPr>
    </w:lvl>
    <w:lvl w:ilvl="2">
      <w:start w:val="1"/>
      <w:numFmt w:val="decimal"/>
      <w:lvlText w:val="%3."/>
      <w:lvlJc w:val="left"/>
      <w:pPr>
        <w:tabs>
          <w:tab w:val="num" w:pos="360"/>
        </w:tabs>
        <w:ind w:left="0" w:firstLine="0"/>
      </w:pPr>
      <w:rPr>
        <w:rFonts w:cs="Times New Roman" w:hint="default"/>
      </w:rPr>
    </w:lvl>
    <w:lvl w:ilvl="3">
      <w:start w:val="1"/>
      <w:numFmt w:val="decimal"/>
      <w:lvlText w:val="%4."/>
      <w:lvlJc w:val="left"/>
      <w:pPr>
        <w:tabs>
          <w:tab w:val="num" w:pos="360"/>
        </w:tabs>
        <w:ind w:left="0" w:firstLine="0"/>
      </w:pPr>
      <w:rPr>
        <w:rFonts w:cs="Times New Roman" w:hint="default"/>
      </w:rPr>
    </w:lvl>
    <w:lvl w:ilvl="4">
      <w:start w:val="1"/>
      <w:numFmt w:val="decimal"/>
      <w:lvlText w:val="%5."/>
      <w:lvlJc w:val="left"/>
      <w:pPr>
        <w:tabs>
          <w:tab w:val="num" w:pos="360"/>
        </w:tabs>
        <w:ind w:left="0" w:firstLine="0"/>
      </w:pPr>
      <w:rPr>
        <w:rFonts w:cs="Times New Roman" w:hint="default"/>
      </w:rPr>
    </w:lvl>
    <w:lvl w:ilvl="5">
      <w:start w:val="1"/>
      <w:numFmt w:val="decimal"/>
      <w:lvlText w:val="%6."/>
      <w:lvlJc w:val="left"/>
      <w:pPr>
        <w:tabs>
          <w:tab w:val="num" w:pos="360"/>
        </w:tabs>
        <w:ind w:left="0" w:firstLine="0"/>
      </w:pPr>
      <w:rPr>
        <w:rFonts w:cs="Times New Roman" w:hint="default"/>
      </w:rPr>
    </w:lvl>
    <w:lvl w:ilvl="6">
      <w:start w:val="1"/>
      <w:numFmt w:val="decimal"/>
      <w:lvlText w:val="%7."/>
      <w:lvlJc w:val="left"/>
      <w:pPr>
        <w:tabs>
          <w:tab w:val="num" w:pos="360"/>
        </w:tabs>
        <w:ind w:left="0" w:firstLine="0"/>
      </w:pPr>
      <w:rPr>
        <w:rFonts w:cs="Times New Roman" w:hint="default"/>
      </w:rPr>
    </w:lvl>
    <w:lvl w:ilvl="7">
      <w:start w:val="1"/>
      <w:numFmt w:val="decimal"/>
      <w:lvlText w:val="%8."/>
      <w:lvlJc w:val="left"/>
      <w:pPr>
        <w:tabs>
          <w:tab w:val="num" w:pos="360"/>
        </w:tabs>
        <w:ind w:left="0" w:firstLine="0"/>
      </w:pPr>
      <w:rPr>
        <w:rFonts w:cs="Times New Roman" w:hint="default"/>
      </w:rPr>
    </w:lvl>
    <w:lvl w:ilvl="8">
      <w:start w:val="1"/>
      <w:numFmt w:val="decimal"/>
      <w:lvlText w:val="%9."/>
      <w:lvlJc w:val="left"/>
      <w:pPr>
        <w:tabs>
          <w:tab w:val="num" w:pos="0"/>
        </w:tabs>
        <w:ind w:left="0" w:firstLine="0"/>
      </w:pPr>
      <w:rPr>
        <w:rFonts w:cs="Times New Roman" w:hint="default"/>
      </w:rPr>
    </w:lvl>
  </w:abstractNum>
  <w:abstractNum w:abstractNumId="14" w15:restartNumberingAfterBreak="0">
    <w:nsid w:val="4D211EB0"/>
    <w:multiLevelType w:val="hybridMultilevel"/>
    <w:tmpl w:val="FD5413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480C7F"/>
    <w:multiLevelType w:val="multilevel"/>
    <w:tmpl w:val="6CDCB1EE"/>
    <w:lvl w:ilvl="0">
      <w:start w:val="4"/>
      <w:numFmt w:val="decimal"/>
      <w:lvlText w:val="%1."/>
      <w:lvlJc w:val="left"/>
      <w:pPr>
        <w:ind w:left="540" w:hanging="540"/>
      </w:pPr>
      <w:rPr>
        <w:rFonts w:hint="default"/>
        <w:color w:val="auto"/>
      </w:rPr>
    </w:lvl>
    <w:lvl w:ilvl="1">
      <w:start w:val="5"/>
      <w:numFmt w:val="decimal"/>
      <w:lvlText w:val="%1.%2."/>
      <w:lvlJc w:val="left"/>
      <w:pPr>
        <w:ind w:left="720" w:hanging="720"/>
      </w:pPr>
      <w:rPr>
        <w:rFonts w:hint="default"/>
        <w:color w:val="auto"/>
      </w:rPr>
    </w:lvl>
    <w:lvl w:ilvl="2">
      <w:start w:val="3"/>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6" w15:restartNumberingAfterBreak="0">
    <w:nsid w:val="4E820E01"/>
    <w:multiLevelType w:val="multilevel"/>
    <w:tmpl w:val="F220418A"/>
    <w:lvl w:ilvl="0">
      <w:start w:val="1"/>
      <w:numFmt w:val="upperRoman"/>
      <w:lvlText w:val="%1."/>
      <w:lvlJc w:val="left"/>
      <w:pPr>
        <w:ind w:left="1004" w:hanging="720"/>
      </w:pPr>
      <w:rPr>
        <w:rFonts w:asciiTheme="majorHAnsi" w:hAnsiTheme="majorHAnsi" w:cstheme="majorHAnsi" w:hint="default"/>
        <w:b/>
        <w:color w:val="auto"/>
        <w:sz w:val="28"/>
        <w:szCs w:val="28"/>
      </w:rPr>
    </w:lvl>
    <w:lvl w:ilvl="1">
      <w:start w:val="1"/>
      <w:numFmt w:val="decimal"/>
      <w:isLgl/>
      <w:lvlText w:val="%1.%2."/>
      <w:lvlJc w:val="left"/>
      <w:pPr>
        <w:ind w:left="502" w:hanging="360"/>
      </w:pPr>
      <w:rPr>
        <w:rFonts w:hint="default"/>
        <w:lang w:val="ro-RO"/>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32B596E"/>
    <w:multiLevelType w:val="multilevel"/>
    <w:tmpl w:val="9A86B4A6"/>
    <w:lvl w:ilvl="0">
      <w:start w:val="4"/>
      <w:numFmt w:val="decimal"/>
      <w:lvlText w:val="%1."/>
      <w:lvlJc w:val="left"/>
      <w:pPr>
        <w:ind w:left="540" w:hanging="540"/>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8C12A24"/>
    <w:multiLevelType w:val="hybridMultilevel"/>
    <w:tmpl w:val="7AF468CA"/>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F2E20A6"/>
    <w:multiLevelType w:val="multilevel"/>
    <w:tmpl w:val="62140C84"/>
    <w:lvl w:ilvl="0">
      <w:start w:val="1"/>
      <w:numFmt w:val="decimal"/>
      <w:lvlText w:val="%1."/>
      <w:lvlJc w:val="left"/>
      <w:pPr>
        <w:ind w:left="396" w:hanging="396"/>
      </w:pPr>
      <w:rPr>
        <w:rFonts w:hint="default"/>
      </w:rPr>
    </w:lvl>
    <w:lvl w:ilvl="1">
      <w:start w:val="1"/>
      <w:numFmt w:val="decimal"/>
      <w:lvlText w:val="%1.%2."/>
      <w:lvlJc w:val="left"/>
      <w:pPr>
        <w:ind w:left="756" w:hanging="39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2BF03D9"/>
    <w:multiLevelType w:val="multilevel"/>
    <w:tmpl w:val="97B6B830"/>
    <w:lvl w:ilvl="0">
      <w:start w:val="2"/>
      <w:numFmt w:val="decimal"/>
      <w:lvlText w:val="%1."/>
      <w:lvlJc w:val="left"/>
      <w:pPr>
        <w:ind w:left="360" w:hanging="360"/>
      </w:pPr>
      <w:rPr>
        <w:rFonts w:eastAsiaTheme="majorEastAsia" w:hint="default"/>
      </w:rPr>
    </w:lvl>
    <w:lvl w:ilvl="1">
      <w:start w:val="1"/>
      <w:numFmt w:val="decimal"/>
      <w:lvlText w:val="%1.%2."/>
      <w:lvlJc w:val="left"/>
      <w:pPr>
        <w:ind w:left="644" w:hanging="36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720" w:hanging="72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080" w:hanging="108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440" w:hanging="144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21" w15:restartNumberingAfterBreak="0">
    <w:nsid w:val="6EC55D78"/>
    <w:multiLevelType w:val="hybridMultilevel"/>
    <w:tmpl w:val="BBAE7C82"/>
    <w:lvl w:ilvl="0" w:tplc="113A4EA8">
      <w:start w:val="1"/>
      <w:numFmt w:val="bullet"/>
      <w:lvlText w:val=""/>
      <w:lvlJc w:val="left"/>
      <w:pPr>
        <w:ind w:left="720" w:hanging="360"/>
      </w:pPr>
      <w:rPr>
        <w:rFonts w:ascii="Wingdings" w:hAnsi="Wingdings" w:hint="default"/>
        <w:lang w:val="ro-M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DE47ED"/>
    <w:multiLevelType w:val="hybridMultilevel"/>
    <w:tmpl w:val="B56454F2"/>
    <w:lvl w:ilvl="0" w:tplc="68001F9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54702E6"/>
    <w:multiLevelType w:val="hybridMultilevel"/>
    <w:tmpl w:val="F9583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F51E01"/>
    <w:multiLevelType w:val="multilevel"/>
    <w:tmpl w:val="C5FCFCE8"/>
    <w:lvl w:ilvl="0">
      <w:start w:val="1"/>
      <w:numFmt w:val="decimal"/>
      <w:lvlText w:val="%1."/>
      <w:lvlJc w:val="left"/>
      <w:pPr>
        <w:ind w:left="720" w:hanging="360"/>
      </w:pPr>
      <w:rPr>
        <w:rFonts w:hint="default"/>
        <w:b w:val="0"/>
        <w:i/>
        <w:color w:val="auto"/>
      </w:rPr>
    </w:lvl>
    <w:lvl w:ilvl="1">
      <w:start w:val="2"/>
      <w:numFmt w:val="decimal"/>
      <w:isLgl/>
      <w:lvlText w:val="%1.%2."/>
      <w:lvlJc w:val="left"/>
      <w:pPr>
        <w:ind w:left="396" w:hanging="396"/>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18"/>
  </w:num>
  <w:num w:numId="3">
    <w:abstractNumId w:val="16"/>
  </w:num>
  <w:num w:numId="4">
    <w:abstractNumId w:val="3"/>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4"/>
  </w:num>
  <w:num w:numId="8">
    <w:abstractNumId w:val="5"/>
  </w:num>
  <w:num w:numId="9">
    <w:abstractNumId w:val="20"/>
  </w:num>
  <w:num w:numId="10">
    <w:abstractNumId w:val="2"/>
  </w:num>
  <w:num w:numId="11">
    <w:abstractNumId w:val="21"/>
  </w:num>
  <w:num w:numId="12">
    <w:abstractNumId w:val="0"/>
  </w:num>
  <w:num w:numId="13">
    <w:abstractNumId w:val="14"/>
  </w:num>
  <w:num w:numId="14">
    <w:abstractNumId w:val="23"/>
  </w:num>
  <w:num w:numId="15">
    <w:abstractNumId w:val="10"/>
  </w:num>
  <w:num w:numId="16">
    <w:abstractNumId w:val="19"/>
  </w:num>
  <w:num w:numId="17">
    <w:abstractNumId w:val="11"/>
  </w:num>
  <w:num w:numId="18">
    <w:abstractNumId w:val="1"/>
  </w:num>
  <w:num w:numId="19">
    <w:abstractNumId w:val="17"/>
  </w:num>
  <w:num w:numId="20">
    <w:abstractNumId w:val="15"/>
  </w:num>
  <w:num w:numId="21">
    <w:abstractNumId w:val="7"/>
  </w:num>
  <w:num w:numId="22">
    <w:abstractNumId w:val="8"/>
  </w:num>
  <w:num w:numId="23">
    <w:abstractNumId w:val="2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C6F"/>
    <w:rsid w:val="00000433"/>
    <w:rsid w:val="000007C9"/>
    <w:rsid w:val="00000B35"/>
    <w:rsid w:val="000010BE"/>
    <w:rsid w:val="000010ED"/>
    <w:rsid w:val="0000111D"/>
    <w:rsid w:val="0000120F"/>
    <w:rsid w:val="000016D1"/>
    <w:rsid w:val="00001A88"/>
    <w:rsid w:val="00001BC6"/>
    <w:rsid w:val="00001ED9"/>
    <w:rsid w:val="0000236A"/>
    <w:rsid w:val="00002A8C"/>
    <w:rsid w:val="00002FFF"/>
    <w:rsid w:val="000031A9"/>
    <w:rsid w:val="000031AE"/>
    <w:rsid w:val="00003314"/>
    <w:rsid w:val="00003472"/>
    <w:rsid w:val="00003488"/>
    <w:rsid w:val="00003C01"/>
    <w:rsid w:val="00003FD7"/>
    <w:rsid w:val="00004077"/>
    <w:rsid w:val="0000428A"/>
    <w:rsid w:val="000046B2"/>
    <w:rsid w:val="00004D70"/>
    <w:rsid w:val="00004EB5"/>
    <w:rsid w:val="00004F26"/>
    <w:rsid w:val="0000585A"/>
    <w:rsid w:val="00005CBE"/>
    <w:rsid w:val="00005CEA"/>
    <w:rsid w:val="000066E2"/>
    <w:rsid w:val="00006A16"/>
    <w:rsid w:val="00006FA2"/>
    <w:rsid w:val="0000715B"/>
    <w:rsid w:val="000076C9"/>
    <w:rsid w:val="0000782F"/>
    <w:rsid w:val="000079A9"/>
    <w:rsid w:val="00007B1F"/>
    <w:rsid w:val="00007BB2"/>
    <w:rsid w:val="00010187"/>
    <w:rsid w:val="00010313"/>
    <w:rsid w:val="0001088A"/>
    <w:rsid w:val="00010A24"/>
    <w:rsid w:val="00010A53"/>
    <w:rsid w:val="00010A95"/>
    <w:rsid w:val="00010E23"/>
    <w:rsid w:val="00010F56"/>
    <w:rsid w:val="00011756"/>
    <w:rsid w:val="00011DC1"/>
    <w:rsid w:val="0001206A"/>
    <w:rsid w:val="00012108"/>
    <w:rsid w:val="000121D8"/>
    <w:rsid w:val="000121F9"/>
    <w:rsid w:val="000126B4"/>
    <w:rsid w:val="0001278E"/>
    <w:rsid w:val="000127B8"/>
    <w:rsid w:val="00012855"/>
    <w:rsid w:val="00012CB8"/>
    <w:rsid w:val="00012D3C"/>
    <w:rsid w:val="00012EBB"/>
    <w:rsid w:val="00012F4B"/>
    <w:rsid w:val="000130BD"/>
    <w:rsid w:val="0001347C"/>
    <w:rsid w:val="00013569"/>
    <w:rsid w:val="000138C4"/>
    <w:rsid w:val="00013AAA"/>
    <w:rsid w:val="00013CEA"/>
    <w:rsid w:val="00014310"/>
    <w:rsid w:val="00014500"/>
    <w:rsid w:val="00014648"/>
    <w:rsid w:val="000148BC"/>
    <w:rsid w:val="000149F6"/>
    <w:rsid w:val="00015414"/>
    <w:rsid w:val="0001547A"/>
    <w:rsid w:val="000155EE"/>
    <w:rsid w:val="000157FE"/>
    <w:rsid w:val="00015898"/>
    <w:rsid w:val="000160BE"/>
    <w:rsid w:val="00016646"/>
    <w:rsid w:val="00016734"/>
    <w:rsid w:val="00016A26"/>
    <w:rsid w:val="000172DA"/>
    <w:rsid w:val="00017E5C"/>
    <w:rsid w:val="00020FF7"/>
    <w:rsid w:val="0002104A"/>
    <w:rsid w:val="000210B9"/>
    <w:rsid w:val="000213D6"/>
    <w:rsid w:val="00021B82"/>
    <w:rsid w:val="00021BC3"/>
    <w:rsid w:val="00021E8A"/>
    <w:rsid w:val="00021EFC"/>
    <w:rsid w:val="00021F92"/>
    <w:rsid w:val="00022258"/>
    <w:rsid w:val="000223F0"/>
    <w:rsid w:val="0002254B"/>
    <w:rsid w:val="0002290B"/>
    <w:rsid w:val="00022A60"/>
    <w:rsid w:val="00022ECA"/>
    <w:rsid w:val="00022F14"/>
    <w:rsid w:val="000232A9"/>
    <w:rsid w:val="000238EE"/>
    <w:rsid w:val="0002440A"/>
    <w:rsid w:val="0002455E"/>
    <w:rsid w:val="00024945"/>
    <w:rsid w:val="00024A04"/>
    <w:rsid w:val="00024AFB"/>
    <w:rsid w:val="00024DA9"/>
    <w:rsid w:val="00024ED5"/>
    <w:rsid w:val="00024F5F"/>
    <w:rsid w:val="00024F62"/>
    <w:rsid w:val="0002503D"/>
    <w:rsid w:val="000253B8"/>
    <w:rsid w:val="000254FD"/>
    <w:rsid w:val="00025946"/>
    <w:rsid w:val="00025A3E"/>
    <w:rsid w:val="00026BD8"/>
    <w:rsid w:val="00026D70"/>
    <w:rsid w:val="00027095"/>
    <w:rsid w:val="000271EC"/>
    <w:rsid w:val="000272D7"/>
    <w:rsid w:val="00027716"/>
    <w:rsid w:val="0002776B"/>
    <w:rsid w:val="00027A06"/>
    <w:rsid w:val="00027AC4"/>
    <w:rsid w:val="00027DA2"/>
    <w:rsid w:val="0003017D"/>
    <w:rsid w:val="00030722"/>
    <w:rsid w:val="00030730"/>
    <w:rsid w:val="00030AC3"/>
    <w:rsid w:val="00031237"/>
    <w:rsid w:val="00031858"/>
    <w:rsid w:val="00031A5A"/>
    <w:rsid w:val="00031B35"/>
    <w:rsid w:val="00031DFA"/>
    <w:rsid w:val="0003245A"/>
    <w:rsid w:val="00032C5B"/>
    <w:rsid w:val="00032DF8"/>
    <w:rsid w:val="00033141"/>
    <w:rsid w:val="00033372"/>
    <w:rsid w:val="00033A51"/>
    <w:rsid w:val="00033CBB"/>
    <w:rsid w:val="00033CD8"/>
    <w:rsid w:val="0003402D"/>
    <w:rsid w:val="000340C4"/>
    <w:rsid w:val="000343D4"/>
    <w:rsid w:val="00034703"/>
    <w:rsid w:val="000347B6"/>
    <w:rsid w:val="000348B8"/>
    <w:rsid w:val="00034C86"/>
    <w:rsid w:val="00035007"/>
    <w:rsid w:val="000350D4"/>
    <w:rsid w:val="00035757"/>
    <w:rsid w:val="00035885"/>
    <w:rsid w:val="000358A6"/>
    <w:rsid w:val="0003677B"/>
    <w:rsid w:val="00036C73"/>
    <w:rsid w:val="00036D7C"/>
    <w:rsid w:val="00037128"/>
    <w:rsid w:val="000377A5"/>
    <w:rsid w:val="00037A97"/>
    <w:rsid w:val="00037B5C"/>
    <w:rsid w:val="00037CA9"/>
    <w:rsid w:val="00037E28"/>
    <w:rsid w:val="00040085"/>
    <w:rsid w:val="00040719"/>
    <w:rsid w:val="00040813"/>
    <w:rsid w:val="00040889"/>
    <w:rsid w:val="000411C0"/>
    <w:rsid w:val="000412ED"/>
    <w:rsid w:val="00041327"/>
    <w:rsid w:val="00041411"/>
    <w:rsid w:val="0004146B"/>
    <w:rsid w:val="0004158F"/>
    <w:rsid w:val="0004169F"/>
    <w:rsid w:val="0004259A"/>
    <w:rsid w:val="00042703"/>
    <w:rsid w:val="0004271C"/>
    <w:rsid w:val="0004273D"/>
    <w:rsid w:val="000427D0"/>
    <w:rsid w:val="00042FFE"/>
    <w:rsid w:val="000433A6"/>
    <w:rsid w:val="00043483"/>
    <w:rsid w:val="0004381B"/>
    <w:rsid w:val="00043CFB"/>
    <w:rsid w:val="00043DDE"/>
    <w:rsid w:val="00043F80"/>
    <w:rsid w:val="00043F8F"/>
    <w:rsid w:val="00044678"/>
    <w:rsid w:val="000446AF"/>
    <w:rsid w:val="000446B4"/>
    <w:rsid w:val="00044B49"/>
    <w:rsid w:val="00045013"/>
    <w:rsid w:val="000450F4"/>
    <w:rsid w:val="0004515B"/>
    <w:rsid w:val="0004520C"/>
    <w:rsid w:val="00045A1B"/>
    <w:rsid w:val="00045EC5"/>
    <w:rsid w:val="000464CD"/>
    <w:rsid w:val="00046EFE"/>
    <w:rsid w:val="0004736B"/>
    <w:rsid w:val="00047D62"/>
    <w:rsid w:val="00050416"/>
    <w:rsid w:val="0005182E"/>
    <w:rsid w:val="00052408"/>
    <w:rsid w:val="00052458"/>
    <w:rsid w:val="00052845"/>
    <w:rsid w:val="00052C91"/>
    <w:rsid w:val="00052E30"/>
    <w:rsid w:val="000531C7"/>
    <w:rsid w:val="000533CB"/>
    <w:rsid w:val="0005343C"/>
    <w:rsid w:val="0005399B"/>
    <w:rsid w:val="00053A44"/>
    <w:rsid w:val="00053CD4"/>
    <w:rsid w:val="00053E4B"/>
    <w:rsid w:val="00053F39"/>
    <w:rsid w:val="00054033"/>
    <w:rsid w:val="00054425"/>
    <w:rsid w:val="00054476"/>
    <w:rsid w:val="00054D0C"/>
    <w:rsid w:val="00054D21"/>
    <w:rsid w:val="00054FC5"/>
    <w:rsid w:val="00055E63"/>
    <w:rsid w:val="000568B2"/>
    <w:rsid w:val="00057052"/>
    <w:rsid w:val="0005716C"/>
    <w:rsid w:val="0005729E"/>
    <w:rsid w:val="000574D2"/>
    <w:rsid w:val="000578FA"/>
    <w:rsid w:val="00057C42"/>
    <w:rsid w:val="00060258"/>
    <w:rsid w:val="00060FD0"/>
    <w:rsid w:val="0006108E"/>
    <w:rsid w:val="000619B1"/>
    <w:rsid w:val="00061E87"/>
    <w:rsid w:val="00061F9E"/>
    <w:rsid w:val="00061FBB"/>
    <w:rsid w:val="00062018"/>
    <w:rsid w:val="00062389"/>
    <w:rsid w:val="00062548"/>
    <w:rsid w:val="000633AE"/>
    <w:rsid w:val="00063A9A"/>
    <w:rsid w:val="00063E14"/>
    <w:rsid w:val="00063E39"/>
    <w:rsid w:val="0006401B"/>
    <w:rsid w:val="00064207"/>
    <w:rsid w:val="00064822"/>
    <w:rsid w:val="000648F3"/>
    <w:rsid w:val="00064C55"/>
    <w:rsid w:val="00064E70"/>
    <w:rsid w:val="000650EA"/>
    <w:rsid w:val="0006565B"/>
    <w:rsid w:val="000658FE"/>
    <w:rsid w:val="00066219"/>
    <w:rsid w:val="00066260"/>
    <w:rsid w:val="0006632C"/>
    <w:rsid w:val="000663C6"/>
    <w:rsid w:val="00066551"/>
    <w:rsid w:val="00066612"/>
    <w:rsid w:val="00066910"/>
    <w:rsid w:val="00066988"/>
    <w:rsid w:val="0006754B"/>
    <w:rsid w:val="00067663"/>
    <w:rsid w:val="000679E8"/>
    <w:rsid w:val="00067A4D"/>
    <w:rsid w:val="00067A6B"/>
    <w:rsid w:val="00067EB8"/>
    <w:rsid w:val="00067FC1"/>
    <w:rsid w:val="000703E9"/>
    <w:rsid w:val="00070740"/>
    <w:rsid w:val="00070B99"/>
    <w:rsid w:val="00070CEE"/>
    <w:rsid w:val="00070EDE"/>
    <w:rsid w:val="0007119F"/>
    <w:rsid w:val="00071214"/>
    <w:rsid w:val="00071305"/>
    <w:rsid w:val="000714F1"/>
    <w:rsid w:val="0007157A"/>
    <w:rsid w:val="00071654"/>
    <w:rsid w:val="0007169B"/>
    <w:rsid w:val="00071A1D"/>
    <w:rsid w:val="00072843"/>
    <w:rsid w:val="0007284F"/>
    <w:rsid w:val="00072B00"/>
    <w:rsid w:val="00072DA7"/>
    <w:rsid w:val="00072DCE"/>
    <w:rsid w:val="00073134"/>
    <w:rsid w:val="00073558"/>
    <w:rsid w:val="00073804"/>
    <w:rsid w:val="000738B1"/>
    <w:rsid w:val="00073C04"/>
    <w:rsid w:val="00073D8B"/>
    <w:rsid w:val="00073E75"/>
    <w:rsid w:val="00073FAF"/>
    <w:rsid w:val="000740BB"/>
    <w:rsid w:val="000747F7"/>
    <w:rsid w:val="00074843"/>
    <w:rsid w:val="00074953"/>
    <w:rsid w:val="00074D7E"/>
    <w:rsid w:val="00074EC4"/>
    <w:rsid w:val="0007505D"/>
    <w:rsid w:val="00075A4F"/>
    <w:rsid w:val="00075DE5"/>
    <w:rsid w:val="000763BF"/>
    <w:rsid w:val="00077047"/>
    <w:rsid w:val="000773A0"/>
    <w:rsid w:val="0007772D"/>
    <w:rsid w:val="00077F2A"/>
    <w:rsid w:val="0008020A"/>
    <w:rsid w:val="0008094B"/>
    <w:rsid w:val="00080D21"/>
    <w:rsid w:val="00080F45"/>
    <w:rsid w:val="00081334"/>
    <w:rsid w:val="00081417"/>
    <w:rsid w:val="00081448"/>
    <w:rsid w:val="00081ADA"/>
    <w:rsid w:val="00081BD2"/>
    <w:rsid w:val="00081E21"/>
    <w:rsid w:val="00081E41"/>
    <w:rsid w:val="0008203B"/>
    <w:rsid w:val="000824B5"/>
    <w:rsid w:val="00082863"/>
    <w:rsid w:val="000828B9"/>
    <w:rsid w:val="0008299B"/>
    <w:rsid w:val="00082D1F"/>
    <w:rsid w:val="00083454"/>
    <w:rsid w:val="0008358F"/>
    <w:rsid w:val="00083750"/>
    <w:rsid w:val="00083918"/>
    <w:rsid w:val="0008394D"/>
    <w:rsid w:val="00083AC2"/>
    <w:rsid w:val="00083B2D"/>
    <w:rsid w:val="000840E2"/>
    <w:rsid w:val="0008446A"/>
    <w:rsid w:val="0008452A"/>
    <w:rsid w:val="000847FA"/>
    <w:rsid w:val="00085028"/>
    <w:rsid w:val="00085332"/>
    <w:rsid w:val="00086B4F"/>
    <w:rsid w:val="00086E96"/>
    <w:rsid w:val="000873BE"/>
    <w:rsid w:val="00087750"/>
    <w:rsid w:val="0008799C"/>
    <w:rsid w:val="00087E44"/>
    <w:rsid w:val="00087E50"/>
    <w:rsid w:val="00087F2C"/>
    <w:rsid w:val="0009030C"/>
    <w:rsid w:val="0009059B"/>
    <w:rsid w:val="00090931"/>
    <w:rsid w:val="00090B1F"/>
    <w:rsid w:val="00090E6D"/>
    <w:rsid w:val="00091005"/>
    <w:rsid w:val="000911D2"/>
    <w:rsid w:val="00091581"/>
    <w:rsid w:val="00091866"/>
    <w:rsid w:val="00092201"/>
    <w:rsid w:val="00092318"/>
    <w:rsid w:val="00092CD3"/>
    <w:rsid w:val="00092D08"/>
    <w:rsid w:val="0009326D"/>
    <w:rsid w:val="000936C2"/>
    <w:rsid w:val="00093C7A"/>
    <w:rsid w:val="00093D38"/>
    <w:rsid w:val="00093DF3"/>
    <w:rsid w:val="00094464"/>
    <w:rsid w:val="000945EA"/>
    <w:rsid w:val="00094693"/>
    <w:rsid w:val="00094700"/>
    <w:rsid w:val="00094ADB"/>
    <w:rsid w:val="00094C5C"/>
    <w:rsid w:val="0009557F"/>
    <w:rsid w:val="00095775"/>
    <w:rsid w:val="00095881"/>
    <w:rsid w:val="00095984"/>
    <w:rsid w:val="00095A6D"/>
    <w:rsid w:val="00095F6C"/>
    <w:rsid w:val="00096064"/>
    <w:rsid w:val="00096094"/>
    <w:rsid w:val="0009614A"/>
    <w:rsid w:val="000966CA"/>
    <w:rsid w:val="000966D9"/>
    <w:rsid w:val="00096988"/>
    <w:rsid w:val="00096BC7"/>
    <w:rsid w:val="00096DE4"/>
    <w:rsid w:val="00096EF5"/>
    <w:rsid w:val="00096F05"/>
    <w:rsid w:val="00097127"/>
    <w:rsid w:val="0009734B"/>
    <w:rsid w:val="000977E6"/>
    <w:rsid w:val="000978A0"/>
    <w:rsid w:val="00097DB9"/>
    <w:rsid w:val="00097E74"/>
    <w:rsid w:val="00097EF8"/>
    <w:rsid w:val="000A0438"/>
    <w:rsid w:val="000A138B"/>
    <w:rsid w:val="000A159F"/>
    <w:rsid w:val="000A1837"/>
    <w:rsid w:val="000A194E"/>
    <w:rsid w:val="000A1A99"/>
    <w:rsid w:val="000A2DF6"/>
    <w:rsid w:val="000A2FDB"/>
    <w:rsid w:val="000A32B0"/>
    <w:rsid w:val="000A3CCE"/>
    <w:rsid w:val="000A433B"/>
    <w:rsid w:val="000A459A"/>
    <w:rsid w:val="000A461E"/>
    <w:rsid w:val="000A499B"/>
    <w:rsid w:val="000A4D3B"/>
    <w:rsid w:val="000A572B"/>
    <w:rsid w:val="000A5A6B"/>
    <w:rsid w:val="000A5E30"/>
    <w:rsid w:val="000A6154"/>
    <w:rsid w:val="000A63E9"/>
    <w:rsid w:val="000A6EE0"/>
    <w:rsid w:val="000A70C4"/>
    <w:rsid w:val="000A7228"/>
    <w:rsid w:val="000A725E"/>
    <w:rsid w:val="000A72A5"/>
    <w:rsid w:val="000A73D9"/>
    <w:rsid w:val="000A78DD"/>
    <w:rsid w:val="000A7C00"/>
    <w:rsid w:val="000B03ED"/>
    <w:rsid w:val="000B05BF"/>
    <w:rsid w:val="000B05E0"/>
    <w:rsid w:val="000B0915"/>
    <w:rsid w:val="000B10AB"/>
    <w:rsid w:val="000B15C8"/>
    <w:rsid w:val="000B1842"/>
    <w:rsid w:val="000B19B0"/>
    <w:rsid w:val="000B1DF5"/>
    <w:rsid w:val="000B271D"/>
    <w:rsid w:val="000B2A33"/>
    <w:rsid w:val="000B2D2B"/>
    <w:rsid w:val="000B2D53"/>
    <w:rsid w:val="000B382A"/>
    <w:rsid w:val="000B398C"/>
    <w:rsid w:val="000B3B12"/>
    <w:rsid w:val="000B3CA1"/>
    <w:rsid w:val="000B4164"/>
    <w:rsid w:val="000B5599"/>
    <w:rsid w:val="000B573E"/>
    <w:rsid w:val="000B5D38"/>
    <w:rsid w:val="000B66AF"/>
    <w:rsid w:val="000B66F9"/>
    <w:rsid w:val="000B6761"/>
    <w:rsid w:val="000B6780"/>
    <w:rsid w:val="000B699A"/>
    <w:rsid w:val="000B6A38"/>
    <w:rsid w:val="000B6B74"/>
    <w:rsid w:val="000B6C0F"/>
    <w:rsid w:val="000B6C3A"/>
    <w:rsid w:val="000B6D1D"/>
    <w:rsid w:val="000B6E88"/>
    <w:rsid w:val="000B72F8"/>
    <w:rsid w:val="000B78CA"/>
    <w:rsid w:val="000B7B95"/>
    <w:rsid w:val="000B7FAA"/>
    <w:rsid w:val="000C09DE"/>
    <w:rsid w:val="000C0D3A"/>
    <w:rsid w:val="000C0E00"/>
    <w:rsid w:val="000C1348"/>
    <w:rsid w:val="000C1462"/>
    <w:rsid w:val="000C1659"/>
    <w:rsid w:val="000C1C38"/>
    <w:rsid w:val="000C234C"/>
    <w:rsid w:val="000C255B"/>
    <w:rsid w:val="000C2B79"/>
    <w:rsid w:val="000C3371"/>
    <w:rsid w:val="000C3EE6"/>
    <w:rsid w:val="000C3FCA"/>
    <w:rsid w:val="000C449F"/>
    <w:rsid w:val="000C4882"/>
    <w:rsid w:val="000C4D2C"/>
    <w:rsid w:val="000C5078"/>
    <w:rsid w:val="000C54D1"/>
    <w:rsid w:val="000C5629"/>
    <w:rsid w:val="000C5A7D"/>
    <w:rsid w:val="000C5CE9"/>
    <w:rsid w:val="000C5F91"/>
    <w:rsid w:val="000C6A41"/>
    <w:rsid w:val="000C7732"/>
    <w:rsid w:val="000C7E71"/>
    <w:rsid w:val="000C7FE2"/>
    <w:rsid w:val="000D0119"/>
    <w:rsid w:val="000D05E3"/>
    <w:rsid w:val="000D0AAE"/>
    <w:rsid w:val="000D0CD1"/>
    <w:rsid w:val="000D0DB3"/>
    <w:rsid w:val="000D1260"/>
    <w:rsid w:val="000D1702"/>
    <w:rsid w:val="000D1841"/>
    <w:rsid w:val="000D1CCC"/>
    <w:rsid w:val="000D1D61"/>
    <w:rsid w:val="000D1EC2"/>
    <w:rsid w:val="000D1EDE"/>
    <w:rsid w:val="000D20F4"/>
    <w:rsid w:val="000D2221"/>
    <w:rsid w:val="000D232A"/>
    <w:rsid w:val="000D27DD"/>
    <w:rsid w:val="000D292C"/>
    <w:rsid w:val="000D2DDE"/>
    <w:rsid w:val="000D3113"/>
    <w:rsid w:val="000D3614"/>
    <w:rsid w:val="000D3B13"/>
    <w:rsid w:val="000D41CF"/>
    <w:rsid w:val="000D4896"/>
    <w:rsid w:val="000D4A1F"/>
    <w:rsid w:val="000D526A"/>
    <w:rsid w:val="000D54CB"/>
    <w:rsid w:val="000D551C"/>
    <w:rsid w:val="000D5A23"/>
    <w:rsid w:val="000D5B06"/>
    <w:rsid w:val="000D5B1E"/>
    <w:rsid w:val="000D5B89"/>
    <w:rsid w:val="000D5D4D"/>
    <w:rsid w:val="000D60F0"/>
    <w:rsid w:val="000D691F"/>
    <w:rsid w:val="000D6C92"/>
    <w:rsid w:val="000D723B"/>
    <w:rsid w:val="000D7400"/>
    <w:rsid w:val="000D7416"/>
    <w:rsid w:val="000D7434"/>
    <w:rsid w:val="000D7687"/>
    <w:rsid w:val="000D7DD7"/>
    <w:rsid w:val="000E0029"/>
    <w:rsid w:val="000E01E0"/>
    <w:rsid w:val="000E02A0"/>
    <w:rsid w:val="000E0A03"/>
    <w:rsid w:val="000E0D6A"/>
    <w:rsid w:val="000E188A"/>
    <w:rsid w:val="000E1924"/>
    <w:rsid w:val="000E2034"/>
    <w:rsid w:val="000E2056"/>
    <w:rsid w:val="000E25F3"/>
    <w:rsid w:val="000E28A2"/>
    <w:rsid w:val="000E29D7"/>
    <w:rsid w:val="000E2ADC"/>
    <w:rsid w:val="000E2D7F"/>
    <w:rsid w:val="000E2E56"/>
    <w:rsid w:val="000E2E6C"/>
    <w:rsid w:val="000E325E"/>
    <w:rsid w:val="000E3C3F"/>
    <w:rsid w:val="000E3D6C"/>
    <w:rsid w:val="000E3DE1"/>
    <w:rsid w:val="000E494F"/>
    <w:rsid w:val="000E4C5B"/>
    <w:rsid w:val="000E596D"/>
    <w:rsid w:val="000E5CEE"/>
    <w:rsid w:val="000E5FA5"/>
    <w:rsid w:val="000E63EB"/>
    <w:rsid w:val="000E63EF"/>
    <w:rsid w:val="000E66AB"/>
    <w:rsid w:val="000E68B6"/>
    <w:rsid w:val="000E68C2"/>
    <w:rsid w:val="000E6A40"/>
    <w:rsid w:val="000E6B1A"/>
    <w:rsid w:val="000E6B49"/>
    <w:rsid w:val="000E6E81"/>
    <w:rsid w:val="000E7404"/>
    <w:rsid w:val="000E74F9"/>
    <w:rsid w:val="000E750A"/>
    <w:rsid w:val="000E7601"/>
    <w:rsid w:val="000E7AD9"/>
    <w:rsid w:val="000F0508"/>
    <w:rsid w:val="000F0904"/>
    <w:rsid w:val="000F0D91"/>
    <w:rsid w:val="000F124A"/>
    <w:rsid w:val="000F145B"/>
    <w:rsid w:val="000F151A"/>
    <w:rsid w:val="000F1580"/>
    <w:rsid w:val="000F179C"/>
    <w:rsid w:val="000F1871"/>
    <w:rsid w:val="000F2498"/>
    <w:rsid w:val="000F298C"/>
    <w:rsid w:val="000F2AAC"/>
    <w:rsid w:val="000F2EB4"/>
    <w:rsid w:val="000F30A3"/>
    <w:rsid w:val="000F324D"/>
    <w:rsid w:val="000F350A"/>
    <w:rsid w:val="000F382A"/>
    <w:rsid w:val="000F3AD0"/>
    <w:rsid w:val="000F3B33"/>
    <w:rsid w:val="000F3C18"/>
    <w:rsid w:val="000F3D0A"/>
    <w:rsid w:val="000F3D61"/>
    <w:rsid w:val="000F4595"/>
    <w:rsid w:val="000F4D3F"/>
    <w:rsid w:val="000F4D7F"/>
    <w:rsid w:val="000F4DA4"/>
    <w:rsid w:val="000F4F7B"/>
    <w:rsid w:val="000F4FD3"/>
    <w:rsid w:val="000F52C4"/>
    <w:rsid w:val="000F5758"/>
    <w:rsid w:val="000F5850"/>
    <w:rsid w:val="000F6743"/>
    <w:rsid w:val="000F69DB"/>
    <w:rsid w:val="000F6D9E"/>
    <w:rsid w:val="000F7214"/>
    <w:rsid w:val="000F72AA"/>
    <w:rsid w:val="000F7864"/>
    <w:rsid w:val="000F78E3"/>
    <w:rsid w:val="000F796F"/>
    <w:rsid w:val="000F7BA5"/>
    <w:rsid w:val="000F7D1C"/>
    <w:rsid w:val="000F7F61"/>
    <w:rsid w:val="000F7F9A"/>
    <w:rsid w:val="00100701"/>
    <w:rsid w:val="00100B49"/>
    <w:rsid w:val="00100E7E"/>
    <w:rsid w:val="001010DB"/>
    <w:rsid w:val="001015B2"/>
    <w:rsid w:val="001017E4"/>
    <w:rsid w:val="0010184D"/>
    <w:rsid w:val="00101949"/>
    <w:rsid w:val="00101C73"/>
    <w:rsid w:val="00101CA9"/>
    <w:rsid w:val="00102380"/>
    <w:rsid w:val="001026AE"/>
    <w:rsid w:val="00102C50"/>
    <w:rsid w:val="00102D59"/>
    <w:rsid w:val="00102D7F"/>
    <w:rsid w:val="00103290"/>
    <w:rsid w:val="0010393B"/>
    <w:rsid w:val="00104031"/>
    <w:rsid w:val="001040C4"/>
    <w:rsid w:val="0010424F"/>
    <w:rsid w:val="00104BF3"/>
    <w:rsid w:val="00104C49"/>
    <w:rsid w:val="00104E79"/>
    <w:rsid w:val="001052AD"/>
    <w:rsid w:val="001052B2"/>
    <w:rsid w:val="0010544D"/>
    <w:rsid w:val="00105D29"/>
    <w:rsid w:val="00105E91"/>
    <w:rsid w:val="00106AAC"/>
    <w:rsid w:val="00106AD9"/>
    <w:rsid w:val="00106AFD"/>
    <w:rsid w:val="00106D68"/>
    <w:rsid w:val="001072F4"/>
    <w:rsid w:val="00107481"/>
    <w:rsid w:val="00107620"/>
    <w:rsid w:val="001108FD"/>
    <w:rsid w:val="001113E4"/>
    <w:rsid w:val="001114A2"/>
    <w:rsid w:val="00111DD6"/>
    <w:rsid w:val="0011219C"/>
    <w:rsid w:val="00112B6B"/>
    <w:rsid w:val="00113166"/>
    <w:rsid w:val="001134BD"/>
    <w:rsid w:val="001134F5"/>
    <w:rsid w:val="001135A9"/>
    <w:rsid w:val="001137FD"/>
    <w:rsid w:val="001138E3"/>
    <w:rsid w:val="0011398F"/>
    <w:rsid w:val="0011480D"/>
    <w:rsid w:val="00114B48"/>
    <w:rsid w:val="00114EE3"/>
    <w:rsid w:val="001159D5"/>
    <w:rsid w:val="00115B48"/>
    <w:rsid w:val="00115E45"/>
    <w:rsid w:val="00115F80"/>
    <w:rsid w:val="00115FD3"/>
    <w:rsid w:val="00117249"/>
    <w:rsid w:val="001172D8"/>
    <w:rsid w:val="00117A25"/>
    <w:rsid w:val="00117A2B"/>
    <w:rsid w:val="00117C63"/>
    <w:rsid w:val="00117D78"/>
    <w:rsid w:val="001205C5"/>
    <w:rsid w:val="001205DE"/>
    <w:rsid w:val="001207A2"/>
    <w:rsid w:val="001208DE"/>
    <w:rsid w:val="00120ACF"/>
    <w:rsid w:val="00120DE1"/>
    <w:rsid w:val="001217A3"/>
    <w:rsid w:val="00121A18"/>
    <w:rsid w:val="00121E58"/>
    <w:rsid w:val="001223C9"/>
    <w:rsid w:val="00122595"/>
    <w:rsid w:val="00122659"/>
    <w:rsid w:val="001226BD"/>
    <w:rsid w:val="001227F7"/>
    <w:rsid w:val="00122916"/>
    <w:rsid w:val="00122940"/>
    <w:rsid w:val="00122BF7"/>
    <w:rsid w:val="00122D28"/>
    <w:rsid w:val="00122E48"/>
    <w:rsid w:val="00122E86"/>
    <w:rsid w:val="001233A8"/>
    <w:rsid w:val="00124497"/>
    <w:rsid w:val="00124668"/>
    <w:rsid w:val="001246F6"/>
    <w:rsid w:val="001247C7"/>
    <w:rsid w:val="00124EB0"/>
    <w:rsid w:val="0012526B"/>
    <w:rsid w:val="00125720"/>
    <w:rsid w:val="0012587F"/>
    <w:rsid w:val="0012593D"/>
    <w:rsid w:val="00125CC1"/>
    <w:rsid w:val="00125E38"/>
    <w:rsid w:val="00126371"/>
    <w:rsid w:val="00126F32"/>
    <w:rsid w:val="00126F93"/>
    <w:rsid w:val="001270C0"/>
    <w:rsid w:val="00127451"/>
    <w:rsid w:val="001277C1"/>
    <w:rsid w:val="0012783B"/>
    <w:rsid w:val="00127B47"/>
    <w:rsid w:val="00127E5D"/>
    <w:rsid w:val="001300E6"/>
    <w:rsid w:val="00130197"/>
    <w:rsid w:val="00130292"/>
    <w:rsid w:val="001302E0"/>
    <w:rsid w:val="001304FF"/>
    <w:rsid w:val="00130811"/>
    <w:rsid w:val="0013091E"/>
    <w:rsid w:val="00130CBE"/>
    <w:rsid w:val="00130DBD"/>
    <w:rsid w:val="00130DEE"/>
    <w:rsid w:val="00130EB5"/>
    <w:rsid w:val="0013157C"/>
    <w:rsid w:val="001315B9"/>
    <w:rsid w:val="001316D4"/>
    <w:rsid w:val="0013179B"/>
    <w:rsid w:val="00131B15"/>
    <w:rsid w:val="00131BB6"/>
    <w:rsid w:val="00131C56"/>
    <w:rsid w:val="00131F23"/>
    <w:rsid w:val="00131F51"/>
    <w:rsid w:val="00132B17"/>
    <w:rsid w:val="00132BDD"/>
    <w:rsid w:val="00132C43"/>
    <w:rsid w:val="00132CC9"/>
    <w:rsid w:val="00133136"/>
    <w:rsid w:val="0013317A"/>
    <w:rsid w:val="00133B4C"/>
    <w:rsid w:val="00134316"/>
    <w:rsid w:val="00134345"/>
    <w:rsid w:val="00134475"/>
    <w:rsid w:val="00134A28"/>
    <w:rsid w:val="001354D2"/>
    <w:rsid w:val="0013599B"/>
    <w:rsid w:val="00135D1F"/>
    <w:rsid w:val="00135D78"/>
    <w:rsid w:val="00135DBC"/>
    <w:rsid w:val="00135DCF"/>
    <w:rsid w:val="00135E06"/>
    <w:rsid w:val="00136769"/>
    <w:rsid w:val="001370CA"/>
    <w:rsid w:val="00137109"/>
    <w:rsid w:val="001372F8"/>
    <w:rsid w:val="00137725"/>
    <w:rsid w:val="00137C4F"/>
    <w:rsid w:val="00140481"/>
    <w:rsid w:val="0014052D"/>
    <w:rsid w:val="001405AE"/>
    <w:rsid w:val="001406BB"/>
    <w:rsid w:val="00140981"/>
    <w:rsid w:val="00140997"/>
    <w:rsid w:val="00140B99"/>
    <w:rsid w:val="00140BA0"/>
    <w:rsid w:val="00140DBA"/>
    <w:rsid w:val="00140E52"/>
    <w:rsid w:val="001415FC"/>
    <w:rsid w:val="00141610"/>
    <w:rsid w:val="00141986"/>
    <w:rsid w:val="00141A39"/>
    <w:rsid w:val="00141D44"/>
    <w:rsid w:val="00141F60"/>
    <w:rsid w:val="0014223D"/>
    <w:rsid w:val="001426C1"/>
    <w:rsid w:val="00142A44"/>
    <w:rsid w:val="00142ADF"/>
    <w:rsid w:val="001433B5"/>
    <w:rsid w:val="00143E03"/>
    <w:rsid w:val="0014410F"/>
    <w:rsid w:val="00144318"/>
    <w:rsid w:val="0014478A"/>
    <w:rsid w:val="00144A37"/>
    <w:rsid w:val="00144D72"/>
    <w:rsid w:val="00144FB2"/>
    <w:rsid w:val="00145060"/>
    <w:rsid w:val="001451A5"/>
    <w:rsid w:val="001451EE"/>
    <w:rsid w:val="0014560A"/>
    <w:rsid w:val="00145D73"/>
    <w:rsid w:val="0014616A"/>
    <w:rsid w:val="00146357"/>
    <w:rsid w:val="00146466"/>
    <w:rsid w:val="00146971"/>
    <w:rsid w:val="00146A62"/>
    <w:rsid w:val="00146BF3"/>
    <w:rsid w:val="00146C1C"/>
    <w:rsid w:val="00146F41"/>
    <w:rsid w:val="00147823"/>
    <w:rsid w:val="00147A0C"/>
    <w:rsid w:val="00147B72"/>
    <w:rsid w:val="00147BD9"/>
    <w:rsid w:val="00147F9C"/>
    <w:rsid w:val="00147FEB"/>
    <w:rsid w:val="0015042D"/>
    <w:rsid w:val="001508A2"/>
    <w:rsid w:val="001508CB"/>
    <w:rsid w:val="001509F4"/>
    <w:rsid w:val="00150ABE"/>
    <w:rsid w:val="00151180"/>
    <w:rsid w:val="0015179B"/>
    <w:rsid w:val="00151CF3"/>
    <w:rsid w:val="00151D3E"/>
    <w:rsid w:val="00151DC9"/>
    <w:rsid w:val="0015255E"/>
    <w:rsid w:val="00152D93"/>
    <w:rsid w:val="0015325E"/>
    <w:rsid w:val="0015326D"/>
    <w:rsid w:val="0015393C"/>
    <w:rsid w:val="00153AA8"/>
    <w:rsid w:val="00153C79"/>
    <w:rsid w:val="00153E0C"/>
    <w:rsid w:val="00153E33"/>
    <w:rsid w:val="00153F6D"/>
    <w:rsid w:val="0015419C"/>
    <w:rsid w:val="00154250"/>
    <w:rsid w:val="00154431"/>
    <w:rsid w:val="00154759"/>
    <w:rsid w:val="00154B31"/>
    <w:rsid w:val="00154BE8"/>
    <w:rsid w:val="00154C1D"/>
    <w:rsid w:val="0015502D"/>
    <w:rsid w:val="001556F9"/>
    <w:rsid w:val="001558C4"/>
    <w:rsid w:val="001558EC"/>
    <w:rsid w:val="00155CC1"/>
    <w:rsid w:val="001570FF"/>
    <w:rsid w:val="0015767A"/>
    <w:rsid w:val="00157798"/>
    <w:rsid w:val="00157A61"/>
    <w:rsid w:val="00157DF7"/>
    <w:rsid w:val="00157F0F"/>
    <w:rsid w:val="001600C8"/>
    <w:rsid w:val="0016063D"/>
    <w:rsid w:val="00160A85"/>
    <w:rsid w:val="00160CDD"/>
    <w:rsid w:val="00160D1E"/>
    <w:rsid w:val="00161A6F"/>
    <w:rsid w:val="001620D6"/>
    <w:rsid w:val="00162C2A"/>
    <w:rsid w:val="00162E00"/>
    <w:rsid w:val="00162E1C"/>
    <w:rsid w:val="00163309"/>
    <w:rsid w:val="00163558"/>
    <w:rsid w:val="00163F44"/>
    <w:rsid w:val="00163F6F"/>
    <w:rsid w:val="001641CA"/>
    <w:rsid w:val="001647B7"/>
    <w:rsid w:val="001649A7"/>
    <w:rsid w:val="00164D20"/>
    <w:rsid w:val="00164E92"/>
    <w:rsid w:val="0016519C"/>
    <w:rsid w:val="00165349"/>
    <w:rsid w:val="001653B9"/>
    <w:rsid w:val="00165720"/>
    <w:rsid w:val="00165B28"/>
    <w:rsid w:val="00165D2F"/>
    <w:rsid w:val="001662B0"/>
    <w:rsid w:val="0016648C"/>
    <w:rsid w:val="00166AC8"/>
    <w:rsid w:val="001673EE"/>
    <w:rsid w:val="001676D0"/>
    <w:rsid w:val="00167810"/>
    <w:rsid w:val="001679D2"/>
    <w:rsid w:val="001679E0"/>
    <w:rsid w:val="00167BF9"/>
    <w:rsid w:val="00167BFF"/>
    <w:rsid w:val="001703AA"/>
    <w:rsid w:val="0017047C"/>
    <w:rsid w:val="0017090A"/>
    <w:rsid w:val="0017108B"/>
    <w:rsid w:val="001715BE"/>
    <w:rsid w:val="00171829"/>
    <w:rsid w:val="001718B1"/>
    <w:rsid w:val="001720D4"/>
    <w:rsid w:val="00172238"/>
    <w:rsid w:val="001722B2"/>
    <w:rsid w:val="0017240B"/>
    <w:rsid w:val="00172449"/>
    <w:rsid w:val="001725CB"/>
    <w:rsid w:val="0017293A"/>
    <w:rsid w:val="00172AD0"/>
    <w:rsid w:val="0017316F"/>
    <w:rsid w:val="00173454"/>
    <w:rsid w:val="00174001"/>
    <w:rsid w:val="0017427D"/>
    <w:rsid w:val="00174665"/>
    <w:rsid w:val="0017479A"/>
    <w:rsid w:val="0017487D"/>
    <w:rsid w:val="00174B18"/>
    <w:rsid w:val="00174B8A"/>
    <w:rsid w:val="00174D64"/>
    <w:rsid w:val="001750AE"/>
    <w:rsid w:val="00175754"/>
    <w:rsid w:val="001757FC"/>
    <w:rsid w:val="00175CE2"/>
    <w:rsid w:val="001766A1"/>
    <w:rsid w:val="00176753"/>
    <w:rsid w:val="00176764"/>
    <w:rsid w:val="00176784"/>
    <w:rsid w:val="00176A0B"/>
    <w:rsid w:val="00176A70"/>
    <w:rsid w:val="00176AF0"/>
    <w:rsid w:val="00176D95"/>
    <w:rsid w:val="00177057"/>
    <w:rsid w:val="001770E9"/>
    <w:rsid w:val="00177826"/>
    <w:rsid w:val="00177A6F"/>
    <w:rsid w:val="00177CA1"/>
    <w:rsid w:val="00177D4A"/>
    <w:rsid w:val="00177F39"/>
    <w:rsid w:val="0018001D"/>
    <w:rsid w:val="00180345"/>
    <w:rsid w:val="00180380"/>
    <w:rsid w:val="0018082C"/>
    <w:rsid w:val="00180E27"/>
    <w:rsid w:val="00180FA8"/>
    <w:rsid w:val="001811E3"/>
    <w:rsid w:val="0018141C"/>
    <w:rsid w:val="00181BD6"/>
    <w:rsid w:val="0018225C"/>
    <w:rsid w:val="001824E6"/>
    <w:rsid w:val="00182C4D"/>
    <w:rsid w:val="0018343A"/>
    <w:rsid w:val="00183470"/>
    <w:rsid w:val="00183629"/>
    <w:rsid w:val="00183A41"/>
    <w:rsid w:val="00183EBA"/>
    <w:rsid w:val="00183F7E"/>
    <w:rsid w:val="001844F8"/>
    <w:rsid w:val="00184558"/>
    <w:rsid w:val="00184626"/>
    <w:rsid w:val="00184B0E"/>
    <w:rsid w:val="00184BEA"/>
    <w:rsid w:val="0018555E"/>
    <w:rsid w:val="0018569A"/>
    <w:rsid w:val="0018607F"/>
    <w:rsid w:val="0018619B"/>
    <w:rsid w:val="0018660A"/>
    <w:rsid w:val="00186B63"/>
    <w:rsid w:val="00186CCA"/>
    <w:rsid w:val="00186CD1"/>
    <w:rsid w:val="00187195"/>
    <w:rsid w:val="00187723"/>
    <w:rsid w:val="00187B10"/>
    <w:rsid w:val="00187BE7"/>
    <w:rsid w:val="00187D74"/>
    <w:rsid w:val="00187ED7"/>
    <w:rsid w:val="00191405"/>
    <w:rsid w:val="00191505"/>
    <w:rsid w:val="001917C5"/>
    <w:rsid w:val="00191944"/>
    <w:rsid w:val="00191E1F"/>
    <w:rsid w:val="00191F53"/>
    <w:rsid w:val="00192208"/>
    <w:rsid w:val="0019244F"/>
    <w:rsid w:val="0019275B"/>
    <w:rsid w:val="00192F15"/>
    <w:rsid w:val="0019307F"/>
    <w:rsid w:val="00193097"/>
    <w:rsid w:val="001935D0"/>
    <w:rsid w:val="001935EF"/>
    <w:rsid w:val="00193ADD"/>
    <w:rsid w:val="00193B78"/>
    <w:rsid w:val="00193B79"/>
    <w:rsid w:val="00193B91"/>
    <w:rsid w:val="00193C71"/>
    <w:rsid w:val="00193D71"/>
    <w:rsid w:val="0019498F"/>
    <w:rsid w:val="00194A73"/>
    <w:rsid w:val="00194B0E"/>
    <w:rsid w:val="00194B96"/>
    <w:rsid w:val="00194C25"/>
    <w:rsid w:val="00194DF5"/>
    <w:rsid w:val="001952DB"/>
    <w:rsid w:val="0019599A"/>
    <w:rsid w:val="00195A14"/>
    <w:rsid w:val="00196237"/>
    <w:rsid w:val="001962F3"/>
    <w:rsid w:val="00196330"/>
    <w:rsid w:val="00196620"/>
    <w:rsid w:val="001966F5"/>
    <w:rsid w:val="00196B99"/>
    <w:rsid w:val="00196CAB"/>
    <w:rsid w:val="00196DDE"/>
    <w:rsid w:val="001A00F4"/>
    <w:rsid w:val="001A0209"/>
    <w:rsid w:val="001A03EF"/>
    <w:rsid w:val="001A0ECC"/>
    <w:rsid w:val="001A127D"/>
    <w:rsid w:val="001A155B"/>
    <w:rsid w:val="001A18E3"/>
    <w:rsid w:val="001A1AE1"/>
    <w:rsid w:val="001A1C6A"/>
    <w:rsid w:val="001A1CD8"/>
    <w:rsid w:val="001A22F0"/>
    <w:rsid w:val="001A261C"/>
    <w:rsid w:val="001A298C"/>
    <w:rsid w:val="001A2D30"/>
    <w:rsid w:val="001A2FD6"/>
    <w:rsid w:val="001A3294"/>
    <w:rsid w:val="001A3882"/>
    <w:rsid w:val="001A3C6F"/>
    <w:rsid w:val="001A3E33"/>
    <w:rsid w:val="001A424B"/>
    <w:rsid w:val="001A42B9"/>
    <w:rsid w:val="001A45BD"/>
    <w:rsid w:val="001A477A"/>
    <w:rsid w:val="001A492E"/>
    <w:rsid w:val="001A4AE7"/>
    <w:rsid w:val="001A4B84"/>
    <w:rsid w:val="001A4CE1"/>
    <w:rsid w:val="001A4FCF"/>
    <w:rsid w:val="001A5059"/>
    <w:rsid w:val="001A5957"/>
    <w:rsid w:val="001A5FD4"/>
    <w:rsid w:val="001A62D3"/>
    <w:rsid w:val="001A62DA"/>
    <w:rsid w:val="001A6655"/>
    <w:rsid w:val="001A6674"/>
    <w:rsid w:val="001A696B"/>
    <w:rsid w:val="001A6ABD"/>
    <w:rsid w:val="001A6ACD"/>
    <w:rsid w:val="001A6C60"/>
    <w:rsid w:val="001A70D7"/>
    <w:rsid w:val="001A72B9"/>
    <w:rsid w:val="001A73B5"/>
    <w:rsid w:val="001A7415"/>
    <w:rsid w:val="001A747A"/>
    <w:rsid w:val="001A7692"/>
    <w:rsid w:val="001A7731"/>
    <w:rsid w:val="001A77E5"/>
    <w:rsid w:val="001A7AE8"/>
    <w:rsid w:val="001A7DEA"/>
    <w:rsid w:val="001A7F67"/>
    <w:rsid w:val="001B0923"/>
    <w:rsid w:val="001B0A46"/>
    <w:rsid w:val="001B0FFC"/>
    <w:rsid w:val="001B1217"/>
    <w:rsid w:val="001B1368"/>
    <w:rsid w:val="001B139C"/>
    <w:rsid w:val="001B17FE"/>
    <w:rsid w:val="001B1BAA"/>
    <w:rsid w:val="001B200B"/>
    <w:rsid w:val="001B26B6"/>
    <w:rsid w:val="001B2ABC"/>
    <w:rsid w:val="001B2DED"/>
    <w:rsid w:val="001B3240"/>
    <w:rsid w:val="001B3330"/>
    <w:rsid w:val="001B339E"/>
    <w:rsid w:val="001B3400"/>
    <w:rsid w:val="001B37A2"/>
    <w:rsid w:val="001B3A9A"/>
    <w:rsid w:val="001B436F"/>
    <w:rsid w:val="001B478F"/>
    <w:rsid w:val="001B48E9"/>
    <w:rsid w:val="001B5371"/>
    <w:rsid w:val="001B558C"/>
    <w:rsid w:val="001B663F"/>
    <w:rsid w:val="001B67A8"/>
    <w:rsid w:val="001B6826"/>
    <w:rsid w:val="001B6860"/>
    <w:rsid w:val="001B6984"/>
    <w:rsid w:val="001B6B54"/>
    <w:rsid w:val="001B6BB1"/>
    <w:rsid w:val="001B6C41"/>
    <w:rsid w:val="001B6DFA"/>
    <w:rsid w:val="001B6F6D"/>
    <w:rsid w:val="001B7C43"/>
    <w:rsid w:val="001B7FFB"/>
    <w:rsid w:val="001C0057"/>
    <w:rsid w:val="001C023F"/>
    <w:rsid w:val="001C0DB7"/>
    <w:rsid w:val="001C1B2F"/>
    <w:rsid w:val="001C1B4A"/>
    <w:rsid w:val="001C1B4B"/>
    <w:rsid w:val="001C1C6F"/>
    <w:rsid w:val="001C1E5A"/>
    <w:rsid w:val="001C1EAB"/>
    <w:rsid w:val="001C1EC5"/>
    <w:rsid w:val="001C247D"/>
    <w:rsid w:val="001C24D8"/>
    <w:rsid w:val="001C2B67"/>
    <w:rsid w:val="001C2FC2"/>
    <w:rsid w:val="001C311A"/>
    <w:rsid w:val="001C3361"/>
    <w:rsid w:val="001C3720"/>
    <w:rsid w:val="001C3E01"/>
    <w:rsid w:val="001C4372"/>
    <w:rsid w:val="001C43A6"/>
    <w:rsid w:val="001C487D"/>
    <w:rsid w:val="001C489A"/>
    <w:rsid w:val="001C48C2"/>
    <w:rsid w:val="001C48D5"/>
    <w:rsid w:val="001C4929"/>
    <w:rsid w:val="001C493D"/>
    <w:rsid w:val="001C4A35"/>
    <w:rsid w:val="001C4C6C"/>
    <w:rsid w:val="001C4D52"/>
    <w:rsid w:val="001C5170"/>
    <w:rsid w:val="001C5522"/>
    <w:rsid w:val="001C5B6D"/>
    <w:rsid w:val="001C6327"/>
    <w:rsid w:val="001C6359"/>
    <w:rsid w:val="001C6603"/>
    <w:rsid w:val="001C6C9A"/>
    <w:rsid w:val="001C731A"/>
    <w:rsid w:val="001C7474"/>
    <w:rsid w:val="001C7538"/>
    <w:rsid w:val="001C7D5A"/>
    <w:rsid w:val="001C7E81"/>
    <w:rsid w:val="001D0001"/>
    <w:rsid w:val="001D016F"/>
    <w:rsid w:val="001D0251"/>
    <w:rsid w:val="001D0800"/>
    <w:rsid w:val="001D0801"/>
    <w:rsid w:val="001D09B9"/>
    <w:rsid w:val="001D0B87"/>
    <w:rsid w:val="001D0C6F"/>
    <w:rsid w:val="001D0C8E"/>
    <w:rsid w:val="001D0CFC"/>
    <w:rsid w:val="001D0E5D"/>
    <w:rsid w:val="001D12FF"/>
    <w:rsid w:val="001D13CE"/>
    <w:rsid w:val="001D1568"/>
    <w:rsid w:val="001D184D"/>
    <w:rsid w:val="001D1A26"/>
    <w:rsid w:val="001D1AA3"/>
    <w:rsid w:val="001D1B97"/>
    <w:rsid w:val="001D23CE"/>
    <w:rsid w:val="001D26FA"/>
    <w:rsid w:val="001D2BCE"/>
    <w:rsid w:val="001D2CB8"/>
    <w:rsid w:val="001D3107"/>
    <w:rsid w:val="001D36C6"/>
    <w:rsid w:val="001D385C"/>
    <w:rsid w:val="001D3B93"/>
    <w:rsid w:val="001D3E12"/>
    <w:rsid w:val="001D429D"/>
    <w:rsid w:val="001D42A1"/>
    <w:rsid w:val="001D4467"/>
    <w:rsid w:val="001D4957"/>
    <w:rsid w:val="001D50EC"/>
    <w:rsid w:val="001D51C7"/>
    <w:rsid w:val="001D51D1"/>
    <w:rsid w:val="001D5210"/>
    <w:rsid w:val="001D548F"/>
    <w:rsid w:val="001D5595"/>
    <w:rsid w:val="001D5ED9"/>
    <w:rsid w:val="001D6068"/>
    <w:rsid w:val="001D63F6"/>
    <w:rsid w:val="001D64FD"/>
    <w:rsid w:val="001D69B7"/>
    <w:rsid w:val="001D6B93"/>
    <w:rsid w:val="001D71F9"/>
    <w:rsid w:val="001E00E6"/>
    <w:rsid w:val="001E0312"/>
    <w:rsid w:val="001E08DA"/>
    <w:rsid w:val="001E0BEA"/>
    <w:rsid w:val="001E147D"/>
    <w:rsid w:val="001E1566"/>
    <w:rsid w:val="001E15D5"/>
    <w:rsid w:val="001E17D6"/>
    <w:rsid w:val="001E1C47"/>
    <w:rsid w:val="001E1E03"/>
    <w:rsid w:val="001E21D0"/>
    <w:rsid w:val="001E223C"/>
    <w:rsid w:val="001E2A6A"/>
    <w:rsid w:val="001E3A7A"/>
    <w:rsid w:val="001E40B9"/>
    <w:rsid w:val="001E44D2"/>
    <w:rsid w:val="001E456A"/>
    <w:rsid w:val="001E460A"/>
    <w:rsid w:val="001E46DB"/>
    <w:rsid w:val="001E53E5"/>
    <w:rsid w:val="001E56C9"/>
    <w:rsid w:val="001E5C73"/>
    <w:rsid w:val="001E69C2"/>
    <w:rsid w:val="001E6CB5"/>
    <w:rsid w:val="001E6D93"/>
    <w:rsid w:val="001E6EB6"/>
    <w:rsid w:val="001E706F"/>
    <w:rsid w:val="001E7312"/>
    <w:rsid w:val="001E747F"/>
    <w:rsid w:val="001E74F0"/>
    <w:rsid w:val="001E7610"/>
    <w:rsid w:val="001E7B01"/>
    <w:rsid w:val="001E7B14"/>
    <w:rsid w:val="001E7B3D"/>
    <w:rsid w:val="001F0542"/>
    <w:rsid w:val="001F063C"/>
    <w:rsid w:val="001F0CE2"/>
    <w:rsid w:val="001F0D5B"/>
    <w:rsid w:val="001F0F93"/>
    <w:rsid w:val="001F12A6"/>
    <w:rsid w:val="001F1763"/>
    <w:rsid w:val="001F1FCC"/>
    <w:rsid w:val="001F2054"/>
    <w:rsid w:val="001F2063"/>
    <w:rsid w:val="001F207A"/>
    <w:rsid w:val="001F2370"/>
    <w:rsid w:val="001F257F"/>
    <w:rsid w:val="001F2950"/>
    <w:rsid w:val="001F2A6E"/>
    <w:rsid w:val="001F2B24"/>
    <w:rsid w:val="001F2D3A"/>
    <w:rsid w:val="001F32E5"/>
    <w:rsid w:val="001F35A3"/>
    <w:rsid w:val="001F3745"/>
    <w:rsid w:val="001F3D37"/>
    <w:rsid w:val="001F3EC4"/>
    <w:rsid w:val="001F3F8B"/>
    <w:rsid w:val="001F3F9C"/>
    <w:rsid w:val="001F4F3A"/>
    <w:rsid w:val="001F4F7F"/>
    <w:rsid w:val="001F504F"/>
    <w:rsid w:val="001F5D20"/>
    <w:rsid w:val="001F6005"/>
    <w:rsid w:val="001F6202"/>
    <w:rsid w:val="001F66F4"/>
    <w:rsid w:val="001F680B"/>
    <w:rsid w:val="001F6BA8"/>
    <w:rsid w:val="001F742C"/>
    <w:rsid w:val="001F7471"/>
    <w:rsid w:val="001F787C"/>
    <w:rsid w:val="001F7903"/>
    <w:rsid w:val="001F796C"/>
    <w:rsid w:val="001F7AC7"/>
    <w:rsid w:val="002000F5"/>
    <w:rsid w:val="00200676"/>
    <w:rsid w:val="002006AA"/>
    <w:rsid w:val="002006FA"/>
    <w:rsid w:val="00200815"/>
    <w:rsid w:val="00200EE0"/>
    <w:rsid w:val="002011DF"/>
    <w:rsid w:val="002018C7"/>
    <w:rsid w:val="00201991"/>
    <w:rsid w:val="00201B02"/>
    <w:rsid w:val="00201E4C"/>
    <w:rsid w:val="00201EBB"/>
    <w:rsid w:val="00202394"/>
    <w:rsid w:val="0020255D"/>
    <w:rsid w:val="00202759"/>
    <w:rsid w:val="002028D5"/>
    <w:rsid w:val="00202A3A"/>
    <w:rsid w:val="00202D6F"/>
    <w:rsid w:val="00203001"/>
    <w:rsid w:val="0020315F"/>
    <w:rsid w:val="0020360C"/>
    <w:rsid w:val="0020391C"/>
    <w:rsid w:val="00203F63"/>
    <w:rsid w:val="002049D4"/>
    <w:rsid w:val="00205146"/>
    <w:rsid w:val="0020520E"/>
    <w:rsid w:val="00205295"/>
    <w:rsid w:val="0020529C"/>
    <w:rsid w:val="00205834"/>
    <w:rsid w:val="00205BFE"/>
    <w:rsid w:val="00205E43"/>
    <w:rsid w:val="00206035"/>
    <w:rsid w:val="00206231"/>
    <w:rsid w:val="0020633C"/>
    <w:rsid w:val="00206572"/>
    <w:rsid w:val="00206825"/>
    <w:rsid w:val="002070B2"/>
    <w:rsid w:val="00207130"/>
    <w:rsid w:val="00207165"/>
    <w:rsid w:val="00207489"/>
    <w:rsid w:val="002074AA"/>
    <w:rsid w:val="0020785B"/>
    <w:rsid w:val="002104CE"/>
    <w:rsid w:val="00210C77"/>
    <w:rsid w:val="00210C92"/>
    <w:rsid w:val="0021105F"/>
    <w:rsid w:val="002112C6"/>
    <w:rsid w:val="002112E1"/>
    <w:rsid w:val="0021133C"/>
    <w:rsid w:val="00211639"/>
    <w:rsid w:val="00211D18"/>
    <w:rsid w:val="00211E21"/>
    <w:rsid w:val="00211F09"/>
    <w:rsid w:val="00212099"/>
    <w:rsid w:val="00212122"/>
    <w:rsid w:val="002123BB"/>
    <w:rsid w:val="002123D2"/>
    <w:rsid w:val="00212494"/>
    <w:rsid w:val="0021282E"/>
    <w:rsid w:val="00212B13"/>
    <w:rsid w:val="00212B1E"/>
    <w:rsid w:val="00212C34"/>
    <w:rsid w:val="00212CE9"/>
    <w:rsid w:val="00212DD5"/>
    <w:rsid w:val="00212F4D"/>
    <w:rsid w:val="00212FFC"/>
    <w:rsid w:val="00213166"/>
    <w:rsid w:val="0021333D"/>
    <w:rsid w:val="002133A2"/>
    <w:rsid w:val="0021358A"/>
    <w:rsid w:val="002136F3"/>
    <w:rsid w:val="002137AB"/>
    <w:rsid w:val="0021391D"/>
    <w:rsid w:val="002141C7"/>
    <w:rsid w:val="00214961"/>
    <w:rsid w:val="002149C7"/>
    <w:rsid w:val="00214A40"/>
    <w:rsid w:val="00214B17"/>
    <w:rsid w:val="00214C7B"/>
    <w:rsid w:val="0021527E"/>
    <w:rsid w:val="00215337"/>
    <w:rsid w:val="0021577E"/>
    <w:rsid w:val="00215828"/>
    <w:rsid w:val="00216606"/>
    <w:rsid w:val="0021675C"/>
    <w:rsid w:val="002168EF"/>
    <w:rsid w:val="00216BBC"/>
    <w:rsid w:val="00216ED1"/>
    <w:rsid w:val="0021719C"/>
    <w:rsid w:val="00217252"/>
    <w:rsid w:val="0021739D"/>
    <w:rsid w:val="00217668"/>
    <w:rsid w:val="0021773D"/>
    <w:rsid w:val="0021777B"/>
    <w:rsid w:val="002178F6"/>
    <w:rsid w:val="00217D37"/>
    <w:rsid w:val="00217E2E"/>
    <w:rsid w:val="002205F4"/>
    <w:rsid w:val="00220728"/>
    <w:rsid w:val="002209B2"/>
    <w:rsid w:val="00220ACB"/>
    <w:rsid w:val="00220DB9"/>
    <w:rsid w:val="00220E10"/>
    <w:rsid w:val="002211F9"/>
    <w:rsid w:val="002213AB"/>
    <w:rsid w:val="00221BE2"/>
    <w:rsid w:val="00221E00"/>
    <w:rsid w:val="00221F76"/>
    <w:rsid w:val="00222596"/>
    <w:rsid w:val="0022279E"/>
    <w:rsid w:val="002227E9"/>
    <w:rsid w:val="00222BD3"/>
    <w:rsid w:val="00222FE6"/>
    <w:rsid w:val="00223123"/>
    <w:rsid w:val="0022323B"/>
    <w:rsid w:val="00223307"/>
    <w:rsid w:val="00223E95"/>
    <w:rsid w:val="00223F24"/>
    <w:rsid w:val="00224AAB"/>
    <w:rsid w:val="0022504E"/>
    <w:rsid w:val="0022529F"/>
    <w:rsid w:val="00225348"/>
    <w:rsid w:val="00225A63"/>
    <w:rsid w:val="00226125"/>
    <w:rsid w:val="0022624E"/>
    <w:rsid w:val="0022636C"/>
    <w:rsid w:val="00226664"/>
    <w:rsid w:val="00226F18"/>
    <w:rsid w:val="00227061"/>
    <w:rsid w:val="002270EC"/>
    <w:rsid w:val="00227313"/>
    <w:rsid w:val="0022734D"/>
    <w:rsid w:val="00227745"/>
    <w:rsid w:val="0022778B"/>
    <w:rsid w:val="00227874"/>
    <w:rsid w:val="00227954"/>
    <w:rsid w:val="00227B39"/>
    <w:rsid w:val="00227E39"/>
    <w:rsid w:val="002305DC"/>
    <w:rsid w:val="00230699"/>
    <w:rsid w:val="00231206"/>
    <w:rsid w:val="0023124F"/>
    <w:rsid w:val="002313A6"/>
    <w:rsid w:val="002315B6"/>
    <w:rsid w:val="00231733"/>
    <w:rsid w:val="002319AA"/>
    <w:rsid w:val="00232310"/>
    <w:rsid w:val="002323F8"/>
    <w:rsid w:val="002329D6"/>
    <w:rsid w:val="00232BEA"/>
    <w:rsid w:val="00232E9E"/>
    <w:rsid w:val="00233609"/>
    <w:rsid w:val="00233941"/>
    <w:rsid w:val="00233B1C"/>
    <w:rsid w:val="00234652"/>
    <w:rsid w:val="002347B5"/>
    <w:rsid w:val="00234A2C"/>
    <w:rsid w:val="00234A5A"/>
    <w:rsid w:val="00234CBE"/>
    <w:rsid w:val="00234DC2"/>
    <w:rsid w:val="00235A0E"/>
    <w:rsid w:val="0023602E"/>
    <w:rsid w:val="002362B9"/>
    <w:rsid w:val="002363C9"/>
    <w:rsid w:val="002363F1"/>
    <w:rsid w:val="00236706"/>
    <w:rsid w:val="00236B69"/>
    <w:rsid w:val="00236D85"/>
    <w:rsid w:val="00236E33"/>
    <w:rsid w:val="00236EC5"/>
    <w:rsid w:val="00237057"/>
    <w:rsid w:val="002371A8"/>
    <w:rsid w:val="0023798F"/>
    <w:rsid w:val="002379AC"/>
    <w:rsid w:val="00237CA6"/>
    <w:rsid w:val="0024033E"/>
    <w:rsid w:val="00240408"/>
    <w:rsid w:val="00240540"/>
    <w:rsid w:val="002405A0"/>
    <w:rsid w:val="00240856"/>
    <w:rsid w:val="00240C50"/>
    <w:rsid w:val="00240CC3"/>
    <w:rsid w:val="00240DA4"/>
    <w:rsid w:val="0024115E"/>
    <w:rsid w:val="00241435"/>
    <w:rsid w:val="00241797"/>
    <w:rsid w:val="00241CFE"/>
    <w:rsid w:val="00241F5A"/>
    <w:rsid w:val="00241FE6"/>
    <w:rsid w:val="002423E2"/>
    <w:rsid w:val="00242A30"/>
    <w:rsid w:val="00242ED3"/>
    <w:rsid w:val="00242F7B"/>
    <w:rsid w:val="00243065"/>
    <w:rsid w:val="00243189"/>
    <w:rsid w:val="002433ED"/>
    <w:rsid w:val="0024410E"/>
    <w:rsid w:val="00244DDE"/>
    <w:rsid w:val="00244E98"/>
    <w:rsid w:val="00245DB7"/>
    <w:rsid w:val="00246244"/>
    <w:rsid w:val="00246718"/>
    <w:rsid w:val="00246A45"/>
    <w:rsid w:val="00247285"/>
    <w:rsid w:val="00247615"/>
    <w:rsid w:val="00247A05"/>
    <w:rsid w:val="00247A4C"/>
    <w:rsid w:val="00247BCB"/>
    <w:rsid w:val="00247BF6"/>
    <w:rsid w:val="00247C7F"/>
    <w:rsid w:val="00247E63"/>
    <w:rsid w:val="00247EA0"/>
    <w:rsid w:val="0025024B"/>
    <w:rsid w:val="002505AC"/>
    <w:rsid w:val="0025064F"/>
    <w:rsid w:val="00250B96"/>
    <w:rsid w:val="00250C57"/>
    <w:rsid w:val="0025102B"/>
    <w:rsid w:val="002510E3"/>
    <w:rsid w:val="00251760"/>
    <w:rsid w:val="00251836"/>
    <w:rsid w:val="00251A05"/>
    <w:rsid w:val="00251A72"/>
    <w:rsid w:val="00251EF1"/>
    <w:rsid w:val="00251F6C"/>
    <w:rsid w:val="002533CF"/>
    <w:rsid w:val="00253692"/>
    <w:rsid w:val="00253A7C"/>
    <w:rsid w:val="00253AB5"/>
    <w:rsid w:val="00253C82"/>
    <w:rsid w:val="00254550"/>
    <w:rsid w:val="002549A5"/>
    <w:rsid w:val="00254D4F"/>
    <w:rsid w:val="00255397"/>
    <w:rsid w:val="00255F9F"/>
    <w:rsid w:val="002562A7"/>
    <w:rsid w:val="002562BD"/>
    <w:rsid w:val="002568E7"/>
    <w:rsid w:val="00256BBB"/>
    <w:rsid w:val="00256C65"/>
    <w:rsid w:val="002572ED"/>
    <w:rsid w:val="002573A3"/>
    <w:rsid w:val="00257904"/>
    <w:rsid w:val="00257B5B"/>
    <w:rsid w:val="00257D51"/>
    <w:rsid w:val="00257DB1"/>
    <w:rsid w:val="00260901"/>
    <w:rsid w:val="002609E0"/>
    <w:rsid w:val="00260A07"/>
    <w:rsid w:val="00260C15"/>
    <w:rsid w:val="00260FC3"/>
    <w:rsid w:val="00261189"/>
    <w:rsid w:val="002616E7"/>
    <w:rsid w:val="00261847"/>
    <w:rsid w:val="00261AFB"/>
    <w:rsid w:val="00261D96"/>
    <w:rsid w:val="002620EE"/>
    <w:rsid w:val="0026210D"/>
    <w:rsid w:val="00262CA1"/>
    <w:rsid w:val="00263118"/>
    <w:rsid w:val="0026324A"/>
    <w:rsid w:val="00263382"/>
    <w:rsid w:val="00263487"/>
    <w:rsid w:val="00263A8C"/>
    <w:rsid w:val="002640B1"/>
    <w:rsid w:val="002648FB"/>
    <w:rsid w:val="00264AED"/>
    <w:rsid w:val="00264C15"/>
    <w:rsid w:val="00264DF2"/>
    <w:rsid w:val="002653E3"/>
    <w:rsid w:val="00265456"/>
    <w:rsid w:val="0026559A"/>
    <w:rsid w:val="002656A1"/>
    <w:rsid w:val="00265879"/>
    <w:rsid w:val="00265C75"/>
    <w:rsid w:val="00265C86"/>
    <w:rsid w:val="00265C97"/>
    <w:rsid w:val="00265D03"/>
    <w:rsid w:val="00265E29"/>
    <w:rsid w:val="00266427"/>
    <w:rsid w:val="002665E2"/>
    <w:rsid w:val="00266EE4"/>
    <w:rsid w:val="00266FFC"/>
    <w:rsid w:val="0026705C"/>
    <w:rsid w:val="00267455"/>
    <w:rsid w:val="002675F4"/>
    <w:rsid w:val="00267693"/>
    <w:rsid w:val="00267C24"/>
    <w:rsid w:val="002701D6"/>
    <w:rsid w:val="00270A4C"/>
    <w:rsid w:val="00270B66"/>
    <w:rsid w:val="002711E2"/>
    <w:rsid w:val="00271932"/>
    <w:rsid w:val="00271C72"/>
    <w:rsid w:val="00271CA3"/>
    <w:rsid w:val="0027269D"/>
    <w:rsid w:val="00272880"/>
    <w:rsid w:val="00272BB5"/>
    <w:rsid w:val="00273343"/>
    <w:rsid w:val="00273C0F"/>
    <w:rsid w:val="00273DE6"/>
    <w:rsid w:val="00273E8E"/>
    <w:rsid w:val="00274181"/>
    <w:rsid w:val="002745CD"/>
    <w:rsid w:val="002746E0"/>
    <w:rsid w:val="002747AD"/>
    <w:rsid w:val="00274A38"/>
    <w:rsid w:val="00275176"/>
    <w:rsid w:val="002755B1"/>
    <w:rsid w:val="00275746"/>
    <w:rsid w:val="00275C52"/>
    <w:rsid w:val="00275CF9"/>
    <w:rsid w:val="00276234"/>
    <w:rsid w:val="002770D2"/>
    <w:rsid w:val="00277281"/>
    <w:rsid w:val="002774B6"/>
    <w:rsid w:val="002775C5"/>
    <w:rsid w:val="0027773F"/>
    <w:rsid w:val="00277AC1"/>
    <w:rsid w:val="00277EC6"/>
    <w:rsid w:val="00280080"/>
    <w:rsid w:val="002804A7"/>
    <w:rsid w:val="0028071C"/>
    <w:rsid w:val="00280789"/>
    <w:rsid w:val="002807B7"/>
    <w:rsid w:val="00280CBD"/>
    <w:rsid w:val="00280FC4"/>
    <w:rsid w:val="002812ED"/>
    <w:rsid w:val="002814F2"/>
    <w:rsid w:val="00281701"/>
    <w:rsid w:val="00282199"/>
    <w:rsid w:val="0028271D"/>
    <w:rsid w:val="00282909"/>
    <w:rsid w:val="002829BC"/>
    <w:rsid w:val="00282B3F"/>
    <w:rsid w:val="00282C4D"/>
    <w:rsid w:val="00282EDE"/>
    <w:rsid w:val="0028324D"/>
    <w:rsid w:val="00283264"/>
    <w:rsid w:val="0028339A"/>
    <w:rsid w:val="00283504"/>
    <w:rsid w:val="0028353E"/>
    <w:rsid w:val="002837AB"/>
    <w:rsid w:val="00283B32"/>
    <w:rsid w:val="00283E61"/>
    <w:rsid w:val="0028402C"/>
    <w:rsid w:val="002842CA"/>
    <w:rsid w:val="00284684"/>
    <w:rsid w:val="00284B9E"/>
    <w:rsid w:val="0028510B"/>
    <w:rsid w:val="00285349"/>
    <w:rsid w:val="00285779"/>
    <w:rsid w:val="00285B4A"/>
    <w:rsid w:val="00285C91"/>
    <w:rsid w:val="00285EC1"/>
    <w:rsid w:val="00286AB3"/>
    <w:rsid w:val="00286B54"/>
    <w:rsid w:val="00286C5F"/>
    <w:rsid w:val="00286D8D"/>
    <w:rsid w:val="00286DCA"/>
    <w:rsid w:val="00287081"/>
    <w:rsid w:val="002872B9"/>
    <w:rsid w:val="00287892"/>
    <w:rsid w:val="00287911"/>
    <w:rsid w:val="00287A0B"/>
    <w:rsid w:val="00287B8C"/>
    <w:rsid w:val="00287BF5"/>
    <w:rsid w:val="00287D31"/>
    <w:rsid w:val="00287D45"/>
    <w:rsid w:val="00290183"/>
    <w:rsid w:val="00290243"/>
    <w:rsid w:val="0029054F"/>
    <w:rsid w:val="00290671"/>
    <w:rsid w:val="0029095D"/>
    <w:rsid w:val="0029099F"/>
    <w:rsid w:val="00290C55"/>
    <w:rsid w:val="00290DE8"/>
    <w:rsid w:val="00290EA4"/>
    <w:rsid w:val="0029154B"/>
    <w:rsid w:val="00291A99"/>
    <w:rsid w:val="00291CDA"/>
    <w:rsid w:val="0029203E"/>
    <w:rsid w:val="002921AF"/>
    <w:rsid w:val="002922AA"/>
    <w:rsid w:val="00292389"/>
    <w:rsid w:val="00292645"/>
    <w:rsid w:val="002926D8"/>
    <w:rsid w:val="0029276F"/>
    <w:rsid w:val="002928E5"/>
    <w:rsid w:val="00292B56"/>
    <w:rsid w:val="00292BA4"/>
    <w:rsid w:val="00293091"/>
    <w:rsid w:val="00293276"/>
    <w:rsid w:val="00293488"/>
    <w:rsid w:val="0029399E"/>
    <w:rsid w:val="00293C10"/>
    <w:rsid w:val="00293F20"/>
    <w:rsid w:val="0029409A"/>
    <w:rsid w:val="002940C1"/>
    <w:rsid w:val="002944D0"/>
    <w:rsid w:val="0029484B"/>
    <w:rsid w:val="00294908"/>
    <w:rsid w:val="00294E8D"/>
    <w:rsid w:val="002950BC"/>
    <w:rsid w:val="0029514E"/>
    <w:rsid w:val="002952D3"/>
    <w:rsid w:val="002955EE"/>
    <w:rsid w:val="00295A32"/>
    <w:rsid w:val="00295CFA"/>
    <w:rsid w:val="00295DFA"/>
    <w:rsid w:val="00295F37"/>
    <w:rsid w:val="00295FE6"/>
    <w:rsid w:val="00296066"/>
    <w:rsid w:val="0029686E"/>
    <w:rsid w:val="00297A7D"/>
    <w:rsid w:val="002A009C"/>
    <w:rsid w:val="002A00C7"/>
    <w:rsid w:val="002A0255"/>
    <w:rsid w:val="002A07A0"/>
    <w:rsid w:val="002A0AE0"/>
    <w:rsid w:val="002A0D3B"/>
    <w:rsid w:val="002A0E1A"/>
    <w:rsid w:val="002A135D"/>
    <w:rsid w:val="002A141D"/>
    <w:rsid w:val="002A167B"/>
    <w:rsid w:val="002A1B7B"/>
    <w:rsid w:val="002A1D52"/>
    <w:rsid w:val="002A2139"/>
    <w:rsid w:val="002A2354"/>
    <w:rsid w:val="002A294A"/>
    <w:rsid w:val="002A2B31"/>
    <w:rsid w:val="002A30EC"/>
    <w:rsid w:val="002A33AD"/>
    <w:rsid w:val="002A3481"/>
    <w:rsid w:val="002A35F1"/>
    <w:rsid w:val="002A3A35"/>
    <w:rsid w:val="002A3BA8"/>
    <w:rsid w:val="002A3FAD"/>
    <w:rsid w:val="002A42AE"/>
    <w:rsid w:val="002A431B"/>
    <w:rsid w:val="002A4BB3"/>
    <w:rsid w:val="002A4D02"/>
    <w:rsid w:val="002A5482"/>
    <w:rsid w:val="002A5768"/>
    <w:rsid w:val="002A5B55"/>
    <w:rsid w:val="002A5D19"/>
    <w:rsid w:val="002A5E0B"/>
    <w:rsid w:val="002A5F19"/>
    <w:rsid w:val="002A5FCB"/>
    <w:rsid w:val="002A6547"/>
    <w:rsid w:val="002A6677"/>
    <w:rsid w:val="002A68B0"/>
    <w:rsid w:val="002A6B27"/>
    <w:rsid w:val="002A70BA"/>
    <w:rsid w:val="002A724D"/>
    <w:rsid w:val="002A72AB"/>
    <w:rsid w:val="002A7427"/>
    <w:rsid w:val="002A7728"/>
    <w:rsid w:val="002A7749"/>
    <w:rsid w:val="002A78CF"/>
    <w:rsid w:val="002A7CC1"/>
    <w:rsid w:val="002A7DB8"/>
    <w:rsid w:val="002A7E62"/>
    <w:rsid w:val="002A7EE5"/>
    <w:rsid w:val="002B0252"/>
    <w:rsid w:val="002B0692"/>
    <w:rsid w:val="002B07B4"/>
    <w:rsid w:val="002B07BA"/>
    <w:rsid w:val="002B09E9"/>
    <w:rsid w:val="002B0B24"/>
    <w:rsid w:val="002B13D0"/>
    <w:rsid w:val="002B176A"/>
    <w:rsid w:val="002B18DF"/>
    <w:rsid w:val="002B19CB"/>
    <w:rsid w:val="002B23AF"/>
    <w:rsid w:val="002B2923"/>
    <w:rsid w:val="002B2A45"/>
    <w:rsid w:val="002B305D"/>
    <w:rsid w:val="002B33D6"/>
    <w:rsid w:val="002B3A83"/>
    <w:rsid w:val="002B454B"/>
    <w:rsid w:val="002B4A12"/>
    <w:rsid w:val="002B4A8D"/>
    <w:rsid w:val="002B4C5E"/>
    <w:rsid w:val="002B4CBA"/>
    <w:rsid w:val="002B4F61"/>
    <w:rsid w:val="002B51B5"/>
    <w:rsid w:val="002B5377"/>
    <w:rsid w:val="002B5405"/>
    <w:rsid w:val="002B5970"/>
    <w:rsid w:val="002B5A34"/>
    <w:rsid w:val="002B5A3D"/>
    <w:rsid w:val="002B5D5F"/>
    <w:rsid w:val="002B5E10"/>
    <w:rsid w:val="002B6912"/>
    <w:rsid w:val="002B748D"/>
    <w:rsid w:val="002B79AA"/>
    <w:rsid w:val="002B7A98"/>
    <w:rsid w:val="002B7AF0"/>
    <w:rsid w:val="002B7B24"/>
    <w:rsid w:val="002B7BCF"/>
    <w:rsid w:val="002C018A"/>
    <w:rsid w:val="002C0790"/>
    <w:rsid w:val="002C0B7E"/>
    <w:rsid w:val="002C0BDD"/>
    <w:rsid w:val="002C10F5"/>
    <w:rsid w:val="002C1359"/>
    <w:rsid w:val="002C1DBB"/>
    <w:rsid w:val="002C1ECE"/>
    <w:rsid w:val="002C2070"/>
    <w:rsid w:val="002C21AE"/>
    <w:rsid w:val="002C2511"/>
    <w:rsid w:val="002C27B9"/>
    <w:rsid w:val="002C28E6"/>
    <w:rsid w:val="002C295B"/>
    <w:rsid w:val="002C2BE3"/>
    <w:rsid w:val="002C2C0D"/>
    <w:rsid w:val="002C308A"/>
    <w:rsid w:val="002C34E6"/>
    <w:rsid w:val="002C366A"/>
    <w:rsid w:val="002C3C0B"/>
    <w:rsid w:val="002C3C28"/>
    <w:rsid w:val="002C5054"/>
    <w:rsid w:val="002C513C"/>
    <w:rsid w:val="002C531B"/>
    <w:rsid w:val="002C546F"/>
    <w:rsid w:val="002C59D2"/>
    <w:rsid w:val="002C5B8F"/>
    <w:rsid w:val="002C5E27"/>
    <w:rsid w:val="002C6055"/>
    <w:rsid w:val="002C61F6"/>
    <w:rsid w:val="002C65F2"/>
    <w:rsid w:val="002C69F3"/>
    <w:rsid w:val="002C6D53"/>
    <w:rsid w:val="002C6FEE"/>
    <w:rsid w:val="002C7211"/>
    <w:rsid w:val="002C7930"/>
    <w:rsid w:val="002D04B0"/>
    <w:rsid w:val="002D0534"/>
    <w:rsid w:val="002D079C"/>
    <w:rsid w:val="002D07B3"/>
    <w:rsid w:val="002D0C12"/>
    <w:rsid w:val="002D0DCE"/>
    <w:rsid w:val="002D0FD1"/>
    <w:rsid w:val="002D1054"/>
    <w:rsid w:val="002D14E9"/>
    <w:rsid w:val="002D155F"/>
    <w:rsid w:val="002D1712"/>
    <w:rsid w:val="002D17F5"/>
    <w:rsid w:val="002D1CAD"/>
    <w:rsid w:val="002D24C1"/>
    <w:rsid w:val="002D2A0D"/>
    <w:rsid w:val="002D2C72"/>
    <w:rsid w:val="002D3125"/>
    <w:rsid w:val="002D3179"/>
    <w:rsid w:val="002D31EE"/>
    <w:rsid w:val="002D330C"/>
    <w:rsid w:val="002D3594"/>
    <w:rsid w:val="002D36C4"/>
    <w:rsid w:val="002D3BF0"/>
    <w:rsid w:val="002D3CA9"/>
    <w:rsid w:val="002D4035"/>
    <w:rsid w:val="002D4292"/>
    <w:rsid w:val="002D4D4E"/>
    <w:rsid w:val="002D4EC1"/>
    <w:rsid w:val="002D50F9"/>
    <w:rsid w:val="002D545A"/>
    <w:rsid w:val="002D5F51"/>
    <w:rsid w:val="002D5FDE"/>
    <w:rsid w:val="002D6041"/>
    <w:rsid w:val="002D6144"/>
    <w:rsid w:val="002D64B9"/>
    <w:rsid w:val="002D6C07"/>
    <w:rsid w:val="002D6FF3"/>
    <w:rsid w:val="002D7176"/>
    <w:rsid w:val="002D7625"/>
    <w:rsid w:val="002D7808"/>
    <w:rsid w:val="002D7A98"/>
    <w:rsid w:val="002E0092"/>
    <w:rsid w:val="002E03F2"/>
    <w:rsid w:val="002E0450"/>
    <w:rsid w:val="002E04B0"/>
    <w:rsid w:val="002E060E"/>
    <w:rsid w:val="002E06A6"/>
    <w:rsid w:val="002E08B7"/>
    <w:rsid w:val="002E08CA"/>
    <w:rsid w:val="002E0923"/>
    <w:rsid w:val="002E1013"/>
    <w:rsid w:val="002E10E3"/>
    <w:rsid w:val="002E15DD"/>
    <w:rsid w:val="002E16C3"/>
    <w:rsid w:val="002E176F"/>
    <w:rsid w:val="002E19D8"/>
    <w:rsid w:val="002E1DD8"/>
    <w:rsid w:val="002E2291"/>
    <w:rsid w:val="002E25EB"/>
    <w:rsid w:val="002E27D9"/>
    <w:rsid w:val="002E2A3E"/>
    <w:rsid w:val="002E2ED7"/>
    <w:rsid w:val="002E32A2"/>
    <w:rsid w:val="002E3FAA"/>
    <w:rsid w:val="002E49B0"/>
    <w:rsid w:val="002E4CC8"/>
    <w:rsid w:val="002E4EB2"/>
    <w:rsid w:val="002E55E2"/>
    <w:rsid w:val="002E5666"/>
    <w:rsid w:val="002E581A"/>
    <w:rsid w:val="002E588A"/>
    <w:rsid w:val="002E5D4B"/>
    <w:rsid w:val="002E6297"/>
    <w:rsid w:val="002E66ED"/>
    <w:rsid w:val="002E67AC"/>
    <w:rsid w:val="002E68E3"/>
    <w:rsid w:val="002E6961"/>
    <w:rsid w:val="002E7445"/>
    <w:rsid w:val="002E7633"/>
    <w:rsid w:val="002E794C"/>
    <w:rsid w:val="002E7B4A"/>
    <w:rsid w:val="002E7E07"/>
    <w:rsid w:val="002E7FD8"/>
    <w:rsid w:val="002F042C"/>
    <w:rsid w:val="002F0B34"/>
    <w:rsid w:val="002F0C4E"/>
    <w:rsid w:val="002F0F86"/>
    <w:rsid w:val="002F1099"/>
    <w:rsid w:val="002F1749"/>
    <w:rsid w:val="002F2391"/>
    <w:rsid w:val="002F252B"/>
    <w:rsid w:val="002F2571"/>
    <w:rsid w:val="002F2A9E"/>
    <w:rsid w:val="002F2AF4"/>
    <w:rsid w:val="002F2FB2"/>
    <w:rsid w:val="002F3076"/>
    <w:rsid w:val="002F322B"/>
    <w:rsid w:val="002F32A1"/>
    <w:rsid w:val="002F32B4"/>
    <w:rsid w:val="002F3515"/>
    <w:rsid w:val="002F384D"/>
    <w:rsid w:val="002F39D0"/>
    <w:rsid w:val="002F3A57"/>
    <w:rsid w:val="002F3FEB"/>
    <w:rsid w:val="002F5002"/>
    <w:rsid w:val="002F52DC"/>
    <w:rsid w:val="002F5401"/>
    <w:rsid w:val="002F56C0"/>
    <w:rsid w:val="002F5BAC"/>
    <w:rsid w:val="002F5C51"/>
    <w:rsid w:val="002F5FCF"/>
    <w:rsid w:val="002F6481"/>
    <w:rsid w:val="002F654A"/>
    <w:rsid w:val="002F66DB"/>
    <w:rsid w:val="002F6987"/>
    <w:rsid w:val="002F6CC9"/>
    <w:rsid w:val="002F726F"/>
    <w:rsid w:val="002F73DA"/>
    <w:rsid w:val="002F7744"/>
    <w:rsid w:val="002F79B0"/>
    <w:rsid w:val="002F7F32"/>
    <w:rsid w:val="003003DB"/>
    <w:rsid w:val="0030073B"/>
    <w:rsid w:val="00300C1F"/>
    <w:rsid w:val="00300D17"/>
    <w:rsid w:val="00300D72"/>
    <w:rsid w:val="00301329"/>
    <w:rsid w:val="00301A39"/>
    <w:rsid w:val="00301BFE"/>
    <w:rsid w:val="00301CCD"/>
    <w:rsid w:val="00301EE5"/>
    <w:rsid w:val="003021DD"/>
    <w:rsid w:val="00302456"/>
    <w:rsid w:val="0030285B"/>
    <w:rsid w:val="0030348A"/>
    <w:rsid w:val="003035ED"/>
    <w:rsid w:val="0030377D"/>
    <w:rsid w:val="00303795"/>
    <w:rsid w:val="00303A22"/>
    <w:rsid w:val="00303C78"/>
    <w:rsid w:val="00303D0F"/>
    <w:rsid w:val="00303F86"/>
    <w:rsid w:val="0030430A"/>
    <w:rsid w:val="0030431D"/>
    <w:rsid w:val="003047CF"/>
    <w:rsid w:val="00304A0A"/>
    <w:rsid w:val="00304E13"/>
    <w:rsid w:val="00304E2F"/>
    <w:rsid w:val="00305137"/>
    <w:rsid w:val="0030525A"/>
    <w:rsid w:val="00305491"/>
    <w:rsid w:val="00305689"/>
    <w:rsid w:val="00305A2E"/>
    <w:rsid w:val="00305A7F"/>
    <w:rsid w:val="00305C01"/>
    <w:rsid w:val="003071B4"/>
    <w:rsid w:val="0030775A"/>
    <w:rsid w:val="00307ED6"/>
    <w:rsid w:val="0031017F"/>
    <w:rsid w:val="00310A8A"/>
    <w:rsid w:val="00310C5E"/>
    <w:rsid w:val="00310CED"/>
    <w:rsid w:val="00310FD6"/>
    <w:rsid w:val="003124C6"/>
    <w:rsid w:val="00312882"/>
    <w:rsid w:val="00312A04"/>
    <w:rsid w:val="00312D21"/>
    <w:rsid w:val="00312F67"/>
    <w:rsid w:val="0031301A"/>
    <w:rsid w:val="00313243"/>
    <w:rsid w:val="00313357"/>
    <w:rsid w:val="00313696"/>
    <w:rsid w:val="003138FF"/>
    <w:rsid w:val="00313C35"/>
    <w:rsid w:val="00314226"/>
    <w:rsid w:val="00314541"/>
    <w:rsid w:val="00314660"/>
    <w:rsid w:val="0031545F"/>
    <w:rsid w:val="0031547B"/>
    <w:rsid w:val="0031553B"/>
    <w:rsid w:val="0031554C"/>
    <w:rsid w:val="003158AE"/>
    <w:rsid w:val="00315B2B"/>
    <w:rsid w:val="00315B4B"/>
    <w:rsid w:val="00315C0A"/>
    <w:rsid w:val="00315EDE"/>
    <w:rsid w:val="00316097"/>
    <w:rsid w:val="003161B7"/>
    <w:rsid w:val="003163EF"/>
    <w:rsid w:val="0031685C"/>
    <w:rsid w:val="00316999"/>
    <w:rsid w:val="00316AFD"/>
    <w:rsid w:val="00316D12"/>
    <w:rsid w:val="00317465"/>
    <w:rsid w:val="003177F8"/>
    <w:rsid w:val="00317C74"/>
    <w:rsid w:val="00317D28"/>
    <w:rsid w:val="00320155"/>
    <w:rsid w:val="0032025A"/>
    <w:rsid w:val="00320623"/>
    <w:rsid w:val="00320A76"/>
    <w:rsid w:val="00320D8D"/>
    <w:rsid w:val="0032138B"/>
    <w:rsid w:val="003216AF"/>
    <w:rsid w:val="00322052"/>
    <w:rsid w:val="00322B1A"/>
    <w:rsid w:val="00322C8F"/>
    <w:rsid w:val="0032330A"/>
    <w:rsid w:val="003236A1"/>
    <w:rsid w:val="003236D5"/>
    <w:rsid w:val="0032370D"/>
    <w:rsid w:val="00323A20"/>
    <w:rsid w:val="00323E8D"/>
    <w:rsid w:val="00323EC6"/>
    <w:rsid w:val="003240B2"/>
    <w:rsid w:val="003240B8"/>
    <w:rsid w:val="003240DD"/>
    <w:rsid w:val="00324272"/>
    <w:rsid w:val="003242C3"/>
    <w:rsid w:val="0032490F"/>
    <w:rsid w:val="00324A7D"/>
    <w:rsid w:val="00324DC7"/>
    <w:rsid w:val="003250ED"/>
    <w:rsid w:val="00325700"/>
    <w:rsid w:val="00325956"/>
    <w:rsid w:val="00325B64"/>
    <w:rsid w:val="00325CC5"/>
    <w:rsid w:val="00325DBE"/>
    <w:rsid w:val="0032601F"/>
    <w:rsid w:val="003268EA"/>
    <w:rsid w:val="00326C25"/>
    <w:rsid w:val="00327403"/>
    <w:rsid w:val="00327509"/>
    <w:rsid w:val="003276D6"/>
    <w:rsid w:val="00327AD7"/>
    <w:rsid w:val="0033003E"/>
    <w:rsid w:val="0033020F"/>
    <w:rsid w:val="00330966"/>
    <w:rsid w:val="00330B60"/>
    <w:rsid w:val="00331012"/>
    <w:rsid w:val="00331121"/>
    <w:rsid w:val="003316D2"/>
    <w:rsid w:val="00331AFB"/>
    <w:rsid w:val="0033201B"/>
    <w:rsid w:val="0033212C"/>
    <w:rsid w:val="0033223C"/>
    <w:rsid w:val="00332540"/>
    <w:rsid w:val="0033263D"/>
    <w:rsid w:val="003327DA"/>
    <w:rsid w:val="003327F7"/>
    <w:rsid w:val="003328B3"/>
    <w:rsid w:val="003329BF"/>
    <w:rsid w:val="0033316D"/>
    <w:rsid w:val="003333D9"/>
    <w:rsid w:val="00333696"/>
    <w:rsid w:val="00333931"/>
    <w:rsid w:val="00333A47"/>
    <w:rsid w:val="00333B97"/>
    <w:rsid w:val="003341AC"/>
    <w:rsid w:val="00334BAF"/>
    <w:rsid w:val="00334EB2"/>
    <w:rsid w:val="00335977"/>
    <w:rsid w:val="00335C80"/>
    <w:rsid w:val="00335D0E"/>
    <w:rsid w:val="00336A3F"/>
    <w:rsid w:val="00336B6C"/>
    <w:rsid w:val="00336D01"/>
    <w:rsid w:val="00336EBB"/>
    <w:rsid w:val="00337071"/>
    <w:rsid w:val="0033728C"/>
    <w:rsid w:val="00337410"/>
    <w:rsid w:val="00340027"/>
    <w:rsid w:val="00340DF3"/>
    <w:rsid w:val="003410CB"/>
    <w:rsid w:val="00341A8E"/>
    <w:rsid w:val="00341AC7"/>
    <w:rsid w:val="00341BED"/>
    <w:rsid w:val="00341E87"/>
    <w:rsid w:val="0034212A"/>
    <w:rsid w:val="00342CE2"/>
    <w:rsid w:val="00342F38"/>
    <w:rsid w:val="0034327B"/>
    <w:rsid w:val="003432FD"/>
    <w:rsid w:val="00343646"/>
    <w:rsid w:val="00343B68"/>
    <w:rsid w:val="00343C3B"/>
    <w:rsid w:val="00343F05"/>
    <w:rsid w:val="00344247"/>
    <w:rsid w:val="0034452A"/>
    <w:rsid w:val="00344872"/>
    <w:rsid w:val="00344D0F"/>
    <w:rsid w:val="003458F6"/>
    <w:rsid w:val="00345BEE"/>
    <w:rsid w:val="00345C9D"/>
    <w:rsid w:val="00345D4D"/>
    <w:rsid w:val="00345EAC"/>
    <w:rsid w:val="00345FD0"/>
    <w:rsid w:val="003462B3"/>
    <w:rsid w:val="00346337"/>
    <w:rsid w:val="003469C1"/>
    <w:rsid w:val="00346DA2"/>
    <w:rsid w:val="00346EA9"/>
    <w:rsid w:val="0034759E"/>
    <w:rsid w:val="003475B0"/>
    <w:rsid w:val="003500FC"/>
    <w:rsid w:val="003505DA"/>
    <w:rsid w:val="00350648"/>
    <w:rsid w:val="00350E60"/>
    <w:rsid w:val="003510B6"/>
    <w:rsid w:val="0035112A"/>
    <w:rsid w:val="0035126A"/>
    <w:rsid w:val="0035133D"/>
    <w:rsid w:val="00351349"/>
    <w:rsid w:val="0035140D"/>
    <w:rsid w:val="003515DB"/>
    <w:rsid w:val="003516AB"/>
    <w:rsid w:val="003516B2"/>
    <w:rsid w:val="00351B5A"/>
    <w:rsid w:val="00352019"/>
    <w:rsid w:val="0035207A"/>
    <w:rsid w:val="00352CBA"/>
    <w:rsid w:val="00352E4A"/>
    <w:rsid w:val="00352E92"/>
    <w:rsid w:val="0035335F"/>
    <w:rsid w:val="00353620"/>
    <w:rsid w:val="00353887"/>
    <w:rsid w:val="00353C9D"/>
    <w:rsid w:val="003540BB"/>
    <w:rsid w:val="00354230"/>
    <w:rsid w:val="0035435E"/>
    <w:rsid w:val="0035456C"/>
    <w:rsid w:val="00354836"/>
    <w:rsid w:val="00354BAB"/>
    <w:rsid w:val="00354C30"/>
    <w:rsid w:val="00354DC4"/>
    <w:rsid w:val="00354F15"/>
    <w:rsid w:val="00355063"/>
    <w:rsid w:val="0035570D"/>
    <w:rsid w:val="0035571F"/>
    <w:rsid w:val="00355854"/>
    <w:rsid w:val="00355AA3"/>
    <w:rsid w:val="00355E5D"/>
    <w:rsid w:val="00355EAD"/>
    <w:rsid w:val="003564EB"/>
    <w:rsid w:val="003568A3"/>
    <w:rsid w:val="003568E1"/>
    <w:rsid w:val="00356AF7"/>
    <w:rsid w:val="00356EDB"/>
    <w:rsid w:val="00357055"/>
    <w:rsid w:val="003571AF"/>
    <w:rsid w:val="0035752B"/>
    <w:rsid w:val="0035756A"/>
    <w:rsid w:val="00357FA7"/>
    <w:rsid w:val="003602CC"/>
    <w:rsid w:val="0036031E"/>
    <w:rsid w:val="003606B6"/>
    <w:rsid w:val="003609B7"/>
    <w:rsid w:val="00360A6C"/>
    <w:rsid w:val="00360BAC"/>
    <w:rsid w:val="00360F63"/>
    <w:rsid w:val="003612B6"/>
    <w:rsid w:val="00361B9D"/>
    <w:rsid w:val="00361C04"/>
    <w:rsid w:val="00361E44"/>
    <w:rsid w:val="00362302"/>
    <w:rsid w:val="0036237E"/>
    <w:rsid w:val="003628F1"/>
    <w:rsid w:val="00362E35"/>
    <w:rsid w:val="0036316B"/>
    <w:rsid w:val="00363262"/>
    <w:rsid w:val="003632F8"/>
    <w:rsid w:val="003633A5"/>
    <w:rsid w:val="00363451"/>
    <w:rsid w:val="00363BDB"/>
    <w:rsid w:val="0036405F"/>
    <w:rsid w:val="00364D65"/>
    <w:rsid w:val="00364F62"/>
    <w:rsid w:val="00365348"/>
    <w:rsid w:val="003654C1"/>
    <w:rsid w:val="00365595"/>
    <w:rsid w:val="0036597E"/>
    <w:rsid w:val="00365E76"/>
    <w:rsid w:val="0036603E"/>
    <w:rsid w:val="003662E9"/>
    <w:rsid w:val="00366516"/>
    <w:rsid w:val="00366857"/>
    <w:rsid w:val="003668F8"/>
    <w:rsid w:val="003669B2"/>
    <w:rsid w:val="00366AA8"/>
    <w:rsid w:val="00366C6E"/>
    <w:rsid w:val="00366DC2"/>
    <w:rsid w:val="00366F1B"/>
    <w:rsid w:val="00366FEF"/>
    <w:rsid w:val="00367056"/>
    <w:rsid w:val="00367147"/>
    <w:rsid w:val="0036757E"/>
    <w:rsid w:val="00367913"/>
    <w:rsid w:val="00367AAC"/>
    <w:rsid w:val="00367AF2"/>
    <w:rsid w:val="00367CB9"/>
    <w:rsid w:val="0037025E"/>
    <w:rsid w:val="0037042E"/>
    <w:rsid w:val="003704FE"/>
    <w:rsid w:val="00370589"/>
    <w:rsid w:val="00371161"/>
    <w:rsid w:val="003713A1"/>
    <w:rsid w:val="003714AE"/>
    <w:rsid w:val="003715C9"/>
    <w:rsid w:val="00371C14"/>
    <w:rsid w:val="00371EF2"/>
    <w:rsid w:val="00371F14"/>
    <w:rsid w:val="00372828"/>
    <w:rsid w:val="00372EDE"/>
    <w:rsid w:val="00373C09"/>
    <w:rsid w:val="00373C36"/>
    <w:rsid w:val="00374571"/>
    <w:rsid w:val="00374712"/>
    <w:rsid w:val="00374AAE"/>
    <w:rsid w:val="00374AB9"/>
    <w:rsid w:val="003751A7"/>
    <w:rsid w:val="00375725"/>
    <w:rsid w:val="00375746"/>
    <w:rsid w:val="0037580D"/>
    <w:rsid w:val="00376371"/>
    <w:rsid w:val="00376671"/>
    <w:rsid w:val="0037684D"/>
    <w:rsid w:val="00376956"/>
    <w:rsid w:val="0037699B"/>
    <w:rsid w:val="003769E4"/>
    <w:rsid w:val="00376BA7"/>
    <w:rsid w:val="003770BC"/>
    <w:rsid w:val="0037733A"/>
    <w:rsid w:val="003777D4"/>
    <w:rsid w:val="00377958"/>
    <w:rsid w:val="00377AD1"/>
    <w:rsid w:val="00377BA7"/>
    <w:rsid w:val="00377BB7"/>
    <w:rsid w:val="0038015D"/>
    <w:rsid w:val="00380600"/>
    <w:rsid w:val="00380923"/>
    <w:rsid w:val="0038095C"/>
    <w:rsid w:val="00380D45"/>
    <w:rsid w:val="00381DC2"/>
    <w:rsid w:val="00381EEA"/>
    <w:rsid w:val="0038218E"/>
    <w:rsid w:val="00382C11"/>
    <w:rsid w:val="00382D88"/>
    <w:rsid w:val="00383176"/>
    <w:rsid w:val="0038329C"/>
    <w:rsid w:val="003833DA"/>
    <w:rsid w:val="0038412A"/>
    <w:rsid w:val="00384195"/>
    <w:rsid w:val="003843FB"/>
    <w:rsid w:val="0038482D"/>
    <w:rsid w:val="00385501"/>
    <w:rsid w:val="003858C1"/>
    <w:rsid w:val="00385BC3"/>
    <w:rsid w:val="00385DAD"/>
    <w:rsid w:val="00385E18"/>
    <w:rsid w:val="00386235"/>
    <w:rsid w:val="003862B3"/>
    <w:rsid w:val="0038635A"/>
    <w:rsid w:val="003866A0"/>
    <w:rsid w:val="00386B06"/>
    <w:rsid w:val="00386BA3"/>
    <w:rsid w:val="00386C60"/>
    <w:rsid w:val="0038705B"/>
    <w:rsid w:val="003874E5"/>
    <w:rsid w:val="00387725"/>
    <w:rsid w:val="00390277"/>
    <w:rsid w:val="003903CB"/>
    <w:rsid w:val="003905F8"/>
    <w:rsid w:val="003908B8"/>
    <w:rsid w:val="00390AB7"/>
    <w:rsid w:val="00390B38"/>
    <w:rsid w:val="00390B8E"/>
    <w:rsid w:val="00390DC4"/>
    <w:rsid w:val="00390DE5"/>
    <w:rsid w:val="00391096"/>
    <w:rsid w:val="00391395"/>
    <w:rsid w:val="00391548"/>
    <w:rsid w:val="003925FD"/>
    <w:rsid w:val="00392900"/>
    <w:rsid w:val="003929FC"/>
    <w:rsid w:val="00392E0D"/>
    <w:rsid w:val="003930C2"/>
    <w:rsid w:val="0039315F"/>
    <w:rsid w:val="003937C7"/>
    <w:rsid w:val="00393973"/>
    <w:rsid w:val="00393B68"/>
    <w:rsid w:val="00393E2F"/>
    <w:rsid w:val="00393FFA"/>
    <w:rsid w:val="003940EA"/>
    <w:rsid w:val="00394508"/>
    <w:rsid w:val="00394996"/>
    <w:rsid w:val="00394A24"/>
    <w:rsid w:val="00394CAB"/>
    <w:rsid w:val="00394F0C"/>
    <w:rsid w:val="00394F12"/>
    <w:rsid w:val="00395ABC"/>
    <w:rsid w:val="00395B1D"/>
    <w:rsid w:val="00395CA3"/>
    <w:rsid w:val="00395D19"/>
    <w:rsid w:val="00396260"/>
    <w:rsid w:val="00396B62"/>
    <w:rsid w:val="00396BCC"/>
    <w:rsid w:val="00396D12"/>
    <w:rsid w:val="00396DD4"/>
    <w:rsid w:val="003973F9"/>
    <w:rsid w:val="00397B18"/>
    <w:rsid w:val="00397BDE"/>
    <w:rsid w:val="00397DA1"/>
    <w:rsid w:val="00397FD0"/>
    <w:rsid w:val="003A06FF"/>
    <w:rsid w:val="003A0A0F"/>
    <w:rsid w:val="003A0FCC"/>
    <w:rsid w:val="003A1216"/>
    <w:rsid w:val="003A14FD"/>
    <w:rsid w:val="003A17B5"/>
    <w:rsid w:val="003A1D1F"/>
    <w:rsid w:val="003A1E37"/>
    <w:rsid w:val="003A2668"/>
    <w:rsid w:val="003A2944"/>
    <w:rsid w:val="003A29B4"/>
    <w:rsid w:val="003A2BB9"/>
    <w:rsid w:val="003A2E5F"/>
    <w:rsid w:val="003A30CD"/>
    <w:rsid w:val="003A3117"/>
    <w:rsid w:val="003A3E6A"/>
    <w:rsid w:val="003A3F11"/>
    <w:rsid w:val="003A445E"/>
    <w:rsid w:val="003A4953"/>
    <w:rsid w:val="003A4F75"/>
    <w:rsid w:val="003A5843"/>
    <w:rsid w:val="003A591C"/>
    <w:rsid w:val="003A591E"/>
    <w:rsid w:val="003A59CC"/>
    <w:rsid w:val="003A5DD2"/>
    <w:rsid w:val="003A5FFD"/>
    <w:rsid w:val="003A60EB"/>
    <w:rsid w:val="003A6170"/>
    <w:rsid w:val="003A62A8"/>
    <w:rsid w:val="003A68C3"/>
    <w:rsid w:val="003A6916"/>
    <w:rsid w:val="003A6B2D"/>
    <w:rsid w:val="003A6D14"/>
    <w:rsid w:val="003A72A4"/>
    <w:rsid w:val="003A73C0"/>
    <w:rsid w:val="003A78BB"/>
    <w:rsid w:val="003A7EF6"/>
    <w:rsid w:val="003A7F64"/>
    <w:rsid w:val="003B02AC"/>
    <w:rsid w:val="003B083D"/>
    <w:rsid w:val="003B0BEC"/>
    <w:rsid w:val="003B0C5E"/>
    <w:rsid w:val="003B0CB6"/>
    <w:rsid w:val="003B0F4B"/>
    <w:rsid w:val="003B1144"/>
    <w:rsid w:val="003B1535"/>
    <w:rsid w:val="003B19F1"/>
    <w:rsid w:val="003B1D7F"/>
    <w:rsid w:val="003B258B"/>
    <w:rsid w:val="003B260E"/>
    <w:rsid w:val="003B29E8"/>
    <w:rsid w:val="003B2E2D"/>
    <w:rsid w:val="003B324B"/>
    <w:rsid w:val="003B3403"/>
    <w:rsid w:val="003B3674"/>
    <w:rsid w:val="003B38A1"/>
    <w:rsid w:val="003B3A2E"/>
    <w:rsid w:val="003B3B97"/>
    <w:rsid w:val="003B3CEC"/>
    <w:rsid w:val="003B3D3B"/>
    <w:rsid w:val="003B40A7"/>
    <w:rsid w:val="003B4461"/>
    <w:rsid w:val="003B4B8F"/>
    <w:rsid w:val="003B4C93"/>
    <w:rsid w:val="003B4E6A"/>
    <w:rsid w:val="003B5170"/>
    <w:rsid w:val="003B5756"/>
    <w:rsid w:val="003B62B1"/>
    <w:rsid w:val="003B636F"/>
    <w:rsid w:val="003B63E9"/>
    <w:rsid w:val="003B6889"/>
    <w:rsid w:val="003B6B3A"/>
    <w:rsid w:val="003B6FA2"/>
    <w:rsid w:val="003B746C"/>
    <w:rsid w:val="003B7819"/>
    <w:rsid w:val="003B7894"/>
    <w:rsid w:val="003B78D4"/>
    <w:rsid w:val="003B7F80"/>
    <w:rsid w:val="003B7FC3"/>
    <w:rsid w:val="003C04D6"/>
    <w:rsid w:val="003C0653"/>
    <w:rsid w:val="003C06E8"/>
    <w:rsid w:val="003C0745"/>
    <w:rsid w:val="003C0822"/>
    <w:rsid w:val="003C1261"/>
    <w:rsid w:val="003C16C6"/>
    <w:rsid w:val="003C17B6"/>
    <w:rsid w:val="003C18CF"/>
    <w:rsid w:val="003C1BDD"/>
    <w:rsid w:val="003C1E9A"/>
    <w:rsid w:val="003C2671"/>
    <w:rsid w:val="003C2748"/>
    <w:rsid w:val="003C2E60"/>
    <w:rsid w:val="003C307C"/>
    <w:rsid w:val="003C309B"/>
    <w:rsid w:val="003C3424"/>
    <w:rsid w:val="003C3427"/>
    <w:rsid w:val="003C360D"/>
    <w:rsid w:val="003C37B0"/>
    <w:rsid w:val="003C455E"/>
    <w:rsid w:val="003C499D"/>
    <w:rsid w:val="003C4C14"/>
    <w:rsid w:val="003C4D7B"/>
    <w:rsid w:val="003C4E35"/>
    <w:rsid w:val="003C5372"/>
    <w:rsid w:val="003C55BA"/>
    <w:rsid w:val="003C5966"/>
    <w:rsid w:val="003C5BA6"/>
    <w:rsid w:val="003C6265"/>
    <w:rsid w:val="003C645C"/>
    <w:rsid w:val="003C6653"/>
    <w:rsid w:val="003C6687"/>
    <w:rsid w:val="003C6770"/>
    <w:rsid w:val="003C67E2"/>
    <w:rsid w:val="003C68C7"/>
    <w:rsid w:val="003C698F"/>
    <w:rsid w:val="003C6A2A"/>
    <w:rsid w:val="003C6C1C"/>
    <w:rsid w:val="003C701D"/>
    <w:rsid w:val="003C738B"/>
    <w:rsid w:val="003C74D6"/>
    <w:rsid w:val="003C766B"/>
    <w:rsid w:val="003C79E3"/>
    <w:rsid w:val="003C7A2D"/>
    <w:rsid w:val="003C7B45"/>
    <w:rsid w:val="003C7B5C"/>
    <w:rsid w:val="003D01A9"/>
    <w:rsid w:val="003D0322"/>
    <w:rsid w:val="003D03DD"/>
    <w:rsid w:val="003D05C2"/>
    <w:rsid w:val="003D0868"/>
    <w:rsid w:val="003D0CE4"/>
    <w:rsid w:val="003D0E1C"/>
    <w:rsid w:val="003D0FA9"/>
    <w:rsid w:val="003D104D"/>
    <w:rsid w:val="003D1053"/>
    <w:rsid w:val="003D11E1"/>
    <w:rsid w:val="003D161C"/>
    <w:rsid w:val="003D1F70"/>
    <w:rsid w:val="003D2209"/>
    <w:rsid w:val="003D230C"/>
    <w:rsid w:val="003D282A"/>
    <w:rsid w:val="003D2871"/>
    <w:rsid w:val="003D2CEA"/>
    <w:rsid w:val="003D2FCC"/>
    <w:rsid w:val="003D2FD2"/>
    <w:rsid w:val="003D3008"/>
    <w:rsid w:val="003D3545"/>
    <w:rsid w:val="003D3736"/>
    <w:rsid w:val="003D3767"/>
    <w:rsid w:val="003D3BFC"/>
    <w:rsid w:val="003D3D53"/>
    <w:rsid w:val="003D4342"/>
    <w:rsid w:val="003D464D"/>
    <w:rsid w:val="003D4743"/>
    <w:rsid w:val="003D4B30"/>
    <w:rsid w:val="003D4E1E"/>
    <w:rsid w:val="003D4E3C"/>
    <w:rsid w:val="003D4E76"/>
    <w:rsid w:val="003D4E77"/>
    <w:rsid w:val="003D5263"/>
    <w:rsid w:val="003D5587"/>
    <w:rsid w:val="003D584D"/>
    <w:rsid w:val="003D61EE"/>
    <w:rsid w:val="003D6914"/>
    <w:rsid w:val="003D760E"/>
    <w:rsid w:val="003E005C"/>
    <w:rsid w:val="003E01A6"/>
    <w:rsid w:val="003E0396"/>
    <w:rsid w:val="003E0718"/>
    <w:rsid w:val="003E180C"/>
    <w:rsid w:val="003E1CE5"/>
    <w:rsid w:val="003E26CF"/>
    <w:rsid w:val="003E2BD4"/>
    <w:rsid w:val="003E30DB"/>
    <w:rsid w:val="003E3315"/>
    <w:rsid w:val="003E387E"/>
    <w:rsid w:val="003E3992"/>
    <w:rsid w:val="003E399A"/>
    <w:rsid w:val="003E3E6C"/>
    <w:rsid w:val="003E4068"/>
    <w:rsid w:val="003E4298"/>
    <w:rsid w:val="003E4367"/>
    <w:rsid w:val="003E4A71"/>
    <w:rsid w:val="003E4E90"/>
    <w:rsid w:val="003E5578"/>
    <w:rsid w:val="003E57D0"/>
    <w:rsid w:val="003E5B09"/>
    <w:rsid w:val="003E5CC8"/>
    <w:rsid w:val="003E627C"/>
    <w:rsid w:val="003E6538"/>
    <w:rsid w:val="003E696A"/>
    <w:rsid w:val="003E6BA2"/>
    <w:rsid w:val="003E6C61"/>
    <w:rsid w:val="003E71EF"/>
    <w:rsid w:val="003E722B"/>
    <w:rsid w:val="003E73C6"/>
    <w:rsid w:val="003E75B6"/>
    <w:rsid w:val="003E75ED"/>
    <w:rsid w:val="003E7673"/>
    <w:rsid w:val="003E7B2E"/>
    <w:rsid w:val="003F005D"/>
    <w:rsid w:val="003F1434"/>
    <w:rsid w:val="003F1ABE"/>
    <w:rsid w:val="003F22DB"/>
    <w:rsid w:val="003F23CC"/>
    <w:rsid w:val="003F25A9"/>
    <w:rsid w:val="003F27DB"/>
    <w:rsid w:val="003F2934"/>
    <w:rsid w:val="003F2935"/>
    <w:rsid w:val="003F2AFA"/>
    <w:rsid w:val="003F3221"/>
    <w:rsid w:val="003F3C9F"/>
    <w:rsid w:val="003F40EB"/>
    <w:rsid w:val="003F42AE"/>
    <w:rsid w:val="003F4757"/>
    <w:rsid w:val="003F4C0C"/>
    <w:rsid w:val="003F5302"/>
    <w:rsid w:val="003F5605"/>
    <w:rsid w:val="003F5765"/>
    <w:rsid w:val="003F5882"/>
    <w:rsid w:val="003F5DB6"/>
    <w:rsid w:val="003F5DDB"/>
    <w:rsid w:val="003F6703"/>
    <w:rsid w:val="003F691E"/>
    <w:rsid w:val="003F6DFE"/>
    <w:rsid w:val="003F72FC"/>
    <w:rsid w:val="003F73A5"/>
    <w:rsid w:val="003F74B2"/>
    <w:rsid w:val="003F7A97"/>
    <w:rsid w:val="003F7C5E"/>
    <w:rsid w:val="003F7F1B"/>
    <w:rsid w:val="004001A8"/>
    <w:rsid w:val="00400204"/>
    <w:rsid w:val="0040038D"/>
    <w:rsid w:val="004004B6"/>
    <w:rsid w:val="004004D3"/>
    <w:rsid w:val="00400511"/>
    <w:rsid w:val="004006FB"/>
    <w:rsid w:val="004009C0"/>
    <w:rsid w:val="00400A57"/>
    <w:rsid w:val="004015CD"/>
    <w:rsid w:val="00401A9A"/>
    <w:rsid w:val="00401A9F"/>
    <w:rsid w:val="00402645"/>
    <w:rsid w:val="00402871"/>
    <w:rsid w:val="00402C16"/>
    <w:rsid w:val="00402CD0"/>
    <w:rsid w:val="00403001"/>
    <w:rsid w:val="0040303E"/>
    <w:rsid w:val="004033FA"/>
    <w:rsid w:val="00403585"/>
    <w:rsid w:val="004036C6"/>
    <w:rsid w:val="004036E6"/>
    <w:rsid w:val="0040377B"/>
    <w:rsid w:val="00404222"/>
    <w:rsid w:val="00404556"/>
    <w:rsid w:val="004046A8"/>
    <w:rsid w:val="00404B34"/>
    <w:rsid w:val="00404CD6"/>
    <w:rsid w:val="00404D3A"/>
    <w:rsid w:val="00405474"/>
    <w:rsid w:val="00405516"/>
    <w:rsid w:val="0040567F"/>
    <w:rsid w:val="00405ECC"/>
    <w:rsid w:val="00406119"/>
    <w:rsid w:val="00406543"/>
    <w:rsid w:val="00406D32"/>
    <w:rsid w:val="00406EDC"/>
    <w:rsid w:val="0040716E"/>
    <w:rsid w:val="00407444"/>
    <w:rsid w:val="0040772D"/>
    <w:rsid w:val="00407913"/>
    <w:rsid w:val="00407CAD"/>
    <w:rsid w:val="00407E4A"/>
    <w:rsid w:val="00410146"/>
    <w:rsid w:val="00410E91"/>
    <w:rsid w:val="00410EB0"/>
    <w:rsid w:val="004111F6"/>
    <w:rsid w:val="00411567"/>
    <w:rsid w:val="00411B2A"/>
    <w:rsid w:val="00411C62"/>
    <w:rsid w:val="004120FF"/>
    <w:rsid w:val="004124A5"/>
    <w:rsid w:val="004124C5"/>
    <w:rsid w:val="004129DF"/>
    <w:rsid w:val="00412E5B"/>
    <w:rsid w:val="00413A19"/>
    <w:rsid w:val="00413BC8"/>
    <w:rsid w:val="0041405B"/>
    <w:rsid w:val="004141BC"/>
    <w:rsid w:val="00414A73"/>
    <w:rsid w:val="00414D28"/>
    <w:rsid w:val="00414EDF"/>
    <w:rsid w:val="00414FEF"/>
    <w:rsid w:val="00415722"/>
    <w:rsid w:val="00415AEE"/>
    <w:rsid w:val="00415C6E"/>
    <w:rsid w:val="00415DBF"/>
    <w:rsid w:val="004162BA"/>
    <w:rsid w:val="004165F1"/>
    <w:rsid w:val="004168DB"/>
    <w:rsid w:val="00416B6F"/>
    <w:rsid w:val="00416C44"/>
    <w:rsid w:val="00417057"/>
    <w:rsid w:val="00417651"/>
    <w:rsid w:val="0041779A"/>
    <w:rsid w:val="00417D8D"/>
    <w:rsid w:val="00420134"/>
    <w:rsid w:val="004203AB"/>
    <w:rsid w:val="004204D6"/>
    <w:rsid w:val="004207F0"/>
    <w:rsid w:val="00420BDD"/>
    <w:rsid w:val="00420C7B"/>
    <w:rsid w:val="00420F50"/>
    <w:rsid w:val="00421029"/>
    <w:rsid w:val="00421894"/>
    <w:rsid w:val="00422142"/>
    <w:rsid w:val="00422432"/>
    <w:rsid w:val="004225C4"/>
    <w:rsid w:val="00422662"/>
    <w:rsid w:val="00422B01"/>
    <w:rsid w:val="00422B3E"/>
    <w:rsid w:val="00422C35"/>
    <w:rsid w:val="00422C77"/>
    <w:rsid w:val="00422E69"/>
    <w:rsid w:val="00422ED9"/>
    <w:rsid w:val="00422EF8"/>
    <w:rsid w:val="0042414B"/>
    <w:rsid w:val="004245D7"/>
    <w:rsid w:val="0042471F"/>
    <w:rsid w:val="00424874"/>
    <w:rsid w:val="00424B2A"/>
    <w:rsid w:val="00424F56"/>
    <w:rsid w:val="004257D0"/>
    <w:rsid w:val="00425E19"/>
    <w:rsid w:val="0042618B"/>
    <w:rsid w:val="00426282"/>
    <w:rsid w:val="00426A50"/>
    <w:rsid w:val="00426EE4"/>
    <w:rsid w:val="00426F8E"/>
    <w:rsid w:val="00427126"/>
    <w:rsid w:val="00427204"/>
    <w:rsid w:val="00427365"/>
    <w:rsid w:val="004273E1"/>
    <w:rsid w:val="00427A1A"/>
    <w:rsid w:val="00427A9A"/>
    <w:rsid w:val="00430267"/>
    <w:rsid w:val="00430E89"/>
    <w:rsid w:val="004312DD"/>
    <w:rsid w:val="00431332"/>
    <w:rsid w:val="004313C5"/>
    <w:rsid w:val="0043141E"/>
    <w:rsid w:val="00431A59"/>
    <w:rsid w:val="00431B29"/>
    <w:rsid w:val="00431E0D"/>
    <w:rsid w:val="004320BE"/>
    <w:rsid w:val="0043227E"/>
    <w:rsid w:val="00432907"/>
    <w:rsid w:val="004332C4"/>
    <w:rsid w:val="0043350E"/>
    <w:rsid w:val="004336D2"/>
    <w:rsid w:val="00433DF2"/>
    <w:rsid w:val="004340C1"/>
    <w:rsid w:val="0043460D"/>
    <w:rsid w:val="00434C8F"/>
    <w:rsid w:val="00434D7E"/>
    <w:rsid w:val="00435623"/>
    <w:rsid w:val="00435980"/>
    <w:rsid w:val="00435B96"/>
    <w:rsid w:val="00435E31"/>
    <w:rsid w:val="004364FA"/>
    <w:rsid w:val="0043669A"/>
    <w:rsid w:val="00436844"/>
    <w:rsid w:val="00436A37"/>
    <w:rsid w:val="00436BF8"/>
    <w:rsid w:val="00436CE4"/>
    <w:rsid w:val="004374F3"/>
    <w:rsid w:val="00437545"/>
    <w:rsid w:val="00437884"/>
    <w:rsid w:val="00440651"/>
    <w:rsid w:val="00440866"/>
    <w:rsid w:val="004408C3"/>
    <w:rsid w:val="004413C2"/>
    <w:rsid w:val="00441468"/>
    <w:rsid w:val="0044153E"/>
    <w:rsid w:val="00441C53"/>
    <w:rsid w:val="00441CC0"/>
    <w:rsid w:val="00441E98"/>
    <w:rsid w:val="0044207D"/>
    <w:rsid w:val="00442255"/>
    <w:rsid w:val="0044243B"/>
    <w:rsid w:val="00442508"/>
    <w:rsid w:val="004425AF"/>
    <w:rsid w:val="00442D8E"/>
    <w:rsid w:val="00442DA5"/>
    <w:rsid w:val="00442DF8"/>
    <w:rsid w:val="004435A1"/>
    <w:rsid w:val="004436C5"/>
    <w:rsid w:val="004437F0"/>
    <w:rsid w:val="0044382D"/>
    <w:rsid w:val="00443D7F"/>
    <w:rsid w:val="00443EA4"/>
    <w:rsid w:val="00444324"/>
    <w:rsid w:val="00444642"/>
    <w:rsid w:val="004446F9"/>
    <w:rsid w:val="004446FC"/>
    <w:rsid w:val="00444862"/>
    <w:rsid w:val="00444A31"/>
    <w:rsid w:val="00444EFF"/>
    <w:rsid w:val="00444F14"/>
    <w:rsid w:val="00445076"/>
    <w:rsid w:val="00445278"/>
    <w:rsid w:val="004452AC"/>
    <w:rsid w:val="004455C5"/>
    <w:rsid w:val="00445D4E"/>
    <w:rsid w:val="00445EAF"/>
    <w:rsid w:val="0044627A"/>
    <w:rsid w:val="004463DA"/>
    <w:rsid w:val="0044704F"/>
    <w:rsid w:val="004472BD"/>
    <w:rsid w:val="004472F3"/>
    <w:rsid w:val="004474E6"/>
    <w:rsid w:val="00447516"/>
    <w:rsid w:val="00447D4D"/>
    <w:rsid w:val="00447E03"/>
    <w:rsid w:val="00447E71"/>
    <w:rsid w:val="0045005F"/>
    <w:rsid w:val="004502DB"/>
    <w:rsid w:val="004506D0"/>
    <w:rsid w:val="00450A25"/>
    <w:rsid w:val="00450A51"/>
    <w:rsid w:val="00450D40"/>
    <w:rsid w:val="0045101F"/>
    <w:rsid w:val="00451376"/>
    <w:rsid w:val="004513C5"/>
    <w:rsid w:val="00451F80"/>
    <w:rsid w:val="004526B6"/>
    <w:rsid w:val="004526D8"/>
    <w:rsid w:val="00452A97"/>
    <w:rsid w:val="004531E1"/>
    <w:rsid w:val="004535BF"/>
    <w:rsid w:val="00453B46"/>
    <w:rsid w:val="00453C9D"/>
    <w:rsid w:val="00453E47"/>
    <w:rsid w:val="00453E9D"/>
    <w:rsid w:val="00453ED6"/>
    <w:rsid w:val="00454141"/>
    <w:rsid w:val="00454206"/>
    <w:rsid w:val="00454BE6"/>
    <w:rsid w:val="00454CF5"/>
    <w:rsid w:val="00454E83"/>
    <w:rsid w:val="00454EAE"/>
    <w:rsid w:val="00454F66"/>
    <w:rsid w:val="00455DEB"/>
    <w:rsid w:val="004560FD"/>
    <w:rsid w:val="0045628B"/>
    <w:rsid w:val="0045692B"/>
    <w:rsid w:val="0045706C"/>
    <w:rsid w:val="004573BE"/>
    <w:rsid w:val="0045762C"/>
    <w:rsid w:val="00457645"/>
    <w:rsid w:val="0045782F"/>
    <w:rsid w:val="00460252"/>
    <w:rsid w:val="00460367"/>
    <w:rsid w:val="0046056D"/>
    <w:rsid w:val="00460658"/>
    <w:rsid w:val="0046087E"/>
    <w:rsid w:val="004609E3"/>
    <w:rsid w:val="00460DB6"/>
    <w:rsid w:val="00461195"/>
    <w:rsid w:val="004613D7"/>
    <w:rsid w:val="00461D98"/>
    <w:rsid w:val="004620C7"/>
    <w:rsid w:val="0046242F"/>
    <w:rsid w:val="004625A3"/>
    <w:rsid w:val="00462668"/>
    <w:rsid w:val="00462942"/>
    <w:rsid w:val="00462A2B"/>
    <w:rsid w:val="00462EE4"/>
    <w:rsid w:val="00462FA2"/>
    <w:rsid w:val="00463162"/>
    <w:rsid w:val="00463864"/>
    <w:rsid w:val="004639BD"/>
    <w:rsid w:val="00463A10"/>
    <w:rsid w:val="00463B0F"/>
    <w:rsid w:val="00464AF8"/>
    <w:rsid w:val="00464E5A"/>
    <w:rsid w:val="004650BE"/>
    <w:rsid w:val="004653CB"/>
    <w:rsid w:val="00465A3A"/>
    <w:rsid w:val="00465B82"/>
    <w:rsid w:val="00465CBE"/>
    <w:rsid w:val="00465CDB"/>
    <w:rsid w:val="004660B1"/>
    <w:rsid w:val="004663B8"/>
    <w:rsid w:val="00466639"/>
    <w:rsid w:val="004668BB"/>
    <w:rsid w:val="00466B23"/>
    <w:rsid w:val="00466D89"/>
    <w:rsid w:val="0046712D"/>
    <w:rsid w:val="0046732F"/>
    <w:rsid w:val="0046760B"/>
    <w:rsid w:val="00467642"/>
    <w:rsid w:val="004676F2"/>
    <w:rsid w:val="004678E5"/>
    <w:rsid w:val="0046790A"/>
    <w:rsid w:val="00467E5E"/>
    <w:rsid w:val="00467EAC"/>
    <w:rsid w:val="00470300"/>
    <w:rsid w:val="00470511"/>
    <w:rsid w:val="00470777"/>
    <w:rsid w:val="00470C8F"/>
    <w:rsid w:val="004711CD"/>
    <w:rsid w:val="00471334"/>
    <w:rsid w:val="004714B0"/>
    <w:rsid w:val="004714CB"/>
    <w:rsid w:val="004715FF"/>
    <w:rsid w:val="004716EA"/>
    <w:rsid w:val="00471822"/>
    <w:rsid w:val="0047182D"/>
    <w:rsid w:val="00471A00"/>
    <w:rsid w:val="00471B67"/>
    <w:rsid w:val="00471C25"/>
    <w:rsid w:val="004721D4"/>
    <w:rsid w:val="00472A1A"/>
    <w:rsid w:val="00472CBD"/>
    <w:rsid w:val="00472EFB"/>
    <w:rsid w:val="004730F3"/>
    <w:rsid w:val="004731FD"/>
    <w:rsid w:val="00473474"/>
    <w:rsid w:val="004735D0"/>
    <w:rsid w:val="00473A69"/>
    <w:rsid w:val="00473AC5"/>
    <w:rsid w:val="00473EA7"/>
    <w:rsid w:val="00473FBA"/>
    <w:rsid w:val="00474074"/>
    <w:rsid w:val="004740B9"/>
    <w:rsid w:val="00474606"/>
    <w:rsid w:val="0047477C"/>
    <w:rsid w:val="00474935"/>
    <w:rsid w:val="004749BE"/>
    <w:rsid w:val="00474BEA"/>
    <w:rsid w:val="0047526A"/>
    <w:rsid w:val="004753C3"/>
    <w:rsid w:val="004755A8"/>
    <w:rsid w:val="004758BA"/>
    <w:rsid w:val="00475B22"/>
    <w:rsid w:val="00475D20"/>
    <w:rsid w:val="00475DC8"/>
    <w:rsid w:val="00475E88"/>
    <w:rsid w:val="004760FD"/>
    <w:rsid w:val="00476453"/>
    <w:rsid w:val="00476B8A"/>
    <w:rsid w:val="0047706F"/>
    <w:rsid w:val="0047711E"/>
    <w:rsid w:val="0047769C"/>
    <w:rsid w:val="00477804"/>
    <w:rsid w:val="004778A8"/>
    <w:rsid w:val="00477B1A"/>
    <w:rsid w:val="00477EEC"/>
    <w:rsid w:val="00480255"/>
    <w:rsid w:val="00480293"/>
    <w:rsid w:val="004809B2"/>
    <w:rsid w:val="00480D85"/>
    <w:rsid w:val="00481883"/>
    <w:rsid w:val="004819D0"/>
    <w:rsid w:val="00481DF9"/>
    <w:rsid w:val="00481FAF"/>
    <w:rsid w:val="00482013"/>
    <w:rsid w:val="00482EB6"/>
    <w:rsid w:val="004830C0"/>
    <w:rsid w:val="00483270"/>
    <w:rsid w:val="004833CC"/>
    <w:rsid w:val="00483515"/>
    <w:rsid w:val="00483A06"/>
    <w:rsid w:val="00483D3F"/>
    <w:rsid w:val="004841D4"/>
    <w:rsid w:val="00484854"/>
    <w:rsid w:val="00484B3E"/>
    <w:rsid w:val="00484B4D"/>
    <w:rsid w:val="00484D25"/>
    <w:rsid w:val="00484DD5"/>
    <w:rsid w:val="00484E8F"/>
    <w:rsid w:val="00484FE9"/>
    <w:rsid w:val="00485004"/>
    <w:rsid w:val="0048515C"/>
    <w:rsid w:val="00485B4C"/>
    <w:rsid w:val="00485DF2"/>
    <w:rsid w:val="00485F3D"/>
    <w:rsid w:val="004862F3"/>
    <w:rsid w:val="004865C5"/>
    <w:rsid w:val="00486601"/>
    <w:rsid w:val="004868AC"/>
    <w:rsid w:val="0048699A"/>
    <w:rsid w:val="00486C6F"/>
    <w:rsid w:val="00487024"/>
    <w:rsid w:val="004870E1"/>
    <w:rsid w:val="004874F7"/>
    <w:rsid w:val="004879A2"/>
    <w:rsid w:val="00487AE3"/>
    <w:rsid w:val="00487F59"/>
    <w:rsid w:val="0049002C"/>
    <w:rsid w:val="00490567"/>
    <w:rsid w:val="00490858"/>
    <w:rsid w:val="00490C0F"/>
    <w:rsid w:val="00490C54"/>
    <w:rsid w:val="00490E27"/>
    <w:rsid w:val="00491134"/>
    <w:rsid w:val="00491586"/>
    <w:rsid w:val="00491756"/>
    <w:rsid w:val="00491939"/>
    <w:rsid w:val="00491976"/>
    <w:rsid w:val="00491A3F"/>
    <w:rsid w:val="00491EDF"/>
    <w:rsid w:val="00491FB0"/>
    <w:rsid w:val="00492473"/>
    <w:rsid w:val="004926D1"/>
    <w:rsid w:val="0049280C"/>
    <w:rsid w:val="00492AB6"/>
    <w:rsid w:val="00493140"/>
    <w:rsid w:val="004935D8"/>
    <w:rsid w:val="0049379E"/>
    <w:rsid w:val="0049381D"/>
    <w:rsid w:val="00493939"/>
    <w:rsid w:val="00493A97"/>
    <w:rsid w:val="00493AC0"/>
    <w:rsid w:val="00493B8C"/>
    <w:rsid w:val="00493BB7"/>
    <w:rsid w:val="00493C0C"/>
    <w:rsid w:val="00493D2A"/>
    <w:rsid w:val="00494131"/>
    <w:rsid w:val="00495481"/>
    <w:rsid w:val="00495C8A"/>
    <w:rsid w:val="00495D4E"/>
    <w:rsid w:val="00495D70"/>
    <w:rsid w:val="00495D84"/>
    <w:rsid w:val="00495F15"/>
    <w:rsid w:val="0049605E"/>
    <w:rsid w:val="00496113"/>
    <w:rsid w:val="00496614"/>
    <w:rsid w:val="00496979"/>
    <w:rsid w:val="00496A9A"/>
    <w:rsid w:val="00496ACB"/>
    <w:rsid w:val="00496BB6"/>
    <w:rsid w:val="00496C1D"/>
    <w:rsid w:val="00496D37"/>
    <w:rsid w:val="00496EBA"/>
    <w:rsid w:val="00497252"/>
    <w:rsid w:val="0049739A"/>
    <w:rsid w:val="0049740C"/>
    <w:rsid w:val="004978FE"/>
    <w:rsid w:val="004A035C"/>
    <w:rsid w:val="004A0AFC"/>
    <w:rsid w:val="004A0BD7"/>
    <w:rsid w:val="004A0BE2"/>
    <w:rsid w:val="004A1BE4"/>
    <w:rsid w:val="004A225B"/>
    <w:rsid w:val="004A24C2"/>
    <w:rsid w:val="004A25CE"/>
    <w:rsid w:val="004A281F"/>
    <w:rsid w:val="004A2C5E"/>
    <w:rsid w:val="004A314E"/>
    <w:rsid w:val="004A328B"/>
    <w:rsid w:val="004A4003"/>
    <w:rsid w:val="004A4292"/>
    <w:rsid w:val="004A4627"/>
    <w:rsid w:val="004A4B0A"/>
    <w:rsid w:val="004A59E1"/>
    <w:rsid w:val="004A5D5C"/>
    <w:rsid w:val="004A5F40"/>
    <w:rsid w:val="004A61D2"/>
    <w:rsid w:val="004A6286"/>
    <w:rsid w:val="004A6445"/>
    <w:rsid w:val="004A6B56"/>
    <w:rsid w:val="004A6C44"/>
    <w:rsid w:val="004A6CBD"/>
    <w:rsid w:val="004A7082"/>
    <w:rsid w:val="004A752B"/>
    <w:rsid w:val="004A7602"/>
    <w:rsid w:val="004A783D"/>
    <w:rsid w:val="004A797C"/>
    <w:rsid w:val="004A7B86"/>
    <w:rsid w:val="004A7E64"/>
    <w:rsid w:val="004A7ED4"/>
    <w:rsid w:val="004B03DC"/>
    <w:rsid w:val="004B06E3"/>
    <w:rsid w:val="004B0720"/>
    <w:rsid w:val="004B0D01"/>
    <w:rsid w:val="004B0E4D"/>
    <w:rsid w:val="004B1307"/>
    <w:rsid w:val="004B1352"/>
    <w:rsid w:val="004B14A8"/>
    <w:rsid w:val="004B15BD"/>
    <w:rsid w:val="004B1710"/>
    <w:rsid w:val="004B1ADE"/>
    <w:rsid w:val="004B1BD5"/>
    <w:rsid w:val="004B1D91"/>
    <w:rsid w:val="004B23FA"/>
    <w:rsid w:val="004B27C5"/>
    <w:rsid w:val="004B2817"/>
    <w:rsid w:val="004B3181"/>
    <w:rsid w:val="004B36EB"/>
    <w:rsid w:val="004B3844"/>
    <w:rsid w:val="004B39D0"/>
    <w:rsid w:val="004B3F6F"/>
    <w:rsid w:val="004B4B40"/>
    <w:rsid w:val="004B4F1D"/>
    <w:rsid w:val="004B5397"/>
    <w:rsid w:val="004B5548"/>
    <w:rsid w:val="004B5AF7"/>
    <w:rsid w:val="004B5C63"/>
    <w:rsid w:val="004B5C78"/>
    <w:rsid w:val="004B5D6F"/>
    <w:rsid w:val="004B79AD"/>
    <w:rsid w:val="004B7A97"/>
    <w:rsid w:val="004B7BA9"/>
    <w:rsid w:val="004C03F7"/>
    <w:rsid w:val="004C0667"/>
    <w:rsid w:val="004C0A4A"/>
    <w:rsid w:val="004C0D14"/>
    <w:rsid w:val="004C116D"/>
    <w:rsid w:val="004C170C"/>
    <w:rsid w:val="004C1759"/>
    <w:rsid w:val="004C192D"/>
    <w:rsid w:val="004C232F"/>
    <w:rsid w:val="004C2AAF"/>
    <w:rsid w:val="004C3500"/>
    <w:rsid w:val="004C354C"/>
    <w:rsid w:val="004C37E9"/>
    <w:rsid w:val="004C3851"/>
    <w:rsid w:val="004C3F04"/>
    <w:rsid w:val="004C4179"/>
    <w:rsid w:val="004C419D"/>
    <w:rsid w:val="004C4443"/>
    <w:rsid w:val="004C4482"/>
    <w:rsid w:val="004C45B3"/>
    <w:rsid w:val="004C48B8"/>
    <w:rsid w:val="004C4AA1"/>
    <w:rsid w:val="004C4B82"/>
    <w:rsid w:val="004C4D2D"/>
    <w:rsid w:val="004C4EA8"/>
    <w:rsid w:val="004C4FC1"/>
    <w:rsid w:val="004C538B"/>
    <w:rsid w:val="004C53BA"/>
    <w:rsid w:val="004C58C7"/>
    <w:rsid w:val="004C5966"/>
    <w:rsid w:val="004C5CE5"/>
    <w:rsid w:val="004C6106"/>
    <w:rsid w:val="004C6178"/>
    <w:rsid w:val="004C6875"/>
    <w:rsid w:val="004C70AE"/>
    <w:rsid w:val="004C71E1"/>
    <w:rsid w:val="004C7325"/>
    <w:rsid w:val="004C7476"/>
    <w:rsid w:val="004C78BD"/>
    <w:rsid w:val="004C7D3E"/>
    <w:rsid w:val="004C7D7A"/>
    <w:rsid w:val="004C7FC1"/>
    <w:rsid w:val="004D0093"/>
    <w:rsid w:val="004D00E7"/>
    <w:rsid w:val="004D0155"/>
    <w:rsid w:val="004D0445"/>
    <w:rsid w:val="004D04C3"/>
    <w:rsid w:val="004D0544"/>
    <w:rsid w:val="004D074F"/>
    <w:rsid w:val="004D09E1"/>
    <w:rsid w:val="004D0A11"/>
    <w:rsid w:val="004D0EE1"/>
    <w:rsid w:val="004D1B8E"/>
    <w:rsid w:val="004D1DB8"/>
    <w:rsid w:val="004D1E97"/>
    <w:rsid w:val="004D218B"/>
    <w:rsid w:val="004D2301"/>
    <w:rsid w:val="004D2600"/>
    <w:rsid w:val="004D2A69"/>
    <w:rsid w:val="004D2F71"/>
    <w:rsid w:val="004D3425"/>
    <w:rsid w:val="004D37A5"/>
    <w:rsid w:val="004D3994"/>
    <w:rsid w:val="004D4197"/>
    <w:rsid w:val="004D470B"/>
    <w:rsid w:val="004D480E"/>
    <w:rsid w:val="004D4C07"/>
    <w:rsid w:val="004D4C7B"/>
    <w:rsid w:val="004D4E93"/>
    <w:rsid w:val="004D50DA"/>
    <w:rsid w:val="004D5305"/>
    <w:rsid w:val="004D563A"/>
    <w:rsid w:val="004D5C7A"/>
    <w:rsid w:val="004D6179"/>
    <w:rsid w:val="004D6298"/>
    <w:rsid w:val="004D6618"/>
    <w:rsid w:val="004D70B6"/>
    <w:rsid w:val="004D7228"/>
    <w:rsid w:val="004D7230"/>
    <w:rsid w:val="004D765D"/>
    <w:rsid w:val="004E032B"/>
    <w:rsid w:val="004E0331"/>
    <w:rsid w:val="004E0863"/>
    <w:rsid w:val="004E0CC6"/>
    <w:rsid w:val="004E0DB1"/>
    <w:rsid w:val="004E14C6"/>
    <w:rsid w:val="004E167C"/>
    <w:rsid w:val="004E1C06"/>
    <w:rsid w:val="004E1D26"/>
    <w:rsid w:val="004E1E13"/>
    <w:rsid w:val="004E1E30"/>
    <w:rsid w:val="004E1FF4"/>
    <w:rsid w:val="004E22D5"/>
    <w:rsid w:val="004E289A"/>
    <w:rsid w:val="004E2A5F"/>
    <w:rsid w:val="004E2A94"/>
    <w:rsid w:val="004E2B12"/>
    <w:rsid w:val="004E31B5"/>
    <w:rsid w:val="004E32F8"/>
    <w:rsid w:val="004E33BC"/>
    <w:rsid w:val="004E33C5"/>
    <w:rsid w:val="004E382C"/>
    <w:rsid w:val="004E3BD4"/>
    <w:rsid w:val="004E3CB6"/>
    <w:rsid w:val="004E3D09"/>
    <w:rsid w:val="004E3EF3"/>
    <w:rsid w:val="004E3F22"/>
    <w:rsid w:val="004E3F62"/>
    <w:rsid w:val="004E41C7"/>
    <w:rsid w:val="004E433B"/>
    <w:rsid w:val="004E4636"/>
    <w:rsid w:val="004E47FC"/>
    <w:rsid w:val="004E496B"/>
    <w:rsid w:val="004E533B"/>
    <w:rsid w:val="004E5381"/>
    <w:rsid w:val="004E5782"/>
    <w:rsid w:val="004E5897"/>
    <w:rsid w:val="004E5A85"/>
    <w:rsid w:val="004E5B8A"/>
    <w:rsid w:val="004E5BD1"/>
    <w:rsid w:val="004E5CA9"/>
    <w:rsid w:val="004E6082"/>
    <w:rsid w:val="004E6595"/>
    <w:rsid w:val="004E65B9"/>
    <w:rsid w:val="004E6DC7"/>
    <w:rsid w:val="004E6E90"/>
    <w:rsid w:val="004E6FEA"/>
    <w:rsid w:val="004E74D2"/>
    <w:rsid w:val="004E7680"/>
    <w:rsid w:val="004E78C8"/>
    <w:rsid w:val="004E7BB9"/>
    <w:rsid w:val="004E7C23"/>
    <w:rsid w:val="004E7C87"/>
    <w:rsid w:val="004E7FDB"/>
    <w:rsid w:val="004F004C"/>
    <w:rsid w:val="004F0351"/>
    <w:rsid w:val="004F0428"/>
    <w:rsid w:val="004F04A0"/>
    <w:rsid w:val="004F07C4"/>
    <w:rsid w:val="004F0A2B"/>
    <w:rsid w:val="004F0AA9"/>
    <w:rsid w:val="004F0E14"/>
    <w:rsid w:val="004F1395"/>
    <w:rsid w:val="004F1640"/>
    <w:rsid w:val="004F171D"/>
    <w:rsid w:val="004F1801"/>
    <w:rsid w:val="004F1972"/>
    <w:rsid w:val="004F1F14"/>
    <w:rsid w:val="004F21DB"/>
    <w:rsid w:val="004F25A4"/>
    <w:rsid w:val="004F2660"/>
    <w:rsid w:val="004F2B5D"/>
    <w:rsid w:val="004F2B88"/>
    <w:rsid w:val="004F37AB"/>
    <w:rsid w:val="004F3872"/>
    <w:rsid w:val="004F38FB"/>
    <w:rsid w:val="004F3BCE"/>
    <w:rsid w:val="004F4220"/>
    <w:rsid w:val="004F4657"/>
    <w:rsid w:val="004F471C"/>
    <w:rsid w:val="004F4905"/>
    <w:rsid w:val="004F4C7D"/>
    <w:rsid w:val="004F5021"/>
    <w:rsid w:val="004F545E"/>
    <w:rsid w:val="004F5687"/>
    <w:rsid w:val="004F5A56"/>
    <w:rsid w:val="004F5EC2"/>
    <w:rsid w:val="004F668B"/>
    <w:rsid w:val="004F6972"/>
    <w:rsid w:val="004F71F2"/>
    <w:rsid w:val="004F7316"/>
    <w:rsid w:val="004F7753"/>
    <w:rsid w:val="004F78D1"/>
    <w:rsid w:val="004F7A6A"/>
    <w:rsid w:val="004F7B5A"/>
    <w:rsid w:val="004F7E09"/>
    <w:rsid w:val="0050049C"/>
    <w:rsid w:val="005004B1"/>
    <w:rsid w:val="00500668"/>
    <w:rsid w:val="00500D2E"/>
    <w:rsid w:val="00501144"/>
    <w:rsid w:val="0050126C"/>
    <w:rsid w:val="005016D3"/>
    <w:rsid w:val="005018D7"/>
    <w:rsid w:val="00501CCB"/>
    <w:rsid w:val="005024E9"/>
    <w:rsid w:val="005025E1"/>
    <w:rsid w:val="005029C2"/>
    <w:rsid w:val="00502A7E"/>
    <w:rsid w:val="005032D9"/>
    <w:rsid w:val="005034C1"/>
    <w:rsid w:val="0050362F"/>
    <w:rsid w:val="00503704"/>
    <w:rsid w:val="00503945"/>
    <w:rsid w:val="00503967"/>
    <w:rsid w:val="00503AA3"/>
    <w:rsid w:val="00503D40"/>
    <w:rsid w:val="0050402E"/>
    <w:rsid w:val="00504411"/>
    <w:rsid w:val="005045A1"/>
    <w:rsid w:val="00504846"/>
    <w:rsid w:val="0050525E"/>
    <w:rsid w:val="0050530B"/>
    <w:rsid w:val="00505442"/>
    <w:rsid w:val="00505491"/>
    <w:rsid w:val="005060E3"/>
    <w:rsid w:val="00506263"/>
    <w:rsid w:val="005064DF"/>
    <w:rsid w:val="0050662A"/>
    <w:rsid w:val="005067CE"/>
    <w:rsid w:val="00506894"/>
    <w:rsid w:val="005068C4"/>
    <w:rsid w:val="0050702A"/>
    <w:rsid w:val="00507AB1"/>
    <w:rsid w:val="0051010A"/>
    <w:rsid w:val="0051037B"/>
    <w:rsid w:val="005104DE"/>
    <w:rsid w:val="00511092"/>
    <w:rsid w:val="00511563"/>
    <w:rsid w:val="005115F7"/>
    <w:rsid w:val="00511815"/>
    <w:rsid w:val="0051197A"/>
    <w:rsid w:val="00511BB2"/>
    <w:rsid w:val="00511CB1"/>
    <w:rsid w:val="00511D0E"/>
    <w:rsid w:val="00511DEB"/>
    <w:rsid w:val="00511F52"/>
    <w:rsid w:val="005120D6"/>
    <w:rsid w:val="0051212F"/>
    <w:rsid w:val="00512434"/>
    <w:rsid w:val="00512621"/>
    <w:rsid w:val="00512667"/>
    <w:rsid w:val="0051290D"/>
    <w:rsid w:val="005129D3"/>
    <w:rsid w:val="00512A2C"/>
    <w:rsid w:val="00512C1E"/>
    <w:rsid w:val="00512E5E"/>
    <w:rsid w:val="0051327D"/>
    <w:rsid w:val="0051330A"/>
    <w:rsid w:val="00513427"/>
    <w:rsid w:val="005134AC"/>
    <w:rsid w:val="00513775"/>
    <w:rsid w:val="0051398D"/>
    <w:rsid w:val="00513A7D"/>
    <w:rsid w:val="00513E90"/>
    <w:rsid w:val="00514070"/>
    <w:rsid w:val="005143B0"/>
    <w:rsid w:val="005144B9"/>
    <w:rsid w:val="00514814"/>
    <w:rsid w:val="00514A3A"/>
    <w:rsid w:val="005151BF"/>
    <w:rsid w:val="005152B4"/>
    <w:rsid w:val="00515557"/>
    <w:rsid w:val="005158CF"/>
    <w:rsid w:val="00515A30"/>
    <w:rsid w:val="0051639A"/>
    <w:rsid w:val="005168DC"/>
    <w:rsid w:val="00516A35"/>
    <w:rsid w:val="00516BF4"/>
    <w:rsid w:val="00516DCF"/>
    <w:rsid w:val="00516E0A"/>
    <w:rsid w:val="005175EC"/>
    <w:rsid w:val="00517C08"/>
    <w:rsid w:val="00517C8E"/>
    <w:rsid w:val="005201E2"/>
    <w:rsid w:val="0052096C"/>
    <w:rsid w:val="00520AED"/>
    <w:rsid w:val="00520AFE"/>
    <w:rsid w:val="00520C3E"/>
    <w:rsid w:val="00521016"/>
    <w:rsid w:val="00521414"/>
    <w:rsid w:val="005215C7"/>
    <w:rsid w:val="00521952"/>
    <w:rsid w:val="00521976"/>
    <w:rsid w:val="0052198C"/>
    <w:rsid w:val="00521B02"/>
    <w:rsid w:val="00521C32"/>
    <w:rsid w:val="00521CCF"/>
    <w:rsid w:val="005222A1"/>
    <w:rsid w:val="005223DD"/>
    <w:rsid w:val="00522854"/>
    <w:rsid w:val="00522974"/>
    <w:rsid w:val="00522BB6"/>
    <w:rsid w:val="00522C1A"/>
    <w:rsid w:val="00522E1E"/>
    <w:rsid w:val="005232FB"/>
    <w:rsid w:val="00523CA8"/>
    <w:rsid w:val="00523CDC"/>
    <w:rsid w:val="00523D3E"/>
    <w:rsid w:val="00523DF4"/>
    <w:rsid w:val="00524AD4"/>
    <w:rsid w:val="005252ED"/>
    <w:rsid w:val="005253A5"/>
    <w:rsid w:val="0052590A"/>
    <w:rsid w:val="00525DC2"/>
    <w:rsid w:val="0052611F"/>
    <w:rsid w:val="0052626E"/>
    <w:rsid w:val="0052633B"/>
    <w:rsid w:val="005263FA"/>
    <w:rsid w:val="00526540"/>
    <w:rsid w:val="00526774"/>
    <w:rsid w:val="00526E02"/>
    <w:rsid w:val="00526ED5"/>
    <w:rsid w:val="005273BF"/>
    <w:rsid w:val="00527900"/>
    <w:rsid w:val="00527A04"/>
    <w:rsid w:val="00527B53"/>
    <w:rsid w:val="00530628"/>
    <w:rsid w:val="005309CF"/>
    <w:rsid w:val="00530A13"/>
    <w:rsid w:val="00530E0F"/>
    <w:rsid w:val="00530EBC"/>
    <w:rsid w:val="00530EEF"/>
    <w:rsid w:val="00531137"/>
    <w:rsid w:val="00531AD7"/>
    <w:rsid w:val="00531B7D"/>
    <w:rsid w:val="00531D32"/>
    <w:rsid w:val="00531D5D"/>
    <w:rsid w:val="00531E51"/>
    <w:rsid w:val="005323F6"/>
    <w:rsid w:val="00532D06"/>
    <w:rsid w:val="005332DB"/>
    <w:rsid w:val="005335D8"/>
    <w:rsid w:val="00533A3B"/>
    <w:rsid w:val="005342ED"/>
    <w:rsid w:val="0053440F"/>
    <w:rsid w:val="005345BE"/>
    <w:rsid w:val="005353EE"/>
    <w:rsid w:val="0053551E"/>
    <w:rsid w:val="005358AC"/>
    <w:rsid w:val="005363C2"/>
    <w:rsid w:val="005364D9"/>
    <w:rsid w:val="005364DA"/>
    <w:rsid w:val="00536584"/>
    <w:rsid w:val="00536A73"/>
    <w:rsid w:val="00536AD6"/>
    <w:rsid w:val="00536B6D"/>
    <w:rsid w:val="00536BAE"/>
    <w:rsid w:val="005371F5"/>
    <w:rsid w:val="005376E5"/>
    <w:rsid w:val="00537CEF"/>
    <w:rsid w:val="00537D22"/>
    <w:rsid w:val="0054026C"/>
    <w:rsid w:val="005402CB"/>
    <w:rsid w:val="005406DE"/>
    <w:rsid w:val="00540980"/>
    <w:rsid w:val="00540AFC"/>
    <w:rsid w:val="00541117"/>
    <w:rsid w:val="00541925"/>
    <w:rsid w:val="00541C3A"/>
    <w:rsid w:val="00542115"/>
    <w:rsid w:val="0054259F"/>
    <w:rsid w:val="005425D6"/>
    <w:rsid w:val="0054263E"/>
    <w:rsid w:val="0054293D"/>
    <w:rsid w:val="00542A41"/>
    <w:rsid w:val="00542C99"/>
    <w:rsid w:val="00543069"/>
    <w:rsid w:val="00543252"/>
    <w:rsid w:val="005432F2"/>
    <w:rsid w:val="005436CD"/>
    <w:rsid w:val="00543E8C"/>
    <w:rsid w:val="00544019"/>
    <w:rsid w:val="00544494"/>
    <w:rsid w:val="005444BE"/>
    <w:rsid w:val="0054485E"/>
    <w:rsid w:val="00544CFB"/>
    <w:rsid w:val="005450E9"/>
    <w:rsid w:val="005453C5"/>
    <w:rsid w:val="005455B9"/>
    <w:rsid w:val="005456E2"/>
    <w:rsid w:val="0054636B"/>
    <w:rsid w:val="00546738"/>
    <w:rsid w:val="00546818"/>
    <w:rsid w:val="00546A89"/>
    <w:rsid w:val="00546B59"/>
    <w:rsid w:val="00547714"/>
    <w:rsid w:val="0054777A"/>
    <w:rsid w:val="00547A7E"/>
    <w:rsid w:val="00547C09"/>
    <w:rsid w:val="0055027B"/>
    <w:rsid w:val="0055067D"/>
    <w:rsid w:val="00550731"/>
    <w:rsid w:val="005508A9"/>
    <w:rsid w:val="00550F53"/>
    <w:rsid w:val="0055130D"/>
    <w:rsid w:val="00551319"/>
    <w:rsid w:val="0055147D"/>
    <w:rsid w:val="005514BF"/>
    <w:rsid w:val="00551738"/>
    <w:rsid w:val="005519F0"/>
    <w:rsid w:val="00551A17"/>
    <w:rsid w:val="00551B1B"/>
    <w:rsid w:val="00551C97"/>
    <w:rsid w:val="00551F94"/>
    <w:rsid w:val="005522F6"/>
    <w:rsid w:val="00552614"/>
    <w:rsid w:val="00552645"/>
    <w:rsid w:val="0055271F"/>
    <w:rsid w:val="00552A4E"/>
    <w:rsid w:val="00552B11"/>
    <w:rsid w:val="00553233"/>
    <w:rsid w:val="0055348C"/>
    <w:rsid w:val="00553861"/>
    <w:rsid w:val="005539D8"/>
    <w:rsid w:val="00553CDF"/>
    <w:rsid w:val="00553FEB"/>
    <w:rsid w:val="0055414A"/>
    <w:rsid w:val="00554249"/>
    <w:rsid w:val="00554271"/>
    <w:rsid w:val="00554374"/>
    <w:rsid w:val="00554401"/>
    <w:rsid w:val="005545BC"/>
    <w:rsid w:val="00554612"/>
    <w:rsid w:val="00554776"/>
    <w:rsid w:val="00554842"/>
    <w:rsid w:val="00554902"/>
    <w:rsid w:val="00554B97"/>
    <w:rsid w:val="005554BC"/>
    <w:rsid w:val="005558B4"/>
    <w:rsid w:val="00555991"/>
    <w:rsid w:val="0055602D"/>
    <w:rsid w:val="00556150"/>
    <w:rsid w:val="005561D4"/>
    <w:rsid w:val="005567F4"/>
    <w:rsid w:val="005569EB"/>
    <w:rsid w:val="00556D0A"/>
    <w:rsid w:val="0055728A"/>
    <w:rsid w:val="005574B4"/>
    <w:rsid w:val="00557592"/>
    <w:rsid w:val="00557729"/>
    <w:rsid w:val="005579C8"/>
    <w:rsid w:val="00557B0D"/>
    <w:rsid w:val="00557C07"/>
    <w:rsid w:val="0056073C"/>
    <w:rsid w:val="005608A7"/>
    <w:rsid w:val="00560AC1"/>
    <w:rsid w:val="00560E7B"/>
    <w:rsid w:val="00560EEA"/>
    <w:rsid w:val="00561371"/>
    <w:rsid w:val="005622F6"/>
    <w:rsid w:val="005626D5"/>
    <w:rsid w:val="0056272C"/>
    <w:rsid w:val="00562D8B"/>
    <w:rsid w:val="00562E46"/>
    <w:rsid w:val="00562F52"/>
    <w:rsid w:val="00563A70"/>
    <w:rsid w:val="00563A8E"/>
    <w:rsid w:val="00563C11"/>
    <w:rsid w:val="00563EC7"/>
    <w:rsid w:val="00564006"/>
    <w:rsid w:val="00564450"/>
    <w:rsid w:val="0056447B"/>
    <w:rsid w:val="00564945"/>
    <w:rsid w:val="00564AF5"/>
    <w:rsid w:val="00564D53"/>
    <w:rsid w:val="0056509B"/>
    <w:rsid w:val="0056570B"/>
    <w:rsid w:val="00565BCA"/>
    <w:rsid w:val="00565DBA"/>
    <w:rsid w:val="00565FCD"/>
    <w:rsid w:val="0056689D"/>
    <w:rsid w:val="005669AC"/>
    <w:rsid w:val="00566D3A"/>
    <w:rsid w:val="00566E3F"/>
    <w:rsid w:val="005670DC"/>
    <w:rsid w:val="00567498"/>
    <w:rsid w:val="005677B3"/>
    <w:rsid w:val="00567A36"/>
    <w:rsid w:val="00567BA1"/>
    <w:rsid w:val="00567F18"/>
    <w:rsid w:val="00567FB2"/>
    <w:rsid w:val="005707D0"/>
    <w:rsid w:val="00571092"/>
    <w:rsid w:val="005715AB"/>
    <w:rsid w:val="0057170A"/>
    <w:rsid w:val="00571869"/>
    <w:rsid w:val="00571927"/>
    <w:rsid w:val="00571B21"/>
    <w:rsid w:val="0057217C"/>
    <w:rsid w:val="00572D80"/>
    <w:rsid w:val="00573018"/>
    <w:rsid w:val="0057323D"/>
    <w:rsid w:val="00573256"/>
    <w:rsid w:val="005735C9"/>
    <w:rsid w:val="005739CF"/>
    <w:rsid w:val="00573C6A"/>
    <w:rsid w:val="00573CB7"/>
    <w:rsid w:val="00573F24"/>
    <w:rsid w:val="00574123"/>
    <w:rsid w:val="00574282"/>
    <w:rsid w:val="00574341"/>
    <w:rsid w:val="00574523"/>
    <w:rsid w:val="00574833"/>
    <w:rsid w:val="00575104"/>
    <w:rsid w:val="00575368"/>
    <w:rsid w:val="00575678"/>
    <w:rsid w:val="00575B06"/>
    <w:rsid w:val="00575B2F"/>
    <w:rsid w:val="00575F01"/>
    <w:rsid w:val="00576851"/>
    <w:rsid w:val="005769EC"/>
    <w:rsid w:val="00576A1D"/>
    <w:rsid w:val="00576BE6"/>
    <w:rsid w:val="00576DBB"/>
    <w:rsid w:val="00576DF9"/>
    <w:rsid w:val="00577118"/>
    <w:rsid w:val="00577754"/>
    <w:rsid w:val="0057775E"/>
    <w:rsid w:val="00577BD4"/>
    <w:rsid w:val="00577C22"/>
    <w:rsid w:val="00577CB5"/>
    <w:rsid w:val="00577DA0"/>
    <w:rsid w:val="00577E6B"/>
    <w:rsid w:val="005802C0"/>
    <w:rsid w:val="005807B8"/>
    <w:rsid w:val="005809EE"/>
    <w:rsid w:val="00580B49"/>
    <w:rsid w:val="00580B79"/>
    <w:rsid w:val="00580D45"/>
    <w:rsid w:val="00580D94"/>
    <w:rsid w:val="00580EE4"/>
    <w:rsid w:val="00581380"/>
    <w:rsid w:val="00581530"/>
    <w:rsid w:val="005816CA"/>
    <w:rsid w:val="005817C8"/>
    <w:rsid w:val="0058181D"/>
    <w:rsid w:val="005818EA"/>
    <w:rsid w:val="00581A28"/>
    <w:rsid w:val="00581ADD"/>
    <w:rsid w:val="00581BB8"/>
    <w:rsid w:val="00581D7D"/>
    <w:rsid w:val="005820AA"/>
    <w:rsid w:val="005820FE"/>
    <w:rsid w:val="00582634"/>
    <w:rsid w:val="00582785"/>
    <w:rsid w:val="00582982"/>
    <w:rsid w:val="00582A1A"/>
    <w:rsid w:val="00582E00"/>
    <w:rsid w:val="00583482"/>
    <w:rsid w:val="0058357C"/>
    <w:rsid w:val="0058387F"/>
    <w:rsid w:val="00583E39"/>
    <w:rsid w:val="00583E47"/>
    <w:rsid w:val="005841B3"/>
    <w:rsid w:val="0058483F"/>
    <w:rsid w:val="005848A1"/>
    <w:rsid w:val="00584A45"/>
    <w:rsid w:val="00584DE2"/>
    <w:rsid w:val="00584F4C"/>
    <w:rsid w:val="00585072"/>
    <w:rsid w:val="005850DA"/>
    <w:rsid w:val="00585339"/>
    <w:rsid w:val="00585614"/>
    <w:rsid w:val="00585688"/>
    <w:rsid w:val="00585A66"/>
    <w:rsid w:val="00585BF9"/>
    <w:rsid w:val="00585D0D"/>
    <w:rsid w:val="00585FB9"/>
    <w:rsid w:val="0058622B"/>
    <w:rsid w:val="00586341"/>
    <w:rsid w:val="005863CB"/>
    <w:rsid w:val="00586634"/>
    <w:rsid w:val="00586742"/>
    <w:rsid w:val="00586784"/>
    <w:rsid w:val="0058689F"/>
    <w:rsid w:val="00586CD2"/>
    <w:rsid w:val="00586D49"/>
    <w:rsid w:val="005872F5"/>
    <w:rsid w:val="0058744F"/>
    <w:rsid w:val="00587455"/>
    <w:rsid w:val="005877DE"/>
    <w:rsid w:val="00587C0B"/>
    <w:rsid w:val="00587CCC"/>
    <w:rsid w:val="00587CF8"/>
    <w:rsid w:val="005902A3"/>
    <w:rsid w:val="00590477"/>
    <w:rsid w:val="00590575"/>
    <w:rsid w:val="00590587"/>
    <w:rsid w:val="005906F9"/>
    <w:rsid w:val="0059086C"/>
    <w:rsid w:val="00590A8F"/>
    <w:rsid w:val="00590F3C"/>
    <w:rsid w:val="00591214"/>
    <w:rsid w:val="00591339"/>
    <w:rsid w:val="005913D8"/>
    <w:rsid w:val="00591ACF"/>
    <w:rsid w:val="00592271"/>
    <w:rsid w:val="0059241E"/>
    <w:rsid w:val="005927E1"/>
    <w:rsid w:val="00592A11"/>
    <w:rsid w:val="00592ABD"/>
    <w:rsid w:val="00592D2D"/>
    <w:rsid w:val="00592E27"/>
    <w:rsid w:val="00592E6D"/>
    <w:rsid w:val="0059346E"/>
    <w:rsid w:val="00593A01"/>
    <w:rsid w:val="00593B6E"/>
    <w:rsid w:val="00593D63"/>
    <w:rsid w:val="00594E5F"/>
    <w:rsid w:val="005952DF"/>
    <w:rsid w:val="00595794"/>
    <w:rsid w:val="00595FF4"/>
    <w:rsid w:val="005966B3"/>
    <w:rsid w:val="00596E97"/>
    <w:rsid w:val="00596EAC"/>
    <w:rsid w:val="00596F97"/>
    <w:rsid w:val="00596FD4"/>
    <w:rsid w:val="0059720C"/>
    <w:rsid w:val="00597224"/>
    <w:rsid w:val="0059723A"/>
    <w:rsid w:val="00597721"/>
    <w:rsid w:val="00597DBB"/>
    <w:rsid w:val="005A00C7"/>
    <w:rsid w:val="005A031F"/>
    <w:rsid w:val="005A072C"/>
    <w:rsid w:val="005A0924"/>
    <w:rsid w:val="005A0CAD"/>
    <w:rsid w:val="005A0CCA"/>
    <w:rsid w:val="005A0E81"/>
    <w:rsid w:val="005A1094"/>
    <w:rsid w:val="005A16E4"/>
    <w:rsid w:val="005A18C7"/>
    <w:rsid w:val="005A1D1D"/>
    <w:rsid w:val="005A2089"/>
    <w:rsid w:val="005A20A7"/>
    <w:rsid w:val="005A2610"/>
    <w:rsid w:val="005A28D9"/>
    <w:rsid w:val="005A29E9"/>
    <w:rsid w:val="005A3215"/>
    <w:rsid w:val="005A3257"/>
    <w:rsid w:val="005A3475"/>
    <w:rsid w:val="005A4591"/>
    <w:rsid w:val="005A49A5"/>
    <w:rsid w:val="005A4CFA"/>
    <w:rsid w:val="005A51A1"/>
    <w:rsid w:val="005A560D"/>
    <w:rsid w:val="005A5789"/>
    <w:rsid w:val="005A5B09"/>
    <w:rsid w:val="005A5B3E"/>
    <w:rsid w:val="005A5D10"/>
    <w:rsid w:val="005A5ECD"/>
    <w:rsid w:val="005A6334"/>
    <w:rsid w:val="005A66C4"/>
    <w:rsid w:val="005A699A"/>
    <w:rsid w:val="005A6A08"/>
    <w:rsid w:val="005A6A8D"/>
    <w:rsid w:val="005A6D8F"/>
    <w:rsid w:val="005A7820"/>
    <w:rsid w:val="005A7B1F"/>
    <w:rsid w:val="005B00BF"/>
    <w:rsid w:val="005B0391"/>
    <w:rsid w:val="005B04D3"/>
    <w:rsid w:val="005B06D0"/>
    <w:rsid w:val="005B0C62"/>
    <w:rsid w:val="005B0C8F"/>
    <w:rsid w:val="005B130E"/>
    <w:rsid w:val="005B1327"/>
    <w:rsid w:val="005B1C98"/>
    <w:rsid w:val="005B23C6"/>
    <w:rsid w:val="005B257B"/>
    <w:rsid w:val="005B2627"/>
    <w:rsid w:val="005B2863"/>
    <w:rsid w:val="005B2B38"/>
    <w:rsid w:val="005B2BE0"/>
    <w:rsid w:val="005B2E1B"/>
    <w:rsid w:val="005B3030"/>
    <w:rsid w:val="005B3084"/>
    <w:rsid w:val="005B3324"/>
    <w:rsid w:val="005B35F5"/>
    <w:rsid w:val="005B3656"/>
    <w:rsid w:val="005B3922"/>
    <w:rsid w:val="005B398A"/>
    <w:rsid w:val="005B3D9E"/>
    <w:rsid w:val="005B3DBD"/>
    <w:rsid w:val="005B3E08"/>
    <w:rsid w:val="005B407C"/>
    <w:rsid w:val="005B433E"/>
    <w:rsid w:val="005B469C"/>
    <w:rsid w:val="005B4933"/>
    <w:rsid w:val="005B4DFD"/>
    <w:rsid w:val="005B4F9F"/>
    <w:rsid w:val="005B51F6"/>
    <w:rsid w:val="005B5293"/>
    <w:rsid w:val="005B5546"/>
    <w:rsid w:val="005B57CD"/>
    <w:rsid w:val="005B6324"/>
    <w:rsid w:val="005B6463"/>
    <w:rsid w:val="005B648C"/>
    <w:rsid w:val="005B661A"/>
    <w:rsid w:val="005B6AC8"/>
    <w:rsid w:val="005B6AE5"/>
    <w:rsid w:val="005B6BBB"/>
    <w:rsid w:val="005B6D2F"/>
    <w:rsid w:val="005B6E9F"/>
    <w:rsid w:val="005B72A7"/>
    <w:rsid w:val="005B7376"/>
    <w:rsid w:val="005B73A7"/>
    <w:rsid w:val="005B7622"/>
    <w:rsid w:val="005B7905"/>
    <w:rsid w:val="005B79DA"/>
    <w:rsid w:val="005B7F79"/>
    <w:rsid w:val="005C036C"/>
    <w:rsid w:val="005C0D70"/>
    <w:rsid w:val="005C111B"/>
    <w:rsid w:val="005C181F"/>
    <w:rsid w:val="005C1860"/>
    <w:rsid w:val="005C1913"/>
    <w:rsid w:val="005C1995"/>
    <w:rsid w:val="005C213D"/>
    <w:rsid w:val="005C22D3"/>
    <w:rsid w:val="005C25E4"/>
    <w:rsid w:val="005C268B"/>
    <w:rsid w:val="005C2AE8"/>
    <w:rsid w:val="005C327E"/>
    <w:rsid w:val="005C3473"/>
    <w:rsid w:val="005C36D9"/>
    <w:rsid w:val="005C37A9"/>
    <w:rsid w:val="005C37C4"/>
    <w:rsid w:val="005C3863"/>
    <w:rsid w:val="005C3D9A"/>
    <w:rsid w:val="005C3F29"/>
    <w:rsid w:val="005C3F4E"/>
    <w:rsid w:val="005C4A82"/>
    <w:rsid w:val="005C4C22"/>
    <w:rsid w:val="005C4E2C"/>
    <w:rsid w:val="005C5499"/>
    <w:rsid w:val="005C56F3"/>
    <w:rsid w:val="005C5C81"/>
    <w:rsid w:val="005C653E"/>
    <w:rsid w:val="005C656D"/>
    <w:rsid w:val="005C6705"/>
    <w:rsid w:val="005C69DF"/>
    <w:rsid w:val="005C6D0C"/>
    <w:rsid w:val="005C711E"/>
    <w:rsid w:val="005C7299"/>
    <w:rsid w:val="005C7741"/>
    <w:rsid w:val="005C7959"/>
    <w:rsid w:val="005C7A27"/>
    <w:rsid w:val="005C7C6C"/>
    <w:rsid w:val="005D0529"/>
    <w:rsid w:val="005D0BEF"/>
    <w:rsid w:val="005D100D"/>
    <w:rsid w:val="005D1132"/>
    <w:rsid w:val="005D191E"/>
    <w:rsid w:val="005D19FC"/>
    <w:rsid w:val="005D1C3F"/>
    <w:rsid w:val="005D1F8C"/>
    <w:rsid w:val="005D217D"/>
    <w:rsid w:val="005D26C1"/>
    <w:rsid w:val="005D2A35"/>
    <w:rsid w:val="005D2ADD"/>
    <w:rsid w:val="005D2CC3"/>
    <w:rsid w:val="005D2DBB"/>
    <w:rsid w:val="005D3012"/>
    <w:rsid w:val="005D3312"/>
    <w:rsid w:val="005D3974"/>
    <w:rsid w:val="005D3C7C"/>
    <w:rsid w:val="005D3E8B"/>
    <w:rsid w:val="005D41F8"/>
    <w:rsid w:val="005D42A9"/>
    <w:rsid w:val="005D440E"/>
    <w:rsid w:val="005D455E"/>
    <w:rsid w:val="005D56C6"/>
    <w:rsid w:val="005D5783"/>
    <w:rsid w:val="005D5960"/>
    <w:rsid w:val="005D59B5"/>
    <w:rsid w:val="005D5A33"/>
    <w:rsid w:val="005D5B2C"/>
    <w:rsid w:val="005D5D95"/>
    <w:rsid w:val="005D619E"/>
    <w:rsid w:val="005D6247"/>
    <w:rsid w:val="005D642B"/>
    <w:rsid w:val="005D6517"/>
    <w:rsid w:val="005D66B7"/>
    <w:rsid w:val="005D6939"/>
    <w:rsid w:val="005D6BF8"/>
    <w:rsid w:val="005D6CD9"/>
    <w:rsid w:val="005D6D47"/>
    <w:rsid w:val="005D7081"/>
    <w:rsid w:val="005D74D1"/>
    <w:rsid w:val="005D75EE"/>
    <w:rsid w:val="005D7C61"/>
    <w:rsid w:val="005D7F55"/>
    <w:rsid w:val="005E0100"/>
    <w:rsid w:val="005E07B2"/>
    <w:rsid w:val="005E0A0A"/>
    <w:rsid w:val="005E0AAA"/>
    <w:rsid w:val="005E0ACC"/>
    <w:rsid w:val="005E0E45"/>
    <w:rsid w:val="005E11D0"/>
    <w:rsid w:val="005E1521"/>
    <w:rsid w:val="005E1530"/>
    <w:rsid w:val="005E177C"/>
    <w:rsid w:val="005E17D1"/>
    <w:rsid w:val="005E17E1"/>
    <w:rsid w:val="005E18A4"/>
    <w:rsid w:val="005E1F78"/>
    <w:rsid w:val="005E2193"/>
    <w:rsid w:val="005E2253"/>
    <w:rsid w:val="005E27CB"/>
    <w:rsid w:val="005E2A0B"/>
    <w:rsid w:val="005E2E49"/>
    <w:rsid w:val="005E2FF8"/>
    <w:rsid w:val="005E3214"/>
    <w:rsid w:val="005E33CE"/>
    <w:rsid w:val="005E35F6"/>
    <w:rsid w:val="005E366F"/>
    <w:rsid w:val="005E4280"/>
    <w:rsid w:val="005E43D3"/>
    <w:rsid w:val="005E4C8A"/>
    <w:rsid w:val="005E4DDA"/>
    <w:rsid w:val="005E51F0"/>
    <w:rsid w:val="005E5BEE"/>
    <w:rsid w:val="005E6398"/>
    <w:rsid w:val="005E6AAC"/>
    <w:rsid w:val="005E6DF8"/>
    <w:rsid w:val="005E6E67"/>
    <w:rsid w:val="005E72F3"/>
    <w:rsid w:val="005E74B3"/>
    <w:rsid w:val="005E7579"/>
    <w:rsid w:val="005E7972"/>
    <w:rsid w:val="005E7ADF"/>
    <w:rsid w:val="005E7E8B"/>
    <w:rsid w:val="005F02FA"/>
    <w:rsid w:val="005F07F2"/>
    <w:rsid w:val="005F0C7C"/>
    <w:rsid w:val="005F0CF6"/>
    <w:rsid w:val="005F12CF"/>
    <w:rsid w:val="005F13B7"/>
    <w:rsid w:val="005F149E"/>
    <w:rsid w:val="005F14E4"/>
    <w:rsid w:val="005F296A"/>
    <w:rsid w:val="005F2A9F"/>
    <w:rsid w:val="005F31FB"/>
    <w:rsid w:val="005F3433"/>
    <w:rsid w:val="005F3910"/>
    <w:rsid w:val="005F3BCB"/>
    <w:rsid w:val="005F3C30"/>
    <w:rsid w:val="005F3D60"/>
    <w:rsid w:val="005F48E1"/>
    <w:rsid w:val="005F4A89"/>
    <w:rsid w:val="005F4B62"/>
    <w:rsid w:val="005F4B91"/>
    <w:rsid w:val="005F51BE"/>
    <w:rsid w:val="005F520E"/>
    <w:rsid w:val="005F540C"/>
    <w:rsid w:val="005F5426"/>
    <w:rsid w:val="005F54EB"/>
    <w:rsid w:val="005F5E38"/>
    <w:rsid w:val="005F6076"/>
    <w:rsid w:val="005F63B1"/>
    <w:rsid w:val="005F69BD"/>
    <w:rsid w:val="005F6A66"/>
    <w:rsid w:val="005F6EC9"/>
    <w:rsid w:val="005F78BE"/>
    <w:rsid w:val="005F79B3"/>
    <w:rsid w:val="005F7AE4"/>
    <w:rsid w:val="0060024D"/>
    <w:rsid w:val="006002EC"/>
    <w:rsid w:val="00600B82"/>
    <w:rsid w:val="0060168A"/>
    <w:rsid w:val="006021FD"/>
    <w:rsid w:val="0060240D"/>
    <w:rsid w:val="0060262E"/>
    <w:rsid w:val="006029A9"/>
    <w:rsid w:val="006029C2"/>
    <w:rsid w:val="006030D3"/>
    <w:rsid w:val="006031E0"/>
    <w:rsid w:val="0060344D"/>
    <w:rsid w:val="00603761"/>
    <w:rsid w:val="006039CE"/>
    <w:rsid w:val="006039EB"/>
    <w:rsid w:val="00604AC9"/>
    <w:rsid w:val="00604C74"/>
    <w:rsid w:val="0060505A"/>
    <w:rsid w:val="00605129"/>
    <w:rsid w:val="0060516B"/>
    <w:rsid w:val="00605774"/>
    <w:rsid w:val="006058C0"/>
    <w:rsid w:val="00605EFA"/>
    <w:rsid w:val="00606480"/>
    <w:rsid w:val="0060666B"/>
    <w:rsid w:val="006075C8"/>
    <w:rsid w:val="00607732"/>
    <w:rsid w:val="00607778"/>
    <w:rsid w:val="006078CA"/>
    <w:rsid w:val="00607A83"/>
    <w:rsid w:val="00607E09"/>
    <w:rsid w:val="00607F64"/>
    <w:rsid w:val="006100AB"/>
    <w:rsid w:val="0061032D"/>
    <w:rsid w:val="006108C7"/>
    <w:rsid w:val="00610D30"/>
    <w:rsid w:val="00610E05"/>
    <w:rsid w:val="00610EC0"/>
    <w:rsid w:val="00610FC0"/>
    <w:rsid w:val="00611536"/>
    <w:rsid w:val="0061165F"/>
    <w:rsid w:val="006116F8"/>
    <w:rsid w:val="00611800"/>
    <w:rsid w:val="00611ABA"/>
    <w:rsid w:val="00611B82"/>
    <w:rsid w:val="00611CCD"/>
    <w:rsid w:val="00612169"/>
    <w:rsid w:val="00612344"/>
    <w:rsid w:val="00612A2B"/>
    <w:rsid w:val="00612A59"/>
    <w:rsid w:val="0061352E"/>
    <w:rsid w:val="00613561"/>
    <w:rsid w:val="00613DD3"/>
    <w:rsid w:val="00613EE0"/>
    <w:rsid w:val="00613FEA"/>
    <w:rsid w:val="006142E0"/>
    <w:rsid w:val="00614B5E"/>
    <w:rsid w:val="00614BDC"/>
    <w:rsid w:val="00614E57"/>
    <w:rsid w:val="00615100"/>
    <w:rsid w:val="00615246"/>
    <w:rsid w:val="006154BE"/>
    <w:rsid w:val="00615943"/>
    <w:rsid w:val="006160B9"/>
    <w:rsid w:val="00616CF1"/>
    <w:rsid w:val="00616E2D"/>
    <w:rsid w:val="006170D7"/>
    <w:rsid w:val="006170E4"/>
    <w:rsid w:val="00617F61"/>
    <w:rsid w:val="0062012E"/>
    <w:rsid w:val="006204E2"/>
    <w:rsid w:val="006207E7"/>
    <w:rsid w:val="0062106D"/>
    <w:rsid w:val="00621664"/>
    <w:rsid w:val="0062173C"/>
    <w:rsid w:val="00621AD0"/>
    <w:rsid w:val="00621D96"/>
    <w:rsid w:val="00622409"/>
    <w:rsid w:val="0062264F"/>
    <w:rsid w:val="00622BDF"/>
    <w:rsid w:val="0062306D"/>
    <w:rsid w:val="006230C2"/>
    <w:rsid w:val="00623C78"/>
    <w:rsid w:val="00623F02"/>
    <w:rsid w:val="00624320"/>
    <w:rsid w:val="00624B40"/>
    <w:rsid w:val="00624FF8"/>
    <w:rsid w:val="0062539C"/>
    <w:rsid w:val="0062540B"/>
    <w:rsid w:val="006256E9"/>
    <w:rsid w:val="00626044"/>
    <w:rsid w:val="0062614C"/>
    <w:rsid w:val="006264B3"/>
    <w:rsid w:val="00626BCA"/>
    <w:rsid w:val="00626D42"/>
    <w:rsid w:val="00626DD5"/>
    <w:rsid w:val="00627404"/>
    <w:rsid w:val="00627945"/>
    <w:rsid w:val="00627EA9"/>
    <w:rsid w:val="006305D8"/>
    <w:rsid w:val="006306A4"/>
    <w:rsid w:val="00630C3B"/>
    <w:rsid w:val="00630C4B"/>
    <w:rsid w:val="00630D28"/>
    <w:rsid w:val="00630E2E"/>
    <w:rsid w:val="006312BE"/>
    <w:rsid w:val="00631324"/>
    <w:rsid w:val="00631524"/>
    <w:rsid w:val="00631B41"/>
    <w:rsid w:val="00631FCE"/>
    <w:rsid w:val="0063201D"/>
    <w:rsid w:val="00632251"/>
    <w:rsid w:val="006322EA"/>
    <w:rsid w:val="006329FB"/>
    <w:rsid w:val="00633368"/>
    <w:rsid w:val="006333D4"/>
    <w:rsid w:val="0063387C"/>
    <w:rsid w:val="00633882"/>
    <w:rsid w:val="00633E85"/>
    <w:rsid w:val="00633E9A"/>
    <w:rsid w:val="00634174"/>
    <w:rsid w:val="00634184"/>
    <w:rsid w:val="006343A3"/>
    <w:rsid w:val="006346D3"/>
    <w:rsid w:val="00634C06"/>
    <w:rsid w:val="00634D47"/>
    <w:rsid w:val="00635149"/>
    <w:rsid w:val="0063542E"/>
    <w:rsid w:val="00635442"/>
    <w:rsid w:val="00635877"/>
    <w:rsid w:val="00635CA2"/>
    <w:rsid w:val="0063748C"/>
    <w:rsid w:val="006403B2"/>
    <w:rsid w:val="006406F1"/>
    <w:rsid w:val="00640CD4"/>
    <w:rsid w:val="00640FFB"/>
    <w:rsid w:val="006410D9"/>
    <w:rsid w:val="006419C4"/>
    <w:rsid w:val="00642252"/>
    <w:rsid w:val="006426F8"/>
    <w:rsid w:val="006427BD"/>
    <w:rsid w:val="006427E4"/>
    <w:rsid w:val="00642B3B"/>
    <w:rsid w:val="00642CA5"/>
    <w:rsid w:val="006432F8"/>
    <w:rsid w:val="00643571"/>
    <w:rsid w:val="0064360F"/>
    <w:rsid w:val="0064377B"/>
    <w:rsid w:val="006437E1"/>
    <w:rsid w:val="0064384A"/>
    <w:rsid w:val="00643C2E"/>
    <w:rsid w:val="006445B6"/>
    <w:rsid w:val="0064498C"/>
    <w:rsid w:val="00644C94"/>
    <w:rsid w:val="00645412"/>
    <w:rsid w:val="006454B2"/>
    <w:rsid w:val="0064563E"/>
    <w:rsid w:val="00645975"/>
    <w:rsid w:val="00645C07"/>
    <w:rsid w:val="00645CC0"/>
    <w:rsid w:val="00645FCD"/>
    <w:rsid w:val="00646CFE"/>
    <w:rsid w:val="00647297"/>
    <w:rsid w:val="00647675"/>
    <w:rsid w:val="00647A4A"/>
    <w:rsid w:val="00647E31"/>
    <w:rsid w:val="00650100"/>
    <w:rsid w:val="00650252"/>
    <w:rsid w:val="00650A36"/>
    <w:rsid w:val="00650D27"/>
    <w:rsid w:val="00651046"/>
    <w:rsid w:val="006513BB"/>
    <w:rsid w:val="00651404"/>
    <w:rsid w:val="00651BB0"/>
    <w:rsid w:val="00652731"/>
    <w:rsid w:val="00652A4A"/>
    <w:rsid w:val="00652BB0"/>
    <w:rsid w:val="00653164"/>
    <w:rsid w:val="00653320"/>
    <w:rsid w:val="00653674"/>
    <w:rsid w:val="00653D89"/>
    <w:rsid w:val="00653DF6"/>
    <w:rsid w:val="00654548"/>
    <w:rsid w:val="00654621"/>
    <w:rsid w:val="006546FA"/>
    <w:rsid w:val="00654957"/>
    <w:rsid w:val="00654A69"/>
    <w:rsid w:val="006552E6"/>
    <w:rsid w:val="0065538E"/>
    <w:rsid w:val="00655951"/>
    <w:rsid w:val="0065678C"/>
    <w:rsid w:val="00657465"/>
    <w:rsid w:val="00657970"/>
    <w:rsid w:val="00657A59"/>
    <w:rsid w:val="00657D34"/>
    <w:rsid w:val="0066035A"/>
    <w:rsid w:val="006607AA"/>
    <w:rsid w:val="006611A6"/>
    <w:rsid w:val="006616A2"/>
    <w:rsid w:val="006618E4"/>
    <w:rsid w:val="00661BCB"/>
    <w:rsid w:val="00661E7C"/>
    <w:rsid w:val="00661F83"/>
    <w:rsid w:val="006623B0"/>
    <w:rsid w:val="006624F1"/>
    <w:rsid w:val="00662736"/>
    <w:rsid w:val="00662C78"/>
    <w:rsid w:val="00662CDF"/>
    <w:rsid w:val="00662EA9"/>
    <w:rsid w:val="00663BEF"/>
    <w:rsid w:val="00663E3A"/>
    <w:rsid w:val="00664286"/>
    <w:rsid w:val="0066429D"/>
    <w:rsid w:val="006642A7"/>
    <w:rsid w:val="006643D8"/>
    <w:rsid w:val="006643E3"/>
    <w:rsid w:val="006646CD"/>
    <w:rsid w:val="00665373"/>
    <w:rsid w:val="0066568D"/>
    <w:rsid w:val="0066596C"/>
    <w:rsid w:val="00665984"/>
    <w:rsid w:val="00665A98"/>
    <w:rsid w:val="00665F0C"/>
    <w:rsid w:val="00666995"/>
    <w:rsid w:val="00666BA2"/>
    <w:rsid w:val="00666DC2"/>
    <w:rsid w:val="00666EEE"/>
    <w:rsid w:val="006673A6"/>
    <w:rsid w:val="00667DB8"/>
    <w:rsid w:val="00667FD5"/>
    <w:rsid w:val="00670383"/>
    <w:rsid w:val="006704E6"/>
    <w:rsid w:val="006708B9"/>
    <w:rsid w:val="006708FE"/>
    <w:rsid w:val="00670A12"/>
    <w:rsid w:val="00670BA9"/>
    <w:rsid w:val="00670CEF"/>
    <w:rsid w:val="0067174A"/>
    <w:rsid w:val="00671BC3"/>
    <w:rsid w:val="00671C4A"/>
    <w:rsid w:val="00671DC7"/>
    <w:rsid w:val="00672005"/>
    <w:rsid w:val="00672031"/>
    <w:rsid w:val="006720E3"/>
    <w:rsid w:val="0067211D"/>
    <w:rsid w:val="0067227D"/>
    <w:rsid w:val="00672340"/>
    <w:rsid w:val="00672519"/>
    <w:rsid w:val="00672A63"/>
    <w:rsid w:val="00672C30"/>
    <w:rsid w:val="00672DB2"/>
    <w:rsid w:val="00672E03"/>
    <w:rsid w:val="006731A6"/>
    <w:rsid w:val="0067329B"/>
    <w:rsid w:val="00673F33"/>
    <w:rsid w:val="00674011"/>
    <w:rsid w:val="00674751"/>
    <w:rsid w:val="00674866"/>
    <w:rsid w:val="00674DB6"/>
    <w:rsid w:val="00674EA8"/>
    <w:rsid w:val="006750BA"/>
    <w:rsid w:val="0067524B"/>
    <w:rsid w:val="00675493"/>
    <w:rsid w:val="00675550"/>
    <w:rsid w:val="00675678"/>
    <w:rsid w:val="006758BB"/>
    <w:rsid w:val="00675AD4"/>
    <w:rsid w:val="00675F5A"/>
    <w:rsid w:val="0067625B"/>
    <w:rsid w:val="006763F4"/>
    <w:rsid w:val="00676753"/>
    <w:rsid w:val="00676D92"/>
    <w:rsid w:val="0067799E"/>
    <w:rsid w:val="00677AB8"/>
    <w:rsid w:val="00677B8E"/>
    <w:rsid w:val="0068073E"/>
    <w:rsid w:val="006809EB"/>
    <w:rsid w:val="00680C03"/>
    <w:rsid w:val="00680F89"/>
    <w:rsid w:val="00681021"/>
    <w:rsid w:val="006819CD"/>
    <w:rsid w:val="00681B12"/>
    <w:rsid w:val="00682100"/>
    <w:rsid w:val="006821C2"/>
    <w:rsid w:val="0068228F"/>
    <w:rsid w:val="00682943"/>
    <w:rsid w:val="00682CB5"/>
    <w:rsid w:val="0068323D"/>
    <w:rsid w:val="00683C6E"/>
    <w:rsid w:val="00684699"/>
    <w:rsid w:val="00684819"/>
    <w:rsid w:val="0068482E"/>
    <w:rsid w:val="006854C3"/>
    <w:rsid w:val="00685C7C"/>
    <w:rsid w:val="00685E04"/>
    <w:rsid w:val="00686029"/>
    <w:rsid w:val="00686999"/>
    <w:rsid w:val="00686ADF"/>
    <w:rsid w:val="00687730"/>
    <w:rsid w:val="00687B00"/>
    <w:rsid w:val="006908F2"/>
    <w:rsid w:val="00690AAC"/>
    <w:rsid w:val="00690C8B"/>
    <w:rsid w:val="00690F2E"/>
    <w:rsid w:val="00690FFD"/>
    <w:rsid w:val="00691244"/>
    <w:rsid w:val="00691543"/>
    <w:rsid w:val="00691597"/>
    <w:rsid w:val="0069162D"/>
    <w:rsid w:val="00691B42"/>
    <w:rsid w:val="00691F4C"/>
    <w:rsid w:val="00692E59"/>
    <w:rsid w:val="006933C6"/>
    <w:rsid w:val="00693482"/>
    <w:rsid w:val="00693510"/>
    <w:rsid w:val="00693A6C"/>
    <w:rsid w:val="00693F3E"/>
    <w:rsid w:val="006945C1"/>
    <w:rsid w:val="00694974"/>
    <w:rsid w:val="00694A42"/>
    <w:rsid w:val="00694D7B"/>
    <w:rsid w:val="006953E8"/>
    <w:rsid w:val="00695715"/>
    <w:rsid w:val="006958B6"/>
    <w:rsid w:val="00695EF4"/>
    <w:rsid w:val="00696988"/>
    <w:rsid w:val="00696C57"/>
    <w:rsid w:val="00696EF2"/>
    <w:rsid w:val="00697004"/>
    <w:rsid w:val="0069755C"/>
    <w:rsid w:val="006975EE"/>
    <w:rsid w:val="006979DA"/>
    <w:rsid w:val="00697CD0"/>
    <w:rsid w:val="00697E92"/>
    <w:rsid w:val="00697F19"/>
    <w:rsid w:val="006A01D9"/>
    <w:rsid w:val="006A025B"/>
    <w:rsid w:val="006A059A"/>
    <w:rsid w:val="006A0AE9"/>
    <w:rsid w:val="006A0C8A"/>
    <w:rsid w:val="006A1286"/>
    <w:rsid w:val="006A174A"/>
    <w:rsid w:val="006A1A5B"/>
    <w:rsid w:val="006A1CAA"/>
    <w:rsid w:val="006A235E"/>
    <w:rsid w:val="006A23A5"/>
    <w:rsid w:val="006A295C"/>
    <w:rsid w:val="006A2B20"/>
    <w:rsid w:val="006A3114"/>
    <w:rsid w:val="006A35A6"/>
    <w:rsid w:val="006A3940"/>
    <w:rsid w:val="006A3ACA"/>
    <w:rsid w:val="006A3D7D"/>
    <w:rsid w:val="006A437A"/>
    <w:rsid w:val="006A4697"/>
    <w:rsid w:val="006A46E4"/>
    <w:rsid w:val="006A4A65"/>
    <w:rsid w:val="006A50CD"/>
    <w:rsid w:val="006A511B"/>
    <w:rsid w:val="006A517A"/>
    <w:rsid w:val="006A539E"/>
    <w:rsid w:val="006A56C3"/>
    <w:rsid w:val="006A573A"/>
    <w:rsid w:val="006A57FF"/>
    <w:rsid w:val="006A5976"/>
    <w:rsid w:val="006A59C4"/>
    <w:rsid w:val="006A5BC9"/>
    <w:rsid w:val="006A618A"/>
    <w:rsid w:val="006A642F"/>
    <w:rsid w:val="006A6599"/>
    <w:rsid w:val="006A665F"/>
    <w:rsid w:val="006A6667"/>
    <w:rsid w:val="006A6712"/>
    <w:rsid w:val="006A6793"/>
    <w:rsid w:val="006A67B4"/>
    <w:rsid w:val="006A68C6"/>
    <w:rsid w:val="006A6FF6"/>
    <w:rsid w:val="006A7D98"/>
    <w:rsid w:val="006B053A"/>
    <w:rsid w:val="006B07C4"/>
    <w:rsid w:val="006B09A0"/>
    <w:rsid w:val="006B0EB0"/>
    <w:rsid w:val="006B161C"/>
    <w:rsid w:val="006B1702"/>
    <w:rsid w:val="006B1722"/>
    <w:rsid w:val="006B1CC3"/>
    <w:rsid w:val="006B1D5A"/>
    <w:rsid w:val="006B1D9C"/>
    <w:rsid w:val="006B1F77"/>
    <w:rsid w:val="006B20B2"/>
    <w:rsid w:val="006B2221"/>
    <w:rsid w:val="006B235B"/>
    <w:rsid w:val="006B276B"/>
    <w:rsid w:val="006B378C"/>
    <w:rsid w:val="006B386D"/>
    <w:rsid w:val="006B3D25"/>
    <w:rsid w:val="006B3D2D"/>
    <w:rsid w:val="006B42D4"/>
    <w:rsid w:val="006B4AFF"/>
    <w:rsid w:val="006B4D92"/>
    <w:rsid w:val="006B53A1"/>
    <w:rsid w:val="006B548B"/>
    <w:rsid w:val="006B5575"/>
    <w:rsid w:val="006B5A1A"/>
    <w:rsid w:val="006B5CF6"/>
    <w:rsid w:val="006B5E3D"/>
    <w:rsid w:val="006B5E54"/>
    <w:rsid w:val="006B6312"/>
    <w:rsid w:val="006B6C4F"/>
    <w:rsid w:val="006B6DCD"/>
    <w:rsid w:val="006B6E37"/>
    <w:rsid w:val="006B78C3"/>
    <w:rsid w:val="006B7AA5"/>
    <w:rsid w:val="006B7C57"/>
    <w:rsid w:val="006B7F6E"/>
    <w:rsid w:val="006B7FA1"/>
    <w:rsid w:val="006C0039"/>
    <w:rsid w:val="006C036D"/>
    <w:rsid w:val="006C084E"/>
    <w:rsid w:val="006C0CA8"/>
    <w:rsid w:val="006C0D60"/>
    <w:rsid w:val="006C0D65"/>
    <w:rsid w:val="006C0E06"/>
    <w:rsid w:val="006C1594"/>
    <w:rsid w:val="006C17D2"/>
    <w:rsid w:val="006C1D2A"/>
    <w:rsid w:val="006C1F56"/>
    <w:rsid w:val="006C2CF9"/>
    <w:rsid w:val="006C2EAA"/>
    <w:rsid w:val="006C2F33"/>
    <w:rsid w:val="006C32CE"/>
    <w:rsid w:val="006C346F"/>
    <w:rsid w:val="006C34C0"/>
    <w:rsid w:val="006C3740"/>
    <w:rsid w:val="006C3775"/>
    <w:rsid w:val="006C39BD"/>
    <w:rsid w:val="006C3A0F"/>
    <w:rsid w:val="006C3C5D"/>
    <w:rsid w:val="006C3C8F"/>
    <w:rsid w:val="006C3FC3"/>
    <w:rsid w:val="006C482C"/>
    <w:rsid w:val="006C4838"/>
    <w:rsid w:val="006C4C4E"/>
    <w:rsid w:val="006C4FEE"/>
    <w:rsid w:val="006C530B"/>
    <w:rsid w:val="006C5439"/>
    <w:rsid w:val="006C5A0C"/>
    <w:rsid w:val="006C5ED7"/>
    <w:rsid w:val="006C5F1B"/>
    <w:rsid w:val="006C6023"/>
    <w:rsid w:val="006C604B"/>
    <w:rsid w:val="006C649A"/>
    <w:rsid w:val="006C6838"/>
    <w:rsid w:val="006C6B2A"/>
    <w:rsid w:val="006C6C23"/>
    <w:rsid w:val="006C6CB6"/>
    <w:rsid w:val="006C6CCB"/>
    <w:rsid w:val="006C7163"/>
    <w:rsid w:val="006C7513"/>
    <w:rsid w:val="006C75D3"/>
    <w:rsid w:val="006C7EA1"/>
    <w:rsid w:val="006C7F43"/>
    <w:rsid w:val="006C7F94"/>
    <w:rsid w:val="006D07B5"/>
    <w:rsid w:val="006D0D27"/>
    <w:rsid w:val="006D1B73"/>
    <w:rsid w:val="006D2768"/>
    <w:rsid w:val="006D2C4B"/>
    <w:rsid w:val="006D2F19"/>
    <w:rsid w:val="006D2F59"/>
    <w:rsid w:val="006D31DA"/>
    <w:rsid w:val="006D3370"/>
    <w:rsid w:val="006D338D"/>
    <w:rsid w:val="006D346C"/>
    <w:rsid w:val="006D36D6"/>
    <w:rsid w:val="006D3740"/>
    <w:rsid w:val="006D3AD1"/>
    <w:rsid w:val="006D3E23"/>
    <w:rsid w:val="006D415E"/>
    <w:rsid w:val="006D442E"/>
    <w:rsid w:val="006D4540"/>
    <w:rsid w:val="006D4784"/>
    <w:rsid w:val="006D47FE"/>
    <w:rsid w:val="006D4A03"/>
    <w:rsid w:val="006D4A3C"/>
    <w:rsid w:val="006D50E1"/>
    <w:rsid w:val="006D5421"/>
    <w:rsid w:val="006D5722"/>
    <w:rsid w:val="006D5E97"/>
    <w:rsid w:val="006D6006"/>
    <w:rsid w:val="006D6102"/>
    <w:rsid w:val="006D64A7"/>
    <w:rsid w:val="006D6BF0"/>
    <w:rsid w:val="006D71FC"/>
    <w:rsid w:val="006D7213"/>
    <w:rsid w:val="006D751C"/>
    <w:rsid w:val="006D77F1"/>
    <w:rsid w:val="006E06DC"/>
    <w:rsid w:val="006E06E3"/>
    <w:rsid w:val="006E071E"/>
    <w:rsid w:val="006E0B20"/>
    <w:rsid w:val="006E0C29"/>
    <w:rsid w:val="006E0DC8"/>
    <w:rsid w:val="006E0F20"/>
    <w:rsid w:val="006E10B0"/>
    <w:rsid w:val="006E13EB"/>
    <w:rsid w:val="006E18E2"/>
    <w:rsid w:val="006E1C2F"/>
    <w:rsid w:val="006E20CA"/>
    <w:rsid w:val="006E2B37"/>
    <w:rsid w:val="006E2F3A"/>
    <w:rsid w:val="006E34B0"/>
    <w:rsid w:val="006E373B"/>
    <w:rsid w:val="006E3BC0"/>
    <w:rsid w:val="006E3F41"/>
    <w:rsid w:val="006E4089"/>
    <w:rsid w:val="006E418A"/>
    <w:rsid w:val="006E4302"/>
    <w:rsid w:val="006E462C"/>
    <w:rsid w:val="006E46ED"/>
    <w:rsid w:val="006E46EE"/>
    <w:rsid w:val="006E4CA1"/>
    <w:rsid w:val="006E4D16"/>
    <w:rsid w:val="006E5183"/>
    <w:rsid w:val="006E5568"/>
    <w:rsid w:val="006E5BAD"/>
    <w:rsid w:val="006E6322"/>
    <w:rsid w:val="006E6764"/>
    <w:rsid w:val="006E6843"/>
    <w:rsid w:val="006E6B4B"/>
    <w:rsid w:val="006E6B89"/>
    <w:rsid w:val="006E7249"/>
    <w:rsid w:val="006E7715"/>
    <w:rsid w:val="006E778A"/>
    <w:rsid w:val="006E7ABB"/>
    <w:rsid w:val="006E7B72"/>
    <w:rsid w:val="006F0368"/>
    <w:rsid w:val="006F04AA"/>
    <w:rsid w:val="006F0587"/>
    <w:rsid w:val="006F0774"/>
    <w:rsid w:val="006F0E25"/>
    <w:rsid w:val="006F0E9C"/>
    <w:rsid w:val="006F133D"/>
    <w:rsid w:val="006F1BBC"/>
    <w:rsid w:val="006F1E78"/>
    <w:rsid w:val="006F2079"/>
    <w:rsid w:val="006F21A4"/>
    <w:rsid w:val="006F2588"/>
    <w:rsid w:val="006F26BC"/>
    <w:rsid w:val="006F2C62"/>
    <w:rsid w:val="006F2CD7"/>
    <w:rsid w:val="006F3191"/>
    <w:rsid w:val="006F3987"/>
    <w:rsid w:val="006F3D95"/>
    <w:rsid w:val="006F3EE1"/>
    <w:rsid w:val="006F423F"/>
    <w:rsid w:val="006F44B4"/>
    <w:rsid w:val="006F4D04"/>
    <w:rsid w:val="006F51F0"/>
    <w:rsid w:val="006F5AC9"/>
    <w:rsid w:val="006F5C82"/>
    <w:rsid w:val="006F5FBE"/>
    <w:rsid w:val="006F64D2"/>
    <w:rsid w:val="006F655B"/>
    <w:rsid w:val="006F66A3"/>
    <w:rsid w:val="006F6B60"/>
    <w:rsid w:val="006F6E23"/>
    <w:rsid w:val="006F6EF7"/>
    <w:rsid w:val="006F719B"/>
    <w:rsid w:val="006F7464"/>
    <w:rsid w:val="006F7603"/>
    <w:rsid w:val="006F7B2E"/>
    <w:rsid w:val="006F7D56"/>
    <w:rsid w:val="006F7DF6"/>
    <w:rsid w:val="007000CC"/>
    <w:rsid w:val="00700960"/>
    <w:rsid w:val="00700A98"/>
    <w:rsid w:val="00700D57"/>
    <w:rsid w:val="00700E6C"/>
    <w:rsid w:val="007010AC"/>
    <w:rsid w:val="00701286"/>
    <w:rsid w:val="007012F9"/>
    <w:rsid w:val="00701529"/>
    <w:rsid w:val="007015A8"/>
    <w:rsid w:val="00701B39"/>
    <w:rsid w:val="00701BFB"/>
    <w:rsid w:val="00701C58"/>
    <w:rsid w:val="00702940"/>
    <w:rsid w:val="00702A15"/>
    <w:rsid w:val="00702BA0"/>
    <w:rsid w:val="0070381C"/>
    <w:rsid w:val="00703A8B"/>
    <w:rsid w:val="00703C4B"/>
    <w:rsid w:val="00704165"/>
    <w:rsid w:val="007042CC"/>
    <w:rsid w:val="007044FD"/>
    <w:rsid w:val="00704990"/>
    <w:rsid w:val="00704C0D"/>
    <w:rsid w:val="00704E9E"/>
    <w:rsid w:val="00704FDF"/>
    <w:rsid w:val="007054C3"/>
    <w:rsid w:val="0070553D"/>
    <w:rsid w:val="0070565F"/>
    <w:rsid w:val="00705DC6"/>
    <w:rsid w:val="00705F5C"/>
    <w:rsid w:val="00706BC3"/>
    <w:rsid w:val="00706BED"/>
    <w:rsid w:val="00706C01"/>
    <w:rsid w:val="00706E2E"/>
    <w:rsid w:val="00707317"/>
    <w:rsid w:val="00707803"/>
    <w:rsid w:val="00707C13"/>
    <w:rsid w:val="00707C43"/>
    <w:rsid w:val="00710202"/>
    <w:rsid w:val="00710215"/>
    <w:rsid w:val="00710318"/>
    <w:rsid w:val="007105C2"/>
    <w:rsid w:val="00710809"/>
    <w:rsid w:val="00710912"/>
    <w:rsid w:val="00710EAC"/>
    <w:rsid w:val="007111A4"/>
    <w:rsid w:val="007112C7"/>
    <w:rsid w:val="007112F2"/>
    <w:rsid w:val="007114F3"/>
    <w:rsid w:val="00711857"/>
    <w:rsid w:val="00711A53"/>
    <w:rsid w:val="00711ACD"/>
    <w:rsid w:val="00711EC3"/>
    <w:rsid w:val="00712070"/>
    <w:rsid w:val="0071214D"/>
    <w:rsid w:val="00712A18"/>
    <w:rsid w:val="00712A3C"/>
    <w:rsid w:val="00712BA2"/>
    <w:rsid w:val="00712D32"/>
    <w:rsid w:val="00712EC1"/>
    <w:rsid w:val="00713137"/>
    <w:rsid w:val="00713216"/>
    <w:rsid w:val="00713663"/>
    <w:rsid w:val="007136FC"/>
    <w:rsid w:val="007138C4"/>
    <w:rsid w:val="00714C69"/>
    <w:rsid w:val="00714D50"/>
    <w:rsid w:val="0071514D"/>
    <w:rsid w:val="007156A1"/>
    <w:rsid w:val="00715ACD"/>
    <w:rsid w:val="00715D9E"/>
    <w:rsid w:val="00715E4F"/>
    <w:rsid w:val="00715FEF"/>
    <w:rsid w:val="0071648F"/>
    <w:rsid w:val="0071650C"/>
    <w:rsid w:val="00716DFE"/>
    <w:rsid w:val="00716E12"/>
    <w:rsid w:val="007171F2"/>
    <w:rsid w:val="007177BE"/>
    <w:rsid w:val="00717B16"/>
    <w:rsid w:val="00717E0C"/>
    <w:rsid w:val="007202AA"/>
    <w:rsid w:val="007202B8"/>
    <w:rsid w:val="007202D9"/>
    <w:rsid w:val="00720414"/>
    <w:rsid w:val="0072061E"/>
    <w:rsid w:val="00720E83"/>
    <w:rsid w:val="00721716"/>
    <w:rsid w:val="007217BD"/>
    <w:rsid w:val="0072185D"/>
    <w:rsid w:val="00721A4C"/>
    <w:rsid w:val="00721AAB"/>
    <w:rsid w:val="00721CE3"/>
    <w:rsid w:val="00721E1F"/>
    <w:rsid w:val="00722A53"/>
    <w:rsid w:val="00722BD6"/>
    <w:rsid w:val="00722C06"/>
    <w:rsid w:val="00722C25"/>
    <w:rsid w:val="00722E57"/>
    <w:rsid w:val="007232AB"/>
    <w:rsid w:val="007232E5"/>
    <w:rsid w:val="00723462"/>
    <w:rsid w:val="0072399A"/>
    <w:rsid w:val="00723BC0"/>
    <w:rsid w:val="00723CFA"/>
    <w:rsid w:val="007240B4"/>
    <w:rsid w:val="007243EF"/>
    <w:rsid w:val="00724405"/>
    <w:rsid w:val="00724779"/>
    <w:rsid w:val="00724A3B"/>
    <w:rsid w:val="00724A53"/>
    <w:rsid w:val="00724E15"/>
    <w:rsid w:val="00725A7F"/>
    <w:rsid w:val="00726515"/>
    <w:rsid w:val="007268D5"/>
    <w:rsid w:val="00726989"/>
    <w:rsid w:val="00726B0B"/>
    <w:rsid w:val="007270E0"/>
    <w:rsid w:val="0072754C"/>
    <w:rsid w:val="007279ED"/>
    <w:rsid w:val="00727A75"/>
    <w:rsid w:val="00727E7A"/>
    <w:rsid w:val="00727EE5"/>
    <w:rsid w:val="007300F8"/>
    <w:rsid w:val="007307A4"/>
    <w:rsid w:val="007308AC"/>
    <w:rsid w:val="007308AE"/>
    <w:rsid w:val="00730BF8"/>
    <w:rsid w:val="00730E76"/>
    <w:rsid w:val="00730F93"/>
    <w:rsid w:val="0073107C"/>
    <w:rsid w:val="007310B8"/>
    <w:rsid w:val="0073115D"/>
    <w:rsid w:val="00731348"/>
    <w:rsid w:val="00731807"/>
    <w:rsid w:val="00731869"/>
    <w:rsid w:val="00731A75"/>
    <w:rsid w:val="00731AFC"/>
    <w:rsid w:val="00731E22"/>
    <w:rsid w:val="00732904"/>
    <w:rsid w:val="00732C09"/>
    <w:rsid w:val="00732DE5"/>
    <w:rsid w:val="007330A6"/>
    <w:rsid w:val="00733FFF"/>
    <w:rsid w:val="00734128"/>
    <w:rsid w:val="0073460D"/>
    <w:rsid w:val="00734620"/>
    <w:rsid w:val="007348DD"/>
    <w:rsid w:val="00734E7A"/>
    <w:rsid w:val="00735124"/>
    <w:rsid w:val="00735490"/>
    <w:rsid w:val="007355B9"/>
    <w:rsid w:val="00735741"/>
    <w:rsid w:val="00735E01"/>
    <w:rsid w:val="00736473"/>
    <w:rsid w:val="0073655B"/>
    <w:rsid w:val="00736739"/>
    <w:rsid w:val="00736BDA"/>
    <w:rsid w:val="00737277"/>
    <w:rsid w:val="0073764C"/>
    <w:rsid w:val="0073781B"/>
    <w:rsid w:val="00737AB3"/>
    <w:rsid w:val="00737CAA"/>
    <w:rsid w:val="007401C2"/>
    <w:rsid w:val="007401EA"/>
    <w:rsid w:val="00740767"/>
    <w:rsid w:val="007407B2"/>
    <w:rsid w:val="00740816"/>
    <w:rsid w:val="00740F55"/>
    <w:rsid w:val="00741145"/>
    <w:rsid w:val="00741209"/>
    <w:rsid w:val="00741525"/>
    <w:rsid w:val="00741540"/>
    <w:rsid w:val="00741617"/>
    <w:rsid w:val="007416E8"/>
    <w:rsid w:val="00741F0B"/>
    <w:rsid w:val="00742209"/>
    <w:rsid w:val="00742342"/>
    <w:rsid w:val="007423E2"/>
    <w:rsid w:val="0074265E"/>
    <w:rsid w:val="00742AC3"/>
    <w:rsid w:val="007430FD"/>
    <w:rsid w:val="0074393C"/>
    <w:rsid w:val="00743D2A"/>
    <w:rsid w:val="0074493D"/>
    <w:rsid w:val="00744DF4"/>
    <w:rsid w:val="00744E17"/>
    <w:rsid w:val="00744F44"/>
    <w:rsid w:val="007451D5"/>
    <w:rsid w:val="007453E1"/>
    <w:rsid w:val="007453F8"/>
    <w:rsid w:val="0074566B"/>
    <w:rsid w:val="0074568F"/>
    <w:rsid w:val="007458C2"/>
    <w:rsid w:val="0074594B"/>
    <w:rsid w:val="00745B3B"/>
    <w:rsid w:val="00746267"/>
    <w:rsid w:val="0074696F"/>
    <w:rsid w:val="00746B5D"/>
    <w:rsid w:val="00746D8D"/>
    <w:rsid w:val="00746D93"/>
    <w:rsid w:val="00746E44"/>
    <w:rsid w:val="0074738A"/>
    <w:rsid w:val="007476C5"/>
    <w:rsid w:val="007478B6"/>
    <w:rsid w:val="00747E06"/>
    <w:rsid w:val="0075017F"/>
    <w:rsid w:val="007505FF"/>
    <w:rsid w:val="007509CE"/>
    <w:rsid w:val="00750DAC"/>
    <w:rsid w:val="00750DC6"/>
    <w:rsid w:val="0075214D"/>
    <w:rsid w:val="007521AB"/>
    <w:rsid w:val="007523F0"/>
    <w:rsid w:val="007524EC"/>
    <w:rsid w:val="0075282F"/>
    <w:rsid w:val="0075289A"/>
    <w:rsid w:val="007528E6"/>
    <w:rsid w:val="00752982"/>
    <w:rsid w:val="00752D72"/>
    <w:rsid w:val="0075310C"/>
    <w:rsid w:val="007532BC"/>
    <w:rsid w:val="0075372B"/>
    <w:rsid w:val="00753F05"/>
    <w:rsid w:val="00754711"/>
    <w:rsid w:val="00754783"/>
    <w:rsid w:val="00754B15"/>
    <w:rsid w:val="00754F55"/>
    <w:rsid w:val="007551F1"/>
    <w:rsid w:val="00755284"/>
    <w:rsid w:val="0075534F"/>
    <w:rsid w:val="0075572A"/>
    <w:rsid w:val="00755766"/>
    <w:rsid w:val="00755A7D"/>
    <w:rsid w:val="00755A83"/>
    <w:rsid w:val="00755B41"/>
    <w:rsid w:val="00755B48"/>
    <w:rsid w:val="00755E70"/>
    <w:rsid w:val="0075620A"/>
    <w:rsid w:val="00756244"/>
    <w:rsid w:val="007566B6"/>
    <w:rsid w:val="007569D8"/>
    <w:rsid w:val="00756AEE"/>
    <w:rsid w:val="00757340"/>
    <w:rsid w:val="007573DB"/>
    <w:rsid w:val="007577CB"/>
    <w:rsid w:val="0076018E"/>
    <w:rsid w:val="007602C8"/>
    <w:rsid w:val="00760CB9"/>
    <w:rsid w:val="00760ED1"/>
    <w:rsid w:val="00761136"/>
    <w:rsid w:val="007613D8"/>
    <w:rsid w:val="0076162A"/>
    <w:rsid w:val="0076243E"/>
    <w:rsid w:val="00762A72"/>
    <w:rsid w:val="00762C31"/>
    <w:rsid w:val="00763138"/>
    <w:rsid w:val="00763320"/>
    <w:rsid w:val="007639EC"/>
    <w:rsid w:val="00763D5D"/>
    <w:rsid w:val="00764027"/>
    <w:rsid w:val="0076455E"/>
    <w:rsid w:val="007649A1"/>
    <w:rsid w:val="00764D04"/>
    <w:rsid w:val="00765016"/>
    <w:rsid w:val="00765167"/>
    <w:rsid w:val="00765558"/>
    <w:rsid w:val="00765CA0"/>
    <w:rsid w:val="00765EB6"/>
    <w:rsid w:val="0076621B"/>
    <w:rsid w:val="00766259"/>
    <w:rsid w:val="00766343"/>
    <w:rsid w:val="007663CF"/>
    <w:rsid w:val="00766790"/>
    <w:rsid w:val="00766871"/>
    <w:rsid w:val="00766D44"/>
    <w:rsid w:val="00766F87"/>
    <w:rsid w:val="00766FFD"/>
    <w:rsid w:val="007672F3"/>
    <w:rsid w:val="007674CA"/>
    <w:rsid w:val="00767B54"/>
    <w:rsid w:val="00767D32"/>
    <w:rsid w:val="00770394"/>
    <w:rsid w:val="00770613"/>
    <w:rsid w:val="00770730"/>
    <w:rsid w:val="007710EB"/>
    <w:rsid w:val="007713FF"/>
    <w:rsid w:val="007718AD"/>
    <w:rsid w:val="007718D7"/>
    <w:rsid w:val="00771DA1"/>
    <w:rsid w:val="00772450"/>
    <w:rsid w:val="007724FF"/>
    <w:rsid w:val="00772BA0"/>
    <w:rsid w:val="00773690"/>
    <w:rsid w:val="00773AF3"/>
    <w:rsid w:val="00773B36"/>
    <w:rsid w:val="00773B3D"/>
    <w:rsid w:val="00773BC5"/>
    <w:rsid w:val="00773D0E"/>
    <w:rsid w:val="0077430E"/>
    <w:rsid w:val="007744B3"/>
    <w:rsid w:val="0077488D"/>
    <w:rsid w:val="007748EB"/>
    <w:rsid w:val="00774B2D"/>
    <w:rsid w:val="00774F9D"/>
    <w:rsid w:val="0077598D"/>
    <w:rsid w:val="00775D8C"/>
    <w:rsid w:val="00775EB9"/>
    <w:rsid w:val="00776245"/>
    <w:rsid w:val="007762ED"/>
    <w:rsid w:val="00776698"/>
    <w:rsid w:val="00776839"/>
    <w:rsid w:val="007769A3"/>
    <w:rsid w:val="00776AA0"/>
    <w:rsid w:val="00776AEB"/>
    <w:rsid w:val="00776D9A"/>
    <w:rsid w:val="00777157"/>
    <w:rsid w:val="00777303"/>
    <w:rsid w:val="00777484"/>
    <w:rsid w:val="00777BF5"/>
    <w:rsid w:val="00777D8F"/>
    <w:rsid w:val="00777FDC"/>
    <w:rsid w:val="00780137"/>
    <w:rsid w:val="007802EE"/>
    <w:rsid w:val="00780511"/>
    <w:rsid w:val="00780544"/>
    <w:rsid w:val="0078077D"/>
    <w:rsid w:val="00780A63"/>
    <w:rsid w:val="00781073"/>
    <w:rsid w:val="007810FB"/>
    <w:rsid w:val="007812E7"/>
    <w:rsid w:val="00781774"/>
    <w:rsid w:val="00781910"/>
    <w:rsid w:val="00781946"/>
    <w:rsid w:val="00781CCE"/>
    <w:rsid w:val="00781E7F"/>
    <w:rsid w:val="007823D1"/>
    <w:rsid w:val="007823FD"/>
    <w:rsid w:val="00782623"/>
    <w:rsid w:val="007827A5"/>
    <w:rsid w:val="007827E1"/>
    <w:rsid w:val="00782CF5"/>
    <w:rsid w:val="00782D29"/>
    <w:rsid w:val="00782E75"/>
    <w:rsid w:val="00782EE7"/>
    <w:rsid w:val="0078308E"/>
    <w:rsid w:val="007835A7"/>
    <w:rsid w:val="00783847"/>
    <w:rsid w:val="0078385C"/>
    <w:rsid w:val="00783B53"/>
    <w:rsid w:val="0078413E"/>
    <w:rsid w:val="00784704"/>
    <w:rsid w:val="007849E3"/>
    <w:rsid w:val="007854D9"/>
    <w:rsid w:val="00785A96"/>
    <w:rsid w:val="00786396"/>
    <w:rsid w:val="00786542"/>
    <w:rsid w:val="00786655"/>
    <w:rsid w:val="00786CB1"/>
    <w:rsid w:val="00786E7E"/>
    <w:rsid w:val="007872E7"/>
    <w:rsid w:val="007908CA"/>
    <w:rsid w:val="007909FB"/>
    <w:rsid w:val="007911B6"/>
    <w:rsid w:val="007917F3"/>
    <w:rsid w:val="007918AE"/>
    <w:rsid w:val="00791C07"/>
    <w:rsid w:val="00791DB4"/>
    <w:rsid w:val="00791F20"/>
    <w:rsid w:val="0079288C"/>
    <w:rsid w:val="007928FA"/>
    <w:rsid w:val="00792C60"/>
    <w:rsid w:val="007930DB"/>
    <w:rsid w:val="0079348E"/>
    <w:rsid w:val="00793BC4"/>
    <w:rsid w:val="00793C6A"/>
    <w:rsid w:val="00793CA5"/>
    <w:rsid w:val="00793F08"/>
    <w:rsid w:val="007942C5"/>
    <w:rsid w:val="00794775"/>
    <w:rsid w:val="0079488C"/>
    <w:rsid w:val="00794C50"/>
    <w:rsid w:val="00795429"/>
    <w:rsid w:val="0079595E"/>
    <w:rsid w:val="00796167"/>
    <w:rsid w:val="0079619C"/>
    <w:rsid w:val="00796427"/>
    <w:rsid w:val="00796458"/>
    <w:rsid w:val="00796884"/>
    <w:rsid w:val="00797232"/>
    <w:rsid w:val="007973D2"/>
    <w:rsid w:val="0079741A"/>
    <w:rsid w:val="007974AE"/>
    <w:rsid w:val="00797A30"/>
    <w:rsid w:val="00797AF6"/>
    <w:rsid w:val="00797B7D"/>
    <w:rsid w:val="00797E5C"/>
    <w:rsid w:val="00797F84"/>
    <w:rsid w:val="007A1A95"/>
    <w:rsid w:val="007A1ACF"/>
    <w:rsid w:val="007A1EB2"/>
    <w:rsid w:val="007A2584"/>
    <w:rsid w:val="007A2B75"/>
    <w:rsid w:val="007A2CE9"/>
    <w:rsid w:val="007A2D75"/>
    <w:rsid w:val="007A3774"/>
    <w:rsid w:val="007A3974"/>
    <w:rsid w:val="007A397C"/>
    <w:rsid w:val="007A3AB2"/>
    <w:rsid w:val="007A4275"/>
    <w:rsid w:val="007A476B"/>
    <w:rsid w:val="007A4ECE"/>
    <w:rsid w:val="007A4F4C"/>
    <w:rsid w:val="007A500C"/>
    <w:rsid w:val="007A5136"/>
    <w:rsid w:val="007A52FF"/>
    <w:rsid w:val="007A56B2"/>
    <w:rsid w:val="007A56CC"/>
    <w:rsid w:val="007A56D9"/>
    <w:rsid w:val="007A5891"/>
    <w:rsid w:val="007A5B1E"/>
    <w:rsid w:val="007A612D"/>
    <w:rsid w:val="007A617D"/>
    <w:rsid w:val="007A63D6"/>
    <w:rsid w:val="007A6462"/>
    <w:rsid w:val="007A6C1E"/>
    <w:rsid w:val="007A6E3B"/>
    <w:rsid w:val="007A6EA4"/>
    <w:rsid w:val="007A7093"/>
    <w:rsid w:val="007A71F1"/>
    <w:rsid w:val="007A7A95"/>
    <w:rsid w:val="007B0290"/>
    <w:rsid w:val="007B0422"/>
    <w:rsid w:val="007B06BF"/>
    <w:rsid w:val="007B0A9C"/>
    <w:rsid w:val="007B0B5E"/>
    <w:rsid w:val="007B0C7C"/>
    <w:rsid w:val="007B1191"/>
    <w:rsid w:val="007B191F"/>
    <w:rsid w:val="007B25AF"/>
    <w:rsid w:val="007B2679"/>
    <w:rsid w:val="007B2773"/>
    <w:rsid w:val="007B2F0B"/>
    <w:rsid w:val="007B2F70"/>
    <w:rsid w:val="007B30B6"/>
    <w:rsid w:val="007B3597"/>
    <w:rsid w:val="007B371E"/>
    <w:rsid w:val="007B39D5"/>
    <w:rsid w:val="007B3AF4"/>
    <w:rsid w:val="007B3D0C"/>
    <w:rsid w:val="007B43F2"/>
    <w:rsid w:val="007B44B8"/>
    <w:rsid w:val="007B46AC"/>
    <w:rsid w:val="007B4C62"/>
    <w:rsid w:val="007B4C72"/>
    <w:rsid w:val="007B5164"/>
    <w:rsid w:val="007B51D9"/>
    <w:rsid w:val="007B5269"/>
    <w:rsid w:val="007B5447"/>
    <w:rsid w:val="007B54FB"/>
    <w:rsid w:val="007B5730"/>
    <w:rsid w:val="007B5C3C"/>
    <w:rsid w:val="007B5EB4"/>
    <w:rsid w:val="007B5F57"/>
    <w:rsid w:val="007B5FFD"/>
    <w:rsid w:val="007B6038"/>
    <w:rsid w:val="007B62DB"/>
    <w:rsid w:val="007B6419"/>
    <w:rsid w:val="007B6650"/>
    <w:rsid w:val="007B6D01"/>
    <w:rsid w:val="007B6E1B"/>
    <w:rsid w:val="007B6E27"/>
    <w:rsid w:val="007B754E"/>
    <w:rsid w:val="007B7631"/>
    <w:rsid w:val="007B7907"/>
    <w:rsid w:val="007B7BB4"/>
    <w:rsid w:val="007B7E61"/>
    <w:rsid w:val="007C0057"/>
    <w:rsid w:val="007C077E"/>
    <w:rsid w:val="007C0A43"/>
    <w:rsid w:val="007C0E2E"/>
    <w:rsid w:val="007C0FF3"/>
    <w:rsid w:val="007C106A"/>
    <w:rsid w:val="007C1452"/>
    <w:rsid w:val="007C155C"/>
    <w:rsid w:val="007C1C73"/>
    <w:rsid w:val="007C1D42"/>
    <w:rsid w:val="007C2717"/>
    <w:rsid w:val="007C2767"/>
    <w:rsid w:val="007C27F4"/>
    <w:rsid w:val="007C2B47"/>
    <w:rsid w:val="007C2BA8"/>
    <w:rsid w:val="007C2DB6"/>
    <w:rsid w:val="007C2E50"/>
    <w:rsid w:val="007C2ECB"/>
    <w:rsid w:val="007C3377"/>
    <w:rsid w:val="007C33DB"/>
    <w:rsid w:val="007C3A45"/>
    <w:rsid w:val="007C3D7C"/>
    <w:rsid w:val="007C3F5C"/>
    <w:rsid w:val="007C403C"/>
    <w:rsid w:val="007C44D8"/>
    <w:rsid w:val="007C4765"/>
    <w:rsid w:val="007C4782"/>
    <w:rsid w:val="007C4974"/>
    <w:rsid w:val="007C4C39"/>
    <w:rsid w:val="007C5087"/>
    <w:rsid w:val="007C5443"/>
    <w:rsid w:val="007C5563"/>
    <w:rsid w:val="007C5614"/>
    <w:rsid w:val="007C5B8B"/>
    <w:rsid w:val="007C5C6F"/>
    <w:rsid w:val="007C6809"/>
    <w:rsid w:val="007C6B12"/>
    <w:rsid w:val="007C6D8E"/>
    <w:rsid w:val="007C6D8F"/>
    <w:rsid w:val="007C72F6"/>
    <w:rsid w:val="007C787B"/>
    <w:rsid w:val="007C7C63"/>
    <w:rsid w:val="007C7C98"/>
    <w:rsid w:val="007C7F8E"/>
    <w:rsid w:val="007D0496"/>
    <w:rsid w:val="007D0662"/>
    <w:rsid w:val="007D09C3"/>
    <w:rsid w:val="007D0A62"/>
    <w:rsid w:val="007D0B3A"/>
    <w:rsid w:val="007D0F37"/>
    <w:rsid w:val="007D1223"/>
    <w:rsid w:val="007D151C"/>
    <w:rsid w:val="007D1913"/>
    <w:rsid w:val="007D191D"/>
    <w:rsid w:val="007D1C7B"/>
    <w:rsid w:val="007D1D71"/>
    <w:rsid w:val="007D1EF5"/>
    <w:rsid w:val="007D227D"/>
    <w:rsid w:val="007D266C"/>
    <w:rsid w:val="007D28CD"/>
    <w:rsid w:val="007D2C75"/>
    <w:rsid w:val="007D2DD0"/>
    <w:rsid w:val="007D2F89"/>
    <w:rsid w:val="007D3154"/>
    <w:rsid w:val="007D33F1"/>
    <w:rsid w:val="007D3AE0"/>
    <w:rsid w:val="007D3C28"/>
    <w:rsid w:val="007D3C96"/>
    <w:rsid w:val="007D3CC8"/>
    <w:rsid w:val="007D3FBE"/>
    <w:rsid w:val="007D4196"/>
    <w:rsid w:val="007D474B"/>
    <w:rsid w:val="007D500B"/>
    <w:rsid w:val="007D542E"/>
    <w:rsid w:val="007D56A8"/>
    <w:rsid w:val="007D583D"/>
    <w:rsid w:val="007D5ACE"/>
    <w:rsid w:val="007D5DFF"/>
    <w:rsid w:val="007D6398"/>
    <w:rsid w:val="007D67E8"/>
    <w:rsid w:val="007D6B32"/>
    <w:rsid w:val="007D7141"/>
    <w:rsid w:val="007D7CF8"/>
    <w:rsid w:val="007E01B6"/>
    <w:rsid w:val="007E02F3"/>
    <w:rsid w:val="007E081D"/>
    <w:rsid w:val="007E0906"/>
    <w:rsid w:val="007E0B87"/>
    <w:rsid w:val="007E0BF7"/>
    <w:rsid w:val="007E108D"/>
    <w:rsid w:val="007E1337"/>
    <w:rsid w:val="007E1845"/>
    <w:rsid w:val="007E1A6B"/>
    <w:rsid w:val="007E1EDF"/>
    <w:rsid w:val="007E1F4D"/>
    <w:rsid w:val="007E1FC9"/>
    <w:rsid w:val="007E20B6"/>
    <w:rsid w:val="007E2514"/>
    <w:rsid w:val="007E283F"/>
    <w:rsid w:val="007E2A1F"/>
    <w:rsid w:val="007E2CEE"/>
    <w:rsid w:val="007E2F02"/>
    <w:rsid w:val="007E34F5"/>
    <w:rsid w:val="007E35D9"/>
    <w:rsid w:val="007E35FC"/>
    <w:rsid w:val="007E43FF"/>
    <w:rsid w:val="007E499D"/>
    <w:rsid w:val="007E4E77"/>
    <w:rsid w:val="007E514C"/>
    <w:rsid w:val="007E5334"/>
    <w:rsid w:val="007E5375"/>
    <w:rsid w:val="007E53BE"/>
    <w:rsid w:val="007E56DB"/>
    <w:rsid w:val="007E57A1"/>
    <w:rsid w:val="007E58A7"/>
    <w:rsid w:val="007E5AB9"/>
    <w:rsid w:val="007E5E1F"/>
    <w:rsid w:val="007E6436"/>
    <w:rsid w:val="007E6B37"/>
    <w:rsid w:val="007E6CB1"/>
    <w:rsid w:val="007E6D6E"/>
    <w:rsid w:val="007E7812"/>
    <w:rsid w:val="007E795A"/>
    <w:rsid w:val="007E7BAE"/>
    <w:rsid w:val="007E7C52"/>
    <w:rsid w:val="007F093E"/>
    <w:rsid w:val="007F0AA8"/>
    <w:rsid w:val="007F0E82"/>
    <w:rsid w:val="007F0FFC"/>
    <w:rsid w:val="007F1115"/>
    <w:rsid w:val="007F11C4"/>
    <w:rsid w:val="007F13C1"/>
    <w:rsid w:val="007F1C13"/>
    <w:rsid w:val="007F1C96"/>
    <w:rsid w:val="007F1F05"/>
    <w:rsid w:val="007F1FC6"/>
    <w:rsid w:val="007F220A"/>
    <w:rsid w:val="007F26B1"/>
    <w:rsid w:val="007F2BC1"/>
    <w:rsid w:val="007F2D06"/>
    <w:rsid w:val="007F3500"/>
    <w:rsid w:val="007F3836"/>
    <w:rsid w:val="007F3CCA"/>
    <w:rsid w:val="007F3E99"/>
    <w:rsid w:val="007F3F0D"/>
    <w:rsid w:val="007F4264"/>
    <w:rsid w:val="007F4685"/>
    <w:rsid w:val="007F51B1"/>
    <w:rsid w:val="007F53FE"/>
    <w:rsid w:val="007F547B"/>
    <w:rsid w:val="007F54FB"/>
    <w:rsid w:val="007F550A"/>
    <w:rsid w:val="007F560C"/>
    <w:rsid w:val="007F5E2D"/>
    <w:rsid w:val="007F5F98"/>
    <w:rsid w:val="007F6203"/>
    <w:rsid w:val="007F6758"/>
    <w:rsid w:val="007F693B"/>
    <w:rsid w:val="007F6CA3"/>
    <w:rsid w:val="007F6EDC"/>
    <w:rsid w:val="007F75DF"/>
    <w:rsid w:val="007F7696"/>
    <w:rsid w:val="007F76EB"/>
    <w:rsid w:val="007F7795"/>
    <w:rsid w:val="007F78B6"/>
    <w:rsid w:val="007F7DF9"/>
    <w:rsid w:val="0080050B"/>
    <w:rsid w:val="0080059F"/>
    <w:rsid w:val="008005DE"/>
    <w:rsid w:val="00800AB2"/>
    <w:rsid w:val="00800E20"/>
    <w:rsid w:val="00800E8A"/>
    <w:rsid w:val="00800EA5"/>
    <w:rsid w:val="00800F95"/>
    <w:rsid w:val="00800FC0"/>
    <w:rsid w:val="00801118"/>
    <w:rsid w:val="0080141E"/>
    <w:rsid w:val="00801812"/>
    <w:rsid w:val="0080187F"/>
    <w:rsid w:val="0080194F"/>
    <w:rsid w:val="008019A6"/>
    <w:rsid w:val="00801F47"/>
    <w:rsid w:val="008022A6"/>
    <w:rsid w:val="008022F7"/>
    <w:rsid w:val="0080251B"/>
    <w:rsid w:val="00802891"/>
    <w:rsid w:val="00802C67"/>
    <w:rsid w:val="00802D3C"/>
    <w:rsid w:val="00802DD0"/>
    <w:rsid w:val="00802EDC"/>
    <w:rsid w:val="00802F2D"/>
    <w:rsid w:val="008031F5"/>
    <w:rsid w:val="00803BBA"/>
    <w:rsid w:val="00804086"/>
    <w:rsid w:val="0080448B"/>
    <w:rsid w:val="008047A9"/>
    <w:rsid w:val="008048CF"/>
    <w:rsid w:val="00804B73"/>
    <w:rsid w:val="00804BD6"/>
    <w:rsid w:val="00804FBE"/>
    <w:rsid w:val="008058A1"/>
    <w:rsid w:val="00805A32"/>
    <w:rsid w:val="0080648D"/>
    <w:rsid w:val="008064EB"/>
    <w:rsid w:val="00806577"/>
    <w:rsid w:val="0080661F"/>
    <w:rsid w:val="00806633"/>
    <w:rsid w:val="00810853"/>
    <w:rsid w:val="00810DA3"/>
    <w:rsid w:val="008110D5"/>
    <w:rsid w:val="00811154"/>
    <w:rsid w:val="00811759"/>
    <w:rsid w:val="00811787"/>
    <w:rsid w:val="00811945"/>
    <w:rsid w:val="00811E8E"/>
    <w:rsid w:val="00811F5A"/>
    <w:rsid w:val="00811FE5"/>
    <w:rsid w:val="008120A3"/>
    <w:rsid w:val="008129A4"/>
    <w:rsid w:val="008129E8"/>
    <w:rsid w:val="00812CFB"/>
    <w:rsid w:val="00812D7C"/>
    <w:rsid w:val="008130B6"/>
    <w:rsid w:val="00813351"/>
    <w:rsid w:val="0081349B"/>
    <w:rsid w:val="008135E6"/>
    <w:rsid w:val="00813663"/>
    <w:rsid w:val="008138D8"/>
    <w:rsid w:val="008139DF"/>
    <w:rsid w:val="00813ADA"/>
    <w:rsid w:val="00813BBD"/>
    <w:rsid w:val="00813BD8"/>
    <w:rsid w:val="00813D32"/>
    <w:rsid w:val="00813E30"/>
    <w:rsid w:val="00814152"/>
    <w:rsid w:val="0081445C"/>
    <w:rsid w:val="00814531"/>
    <w:rsid w:val="00814625"/>
    <w:rsid w:val="00814661"/>
    <w:rsid w:val="00814977"/>
    <w:rsid w:val="008150BC"/>
    <w:rsid w:val="008157BD"/>
    <w:rsid w:val="0081581C"/>
    <w:rsid w:val="0081588D"/>
    <w:rsid w:val="00815B9A"/>
    <w:rsid w:val="00815EEA"/>
    <w:rsid w:val="00815F85"/>
    <w:rsid w:val="00816136"/>
    <w:rsid w:val="008162BE"/>
    <w:rsid w:val="00816722"/>
    <w:rsid w:val="00816758"/>
    <w:rsid w:val="00816E9F"/>
    <w:rsid w:val="00817198"/>
    <w:rsid w:val="008172E1"/>
    <w:rsid w:val="008173DC"/>
    <w:rsid w:val="008177AC"/>
    <w:rsid w:val="00817BD3"/>
    <w:rsid w:val="00817E02"/>
    <w:rsid w:val="00817EAE"/>
    <w:rsid w:val="00820208"/>
    <w:rsid w:val="008203F1"/>
    <w:rsid w:val="008206B8"/>
    <w:rsid w:val="008206E7"/>
    <w:rsid w:val="008207CD"/>
    <w:rsid w:val="00820985"/>
    <w:rsid w:val="00820BCA"/>
    <w:rsid w:val="00821126"/>
    <w:rsid w:val="00821341"/>
    <w:rsid w:val="008213F1"/>
    <w:rsid w:val="00821939"/>
    <w:rsid w:val="00821A41"/>
    <w:rsid w:val="00821AF0"/>
    <w:rsid w:val="00822490"/>
    <w:rsid w:val="0082270F"/>
    <w:rsid w:val="00822BAA"/>
    <w:rsid w:val="00822BAD"/>
    <w:rsid w:val="00822F43"/>
    <w:rsid w:val="00823402"/>
    <w:rsid w:val="0082366D"/>
    <w:rsid w:val="008236E0"/>
    <w:rsid w:val="00823922"/>
    <w:rsid w:val="00823A54"/>
    <w:rsid w:val="0082426C"/>
    <w:rsid w:val="008245C8"/>
    <w:rsid w:val="00824D70"/>
    <w:rsid w:val="00824EC7"/>
    <w:rsid w:val="0082501A"/>
    <w:rsid w:val="00825241"/>
    <w:rsid w:val="0082545B"/>
    <w:rsid w:val="008257A4"/>
    <w:rsid w:val="00825EE1"/>
    <w:rsid w:val="00825FB8"/>
    <w:rsid w:val="0082636D"/>
    <w:rsid w:val="008265C5"/>
    <w:rsid w:val="00826808"/>
    <w:rsid w:val="00826C0E"/>
    <w:rsid w:val="00826CF7"/>
    <w:rsid w:val="008273FF"/>
    <w:rsid w:val="008275A4"/>
    <w:rsid w:val="00827916"/>
    <w:rsid w:val="00827F05"/>
    <w:rsid w:val="00830018"/>
    <w:rsid w:val="00830947"/>
    <w:rsid w:val="00830FCE"/>
    <w:rsid w:val="008314FD"/>
    <w:rsid w:val="008315A4"/>
    <w:rsid w:val="00831868"/>
    <w:rsid w:val="00831CE6"/>
    <w:rsid w:val="008323F9"/>
    <w:rsid w:val="00832CF6"/>
    <w:rsid w:val="0083312B"/>
    <w:rsid w:val="008335DA"/>
    <w:rsid w:val="008336E9"/>
    <w:rsid w:val="00833B32"/>
    <w:rsid w:val="00833EC6"/>
    <w:rsid w:val="00834053"/>
    <w:rsid w:val="008341BB"/>
    <w:rsid w:val="0083437D"/>
    <w:rsid w:val="0083438E"/>
    <w:rsid w:val="00834887"/>
    <w:rsid w:val="008348C7"/>
    <w:rsid w:val="00834955"/>
    <w:rsid w:val="0083499D"/>
    <w:rsid w:val="00834DAF"/>
    <w:rsid w:val="008355DE"/>
    <w:rsid w:val="008359A7"/>
    <w:rsid w:val="00835E78"/>
    <w:rsid w:val="00836197"/>
    <w:rsid w:val="0083641A"/>
    <w:rsid w:val="008364BF"/>
    <w:rsid w:val="00836709"/>
    <w:rsid w:val="00836C88"/>
    <w:rsid w:val="00836DD0"/>
    <w:rsid w:val="00836FCF"/>
    <w:rsid w:val="00837290"/>
    <w:rsid w:val="00837318"/>
    <w:rsid w:val="00837598"/>
    <w:rsid w:val="0083777A"/>
    <w:rsid w:val="008379D6"/>
    <w:rsid w:val="00837CF6"/>
    <w:rsid w:val="00840BF6"/>
    <w:rsid w:val="00840CC0"/>
    <w:rsid w:val="00840D71"/>
    <w:rsid w:val="008411B0"/>
    <w:rsid w:val="00841237"/>
    <w:rsid w:val="008413F4"/>
    <w:rsid w:val="00841654"/>
    <w:rsid w:val="00841D6A"/>
    <w:rsid w:val="008429EF"/>
    <w:rsid w:val="00842BF3"/>
    <w:rsid w:val="00842C62"/>
    <w:rsid w:val="00842F9A"/>
    <w:rsid w:val="00843705"/>
    <w:rsid w:val="008439C9"/>
    <w:rsid w:val="00843A7F"/>
    <w:rsid w:val="00843D41"/>
    <w:rsid w:val="00843D65"/>
    <w:rsid w:val="00843E91"/>
    <w:rsid w:val="00843F96"/>
    <w:rsid w:val="008441EC"/>
    <w:rsid w:val="0084470A"/>
    <w:rsid w:val="008448B1"/>
    <w:rsid w:val="00844BCD"/>
    <w:rsid w:val="00844DAB"/>
    <w:rsid w:val="0084515E"/>
    <w:rsid w:val="00845444"/>
    <w:rsid w:val="00845531"/>
    <w:rsid w:val="00845600"/>
    <w:rsid w:val="00845E43"/>
    <w:rsid w:val="00846B69"/>
    <w:rsid w:val="00846D60"/>
    <w:rsid w:val="00847E41"/>
    <w:rsid w:val="00847FE5"/>
    <w:rsid w:val="00850629"/>
    <w:rsid w:val="008507D3"/>
    <w:rsid w:val="0085099A"/>
    <w:rsid w:val="00851164"/>
    <w:rsid w:val="008515AA"/>
    <w:rsid w:val="008517AF"/>
    <w:rsid w:val="008517C9"/>
    <w:rsid w:val="00851B5C"/>
    <w:rsid w:val="00851B6B"/>
    <w:rsid w:val="00851B96"/>
    <w:rsid w:val="00851D9F"/>
    <w:rsid w:val="00851EA4"/>
    <w:rsid w:val="00852009"/>
    <w:rsid w:val="00852912"/>
    <w:rsid w:val="00853343"/>
    <w:rsid w:val="008537EA"/>
    <w:rsid w:val="00853816"/>
    <w:rsid w:val="008538C6"/>
    <w:rsid w:val="008539A2"/>
    <w:rsid w:val="00853DB6"/>
    <w:rsid w:val="0085490C"/>
    <w:rsid w:val="008549F2"/>
    <w:rsid w:val="00854D0A"/>
    <w:rsid w:val="008554F2"/>
    <w:rsid w:val="008561BC"/>
    <w:rsid w:val="0085623C"/>
    <w:rsid w:val="00856432"/>
    <w:rsid w:val="008567F9"/>
    <w:rsid w:val="00856813"/>
    <w:rsid w:val="008569C0"/>
    <w:rsid w:val="00856AB0"/>
    <w:rsid w:val="00856B28"/>
    <w:rsid w:val="00856D62"/>
    <w:rsid w:val="00856D99"/>
    <w:rsid w:val="00857373"/>
    <w:rsid w:val="0085761C"/>
    <w:rsid w:val="00857650"/>
    <w:rsid w:val="00857A3A"/>
    <w:rsid w:val="00857CFC"/>
    <w:rsid w:val="00857DC7"/>
    <w:rsid w:val="00857E16"/>
    <w:rsid w:val="0086018F"/>
    <w:rsid w:val="008606F6"/>
    <w:rsid w:val="00860D08"/>
    <w:rsid w:val="00861277"/>
    <w:rsid w:val="008613BC"/>
    <w:rsid w:val="00861458"/>
    <w:rsid w:val="00861679"/>
    <w:rsid w:val="008618D3"/>
    <w:rsid w:val="008618D9"/>
    <w:rsid w:val="00862458"/>
    <w:rsid w:val="008624CE"/>
    <w:rsid w:val="008627B9"/>
    <w:rsid w:val="00862BF0"/>
    <w:rsid w:val="0086355E"/>
    <w:rsid w:val="0086358F"/>
    <w:rsid w:val="00863616"/>
    <w:rsid w:val="00863CC1"/>
    <w:rsid w:val="0086403C"/>
    <w:rsid w:val="0086408C"/>
    <w:rsid w:val="00864A24"/>
    <w:rsid w:val="00864DFE"/>
    <w:rsid w:val="0086520D"/>
    <w:rsid w:val="0086555B"/>
    <w:rsid w:val="0086577F"/>
    <w:rsid w:val="00865A6D"/>
    <w:rsid w:val="00865B26"/>
    <w:rsid w:val="00866126"/>
    <w:rsid w:val="00866138"/>
    <w:rsid w:val="008661C9"/>
    <w:rsid w:val="008661FA"/>
    <w:rsid w:val="00866360"/>
    <w:rsid w:val="008664FB"/>
    <w:rsid w:val="00866687"/>
    <w:rsid w:val="00866E23"/>
    <w:rsid w:val="00866E9B"/>
    <w:rsid w:val="00867267"/>
    <w:rsid w:val="00867C7F"/>
    <w:rsid w:val="00867CAD"/>
    <w:rsid w:val="0087083F"/>
    <w:rsid w:val="00870A7E"/>
    <w:rsid w:val="00870A8F"/>
    <w:rsid w:val="00870BC9"/>
    <w:rsid w:val="00870EC4"/>
    <w:rsid w:val="0087138E"/>
    <w:rsid w:val="008714F6"/>
    <w:rsid w:val="0087168A"/>
    <w:rsid w:val="00871DFE"/>
    <w:rsid w:val="00872247"/>
    <w:rsid w:val="0087272F"/>
    <w:rsid w:val="00872A74"/>
    <w:rsid w:val="00872C23"/>
    <w:rsid w:val="00872DB5"/>
    <w:rsid w:val="00872E54"/>
    <w:rsid w:val="00872F4C"/>
    <w:rsid w:val="00873138"/>
    <w:rsid w:val="0087327D"/>
    <w:rsid w:val="0087350C"/>
    <w:rsid w:val="00873B0F"/>
    <w:rsid w:val="00873B29"/>
    <w:rsid w:val="00873B88"/>
    <w:rsid w:val="00873BBB"/>
    <w:rsid w:val="008745EF"/>
    <w:rsid w:val="008746C9"/>
    <w:rsid w:val="00874794"/>
    <w:rsid w:val="008748EB"/>
    <w:rsid w:val="00874A83"/>
    <w:rsid w:val="00874B01"/>
    <w:rsid w:val="00874BC4"/>
    <w:rsid w:val="00875446"/>
    <w:rsid w:val="00875CBF"/>
    <w:rsid w:val="00875E22"/>
    <w:rsid w:val="008760EE"/>
    <w:rsid w:val="008761A5"/>
    <w:rsid w:val="0087665E"/>
    <w:rsid w:val="0087671D"/>
    <w:rsid w:val="008767B9"/>
    <w:rsid w:val="00876AD8"/>
    <w:rsid w:val="00877CA4"/>
    <w:rsid w:val="0088056A"/>
    <w:rsid w:val="0088073A"/>
    <w:rsid w:val="00880E18"/>
    <w:rsid w:val="00880EE9"/>
    <w:rsid w:val="0088113D"/>
    <w:rsid w:val="0088198A"/>
    <w:rsid w:val="00881A4C"/>
    <w:rsid w:val="00881AC1"/>
    <w:rsid w:val="00881DBA"/>
    <w:rsid w:val="00882090"/>
    <w:rsid w:val="0088230A"/>
    <w:rsid w:val="0088242A"/>
    <w:rsid w:val="00882C4D"/>
    <w:rsid w:val="00882F49"/>
    <w:rsid w:val="0088300F"/>
    <w:rsid w:val="00883942"/>
    <w:rsid w:val="008839DD"/>
    <w:rsid w:val="00884281"/>
    <w:rsid w:val="00884416"/>
    <w:rsid w:val="008844D8"/>
    <w:rsid w:val="00884760"/>
    <w:rsid w:val="00884891"/>
    <w:rsid w:val="00884AD0"/>
    <w:rsid w:val="00884D08"/>
    <w:rsid w:val="00884D21"/>
    <w:rsid w:val="00884DEB"/>
    <w:rsid w:val="00885130"/>
    <w:rsid w:val="0088582C"/>
    <w:rsid w:val="008863F8"/>
    <w:rsid w:val="008864F2"/>
    <w:rsid w:val="00886863"/>
    <w:rsid w:val="00886A6B"/>
    <w:rsid w:val="00886ACF"/>
    <w:rsid w:val="00886C89"/>
    <w:rsid w:val="00886F0B"/>
    <w:rsid w:val="008870C9"/>
    <w:rsid w:val="00887B2E"/>
    <w:rsid w:val="00887C51"/>
    <w:rsid w:val="008904C3"/>
    <w:rsid w:val="0089060B"/>
    <w:rsid w:val="008908BB"/>
    <w:rsid w:val="00890F06"/>
    <w:rsid w:val="008912C1"/>
    <w:rsid w:val="008914C0"/>
    <w:rsid w:val="0089167C"/>
    <w:rsid w:val="008916A5"/>
    <w:rsid w:val="008918D8"/>
    <w:rsid w:val="008919E8"/>
    <w:rsid w:val="00891FFA"/>
    <w:rsid w:val="008923EE"/>
    <w:rsid w:val="008925DB"/>
    <w:rsid w:val="008929E4"/>
    <w:rsid w:val="00892B5D"/>
    <w:rsid w:val="00893152"/>
    <w:rsid w:val="00893231"/>
    <w:rsid w:val="00893831"/>
    <w:rsid w:val="0089409F"/>
    <w:rsid w:val="008940B5"/>
    <w:rsid w:val="00894115"/>
    <w:rsid w:val="008941CD"/>
    <w:rsid w:val="00894722"/>
    <w:rsid w:val="00894826"/>
    <w:rsid w:val="00894D4A"/>
    <w:rsid w:val="00894E82"/>
    <w:rsid w:val="008950C0"/>
    <w:rsid w:val="0089518A"/>
    <w:rsid w:val="008959B9"/>
    <w:rsid w:val="00895EF0"/>
    <w:rsid w:val="008961D5"/>
    <w:rsid w:val="0089634F"/>
    <w:rsid w:val="00896580"/>
    <w:rsid w:val="00896891"/>
    <w:rsid w:val="00896FC8"/>
    <w:rsid w:val="008971C6"/>
    <w:rsid w:val="008972A6"/>
    <w:rsid w:val="008973C5"/>
    <w:rsid w:val="008978AD"/>
    <w:rsid w:val="00897A51"/>
    <w:rsid w:val="008A0056"/>
    <w:rsid w:val="008A0239"/>
    <w:rsid w:val="008A08F7"/>
    <w:rsid w:val="008A107C"/>
    <w:rsid w:val="008A1285"/>
    <w:rsid w:val="008A1343"/>
    <w:rsid w:val="008A19FD"/>
    <w:rsid w:val="008A1A47"/>
    <w:rsid w:val="008A1D1D"/>
    <w:rsid w:val="008A1D3E"/>
    <w:rsid w:val="008A2123"/>
    <w:rsid w:val="008A23B1"/>
    <w:rsid w:val="008A2453"/>
    <w:rsid w:val="008A28A2"/>
    <w:rsid w:val="008A2D48"/>
    <w:rsid w:val="008A2D98"/>
    <w:rsid w:val="008A3033"/>
    <w:rsid w:val="008A303F"/>
    <w:rsid w:val="008A38E1"/>
    <w:rsid w:val="008A392E"/>
    <w:rsid w:val="008A4180"/>
    <w:rsid w:val="008A44E5"/>
    <w:rsid w:val="008A4519"/>
    <w:rsid w:val="008A4789"/>
    <w:rsid w:val="008A4B22"/>
    <w:rsid w:val="008A4EBC"/>
    <w:rsid w:val="008A56D3"/>
    <w:rsid w:val="008A6280"/>
    <w:rsid w:val="008A668E"/>
    <w:rsid w:val="008A690A"/>
    <w:rsid w:val="008A6A2C"/>
    <w:rsid w:val="008A6D8C"/>
    <w:rsid w:val="008A7899"/>
    <w:rsid w:val="008A7BAC"/>
    <w:rsid w:val="008A7C25"/>
    <w:rsid w:val="008A7E00"/>
    <w:rsid w:val="008B07C8"/>
    <w:rsid w:val="008B07D8"/>
    <w:rsid w:val="008B0E43"/>
    <w:rsid w:val="008B12A4"/>
    <w:rsid w:val="008B143E"/>
    <w:rsid w:val="008B162D"/>
    <w:rsid w:val="008B1710"/>
    <w:rsid w:val="008B1802"/>
    <w:rsid w:val="008B1A65"/>
    <w:rsid w:val="008B1BAE"/>
    <w:rsid w:val="008B1BE0"/>
    <w:rsid w:val="008B1CB6"/>
    <w:rsid w:val="008B31C7"/>
    <w:rsid w:val="008B3392"/>
    <w:rsid w:val="008B33BE"/>
    <w:rsid w:val="008B3850"/>
    <w:rsid w:val="008B3A34"/>
    <w:rsid w:val="008B3E44"/>
    <w:rsid w:val="008B411F"/>
    <w:rsid w:val="008B45A9"/>
    <w:rsid w:val="008B4B4C"/>
    <w:rsid w:val="008B4DB0"/>
    <w:rsid w:val="008B53F5"/>
    <w:rsid w:val="008B5599"/>
    <w:rsid w:val="008B5B55"/>
    <w:rsid w:val="008B5D03"/>
    <w:rsid w:val="008B5ECD"/>
    <w:rsid w:val="008B60C1"/>
    <w:rsid w:val="008B6C55"/>
    <w:rsid w:val="008B6D1E"/>
    <w:rsid w:val="008B6FDA"/>
    <w:rsid w:val="008B70AD"/>
    <w:rsid w:val="008B720C"/>
    <w:rsid w:val="008B79CF"/>
    <w:rsid w:val="008B7A4A"/>
    <w:rsid w:val="008B7B22"/>
    <w:rsid w:val="008B7B75"/>
    <w:rsid w:val="008B7C18"/>
    <w:rsid w:val="008B7D16"/>
    <w:rsid w:val="008B7F4F"/>
    <w:rsid w:val="008C01DB"/>
    <w:rsid w:val="008C07BF"/>
    <w:rsid w:val="008C0900"/>
    <w:rsid w:val="008C0B8E"/>
    <w:rsid w:val="008C0F69"/>
    <w:rsid w:val="008C0FA6"/>
    <w:rsid w:val="008C1006"/>
    <w:rsid w:val="008C11EB"/>
    <w:rsid w:val="008C150A"/>
    <w:rsid w:val="008C170F"/>
    <w:rsid w:val="008C1C2C"/>
    <w:rsid w:val="008C1FAB"/>
    <w:rsid w:val="008C253C"/>
    <w:rsid w:val="008C2990"/>
    <w:rsid w:val="008C2F76"/>
    <w:rsid w:val="008C35B0"/>
    <w:rsid w:val="008C3A15"/>
    <w:rsid w:val="008C3A91"/>
    <w:rsid w:val="008C3BC3"/>
    <w:rsid w:val="008C3E14"/>
    <w:rsid w:val="008C405B"/>
    <w:rsid w:val="008C4281"/>
    <w:rsid w:val="008C45C1"/>
    <w:rsid w:val="008C45EB"/>
    <w:rsid w:val="008C4DCF"/>
    <w:rsid w:val="008C50B0"/>
    <w:rsid w:val="008C5179"/>
    <w:rsid w:val="008C6213"/>
    <w:rsid w:val="008C66BD"/>
    <w:rsid w:val="008C67EC"/>
    <w:rsid w:val="008C695F"/>
    <w:rsid w:val="008C6ACF"/>
    <w:rsid w:val="008C6FD2"/>
    <w:rsid w:val="008C7260"/>
    <w:rsid w:val="008C7520"/>
    <w:rsid w:val="008C75A7"/>
    <w:rsid w:val="008C7EF9"/>
    <w:rsid w:val="008D0382"/>
    <w:rsid w:val="008D03F1"/>
    <w:rsid w:val="008D0A40"/>
    <w:rsid w:val="008D0CA5"/>
    <w:rsid w:val="008D0E0F"/>
    <w:rsid w:val="008D0E8E"/>
    <w:rsid w:val="008D1251"/>
    <w:rsid w:val="008D186B"/>
    <w:rsid w:val="008D19F8"/>
    <w:rsid w:val="008D236B"/>
    <w:rsid w:val="008D2F30"/>
    <w:rsid w:val="008D30D5"/>
    <w:rsid w:val="008D335D"/>
    <w:rsid w:val="008D37A4"/>
    <w:rsid w:val="008D3C9E"/>
    <w:rsid w:val="008D417C"/>
    <w:rsid w:val="008D440E"/>
    <w:rsid w:val="008D44A8"/>
    <w:rsid w:val="008D4DD4"/>
    <w:rsid w:val="008D4E13"/>
    <w:rsid w:val="008D4F7A"/>
    <w:rsid w:val="008D527E"/>
    <w:rsid w:val="008D5389"/>
    <w:rsid w:val="008D58F0"/>
    <w:rsid w:val="008D5E32"/>
    <w:rsid w:val="008D64F2"/>
    <w:rsid w:val="008D657C"/>
    <w:rsid w:val="008D6AB9"/>
    <w:rsid w:val="008D6E89"/>
    <w:rsid w:val="008D6EF3"/>
    <w:rsid w:val="008D6EFB"/>
    <w:rsid w:val="008D7235"/>
    <w:rsid w:val="008D7280"/>
    <w:rsid w:val="008D73B3"/>
    <w:rsid w:val="008D7415"/>
    <w:rsid w:val="008D7841"/>
    <w:rsid w:val="008D787E"/>
    <w:rsid w:val="008D7C0A"/>
    <w:rsid w:val="008E0034"/>
    <w:rsid w:val="008E02E7"/>
    <w:rsid w:val="008E04B7"/>
    <w:rsid w:val="008E0568"/>
    <w:rsid w:val="008E0613"/>
    <w:rsid w:val="008E0B12"/>
    <w:rsid w:val="008E0FB6"/>
    <w:rsid w:val="008E1175"/>
    <w:rsid w:val="008E13D8"/>
    <w:rsid w:val="008E1411"/>
    <w:rsid w:val="008E1730"/>
    <w:rsid w:val="008E1FDE"/>
    <w:rsid w:val="008E209D"/>
    <w:rsid w:val="008E2856"/>
    <w:rsid w:val="008E28AB"/>
    <w:rsid w:val="008E2C40"/>
    <w:rsid w:val="008E2C6A"/>
    <w:rsid w:val="008E2D7B"/>
    <w:rsid w:val="008E3D81"/>
    <w:rsid w:val="008E3E2E"/>
    <w:rsid w:val="008E3FAC"/>
    <w:rsid w:val="008E425B"/>
    <w:rsid w:val="008E4669"/>
    <w:rsid w:val="008E5858"/>
    <w:rsid w:val="008E5A7C"/>
    <w:rsid w:val="008E5CC1"/>
    <w:rsid w:val="008E5E1B"/>
    <w:rsid w:val="008E5F21"/>
    <w:rsid w:val="008E5FD3"/>
    <w:rsid w:val="008E6068"/>
    <w:rsid w:val="008E6488"/>
    <w:rsid w:val="008E6F03"/>
    <w:rsid w:val="008E7344"/>
    <w:rsid w:val="008E75C7"/>
    <w:rsid w:val="008E76F5"/>
    <w:rsid w:val="008E78C7"/>
    <w:rsid w:val="008E7986"/>
    <w:rsid w:val="008E7D33"/>
    <w:rsid w:val="008F0369"/>
    <w:rsid w:val="008F05EA"/>
    <w:rsid w:val="008F08A1"/>
    <w:rsid w:val="008F0ADE"/>
    <w:rsid w:val="008F10D4"/>
    <w:rsid w:val="008F12E9"/>
    <w:rsid w:val="008F1333"/>
    <w:rsid w:val="008F1337"/>
    <w:rsid w:val="008F15CE"/>
    <w:rsid w:val="008F18B9"/>
    <w:rsid w:val="008F1B7D"/>
    <w:rsid w:val="008F20F8"/>
    <w:rsid w:val="008F228E"/>
    <w:rsid w:val="008F237B"/>
    <w:rsid w:val="008F2463"/>
    <w:rsid w:val="008F25BA"/>
    <w:rsid w:val="008F2640"/>
    <w:rsid w:val="008F2756"/>
    <w:rsid w:val="008F2763"/>
    <w:rsid w:val="008F2874"/>
    <w:rsid w:val="008F2AA3"/>
    <w:rsid w:val="008F2F5D"/>
    <w:rsid w:val="008F3B61"/>
    <w:rsid w:val="008F3C2F"/>
    <w:rsid w:val="008F4310"/>
    <w:rsid w:val="008F4399"/>
    <w:rsid w:val="008F4DD9"/>
    <w:rsid w:val="008F4EFA"/>
    <w:rsid w:val="008F4F91"/>
    <w:rsid w:val="008F553E"/>
    <w:rsid w:val="008F5590"/>
    <w:rsid w:val="008F5640"/>
    <w:rsid w:val="008F577A"/>
    <w:rsid w:val="008F57D2"/>
    <w:rsid w:val="008F5AD7"/>
    <w:rsid w:val="008F5B4B"/>
    <w:rsid w:val="008F5DC4"/>
    <w:rsid w:val="008F606D"/>
    <w:rsid w:val="008F71A4"/>
    <w:rsid w:val="0090063E"/>
    <w:rsid w:val="00900CFD"/>
    <w:rsid w:val="00900FA1"/>
    <w:rsid w:val="00901030"/>
    <w:rsid w:val="00901411"/>
    <w:rsid w:val="009017AD"/>
    <w:rsid w:val="009018F3"/>
    <w:rsid w:val="009018F6"/>
    <w:rsid w:val="00901BE6"/>
    <w:rsid w:val="00901F98"/>
    <w:rsid w:val="00902048"/>
    <w:rsid w:val="00902B87"/>
    <w:rsid w:val="00902D29"/>
    <w:rsid w:val="00902DBE"/>
    <w:rsid w:val="00902EF7"/>
    <w:rsid w:val="009033FC"/>
    <w:rsid w:val="00903665"/>
    <w:rsid w:val="009036B0"/>
    <w:rsid w:val="00903946"/>
    <w:rsid w:val="00903DE8"/>
    <w:rsid w:val="0090435C"/>
    <w:rsid w:val="00904BF3"/>
    <w:rsid w:val="00905041"/>
    <w:rsid w:val="009054BE"/>
    <w:rsid w:val="00905A38"/>
    <w:rsid w:val="00905B62"/>
    <w:rsid w:val="00905BE7"/>
    <w:rsid w:val="00906B91"/>
    <w:rsid w:val="0090773F"/>
    <w:rsid w:val="009079C1"/>
    <w:rsid w:val="00910118"/>
    <w:rsid w:val="00910335"/>
    <w:rsid w:val="00910424"/>
    <w:rsid w:val="0091057F"/>
    <w:rsid w:val="009106F9"/>
    <w:rsid w:val="009109EA"/>
    <w:rsid w:val="00910D7A"/>
    <w:rsid w:val="00910DF0"/>
    <w:rsid w:val="009111F3"/>
    <w:rsid w:val="0091133F"/>
    <w:rsid w:val="009114B4"/>
    <w:rsid w:val="009116AB"/>
    <w:rsid w:val="009116FA"/>
    <w:rsid w:val="0091195F"/>
    <w:rsid w:val="00911D93"/>
    <w:rsid w:val="00912309"/>
    <w:rsid w:val="009127D0"/>
    <w:rsid w:val="00912838"/>
    <w:rsid w:val="00912C95"/>
    <w:rsid w:val="00913126"/>
    <w:rsid w:val="009135AB"/>
    <w:rsid w:val="00913A96"/>
    <w:rsid w:val="00914291"/>
    <w:rsid w:val="00914549"/>
    <w:rsid w:val="009147F0"/>
    <w:rsid w:val="00914840"/>
    <w:rsid w:val="009152D0"/>
    <w:rsid w:val="00915932"/>
    <w:rsid w:val="009159A0"/>
    <w:rsid w:val="00915BA1"/>
    <w:rsid w:val="00915D50"/>
    <w:rsid w:val="00915F25"/>
    <w:rsid w:val="00915FB6"/>
    <w:rsid w:val="009160D1"/>
    <w:rsid w:val="009162F9"/>
    <w:rsid w:val="0091748F"/>
    <w:rsid w:val="009175D1"/>
    <w:rsid w:val="00917886"/>
    <w:rsid w:val="00917B61"/>
    <w:rsid w:val="00917CF9"/>
    <w:rsid w:val="0092044F"/>
    <w:rsid w:val="00920601"/>
    <w:rsid w:val="009207D1"/>
    <w:rsid w:val="0092097B"/>
    <w:rsid w:val="009209B3"/>
    <w:rsid w:val="00920A1A"/>
    <w:rsid w:val="00920B1F"/>
    <w:rsid w:val="00920CD0"/>
    <w:rsid w:val="00921110"/>
    <w:rsid w:val="009211D1"/>
    <w:rsid w:val="009211F2"/>
    <w:rsid w:val="009219D5"/>
    <w:rsid w:val="00921F10"/>
    <w:rsid w:val="009221B0"/>
    <w:rsid w:val="0092222C"/>
    <w:rsid w:val="009222C6"/>
    <w:rsid w:val="00922397"/>
    <w:rsid w:val="00922535"/>
    <w:rsid w:val="009228BC"/>
    <w:rsid w:val="00923086"/>
    <w:rsid w:val="0092332D"/>
    <w:rsid w:val="00923751"/>
    <w:rsid w:val="00923834"/>
    <w:rsid w:val="00923BFE"/>
    <w:rsid w:val="00923D6C"/>
    <w:rsid w:val="00924417"/>
    <w:rsid w:val="00924DD8"/>
    <w:rsid w:val="00924E1F"/>
    <w:rsid w:val="00925344"/>
    <w:rsid w:val="0092548C"/>
    <w:rsid w:val="00925A8B"/>
    <w:rsid w:val="00926361"/>
    <w:rsid w:val="00926825"/>
    <w:rsid w:val="00927129"/>
    <w:rsid w:val="00927A7A"/>
    <w:rsid w:val="00930061"/>
    <w:rsid w:val="009301F0"/>
    <w:rsid w:val="0093022D"/>
    <w:rsid w:val="009302A1"/>
    <w:rsid w:val="00930384"/>
    <w:rsid w:val="009305B0"/>
    <w:rsid w:val="009306FF"/>
    <w:rsid w:val="0093072F"/>
    <w:rsid w:val="0093083E"/>
    <w:rsid w:val="00930C01"/>
    <w:rsid w:val="00930F27"/>
    <w:rsid w:val="009313E3"/>
    <w:rsid w:val="00931545"/>
    <w:rsid w:val="00931663"/>
    <w:rsid w:val="00931AE2"/>
    <w:rsid w:val="00931DA7"/>
    <w:rsid w:val="00931E38"/>
    <w:rsid w:val="00932588"/>
    <w:rsid w:val="009328F3"/>
    <w:rsid w:val="00932940"/>
    <w:rsid w:val="00932ACE"/>
    <w:rsid w:val="00932BCE"/>
    <w:rsid w:val="009333BD"/>
    <w:rsid w:val="009339B1"/>
    <w:rsid w:val="00933F2D"/>
    <w:rsid w:val="00933FBC"/>
    <w:rsid w:val="00934251"/>
    <w:rsid w:val="0093455D"/>
    <w:rsid w:val="00934586"/>
    <w:rsid w:val="009347CB"/>
    <w:rsid w:val="009348D4"/>
    <w:rsid w:val="009350DB"/>
    <w:rsid w:val="0093528D"/>
    <w:rsid w:val="00935A7A"/>
    <w:rsid w:val="00935B87"/>
    <w:rsid w:val="00935ECA"/>
    <w:rsid w:val="00935FA4"/>
    <w:rsid w:val="00936703"/>
    <w:rsid w:val="00936BD4"/>
    <w:rsid w:val="0093718C"/>
    <w:rsid w:val="0093729A"/>
    <w:rsid w:val="00937499"/>
    <w:rsid w:val="00940062"/>
    <w:rsid w:val="00940195"/>
    <w:rsid w:val="009402B7"/>
    <w:rsid w:val="0094055D"/>
    <w:rsid w:val="00940B73"/>
    <w:rsid w:val="00940C1D"/>
    <w:rsid w:val="00940F5A"/>
    <w:rsid w:val="009411C9"/>
    <w:rsid w:val="00941205"/>
    <w:rsid w:val="00941462"/>
    <w:rsid w:val="00941515"/>
    <w:rsid w:val="009415FB"/>
    <w:rsid w:val="00941D38"/>
    <w:rsid w:val="00942156"/>
    <w:rsid w:val="00942196"/>
    <w:rsid w:val="00942709"/>
    <w:rsid w:val="0094275D"/>
    <w:rsid w:val="00942970"/>
    <w:rsid w:val="00942F8A"/>
    <w:rsid w:val="0094317A"/>
    <w:rsid w:val="009432D4"/>
    <w:rsid w:val="009433CA"/>
    <w:rsid w:val="009433D5"/>
    <w:rsid w:val="00943410"/>
    <w:rsid w:val="0094361A"/>
    <w:rsid w:val="009436E3"/>
    <w:rsid w:val="00943C56"/>
    <w:rsid w:val="00943D36"/>
    <w:rsid w:val="009443EE"/>
    <w:rsid w:val="009444CB"/>
    <w:rsid w:val="009446D6"/>
    <w:rsid w:val="0094470C"/>
    <w:rsid w:val="00944858"/>
    <w:rsid w:val="00944984"/>
    <w:rsid w:val="00944985"/>
    <w:rsid w:val="00944C8E"/>
    <w:rsid w:val="00945037"/>
    <w:rsid w:val="009453DD"/>
    <w:rsid w:val="009453ED"/>
    <w:rsid w:val="0094553F"/>
    <w:rsid w:val="00945B0B"/>
    <w:rsid w:val="00945FC8"/>
    <w:rsid w:val="00945FEE"/>
    <w:rsid w:val="0094639C"/>
    <w:rsid w:val="00946633"/>
    <w:rsid w:val="00946804"/>
    <w:rsid w:val="009469D6"/>
    <w:rsid w:val="0094774B"/>
    <w:rsid w:val="00947D53"/>
    <w:rsid w:val="00947F31"/>
    <w:rsid w:val="009502C2"/>
    <w:rsid w:val="0095051F"/>
    <w:rsid w:val="0095079E"/>
    <w:rsid w:val="009508D6"/>
    <w:rsid w:val="0095122C"/>
    <w:rsid w:val="00951DE2"/>
    <w:rsid w:val="00951F36"/>
    <w:rsid w:val="0095200F"/>
    <w:rsid w:val="009522B7"/>
    <w:rsid w:val="0095256E"/>
    <w:rsid w:val="0095268D"/>
    <w:rsid w:val="00952885"/>
    <w:rsid w:val="009528EE"/>
    <w:rsid w:val="00952B95"/>
    <w:rsid w:val="0095320C"/>
    <w:rsid w:val="00953324"/>
    <w:rsid w:val="00953540"/>
    <w:rsid w:val="009535B9"/>
    <w:rsid w:val="00953B17"/>
    <w:rsid w:val="00953C7C"/>
    <w:rsid w:val="009544DA"/>
    <w:rsid w:val="0095452C"/>
    <w:rsid w:val="00954764"/>
    <w:rsid w:val="009549B1"/>
    <w:rsid w:val="00954D86"/>
    <w:rsid w:val="009554A2"/>
    <w:rsid w:val="00955D5C"/>
    <w:rsid w:val="00956228"/>
    <w:rsid w:val="00956253"/>
    <w:rsid w:val="009563AE"/>
    <w:rsid w:val="009563B7"/>
    <w:rsid w:val="009567F0"/>
    <w:rsid w:val="009568D4"/>
    <w:rsid w:val="00956BF3"/>
    <w:rsid w:val="00956F2B"/>
    <w:rsid w:val="009571D3"/>
    <w:rsid w:val="00957500"/>
    <w:rsid w:val="00957818"/>
    <w:rsid w:val="0095782E"/>
    <w:rsid w:val="00957DE1"/>
    <w:rsid w:val="009602A1"/>
    <w:rsid w:val="009605C0"/>
    <w:rsid w:val="0096064D"/>
    <w:rsid w:val="009606A8"/>
    <w:rsid w:val="00960817"/>
    <w:rsid w:val="00960A2F"/>
    <w:rsid w:val="00960B1B"/>
    <w:rsid w:val="00960C38"/>
    <w:rsid w:val="00960C3F"/>
    <w:rsid w:val="00960C80"/>
    <w:rsid w:val="00960F69"/>
    <w:rsid w:val="00960FA7"/>
    <w:rsid w:val="0096126D"/>
    <w:rsid w:val="00961444"/>
    <w:rsid w:val="0096181C"/>
    <w:rsid w:val="00961974"/>
    <w:rsid w:val="00961A15"/>
    <w:rsid w:val="00962221"/>
    <w:rsid w:val="009623DB"/>
    <w:rsid w:val="0096289D"/>
    <w:rsid w:val="00962BFB"/>
    <w:rsid w:val="00963114"/>
    <w:rsid w:val="00963133"/>
    <w:rsid w:val="00963596"/>
    <w:rsid w:val="009637AA"/>
    <w:rsid w:val="009639C8"/>
    <w:rsid w:val="00963AD2"/>
    <w:rsid w:val="00963D11"/>
    <w:rsid w:val="009643E3"/>
    <w:rsid w:val="009645B3"/>
    <w:rsid w:val="009645FF"/>
    <w:rsid w:val="00964639"/>
    <w:rsid w:val="009646ED"/>
    <w:rsid w:val="00964823"/>
    <w:rsid w:val="00964A34"/>
    <w:rsid w:val="00964B70"/>
    <w:rsid w:val="00964CC2"/>
    <w:rsid w:val="00964CCD"/>
    <w:rsid w:val="00964E0D"/>
    <w:rsid w:val="00965300"/>
    <w:rsid w:val="009653CC"/>
    <w:rsid w:val="00965D67"/>
    <w:rsid w:val="00965D72"/>
    <w:rsid w:val="00965FFB"/>
    <w:rsid w:val="009660BA"/>
    <w:rsid w:val="00966577"/>
    <w:rsid w:val="00966936"/>
    <w:rsid w:val="009673C9"/>
    <w:rsid w:val="00967A9A"/>
    <w:rsid w:val="00967B84"/>
    <w:rsid w:val="00967BD5"/>
    <w:rsid w:val="00967E2A"/>
    <w:rsid w:val="00967EB2"/>
    <w:rsid w:val="009700DA"/>
    <w:rsid w:val="0097037C"/>
    <w:rsid w:val="0097052F"/>
    <w:rsid w:val="00970717"/>
    <w:rsid w:val="0097086D"/>
    <w:rsid w:val="00970941"/>
    <w:rsid w:val="00970BA4"/>
    <w:rsid w:val="00970E1D"/>
    <w:rsid w:val="00970EB8"/>
    <w:rsid w:val="00970F77"/>
    <w:rsid w:val="00971218"/>
    <w:rsid w:val="00971B51"/>
    <w:rsid w:val="00971F18"/>
    <w:rsid w:val="00973179"/>
    <w:rsid w:val="00973363"/>
    <w:rsid w:val="00973566"/>
    <w:rsid w:val="00973A37"/>
    <w:rsid w:val="00973F2D"/>
    <w:rsid w:val="00974027"/>
    <w:rsid w:val="00974BFF"/>
    <w:rsid w:val="00974DA9"/>
    <w:rsid w:val="00974ECA"/>
    <w:rsid w:val="00974F4D"/>
    <w:rsid w:val="00975498"/>
    <w:rsid w:val="00975A85"/>
    <w:rsid w:val="00975F0B"/>
    <w:rsid w:val="009764F3"/>
    <w:rsid w:val="00976999"/>
    <w:rsid w:val="00976F43"/>
    <w:rsid w:val="0097705C"/>
    <w:rsid w:val="009776D9"/>
    <w:rsid w:val="00977BC8"/>
    <w:rsid w:val="00977D02"/>
    <w:rsid w:val="00977E82"/>
    <w:rsid w:val="00977F36"/>
    <w:rsid w:val="00977F43"/>
    <w:rsid w:val="0098010B"/>
    <w:rsid w:val="00980334"/>
    <w:rsid w:val="00980709"/>
    <w:rsid w:val="00980736"/>
    <w:rsid w:val="009808A3"/>
    <w:rsid w:val="009808BB"/>
    <w:rsid w:val="0098090E"/>
    <w:rsid w:val="00980DF7"/>
    <w:rsid w:val="009815A1"/>
    <w:rsid w:val="00981AC1"/>
    <w:rsid w:val="00981BA6"/>
    <w:rsid w:val="00982107"/>
    <w:rsid w:val="009822FF"/>
    <w:rsid w:val="00982F51"/>
    <w:rsid w:val="00983189"/>
    <w:rsid w:val="0098328E"/>
    <w:rsid w:val="009837B6"/>
    <w:rsid w:val="00983A59"/>
    <w:rsid w:val="00983E9D"/>
    <w:rsid w:val="009841D0"/>
    <w:rsid w:val="00984268"/>
    <w:rsid w:val="0098498A"/>
    <w:rsid w:val="0098562B"/>
    <w:rsid w:val="0098587D"/>
    <w:rsid w:val="009858D9"/>
    <w:rsid w:val="009859AB"/>
    <w:rsid w:val="009862D2"/>
    <w:rsid w:val="00986EFB"/>
    <w:rsid w:val="0098715B"/>
    <w:rsid w:val="009871E0"/>
    <w:rsid w:val="00987225"/>
    <w:rsid w:val="00987614"/>
    <w:rsid w:val="00987B51"/>
    <w:rsid w:val="00990168"/>
    <w:rsid w:val="0099041B"/>
    <w:rsid w:val="009908AE"/>
    <w:rsid w:val="009909A9"/>
    <w:rsid w:val="00990BEF"/>
    <w:rsid w:val="00991341"/>
    <w:rsid w:val="009913D0"/>
    <w:rsid w:val="0099165B"/>
    <w:rsid w:val="009918DF"/>
    <w:rsid w:val="00991A3B"/>
    <w:rsid w:val="00991B71"/>
    <w:rsid w:val="00992319"/>
    <w:rsid w:val="00992373"/>
    <w:rsid w:val="009929D6"/>
    <w:rsid w:val="00992C9C"/>
    <w:rsid w:val="00992D7E"/>
    <w:rsid w:val="009930D3"/>
    <w:rsid w:val="00993243"/>
    <w:rsid w:val="00993687"/>
    <w:rsid w:val="009937E1"/>
    <w:rsid w:val="00993AB6"/>
    <w:rsid w:val="00993BFC"/>
    <w:rsid w:val="00993F79"/>
    <w:rsid w:val="00993FAF"/>
    <w:rsid w:val="00993FCD"/>
    <w:rsid w:val="009940B8"/>
    <w:rsid w:val="00994C3F"/>
    <w:rsid w:val="00994C61"/>
    <w:rsid w:val="00994CDF"/>
    <w:rsid w:val="00995343"/>
    <w:rsid w:val="00995A11"/>
    <w:rsid w:val="00995C1E"/>
    <w:rsid w:val="00995E88"/>
    <w:rsid w:val="0099603D"/>
    <w:rsid w:val="00996355"/>
    <w:rsid w:val="00996408"/>
    <w:rsid w:val="0099643A"/>
    <w:rsid w:val="00996473"/>
    <w:rsid w:val="00996AC8"/>
    <w:rsid w:val="00996B1F"/>
    <w:rsid w:val="00996E68"/>
    <w:rsid w:val="009975B3"/>
    <w:rsid w:val="00997A8D"/>
    <w:rsid w:val="00997FB5"/>
    <w:rsid w:val="009A0892"/>
    <w:rsid w:val="009A0ACC"/>
    <w:rsid w:val="009A0CD9"/>
    <w:rsid w:val="009A105B"/>
    <w:rsid w:val="009A10F6"/>
    <w:rsid w:val="009A124C"/>
    <w:rsid w:val="009A1399"/>
    <w:rsid w:val="009A1586"/>
    <w:rsid w:val="009A15FA"/>
    <w:rsid w:val="009A1C8A"/>
    <w:rsid w:val="009A2013"/>
    <w:rsid w:val="009A2128"/>
    <w:rsid w:val="009A2571"/>
    <w:rsid w:val="009A25CC"/>
    <w:rsid w:val="009A25E4"/>
    <w:rsid w:val="009A2C89"/>
    <w:rsid w:val="009A2CD4"/>
    <w:rsid w:val="009A2E68"/>
    <w:rsid w:val="009A2E8D"/>
    <w:rsid w:val="009A3535"/>
    <w:rsid w:val="009A382F"/>
    <w:rsid w:val="009A38C4"/>
    <w:rsid w:val="009A3AC2"/>
    <w:rsid w:val="009A3E36"/>
    <w:rsid w:val="009A4358"/>
    <w:rsid w:val="009A44CC"/>
    <w:rsid w:val="009A47AA"/>
    <w:rsid w:val="009A49F0"/>
    <w:rsid w:val="009A4C50"/>
    <w:rsid w:val="009A4FA0"/>
    <w:rsid w:val="009A546F"/>
    <w:rsid w:val="009A5981"/>
    <w:rsid w:val="009A59F3"/>
    <w:rsid w:val="009A606C"/>
    <w:rsid w:val="009A646C"/>
    <w:rsid w:val="009A660C"/>
    <w:rsid w:val="009A67CF"/>
    <w:rsid w:val="009A6BF5"/>
    <w:rsid w:val="009A6F8C"/>
    <w:rsid w:val="009A7437"/>
    <w:rsid w:val="009A7A0E"/>
    <w:rsid w:val="009B01AF"/>
    <w:rsid w:val="009B043B"/>
    <w:rsid w:val="009B047E"/>
    <w:rsid w:val="009B0671"/>
    <w:rsid w:val="009B0B9B"/>
    <w:rsid w:val="009B0D9F"/>
    <w:rsid w:val="009B0DF4"/>
    <w:rsid w:val="009B0EA7"/>
    <w:rsid w:val="009B121D"/>
    <w:rsid w:val="009B12D9"/>
    <w:rsid w:val="009B14FE"/>
    <w:rsid w:val="009B1B2C"/>
    <w:rsid w:val="009B2364"/>
    <w:rsid w:val="009B254C"/>
    <w:rsid w:val="009B2683"/>
    <w:rsid w:val="009B276E"/>
    <w:rsid w:val="009B2BED"/>
    <w:rsid w:val="009B2E0F"/>
    <w:rsid w:val="009B3138"/>
    <w:rsid w:val="009B32B4"/>
    <w:rsid w:val="009B32C6"/>
    <w:rsid w:val="009B38BB"/>
    <w:rsid w:val="009B3ABE"/>
    <w:rsid w:val="009B3C48"/>
    <w:rsid w:val="009B3E56"/>
    <w:rsid w:val="009B420F"/>
    <w:rsid w:val="009B43EC"/>
    <w:rsid w:val="009B47F4"/>
    <w:rsid w:val="009B4B1E"/>
    <w:rsid w:val="009B50AA"/>
    <w:rsid w:val="009B5135"/>
    <w:rsid w:val="009B516A"/>
    <w:rsid w:val="009B5645"/>
    <w:rsid w:val="009B571A"/>
    <w:rsid w:val="009B5C82"/>
    <w:rsid w:val="009B5D49"/>
    <w:rsid w:val="009B5EA6"/>
    <w:rsid w:val="009B6209"/>
    <w:rsid w:val="009B63BF"/>
    <w:rsid w:val="009B655C"/>
    <w:rsid w:val="009B6789"/>
    <w:rsid w:val="009B6816"/>
    <w:rsid w:val="009B6A68"/>
    <w:rsid w:val="009B703E"/>
    <w:rsid w:val="009B70E2"/>
    <w:rsid w:val="009B7BF5"/>
    <w:rsid w:val="009B7D19"/>
    <w:rsid w:val="009B7DFB"/>
    <w:rsid w:val="009B7E6F"/>
    <w:rsid w:val="009C0943"/>
    <w:rsid w:val="009C098E"/>
    <w:rsid w:val="009C0A73"/>
    <w:rsid w:val="009C0DB3"/>
    <w:rsid w:val="009C0DDC"/>
    <w:rsid w:val="009C0FBA"/>
    <w:rsid w:val="009C0FC8"/>
    <w:rsid w:val="009C1540"/>
    <w:rsid w:val="009C1782"/>
    <w:rsid w:val="009C2062"/>
    <w:rsid w:val="009C2252"/>
    <w:rsid w:val="009C27D4"/>
    <w:rsid w:val="009C2930"/>
    <w:rsid w:val="009C29F4"/>
    <w:rsid w:val="009C2D20"/>
    <w:rsid w:val="009C2D66"/>
    <w:rsid w:val="009C2E45"/>
    <w:rsid w:val="009C3250"/>
    <w:rsid w:val="009C332C"/>
    <w:rsid w:val="009C37A1"/>
    <w:rsid w:val="009C3E06"/>
    <w:rsid w:val="009C3F25"/>
    <w:rsid w:val="009C42C0"/>
    <w:rsid w:val="009C49A0"/>
    <w:rsid w:val="009C4AE8"/>
    <w:rsid w:val="009C4BC8"/>
    <w:rsid w:val="009C4BDB"/>
    <w:rsid w:val="009C4EFC"/>
    <w:rsid w:val="009C58E2"/>
    <w:rsid w:val="009C5921"/>
    <w:rsid w:val="009C6263"/>
    <w:rsid w:val="009C63F9"/>
    <w:rsid w:val="009C6D39"/>
    <w:rsid w:val="009C6F17"/>
    <w:rsid w:val="009C7229"/>
    <w:rsid w:val="009C72AD"/>
    <w:rsid w:val="009C7366"/>
    <w:rsid w:val="009C77BE"/>
    <w:rsid w:val="009C7914"/>
    <w:rsid w:val="009C7F90"/>
    <w:rsid w:val="009D0006"/>
    <w:rsid w:val="009D0283"/>
    <w:rsid w:val="009D06F5"/>
    <w:rsid w:val="009D087E"/>
    <w:rsid w:val="009D0930"/>
    <w:rsid w:val="009D0A14"/>
    <w:rsid w:val="009D0B59"/>
    <w:rsid w:val="009D0BA9"/>
    <w:rsid w:val="009D0D08"/>
    <w:rsid w:val="009D0DF5"/>
    <w:rsid w:val="009D0FEA"/>
    <w:rsid w:val="009D14EE"/>
    <w:rsid w:val="009D15FF"/>
    <w:rsid w:val="009D1A10"/>
    <w:rsid w:val="009D1A5E"/>
    <w:rsid w:val="009D2266"/>
    <w:rsid w:val="009D2287"/>
    <w:rsid w:val="009D22E5"/>
    <w:rsid w:val="009D28B4"/>
    <w:rsid w:val="009D294A"/>
    <w:rsid w:val="009D2E96"/>
    <w:rsid w:val="009D3151"/>
    <w:rsid w:val="009D40D9"/>
    <w:rsid w:val="009D41D8"/>
    <w:rsid w:val="009D45A0"/>
    <w:rsid w:val="009D4883"/>
    <w:rsid w:val="009D57B5"/>
    <w:rsid w:val="009D5BCC"/>
    <w:rsid w:val="009D5C44"/>
    <w:rsid w:val="009D5CEE"/>
    <w:rsid w:val="009D5E3E"/>
    <w:rsid w:val="009D6223"/>
    <w:rsid w:val="009D62FE"/>
    <w:rsid w:val="009D647A"/>
    <w:rsid w:val="009D64EC"/>
    <w:rsid w:val="009D65DC"/>
    <w:rsid w:val="009D6B3E"/>
    <w:rsid w:val="009D6C6F"/>
    <w:rsid w:val="009D6F40"/>
    <w:rsid w:val="009D7376"/>
    <w:rsid w:val="009D7950"/>
    <w:rsid w:val="009D7A01"/>
    <w:rsid w:val="009D7AC1"/>
    <w:rsid w:val="009D7C84"/>
    <w:rsid w:val="009D7D0C"/>
    <w:rsid w:val="009D7EA3"/>
    <w:rsid w:val="009E045B"/>
    <w:rsid w:val="009E057E"/>
    <w:rsid w:val="009E09DE"/>
    <w:rsid w:val="009E09EB"/>
    <w:rsid w:val="009E0F4A"/>
    <w:rsid w:val="009E12FE"/>
    <w:rsid w:val="009E1551"/>
    <w:rsid w:val="009E15B0"/>
    <w:rsid w:val="009E19EE"/>
    <w:rsid w:val="009E1D4C"/>
    <w:rsid w:val="009E2040"/>
    <w:rsid w:val="009E20FB"/>
    <w:rsid w:val="009E2ACF"/>
    <w:rsid w:val="009E2C49"/>
    <w:rsid w:val="009E32D8"/>
    <w:rsid w:val="009E33F3"/>
    <w:rsid w:val="009E34EB"/>
    <w:rsid w:val="009E359D"/>
    <w:rsid w:val="009E3BDE"/>
    <w:rsid w:val="009E3BFC"/>
    <w:rsid w:val="009E4631"/>
    <w:rsid w:val="009E4D16"/>
    <w:rsid w:val="009E4DEA"/>
    <w:rsid w:val="009E4E49"/>
    <w:rsid w:val="009E4EA3"/>
    <w:rsid w:val="009E5585"/>
    <w:rsid w:val="009E6272"/>
    <w:rsid w:val="009E6476"/>
    <w:rsid w:val="009E6608"/>
    <w:rsid w:val="009E6CA2"/>
    <w:rsid w:val="009E6E98"/>
    <w:rsid w:val="009E6F6B"/>
    <w:rsid w:val="009E7073"/>
    <w:rsid w:val="009E72B7"/>
    <w:rsid w:val="009F0A6D"/>
    <w:rsid w:val="009F0BF4"/>
    <w:rsid w:val="009F0CA0"/>
    <w:rsid w:val="009F13FF"/>
    <w:rsid w:val="009F14BB"/>
    <w:rsid w:val="009F151C"/>
    <w:rsid w:val="009F196D"/>
    <w:rsid w:val="009F1AEE"/>
    <w:rsid w:val="009F27FD"/>
    <w:rsid w:val="009F29E3"/>
    <w:rsid w:val="009F2E59"/>
    <w:rsid w:val="009F316F"/>
    <w:rsid w:val="009F34A5"/>
    <w:rsid w:val="009F3820"/>
    <w:rsid w:val="009F3A5F"/>
    <w:rsid w:val="009F3B25"/>
    <w:rsid w:val="009F421A"/>
    <w:rsid w:val="009F42A7"/>
    <w:rsid w:val="009F484C"/>
    <w:rsid w:val="009F4918"/>
    <w:rsid w:val="009F4BBE"/>
    <w:rsid w:val="009F4C7D"/>
    <w:rsid w:val="009F4CCF"/>
    <w:rsid w:val="009F4E60"/>
    <w:rsid w:val="009F5051"/>
    <w:rsid w:val="009F52EB"/>
    <w:rsid w:val="009F535D"/>
    <w:rsid w:val="009F5A23"/>
    <w:rsid w:val="009F5BD0"/>
    <w:rsid w:val="009F5C23"/>
    <w:rsid w:val="009F5D98"/>
    <w:rsid w:val="009F60D8"/>
    <w:rsid w:val="009F627F"/>
    <w:rsid w:val="009F62B6"/>
    <w:rsid w:val="009F664C"/>
    <w:rsid w:val="009F66E0"/>
    <w:rsid w:val="009F6DBF"/>
    <w:rsid w:val="009F7A42"/>
    <w:rsid w:val="00A00018"/>
    <w:rsid w:val="00A0072C"/>
    <w:rsid w:val="00A01085"/>
    <w:rsid w:val="00A015FE"/>
    <w:rsid w:val="00A0187F"/>
    <w:rsid w:val="00A01A67"/>
    <w:rsid w:val="00A01B7F"/>
    <w:rsid w:val="00A01E07"/>
    <w:rsid w:val="00A02568"/>
    <w:rsid w:val="00A028BF"/>
    <w:rsid w:val="00A02F39"/>
    <w:rsid w:val="00A02F3C"/>
    <w:rsid w:val="00A031C6"/>
    <w:rsid w:val="00A031DF"/>
    <w:rsid w:val="00A032E9"/>
    <w:rsid w:val="00A036CF"/>
    <w:rsid w:val="00A03740"/>
    <w:rsid w:val="00A03FFB"/>
    <w:rsid w:val="00A04A6D"/>
    <w:rsid w:val="00A04A83"/>
    <w:rsid w:val="00A05AC8"/>
    <w:rsid w:val="00A05D4D"/>
    <w:rsid w:val="00A060D5"/>
    <w:rsid w:val="00A06190"/>
    <w:rsid w:val="00A06396"/>
    <w:rsid w:val="00A06476"/>
    <w:rsid w:val="00A0648C"/>
    <w:rsid w:val="00A066BB"/>
    <w:rsid w:val="00A066BC"/>
    <w:rsid w:val="00A06787"/>
    <w:rsid w:val="00A06B69"/>
    <w:rsid w:val="00A06F01"/>
    <w:rsid w:val="00A07070"/>
    <w:rsid w:val="00A071D7"/>
    <w:rsid w:val="00A07206"/>
    <w:rsid w:val="00A074D9"/>
    <w:rsid w:val="00A075F7"/>
    <w:rsid w:val="00A076BB"/>
    <w:rsid w:val="00A077C1"/>
    <w:rsid w:val="00A07998"/>
    <w:rsid w:val="00A07A7E"/>
    <w:rsid w:val="00A07BBA"/>
    <w:rsid w:val="00A07CC5"/>
    <w:rsid w:val="00A07DF9"/>
    <w:rsid w:val="00A07E49"/>
    <w:rsid w:val="00A07ED1"/>
    <w:rsid w:val="00A07F06"/>
    <w:rsid w:val="00A10577"/>
    <w:rsid w:val="00A10680"/>
    <w:rsid w:val="00A10830"/>
    <w:rsid w:val="00A10B3B"/>
    <w:rsid w:val="00A10D13"/>
    <w:rsid w:val="00A11102"/>
    <w:rsid w:val="00A11249"/>
    <w:rsid w:val="00A1199B"/>
    <w:rsid w:val="00A11CFD"/>
    <w:rsid w:val="00A11FF1"/>
    <w:rsid w:val="00A12949"/>
    <w:rsid w:val="00A12A85"/>
    <w:rsid w:val="00A12E4A"/>
    <w:rsid w:val="00A12E9B"/>
    <w:rsid w:val="00A130C2"/>
    <w:rsid w:val="00A13408"/>
    <w:rsid w:val="00A13E0A"/>
    <w:rsid w:val="00A13EDC"/>
    <w:rsid w:val="00A140E1"/>
    <w:rsid w:val="00A1448C"/>
    <w:rsid w:val="00A1449E"/>
    <w:rsid w:val="00A14558"/>
    <w:rsid w:val="00A14AE8"/>
    <w:rsid w:val="00A14CC8"/>
    <w:rsid w:val="00A14DAE"/>
    <w:rsid w:val="00A14DDA"/>
    <w:rsid w:val="00A14E5C"/>
    <w:rsid w:val="00A1510B"/>
    <w:rsid w:val="00A1546D"/>
    <w:rsid w:val="00A15564"/>
    <w:rsid w:val="00A155F1"/>
    <w:rsid w:val="00A1568A"/>
    <w:rsid w:val="00A1586A"/>
    <w:rsid w:val="00A15892"/>
    <w:rsid w:val="00A159CF"/>
    <w:rsid w:val="00A15F48"/>
    <w:rsid w:val="00A16445"/>
    <w:rsid w:val="00A16762"/>
    <w:rsid w:val="00A16C00"/>
    <w:rsid w:val="00A16D1A"/>
    <w:rsid w:val="00A16DE7"/>
    <w:rsid w:val="00A17648"/>
    <w:rsid w:val="00A17931"/>
    <w:rsid w:val="00A17980"/>
    <w:rsid w:val="00A2018F"/>
    <w:rsid w:val="00A202A0"/>
    <w:rsid w:val="00A208B2"/>
    <w:rsid w:val="00A20C60"/>
    <w:rsid w:val="00A20C6A"/>
    <w:rsid w:val="00A21059"/>
    <w:rsid w:val="00A21550"/>
    <w:rsid w:val="00A21730"/>
    <w:rsid w:val="00A22035"/>
    <w:rsid w:val="00A22366"/>
    <w:rsid w:val="00A223E1"/>
    <w:rsid w:val="00A22447"/>
    <w:rsid w:val="00A229DE"/>
    <w:rsid w:val="00A23BD7"/>
    <w:rsid w:val="00A24236"/>
    <w:rsid w:val="00A24243"/>
    <w:rsid w:val="00A24642"/>
    <w:rsid w:val="00A24940"/>
    <w:rsid w:val="00A25391"/>
    <w:rsid w:val="00A253D0"/>
    <w:rsid w:val="00A259F0"/>
    <w:rsid w:val="00A266B2"/>
    <w:rsid w:val="00A267F9"/>
    <w:rsid w:val="00A268EA"/>
    <w:rsid w:val="00A26F20"/>
    <w:rsid w:val="00A2724F"/>
    <w:rsid w:val="00A274DF"/>
    <w:rsid w:val="00A2793B"/>
    <w:rsid w:val="00A27B7D"/>
    <w:rsid w:val="00A30111"/>
    <w:rsid w:val="00A304AA"/>
    <w:rsid w:val="00A30639"/>
    <w:rsid w:val="00A30906"/>
    <w:rsid w:val="00A30979"/>
    <w:rsid w:val="00A30A81"/>
    <w:rsid w:val="00A31064"/>
    <w:rsid w:val="00A31767"/>
    <w:rsid w:val="00A31881"/>
    <w:rsid w:val="00A31ABF"/>
    <w:rsid w:val="00A31C7C"/>
    <w:rsid w:val="00A31FD3"/>
    <w:rsid w:val="00A3207F"/>
    <w:rsid w:val="00A32284"/>
    <w:rsid w:val="00A32510"/>
    <w:rsid w:val="00A3263B"/>
    <w:rsid w:val="00A32AA9"/>
    <w:rsid w:val="00A32DCF"/>
    <w:rsid w:val="00A32E07"/>
    <w:rsid w:val="00A3335A"/>
    <w:rsid w:val="00A333DC"/>
    <w:rsid w:val="00A3342C"/>
    <w:rsid w:val="00A33604"/>
    <w:rsid w:val="00A338F9"/>
    <w:rsid w:val="00A339D8"/>
    <w:rsid w:val="00A33B9F"/>
    <w:rsid w:val="00A34001"/>
    <w:rsid w:val="00A34934"/>
    <w:rsid w:val="00A34935"/>
    <w:rsid w:val="00A34939"/>
    <w:rsid w:val="00A349BB"/>
    <w:rsid w:val="00A34C25"/>
    <w:rsid w:val="00A34F24"/>
    <w:rsid w:val="00A35082"/>
    <w:rsid w:val="00A3585A"/>
    <w:rsid w:val="00A35A24"/>
    <w:rsid w:val="00A35A54"/>
    <w:rsid w:val="00A35D26"/>
    <w:rsid w:val="00A35D73"/>
    <w:rsid w:val="00A360B1"/>
    <w:rsid w:val="00A36302"/>
    <w:rsid w:val="00A365D0"/>
    <w:rsid w:val="00A36640"/>
    <w:rsid w:val="00A3692F"/>
    <w:rsid w:val="00A36B19"/>
    <w:rsid w:val="00A36CE6"/>
    <w:rsid w:val="00A36DC3"/>
    <w:rsid w:val="00A3715E"/>
    <w:rsid w:val="00A375F4"/>
    <w:rsid w:val="00A37D91"/>
    <w:rsid w:val="00A40163"/>
    <w:rsid w:val="00A40396"/>
    <w:rsid w:val="00A409C0"/>
    <w:rsid w:val="00A40AD7"/>
    <w:rsid w:val="00A4117F"/>
    <w:rsid w:val="00A412F7"/>
    <w:rsid w:val="00A41823"/>
    <w:rsid w:val="00A419DC"/>
    <w:rsid w:val="00A41B42"/>
    <w:rsid w:val="00A41C79"/>
    <w:rsid w:val="00A42233"/>
    <w:rsid w:val="00A42541"/>
    <w:rsid w:val="00A42590"/>
    <w:rsid w:val="00A42F24"/>
    <w:rsid w:val="00A431B2"/>
    <w:rsid w:val="00A432EA"/>
    <w:rsid w:val="00A43455"/>
    <w:rsid w:val="00A439E0"/>
    <w:rsid w:val="00A43B40"/>
    <w:rsid w:val="00A43E47"/>
    <w:rsid w:val="00A4407C"/>
    <w:rsid w:val="00A440D8"/>
    <w:rsid w:val="00A4447F"/>
    <w:rsid w:val="00A4452C"/>
    <w:rsid w:val="00A44D7D"/>
    <w:rsid w:val="00A44EE0"/>
    <w:rsid w:val="00A4541F"/>
    <w:rsid w:val="00A455FC"/>
    <w:rsid w:val="00A4571E"/>
    <w:rsid w:val="00A45AE6"/>
    <w:rsid w:val="00A46582"/>
    <w:rsid w:val="00A46646"/>
    <w:rsid w:val="00A468A4"/>
    <w:rsid w:val="00A4692D"/>
    <w:rsid w:val="00A46BD1"/>
    <w:rsid w:val="00A46DD8"/>
    <w:rsid w:val="00A46EB9"/>
    <w:rsid w:val="00A46F2C"/>
    <w:rsid w:val="00A47096"/>
    <w:rsid w:val="00A47183"/>
    <w:rsid w:val="00A4767C"/>
    <w:rsid w:val="00A476D8"/>
    <w:rsid w:val="00A477B1"/>
    <w:rsid w:val="00A4787B"/>
    <w:rsid w:val="00A47AD8"/>
    <w:rsid w:val="00A5074F"/>
    <w:rsid w:val="00A50764"/>
    <w:rsid w:val="00A50B75"/>
    <w:rsid w:val="00A50FC4"/>
    <w:rsid w:val="00A510E6"/>
    <w:rsid w:val="00A51100"/>
    <w:rsid w:val="00A5121F"/>
    <w:rsid w:val="00A51507"/>
    <w:rsid w:val="00A51695"/>
    <w:rsid w:val="00A51ADA"/>
    <w:rsid w:val="00A5214F"/>
    <w:rsid w:val="00A52691"/>
    <w:rsid w:val="00A52CA0"/>
    <w:rsid w:val="00A5309C"/>
    <w:rsid w:val="00A53593"/>
    <w:rsid w:val="00A538E8"/>
    <w:rsid w:val="00A540E7"/>
    <w:rsid w:val="00A54112"/>
    <w:rsid w:val="00A54698"/>
    <w:rsid w:val="00A54DA4"/>
    <w:rsid w:val="00A54DFD"/>
    <w:rsid w:val="00A54E0E"/>
    <w:rsid w:val="00A54F14"/>
    <w:rsid w:val="00A55073"/>
    <w:rsid w:val="00A550C6"/>
    <w:rsid w:val="00A550F1"/>
    <w:rsid w:val="00A554CE"/>
    <w:rsid w:val="00A5568D"/>
    <w:rsid w:val="00A562EC"/>
    <w:rsid w:val="00A56317"/>
    <w:rsid w:val="00A566B2"/>
    <w:rsid w:val="00A56D97"/>
    <w:rsid w:val="00A57087"/>
    <w:rsid w:val="00A574E4"/>
    <w:rsid w:val="00A579B2"/>
    <w:rsid w:val="00A57AB0"/>
    <w:rsid w:val="00A57B46"/>
    <w:rsid w:val="00A57BFA"/>
    <w:rsid w:val="00A6004E"/>
    <w:rsid w:val="00A60233"/>
    <w:rsid w:val="00A606E5"/>
    <w:rsid w:val="00A60B32"/>
    <w:rsid w:val="00A615CA"/>
    <w:rsid w:val="00A616FF"/>
    <w:rsid w:val="00A618AB"/>
    <w:rsid w:val="00A62C88"/>
    <w:rsid w:val="00A62F14"/>
    <w:rsid w:val="00A62FDC"/>
    <w:rsid w:val="00A6341D"/>
    <w:rsid w:val="00A6375B"/>
    <w:rsid w:val="00A63DAE"/>
    <w:rsid w:val="00A644B8"/>
    <w:rsid w:val="00A644BC"/>
    <w:rsid w:val="00A64672"/>
    <w:rsid w:val="00A64873"/>
    <w:rsid w:val="00A64BE7"/>
    <w:rsid w:val="00A64C0F"/>
    <w:rsid w:val="00A64DCE"/>
    <w:rsid w:val="00A6508C"/>
    <w:rsid w:val="00A653F3"/>
    <w:rsid w:val="00A65524"/>
    <w:rsid w:val="00A6629F"/>
    <w:rsid w:val="00A6646E"/>
    <w:rsid w:val="00A6650E"/>
    <w:rsid w:val="00A6697A"/>
    <w:rsid w:val="00A66B65"/>
    <w:rsid w:val="00A66D30"/>
    <w:rsid w:val="00A66DA3"/>
    <w:rsid w:val="00A670E2"/>
    <w:rsid w:val="00A671B8"/>
    <w:rsid w:val="00A67206"/>
    <w:rsid w:val="00A67208"/>
    <w:rsid w:val="00A67502"/>
    <w:rsid w:val="00A67605"/>
    <w:rsid w:val="00A6782D"/>
    <w:rsid w:val="00A67952"/>
    <w:rsid w:val="00A67CFE"/>
    <w:rsid w:val="00A70250"/>
    <w:rsid w:val="00A706E3"/>
    <w:rsid w:val="00A7079B"/>
    <w:rsid w:val="00A70AA1"/>
    <w:rsid w:val="00A70BF2"/>
    <w:rsid w:val="00A70ECB"/>
    <w:rsid w:val="00A712FF"/>
    <w:rsid w:val="00A71400"/>
    <w:rsid w:val="00A7168E"/>
    <w:rsid w:val="00A71B0B"/>
    <w:rsid w:val="00A71B24"/>
    <w:rsid w:val="00A71E07"/>
    <w:rsid w:val="00A724D0"/>
    <w:rsid w:val="00A7286B"/>
    <w:rsid w:val="00A72AE9"/>
    <w:rsid w:val="00A72DF6"/>
    <w:rsid w:val="00A730E1"/>
    <w:rsid w:val="00A7349A"/>
    <w:rsid w:val="00A73674"/>
    <w:rsid w:val="00A73869"/>
    <w:rsid w:val="00A73F8A"/>
    <w:rsid w:val="00A74280"/>
    <w:rsid w:val="00A74BDB"/>
    <w:rsid w:val="00A75012"/>
    <w:rsid w:val="00A7536E"/>
    <w:rsid w:val="00A75719"/>
    <w:rsid w:val="00A75852"/>
    <w:rsid w:val="00A758F3"/>
    <w:rsid w:val="00A759C6"/>
    <w:rsid w:val="00A75BD2"/>
    <w:rsid w:val="00A7616D"/>
    <w:rsid w:val="00A764BF"/>
    <w:rsid w:val="00A765DB"/>
    <w:rsid w:val="00A76650"/>
    <w:rsid w:val="00A76786"/>
    <w:rsid w:val="00A76887"/>
    <w:rsid w:val="00A769AF"/>
    <w:rsid w:val="00A7709F"/>
    <w:rsid w:val="00A77106"/>
    <w:rsid w:val="00A77418"/>
    <w:rsid w:val="00A77834"/>
    <w:rsid w:val="00A77BEB"/>
    <w:rsid w:val="00A77F25"/>
    <w:rsid w:val="00A80128"/>
    <w:rsid w:val="00A80715"/>
    <w:rsid w:val="00A80792"/>
    <w:rsid w:val="00A80A18"/>
    <w:rsid w:val="00A80ED6"/>
    <w:rsid w:val="00A8135D"/>
    <w:rsid w:val="00A8147D"/>
    <w:rsid w:val="00A8179F"/>
    <w:rsid w:val="00A81928"/>
    <w:rsid w:val="00A82097"/>
    <w:rsid w:val="00A8226F"/>
    <w:rsid w:val="00A824B5"/>
    <w:rsid w:val="00A82A35"/>
    <w:rsid w:val="00A82E9A"/>
    <w:rsid w:val="00A833FA"/>
    <w:rsid w:val="00A8362E"/>
    <w:rsid w:val="00A83AC1"/>
    <w:rsid w:val="00A83AE1"/>
    <w:rsid w:val="00A83FE3"/>
    <w:rsid w:val="00A83FF0"/>
    <w:rsid w:val="00A84180"/>
    <w:rsid w:val="00A8435E"/>
    <w:rsid w:val="00A844BF"/>
    <w:rsid w:val="00A84D0B"/>
    <w:rsid w:val="00A84E81"/>
    <w:rsid w:val="00A84F95"/>
    <w:rsid w:val="00A84FAB"/>
    <w:rsid w:val="00A852C7"/>
    <w:rsid w:val="00A85323"/>
    <w:rsid w:val="00A854F8"/>
    <w:rsid w:val="00A855A7"/>
    <w:rsid w:val="00A85602"/>
    <w:rsid w:val="00A857E0"/>
    <w:rsid w:val="00A85997"/>
    <w:rsid w:val="00A85A93"/>
    <w:rsid w:val="00A85C59"/>
    <w:rsid w:val="00A85C87"/>
    <w:rsid w:val="00A85D9D"/>
    <w:rsid w:val="00A85F6E"/>
    <w:rsid w:val="00A85F71"/>
    <w:rsid w:val="00A861DB"/>
    <w:rsid w:val="00A86ACD"/>
    <w:rsid w:val="00A86B28"/>
    <w:rsid w:val="00A86EE1"/>
    <w:rsid w:val="00A87325"/>
    <w:rsid w:val="00A874E3"/>
    <w:rsid w:val="00A874ED"/>
    <w:rsid w:val="00A8762A"/>
    <w:rsid w:val="00A87962"/>
    <w:rsid w:val="00A87F25"/>
    <w:rsid w:val="00A906E6"/>
    <w:rsid w:val="00A90D89"/>
    <w:rsid w:val="00A91A59"/>
    <w:rsid w:val="00A91CA8"/>
    <w:rsid w:val="00A91E99"/>
    <w:rsid w:val="00A91EB2"/>
    <w:rsid w:val="00A91F03"/>
    <w:rsid w:val="00A92031"/>
    <w:rsid w:val="00A92466"/>
    <w:rsid w:val="00A9259A"/>
    <w:rsid w:val="00A9267B"/>
    <w:rsid w:val="00A92696"/>
    <w:rsid w:val="00A926D7"/>
    <w:rsid w:val="00A92764"/>
    <w:rsid w:val="00A928B7"/>
    <w:rsid w:val="00A929E9"/>
    <w:rsid w:val="00A92D3A"/>
    <w:rsid w:val="00A92EF5"/>
    <w:rsid w:val="00A93BB7"/>
    <w:rsid w:val="00A945F5"/>
    <w:rsid w:val="00A948A7"/>
    <w:rsid w:val="00A948D7"/>
    <w:rsid w:val="00A94FB2"/>
    <w:rsid w:val="00A95AB4"/>
    <w:rsid w:val="00A95E51"/>
    <w:rsid w:val="00A95EF1"/>
    <w:rsid w:val="00A966B8"/>
    <w:rsid w:val="00A969F3"/>
    <w:rsid w:val="00A96AD5"/>
    <w:rsid w:val="00A96B29"/>
    <w:rsid w:val="00A96F36"/>
    <w:rsid w:val="00A96F7C"/>
    <w:rsid w:val="00A972F5"/>
    <w:rsid w:val="00A974D7"/>
    <w:rsid w:val="00A97656"/>
    <w:rsid w:val="00A9767A"/>
    <w:rsid w:val="00A978C0"/>
    <w:rsid w:val="00AA0174"/>
    <w:rsid w:val="00AA022D"/>
    <w:rsid w:val="00AA0336"/>
    <w:rsid w:val="00AA04E5"/>
    <w:rsid w:val="00AA05F0"/>
    <w:rsid w:val="00AA0D86"/>
    <w:rsid w:val="00AA0E8A"/>
    <w:rsid w:val="00AA235C"/>
    <w:rsid w:val="00AA2778"/>
    <w:rsid w:val="00AA2798"/>
    <w:rsid w:val="00AA31FF"/>
    <w:rsid w:val="00AA32CA"/>
    <w:rsid w:val="00AA35C1"/>
    <w:rsid w:val="00AA36F4"/>
    <w:rsid w:val="00AA3A81"/>
    <w:rsid w:val="00AA3D21"/>
    <w:rsid w:val="00AA405F"/>
    <w:rsid w:val="00AA44BA"/>
    <w:rsid w:val="00AA4B8F"/>
    <w:rsid w:val="00AA4CAE"/>
    <w:rsid w:val="00AA4E28"/>
    <w:rsid w:val="00AA4FA2"/>
    <w:rsid w:val="00AA5235"/>
    <w:rsid w:val="00AA5790"/>
    <w:rsid w:val="00AA58C2"/>
    <w:rsid w:val="00AA5AC3"/>
    <w:rsid w:val="00AA5CD4"/>
    <w:rsid w:val="00AA5F6C"/>
    <w:rsid w:val="00AA60CE"/>
    <w:rsid w:val="00AA61B3"/>
    <w:rsid w:val="00AA63E3"/>
    <w:rsid w:val="00AA67F1"/>
    <w:rsid w:val="00AA6A7C"/>
    <w:rsid w:val="00AA6ABC"/>
    <w:rsid w:val="00AA6E88"/>
    <w:rsid w:val="00AA724B"/>
    <w:rsid w:val="00AA756A"/>
    <w:rsid w:val="00AA772D"/>
    <w:rsid w:val="00AA7800"/>
    <w:rsid w:val="00AA78B8"/>
    <w:rsid w:val="00AA78DF"/>
    <w:rsid w:val="00AA7F49"/>
    <w:rsid w:val="00AB0321"/>
    <w:rsid w:val="00AB0454"/>
    <w:rsid w:val="00AB0F40"/>
    <w:rsid w:val="00AB1010"/>
    <w:rsid w:val="00AB10D4"/>
    <w:rsid w:val="00AB1199"/>
    <w:rsid w:val="00AB15B1"/>
    <w:rsid w:val="00AB1C86"/>
    <w:rsid w:val="00AB2159"/>
    <w:rsid w:val="00AB2191"/>
    <w:rsid w:val="00AB21FD"/>
    <w:rsid w:val="00AB23B7"/>
    <w:rsid w:val="00AB26C5"/>
    <w:rsid w:val="00AB2DE5"/>
    <w:rsid w:val="00AB3011"/>
    <w:rsid w:val="00AB3A5E"/>
    <w:rsid w:val="00AB3B04"/>
    <w:rsid w:val="00AB417F"/>
    <w:rsid w:val="00AB4674"/>
    <w:rsid w:val="00AB4919"/>
    <w:rsid w:val="00AB5078"/>
    <w:rsid w:val="00AB545F"/>
    <w:rsid w:val="00AB54EF"/>
    <w:rsid w:val="00AB598B"/>
    <w:rsid w:val="00AB5BB4"/>
    <w:rsid w:val="00AB5D37"/>
    <w:rsid w:val="00AB5E53"/>
    <w:rsid w:val="00AB6284"/>
    <w:rsid w:val="00AB6CDA"/>
    <w:rsid w:val="00AB737F"/>
    <w:rsid w:val="00AB7493"/>
    <w:rsid w:val="00AB77E0"/>
    <w:rsid w:val="00AB79A0"/>
    <w:rsid w:val="00AB7A5A"/>
    <w:rsid w:val="00AB7CC9"/>
    <w:rsid w:val="00AB7DE1"/>
    <w:rsid w:val="00AB7DFA"/>
    <w:rsid w:val="00AB7F69"/>
    <w:rsid w:val="00AC03DC"/>
    <w:rsid w:val="00AC0A99"/>
    <w:rsid w:val="00AC0F50"/>
    <w:rsid w:val="00AC107D"/>
    <w:rsid w:val="00AC1811"/>
    <w:rsid w:val="00AC1A19"/>
    <w:rsid w:val="00AC1EED"/>
    <w:rsid w:val="00AC2048"/>
    <w:rsid w:val="00AC21C5"/>
    <w:rsid w:val="00AC259A"/>
    <w:rsid w:val="00AC2904"/>
    <w:rsid w:val="00AC2BB6"/>
    <w:rsid w:val="00AC2E1A"/>
    <w:rsid w:val="00AC3044"/>
    <w:rsid w:val="00AC322D"/>
    <w:rsid w:val="00AC3508"/>
    <w:rsid w:val="00AC3541"/>
    <w:rsid w:val="00AC3902"/>
    <w:rsid w:val="00AC3A84"/>
    <w:rsid w:val="00AC3D09"/>
    <w:rsid w:val="00AC419E"/>
    <w:rsid w:val="00AC4701"/>
    <w:rsid w:val="00AC4808"/>
    <w:rsid w:val="00AC4970"/>
    <w:rsid w:val="00AC5078"/>
    <w:rsid w:val="00AC56E8"/>
    <w:rsid w:val="00AC574C"/>
    <w:rsid w:val="00AC58A6"/>
    <w:rsid w:val="00AC5BB2"/>
    <w:rsid w:val="00AC6208"/>
    <w:rsid w:val="00AC6456"/>
    <w:rsid w:val="00AC650A"/>
    <w:rsid w:val="00AC6814"/>
    <w:rsid w:val="00AC6910"/>
    <w:rsid w:val="00AC6A2A"/>
    <w:rsid w:val="00AC6B7C"/>
    <w:rsid w:val="00AC6CE3"/>
    <w:rsid w:val="00AC71A0"/>
    <w:rsid w:val="00AC71E9"/>
    <w:rsid w:val="00AC73C5"/>
    <w:rsid w:val="00AC7422"/>
    <w:rsid w:val="00AC74E9"/>
    <w:rsid w:val="00AC75F7"/>
    <w:rsid w:val="00AD0094"/>
    <w:rsid w:val="00AD07C8"/>
    <w:rsid w:val="00AD0E2F"/>
    <w:rsid w:val="00AD0E95"/>
    <w:rsid w:val="00AD10EF"/>
    <w:rsid w:val="00AD11FE"/>
    <w:rsid w:val="00AD155C"/>
    <w:rsid w:val="00AD187F"/>
    <w:rsid w:val="00AD1A40"/>
    <w:rsid w:val="00AD1D35"/>
    <w:rsid w:val="00AD1E07"/>
    <w:rsid w:val="00AD204F"/>
    <w:rsid w:val="00AD28BB"/>
    <w:rsid w:val="00AD2DEC"/>
    <w:rsid w:val="00AD3074"/>
    <w:rsid w:val="00AD32C0"/>
    <w:rsid w:val="00AD3C5C"/>
    <w:rsid w:val="00AD3EAD"/>
    <w:rsid w:val="00AD430E"/>
    <w:rsid w:val="00AD45A0"/>
    <w:rsid w:val="00AD4EE0"/>
    <w:rsid w:val="00AD54B1"/>
    <w:rsid w:val="00AD59B4"/>
    <w:rsid w:val="00AD5B8A"/>
    <w:rsid w:val="00AD5BA7"/>
    <w:rsid w:val="00AD5C3D"/>
    <w:rsid w:val="00AD5C9C"/>
    <w:rsid w:val="00AD6207"/>
    <w:rsid w:val="00AD6501"/>
    <w:rsid w:val="00AD65F9"/>
    <w:rsid w:val="00AD68E1"/>
    <w:rsid w:val="00AD69C2"/>
    <w:rsid w:val="00AD6A24"/>
    <w:rsid w:val="00AD6A64"/>
    <w:rsid w:val="00AD6B1B"/>
    <w:rsid w:val="00AD6B96"/>
    <w:rsid w:val="00AD7903"/>
    <w:rsid w:val="00AD7A6B"/>
    <w:rsid w:val="00AE0269"/>
    <w:rsid w:val="00AE04F4"/>
    <w:rsid w:val="00AE05A9"/>
    <w:rsid w:val="00AE07A9"/>
    <w:rsid w:val="00AE09E2"/>
    <w:rsid w:val="00AE0C73"/>
    <w:rsid w:val="00AE1770"/>
    <w:rsid w:val="00AE17F4"/>
    <w:rsid w:val="00AE19D2"/>
    <w:rsid w:val="00AE1B90"/>
    <w:rsid w:val="00AE1E25"/>
    <w:rsid w:val="00AE2740"/>
    <w:rsid w:val="00AE2879"/>
    <w:rsid w:val="00AE30F4"/>
    <w:rsid w:val="00AE35FA"/>
    <w:rsid w:val="00AE38D2"/>
    <w:rsid w:val="00AE3A9E"/>
    <w:rsid w:val="00AE3B53"/>
    <w:rsid w:val="00AE3D02"/>
    <w:rsid w:val="00AE4270"/>
    <w:rsid w:val="00AE43F8"/>
    <w:rsid w:val="00AE46DC"/>
    <w:rsid w:val="00AE5187"/>
    <w:rsid w:val="00AE57A7"/>
    <w:rsid w:val="00AE5EA1"/>
    <w:rsid w:val="00AE6051"/>
    <w:rsid w:val="00AE6100"/>
    <w:rsid w:val="00AE6262"/>
    <w:rsid w:val="00AE6EBE"/>
    <w:rsid w:val="00AE6F53"/>
    <w:rsid w:val="00AE73C6"/>
    <w:rsid w:val="00AE740D"/>
    <w:rsid w:val="00AE74CD"/>
    <w:rsid w:val="00AE75E1"/>
    <w:rsid w:val="00AE78D8"/>
    <w:rsid w:val="00AE7A3B"/>
    <w:rsid w:val="00AE7C6A"/>
    <w:rsid w:val="00AF0406"/>
    <w:rsid w:val="00AF05D0"/>
    <w:rsid w:val="00AF06B7"/>
    <w:rsid w:val="00AF0B8A"/>
    <w:rsid w:val="00AF0CB5"/>
    <w:rsid w:val="00AF0EA5"/>
    <w:rsid w:val="00AF12BA"/>
    <w:rsid w:val="00AF17B4"/>
    <w:rsid w:val="00AF18F0"/>
    <w:rsid w:val="00AF198E"/>
    <w:rsid w:val="00AF1B62"/>
    <w:rsid w:val="00AF20D8"/>
    <w:rsid w:val="00AF2122"/>
    <w:rsid w:val="00AF26BB"/>
    <w:rsid w:val="00AF2824"/>
    <w:rsid w:val="00AF2A81"/>
    <w:rsid w:val="00AF2BE1"/>
    <w:rsid w:val="00AF2C69"/>
    <w:rsid w:val="00AF3016"/>
    <w:rsid w:val="00AF30C6"/>
    <w:rsid w:val="00AF3293"/>
    <w:rsid w:val="00AF3316"/>
    <w:rsid w:val="00AF337D"/>
    <w:rsid w:val="00AF33F4"/>
    <w:rsid w:val="00AF3430"/>
    <w:rsid w:val="00AF38C0"/>
    <w:rsid w:val="00AF38E8"/>
    <w:rsid w:val="00AF4429"/>
    <w:rsid w:val="00AF4504"/>
    <w:rsid w:val="00AF4A73"/>
    <w:rsid w:val="00AF4D0B"/>
    <w:rsid w:val="00AF4F9A"/>
    <w:rsid w:val="00AF6024"/>
    <w:rsid w:val="00AF6577"/>
    <w:rsid w:val="00AF66DE"/>
    <w:rsid w:val="00AF69A8"/>
    <w:rsid w:val="00AF75DC"/>
    <w:rsid w:val="00AF7E18"/>
    <w:rsid w:val="00AF7EB6"/>
    <w:rsid w:val="00B001B6"/>
    <w:rsid w:val="00B00368"/>
    <w:rsid w:val="00B00586"/>
    <w:rsid w:val="00B007EC"/>
    <w:rsid w:val="00B011D5"/>
    <w:rsid w:val="00B012E4"/>
    <w:rsid w:val="00B01431"/>
    <w:rsid w:val="00B01465"/>
    <w:rsid w:val="00B0152C"/>
    <w:rsid w:val="00B01DC6"/>
    <w:rsid w:val="00B02418"/>
    <w:rsid w:val="00B0246F"/>
    <w:rsid w:val="00B029D5"/>
    <w:rsid w:val="00B02EBA"/>
    <w:rsid w:val="00B03464"/>
    <w:rsid w:val="00B036AD"/>
    <w:rsid w:val="00B03806"/>
    <w:rsid w:val="00B03D45"/>
    <w:rsid w:val="00B03E3A"/>
    <w:rsid w:val="00B04809"/>
    <w:rsid w:val="00B0490C"/>
    <w:rsid w:val="00B05792"/>
    <w:rsid w:val="00B059FD"/>
    <w:rsid w:val="00B05BD8"/>
    <w:rsid w:val="00B05D01"/>
    <w:rsid w:val="00B06200"/>
    <w:rsid w:val="00B064E0"/>
    <w:rsid w:val="00B06855"/>
    <w:rsid w:val="00B068D0"/>
    <w:rsid w:val="00B0699D"/>
    <w:rsid w:val="00B071B4"/>
    <w:rsid w:val="00B071FF"/>
    <w:rsid w:val="00B073A4"/>
    <w:rsid w:val="00B07742"/>
    <w:rsid w:val="00B07AA1"/>
    <w:rsid w:val="00B07B82"/>
    <w:rsid w:val="00B07E6D"/>
    <w:rsid w:val="00B07F9C"/>
    <w:rsid w:val="00B10357"/>
    <w:rsid w:val="00B107C4"/>
    <w:rsid w:val="00B10833"/>
    <w:rsid w:val="00B10DFE"/>
    <w:rsid w:val="00B111AC"/>
    <w:rsid w:val="00B11429"/>
    <w:rsid w:val="00B11878"/>
    <w:rsid w:val="00B11972"/>
    <w:rsid w:val="00B124E2"/>
    <w:rsid w:val="00B12667"/>
    <w:rsid w:val="00B12693"/>
    <w:rsid w:val="00B126F5"/>
    <w:rsid w:val="00B1305A"/>
    <w:rsid w:val="00B130F5"/>
    <w:rsid w:val="00B131BC"/>
    <w:rsid w:val="00B1348E"/>
    <w:rsid w:val="00B135CE"/>
    <w:rsid w:val="00B14538"/>
    <w:rsid w:val="00B1453C"/>
    <w:rsid w:val="00B146DF"/>
    <w:rsid w:val="00B14748"/>
    <w:rsid w:val="00B14804"/>
    <w:rsid w:val="00B149EA"/>
    <w:rsid w:val="00B14B19"/>
    <w:rsid w:val="00B1515F"/>
    <w:rsid w:val="00B154EF"/>
    <w:rsid w:val="00B158BD"/>
    <w:rsid w:val="00B16207"/>
    <w:rsid w:val="00B16514"/>
    <w:rsid w:val="00B17342"/>
    <w:rsid w:val="00B174CC"/>
    <w:rsid w:val="00B17DEE"/>
    <w:rsid w:val="00B17E1E"/>
    <w:rsid w:val="00B20A94"/>
    <w:rsid w:val="00B20E65"/>
    <w:rsid w:val="00B20FBD"/>
    <w:rsid w:val="00B2115E"/>
    <w:rsid w:val="00B213E8"/>
    <w:rsid w:val="00B21698"/>
    <w:rsid w:val="00B216A7"/>
    <w:rsid w:val="00B21809"/>
    <w:rsid w:val="00B218CC"/>
    <w:rsid w:val="00B21CD8"/>
    <w:rsid w:val="00B21F89"/>
    <w:rsid w:val="00B22077"/>
    <w:rsid w:val="00B22778"/>
    <w:rsid w:val="00B2280F"/>
    <w:rsid w:val="00B2314C"/>
    <w:rsid w:val="00B2328B"/>
    <w:rsid w:val="00B2345D"/>
    <w:rsid w:val="00B23483"/>
    <w:rsid w:val="00B235C9"/>
    <w:rsid w:val="00B235CE"/>
    <w:rsid w:val="00B2382E"/>
    <w:rsid w:val="00B238EC"/>
    <w:rsid w:val="00B239CE"/>
    <w:rsid w:val="00B23A6D"/>
    <w:rsid w:val="00B23D51"/>
    <w:rsid w:val="00B23D61"/>
    <w:rsid w:val="00B24650"/>
    <w:rsid w:val="00B24A33"/>
    <w:rsid w:val="00B25044"/>
    <w:rsid w:val="00B2595F"/>
    <w:rsid w:val="00B25DF4"/>
    <w:rsid w:val="00B25E6C"/>
    <w:rsid w:val="00B25FA6"/>
    <w:rsid w:val="00B267C5"/>
    <w:rsid w:val="00B26A84"/>
    <w:rsid w:val="00B26AE9"/>
    <w:rsid w:val="00B27679"/>
    <w:rsid w:val="00B277F8"/>
    <w:rsid w:val="00B30297"/>
    <w:rsid w:val="00B30E0B"/>
    <w:rsid w:val="00B31086"/>
    <w:rsid w:val="00B314AE"/>
    <w:rsid w:val="00B3154A"/>
    <w:rsid w:val="00B3175C"/>
    <w:rsid w:val="00B31D5F"/>
    <w:rsid w:val="00B320AA"/>
    <w:rsid w:val="00B3263D"/>
    <w:rsid w:val="00B32922"/>
    <w:rsid w:val="00B32970"/>
    <w:rsid w:val="00B32A05"/>
    <w:rsid w:val="00B32A28"/>
    <w:rsid w:val="00B32B28"/>
    <w:rsid w:val="00B32D42"/>
    <w:rsid w:val="00B3328E"/>
    <w:rsid w:val="00B336D0"/>
    <w:rsid w:val="00B33CF8"/>
    <w:rsid w:val="00B34433"/>
    <w:rsid w:val="00B34A23"/>
    <w:rsid w:val="00B34A9F"/>
    <w:rsid w:val="00B34B58"/>
    <w:rsid w:val="00B34DAE"/>
    <w:rsid w:val="00B354B1"/>
    <w:rsid w:val="00B3556C"/>
    <w:rsid w:val="00B3597E"/>
    <w:rsid w:val="00B368C6"/>
    <w:rsid w:val="00B36AAE"/>
    <w:rsid w:val="00B36E3E"/>
    <w:rsid w:val="00B36E45"/>
    <w:rsid w:val="00B36F10"/>
    <w:rsid w:val="00B37182"/>
    <w:rsid w:val="00B379F0"/>
    <w:rsid w:val="00B40242"/>
    <w:rsid w:val="00B4030E"/>
    <w:rsid w:val="00B40349"/>
    <w:rsid w:val="00B4050D"/>
    <w:rsid w:val="00B4099B"/>
    <w:rsid w:val="00B40CA6"/>
    <w:rsid w:val="00B40CB2"/>
    <w:rsid w:val="00B40EAA"/>
    <w:rsid w:val="00B4168C"/>
    <w:rsid w:val="00B41723"/>
    <w:rsid w:val="00B41930"/>
    <w:rsid w:val="00B41D23"/>
    <w:rsid w:val="00B41F07"/>
    <w:rsid w:val="00B4280B"/>
    <w:rsid w:val="00B42922"/>
    <w:rsid w:val="00B42CC2"/>
    <w:rsid w:val="00B42D31"/>
    <w:rsid w:val="00B42E7E"/>
    <w:rsid w:val="00B432F1"/>
    <w:rsid w:val="00B434FE"/>
    <w:rsid w:val="00B43AC6"/>
    <w:rsid w:val="00B43F98"/>
    <w:rsid w:val="00B441CF"/>
    <w:rsid w:val="00B4441F"/>
    <w:rsid w:val="00B4488F"/>
    <w:rsid w:val="00B448B8"/>
    <w:rsid w:val="00B448F4"/>
    <w:rsid w:val="00B44ACF"/>
    <w:rsid w:val="00B44FA3"/>
    <w:rsid w:val="00B458C5"/>
    <w:rsid w:val="00B45A54"/>
    <w:rsid w:val="00B45A85"/>
    <w:rsid w:val="00B46441"/>
    <w:rsid w:val="00B46454"/>
    <w:rsid w:val="00B46D1D"/>
    <w:rsid w:val="00B46D47"/>
    <w:rsid w:val="00B46E53"/>
    <w:rsid w:val="00B46F6B"/>
    <w:rsid w:val="00B4788E"/>
    <w:rsid w:val="00B47C15"/>
    <w:rsid w:val="00B47CEA"/>
    <w:rsid w:val="00B501BD"/>
    <w:rsid w:val="00B502FB"/>
    <w:rsid w:val="00B5049F"/>
    <w:rsid w:val="00B50674"/>
    <w:rsid w:val="00B50918"/>
    <w:rsid w:val="00B50E93"/>
    <w:rsid w:val="00B50F9B"/>
    <w:rsid w:val="00B51008"/>
    <w:rsid w:val="00B5101B"/>
    <w:rsid w:val="00B51087"/>
    <w:rsid w:val="00B51497"/>
    <w:rsid w:val="00B518F0"/>
    <w:rsid w:val="00B51A61"/>
    <w:rsid w:val="00B51C54"/>
    <w:rsid w:val="00B520C0"/>
    <w:rsid w:val="00B521C2"/>
    <w:rsid w:val="00B52581"/>
    <w:rsid w:val="00B5265D"/>
    <w:rsid w:val="00B52C19"/>
    <w:rsid w:val="00B531C3"/>
    <w:rsid w:val="00B5366E"/>
    <w:rsid w:val="00B53BA7"/>
    <w:rsid w:val="00B53DDA"/>
    <w:rsid w:val="00B53E94"/>
    <w:rsid w:val="00B54422"/>
    <w:rsid w:val="00B5484C"/>
    <w:rsid w:val="00B54B91"/>
    <w:rsid w:val="00B55132"/>
    <w:rsid w:val="00B55223"/>
    <w:rsid w:val="00B55315"/>
    <w:rsid w:val="00B5535B"/>
    <w:rsid w:val="00B5547D"/>
    <w:rsid w:val="00B554ED"/>
    <w:rsid w:val="00B5557F"/>
    <w:rsid w:val="00B55862"/>
    <w:rsid w:val="00B55A9D"/>
    <w:rsid w:val="00B55C53"/>
    <w:rsid w:val="00B560B0"/>
    <w:rsid w:val="00B5677D"/>
    <w:rsid w:val="00B56864"/>
    <w:rsid w:val="00B569A8"/>
    <w:rsid w:val="00B5717C"/>
    <w:rsid w:val="00B5738D"/>
    <w:rsid w:val="00B57648"/>
    <w:rsid w:val="00B57B20"/>
    <w:rsid w:val="00B57BF7"/>
    <w:rsid w:val="00B57DB0"/>
    <w:rsid w:val="00B60576"/>
    <w:rsid w:val="00B60DC3"/>
    <w:rsid w:val="00B60EC4"/>
    <w:rsid w:val="00B61026"/>
    <w:rsid w:val="00B613EF"/>
    <w:rsid w:val="00B617D8"/>
    <w:rsid w:val="00B61C1B"/>
    <w:rsid w:val="00B622F1"/>
    <w:rsid w:val="00B623CB"/>
    <w:rsid w:val="00B626C6"/>
    <w:rsid w:val="00B626DF"/>
    <w:rsid w:val="00B629B6"/>
    <w:rsid w:val="00B62A06"/>
    <w:rsid w:val="00B62E90"/>
    <w:rsid w:val="00B6304A"/>
    <w:rsid w:val="00B63394"/>
    <w:rsid w:val="00B637FB"/>
    <w:rsid w:val="00B63C8D"/>
    <w:rsid w:val="00B63E8E"/>
    <w:rsid w:val="00B643EF"/>
    <w:rsid w:val="00B64435"/>
    <w:rsid w:val="00B646CB"/>
    <w:rsid w:val="00B647F3"/>
    <w:rsid w:val="00B64AD1"/>
    <w:rsid w:val="00B64DEB"/>
    <w:rsid w:val="00B6501F"/>
    <w:rsid w:val="00B650DD"/>
    <w:rsid w:val="00B654A9"/>
    <w:rsid w:val="00B655E8"/>
    <w:rsid w:val="00B65745"/>
    <w:rsid w:val="00B658B2"/>
    <w:rsid w:val="00B6594E"/>
    <w:rsid w:val="00B66640"/>
    <w:rsid w:val="00B66734"/>
    <w:rsid w:val="00B6682E"/>
    <w:rsid w:val="00B66978"/>
    <w:rsid w:val="00B6699A"/>
    <w:rsid w:val="00B66AC2"/>
    <w:rsid w:val="00B670DD"/>
    <w:rsid w:val="00B671E7"/>
    <w:rsid w:val="00B6735D"/>
    <w:rsid w:val="00B67385"/>
    <w:rsid w:val="00B674C0"/>
    <w:rsid w:val="00B67A37"/>
    <w:rsid w:val="00B67BF2"/>
    <w:rsid w:val="00B67F2A"/>
    <w:rsid w:val="00B70211"/>
    <w:rsid w:val="00B70272"/>
    <w:rsid w:val="00B705CB"/>
    <w:rsid w:val="00B707C5"/>
    <w:rsid w:val="00B7102D"/>
    <w:rsid w:val="00B71228"/>
    <w:rsid w:val="00B717FA"/>
    <w:rsid w:val="00B71A50"/>
    <w:rsid w:val="00B71B1D"/>
    <w:rsid w:val="00B71EF1"/>
    <w:rsid w:val="00B7212B"/>
    <w:rsid w:val="00B721FE"/>
    <w:rsid w:val="00B723C6"/>
    <w:rsid w:val="00B728AB"/>
    <w:rsid w:val="00B72ACA"/>
    <w:rsid w:val="00B72C28"/>
    <w:rsid w:val="00B72D4A"/>
    <w:rsid w:val="00B730D7"/>
    <w:rsid w:val="00B73F3F"/>
    <w:rsid w:val="00B74148"/>
    <w:rsid w:val="00B74465"/>
    <w:rsid w:val="00B7486E"/>
    <w:rsid w:val="00B748EC"/>
    <w:rsid w:val="00B74C07"/>
    <w:rsid w:val="00B74D91"/>
    <w:rsid w:val="00B750D8"/>
    <w:rsid w:val="00B753F0"/>
    <w:rsid w:val="00B7571C"/>
    <w:rsid w:val="00B757C4"/>
    <w:rsid w:val="00B75804"/>
    <w:rsid w:val="00B759BC"/>
    <w:rsid w:val="00B75B20"/>
    <w:rsid w:val="00B75CA9"/>
    <w:rsid w:val="00B7606B"/>
    <w:rsid w:val="00B761C4"/>
    <w:rsid w:val="00B76290"/>
    <w:rsid w:val="00B76B88"/>
    <w:rsid w:val="00B76DAF"/>
    <w:rsid w:val="00B76E35"/>
    <w:rsid w:val="00B77394"/>
    <w:rsid w:val="00B779A4"/>
    <w:rsid w:val="00B80196"/>
    <w:rsid w:val="00B8030D"/>
    <w:rsid w:val="00B80404"/>
    <w:rsid w:val="00B8042B"/>
    <w:rsid w:val="00B80593"/>
    <w:rsid w:val="00B80821"/>
    <w:rsid w:val="00B80BBB"/>
    <w:rsid w:val="00B81039"/>
    <w:rsid w:val="00B8177D"/>
    <w:rsid w:val="00B817BE"/>
    <w:rsid w:val="00B828A5"/>
    <w:rsid w:val="00B83087"/>
    <w:rsid w:val="00B83194"/>
    <w:rsid w:val="00B8335F"/>
    <w:rsid w:val="00B83608"/>
    <w:rsid w:val="00B8461A"/>
    <w:rsid w:val="00B847FC"/>
    <w:rsid w:val="00B84D93"/>
    <w:rsid w:val="00B84F98"/>
    <w:rsid w:val="00B85009"/>
    <w:rsid w:val="00B85B36"/>
    <w:rsid w:val="00B85B9E"/>
    <w:rsid w:val="00B85BBE"/>
    <w:rsid w:val="00B860B8"/>
    <w:rsid w:val="00B863C1"/>
    <w:rsid w:val="00B865E3"/>
    <w:rsid w:val="00B867AE"/>
    <w:rsid w:val="00B86894"/>
    <w:rsid w:val="00B86D23"/>
    <w:rsid w:val="00B86F8E"/>
    <w:rsid w:val="00B86FEA"/>
    <w:rsid w:val="00B87002"/>
    <w:rsid w:val="00B8703B"/>
    <w:rsid w:val="00B870E7"/>
    <w:rsid w:val="00B87848"/>
    <w:rsid w:val="00B87916"/>
    <w:rsid w:val="00B8797B"/>
    <w:rsid w:val="00B87CCA"/>
    <w:rsid w:val="00B908D4"/>
    <w:rsid w:val="00B90D3C"/>
    <w:rsid w:val="00B90DA7"/>
    <w:rsid w:val="00B90F57"/>
    <w:rsid w:val="00B910E0"/>
    <w:rsid w:val="00B9131B"/>
    <w:rsid w:val="00B91390"/>
    <w:rsid w:val="00B916FA"/>
    <w:rsid w:val="00B91B01"/>
    <w:rsid w:val="00B91FDF"/>
    <w:rsid w:val="00B92052"/>
    <w:rsid w:val="00B920A7"/>
    <w:rsid w:val="00B93064"/>
    <w:rsid w:val="00B930C6"/>
    <w:rsid w:val="00B93134"/>
    <w:rsid w:val="00B933B9"/>
    <w:rsid w:val="00B9391F"/>
    <w:rsid w:val="00B94145"/>
    <w:rsid w:val="00B945DA"/>
    <w:rsid w:val="00B94F5F"/>
    <w:rsid w:val="00B95CA3"/>
    <w:rsid w:val="00B964B5"/>
    <w:rsid w:val="00B96574"/>
    <w:rsid w:val="00B965D5"/>
    <w:rsid w:val="00B96776"/>
    <w:rsid w:val="00B96DEC"/>
    <w:rsid w:val="00B96F69"/>
    <w:rsid w:val="00B970BC"/>
    <w:rsid w:val="00B97532"/>
    <w:rsid w:val="00B975E3"/>
    <w:rsid w:val="00B97EE7"/>
    <w:rsid w:val="00BA0233"/>
    <w:rsid w:val="00BA0EF0"/>
    <w:rsid w:val="00BA111D"/>
    <w:rsid w:val="00BA1486"/>
    <w:rsid w:val="00BA178C"/>
    <w:rsid w:val="00BA18B7"/>
    <w:rsid w:val="00BA1F23"/>
    <w:rsid w:val="00BA1F6E"/>
    <w:rsid w:val="00BA21C0"/>
    <w:rsid w:val="00BA2521"/>
    <w:rsid w:val="00BA2964"/>
    <w:rsid w:val="00BA29CC"/>
    <w:rsid w:val="00BA3909"/>
    <w:rsid w:val="00BA3BDF"/>
    <w:rsid w:val="00BA3C34"/>
    <w:rsid w:val="00BA3EDF"/>
    <w:rsid w:val="00BA456F"/>
    <w:rsid w:val="00BA4922"/>
    <w:rsid w:val="00BA4B7D"/>
    <w:rsid w:val="00BA4D47"/>
    <w:rsid w:val="00BA54F9"/>
    <w:rsid w:val="00BA578C"/>
    <w:rsid w:val="00BA5A24"/>
    <w:rsid w:val="00BA5B8E"/>
    <w:rsid w:val="00BA5B91"/>
    <w:rsid w:val="00BA5C48"/>
    <w:rsid w:val="00BA5C6C"/>
    <w:rsid w:val="00BA5E3D"/>
    <w:rsid w:val="00BA641F"/>
    <w:rsid w:val="00BA6C38"/>
    <w:rsid w:val="00BA6F6C"/>
    <w:rsid w:val="00BA7272"/>
    <w:rsid w:val="00BA7371"/>
    <w:rsid w:val="00BA7C59"/>
    <w:rsid w:val="00BA7C5C"/>
    <w:rsid w:val="00BB0217"/>
    <w:rsid w:val="00BB0539"/>
    <w:rsid w:val="00BB065C"/>
    <w:rsid w:val="00BB0A41"/>
    <w:rsid w:val="00BB0B13"/>
    <w:rsid w:val="00BB0DA7"/>
    <w:rsid w:val="00BB18BC"/>
    <w:rsid w:val="00BB1E3C"/>
    <w:rsid w:val="00BB1FC5"/>
    <w:rsid w:val="00BB224B"/>
    <w:rsid w:val="00BB241B"/>
    <w:rsid w:val="00BB2583"/>
    <w:rsid w:val="00BB2692"/>
    <w:rsid w:val="00BB28E6"/>
    <w:rsid w:val="00BB2954"/>
    <w:rsid w:val="00BB2DCA"/>
    <w:rsid w:val="00BB2F64"/>
    <w:rsid w:val="00BB2FFD"/>
    <w:rsid w:val="00BB32E0"/>
    <w:rsid w:val="00BB424B"/>
    <w:rsid w:val="00BB44F2"/>
    <w:rsid w:val="00BB4B28"/>
    <w:rsid w:val="00BB503E"/>
    <w:rsid w:val="00BB52D4"/>
    <w:rsid w:val="00BB535B"/>
    <w:rsid w:val="00BB542B"/>
    <w:rsid w:val="00BB55D8"/>
    <w:rsid w:val="00BB574F"/>
    <w:rsid w:val="00BB58BC"/>
    <w:rsid w:val="00BB5A9E"/>
    <w:rsid w:val="00BB63BB"/>
    <w:rsid w:val="00BB64F9"/>
    <w:rsid w:val="00BB663A"/>
    <w:rsid w:val="00BB6D49"/>
    <w:rsid w:val="00BB720A"/>
    <w:rsid w:val="00BB7363"/>
    <w:rsid w:val="00BB7E22"/>
    <w:rsid w:val="00BB7E79"/>
    <w:rsid w:val="00BC0319"/>
    <w:rsid w:val="00BC065D"/>
    <w:rsid w:val="00BC0781"/>
    <w:rsid w:val="00BC0B32"/>
    <w:rsid w:val="00BC0B4B"/>
    <w:rsid w:val="00BC0C24"/>
    <w:rsid w:val="00BC1601"/>
    <w:rsid w:val="00BC16FF"/>
    <w:rsid w:val="00BC1A08"/>
    <w:rsid w:val="00BC2253"/>
    <w:rsid w:val="00BC22BA"/>
    <w:rsid w:val="00BC2885"/>
    <w:rsid w:val="00BC2AB1"/>
    <w:rsid w:val="00BC2C95"/>
    <w:rsid w:val="00BC2FDB"/>
    <w:rsid w:val="00BC4048"/>
    <w:rsid w:val="00BC429A"/>
    <w:rsid w:val="00BC4716"/>
    <w:rsid w:val="00BC47AD"/>
    <w:rsid w:val="00BC491F"/>
    <w:rsid w:val="00BC4A3E"/>
    <w:rsid w:val="00BC5325"/>
    <w:rsid w:val="00BC5518"/>
    <w:rsid w:val="00BC5C66"/>
    <w:rsid w:val="00BC5CFF"/>
    <w:rsid w:val="00BC5F69"/>
    <w:rsid w:val="00BC61C7"/>
    <w:rsid w:val="00BC6611"/>
    <w:rsid w:val="00BC6916"/>
    <w:rsid w:val="00BC6AE3"/>
    <w:rsid w:val="00BC6B19"/>
    <w:rsid w:val="00BC6F00"/>
    <w:rsid w:val="00BC71D1"/>
    <w:rsid w:val="00BC7744"/>
    <w:rsid w:val="00BC7BFC"/>
    <w:rsid w:val="00BC7D3F"/>
    <w:rsid w:val="00BD0221"/>
    <w:rsid w:val="00BD0330"/>
    <w:rsid w:val="00BD03A5"/>
    <w:rsid w:val="00BD07AB"/>
    <w:rsid w:val="00BD099B"/>
    <w:rsid w:val="00BD0BA3"/>
    <w:rsid w:val="00BD0C08"/>
    <w:rsid w:val="00BD1622"/>
    <w:rsid w:val="00BD1704"/>
    <w:rsid w:val="00BD1813"/>
    <w:rsid w:val="00BD1E90"/>
    <w:rsid w:val="00BD2102"/>
    <w:rsid w:val="00BD32BE"/>
    <w:rsid w:val="00BD39C6"/>
    <w:rsid w:val="00BD3D99"/>
    <w:rsid w:val="00BD438F"/>
    <w:rsid w:val="00BD44B4"/>
    <w:rsid w:val="00BD466A"/>
    <w:rsid w:val="00BD4847"/>
    <w:rsid w:val="00BD4A5C"/>
    <w:rsid w:val="00BD4AA3"/>
    <w:rsid w:val="00BD4D7E"/>
    <w:rsid w:val="00BD4DC7"/>
    <w:rsid w:val="00BD54BE"/>
    <w:rsid w:val="00BD5F97"/>
    <w:rsid w:val="00BD612E"/>
    <w:rsid w:val="00BD62D4"/>
    <w:rsid w:val="00BD6428"/>
    <w:rsid w:val="00BD6678"/>
    <w:rsid w:val="00BD6A44"/>
    <w:rsid w:val="00BD6BF0"/>
    <w:rsid w:val="00BD6C43"/>
    <w:rsid w:val="00BD6C9F"/>
    <w:rsid w:val="00BD6F6A"/>
    <w:rsid w:val="00BD7119"/>
    <w:rsid w:val="00BD717E"/>
    <w:rsid w:val="00BD72CD"/>
    <w:rsid w:val="00BD7488"/>
    <w:rsid w:val="00BD7787"/>
    <w:rsid w:val="00BE00D6"/>
    <w:rsid w:val="00BE0365"/>
    <w:rsid w:val="00BE03BC"/>
    <w:rsid w:val="00BE044D"/>
    <w:rsid w:val="00BE06B6"/>
    <w:rsid w:val="00BE090A"/>
    <w:rsid w:val="00BE0F12"/>
    <w:rsid w:val="00BE0FBA"/>
    <w:rsid w:val="00BE1009"/>
    <w:rsid w:val="00BE1869"/>
    <w:rsid w:val="00BE1972"/>
    <w:rsid w:val="00BE1DB9"/>
    <w:rsid w:val="00BE22AB"/>
    <w:rsid w:val="00BE267D"/>
    <w:rsid w:val="00BE2AC1"/>
    <w:rsid w:val="00BE2C5E"/>
    <w:rsid w:val="00BE30D2"/>
    <w:rsid w:val="00BE30E8"/>
    <w:rsid w:val="00BE39A4"/>
    <w:rsid w:val="00BE3AF1"/>
    <w:rsid w:val="00BE3AF4"/>
    <w:rsid w:val="00BE3FDE"/>
    <w:rsid w:val="00BE43D1"/>
    <w:rsid w:val="00BE462A"/>
    <w:rsid w:val="00BE4ECC"/>
    <w:rsid w:val="00BE505F"/>
    <w:rsid w:val="00BE51E6"/>
    <w:rsid w:val="00BE526B"/>
    <w:rsid w:val="00BE537E"/>
    <w:rsid w:val="00BE6451"/>
    <w:rsid w:val="00BE679E"/>
    <w:rsid w:val="00BE6C86"/>
    <w:rsid w:val="00BE7299"/>
    <w:rsid w:val="00BE72F1"/>
    <w:rsid w:val="00BE73C4"/>
    <w:rsid w:val="00BE7453"/>
    <w:rsid w:val="00BE7485"/>
    <w:rsid w:val="00BE7F26"/>
    <w:rsid w:val="00BF011E"/>
    <w:rsid w:val="00BF0436"/>
    <w:rsid w:val="00BF04F8"/>
    <w:rsid w:val="00BF0DC9"/>
    <w:rsid w:val="00BF14CC"/>
    <w:rsid w:val="00BF181E"/>
    <w:rsid w:val="00BF1A48"/>
    <w:rsid w:val="00BF1ACB"/>
    <w:rsid w:val="00BF1E87"/>
    <w:rsid w:val="00BF20F6"/>
    <w:rsid w:val="00BF2420"/>
    <w:rsid w:val="00BF255F"/>
    <w:rsid w:val="00BF2BFE"/>
    <w:rsid w:val="00BF2F8D"/>
    <w:rsid w:val="00BF387F"/>
    <w:rsid w:val="00BF3E35"/>
    <w:rsid w:val="00BF3EF4"/>
    <w:rsid w:val="00BF4019"/>
    <w:rsid w:val="00BF45AE"/>
    <w:rsid w:val="00BF472E"/>
    <w:rsid w:val="00BF4814"/>
    <w:rsid w:val="00BF499A"/>
    <w:rsid w:val="00BF4B33"/>
    <w:rsid w:val="00BF4B48"/>
    <w:rsid w:val="00BF4EC7"/>
    <w:rsid w:val="00BF4F9C"/>
    <w:rsid w:val="00BF4FD7"/>
    <w:rsid w:val="00BF51B9"/>
    <w:rsid w:val="00BF530A"/>
    <w:rsid w:val="00BF538A"/>
    <w:rsid w:val="00BF5501"/>
    <w:rsid w:val="00BF5526"/>
    <w:rsid w:val="00BF555E"/>
    <w:rsid w:val="00BF5571"/>
    <w:rsid w:val="00BF57CF"/>
    <w:rsid w:val="00BF5A24"/>
    <w:rsid w:val="00BF5B66"/>
    <w:rsid w:val="00BF5B93"/>
    <w:rsid w:val="00BF5CAD"/>
    <w:rsid w:val="00BF5D19"/>
    <w:rsid w:val="00BF6345"/>
    <w:rsid w:val="00BF6443"/>
    <w:rsid w:val="00BF6897"/>
    <w:rsid w:val="00BF6C14"/>
    <w:rsid w:val="00BF6C61"/>
    <w:rsid w:val="00BF6ED7"/>
    <w:rsid w:val="00BF6F21"/>
    <w:rsid w:val="00BF73D3"/>
    <w:rsid w:val="00BF73F8"/>
    <w:rsid w:val="00BF75DB"/>
    <w:rsid w:val="00BF78A1"/>
    <w:rsid w:val="00BF7C54"/>
    <w:rsid w:val="00C0003B"/>
    <w:rsid w:val="00C00126"/>
    <w:rsid w:val="00C004EE"/>
    <w:rsid w:val="00C00530"/>
    <w:rsid w:val="00C0066B"/>
    <w:rsid w:val="00C007E4"/>
    <w:rsid w:val="00C01916"/>
    <w:rsid w:val="00C01AC7"/>
    <w:rsid w:val="00C01B2D"/>
    <w:rsid w:val="00C01BB3"/>
    <w:rsid w:val="00C01F49"/>
    <w:rsid w:val="00C020AE"/>
    <w:rsid w:val="00C022DB"/>
    <w:rsid w:val="00C023F7"/>
    <w:rsid w:val="00C02BF6"/>
    <w:rsid w:val="00C02F48"/>
    <w:rsid w:val="00C03058"/>
    <w:rsid w:val="00C03091"/>
    <w:rsid w:val="00C033A1"/>
    <w:rsid w:val="00C034C4"/>
    <w:rsid w:val="00C036D4"/>
    <w:rsid w:val="00C0376A"/>
    <w:rsid w:val="00C038EA"/>
    <w:rsid w:val="00C04469"/>
    <w:rsid w:val="00C044FA"/>
    <w:rsid w:val="00C04551"/>
    <w:rsid w:val="00C04727"/>
    <w:rsid w:val="00C04DB3"/>
    <w:rsid w:val="00C05029"/>
    <w:rsid w:val="00C0520F"/>
    <w:rsid w:val="00C05C73"/>
    <w:rsid w:val="00C05DE7"/>
    <w:rsid w:val="00C05E4B"/>
    <w:rsid w:val="00C06348"/>
    <w:rsid w:val="00C065DB"/>
    <w:rsid w:val="00C066B3"/>
    <w:rsid w:val="00C0670A"/>
    <w:rsid w:val="00C067F3"/>
    <w:rsid w:val="00C06812"/>
    <w:rsid w:val="00C06C7F"/>
    <w:rsid w:val="00C06E65"/>
    <w:rsid w:val="00C071ED"/>
    <w:rsid w:val="00C07286"/>
    <w:rsid w:val="00C076B7"/>
    <w:rsid w:val="00C076E4"/>
    <w:rsid w:val="00C07892"/>
    <w:rsid w:val="00C0799A"/>
    <w:rsid w:val="00C1015F"/>
    <w:rsid w:val="00C10170"/>
    <w:rsid w:val="00C105B0"/>
    <w:rsid w:val="00C105C7"/>
    <w:rsid w:val="00C10D8A"/>
    <w:rsid w:val="00C10F01"/>
    <w:rsid w:val="00C110BA"/>
    <w:rsid w:val="00C11151"/>
    <w:rsid w:val="00C112A1"/>
    <w:rsid w:val="00C1160E"/>
    <w:rsid w:val="00C117DF"/>
    <w:rsid w:val="00C11AE8"/>
    <w:rsid w:val="00C11DEE"/>
    <w:rsid w:val="00C11DF3"/>
    <w:rsid w:val="00C11E0B"/>
    <w:rsid w:val="00C11EFA"/>
    <w:rsid w:val="00C121B1"/>
    <w:rsid w:val="00C12611"/>
    <w:rsid w:val="00C12723"/>
    <w:rsid w:val="00C129EA"/>
    <w:rsid w:val="00C1333D"/>
    <w:rsid w:val="00C13475"/>
    <w:rsid w:val="00C13693"/>
    <w:rsid w:val="00C13A98"/>
    <w:rsid w:val="00C13B6F"/>
    <w:rsid w:val="00C13E49"/>
    <w:rsid w:val="00C141BC"/>
    <w:rsid w:val="00C14646"/>
    <w:rsid w:val="00C14C43"/>
    <w:rsid w:val="00C155AA"/>
    <w:rsid w:val="00C157EB"/>
    <w:rsid w:val="00C15829"/>
    <w:rsid w:val="00C15EC0"/>
    <w:rsid w:val="00C1664E"/>
    <w:rsid w:val="00C16873"/>
    <w:rsid w:val="00C16E42"/>
    <w:rsid w:val="00C17598"/>
    <w:rsid w:val="00C1765D"/>
    <w:rsid w:val="00C177EF"/>
    <w:rsid w:val="00C178BE"/>
    <w:rsid w:val="00C17CBC"/>
    <w:rsid w:val="00C17D75"/>
    <w:rsid w:val="00C17E63"/>
    <w:rsid w:val="00C204E0"/>
    <w:rsid w:val="00C2080D"/>
    <w:rsid w:val="00C20B88"/>
    <w:rsid w:val="00C20E5B"/>
    <w:rsid w:val="00C21191"/>
    <w:rsid w:val="00C211CE"/>
    <w:rsid w:val="00C212F3"/>
    <w:rsid w:val="00C2135F"/>
    <w:rsid w:val="00C2181A"/>
    <w:rsid w:val="00C21B52"/>
    <w:rsid w:val="00C21C24"/>
    <w:rsid w:val="00C21E22"/>
    <w:rsid w:val="00C21F13"/>
    <w:rsid w:val="00C21F95"/>
    <w:rsid w:val="00C2213F"/>
    <w:rsid w:val="00C226F3"/>
    <w:rsid w:val="00C22A15"/>
    <w:rsid w:val="00C22C53"/>
    <w:rsid w:val="00C233B2"/>
    <w:rsid w:val="00C23489"/>
    <w:rsid w:val="00C23894"/>
    <w:rsid w:val="00C23940"/>
    <w:rsid w:val="00C242CD"/>
    <w:rsid w:val="00C24583"/>
    <w:rsid w:val="00C247F7"/>
    <w:rsid w:val="00C24A04"/>
    <w:rsid w:val="00C24A0A"/>
    <w:rsid w:val="00C259A4"/>
    <w:rsid w:val="00C25B78"/>
    <w:rsid w:val="00C25F91"/>
    <w:rsid w:val="00C260B7"/>
    <w:rsid w:val="00C26148"/>
    <w:rsid w:val="00C262FE"/>
    <w:rsid w:val="00C265E2"/>
    <w:rsid w:val="00C26754"/>
    <w:rsid w:val="00C26981"/>
    <w:rsid w:val="00C26A50"/>
    <w:rsid w:val="00C26B8A"/>
    <w:rsid w:val="00C26D7C"/>
    <w:rsid w:val="00C26FD5"/>
    <w:rsid w:val="00C273A4"/>
    <w:rsid w:val="00C27814"/>
    <w:rsid w:val="00C2790B"/>
    <w:rsid w:val="00C27E4D"/>
    <w:rsid w:val="00C30829"/>
    <w:rsid w:val="00C30AF5"/>
    <w:rsid w:val="00C30C27"/>
    <w:rsid w:val="00C30CB7"/>
    <w:rsid w:val="00C3138A"/>
    <w:rsid w:val="00C31514"/>
    <w:rsid w:val="00C31528"/>
    <w:rsid w:val="00C31604"/>
    <w:rsid w:val="00C3194C"/>
    <w:rsid w:val="00C31A17"/>
    <w:rsid w:val="00C32208"/>
    <w:rsid w:val="00C3221F"/>
    <w:rsid w:val="00C325A5"/>
    <w:rsid w:val="00C3264B"/>
    <w:rsid w:val="00C329F7"/>
    <w:rsid w:val="00C32B31"/>
    <w:rsid w:val="00C32CB7"/>
    <w:rsid w:val="00C32E81"/>
    <w:rsid w:val="00C33219"/>
    <w:rsid w:val="00C332C3"/>
    <w:rsid w:val="00C339B7"/>
    <w:rsid w:val="00C33F4B"/>
    <w:rsid w:val="00C33F6A"/>
    <w:rsid w:val="00C35156"/>
    <w:rsid w:val="00C351C3"/>
    <w:rsid w:val="00C35601"/>
    <w:rsid w:val="00C3563E"/>
    <w:rsid w:val="00C35C6E"/>
    <w:rsid w:val="00C35EE8"/>
    <w:rsid w:val="00C3629F"/>
    <w:rsid w:val="00C36557"/>
    <w:rsid w:val="00C36907"/>
    <w:rsid w:val="00C36973"/>
    <w:rsid w:val="00C36D79"/>
    <w:rsid w:val="00C370B9"/>
    <w:rsid w:val="00C37299"/>
    <w:rsid w:val="00C37662"/>
    <w:rsid w:val="00C3771D"/>
    <w:rsid w:val="00C37895"/>
    <w:rsid w:val="00C379D1"/>
    <w:rsid w:val="00C40146"/>
    <w:rsid w:val="00C4040D"/>
    <w:rsid w:val="00C408E4"/>
    <w:rsid w:val="00C4098D"/>
    <w:rsid w:val="00C4123F"/>
    <w:rsid w:val="00C413AF"/>
    <w:rsid w:val="00C41588"/>
    <w:rsid w:val="00C4161F"/>
    <w:rsid w:val="00C416FF"/>
    <w:rsid w:val="00C41B1A"/>
    <w:rsid w:val="00C41E02"/>
    <w:rsid w:val="00C4202B"/>
    <w:rsid w:val="00C42435"/>
    <w:rsid w:val="00C42C53"/>
    <w:rsid w:val="00C433D3"/>
    <w:rsid w:val="00C433FC"/>
    <w:rsid w:val="00C43424"/>
    <w:rsid w:val="00C4379B"/>
    <w:rsid w:val="00C439EA"/>
    <w:rsid w:val="00C43AA6"/>
    <w:rsid w:val="00C444AB"/>
    <w:rsid w:val="00C44557"/>
    <w:rsid w:val="00C447D2"/>
    <w:rsid w:val="00C44DE2"/>
    <w:rsid w:val="00C44FB5"/>
    <w:rsid w:val="00C450A3"/>
    <w:rsid w:val="00C4545F"/>
    <w:rsid w:val="00C45617"/>
    <w:rsid w:val="00C457F6"/>
    <w:rsid w:val="00C45DDA"/>
    <w:rsid w:val="00C45E2E"/>
    <w:rsid w:val="00C45EB1"/>
    <w:rsid w:val="00C46000"/>
    <w:rsid w:val="00C460B5"/>
    <w:rsid w:val="00C462B8"/>
    <w:rsid w:val="00C4662D"/>
    <w:rsid w:val="00C46647"/>
    <w:rsid w:val="00C467DC"/>
    <w:rsid w:val="00C46B9A"/>
    <w:rsid w:val="00C46BF5"/>
    <w:rsid w:val="00C4780D"/>
    <w:rsid w:val="00C47908"/>
    <w:rsid w:val="00C47CD0"/>
    <w:rsid w:val="00C47D2C"/>
    <w:rsid w:val="00C47D37"/>
    <w:rsid w:val="00C500D6"/>
    <w:rsid w:val="00C50C60"/>
    <w:rsid w:val="00C50D92"/>
    <w:rsid w:val="00C515B0"/>
    <w:rsid w:val="00C51784"/>
    <w:rsid w:val="00C51B8D"/>
    <w:rsid w:val="00C51BA4"/>
    <w:rsid w:val="00C51DA5"/>
    <w:rsid w:val="00C52312"/>
    <w:rsid w:val="00C5245A"/>
    <w:rsid w:val="00C52956"/>
    <w:rsid w:val="00C52DAC"/>
    <w:rsid w:val="00C52DFC"/>
    <w:rsid w:val="00C52E57"/>
    <w:rsid w:val="00C531BB"/>
    <w:rsid w:val="00C532B8"/>
    <w:rsid w:val="00C5331C"/>
    <w:rsid w:val="00C5333C"/>
    <w:rsid w:val="00C53D9D"/>
    <w:rsid w:val="00C53EA4"/>
    <w:rsid w:val="00C5428D"/>
    <w:rsid w:val="00C54471"/>
    <w:rsid w:val="00C54551"/>
    <w:rsid w:val="00C55315"/>
    <w:rsid w:val="00C554D9"/>
    <w:rsid w:val="00C558E6"/>
    <w:rsid w:val="00C55BFF"/>
    <w:rsid w:val="00C5603C"/>
    <w:rsid w:val="00C5635F"/>
    <w:rsid w:val="00C5685A"/>
    <w:rsid w:val="00C56FB9"/>
    <w:rsid w:val="00C574D4"/>
    <w:rsid w:val="00C577A5"/>
    <w:rsid w:val="00C57BD4"/>
    <w:rsid w:val="00C57FD4"/>
    <w:rsid w:val="00C60CF1"/>
    <w:rsid w:val="00C60FF0"/>
    <w:rsid w:val="00C618FF"/>
    <w:rsid w:val="00C61C44"/>
    <w:rsid w:val="00C61CEC"/>
    <w:rsid w:val="00C620DF"/>
    <w:rsid w:val="00C62413"/>
    <w:rsid w:val="00C62A5D"/>
    <w:rsid w:val="00C62B59"/>
    <w:rsid w:val="00C632A5"/>
    <w:rsid w:val="00C63F07"/>
    <w:rsid w:val="00C63FB4"/>
    <w:rsid w:val="00C6423E"/>
    <w:rsid w:val="00C644DE"/>
    <w:rsid w:val="00C64514"/>
    <w:rsid w:val="00C64570"/>
    <w:rsid w:val="00C64B3D"/>
    <w:rsid w:val="00C65052"/>
    <w:rsid w:val="00C6599C"/>
    <w:rsid w:val="00C66478"/>
    <w:rsid w:val="00C665DC"/>
    <w:rsid w:val="00C6667E"/>
    <w:rsid w:val="00C6672F"/>
    <w:rsid w:val="00C66B31"/>
    <w:rsid w:val="00C66C78"/>
    <w:rsid w:val="00C66C8B"/>
    <w:rsid w:val="00C66E30"/>
    <w:rsid w:val="00C671C4"/>
    <w:rsid w:val="00C67C0F"/>
    <w:rsid w:val="00C700A6"/>
    <w:rsid w:val="00C700E3"/>
    <w:rsid w:val="00C7017A"/>
    <w:rsid w:val="00C70C46"/>
    <w:rsid w:val="00C714D7"/>
    <w:rsid w:val="00C716C6"/>
    <w:rsid w:val="00C7204F"/>
    <w:rsid w:val="00C72191"/>
    <w:rsid w:val="00C721C9"/>
    <w:rsid w:val="00C7232B"/>
    <w:rsid w:val="00C73018"/>
    <w:rsid w:val="00C7316D"/>
    <w:rsid w:val="00C731AF"/>
    <w:rsid w:val="00C73577"/>
    <w:rsid w:val="00C7358B"/>
    <w:rsid w:val="00C73B1F"/>
    <w:rsid w:val="00C73DB3"/>
    <w:rsid w:val="00C73EE8"/>
    <w:rsid w:val="00C73F81"/>
    <w:rsid w:val="00C74043"/>
    <w:rsid w:val="00C74199"/>
    <w:rsid w:val="00C7430D"/>
    <w:rsid w:val="00C744A1"/>
    <w:rsid w:val="00C744B8"/>
    <w:rsid w:val="00C744FF"/>
    <w:rsid w:val="00C74903"/>
    <w:rsid w:val="00C749C0"/>
    <w:rsid w:val="00C749F2"/>
    <w:rsid w:val="00C750BC"/>
    <w:rsid w:val="00C758AF"/>
    <w:rsid w:val="00C75A3C"/>
    <w:rsid w:val="00C75CC1"/>
    <w:rsid w:val="00C75F95"/>
    <w:rsid w:val="00C763B3"/>
    <w:rsid w:val="00C764AA"/>
    <w:rsid w:val="00C76957"/>
    <w:rsid w:val="00C7697B"/>
    <w:rsid w:val="00C76D7B"/>
    <w:rsid w:val="00C7700B"/>
    <w:rsid w:val="00C7712D"/>
    <w:rsid w:val="00C77814"/>
    <w:rsid w:val="00C77DCF"/>
    <w:rsid w:val="00C77E00"/>
    <w:rsid w:val="00C80099"/>
    <w:rsid w:val="00C80BE9"/>
    <w:rsid w:val="00C80CA5"/>
    <w:rsid w:val="00C80DD3"/>
    <w:rsid w:val="00C811C9"/>
    <w:rsid w:val="00C813DE"/>
    <w:rsid w:val="00C81694"/>
    <w:rsid w:val="00C8198B"/>
    <w:rsid w:val="00C819B8"/>
    <w:rsid w:val="00C81CC8"/>
    <w:rsid w:val="00C81E75"/>
    <w:rsid w:val="00C81EA6"/>
    <w:rsid w:val="00C8213E"/>
    <w:rsid w:val="00C82871"/>
    <w:rsid w:val="00C82AE5"/>
    <w:rsid w:val="00C82C96"/>
    <w:rsid w:val="00C82F72"/>
    <w:rsid w:val="00C8337B"/>
    <w:rsid w:val="00C83660"/>
    <w:rsid w:val="00C83DD9"/>
    <w:rsid w:val="00C83F5E"/>
    <w:rsid w:val="00C84040"/>
    <w:rsid w:val="00C8418A"/>
    <w:rsid w:val="00C8430A"/>
    <w:rsid w:val="00C84451"/>
    <w:rsid w:val="00C84965"/>
    <w:rsid w:val="00C84B2D"/>
    <w:rsid w:val="00C8503E"/>
    <w:rsid w:val="00C85164"/>
    <w:rsid w:val="00C858CE"/>
    <w:rsid w:val="00C85C10"/>
    <w:rsid w:val="00C85EB4"/>
    <w:rsid w:val="00C8611A"/>
    <w:rsid w:val="00C863C2"/>
    <w:rsid w:val="00C864C9"/>
    <w:rsid w:val="00C86674"/>
    <w:rsid w:val="00C86852"/>
    <w:rsid w:val="00C868CB"/>
    <w:rsid w:val="00C86AC6"/>
    <w:rsid w:val="00C87019"/>
    <w:rsid w:val="00C87106"/>
    <w:rsid w:val="00C87212"/>
    <w:rsid w:val="00C8727C"/>
    <w:rsid w:val="00C874EA"/>
    <w:rsid w:val="00C8759D"/>
    <w:rsid w:val="00C87854"/>
    <w:rsid w:val="00C87BA5"/>
    <w:rsid w:val="00C87DAE"/>
    <w:rsid w:val="00C87E0F"/>
    <w:rsid w:val="00C90381"/>
    <w:rsid w:val="00C905F6"/>
    <w:rsid w:val="00C90E3E"/>
    <w:rsid w:val="00C9126B"/>
    <w:rsid w:val="00C918DB"/>
    <w:rsid w:val="00C91A46"/>
    <w:rsid w:val="00C91D63"/>
    <w:rsid w:val="00C91F68"/>
    <w:rsid w:val="00C92230"/>
    <w:rsid w:val="00C923A7"/>
    <w:rsid w:val="00C9265D"/>
    <w:rsid w:val="00C92679"/>
    <w:rsid w:val="00C92863"/>
    <w:rsid w:val="00C928BE"/>
    <w:rsid w:val="00C928F4"/>
    <w:rsid w:val="00C92BD6"/>
    <w:rsid w:val="00C92C6C"/>
    <w:rsid w:val="00C92EE8"/>
    <w:rsid w:val="00C933BD"/>
    <w:rsid w:val="00C9346F"/>
    <w:rsid w:val="00C934B1"/>
    <w:rsid w:val="00C93A06"/>
    <w:rsid w:val="00C93AEC"/>
    <w:rsid w:val="00C93B3C"/>
    <w:rsid w:val="00C93CCE"/>
    <w:rsid w:val="00C93F57"/>
    <w:rsid w:val="00C94239"/>
    <w:rsid w:val="00C946DB"/>
    <w:rsid w:val="00C9495D"/>
    <w:rsid w:val="00C94AE5"/>
    <w:rsid w:val="00C9534E"/>
    <w:rsid w:val="00C959A5"/>
    <w:rsid w:val="00C959F2"/>
    <w:rsid w:val="00C967AB"/>
    <w:rsid w:val="00C96B68"/>
    <w:rsid w:val="00C9730F"/>
    <w:rsid w:val="00C9738C"/>
    <w:rsid w:val="00C97784"/>
    <w:rsid w:val="00C977D0"/>
    <w:rsid w:val="00C97AE5"/>
    <w:rsid w:val="00C97D14"/>
    <w:rsid w:val="00CA0237"/>
    <w:rsid w:val="00CA03BB"/>
    <w:rsid w:val="00CA0570"/>
    <w:rsid w:val="00CA0BB6"/>
    <w:rsid w:val="00CA0C02"/>
    <w:rsid w:val="00CA1AF0"/>
    <w:rsid w:val="00CA1FEA"/>
    <w:rsid w:val="00CA2114"/>
    <w:rsid w:val="00CA218F"/>
    <w:rsid w:val="00CA21EB"/>
    <w:rsid w:val="00CA2844"/>
    <w:rsid w:val="00CA2A32"/>
    <w:rsid w:val="00CA2B7E"/>
    <w:rsid w:val="00CA2C3C"/>
    <w:rsid w:val="00CA2DE6"/>
    <w:rsid w:val="00CA3078"/>
    <w:rsid w:val="00CA35D5"/>
    <w:rsid w:val="00CA408E"/>
    <w:rsid w:val="00CA44E4"/>
    <w:rsid w:val="00CA488F"/>
    <w:rsid w:val="00CA4934"/>
    <w:rsid w:val="00CA4BC3"/>
    <w:rsid w:val="00CA5259"/>
    <w:rsid w:val="00CA5885"/>
    <w:rsid w:val="00CA5BFC"/>
    <w:rsid w:val="00CA5DCB"/>
    <w:rsid w:val="00CA5DEA"/>
    <w:rsid w:val="00CA6902"/>
    <w:rsid w:val="00CA69F3"/>
    <w:rsid w:val="00CA6DC1"/>
    <w:rsid w:val="00CA6E5C"/>
    <w:rsid w:val="00CA70D3"/>
    <w:rsid w:val="00CA72FE"/>
    <w:rsid w:val="00CA735C"/>
    <w:rsid w:val="00CA74DB"/>
    <w:rsid w:val="00CB13AB"/>
    <w:rsid w:val="00CB15C4"/>
    <w:rsid w:val="00CB15EC"/>
    <w:rsid w:val="00CB2CF2"/>
    <w:rsid w:val="00CB3371"/>
    <w:rsid w:val="00CB34F3"/>
    <w:rsid w:val="00CB366A"/>
    <w:rsid w:val="00CB3CD3"/>
    <w:rsid w:val="00CB3DC7"/>
    <w:rsid w:val="00CB418C"/>
    <w:rsid w:val="00CB4381"/>
    <w:rsid w:val="00CB454A"/>
    <w:rsid w:val="00CB4C1B"/>
    <w:rsid w:val="00CB4FDE"/>
    <w:rsid w:val="00CB56C9"/>
    <w:rsid w:val="00CB5B65"/>
    <w:rsid w:val="00CB5F70"/>
    <w:rsid w:val="00CB5FAD"/>
    <w:rsid w:val="00CB60EA"/>
    <w:rsid w:val="00CB62F8"/>
    <w:rsid w:val="00CB64C0"/>
    <w:rsid w:val="00CB6ABD"/>
    <w:rsid w:val="00CB6CB5"/>
    <w:rsid w:val="00CB6EBC"/>
    <w:rsid w:val="00CB6FF1"/>
    <w:rsid w:val="00CB7507"/>
    <w:rsid w:val="00CB7954"/>
    <w:rsid w:val="00CB7AD5"/>
    <w:rsid w:val="00CB7F59"/>
    <w:rsid w:val="00CC062E"/>
    <w:rsid w:val="00CC06C3"/>
    <w:rsid w:val="00CC0EF8"/>
    <w:rsid w:val="00CC1434"/>
    <w:rsid w:val="00CC1B29"/>
    <w:rsid w:val="00CC1B6D"/>
    <w:rsid w:val="00CC1F2C"/>
    <w:rsid w:val="00CC2001"/>
    <w:rsid w:val="00CC212F"/>
    <w:rsid w:val="00CC2296"/>
    <w:rsid w:val="00CC2A35"/>
    <w:rsid w:val="00CC32EC"/>
    <w:rsid w:val="00CC3522"/>
    <w:rsid w:val="00CC3526"/>
    <w:rsid w:val="00CC35DB"/>
    <w:rsid w:val="00CC3E06"/>
    <w:rsid w:val="00CC4000"/>
    <w:rsid w:val="00CC42AC"/>
    <w:rsid w:val="00CC42B6"/>
    <w:rsid w:val="00CC4DAD"/>
    <w:rsid w:val="00CC4E93"/>
    <w:rsid w:val="00CC5247"/>
    <w:rsid w:val="00CC5686"/>
    <w:rsid w:val="00CC56AF"/>
    <w:rsid w:val="00CC56E6"/>
    <w:rsid w:val="00CC5A07"/>
    <w:rsid w:val="00CC5CD8"/>
    <w:rsid w:val="00CC6068"/>
    <w:rsid w:val="00CC62E0"/>
    <w:rsid w:val="00CC6669"/>
    <w:rsid w:val="00CC6782"/>
    <w:rsid w:val="00CC6905"/>
    <w:rsid w:val="00CC6A1E"/>
    <w:rsid w:val="00CC7138"/>
    <w:rsid w:val="00CC7378"/>
    <w:rsid w:val="00CC760C"/>
    <w:rsid w:val="00CC76C2"/>
    <w:rsid w:val="00CC7946"/>
    <w:rsid w:val="00CC7998"/>
    <w:rsid w:val="00CC79BC"/>
    <w:rsid w:val="00CC7AC5"/>
    <w:rsid w:val="00CC7C64"/>
    <w:rsid w:val="00CC7CAA"/>
    <w:rsid w:val="00CC7DEB"/>
    <w:rsid w:val="00CC7F7D"/>
    <w:rsid w:val="00CD0709"/>
    <w:rsid w:val="00CD0AB2"/>
    <w:rsid w:val="00CD0C9F"/>
    <w:rsid w:val="00CD0DA1"/>
    <w:rsid w:val="00CD0FB0"/>
    <w:rsid w:val="00CD107A"/>
    <w:rsid w:val="00CD10EF"/>
    <w:rsid w:val="00CD1108"/>
    <w:rsid w:val="00CD11C2"/>
    <w:rsid w:val="00CD12B0"/>
    <w:rsid w:val="00CD1522"/>
    <w:rsid w:val="00CD182E"/>
    <w:rsid w:val="00CD1EE0"/>
    <w:rsid w:val="00CD1F31"/>
    <w:rsid w:val="00CD2111"/>
    <w:rsid w:val="00CD24A1"/>
    <w:rsid w:val="00CD29AE"/>
    <w:rsid w:val="00CD31A7"/>
    <w:rsid w:val="00CD349B"/>
    <w:rsid w:val="00CD3763"/>
    <w:rsid w:val="00CD3991"/>
    <w:rsid w:val="00CD3F27"/>
    <w:rsid w:val="00CD3FA5"/>
    <w:rsid w:val="00CD45DE"/>
    <w:rsid w:val="00CD47C3"/>
    <w:rsid w:val="00CD4F6E"/>
    <w:rsid w:val="00CD5A73"/>
    <w:rsid w:val="00CD5E32"/>
    <w:rsid w:val="00CD5F97"/>
    <w:rsid w:val="00CD6118"/>
    <w:rsid w:val="00CD615F"/>
    <w:rsid w:val="00CD65F9"/>
    <w:rsid w:val="00CD6A60"/>
    <w:rsid w:val="00CD6D48"/>
    <w:rsid w:val="00CD707D"/>
    <w:rsid w:val="00CD798B"/>
    <w:rsid w:val="00CD7A39"/>
    <w:rsid w:val="00CD7AC9"/>
    <w:rsid w:val="00CD7CAE"/>
    <w:rsid w:val="00CD7D07"/>
    <w:rsid w:val="00CD7F14"/>
    <w:rsid w:val="00CE01F4"/>
    <w:rsid w:val="00CE02D1"/>
    <w:rsid w:val="00CE086B"/>
    <w:rsid w:val="00CE0B4B"/>
    <w:rsid w:val="00CE0E11"/>
    <w:rsid w:val="00CE0E4B"/>
    <w:rsid w:val="00CE0F19"/>
    <w:rsid w:val="00CE1B77"/>
    <w:rsid w:val="00CE1BDA"/>
    <w:rsid w:val="00CE1CFE"/>
    <w:rsid w:val="00CE2049"/>
    <w:rsid w:val="00CE2A70"/>
    <w:rsid w:val="00CE2B09"/>
    <w:rsid w:val="00CE2CBB"/>
    <w:rsid w:val="00CE2EC0"/>
    <w:rsid w:val="00CE2F4A"/>
    <w:rsid w:val="00CE306D"/>
    <w:rsid w:val="00CE375E"/>
    <w:rsid w:val="00CE3771"/>
    <w:rsid w:val="00CE3B33"/>
    <w:rsid w:val="00CE4241"/>
    <w:rsid w:val="00CE4796"/>
    <w:rsid w:val="00CE47CE"/>
    <w:rsid w:val="00CE4A30"/>
    <w:rsid w:val="00CE4B9A"/>
    <w:rsid w:val="00CE4CD6"/>
    <w:rsid w:val="00CE523A"/>
    <w:rsid w:val="00CE5707"/>
    <w:rsid w:val="00CE5912"/>
    <w:rsid w:val="00CE595C"/>
    <w:rsid w:val="00CE5BD8"/>
    <w:rsid w:val="00CE6399"/>
    <w:rsid w:val="00CE6507"/>
    <w:rsid w:val="00CE6715"/>
    <w:rsid w:val="00CE6869"/>
    <w:rsid w:val="00CE6A18"/>
    <w:rsid w:val="00CE6DEC"/>
    <w:rsid w:val="00CE7B0E"/>
    <w:rsid w:val="00CE7CC6"/>
    <w:rsid w:val="00CE7D5E"/>
    <w:rsid w:val="00CE7D82"/>
    <w:rsid w:val="00CE7EFB"/>
    <w:rsid w:val="00CF02A7"/>
    <w:rsid w:val="00CF1265"/>
    <w:rsid w:val="00CF12AC"/>
    <w:rsid w:val="00CF14F8"/>
    <w:rsid w:val="00CF1C6D"/>
    <w:rsid w:val="00CF2A47"/>
    <w:rsid w:val="00CF2A51"/>
    <w:rsid w:val="00CF2B8E"/>
    <w:rsid w:val="00CF2FEC"/>
    <w:rsid w:val="00CF3239"/>
    <w:rsid w:val="00CF32F2"/>
    <w:rsid w:val="00CF3686"/>
    <w:rsid w:val="00CF377F"/>
    <w:rsid w:val="00CF3D9A"/>
    <w:rsid w:val="00CF4096"/>
    <w:rsid w:val="00CF42C3"/>
    <w:rsid w:val="00CF51F9"/>
    <w:rsid w:val="00CF5651"/>
    <w:rsid w:val="00CF5695"/>
    <w:rsid w:val="00CF57E4"/>
    <w:rsid w:val="00CF5836"/>
    <w:rsid w:val="00CF5837"/>
    <w:rsid w:val="00CF5B8D"/>
    <w:rsid w:val="00CF5C82"/>
    <w:rsid w:val="00CF5CD7"/>
    <w:rsid w:val="00CF5DF2"/>
    <w:rsid w:val="00CF62F6"/>
    <w:rsid w:val="00CF656E"/>
    <w:rsid w:val="00CF685B"/>
    <w:rsid w:val="00CF6A3B"/>
    <w:rsid w:val="00CF7035"/>
    <w:rsid w:val="00CF706D"/>
    <w:rsid w:val="00CF73C0"/>
    <w:rsid w:val="00CF7B54"/>
    <w:rsid w:val="00D00406"/>
    <w:rsid w:val="00D00433"/>
    <w:rsid w:val="00D007B5"/>
    <w:rsid w:val="00D010D4"/>
    <w:rsid w:val="00D01301"/>
    <w:rsid w:val="00D018F1"/>
    <w:rsid w:val="00D01C15"/>
    <w:rsid w:val="00D020E3"/>
    <w:rsid w:val="00D02471"/>
    <w:rsid w:val="00D0267C"/>
    <w:rsid w:val="00D0291A"/>
    <w:rsid w:val="00D02BEE"/>
    <w:rsid w:val="00D0335F"/>
    <w:rsid w:val="00D0365C"/>
    <w:rsid w:val="00D03A18"/>
    <w:rsid w:val="00D03BEA"/>
    <w:rsid w:val="00D0437C"/>
    <w:rsid w:val="00D044AA"/>
    <w:rsid w:val="00D0492C"/>
    <w:rsid w:val="00D04958"/>
    <w:rsid w:val="00D04F6F"/>
    <w:rsid w:val="00D0501C"/>
    <w:rsid w:val="00D05359"/>
    <w:rsid w:val="00D05E1F"/>
    <w:rsid w:val="00D061C5"/>
    <w:rsid w:val="00D062E2"/>
    <w:rsid w:val="00D06392"/>
    <w:rsid w:val="00D069C3"/>
    <w:rsid w:val="00D06A72"/>
    <w:rsid w:val="00D06BC2"/>
    <w:rsid w:val="00D06EFE"/>
    <w:rsid w:val="00D07187"/>
    <w:rsid w:val="00D0723E"/>
    <w:rsid w:val="00D07B6C"/>
    <w:rsid w:val="00D07D64"/>
    <w:rsid w:val="00D07E8E"/>
    <w:rsid w:val="00D102F5"/>
    <w:rsid w:val="00D106C0"/>
    <w:rsid w:val="00D10B79"/>
    <w:rsid w:val="00D10C5F"/>
    <w:rsid w:val="00D11083"/>
    <w:rsid w:val="00D11BA0"/>
    <w:rsid w:val="00D1261B"/>
    <w:rsid w:val="00D12D46"/>
    <w:rsid w:val="00D12E61"/>
    <w:rsid w:val="00D137EE"/>
    <w:rsid w:val="00D137F2"/>
    <w:rsid w:val="00D13BDE"/>
    <w:rsid w:val="00D141FF"/>
    <w:rsid w:val="00D14B09"/>
    <w:rsid w:val="00D14FC9"/>
    <w:rsid w:val="00D1556F"/>
    <w:rsid w:val="00D15B51"/>
    <w:rsid w:val="00D15BA3"/>
    <w:rsid w:val="00D15E81"/>
    <w:rsid w:val="00D15EFC"/>
    <w:rsid w:val="00D1600C"/>
    <w:rsid w:val="00D16684"/>
    <w:rsid w:val="00D16698"/>
    <w:rsid w:val="00D168D4"/>
    <w:rsid w:val="00D17238"/>
    <w:rsid w:val="00D17256"/>
    <w:rsid w:val="00D17269"/>
    <w:rsid w:val="00D174AB"/>
    <w:rsid w:val="00D175FB"/>
    <w:rsid w:val="00D1761D"/>
    <w:rsid w:val="00D17972"/>
    <w:rsid w:val="00D17D42"/>
    <w:rsid w:val="00D2015F"/>
    <w:rsid w:val="00D20583"/>
    <w:rsid w:val="00D207B3"/>
    <w:rsid w:val="00D207C5"/>
    <w:rsid w:val="00D20CEB"/>
    <w:rsid w:val="00D20EEA"/>
    <w:rsid w:val="00D20F05"/>
    <w:rsid w:val="00D20F11"/>
    <w:rsid w:val="00D21553"/>
    <w:rsid w:val="00D21674"/>
    <w:rsid w:val="00D216D2"/>
    <w:rsid w:val="00D218F2"/>
    <w:rsid w:val="00D21D95"/>
    <w:rsid w:val="00D21DD1"/>
    <w:rsid w:val="00D21F25"/>
    <w:rsid w:val="00D221A3"/>
    <w:rsid w:val="00D229DB"/>
    <w:rsid w:val="00D22A59"/>
    <w:rsid w:val="00D22D6D"/>
    <w:rsid w:val="00D2357A"/>
    <w:rsid w:val="00D23C54"/>
    <w:rsid w:val="00D240AA"/>
    <w:rsid w:val="00D24257"/>
    <w:rsid w:val="00D24419"/>
    <w:rsid w:val="00D244D1"/>
    <w:rsid w:val="00D25376"/>
    <w:rsid w:val="00D253EA"/>
    <w:rsid w:val="00D257D3"/>
    <w:rsid w:val="00D25D94"/>
    <w:rsid w:val="00D2605E"/>
    <w:rsid w:val="00D263D0"/>
    <w:rsid w:val="00D26927"/>
    <w:rsid w:val="00D26972"/>
    <w:rsid w:val="00D275A9"/>
    <w:rsid w:val="00D2779F"/>
    <w:rsid w:val="00D277BE"/>
    <w:rsid w:val="00D27C11"/>
    <w:rsid w:val="00D27D6D"/>
    <w:rsid w:val="00D27F60"/>
    <w:rsid w:val="00D27FBA"/>
    <w:rsid w:val="00D30131"/>
    <w:rsid w:val="00D30884"/>
    <w:rsid w:val="00D309BF"/>
    <w:rsid w:val="00D30A66"/>
    <w:rsid w:val="00D30DC8"/>
    <w:rsid w:val="00D31384"/>
    <w:rsid w:val="00D3149F"/>
    <w:rsid w:val="00D31503"/>
    <w:rsid w:val="00D31568"/>
    <w:rsid w:val="00D315B1"/>
    <w:rsid w:val="00D31769"/>
    <w:rsid w:val="00D31E7C"/>
    <w:rsid w:val="00D31F10"/>
    <w:rsid w:val="00D32104"/>
    <w:rsid w:val="00D323AA"/>
    <w:rsid w:val="00D32C8A"/>
    <w:rsid w:val="00D32DD1"/>
    <w:rsid w:val="00D335F4"/>
    <w:rsid w:val="00D33A3B"/>
    <w:rsid w:val="00D33A75"/>
    <w:rsid w:val="00D33D15"/>
    <w:rsid w:val="00D33D58"/>
    <w:rsid w:val="00D33F7C"/>
    <w:rsid w:val="00D3402A"/>
    <w:rsid w:val="00D34187"/>
    <w:rsid w:val="00D34320"/>
    <w:rsid w:val="00D34720"/>
    <w:rsid w:val="00D34725"/>
    <w:rsid w:val="00D349E6"/>
    <w:rsid w:val="00D34D2D"/>
    <w:rsid w:val="00D34DD6"/>
    <w:rsid w:val="00D34F16"/>
    <w:rsid w:val="00D35162"/>
    <w:rsid w:val="00D352DC"/>
    <w:rsid w:val="00D35580"/>
    <w:rsid w:val="00D35842"/>
    <w:rsid w:val="00D35A7D"/>
    <w:rsid w:val="00D35F49"/>
    <w:rsid w:val="00D36085"/>
    <w:rsid w:val="00D366AE"/>
    <w:rsid w:val="00D369E9"/>
    <w:rsid w:val="00D36C56"/>
    <w:rsid w:val="00D36D2F"/>
    <w:rsid w:val="00D371C0"/>
    <w:rsid w:val="00D37788"/>
    <w:rsid w:val="00D37916"/>
    <w:rsid w:val="00D37945"/>
    <w:rsid w:val="00D37A9F"/>
    <w:rsid w:val="00D37B9B"/>
    <w:rsid w:val="00D37F94"/>
    <w:rsid w:val="00D37FFE"/>
    <w:rsid w:val="00D40284"/>
    <w:rsid w:val="00D40544"/>
    <w:rsid w:val="00D40673"/>
    <w:rsid w:val="00D406D2"/>
    <w:rsid w:val="00D40718"/>
    <w:rsid w:val="00D40B73"/>
    <w:rsid w:val="00D41443"/>
    <w:rsid w:val="00D418F4"/>
    <w:rsid w:val="00D422F6"/>
    <w:rsid w:val="00D42526"/>
    <w:rsid w:val="00D42BD4"/>
    <w:rsid w:val="00D43165"/>
    <w:rsid w:val="00D43C4D"/>
    <w:rsid w:val="00D43E9D"/>
    <w:rsid w:val="00D4427C"/>
    <w:rsid w:val="00D44294"/>
    <w:rsid w:val="00D445E1"/>
    <w:rsid w:val="00D44B16"/>
    <w:rsid w:val="00D44BE6"/>
    <w:rsid w:val="00D45027"/>
    <w:rsid w:val="00D45120"/>
    <w:rsid w:val="00D452F6"/>
    <w:rsid w:val="00D453A7"/>
    <w:rsid w:val="00D454F6"/>
    <w:rsid w:val="00D458C5"/>
    <w:rsid w:val="00D45972"/>
    <w:rsid w:val="00D45A4B"/>
    <w:rsid w:val="00D45F2F"/>
    <w:rsid w:val="00D46450"/>
    <w:rsid w:val="00D465A6"/>
    <w:rsid w:val="00D469BE"/>
    <w:rsid w:val="00D469D5"/>
    <w:rsid w:val="00D46ABA"/>
    <w:rsid w:val="00D46C58"/>
    <w:rsid w:val="00D46F72"/>
    <w:rsid w:val="00D47071"/>
    <w:rsid w:val="00D47196"/>
    <w:rsid w:val="00D4727D"/>
    <w:rsid w:val="00D47315"/>
    <w:rsid w:val="00D473E1"/>
    <w:rsid w:val="00D47544"/>
    <w:rsid w:val="00D477F6"/>
    <w:rsid w:val="00D47D39"/>
    <w:rsid w:val="00D50017"/>
    <w:rsid w:val="00D503FF"/>
    <w:rsid w:val="00D50A33"/>
    <w:rsid w:val="00D50F14"/>
    <w:rsid w:val="00D50F6D"/>
    <w:rsid w:val="00D512D6"/>
    <w:rsid w:val="00D51997"/>
    <w:rsid w:val="00D52353"/>
    <w:rsid w:val="00D52614"/>
    <w:rsid w:val="00D52AB9"/>
    <w:rsid w:val="00D52D59"/>
    <w:rsid w:val="00D52F98"/>
    <w:rsid w:val="00D53484"/>
    <w:rsid w:val="00D53596"/>
    <w:rsid w:val="00D535AC"/>
    <w:rsid w:val="00D53716"/>
    <w:rsid w:val="00D53B9D"/>
    <w:rsid w:val="00D53D02"/>
    <w:rsid w:val="00D54170"/>
    <w:rsid w:val="00D54704"/>
    <w:rsid w:val="00D5490D"/>
    <w:rsid w:val="00D54D45"/>
    <w:rsid w:val="00D55322"/>
    <w:rsid w:val="00D554AB"/>
    <w:rsid w:val="00D55AFA"/>
    <w:rsid w:val="00D5672D"/>
    <w:rsid w:val="00D568C8"/>
    <w:rsid w:val="00D57622"/>
    <w:rsid w:val="00D57901"/>
    <w:rsid w:val="00D57FC8"/>
    <w:rsid w:val="00D600E9"/>
    <w:rsid w:val="00D6022D"/>
    <w:rsid w:val="00D6024F"/>
    <w:rsid w:val="00D6064F"/>
    <w:rsid w:val="00D6083C"/>
    <w:rsid w:val="00D60C40"/>
    <w:rsid w:val="00D60ED9"/>
    <w:rsid w:val="00D60F5F"/>
    <w:rsid w:val="00D6119F"/>
    <w:rsid w:val="00D611C7"/>
    <w:rsid w:val="00D617ED"/>
    <w:rsid w:val="00D6187E"/>
    <w:rsid w:val="00D61C61"/>
    <w:rsid w:val="00D61D6C"/>
    <w:rsid w:val="00D61F25"/>
    <w:rsid w:val="00D6244C"/>
    <w:rsid w:val="00D628FE"/>
    <w:rsid w:val="00D62CE4"/>
    <w:rsid w:val="00D62E6B"/>
    <w:rsid w:val="00D63221"/>
    <w:rsid w:val="00D63591"/>
    <w:rsid w:val="00D63996"/>
    <w:rsid w:val="00D639AC"/>
    <w:rsid w:val="00D63B54"/>
    <w:rsid w:val="00D63C08"/>
    <w:rsid w:val="00D640CA"/>
    <w:rsid w:val="00D64472"/>
    <w:rsid w:val="00D64828"/>
    <w:rsid w:val="00D64A6A"/>
    <w:rsid w:val="00D64B12"/>
    <w:rsid w:val="00D64B44"/>
    <w:rsid w:val="00D64F1A"/>
    <w:rsid w:val="00D65256"/>
    <w:rsid w:val="00D657BD"/>
    <w:rsid w:val="00D65940"/>
    <w:rsid w:val="00D65BB7"/>
    <w:rsid w:val="00D65E8F"/>
    <w:rsid w:val="00D662BD"/>
    <w:rsid w:val="00D66497"/>
    <w:rsid w:val="00D6676C"/>
    <w:rsid w:val="00D669CA"/>
    <w:rsid w:val="00D669F0"/>
    <w:rsid w:val="00D66F94"/>
    <w:rsid w:val="00D676CF"/>
    <w:rsid w:val="00D67CC8"/>
    <w:rsid w:val="00D67D52"/>
    <w:rsid w:val="00D67E88"/>
    <w:rsid w:val="00D67FDA"/>
    <w:rsid w:val="00D705B6"/>
    <w:rsid w:val="00D70E43"/>
    <w:rsid w:val="00D71027"/>
    <w:rsid w:val="00D71062"/>
    <w:rsid w:val="00D7107E"/>
    <w:rsid w:val="00D7119A"/>
    <w:rsid w:val="00D716B2"/>
    <w:rsid w:val="00D719E6"/>
    <w:rsid w:val="00D71A29"/>
    <w:rsid w:val="00D71ED0"/>
    <w:rsid w:val="00D71F46"/>
    <w:rsid w:val="00D71F6A"/>
    <w:rsid w:val="00D72265"/>
    <w:rsid w:val="00D72698"/>
    <w:rsid w:val="00D727F5"/>
    <w:rsid w:val="00D72A25"/>
    <w:rsid w:val="00D72A32"/>
    <w:rsid w:val="00D72BCB"/>
    <w:rsid w:val="00D72F9C"/>
    <w:rsid w:val="00D7305B"/>
    <w:rsid w:val="00D731DA"/>
    <w:rsid w:val="00D73302"/>
    <w:rsid w:val="00D73CC6"/>
    <w:rsid w:val="00D73D11"/>
    <w:rsid w:val="00D73EDB"/>
    <w:rsid w:val="00D745AF"/>
    <w:rsid w:val="00D748CD"/>
    <w:rsid w:val="00D74AD4"/>
    <w:rsid w:val="00D752C3"/>
    <w:rsid w:val="00D75310"/>
    <w:rsid w:val="00D75396"/>
    <w:rsid w:val="00D75627"/>
    <w:rsid w:val="00D7565C"/>
    <w:rsid w:val="00D759AF"/>
    <w:rsid w:val="00D75CC5"/>
    <w:rsid w:val="00D765CB"/>
    <w:rsid w:val="00D766F6"/>
    <w:rsid w:val="00D768C5"/>
    <w:rsid w:val="00D76B78"/>
    <w:rsid w:val="00D7728F"/>
    <w:rsid w:val="00D774FE"/>
    <w:rsid w:val="00D779E8"/>
    <w:rsid w:val="00D77A89"/>
    <w:rsid w:val="00D77B64"/>
    <w:rsid w:val="00D77F3A"/>
    <w:rsid w:val="00D80161"/>
    <w:rsid w:val="00D803B1"/>
    <w:rsid w:val="00D807A4"/>
    <w:rsid w:val="00D80CB0"/>
    <w:rsid w:val="00D80D79"/>
    <w:rsid w:val="00D8193F"/>
    <w:rsid w:val="00D81B75"/>
    <w:rsid w:val="00D81FC1"/>
    <w:rsid w:val="00D8228F"/>
    <w:rsid w:val="00D822C3"/>
    <w:rsid w:val="00D822C5"/>
    <w:rsid w:val="00D8248D"/>
    <w:rsid w:val="00D8250B"/>
    <w:rsid w:val="00D8290A"/>
    <w:rsid w:val="00D82C10"/>
    <w:rsid w:val="00D83414"/>
    <w:rsid w:val="00D834D3"/>
    <w:rsid w:val="00D83989"/>
    <w:rsid w:val="00D83B2E"/>
    <w:rsid w:val="00D83B72"/>
    <w:rsid w:val="00D83B7A"/>
    <w:rsid w:val="00D83E72"/>
    <w:rsid w:val="00D8409F"/>
    <w:rsid w:val="00D8466D"/>
    <w:rsid w:val="00D849AE"/>
    <w:rsid w:val="00D85AEF"/>
    <w:rsid w:val="00D86019"/>
    <w:rsid w:val="00D860EB"/>
    <w:rsid w:val="00D8617B"/>
    <w:rsid w:val="00D8637F"/>
    <w:rsid w:val="00D8653B"/>
    <w:rsid w:val="00D865E9"/>
    <w:rsid w:val="00D86655"/>
    <w:rsid w:val="00D8676A"/>
    <w:rsid w:val="00D8689A"/>
    <w:rsid w:val="00D86BC6"/>
    <w:rsid w:val="00D86CE3"/>
    <w:rsid w:val="00D86ECD"/>
    <w:rsid w:val="00D875B5"/>
    <w:rsid w:val="00D8781A"/>
    <w:rsid w:val="00D879EA"/>
    <w:rsid w:val="00D87AF9"/>
    <w:rsid w:val="00D87B0A"/>
    <w:rsid w:val="00D87C11"/>
    <w:rsid w:val="00D87C90"/>
    <w:rsid w:val="00D901B8"/>
    <w:rsid w:val="00D907A2"/>
    <w:rsid w:val="00D9086E"/>
    <w:rsid w:val="00D90959"/>
    <w:rsid w:val="00D90A46"/>
    <w:rsid w:val="00D90B2E"/>
    <w:rsid w:val="00D90BD9"/>
    <w:rsid w:val="00D90C3F"/>
    <w:rsid w:val="00D90EAD"/>
    <w:rsid w:val="00D910E5"/>
    <w:rsid w:val="00D912F7"/>
    <w:rsid w:val="00D91438"/>
    <w:rsid w:val="00D91787"/>
    <w:rsid w:val="00D917A2"/>
    <w:rsid w:val="00D9187F"/>
    <w:rsid w:val="00D918A1"/>
    <w:rsid w:val="00D91B1F"/>
    <w:rsid w:val="00D92602"/>
    <w:rsid w:val="00D927DE"/>
    <w:rsid w:val="00D92B7D"/>
    <w:rsid w:val="00D92CBF"/>
    <w:rsid w:val="00D92F65"/>
    <w:rsid w:val="00D92FB5"/>
    <w:rsid w:val="00D93049"/>
    <w:rsid w:val="00D93079"/>
    <w:rsid w:val="00D9319E"/>
    <w:rsid w:val="00D931D5"/>
    <w:rsid w:val="00D932C4"/>
    <w:rsid w:val="00D9349D"/>
    <w:rsid w:val="00D935AA"/>
    <w:rsid w:val="00D935B5"/>
    <w:rsid w:val="00D935B9"/>
    <w:rsid w:val="00D936DE"/>
    <w:rsid w:val="00D9396E"/>
    <w:rsid w:val="00D93E54"/>
    <w:rsid w:val="00D94277"/>
    <w:rsid w:val="00D9474C"/>
    <w:rsid w:val="00D947B7"/>
    <w:rsid w:val="00D94A73"/>
    <w:rsid w:val="00D94C24"/>
    <w:rsid w:val="00D95576"/>
    <w:rsid w:val="00D958C3"/>
    <w:rsid w:val="00D95923"/>
    <w:rsid w:val="00D95AFE"/>
    <w:rsid w:val="00D95B8A"/>
    <w:rsid w:val="00D95E21"/>
    <w:rsid w:val="00D960F6"/>
    <w:rsid w:val="00D96123"/>
    <w:rsid w:val="00D961CE"/>
    <w:rsid w:val="00D963B8"/>
    <w:rsid w:val="00D96A01"/>
    <w:rsid w:val="00D96A42"/>
    <w:rsid w:val="00D96DF9"/>
    <w:rsid w:val="00D97029"/>
    <w:rsid w:val="00D9719C"/>
    <w:rsid w:val="00D9797B"/>
    <w:rsid w:val="00D97A78"/>
    <w:rsid w:val="00D97CC9"/>
    <w:rsid w:val="00D97DC6"/>
    <w:rsid w:val="00D97F12"/>
    <w:rsid w:val="00DA0EB0"/>
    <w:rsid w:val="00DA2373"/>
    <w:rsid w:val="00DA23F0"/>
    <w:rsid w:val="00DA26B1"/>
    <w:rsid w:val="00DA26EF"/>
    <w:rsid w:val="00DA32BA"/>
    <w:rsid w:val="00DA32CE"/>
    <w:rsid w:val="00DA342C"/>
    <w:rsid w:val="00DA34B9"/>
    <w:rsid w:val="00DA3621"/>
    <w:rsid w:val="00DA3919"/>
    <w:rsid w:val="00DA3947"/>
    <w:rsid w:val="00DA3AB2"/>
    <w:rsid w:val="00DA3C09"/>
    <w:rsid w:val="00DA3C0E"/>
    <w:rsid w:val="00DA42F1"/>
    <w:rsid w:val="00DA448E"/>
    <w:rsid w:val="00DA4533"/>
    <w:rsid w:val="00DA4815"/>
    <w:rsid w:val="00DA55E0"/>
    <w:rsid w:val="00DA567F"/>
    <w:rsid w:val="00DA57A7"/>
    <w:rsid w:val="00DA57CD"/>
    <w:rsid w:val="00DA5BB0"/>
    <w:rsid w:val="00DA6104"/>
    <w:rsid w:val="00DA63EB"/>
    <w:rsid w:val="00DA6859"/>
    <w:rsid w:val="00DA699C"/>
    <w:rsid w:val="00DA6AF4"/>
    <w:rsid w:val="00DA6F21"/>
    <w:rsid w:val="00DA7837"/>
    <w:rsid w:val="00DA7E04"/>
    <w:rsid w:val="00DA7E81"/>
    <w:rsid w:val="00DA7F25"/>
    <w:rsid w:val="00DB0031"/>
    <w:rsid w:val="00DB0339"/>
    <w:rsid w:val="00DB09FD"/>
    <w:rsid w:val="00DB0ACC"/>
    <w:rsid w:val="00DB0D8C"/>
    <w:rsid w:val="00DB1285"/>
    <w:rsid w:val="00DB12AF"/>
    <w:rsid w:val="00DB16A3"/>
    <w:rsid w:val="00DB17CB"/>
    <w:rsid w:val="00DB19C8"/>
    <w:rsid w:val="00DB1AA4"/>
    <w:rsid w:val="00DB1B86"/>
    <w:rsid w:val="00DB2016"/>
    <w:rsid w:val="00DB21A2"/>
    <w:rsid w:val="00DB236E"/>
    <w:rsid w:val="00DB2395"/>
    <w:rsid w:val="00DB261B"/>
    <w:rsid w:val="00DB2698"/>
    <w:rsid w:val="00DB28D4"/>
    <w:rsid w:val="00DB2A78"/>
    <w:rsid w:val="00DB2F7A"/>
    <w:rsid w:val="00DB3D63"/>
    <w:rsid w:val="00DB3D6E"/>
    <w:rsid w:val="00DB3E68"/>
    <w:rsid w:val="00DB3FE0"/>
    <w:rsid w:val="00DB42CA"/>
    <w:rsid w:val="00DB46DF"/>
    <w:rsid w:val="00DB475D"/>
    <w:rsid w:val="00DB477D"/>
    <w:rsid w:val="00DB4818"/>
    <w:rsid w:val="00DB4FE0"/>
    <w:rsid w:val="00DB51CE"/>
    <w:rsid w:val="00DB52F0"/>
    <w:rsid w:val="00DB5364"/>
    <w:rsid w:val="00DB5BDE"/>
    <w:rsid w:val="00DB64E4"/>
    <w:rsid w:val="00DB6A34"/>
    <w:rsid w:val="00DB6A5E"/>
    <w:rsid w:val="00DB70ED"/>
    <w:rsid w:val="00DB71F2"/>
    <w:rsid w:val="00DB72FC"/>
    <w:rsid w:val="00DB7465"/>
    <w:rsid w:val="00DB7495"/>
    <w:rsid w:val="00DB773D"/>
    <w:rsid w:val="00DB77E2"/>
    <w:rsid w:val="00DB7BDF"/>
    <w:rsid w:val="00DB7C98"/>
    <w:rsid w:val="00DB7D51"/>
    <w:rsid w:val="00DC03B9"/>
    <w:rsid w:val="00DC0591"/>
    <w:rsid w:val="00DC0798"/>
    <w:rsid w:val="00DC087C"/>
    <w:rsid w:val="00DC0DA8"/>
    <w:rsid w:val="00DC160D"/>
    <w:rsid w:val="00DC1B8C"/>
    <w:rsid w:val="00DC1DB4"/>
    <w:rsid w:val="00DC1EFE"/>
    <w:rsid w:val="00DC2057"/>
    <w:rsid w:val="00DC2165"/>
    <w:rsid w:val="00DC2226"/>
    <w:rsid w:val="00DC2339"/>
    <w:rsid w:val="00DC2477"/>
    <w:rsid w:val="00DC25C3"/>
    <w:rsid w:val="00DC2672"/>
    <w:rsid w:val="00DC293E"/>
    <w:rsid w:val="00DC2BBE"/>
    <w:rsid w:val="00DC2BD2"/>
    <w:rsid w:val="00DC348A"/>
    <w:rsid w:val="00DC360E"/>
    <w:rsid w:val="00DC3724"/>
    <w:rsid w:val="00DC37B5"/>
    <w:rsid w:val="00DC465D"/>
    <w:rsid w:val="00DC4677"/>
    <w:rsid w:val="00DC4949"/>
    <w:rsid w:val="00DC49DB"/>
    <w:rsid w:val="00DC5313"/>
    <w:rsid w:val="00DC5502"/>
    <w:rsid w:val="00DC5635"/>
    <w:rsid w:val="00DC5860"/>
    <w:rsid w:val="00DC5C43"/>
    <w:rsid w:val="00DC5F12"/>
    <w:rsid w:val="00DC60B8"/>
    <w:rsid w:val="00DC60CA"/>
    <w:rsid w:val="00DC636F"/>
    <w:rsid w:val="00DC63B2"/>
    <w:rsid w:val="00DC67F6"/>
    <w:rsid w:val="00DC6831"/>
    <w:rsid w:val="00DC688B"/>
    <w:rsid w:val="00DC6C66"/>
    <w:rsid w:val="00DC6D61"/>
    <w:rsid w:val="00DC6F09"/>
    <w:rsid w:val="00DC6F0D"/>
    <w:rsid w:val="00DC6F13"/>
    <w:rsid w:val="00DC733F"/>
    <w:rsid w:val="00DC738A"/>
    <w:rsid w:val="00DC73B4"/>
    <w:rsid w:val="00DC74F8"/>
    <w:rsid w:val="00DC7974"/>
    <w:rsid w:val="00DC7B93"/>
    <w:rsid w:val="00DC7E33"/>
    <w:rsid w:val="00DD0100"/>
    <w:rsid w:val="00DD036E"/>
    <w:rsid w:val="00DD04B9"/>
    <w:rsid w:val="00DD0561"/>
    <w:rsid w:val="00DD066F"/>
    <w:rsid w:val="00DD1ACE"/>
    <w:rsid w:val="00DD1FE2"/>
    <w:rsid w:val="00DD248F"/>
    <w:rsid w:val="00DD254A"/>
    <w:rsid w:val="00DD258D"/>
    <w:rsid w:val="00DD276C"/>
    <w:rsid w:val="00DD2A8B"/>
    <w:rsid w:val="00DD3316"/>
    <w:rsid w:val="00DD38B1"/>
    <w:rsid w:val="00DD406E"/>
    <w:rsid w:val="00DD4158"/>
    <w:rsid w:val="00DD429E"/>
    <w:rsid w:val="00DD4AE5"/>
    <w:rsid w:val="00DD4B77"/>
    <w:rsid w:val="00DD4B8D"/>
    <w:rsid w:val="00DD5014"/>
    <w:rsid w:val="00DD51DF"/>
    <w:rsid w:val="00DD524B"/>
    <w:rsid w:val="00DD53F1"/>
    <w:rsid w:val="00DD58D7"/>
    <w:rsid w:val="00DD5DCC"/>
    <w:rsid w:val="00DD5E94"/>
    <w:rsid w:val="00DD6023"/>
    <w:rsid w:val="00DD620A"/>
    <w:rsid w:val="00DD65D7"/>
    <w:rsid w:val="00DD668C"/>
    <w:rsid w:val="00DD6A2E"/>
    <w:rsid w:val="00DD6B01"/>
    <w:rsid w:val="00DD6CA3"/>
    <w:rsid w:val="00DD70E3"/>
    <w:rsid w:val="00DD7355"/>
    <w:rsid w:val="00DD79D2"/>
    <w:rsid w:val="00DD7A2E"/>
    <w:rsid w:val="00DE0D2E"/>
    <w:rsid w:val="00DE16D6"/>
    <w:rsid w:val="00DE1F30"/>
    <w:rsid w:val="00DE231F"/>
    <w:rsid w:val="00DE2665"/>
    <w:rsid w:val="00DE279B"/>
    <w:rsid w:val="00DE2E9A"/>
    <w:rsid w:val="00DE38D6"/>
    <w:rsid w:val="00DE3CA3"/>
    <w:rsid w:val="00DE3F4C"/>
    <w:rsid w:val="00DE489A"/>
    <w:rsid w:val="00DE52EE"/>
    <w:rsid w:val="00DE5513"/>
    <w:rsid w:val="00DE569D"/>
    <w:rsid w:val="00DE58E0"/>
    <w:rsid w:val="00DE5A7C"/>
    <w:rsid w:val="00DE5DAD"/>
    <w:rsid w:val="00DE6162"/>
    <w:rsid w:val="00DE64A4"/>
    <w:rsid w:val="00DE6985"/>
    <w:rsid w:val="00DE7261"/>
    <w:rsid w:val="00DE753C"/>
    <w:rsid w:val="00DE7818"/>
    <w:rsid w:val="00DE7B78"/>
    <w:rsid w:val="00DE7DEA"/>
    <w:rsid w:val="00DE7F43"/>
    <w:rsid w:val="00DE7FA3"/>
    <w:rsid w:val="00DF00D2"/>
    <w:rsid w:val="00DF02F1"/>
    <w:rsid w:val="00DF035D"/>
    <w:rsid w:val="00DF0752"/>
    <w:rsid w:val="00DF0A71"/>
    <w:rsid w:val="00DF0DED"/>
    <w:rsid w:val="00DF0F93"/>
    <w:rsid w:val="00DF108F"/>
    <w:rsid w:val="00DF131B"/>
    <w:rsid w:val="00DF138B"/>
    <w:rsid w:val="00DF1598"/>
    <w:rsid w:val="00DF1798"/>
    <w:rsid w:val="00DF18C7"/>
    <w:rsid w:val="00DF1B51"/>
    <w:rsid w:val="00DF1CE9"/>
    <w:rsid w:val="00DF1D18"/>
    <w:rsid w:val="00DF21F7"/>
    <w:rsid w:val="00DF2314"/>
    <w:rsid w:val="00DF29A6"/>
    <w:rsid w:val="00DF2C2E"/>
    <w:rsid w:val="00DF34FE"/>
    <w:rsid w:val="00DF36C0"/>
    <w:rsid w:val="00DF3830"/>
    <w:rsid w:val="00DF3C2E"/>
    <w:rsid w:val="00DF3CF5"/>
    <w:rsid w:val="00DF3D11"/>
    <w:rsid w:val="00DF3E75"/>
    <w:rsid w:val="00DF401B"/>
    <w:rsid w:val="00DF44F6"/>
    <w:rsid w:val="00DF4BD9"/>
    <w:rsid w:val="00DF4D6B"/>
    <w:rsid w:val="00DF51C3"/>
    <w:rsid w:val="00DF51F4"/>
    <w:rsid w:val="00DF563B"/>
    <w:rsid w:val="00DF5CD4"/>
    <w:rsid w:val="00DF5D43"/>
    <w:rsid w:val="00DF5E07"/>
    <w:rsid w:val="00DF5ECC"/>
    <w:rsid w:val="00DF6046"/>
    <w:rsid w:val="00DF6EA8"/>
    <w:rsid w:val="00DF7000"/>
    <w:rsid w:val="00DF702C"/>
    <w:rsid w:val="00DF7287"/>
    <w:rsid w:val="00DF7404"/>
    <w:rsid w:val="00DF7582"/>
    <w:rsid w:val="00DF78F1"/>
    <w:rsid w:val="00DF7924"/>
    <w:rsid w:val="00DF7E02"/>
    <w:rsid w:val="00E0022E"/>
    <w:rsid w:val="00E00750"/>
    <w:rsid w:val="00E0079A"/>
    <w:rsid w:val="00E007E9"/>
    <w:rsid w:val="00E00967"/>
    <w:rsid w:val="00E00A81"/>
    <w:rsid w:val="00E00BF6"/>
    <w:rsid w:val="00E00D4C"/>
    <w:rsid w:val="00E00E61"/>
    <w:rsid w:val="00E01195"/>
    <w:rsid w:val="00E0172A"/>
    <w:rsid w:val="00E018C4"/>
    <w:rsid w:val="00E01E72"/>
    <w:rsid w:val="00E02198"/>
    <w:rsid w:val="00E02204"/>
    <w:rsid w:val="00E02C10"/>
    <w:rsid w:val="00E03116"/>
    <w:rsid w:val="00E03423"/>
    <w:rsid w:val="00E03F40"/>
    <w:rsid w:val="00E0404B"/>
    <w:rsid w:val="00E04057"/>
    <w:rsid w:val="00E0497C"/>
    <w:rsid w:val="00E04B72"/>
    <w:rsid w:val="00E04BFC"/>
    <w:rsid w:val="00E0508E"/>
    <w:rsid w:val="00E05618"/>
    <w:rsid w:val="00E05F6A"/>
    <w:rsid w:val="00E06458"/>
    <w:rsid w:val="00E06673"/>
    <w:rsid w:val="00E0684B"/>
    <w:rsid w:val="00E072B1"/>
    <w:rsid w:val="00E074AC"/>
    <w:rsid w:val="00E07959"/>
    <w:rsid w:val="00E07A64"/>
    <w:rsid w:val="00E07ECD"/>
    <w:rsid w:val="00E104DB"/>
    <w:rsid w:val="00E1095A"/>
    <w:rsid w:val="00E10A15"/>
    <w:rsid w:val="00E10ACB"/>
    <w:rsid w:val="00E10E49"/>
    <w:rsid w:val="00E11927"/>
    <w:rsid w:val="00E11A59"/>
    <w:rsid w:val="00E11C8C"/>
    <w:rsid w:val="00E11E2B"/>
    <w:rsid w:val="00E1210F"/>
    <w:rsid w:val="00E12273"/>
    <w:rsid w:val="00E1228E"/>
    <w:rsid w:val="00E124E3"/>
    <w:rsid w:val="00E126C1"/>
    <w:rsid w:val="00E127CE"/>
    <w:rsid w:val="00E12A2B"/>
    <w:rsid w:val="00E12C26"/>
    <w:rsid w:val="00E12E16"/>
    <w:rsid w:val="00E13153"/>
    <w:rsid w:val="00E132CD"/>
    <w:rsid w:val="00E1373D"/>
    <w:rsid w:val="00E13D2F"/>
    <w:rsid w:val="00E13D7C"/>
    <w:rsid w:val="00E1425A"/>
    <w:rsid w:val="00E145D8"/>
    <w:rsid w:val="00E146A6"/>
    <w:rsid w:val="00E14B57"/>
    <w:rsid w:val="00E14E9B"/>
    <w:rsid w:val="00E14F1F"/>
    <w:rsid w:val="00E15098"/>
    <w:rsid w:val="00E150E0"/>
    <w:rsid w:val="00E15194"/>
    <w:rsid w:val="00E151A9"/>
    <w:rsid w:val="00E15458"/>
    <w:rsid w:val="00E15518"/>
    <w:rsid w:val="00E15522"/>
    <w:rsid w:val="00E155A8"/>
    <w:rsid w:val="00E15682"/>
    <w:rsid w:val="00E157EC"/>
    <w:rsid w:val="00E15986"/>
    <w:rsid w:val="00E161B8"/>
    <w:rsid w:val="00E1640C"/>
    <w:rsid w:val="00E16511"/>
    <w:rsid w:val="00E167FB"/>
    <w:rsid w:val="00E168A4"/>
    <w:rsid w:val="00E16BBB"/>
    <w:rsid w:val="00E16F8C"/>
    <w:rsid w:val="00E170C0"/>
    <w:rsid w:val="00E172FB"/>
    <w:rsid w:val="00E17587"/>
    <w:rsid w:val="00E1767C"/>
    <w:rsid w:val="00E17969"/>
    <w:rsid w:val="00E20A61"/>
    <w:rsid w:val="00E20C4A"/>
    <w:rsid w:val="00E20C7D"/>
    <w:rsid w:val="00E21182"/>
    <w:rsid w:val="00E215D1"/>
    <w:rsid w:val="00E216D9"/>
    <w:rsid w:val="00E2183D"/>
    <w:rsid w:val="00E21D2D"/>
    <w:rsid w:val="00E224F6"/>
    <w:rsid w:val="00E22774"/>
    <w:rsid w:val="00E2291B"/>
    <w:rsid w:val="00E22EB9"/>
    <w:rsid w:val="00E22EE3"/>
    <w:rsid w:val="00E22EF8"/>
    <w:rsid w:val="00E2308E"/>
    <w:rsid w:val="00E23622"/>
    <w:rsid w:val="00E23ABC"/>
    <w:rsid w:val="00E23BD7"/>
    <w:rsid w:val="00E24B93"/>
    <w:rsid w:val="00E24F4F"/>
    <w:rsid w:val="00E24FFB"/>
    <w:rsid w:val="00E252F9"/>
    <w:rsid w:val="00E254D9"/>
    <w:rsid w:val="00E2570B"/>
    <w:rsid w:val="00E25A84"/>
    <w:rsid w:val="00E25AC9"/>
    <w:rsid w:val="00E26056"/>
    <w:rsid w:val="00E26134"/>
    <w:rsid w:val="00E2633C"/>
    <w:rsid w:val="00E26358"/>
    <w:rsid w:val="00E26963"/>
    <w:rsid w:val="00E26AF2"/>
    <w:rsid w:val="00E271AA"/>
    <w:rsid w:val="00E27A90"/>
    <w:rsid w:val="00E314EA"/>
    <w:rsid w:val="00E31A32"/>
    <w:rsid w:val="00E31C46"/>
    <w:rsid w:val="00E31DFD"/>
    <w:rsid w:val="00E32AAD"/>
    <w:rsid w:val="00E32D80"/>
    <w:rsid w:val="00E32DA8"/>
    <w:rsid w:val="00E32E9B"/>
    <w:rsid w:val="00E3358B"/>
    <w:rsid w:val="00E33596"/>
    <w:rsid w:val="00E33859"/>
    <w:rsid w:val="00E33BF6"/>
    <w:rsid w:val="00E33E3E"/>
    <w:rsid w:val="00E33FBC"/>
    <w:rsid w:val="00E33FFE"/>
    <w:rsid w:val="00E3444E"/>
    <w:rsid w:val="00E34E29"/>
    <w:rsid w:val="00E3512E"/>
    <w:rsid w:val="00E3538C"/>
    <w:rsid w:val="00E35874"/>
    <w:rsid w:val="00E35CAD"/>
    <w:rsid w:val="00E35D11"/>
    <w:rsid w:val="00E35F54"/>
    <w:rsid w:val="00E3621F"/>
    <w:rsid w:val="00E36675"/>
    <w:rsid w:val="00E36B1D"/>
    <w:rsid w:val="00E373AC"/>
    <w:rsid w:val="00E37A48"/>
    <w:rsid w:val="00E37AE6"/>
    <w:rsid w:val="00E37BEA"/>
    <w:rsid w:val="00E37F08"/>
    <w:rsid w:val="00E40758"/>
    <w:rsid w:val="00E4086C"/>
    <w:rsid w:val="00E40A3F"/>
    <w:rsid w:val="00E40B5E"/>
    <w:rsid w:val="00E40F74"/>
    <w:rsid w:val="00E4108C"/>
    <w:rsid w:val="00E4146B"/>
    <w:rsid w:val="00E41A88"/>
    <w:rsid w:val="00E41AF8"/>
    <w:rsid w:val="00E41FE9"/>
    <w:rsid w:val="00E421B3"/>
    <w:rsid w:val="00E423E4"/>
    <w:rsid w:val="00E423E9"/>
    <w:rsid w:val="00E425BA"/>
    <w:rsid w:val="00E42D00"/>
    <w:rsid w:val="00E42F2E"/>
    <w:rsid w:val="00E430DE"/>
    <w:rsid w:val="00E435FB"/>
    <w:rsid w:val="00E437FB"/>
    <w:rsid w:val="00E43A6F"/>
    <w:rsid w:val="00E43C5A"/>
    <w:rsid w:val="00E43CFC"/>
    <w:rsid w:val="00E43F0F"/>
    <w:rsid w:val="00E441C2"/>
    <w:rsid w:val="00E444F6"/>
    <w:rsid w:val="00E44B1D"/>
    <w:rsid w:val="00E44D23"/>
    <w:rsid w:val="00E45564"/>
    <w:rsid w:val="00E45B3B"/>
    <w:rsid w:val="00E45C12"/>
    <w:rsid w:val="00E45CA5"/>
    <w:rsid w:val="00E45CFD"/>
    <w:rsid w:val="00E46192"/>
    <w:rsid w:val="00E46249"/>
    <w:rsid w:val="00E46579"/>
    <w:rsid w:val="00E465B5"/>
    <w:rsid w:val="00E46892"/>
    <w:rsid w:val="00E468AC"/>
    <w:rsid w:val="00E46F84"/>
    <w:rsid w:val="00E4774F"/>
    <w:rsid w:val="00E47D80"/>
    <w:rsid w:val="00E501AB"/>
    <w:rsid w:val="00E50635"/>
    <w:rsid w:val="00E50782"/>
    <w:rsid w:val="00E508EC"/>
    <w:rsid w:val="00E50A21"/>
    <w:rsid w:val="00E50CD6"/>
    <w:rsid w:val="00E50E78"/>
    <w:rsid w:val="00E50EBC"/>
    <w:rsid w:val="00E516BD"/>
    <w:rsid w:val="00E516CB"/>
    <w:rsid w:val="00E5203C"/>
    <w:rsid w:val="00E5245E"/>
    <w:rsid w:val="00E52524"/>
    <w:rsid w:val="00E5284F"/>
    <w:rsid w:val="00E5286E"/>
    <w:rsid w:val="00E52B46"/>
    <w:rsid w:val="00E52BAE"/>
    <w:rsid w:val="00E5329B"/>
    <w:rsid w:val="00E532AD"/>
    <w:rsid w:val="00E53518"/>
    <w:rsid w:val="00E535BA"/>
    <w:rsid w:val="00E53BC6"/>
    <w:rsid w:val="00E53EE3"/>
    <w:rsid w:val="00E540A1"/>
    <w:rsid w:val="00E547A4"/>
    <w:rsid w:val="00E548C3"/>
    <w:rsid w:val="00E54A90"/>
    <w:rsid w:val="00E54B72"/>
    <w:rsid w:val="00E54C1E"/>
    <w:rsid w:val="00E54C95"/>
    <w:rsid w:val="00E54CFB"/>
    <w:rsid w:val="00E54ED9"/>
    <w:rsid w:val="00E5523D"/>
    <w:rsid w:val="00E55AD3"/>
    <w:rsid w:val="00E55B68"/>
    <w:rsid w:val="00E563AC"/>
    <w:rsid w:val="00E56A1C"/>
    <w:rsid w:val="00E56F6D"/>
    <w:rsid w:val="00E570EA"/>
    <w:rsid w:val="00E571E1"/>
    <w:rsid w:val="00E576B9"/>
    <w:rsid w:val="00E576CB"/>
    <w:rsid w:val="00E57AED"/>
    <w:rsid w:val="00E6001A"/>
    <w:rsid w:val="00E60119"/>
    <w:rsid w:val="00E601AC"/>
    <w:rsid w:val="00E602EA"/>
    <w:rsid w:val="00E60664"/>
    <w:rsid w:val="00E61025"/>
    <w:rsid w:val="00E61526"/>
    <w:rsid w:val="00E61581"/>
    <w:rsid w:val="00E619FA"/>
    <w:rsid w:val="00E61C36"/>
    <w:rsid w:val="00E61FC2"/>
    <w:rsid w:val="00E624C4"/>
    <w:rsid w:val="00E627CA"/>
    <w:rsid w:val="00E62DC4"/>
    <w:rsid w:val="00E63220"/>
    <w:rsid w:val="00E63720"/>
    <w:rsid w:val="00E6386B"/>
    <w:rsid w:val="00E6386D"/>
    <w:rsid w:val="00E639D8"/>
    <w:rsid w:val="00E642C5"/>
    <w:rsid w:val="00E64631"/>
    <w:rsid w:val="00E649DC"/>
    <w:rsid w:val="00E6559C"/>
    <w:rsid w:val="00E656B0"/>
    <w:rsid w:val="00E656F1"/>
    <w:rsid w:val="00E65AEF"/>
    <w:rsid w:val="00E65DAF"/>
    <w:rsid w:val="00E66202"/>
    <w:rsid w:val="00E6649F"/>
    <w:rsid w:val="00E664F8"/>
    <w:rsid w:val="00E66692"/>
    <w:rsid w:val="00E6687C"/>
    <w:rsid w:val="00E6736E"/>
    <w:rsid w:val="00E67653"/>
    <w:rsid w:val="00E67703"/>
    <w:rsid w:val="00E67714"/>
    <w:rsid w:val="00E677F3"/>
    <w:rsid w:val="00E67B23"/>
    <w:rsid w:val="00E67BA7"/>
    <w:rsid w:val="00E70392"/>
    <w:rsid w:val="00E70E9D"/>
    <w:rsid w:val="00E710B2"/>
    <w:rsid w:val="00E71288"/>
    <w:rsid w:val="00E714D6"/>
    <w:rsid w:val="00E71953"/>
    <w:rsid w:val="00E71AC3"/>
    <w:rsid w:val="00E721EC"/>
    <w:rsid w:val="00E72257"/>
    <w:rsid w:val="00E730AE"/>
    <w:rsid w:val="00E74090"/>
    <w:rsid w:val="00E742EE"/>
    <w:rsid w:val="00E74431"/>
    <w:rsid w:val="00E74605"/>
    <w:rsid w:val="00E74909"/>
    <w:rsid w:val="00E74BF3"/>
    <w:rsid w:val="00E74F94"/>
    <w:rsid w:val="00E75662"/>
    <w:rsid w:val="00E75ABE"/>
    <w:rsid w:val="00E75EAD"/>
    <w:rsid w:val="00E75F80"/>
    <w:rsid w:val="00E766FD"/>
    <w:rsid w:val="00E769D4"/>
    <w:rsid w:val="00E76B81"/>
    <w:rsid w:val="00E76F50"/>
    <w:rsid w:val="00E770FC"/>
    <w:rsid w:val="00E802FB"/>
    <w:rsid w:val="00E8064C"/>
    <w:rsid w:val="00E80EAE"/>
    <w:rsid w:val="00E816D4"/>
    <w:rsid w:val="00E81DDF"/>
    <w:rsid w:val="00E81FC7"/>
    <w:rsid w:val="00E829ED"/>
    <w:rsid w:val="00E82A3F"/>
    <w:rsid w:val="00E82DCB"/>
    <w:rsid w:val="00E83022"/>
    <w:rsid w:val="00E8308E"/>
    <w:rsid w:val="00E830CB"/>
    <w:rsid w:val="00E83459"/>
    <w:rsid w:val="00E834F7"/>
    <w:rsid w:val="00E837AF"/>
    <w:rsid w:val="00E8382B"/>
    <w:rsid w:val="00E83A07"/>
    <w:rsid w:val="00E850A8"/>
    <w:rsid w:val="00E8533D"/>
    <w:rsid w:val="00E8534E"/>
    <w:rsid w:val="00E85512"/>
    <w:rsid w:val="00E85589"/>
    <w:rsid w:val="00E85B4D"/>
    <w:rsid w:val="00E8618E"/>
    <w:rsid w:val="00E86416"/>
    <w:rsid w:val="00E86933"/>
    <w:rsid w:val="00E86CF6"/>
    <w:rsid w:val="00E8765C"/>
    <w:rsid w:val="00E877D4"/>
    <w:rsid w:val="00E903B3"/>
    <w:rsid w:val="00E90615"/>
    <w:rsid w:val="00E90F56"/>
    <w:rsid w:val="00E90FDD"/>
    <w:rsid w:val="00E911FE"/>
    <w:rsid w:val="00E915D7"/>
    <w:rsid w:val="00E91671"/>
    <w:rsid w:val="00E918A6"/>
    <w:rsid w:val="00E918FE"/>
    <w:rsid w:val="00E91F90"/>
    <w:rsid w:val="00E922F0"/>
    <w:rsid w:val="00E925DD"/>
    <w:rsid w:val="00E92975"/>
    <w:rsid w:val="00E92AB3"/>
    <w:rsid w:val="00E93039"/>
    <w:rsid w:val="00E9328D"/>
    <w:rsid w:val="00E93637"/>
    <w:rsid w:val="00E94125"/>
    <w:rsid w:val="00E949C9"/>
    <w:rsid w:val="00E94B56"/>
    <w:rsid w:val="00E94D03"/>
    <w:rsid w:val="00E94EE8"/>
    <w:rsid w:val="00E95708"/>
    <w:rsid w:val="00E95811"/>
    <w:rsid w:val="00E95939"/>
    <w:rsid w:val="00E95B76"/>
    <w:rsid w:val="00E95BEC"/>
    <w:rsid w:val="00E96229"/>
    <w:rsid w:val="00E96255"/>
    <w:rsid w:val="00E96655"/>
    <w:rsid w:val="00E96B30"/>
    <w:rsid w:val="00E96D34"/>
    <w:rsid w:val="00E96EC0"/>
    <w:rsid w:val="00E9702D"/>
    <w:rsid w:val="00E976C5"/>
    <w:rsid w:val="00E979A2"/>
    <w:rsid w:val="00E97B43"/>
    <w:rsid w:val="00E97C5A"/>
    <w:rsid w:val="00E97DF4"/>
    <w:rsid w:val="00EA01D0"/>
    <w:rsid w:val="00EA0228"/>
    <w:rsid w:val="00EA06EA"/>
    <w:rsid w:val="00EA099D"/>
    <w:rsid w:val="00EA0B14"/>
    <w:rsid w:val="00EA0E54"/>
    <w:rsid w:val="00EA0FE2"/>
    <w:rsid w:val="00EA1238"/>
    <w:rsid w:val="00EA136D"/>
    <w:rsid w:val="00EA138F"/>
    <w:rsid w:val="00EA1413"/>
    <w:rsid w:val="00EA159C"/>
    <w:rsid w:val="00EA16A9"/>
    <w:rsid w:val="00EA1D6F"/>
    <w:rsid w:val="00EA1DBF"/>
    <w:rsid w:val="00EA1E57"/>
    <w:rsid w:val="00EA235F"/>
    <w:rsid w:val="00EA241D"/>
    <w:rsid w:val="00EA2441"/>
    <w:rsid w:val="00EA2B0A"/>
    <w:rsid w:val="00EA2B88"/>
    <w:rsid w:val="00EA2D12"/>
    <w:rsid w:val="00EA2D95"/>
    <w:rsid w:val="00EA35F3"/>
    <w:rsid w:val="00EA380C"/>
    <w:rsid w:val="00EA3E56"/>
    <w:rsid w:val="00EA403B"/>
    <w:rsid w:val="00EA415F"/>
    <w:rsid w:val="00EA4223"/>
    <w:rsid w:val="00EA469F"/>
    <w:rsid w:val="00EA4786"/>
    <w:rsid w:val="00EA4899"/>
    <w:rsid w:val="00EA48EE"/>
    <w:rsid w:val="00EA4A3E"/>
    <w:rsid w:val="00EA572F"/>
    <w:rsid w:val="00EA578E"/>
    <w:rsid w:val="00EA5FFE"/>
    <w:rsid w:val="00EA6525"/>
    <w:rsid w:val="00EA6603"/>
    <w:rsid w:val="00EA6C4D"/>
    <w:rsid w:val="00EA6D0A"/>
    <w:rsid w:val="00EA6E98"/>
    <w:rsid w:val="00EA73B0"/>
    <w:rsid w:val="00EA74E4"/>
    <w:rsid w:val="00EA7F28"/>
    <w:rsid w:val="00EB027E"/>
    <w:rsid w:val="00EB06CF"/>
    <w:rsid w:val="00EB075E"/>
    <w:rsid w:val="00EB0B32"/>
    <w:rsid w:val="00EB1271"/>
    <w:rsid w:val="00EB1827"/>
    <w:rsid w:val="00EB18BD"/>
    <w:rsid w:val="00EB1D2D"/>
    <w:rsid w:val="00EB1DB3"/>
    <w:rsid w:val="00EB1F63"/>
    <w:rsid w:val="00EB1F86"/>
    <w:rsid w:val="00EB207D"/>
    <w:rsid w:val="00EB2409"/>
    <w:rsid w:val="00EB2424"/>
    <w:rsid w:val="00EB2782"/>
    <w:rsid w:val="00EB2793"/>
    <w:rsid w:val="00EB2932"/>
    <w:rsid w:val="00EB2956"/>
    <w:rsid w:val="00EB2C09"/>
    <w:rsid w:val="00EB2ED3"/>
    <w:rsid w:val="00EB3657"/>
    <w:rsid w:val="00EB370D"/>
    <w:rsid w:val="00EB38EA"/>
    <w:rsid w:val="00EB3AB7"/>
    <w:rsid w:val="00EB3CE5"/>
    <w:rsid w:val="00EB3F76"/>
    <w:rsid w:val="00EB43B5"/>
    <w:rsid w:val="00EB466F"/>
    <w:rsid w:val="00EB47B1"/>
    <w:rsid w:val="00EB5340"/>
    <w:rsid w:val="00EB54F8"/>
    <w:rsid w:val="00EB57B5"/>
    <w:rsid w:val="00EB597E"/>
    <w:rsid w:val="00EB5A41"/>
    <w:rsid w:val="00EB5E99"/>
    <w:rsid w:val="00EB62A1"/>
    <w:rsid w:val="00EB643F"/>
    <w:rsid w:val="00EB6C59"/>
    <w:rsid w:val="00EB6D6D"/>
    <w:rsid w:val="00EB767E"/>
    <w:rsid w:val="00EB7690"/>
    <w:rsid w:val="00EB7A20"/>
    <w:rsid w:val="00EB7CE8"/>
    <w:rsid w:val="00EC04D5"/>
    <w:rsid w:val="00EC07AC"/>
    <w:rsid w:val="00EC07CC"/>
    <w:rsid w:val="00EC0BB7"/>
    <w:rsid w:val="00EC0C4F"/>
    <w:rsid w:val="00EC0E65"/>
    <w:rsid w:val="00EC0F2E"/>
    <w:rsid w:val="00EC1125"/>
    <w:rsid w:val="00EC128A"/>
    <w:rsid w:val="00EC1531"/>
    <w:rsid w:val="00EC153B"/>
    <w:rsid w:val="00EC15A7"/>
    <w:rsid w:val="00EC18DE"/>
    <w:rsid w:val="00EC1B55"/>
    <w:rsid w:val="00EC1D50"/>
    <w:rsid w:val="00EC1F7B"/>
    <w:rsid w:val="00EC2001"/>
    <w:rsid w:val="00EC23B1"/>
    <w:rsid w:val="00EC3571"/>
    <w:rsid w:val="00EC36FA"/>
    <w:rsid w:val="00EC37EF"/>
    <w:rsid w:val="00EC3CBC"/>
    <w:rsid w:val="00EC4370"/>
    <w:rsid w:val="00EC44F5"/>
    <w:rsid w:val="00EC479C"/>
    <w:rsid w:val="00EC4A89"/>
    <w:rsid w:val="00EC4C3E"/>
    <w:rsid w:val="00EC4C73"/>
    <w:rsid w:val="00EC4EB5"/>
    <w:rsid w:val="00EC5292"/>
    <w:rsid w:val="00EC558F"/>
    <w:rsid w:val="00EC55D8"/>
    <w:rsid w:val="00EC56EE"/>
    <w:rsid w:val="00EC5B9B"/>
    <w:rsid w:val="00EC5C8B"/>
    <w:rsid w:val="00EC5F14"/>
    <w:rsid w:val="00EC5F21"/>
    <w:rsid w:val="00EC5FEE"/>
    <w:rsid w:val="00EC61EF"/>
    <w:rsid w:val="00EC6412"/>
    <w:rsid w:val="00EC644E"/>
    <w:rsid w:val="00EC6551"/>
    <w:rsid w:val="00EC679E"/>
    <w:rsid w:val="00EC68D7"/>
    <w:rsid w:val="00EC6948"/>
    <w:rsid w:val="00EC6C20"/>
    <w:rsid w:val="00EC6C65"/>
    <w:rsid w:val="00EC6D94"/>
    <w:rsid w:val="00EC7383"/>
    <w:rsid w:val="00EC767F"/>
    <w:rsid w:val="00EC7AA6"/>
    <w:rsid w:val="00EC7B0C"/>
    <w:rsid w:val="00ED02BA"/>
    <w:rsid w:val="00ED078A"/>
    <w:rsid w:val="00ED08FF"/>
    <w:rsid w:val="00ED0C0E"/>
    <w:rsid w:val="00ED0C88"/>
    <w:rsid w:val="00ED0EBA"/>
    <w:rsid w:val="00ED16AD"/>
    <w:rsid w:val="00ED1B83"/>
    <w:rsid w:val="00ED1DF6"/>
    <w:rsid w:val="00ED1EB7"/>
    <w:rsid w:val="00ED2540"/>
    <w:rsid w:val="00ED282F"/>
    <w:rsid w:val="00ED285D"/>
    <w:rsid w:val="00ED2A9A"/>
    <w:rsid w:val="00ED2CE7"/>
    <w:rsid w:val="00ED2F0C"/>
    <w:rsid w:val="00ED314A"/>
    <w:rsid w:val="00ED370C"/>
    <w:rsid w:val="00ED3952"/>
    <w:rsid w:val="00ED3BBA"/>
    <w:rsid w:val="00ED3F9C"/>
    <w:rsid w:val="00ED43F3"/>
    <w:rsid w:val="00ED4583"/>
    <w:rsid w:val="00ED479B"/>
    <w:rsid w:val="00ED5990"/>
    <w:rsid w:val="00ED5E09"/>
    <w:rsid w:val="00ED5FCE"/>
    <w:rsid w:val="00ED70BB"/>
    <w:rsid w:val="00ED72E7"/>
    <w:rsid w:val="00ED766B"/>
    <w:rsid w:val="00ED7D53"/>
    <w:rsid w:val="00ED7F14"/>
    <w:rsid w:val="00EE0124"/>
    <w:rsid w:val="00EE03D5"/>
    <w:rsid w:val="00EE07F0"/>
    <w:rsid w:val="00EE0BFF"/>
    <w:rsid w:val="00EE1041"/>
    <w:rsid w:val="00EE1254"/>
    <w:rsid w:val="00EE1614"/>
    <w:rsid w:val="00EE193A"/>
    <w:rsid w:val="00EE1A2E"/>
    <w:rsid w:val="00EE1CDB"/>
    <w:rsid w:val="00EE1DBD"/>
    <w:rsid w:val="00EE1E57"/>
    <w:rsid w:val="00EE23C0"/>
    <w:rsid w:val="00EE2687"/>
    <w:rsid w:val="00EE26F0"/>
    <w:rsid w:val="00EE2804"/>
    <w:rsid w:val="00EE2C41"/>
    <w:rsid w:val="00EE3152"/>
    <w:rsid w:val="00EE3409"/>
    <w:rsid w:val="00EE36E6"/>
    <w:rsid w:val="00EE39F3"/>
    <w:rsid w:val="00EE3BF2"/>
    <w:rsid w:val="00EE3DC5"/>
    <w:rsid w:val="00EE3E9C"/>
    <w:rsid w:val="00EE4170"/>
    <w:rsid w:val="00EE4A59"/>
    <w:rsid w:val="00EE4AAF"/>
    <w:rsid w:val="00EE589C"/>
    <w:rsid w:val="00EE6486"/>
    <w:rsid w:val="00EE6EEA"/>
    <w:rsid w:val="00EE7418"/>
    <w:rsid w:val="00EE74EC"/>
    <w:rsid w:val="00EE7564"/>
    <w:rsid w:val="00EE7911"/>
    <w:rsid w:val="00EE7F49"/>
    <w:rsid w:val="00EF00FF"/>
    <w:rsid w:val="00EF016F"/>
    <w:rsid w:val="00EF044E"/>
    <w:rsid w:val="00EF0547"/>
    <w:rsid w:val="00EF093A"/>
    <w:rsid w:val="00EF0974"/>
    <w:rsid w:val="00EF0CAD"/>
    <w:rsid w:val="00EF16F0"/>
    <w:rsid w:val="00EF19AA"/>
    <w:rsid w:val="00EF1B38"/>
    <w:rsid w:val="00EF1CC1"/>
    <w:rsid w:val="00EF1F3B"/>
    <w:rsid w:val="00EF234E"/>
    <w:rsid w:val="00EF2F26"/>
    <w:rsid w:val="00EF2F9C"/>
    <w:rsid w:val="00EF3B21"/>
    <w:rsid w:val="00EF44A1"/>
    <w:rsid w:val="00EF530A"/>
    <w:rsid w:val="00EF544F"/>
    <w:rsid w:val="00EF5DE0"/>
    <w:rsid w:val="00EF6084"/>
    <w:rsid w:val="00EF638C"/>
    <w:rsid w:val="00EF6CC9"/>
    <w:rsid w:val="00EF775F"/>
    <w:rsid w:val="00EF78A4"/>
    <w:rsid w:val="00EF7A13"/>
    <w:rsid w:val="00F006D8"/>
    <w:rsid w:val="00F008A8"/>
    <w:rsid w:val="00F00BF6"/>
    <w:rsid w:val="00F00C1A"/>
    <w:rsid w:val="00F0184C"/>
    <w:rsid w:val="00F018E7"/>
    <w:rsid w:val="00F01905"/>
    <w:rsid w:val="00F01A52"/>
    <w:rsid w:val="00F01DC4"/>
    <w:rsid w:val="00F01F88"/>
    <w:rsid w:val="00F01F9F"/>
    <w:rsid w:val="00F02D34"/>
    <w:rsid w:val="00F02E5C"/>
    <w:rsid w:val="00F03694"/>
    <w:rsid w:val="00F03EB0"/>
    <w:rsid w:val="00F041F3"/>
    <w:rsid w:val="00F044EA"/>
    <w:rsid w:val="00F046B9"/>
    <w:rsid w:val="00F049E4"/>
    <w:rsid w:val="00F04A62"/>
    <w:rsid w:val="00F04E91"/>
    <w:rsid w:val="00F056FC"/>
    <w:rsid w:val="00F05F33"/>
    <w:rsid w:val="00F05FAE"/>
    <w:rsid w:val="00F061D6"/>
    <w:rsid w:val="00F068C1"/>
    <w:rsid w:val="00F069AF"/>
    <w:rsid w:val="00F06DAA"/>
    <w:rsid w:val="00F07993"/>
    <w:rsid w:val="00F10AB2"/>
    <w:rsid w:val="00F10AFF"/>
    <w:rsid w:val="00F10E9E"/>
    <w:rsid w:val="00F11229"/>
    <w:rsid w:val="00F11358"/>
    <w:rsid w:val="00F117CF"/>
    <w:rsid w:val="00F11A34"/>
    <w:rsid w:val="00F11A5A"/>
    <w:rsid w:val="00F11EBB"/>
    <w:rsid w:val="00F12263"/>
    <w:rsid w:val="00F1270F"/>
    <w:rsid w:val="00F12831"/>
    <w:rsid w:val="00F1289D"/>
    <w:rsid w:val="00F1297F"/>
    <w:rsid w:val="00F12C0E"/>
    <w:rsid w:val="00F12D5C"/>
    <w:rsid w:val="00F13018"/>
    <w:rsid w:val="00F130E4"/>
    <w:rsid w:val="00F13212"/>
    <w:rsid w:val="00F13247"/>
    <w:rsid w:val="00F132DA"/>
    <w:rsid w:val="00F13407"/>
    <w:rsid w:val="00F13423"/>
    <w:rsid w:val="00F1365D"/>
    <w:rsid w:val="00F13FB3"/>
    <w:rsid w:val="00F1434F"/>
    <w:rsid w:val="00F14692"/>
    <w:rsid w:val="00F148C4"/>
    <w:rsid w:val="00F14926"/>
    <w:rsid w:val="00F14CED"/>
    <w:rsid w:val="00F14EA1"/>
    <w:rsid w:val="00F15321"/>
    <w:rsid w:val="00F15458"/>
    <w:rsid w:val="00F1558A"/>
    <w:rsid w:val="00F15B58"/>
    <w:rsid w:val="00F15CA7"/>
    <w:rsid w:val="00F1653C"/>
    <w:rsid w:val="00F16848"/>
    <w:rsid w:val="00F16D0C"/>
    <w:rsid w:val="00F17187"/>
    <w:rsid w:val="00F2005D"/>
    <w:rsid w:val="00F20851"/>
    <w:rsid w:val="00F20903"/>
    <w:rsid w:val="00F20940"/>
    <w:rsid w:val="00F20BB1"/>
    <w:rsid w:val="00F20BB9"/>
    <w:rsid w:val="00F20C93"/>
    <w:rsid w:val="00F21625"/>
    <w:rsid w:val="00F2167F"/>
    <w:rsid w:val="00F218A6"/>
    <w:rsid w:val="00F21A8C"/>
    <w:rsid w:val="00F21EC6"/>
    <w:rsid w:val="00F21F5B"/>
    <w:rsid w:val="00F22696"/>
    <w:rsid w:val="00F22B91"/>
    <w:rsid w:val="00F22BEA"/>
    <w:rsid w:val="00F22ECA"/>
    <w:rsid w:val="00F22F51"/>
    <w:rsid w:val="00F23758"/>
    <w:rsid w:val="00F237C2"/>
    <w:rsid w:val="00F2394D"/>
    <w:rsid w:val="00F23985"/>
    <w:rsid w:val="00F23C0F"/>
    <w:rsid w:val="00F23DEE"/>
    <w:rsid w:val="00F243F7"/>
    <w:rsid w:val="00F24A82"/>
    <w:rsid w:val="00F24CAB"/>
    <w:rsid w:val="00F256B2"/>
    <w:rsid w:val="00F25936"/>
    <w:rsid w:val="00F25A9A"/>
    <w:rsid w:val="00F25ADE"/>
    <w:rsid w:val="00F2621A"/>
    <w:rsid w:val="00F26472"/>
    <w:rsid w:val="00F26960"/>
    <w:rsid w:val="00F269BA"/>
    <w:rsid w:val="00F271CC"/>
    <w:rsid w:val="00F2771D"/>
    <w:rsid w:val="00F279BB"/>
    <w:rsid w:val="00F27A2D"/>
    <w:rsid w:val="00F27C26"/>
    <w:rsid w:val="00F30035"/>
    <w:rsid w:val="00F3035E"/>
    <w:rsid w:val="00F3049E"/>
    <w:rsid w:val="00F30570"/>
    <w:rsid w:val="00F3085D"/>
    <w:rsid w:val="00F3095A"/>
    <w:rsid w:val="00F3097D"/>
    <w:rsid w:val="00F30B73"/>
    <w:rsid w:val="00F30E34"/>
    <w:rsid w:val="00F310E9"/>
    <w:rsid w:val="00F314B2"/>
    <w:rsid w:val="00F315F4"/>
    <w:rsid w:val="00F3176C"/>
    <w:rsid w:val="00F31958"/>
    <w:rsid w:val="00F32A4E"/>
    <w:rsid w:val="00F32AD1"/>
    <w:rsid w:val="00F33121"/>
    <w:rsid w:val="00F33346"/>
    <w:rsid w:val="00F336CF"/>
    <w:rsid w:val="00F3376F"/>
    <w:rsid w:val="00F339B3"/>
    <w:rsid w:val="00F33E17"/>
    <w:rsid w:val="00F34101"/>
    <w:rsid w:val="00F34379"/>
    <w:rsid w:val="00F344B5"/>
    <w:rsid w:val="00F3477A"/>
    <w:rsid w:val="00F347EB"/>
    <w:rsid w:val="00F347F1"/>
    <w:rsid w:val="00F348CC"/>
    <w:rsid w:val="00F34FA2"/>
    <w:rsid w:val="00F35172"/>
    <w:rsid w:val="00F351CD"/>
    <w:rsid w:val="00F351CE"/>
    <w:rsid w:val="00F3522E"/>
    <w:rsid w:val="00F35255"/>
    <w:rsid w:val="00F3598E"/>
    <w:rsid w:val="00F35CE0"/>
    <w:rsid w:val="00F35E05"/>
    <w:rsid w:val="00F35E32"/>
    <w:rsid w:val="00F362E8"/>
    <w:rsid w:val="00F36AE8"/>
    <w:rsid w:val="00F371F4"/>
    <w:rsid w:val="00F3742B"/>
    <w:rsid w:val="00F3748E"/>
    <w:rsid w:val="00F37A10"/>
    <w:rsid w:val="00F37E9B"/>
    <w:rsid w:val="00F37FAF"/>
    <w:rsid w:val="00F404EF"/>
    <w:rsid w:val="00F407B9"/>
    <w:rsid w:val="00F40CF1"/>
    <w:rsid w:val="00F41072"/>
    <w:rsid w:val="00F41074"/>
    <w:rsid w:val="00F410D8"/>
    <w:rsid w:val="00F413C6"/>
    <w:rsid w:val="00F417EB"/>
    <w:rsid w:val="00F41D57"/>
    <w:rsid w:val="00F41D63"/>
    <w:rsid w:val="00F41D8D"/>
    <w:rsid w:val="00F41F78"/>
    <w:rsid w:val="00F42001"/>
    <w:rsid w:val="00F420FB"/>
    <w:rsid w:val="00F4219F"/>
    <w:rsid w:val="00F4282F"/>
    <w:rsid w:val="00F42B25"/>
    <w:rsid w:val="00F42C86"/>
    <w:rsid w:val="00F43491"/>
    <w:rsid w:val="00F4360A"/>
    <w:rsid w:val="00F43653"/>
    <w:rsid w:val="00F43707"/>
    <w:rsid w:val="00F43829"/>
    <w:rsid w:val="00F43B38"/>
    <w:rsid w:val="00F43C0F"/>
    <w:rsid w:val="00F43EA1"/>
    <w:rsid w:val="00F4406B"/>
    <w:rsid w:val="00F442C4"/>
    <w:rsid w:val="00F44512"/>
    <w:rsid w:val="00F44691"/>
    <w:rsid w:val="00F447A9"/>
    <w:rsid w:val="00F448C4"/>
    <w:rsid w:val="00F44BEE"/>
    <w:rsid w:val="00F44D32"/>
    <w:rsid w:val="00F44E43"/>
    <w:rsid w:val="00F45185"/>
    <w:rsid w:val="00F452E4"/>
    <w:rsid w:val="00F453CF"/>
    <w:rsid w:val="00F45553"/>
    <w:rsid w:val="00F455FC"/>
    <w:rsid w:val="00F4574F"/>
    <w:rsid w:val="00F4587A"/>
    <w:rsid w:val="00F46475"/>
    <w:rsid w:val="00F464DE"/>
    <w:rsid w:val="00F4662E"/>
    <w:rsid w:val="00F478F2"/>
    <w:rsid w:val="00F501BD"/>
    <w:rsid w:val="00F501EA"/>
    <w:rsid w:val="00F504D6"/>
    <w:rsid w:val="00F50798"/>
    <w:rsid w:val="00F50F9A"/>
    <w:rsid w:val="00F51088"/>
    <w:rsid w:val="00F51474"/>
    <w:rsid w:val="00F517F3"/>
    <w:rsid w:val="00F51870"/>
    <w:rsid w:val="00F518F4"/>
    <w:rsid w:val="00F51A5F"/>
    <w:rsid w:val="00F51C71"/>
    <w:rsid w:val="00F51DFC"/>
    <w:rsid w:val="00F51FBD"/>
    <w:rsid w:val="00F52AB8"/>
    <w:rsid w:val="00F52E19"/>
    <w:rsid w:val="00F5348D"/>
    <w:rsid w:val="00F53666"/>
    <w:rsid w:val="00F53885"/>
    <w:rsid w:val="00F53B7E"/>
    <w:rsid w:val="00F53D2D"/>
    <w:rsid w:val="00F541C8"/>
    <w:rsid w:val="00F5429E"/>
    <w:rsid w:val="00F54432"/>
    <w:rsid w:val="00F54511"/>
    <w:rsid w:val="00F54BB6"/>
    <w:rsid w:val="00F54D2B"/>
    <w:rsid w:val="00F54E0F"/>
    <w:rsid w:val="00F54EE0"/>
    <w:rsid w:val="00F550CA"/>
    <w:rsid w:val="00F5516C"/>
    <w:rsid w:val="00F554D9"/>
    <w:rsid w:val="00F558B0"/>
    <w:rsid w:val="00F55959"/>
    <w:rsid w:val="00F56125"/>
    <w:rsid w:val="00F561BA"/>
    <w:rsid w:val="00F563F0"/>
    <w:rsid w:val="00F56678"/>
    <w:rsid w:val="00F56987"/>
    <w:rsid w:val="00F56BC2"/>
    <w:rsid w:val="00F5725C"/>
    <w:rsid w:val="00F57668"/>
    <w:rsid w:val="00F5785B"/>
    <w:rsid w:val="00F57B95"/>
    <w:rsid w:val="00F6003E"/>
    <w:rsid w:val="00F60250"/>
    <w:rsid w:val="00F603A9"/>
    <w:rsid w:val="00F607A7"/>
    <w:rsid w:val="00F609BD"/>
    <w:rsid w:val="00F609CC"/>
    <w:rsid w:val="00F60CBC"/>
    <w:rsid w:val="00F61420"/>
    <w:rsid w:val="00F614D9"/>
    <w:rsid w:val="00F61529"/>
    <w:rsid w:val="00F61747"/>
    <w:rsid w:val="00F61EA2"/>
    <w:rsid w:val="00F61F72"/>
    <w:rsid w:val="00F6220E"/>
    <w:rsid w:val="00F62CC2"/>
    <w:rsid w:val="00F62F3A"/>
    <w:rsid w:val="00F6356F"/>
    <w:rsid w:val="00F63721"/>
    <w:rsid w:val="00F63916"/>
    <w:rsid w:val="00F641A8"/>
    <w:rsid w:val="00F644F9"/>
    <w:rsid w:val="00F649D1"/>
    <w:rsid w:val="00F64D48"/>
    <w:rsid w:val="00F64DD3"/>
    <w:rsid w:val="00F653E1"/>
    <w:rsid w:val="00F657C6"/>
    <w:rsid w:val="00F65990"/>
    <w:rsid w:val="00F66562"/>
    <w:rsid w:val="00F66692"/>
    <w:rsid w:val="00F668CF"/>
    <w:rsid w:val="00F66B04"/>
    <w:rsid w:val="00F66C65"/>
    <w:rsid w:val="00F66D29"/>
    <w:rsid w:val="00F66D9F"/>
    <w:rsid w:val="00F7025B"/>
    <w:rsid w:val="00F70271"/>
    <w:rsid w:val="00F70805"/>
    <w:rsid w:val="00F708CE"/>
    <w:rsid w:val="00F70C98"/>
    <w:rsid w:val="00F70EAE"/>
    <w:rsid w:val="00F710A0"/>
    <w:rsid w:val="00F710B4"/>
    <w:rsid w:val="00F717ED"/>
    <w:rsid w:val="00F719A1"/>
    <w:rsid w:val="00F71E98"/>
    <w:rsid w:val="00F72192"/>
    <w:rsid w:val="00F722B1"/>
    <w:rsid w:val="00F7242A"/>
    <w:rsid w:val="00F7266A"/>
    <w:rsid w:val="00F72693"/>
    <w:rsid w:val="00F7293B"/>
    <w:rsid w:val="00F72949"/>
    <w:rsid w:val="00F72AE3"/>
    <w:rsid w:val="00F73182"/>
    <w:rsid w:val="00F73877"/>
    <w:rsid w:val="00F73898"/>
    <w:rsid w:val="00F7390A"/>
    <w:rsid w:val="00F73BCD"/>
    <w:rsid w:val="00F73E23"/>
    <w:rsid w:val="00F7411A"/>
    <w:rsid w:val="00F7413F"/>
    <w:rsid w:val="00F74323"/>
    <w:rsid w:val="00F74432"/>
    <w:rsid w:val="00F74E8D"/>
    <w:rsid w:val="00F7507C"/>
    <w:rsid w:val="00F753E4"/>
    <w:rsid w:val="00F757BD"/>
    <w:rsid w:val="00F75C80"/>
    <w:rsid w:val="00F75C8A"/>
    <w:rsid w:val="00F75CBD"/>
    <w:rsid w:val="00F76226"/>
    <w:rsid w:val="00F7641D"/>
    <w:rsid w:val="00F767D5"/>
    <w:rsid w:val="00F77717"/>
    <w:rsid w:val="00F77B70"/>
    <w:rsid w:val="00F77C7F"/>
    <w:rsid w:val="00F77C8D"/>
    <w:rsid w:val="00F77E6F"/>
    <w:rsid w:val="00F77ECF"/>
    <w:rsid w:val="00F80275"/>
    <w:rsid w:val="00F8028D"/>
    <w:rsid w:val="00F80689"/>
    <w:rsid w:val="00F807A7"/>
    <w:rsid w:val="00F81681"/>
    <w:rsid w:val="00F816F0"/>
    <w:rsid w:val="00F81808"/>
    <w:rsid w:val="00F81856"/>
    <w:rsid w:val="00F822FD"/>
    <w:rsid w:val="00F82391"/>
    <w:rsid w:val="00F83319"/>
    <w:rsid w:val="00F83AA5"/>
    <w:rsid w:val="00F83E0D"/>
    <w:rsid w:val="00F84224"/>
    <w:rsid w:val="00F84395"/>
    <w:rsid w:val="00F84557"/>
    <w:rsid w:val="00F848C5"/>
    <w:rsid w:val="00F84964"/>
    <w:rsid w:val="00F849AE"/>
    <w:rsid w:val="00F8502C"/>
    <w:rsid w:val="00F85274"/>
    <w:rsid w:val="00F853A9"/>
    <w:rsid w:val="00F85718"/>
    <w:rsid w:val="00F8633D"/>
    <w:rsid w:val="00F867B6"/>
    <w:rsid w:val="00F86934"/>
    <w:rsid w:val="00F86DD7"/>
    <w:rsid w:val="00F86E29"/>
    <w:rsid w:val="00F870A4"/>
    <w:rsid w:val="00F8776A"/>
    <w:rsid w:val="00F87948"/>
    <w:rsid w:val="00F87BB2"/>
    <w:rsid w:val="00F87FC7"/>
    <w:rsid w:val="00F90195"/>
    <w:rsid w:val="00F906B5"/>
    <w:rsid w:val="00F90865"/>
    <w:rsid w:val="00F90977"/>
    <w:rsid w:val="00F90D12"/>
    <w:rsid w:val="00F90E64"/>
    <w:rsid w:val="00F91665"/>
    <w:rsid w:val="00F91BF3"/>
    <w:rsid w:val="00F92052"/>
    <w:rsid w:val="00F92216"/>
    <w:rsid w:val="00F924CD"/>
    <w:rsid w:val="00F92767"/>
    <w:rsid w:val="00F92B52"/>
    <w:rsid w:val="00F93101"/>
    <w:rsid w:val="00F9352D"/>
    <w:rsid w:val="00F936BA"/>
    <w:rsid w:val="00F93B00"/>
    <w:rsid w:val="00F93DA2"/>
    <w:rsid w:val="00F944B9"/>
    <w:rsid w:val="00F94895"/>
    <w:rsid w:val="00F94BB0"/>
    <w:rsid w:val="00F94D40"/>
    <w:rsid w:val="00F95059"/>
    <w:rsid w:val="00F9513A"/>
    <w:rsid w:val="00F9562D"/>
    <w:rsid w:val="00F95930"/>
    <w:rsid w:val="00F95D1E"/>
    <w:rsid w:val="00F95F74"/>
    <w:rsid w:val="00F963A1"/>
    <w:rsid w:val="00F96474"/>
    <w:rsid w:val="00F96581"/>
    <w:rsid w:val="00F9664B"/>
    <w:rsid w:val="00F969FE"/>
    <w:rsid w:val="00F96DE2"/>
    <w:rsid w:val="00F9721A"/>
    <w:rsid w:val="00F97A4B"/>
    <w:rsid w:val="00F97ABC"/>
    <w:rsid w:val="00FA0035"/>
    <w:rsid w:val="00FA0060"/>
    <w:rsid w:val="00FA0783"/>
    <w:rsid w:val="00FA0848"/>
    <w:rsid w:val="00FA0858"/>
    <w:rsid w:val="00FA0A0E"/>
    <w:rsid w:val="00FA0A37"/>
    <w:rsid w:val="00FA0AC3"/>
    <w:rsid w:val="00FA0F49"/>
    <w:rsid w:val="00FA1611"/>
    <w:rsid w:val="00FA1EA8"/>
    <w:rsid w:val="00FA1EC0"/>
    <w:rsid w:val="00FA1F40"/>
    <w:rsid w:val="00FA22CF"/>
    <w:rsid w:val="00FA328A"/>
    <w:rsid w:val="00FA33E5"/>
    <w:rsid w:val="00FA38ED"/>
    <w:rsid w:val="00FA3AA8"/>
    <w:rsid w:val="00FA40BA"/>
    <w:rsid w:val="00FA4165"/>
    <w:rsid w:val="00FA421C"/>
    <w:rsid w:val="00FA443D"/>
    <w:rsid w:val="00FA4C27"/>
    <w:rsid w:val="00FA4D0C"/>
    <w:rsid w:val="00FA506B"/>
    <w:rsid w:val="00FA5584"/>
    <w:rsid w:val="00FA5626"/>
    <w:rsid w:val="00FA56F2"/>
    <w:rsid w:val="00FA5A6A"/>
    <w:rsid w:val="00FA5F9C"/>
    <w:rsid w:val="00FA631A"/>
    <w:rsid w:val="00FA66B7"/>
    <w:rsid w:val="00FA671E"/>
    <w:rsid w:val="00FA69C7"/>
    <w:rsid w:val="00FA6CAC"/>
    <w:rsid w:val="00FA6FD7"/>
    <w:rsid w:val="00FA7203"/>
    <w:rsid w:val="00FA774E"/>
    <w:rsid w:val="00FA7B46"/>
    <w:rsid w:val="00FB0194"/>
    <w:rsid w:val="00FB024B"/>
    <w:rsid w:val="00FB0910"/>
    <w:rsid w:val="00FB14F2"/>
    <w:rsid w:val="00FB1863"/>
    <w:rsid w:val="00FB1B8F"/>
    <w:rsid w:val="00FB1CE3"/>
    <w:rsid w:val="00FB1E29"/>
    <w:rsid w:val="00FB1ED4"/>
    <w:rsid w:val="00FB22F6"/>
    <w:rsid w:val="00FB28F9"/>
    <w:rsid w:val="00FB3705"/>
    <w:rsid w:val="00FB3917"/>
    <w:rsid w:val="00FB3D83"/>
    <w:rsid w:val="00FB3F42"/>
    <w:rsid w:val="00FB466A"/>
    <w:rsid w:val="00FB4F37"/>
    <w:rsid w:val="00FB5C57"/>
    <w:rsid w:val="00FB5FF8"/>
    <w:rsid w:val="00FB6176"/>
    <w:rsid w:val="00FB66CB"/>
    <w:rsid w:val="00FB6D5A"/>
    <w:rsid w:val="00FB6DA1"/>
    <w:rsid w:val="00FB6EFA"/>
    <w:rsid w:val="00FB70B9"/>
    <w:rsid w:val="00FB7556"/>
    <w:rsid w:val="00FB7772"/>
    <w:rsid w:val="00FB7A60"/>
    <w:rsid w:val="00FC0357"/>
    <w:rsid w:val="00FC054A"/>
    <w:rsid w:val="00FC0700"/>
    <w:rsid w:val="00FC0B7C"/>
    <w:rsid w:val="00FC0BB1"/>
    <w:rsid w:val="00FC0C16"/>
    <w:rsid w:val="00FC0C3F"/>
    <w:rsid w:val="00FC1252"/>
    <w:rsid w:val="00FC15F1"/>
    <w:rsid w:val="00FC169A"/>
    <w:rsid w:val="00FC1BC1"/>
    <w:rsid w:val="00FC1D75"/>
    <w:rsid w:val="00FC1E3A"/>
    <w:rsid w:val="00FC1FE7"/>
    <w:rsid w:val="00FC2123"/>
    <w:rsid w:val="00FC2592"/>
    <w:rsid w:val="00FC2631"/>
    <w:rsid w:val="00FC2C5F"/>
    <w:rsid w:val="00FC3472"/>
    <w:rsid w:val="00FC35A3"/>
    <w:rsid w:val="00FC36C1"/>
    <w:rsid w:val="00FC3CC8"/>
    <w:rsid w:val="00FC4161"/>
    <w:rsid w:val="00FC4491"/>
    <w:rsid w:val="00FC49D2"/>
    <w:rsid w:val="00FC5101"/>
    <w:rsid w:val="00FC53A3"/>
    <w:rsid w:val="00FC56F1"/>
    <w:rsid w:val="00FC5A78"/>
    <w:rsid w:val="00FC5D66"/>
    <w:rsid w:val="00FC5D76"/>
    <w:rsid w:val="00FC5EA6"/>
    <w:rsid w:val="00FC61A0"/>
    <w:rsid w:val="00FC62C9"/>
    <w:rsid w:val="00FC6551"/>
    <w:rsid w:val="00FC6A08"/>
    <w:rsid w:val="00FC6B3E"/>
    <w:rsid w:val="00FC6BB0"/>
    <w:rsid w:val="00FC6C7A"/>
    <w:rsid w:val="00FC79AF"/>
    <w:rsid w:val="00FC7B7F"/>
    <w:rsid w:val="00FC7B94"/>
    <w:rsid w:val="00FD0115"/>
    <w:rsid w:val="00FD0441"/>
    <w:rsid w:val="00FD0526"/>
    <w:rsid w:val="00FD0705"/>
    <w:rsid w:val="00FD0971"/>
    <w:rsid w:val="00FD1516"/>
    <w:rsid w:val="00FD15D3"/>
    <w:rsid w:val="00FD1DAE"/>
    <w:rsid w:val="00FD2391"/>
    <w:rsid w:val="00FD2852"/>
    <w:rsid w:val="00FD285C"/>
    <w:rsid w:val="00FD2B8D"/>
    <w:rsid w:val="00FD3238"/>
    <w:rsid w:val="00FD34D7"/>
    <w:rsid w:val="00FD3570"/>
    <w:rsid w:val="00FD37D8"/>
    <w:rsid w:val="00FD42B2"/>
    <w:rsid w:val="00FD44A8"/>
    <w:rsid w:val="00FD4AB5"/>
    <w:rsid w:val="00FD5378"/>
    <w:rsid w:val="00FD5848"/>
    <w:rsid w:val="00FD591A"/>
    <w:rsid w:val="00FD597B"/>
    <w:rsid w:val="00FD597C"/>
    <w:rsid w:val="00FD5D12"/>
    <w:rsid w:val="00FD5E03"/>
    <w:rsid w:val="00FD5F0A"/>
    <w:rsid w:val="00FD605E"/>
    <w:rsid w:val="00FD63B7"/>
    <w:rsid w:val="00FD659D"/>
    <w:rsid w:val="00FD6668"/>
    <w:rsid w:val="00FD682E"/>
    <w:rsid w:val="00FD6E70"/>
    <w:rsid w:val="00FD7A5A"/>
    <w:rsid w:val="00FD7AEC"/>
    <w:rsid w:val="00FD7EAF"/>
    <w:rsid w:val="00FD7F4D"/>
    <w:rsid w:val="00FE0053"/>
    <w:rsid w:val="00FE0372"/>
    <w:rsid w:val="00FE04A8"/>
    <w:rsid w:val="00FE057A"/>
    <w:rsid w:val="00FE07AB"/>
    <w:rsid w:val="00FE08C1"/>
    <w:rsid w:val="00FE0955"/>
    <w:rsid w:val="00FE13A6"/>
    <w:rsid w:val="00FE1712"/>
    <w:rsid w:val="00FE1908"/>
    <w:rsid w:val="00FE1A8C"/>
    <w:rsid w:val="00FE1C2A"/>
    <w:rsid w:val="00FE1C8B"/>
    <w:rsid w:val="00FE2543"/>
    <w:rsid w:val="00FE257B"/>
    <w:rsid w:val="00FE286E"/>
    <w:rsid w:val="00FE2957"/>
    <w:rsid w:val="00FE2BF7"/>
    <w:rsid w:val="00FE2D2B"/>
    <w:rsid w:val="00FE3169"/>
    <w:rsid w:val="00FE33F8"/>
    <w:rsid w:val="00FE35F5"/>
    <w:rsid w:val="00FE3B17"/>
    <w:rsid w:val="00FE3FD1"/>
    <w:rsid w:val="00FE4427"/>
    <w:rsid w:val="00FE4640"/>
    <w:rsid w:val="00FE47BE"/>
    <w:rsid w:val="00FE47DA"/>
    <w:rsid w:val="00FE4820"/>
    <w:rsid w:val="00FE484B"/>
    <w:rsid w:val="00FE49D8"/>
    <w:rsid w:val="00FE4A27"/>
    <w:rsid w:val="00FE4B7C"/>
    <w:rsid w:val="00FE4BCE"/>
    <w:rsid w:val="00FE4C5E"/>
    <w:rsid w:val="00FE4DA6"/>
    <w:rsid w:val="00FE505B"/>
    <w:rsid w:val="00FE50B1"/>
    <w:rsid w:val="00FE5276"/>
    <w:rsid w:val="00FE5385"/>
    <w:rsid w:val="00FE5469"/>
    <w:rsid w:val="00FE58F0"/>
    <w:rsid w:val="00FE5A09"/>
    <w:rsid w:val="00FE60F5"/>
    <w:rsid w:val="00FE627C"/>
    <w:rsid w:val="00FE643D"/>
    <w:rsid w:val="00FE6703"/>
    <w:rsid w:val="00FE672C"/>
    <w:rsid w:val="00FE72A3"/>
    <w:rsid w:val="00FE731C"/>
    <w:rsid w:val="00FE73D7"/>
    <w:rsid w:val="00FE76F8"/>
    <w:rsid w:val="00FE7A06"/>
    <w:rsid w:val="00FE7C89"/>
    <w:rsid w:val="00FE7CA0"/>
    <w:rsid w:val="00FE7ED4"/>
    <w:rsid w:val="00FF0519"/>
    <w:rsid w:val="00FF0C7A"/>
    <w:rsid w:val="00FF0D70"/>
    <w:rsid w:val="00FF0E93"/>
    <w:rsid w:val="00FF11BA"/>
    <w:rsid w:val="00FF14B7"/>
    <w:rsid w:val="00FF1574"/>
    <w:rsid w:val="00FF1657"/>
    <w:rsid w:val="00FF1686"/>
    <w:rsid w:val="00FF18A7"/>
    <w:rsid w:val="00FF1CAB"/>
    <w:rsid w:val="00FF1DFF"/>
    <w:rsid w:val="00FF2112"/>
    <w:rsid w:val="00FF2169"/>
    <w:rsid w:val="00FF2558"/>
    <w:rsid w:val="00FF28F9"/>
    <w:rsid w:val="00FF290A"/>
    <w:rsid w:val="00FF2B16"/>
    <w:rsid w:val="00FF2FDB"/>
    <w:rsid w:val="00FF30A3"/>
    <w:rsid w:val="00FF3225"/>
    <w:rsid w:val="00FF35D3"/>
    <w:rsid w:val="00FF4448"/>
    <w:rsid w:val="00FF4631"/>
    <w:rsid w:val="00FF4992"/>
    <w:rsid w:val="00FF4A5A"/>
    <w:rsid w:val="00FF511D"/>
    <w:rsid w:val="00FF5CC2"/>
    <w:rsid w:val="00FF648C"/>
    <w:rsid w:val="00FF655B"/>
    <w:rsid w:val="00FF6565"/>
    <w:rsid w:val="00FF6655"/>
    <w:rsid w:val="00FF694D"/>
    <w:rsid w:val="00FF6A2D"/>
    <w:rsid w:val="00FF6D13"/>
    <w:rsid w:val="00FF6DC0"/>
    <w:rsid w:val="00FF6E92"/>
    <w:rsid w:val="00FF72B5"/>
    <w:rsid w:val="00FF7544"/>
    <w:rsid w:val="00FF7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5910B"/>
  <w15:chartTrackingRefBased/>
  <w15:docId w15:val="{993F8FAF-395B-4B6B-8558-A99B8B50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814"/>
    <w:pPr>
      <w:spacing w:after="200" w:line="276" w:lineRule="auto"/>
    </w:pPr>
    <w:rPr>
      <w:lang w:val="ru-RU"/>
    </w:rPr>
  </w:style>
  <w:style w:type="paragraph" w:styleId="Heading1">
    <w:name w:val="heading 1"/>
    <w:basedOn w:val="Normal"/>
    <w:next w:val="Normal"/>
    <w:link w:val="Heading1Char"/>
    <w:uiPriority w:val="9"/>
    <w:qFormat/>
    <w:rsid w:val="00CD24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12C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53C7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2181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
    <w:name w:val="cp"/>
    <w:basedOn w:val="Normal"/>
    <w:rsid w:val="003236D5"/>
    <w:pPr>
      <w:spacing w:after="0" w:line="240" w:lineRule="auto"/>
      <w:jc w:val="center"/>
    </w:pPr>
    <w:rPr>
      <w:rFonts w:ascii="Times New Roman" w:eastAsia="Times New Roman" w:hAnsi="Times New Roman" w:cs="Times New Roman"/>
      <w:b/>
      <w:bCs/>
      <w:sz w:val="24"/>
      <w:szCs w:val="24"/>
      <w:lang w:eastAsia="ru-RU"/>
    </w:rPr>
  </w:style>
  <w:style w:type="character" w:styleId="HTMLSample">
    <w:name w:val="HTML Sample"/>
    <w:basedOn w:val="DefaultParagraphFont"/>
    <w:uiPriority w:val="99"/>
    <w:rsid w:val="003236D5"/>
    <w:rPr>
      <w:rFonts w:ascii="Courier New" w:hAnsi="Courier New" w:cs="Courier New"/>
    </w:rPr>
  </w:style>
  <w:style w:type="table" w:styleId="TableGrid">
    <w:name w:val="Table Grid"/>
    <w:basedOn w:val="TableNormal"/>
    <w:uiPriority w:val="39"/>
    <w:rsid w:val="00323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36D5"/>
    <w:rPr>
      <w:color w:val="0563C1" w:themeColor="hyperlink"/>
      <w:u w:val="single"/>
    </w:rPr>
  </w:style>
  <w:style w:type="paragraph" w:styleId="ListParagraph">
    <w:name w:val="List Paragraph"/>
    <w:aliases w:val="strikethrough,List Paragraph 1,Scriptoria bullet points,standaard met opsomming,Bullets,References,Liste 1,List Paragraph nowy,Numbered List Paragraph,List Paragraph (numbered (a)),Medium Grid 1 - Accent 21,Dot pt,Numbered Paragraph"/>
    <w:basedOn w:val="Normal"/>
    <w:link w:val="ListParagraphChar"/>
    <w:uiPriority w:val="34"/>
    <w:qFormat/>
    <w:rsid w:val="003236D5"/>
    <w:pPr>
      <w:spacing w:after="0" w:line="240" w:lineRule="auto"/>
      <w:ind w:left="720"/>
      <w:contextualSpacing/>
    </w:pPr>
    <w:rPr>
      <w:rFonts w:ascii="Times New Roman" w:hAnsi="Times New Roman"/>
      <w:sz w:val="28"/>
      <w:lang w:val="ro-RO"/>
    </w:rPr>
  </w:style>
  <w:style w:type="character" w:customStyle="1" w:styleId="ListParagraphChar">
    <w:name w:val="List Paragraph Char"/>
    <w:aliases w:val="strikethrough Char,List Paragraph 1 Char,Scriptoria bullet points Char,standaard met opsomming Char,Bullets Char,References Char,Liste 1 Char,List Paragraph nowy Char,Numbered List Paragraph Char,List Paragraph (numbered (a)) Char"/>
    <w:link w:val="ListParagraph"/>
    <w:uiPriority w:val="34"/>
    <w:locked/>
    <w:rsid w:val="003236D5"/>
    <w:rPr>
      <w:rFonts w:ascii="Times New Roman" w:hAnsi="Times New Roman"/>
      <w:sz w:val="28"/>
      <w:lang w:val="ro-RO"/>
    </w:rPr>
  </w:style>
  <w:style w:type="character" w:customStyle="1" w:styleId="2">
    <w:name w:val="Основной текст (2)_"/>
    <w:basedOn w:val="DefaultParagraphFont"/>
    <w:link w:val="20"/>
    <w:rsid w:val="00C9265D"/>
    <w:rPr>
      <w:rFonts w:ascii="Times New Roman" w:eastAsia="Times New Roman" w:hAnsi="Times New Roman" w:cs="Times New Roman"/>
      <w:sz w:val="26"/>
      <w:szCs w:val="26"/>
      <w:shd w:val="clear" w:color="auto" w:fill="FFFFFF"/>
    </w:rPr>
  </w:style>
  <w:style w:type="paragraph" w:customStyle="1" w:styleId="20">
    <w:name w:val="Основной текст (2)"/>
    <w:basedOn w:val="Normal"/>
    <w:link w:val="2"/>
    <w:rsid w:val="00C9265D"/>
    <w:pPr>
      <w:widowControl w:val="0"/>
      <w:shd w:val="clear" w:color="auto" w:fill="FFFFFF"/>
      <w:spacing w:before="180" w:after="0" w:line="322" w:lineRule="exact"/>
      <w:ind w:hanging="360"/>
      <w:jc w:val="both"/>
    </w:pPr>
    <w:rPr>
      <w:rFonts w:ascii="Times New Roman" w:eastAsia="Times New Roman" w:hAnsi="Times New Roman" w:cs="Times New Roman"/>
      <w:sz w:val="26"/>
      <w:szCs w:val="26"/>
      <w:lang w:val="en-US"/>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Char1,A Знак Знак,Текст сноски2, Знак Знак, Знак Знак Знак,webb"/>
    <w:basedOn w:val="Normal"/>
    <w:link w:val="NormalWebChar"/>
    <w:uiPriority w:val="99"/>
    <w:unhideWhenUsed/>
    <w:qFormat/>
    <w:rsid w:val="00CD24A1"/>
    <w:pPr>
      <w:spacing w:after="0" w:line="240" w:lineRule="auto"/>
      <w:ind w:firstLine="567"/>
      <w:jc w:val="both"/>
    </w:pPr>
    <w:rPr>
      <w:rFonts w:ascii="Times New Roman" w:eastAsiaTheme="minorEastAsia" w:hAnsi="Times New Roman" w:cs="Times New Roman"/>
      <w:sz w:val="24"/>
      <w:szCs w:val="24"/>
      <w:lang w:val="en-US"/>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Char1 Char"/>
    <w:link w:val="NormalWeb"/>
    <w:uiPriority w:val="99"/>
    <w:rsid w:val="00CD24A1"/>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CD24A1"/>
    <w:rPr>
      <w:rFonts w:asciiTheme="majorHAnsi" w:eastAsiaTheme="majorEastAsia" w:hAnsiTheme="majorHAnsi" w:cstheme="majorBidi"/>
      <w:color w:val="2E74B5" w:themeColor="accent1" w:themeShade="BF"/>
      <w:sz w:val="32"/>
      <w:szCs w:val="32"/>
      <w:lang w:val="ru-RU"/>
    </w:rPr>
  </w:style>
  <w:style w:type="paragraph" w:styleId="NoSpacing">
    <w:name w:val="No Spacing"/>
    <w:uiPriority w:val="1"/>
    <w:qFormat/>
    <w:rsid w:val="001A5059"/>
    <w:pPr>
      <w:spacing w:after="0" w:line="240" w:lineRule="auto"/>
    </w:pPr>
    <w:rPr>
      <w:rFonts w:ascii="Times New Roman" w:eastAsia="Times New Roman" w:hAnsi="Times New Roman" w:cs="Times New Roman"/>
      <w:sz w:val="24"/>
      <w:szCs w:val="24"/>
      <w:lang w:val="ru-RU" w:eastAsia="ru-RU"/>
    </w:rPr>
  </w:style>
  <w:style w:type="paragraph" w:styleId="FootnoteText">
    <w:name w:val="footnote text"/>
    <w:aliases w:val="Char,Знак1,single space,FOOTNOTES,fn,Footnote Text Char1,Footnote Text Char2 Char,Footnote Text Char1 Char Char,Footnote Text Char2 Char Char Char,Footnote Text Char1 Char Char Char Char,Cha,A,Знак, Char, Знак1, Знак,footnote text, Cha,ft"/>
    <w:basedOn w:val="Normal"/>
    <w:link w:val="FootnoteTextChar"/>
    <w:uiPriority w:val="99"/>
    <w:unhideWhenUsed/>
    <w:qFormat/>
    <w:rsid w:val="00C84965"/>
    <w:pPr>
      <w:spacing w:after="0" w:line="240" w:lineRule="auto"/>
    </w:pPr>
    <w:rPr>
      <w:sz w:val="20"/>
      <w:szCs w:val="20"/>
    </w:rPr>
  </w:style>
  <w:style w:type="character" w:customStyle="1" w:styleId="FootnoteTextChar">
    <w:name w:val="Footnote Text Char"/>
    <w:aliases w:val="Char Char,Знак1 Char,single space Char,FOOTNOTES Char,fn Char,Footnote Text Char1 Char,Footnote Text Char2 Char Char,Footnote Text Char1 Char Char Char,Footnote Text Char2 Char Char Char Char,Cha Char,A Char,Знак Char, Char Char"/>
    <w:basedOn w:val="DefaultParagraphFont"/>
    <w:link w:val="FootnoteText"/>
    <w:uiPriority w:val="99"/>
    <w:qFormat/>
    <w:rsid w:val="00C84965"/>
    <w:rPr>
      <w:sz w:val="20"/>
      <w:szCs w:val="20"/>
      <w:lang w:val="ru-RU"/>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number,SUPERS"/>
    <w:basedOn w:val="DefaultParagraphFont"/>
    <w:link w:val="FNRefeCharChar"/>
    <w:uiPriority w:val="99"/>
    <w:unhideWhenUsed/>
    <w:qFormat/>
    <w:rsid w:val="00C84965"/>
    <w:rPr>
      <w:vertAlign w:val="superscript"/>
    </w:rPr>
  </w:style>
  <w:style w:type="paragraph" w:customStyle="1" w:styleId="story-bodyintroduction">
    <w:name w:val="story-body__introduction"/>
    <w:basedOn w:val="Normal"/>
    <w:rsid w:val="00F01A5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8009374118msonormal">
    <w:name w:val="yiv8009374118msonormal"/>
    <w:basedOn w:val="Normal"/>
    <w:rsid w:val="00F01A5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444642"/>
    <w:pPr>
      <w:spacing w:after="160" w:line="240" w:lineRule="exact"/>
    </w:pPr>
    <w:rPr>
      <w:vertAlign w:val="superscript"/>
      <w:lang w:val="en-US"/>
    </w:rPr>
  </w:style>
  <w:style w:type="table" w:customStyle="1" w:styleId="1">
    <w:name w:val="Сетка таблицы1"/>
    <w:basedOn w:val="TableNormal"/>
    <w:next w:val="TableGrid"/>
    <w:uiPriority w:val="39"/>
    <w:rsid w:val="00D74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745AF"/>
    <w:pPr>
      <w:tabs>
        <w:tab w:val="center" w:pos="4844"/>
        <w:tab w:val="right" w:pos="9689"/>
      </w:tabs>
      <w:spacing w:after="0" w:line="240" w:lineRule="auto"/>
    </w:pPr>
  </w:style>
  <w:style w:type="character" w:customStyle="1" w:styleId="HeaderChar">
    <w:name w:val="Header Char"/>
    <w:basedOn w:val="DefaultParagraphFont"/>
    <w:link w:val="Header"/>
    <w:rsid w:val="00D745AF"/>
    <w:rPr>
      <w:lang w:val="ru-RU"/>
    </w:rPr>
  </w:style>
  <w:style w:type="paragraph" w:styleId="Footer">
    <w:name w:val="footer"/>
    <w:basedOn w:val="Normal"/>
    <w:link w:val="FooterChar"/>
    <w:uiPriority w:val="99"/>
    <w:unhideWhenUsed/>
    <w:rsid w:val="00D745AF"/>
    <w:pPr>
      <w:tabs>
        <w:tab w:val="center" w:pos="4844"/>
        <w:tab w:val="right" w:pos="9689"/>
      </w:tabs>
      <w:spacing w:after="0" w:line="240" w:lineRule="auto"/>
    </w:pPr>
  </w:style>
  <w:style w:type="character" w:customStyle="1" w:styleId="FooterChar">
    <w:name w:val="Footer Char"/>
    <w:basedOn w:val="DefaultParagraphFont"/>
    <w:link w:val="Footer"/>
    <w:uiPriority w:val="99"/>
    <w:rsid w:val="00D745AF"/>
    <w:rPr>
      <w:lang w:val="ru-RU"/>
    </w:rPr>
  </w:style>
  <w:style w:type="paragraph" w:customStyle="1" w:styleId="10">
    <w:name w:val="Абзац списка1"/>
    <w:basedOn w:val="Normal"/>
    <w:rsid w:val="00216ED1"/>
    <w:pPr>
      <w:ind w:left="720"/>
      <w:contextualSpacing/>
    </w:pPr>
    <w:rPr>
      <w:rFonts w:ascii="Calibri" w:eastAsia="SimSun" w:hAnsi="Calibri" w:cs="Times New Roman"/>
    </w:rPr>
  </w:style>
  <w:style w:type="table" w:styleId="GridTable1Light-Accent1">
    <w:name w:val="Grid Table 1 Light Accent 1"/>
    <w:basedOn w:val="TableNormal"/>
    <w:uiPriority w:val="46"/>
    <w:rsid w:val="001E53E5"/>
    <w:pPr>
      <w:spacing w:after="0" w:line="240" w:lineRule="auto"/>
    </w:pPr>
    <w:tblPr>
      <w:tblStyleRowBandSize w:val="1"/>
      <w:tblStyleColBandSize w:val="1"/>
      <w:tblInd w:w="0" w:type="nil"/>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tt">
    <w:name w:val="tt"/>
    <w:basedOn w:val="Normal"/>
    <w:rsid w:val="00233941"/>
    <w:pPr>
      <w:spacing w:after="0" w:line="240" w:lineRule="auto"/>
      <w:jc w:val="center"/>
    </w:pPr>
    <w:rPr>
      <w:rFonts w:ascii="Times New Roman" w:eastAsia="Times New Roman" w:hAnsi="Times New Roman" w:cs="Times New Roman"/>
      <w:b/>
      <w:bCs/>
      <w:sz w:val="24"/>
      <w:szCs w:val="24"/>
      <w:lang w:val="ro-RO" w:eastAsia="ro-RO"/>
    </w:rPr>
  </w:style>
  <w:style w:type="paragraph" w:customStyle="1" w:styleId="cb">
    <w:name w:val="cb"/>
    <w:basedOn w:val="Normal"/>
    <w:rsid w:val="00233941"/>
    <w:pPr>
      <w:spacing w:after="0" w:line="240" w:lineRule="auto"/>
      <w:jc w:val="center"/>
    </w:pPr>
    <w:rPr>
      <w:rFonts w:ascii="Times New Roman" w:eastAsia="Times New Roman" w:hAnsi="Times New Roman" w:cs="Times New Roman"/>
      <w:b/>
      <w:bCs/>
      <w:sz w:val="24"/>
      <w:szCs w:val="24"/>
      <w:lang w:val="ro-RO" w:eastAsia="ro-RO"/>
    </w:rPr>
  </w:style>
  <w:style w:type="paragraph" w:customStyle="1" w:styleId="cn">
    <w:name w:val="cn"/>
    <w:basedOn w:val="Normal"/>
    <w:rsid w:val="00DC4949"/>
    <w:pPr>
      <w:spacing w:after="0" w:line="240" w:lineRule="auto"/>
      <w:jc w:val="center"/>
    </w:pPr>
    <w:rPr>
      <w:rFonts w:ascii="Times New Roman" w:eastAsia="Times New Roman" w:hAnsi="Times New Roman" w:cs="Times New Roman"/>
      <w:sz w:val="24"/>
      <w:szCs w:val="24"/>
      <w:lang w:val="ro-RO" w:eastAsia="ro-RO"/>
    </w:rPr>
  </w:style>
  <w:style w:type="character" w:styleId="Emphasis">
    <w:name w:val="Emphasis"/>
    <w:basedOn w:val="DefaultParagraphFont"/>
    <w:uiPriority w:val="20"/>
    <w:qFormat/>
    <w:rsid w:val="009B63BF"/>
    <w:rPr>
      <w:i/>
      <w:iCs/>
    </w:rPr>
  </w:style>
  <w:style w:type="character" w:styleId="Strong">
    <w:name w:val="Strong"/>
    <w:basedOn w:val="DefaultParagraphFont"/>
    <w:uiPriority w:val="22"/>
    <w:qFormat/>
    <w:rsid w:val="009B63BF"/>
    <w:rPr>
      <w:b/>
      <w:bCs/>
    </w:rPr>
  </w:style>
  <w:style w:type="paragraph" w:customStyle="1" w:styleId="lf">
    <w:name w:val="lf"/>
    <w:basedOn w:val="Normal"/>
    <w:rsid w:val="00671C4A"/>
    <w:pPr>
      <w:spacing w:after="0" w:line="240" w:lineRule="auto"/>
    </w:pPr>
    <w:rPr>
      <w:rFonts w:ascii="Times New Roman" w:eastAsia="Times New Roman" w:hAnsi="Times New Roman" w:cs="Times New Roman"/>
      <w:sz w:val="24"/>
      <w:szCs w:val="24"/>
      <w:lang w:val="ro-RO" w:eastAsia="ro-RO"/>
    </w:rPr>
  </w:style>
  <w:style w:type="table" w:customStyle="1" w:styleId="21">
    <w:name w:val="Сетка таблицы2"/>
    <w:basedOn w:val="TableNormal"/>
    <w:next w:val="TableGrid"/>
    <w:uiPriority w:val="39"/>
    <w:rsid w:val="006C2F33"/>
    <w:pPr>
      <w:spacing w:after="0" w:line="240" w:lineRule="auto"/>
    </w:pPr>
    <w:rPr>
      <w:lang w:val="ro-M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12C26"/>
    <w:rPr>
      <w:rFonts w:asciiTheme="majorHAnsi" w:eastAsiaTheme="majorEastAsia" w:hAnsiTheme="majorHAnsi" w:cstheme="majorBidi"/>
      <w:color w:val="2E74B5" w:themeColor="accent1" w:themeShade="BF"/>
      <w:sz w:val="26"/>
      <w:szCs w:val="26"/>
      <w:lang w:val="ru-RU"/>
    </w:rPr>
  </w:style>
  <w:style w:type="paragraph" w:customStyle="1" w:styleId="11">
    <w:name w:val="Стиль1"/>
    <w:basedOn w:val="NormalWeb"/>
    <w:link w:val="12"/>
    <w:autoRedefine/>
    <w:qFormat/>
    <w:rsid w:val="007769A3"/>
    <w:pPr>
      <w:ind w:firstLine="0"/>
    </w:pPr>
    <w:rPr>
      <w:rFonts w:ascii="Calibri Light" w:eastAsia="Times New Roman" w:hAnsi="Calibri Light"/>
      <w:sz w:val="16"/>
      <w:szCs w:val="16"/>
    </w:rPr>
  </w:style>
  <w:style w:type="character" w:customStyle="1" w:styleId="12">
    <w:name w:val="Стиль1 Знак"/>
    <w:basedOn w:val="DefaultParagraphFont"/>
    <w:link w:val="11"/>
    <w:rsid w:val="007769A3"/>
    <w:rPr>
      <w:rFonts w:ascii="Calibri Light" w:eastAsia="Times New Roman" w:hAnsi="Calibri Light" w:cs="Times New Roman"/>
      <w:sz w:val="16"/>
      <w:szCs w:val="16"/>
    </w:rPr>
  </w:style>
  <w:style w:type="paragraph" w:styleId="BalloonText">
    <w:name w:val="Balloon Text"/>
    <w:basedOn w:val="Normal"/>
    <w:link w:val="BalloonTextChar"/>
    <w:uiPriority w:val="99"/>
    <w:semiHidden/>
    <w:unhideWhenUsed/>
    <w:rsid w:val="007E7C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C52"/>
    <w:rPr>
      <w:rFonts w:ascii="Segoe UI" w:hAnsi="Segoe UI" w:cs="Segoe UI"/>
      <w:sz w:val="18"/>
      <w:szCs w:val="18"/>
      <w:lang w:val="ru-RU"/>
    </w:rPr>
  </w:style>
  <w:style w:type="character" w:styleId="CommentReference">
    <w:name w:val="annotation reference"/>
    <w:basedOn w:val="DefaultParagraphFont"/>
    <w:uiPriority w:val="99"/>
    <w:semiHidden/>
    <w:unhideWhenUsed/>
    <w:rsid w:val="0018607F"/>
    <w:rPr>
      <w:sz w:val="16"/>
      <w:szCs w:val="16"/>
    </w:rPr>
  </w:style>
  <w:style w:type="paragraph" w:styleId="CommentText">
    <w:name w:val="annotation text"/>
    <w:basedOn w:val="Normal"/>
    <w:link w:val="CommentTextChar"/>
    <w:uiPriority w:val="99"/>
    <w:semiHidden/>
    <w:unhideWhenUsed/>
    <w:rsid w:val="0018607F"/>
    <w:pPr>
      <w:spacing w:line="240" w:lineRule="auto"/>
    </w:pPr>
    <w:rPr>
      <w:sz w:val="20"/>
      <w:szCs w:val="20"/>
    </w:rPr>
  </w:style>
  <w:style w:type="character" w:customStyle="1" w:styleId="CommentTextChar">
    <w:name w:val="Comment Text Char"/>
    <w:basedOn w:val="DefaultParagraphFont"/>
    <w:link w:val="CommentText"/>
    <w:uiPriority w:val="99"/>
    <w:semiHidden/>
    <w:rsid w:val="0018607F"/>
    <w:rPr>
      <w:sz w:val="20"/>
      <w:szCs w:val="20"/>
      <w:lang w:val="ru-RU"/>
    </w:rPr>
  </w:style>
  <w:style w:type="paragraph" w:styleId="CommentSubject">
    <w:name w:val="annotation subject"/>
    <w:basedOn w:val="CommentText"/>
    <w:next w:val="CommentText"/>
    <w:link w:val="CommentSubjectChar"/>
    <w:uiPriority w:val="99"/>
    <w:semiHidden/>
    <w:unhideWhenUsed/>
    <w:rsid w:val="0018607F"/>
    <w:rPr>
      <w:b/>
      <w:bCs/>
    </w:rPr>
  </w:style>
  <w:style w:type="character" w:customStyle="1" w:styleId="CommentSubjectChar">
    <w:name w:val="Comment Subject Char"/>
    <w:basedOn w:val="CommentTextChar"/>
    <w:link w:val="CommentSubject"/>
    <w:uiPriority w:val="99"/>
    <w:semiHidden/>
    <w:rsid w:val="0018607F"/>
    <w:rPr>
      <w:b/>
      <w:bCs/>
      <w:sz w:val="20"/>
      <w:szCs w:val="20"/>
      <w:lang w:val="ru-RU"/>
    </w:rPr>
  </w:style>
  <w:style w:type="table" w:styleId="PlainTable5">
    <w:name w:val="Plain Table 5"/>
    <w:basedOn w:val="TableNormal"/>
    <w:uiPriority w:val="45"/>
    <w:rsid w:val="00177F3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3Char">
    <w:name w:val="Heading 3 Char"/>
    <w:basedOn w:val="DefaultParagraphFont"/>
    <w:link w:val="Heading3"/>
    <w:uiPriority w:val="9"/>
    <w:rsid w:val="00953C7C"/>
    <w:rPr>
      <w:rFonts w:asciiTheme="majorHAnsi" w:eastAsiaTheme="majorEastAsia" w:hAnsiTheme="majorHAnsi" w:cstheme="majorBidi"/>
      <w:color w:val="1F4D78" w:themeColor="accent1" w:themeShade="7F"/>
      <w:sz w:val="24"/>
      <w:szCs w:val="24"/>
      <w:lang w:val="ru-RU"/>
    </w:rPr>
  </w:style>
  <w:style w:type="paragraph" w:styleId="TOCHeading">
    <w:name w:val="TOC Heading"/>
    <w:basedOn w:val="Heading1"/>
    <w:next w:val="Normal"/>
    <w:uiPriority w:val="39"/>
    <w:unhideWhenUsed/>
    <w:qFormat/>
    <w:rsid w:val="00D90C3F"/>
    <w:pPr>
      <w:spacing w:line="259" w:lineRule="auto"/>
      <w:outlineLvl w:val="9"/>
    </w:pPr>
    <w:rPr>
      <w:lang w:val="ro-RO" w:eastAsia="ro-RO"/>
    </w:rPr>
  </w:style>
  <w:style w:type="paragraph" w:styleId="TOC1">
    <w:name w:val="toc 1"/>
    <w:basedOn w:val="Normal"/>
    <w:next w:val="Normal"/>
    <w:autoRedefine/>
    <w:uiPriority w:val="39"/>
    <w:unhideWhenUsed/>
    <w:rsid w:val="00D366AE"/>
    <w:pPr>
      <w:tabs>
        <w:tab w:val="left" w:pos="426"/>
        <w:tab w:val="right" w:leader="dot" w:pos="9246"/>
      </w:tabs>
      <w:spacing w:after="100"/>
      <w:ind w:left="284" w:hanging="284"/>
    </w:pPr>
    <w:rPr>
      <w:rFonts w:ascii="Times New Roman" w:hAnsi="Times New Roman" w:cs="Times New Roman"/>
      <w:b/>
      <w:noProof/>
      <w:lang w:val="ro-MD"/>
    </w:rPr>
  </w:style>
  <w:style w:type="paragraph" w:styleId="TOC2">
    <w:name w:val="toc 2"/>
    <w:basedOn w:val="Normal"/>
    <w:next w:val="Normal"/>
    <w:autoRedefine/>
    <w:uiPriority w:val="39"/>
    <w:unhideWhenUsed/>
    <w:rsid w:val="00B64435"/>
    <w:pPr>
      <w:tabs>
        <w:tab w:val="left" w:pos="880"/>
        <w:tab w:val="right" w:leader="dot" w:pos="10156"/>
      </w:tabs>
      <w:spacing w:after="100"/>
      <w:ind w:left="220" w:firstLine="206"/>
    </w:pPr>
  </w:style>
  <w:style w:type="paragraph" w:styleId="TOC3">
    <w:name w:val="toc 3"/>
    <w:basedOn w:val="Normal"/>
    <w:next w:val="Normal"/>
    <w:autoRedefine/>
    <w:uiPriority w:val="39"/>
    <w:unhideWhenUsed/>
    <w:rsid w:val="00925A8B"/>
    <w:pPr>
      <w:tabs>
        <w:tab w:val="left" w:pos="993"/>
        <w:tab w:val="right" w:leader="dot" w:pos="9246"/>
      </w:tabs>
      <w:spacing w:after="100"/>
      <w:ind w:left="440"/>
      <w:jc w:val="both"/>
    </w:pPr>
  </w:style>
  <w:style w:type="character" w:customStyle="1" w:styleId="Bodytext2">
    <w:name w:val="Body text (2)"/>
    <w:basedOn w:val="DefaultParagraphFont"/>
    <w:rsid w:val="00CA6DC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o-RO" w:eastAsia="ro-RO" w:bidi="ro-RO"/>
    </w:rPr>
  </w:style>
  <w:style w:type="character" w:customStyle="1" w:styleId="Bodytext20">
    <w:name w:val="Body text (2)_"/>
    <w:basedOn w:val="DefaultParagraphFont"/>
    <w:rsid w:val="00CA6DC1"/>
    <w:rPr>
      <w:rFonts w:ascii="Times New Roman" w:eastAsia="Times New Roman" w:hAnsi="Times New Roman" w:cs="Times New Roman"/>
      <w:b w:val="0"/>
      <w:bCs w:val="0"/>
      <w:i w:val="0"/>
      <w:iCs w:val="0"/>
      <w:smallCaps w:val="0"/>
      <w:strike w:val="0"/>
      <w:u w:val="none"/>
    </w:rPr>
  </w:style>
  <w:style w:type="character" w:customStyle="1" w:styleId="ms-rtefontface-3">
    <w:name w:val="ms-rtefontface-3"/>
    <w:basedOn w:val="DefaultParagraphFont"/>
    <w:rsid w:val="00841654"/>
  </w:style>
  <w:style w:type="table" w:styleId="GridTable4-Accent2">
    <w:name w:val="Grid Table 4 Accent 2"/>
    <w:basedOn w:val="TableNormal"/>
    <w:uiPriority w:val="49"/>
    <w:rsid w:val="00D277B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5">
    <w:name w:val="Grid Table 4 Accent 5"/>
    <w:basedOn w:val="TableNormal"/>
    <w:uiPriority w:val="49"/>
    <w:rsid w:val="00F4518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1Light-Accent5">
    <w:name w:val="Grid Table 1 Light Accent 5"/>
    <w:basedOn w:val="TableNormal"/>
    <w:uiPriority w:val="46"/>
    <w:rsid w:val="002C1DBB"/>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F501EA"/>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4714B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g">
    <w:name w:val="rg"/>
    <w:basedOn w:val="Normal"/>
    <w:rsid w:val="001E223C"/>
    <w:pPr>
      <w:spacing w:after="0" w:line="240" w:lineRule="auto"/>
      <w:jc w:val="right"/>
    </w:pPr>
    <w:rPr>
      <w:rFonts w:ascii="Times New Roman" w:eastAsia="Times New Roman" w:hAnsi="Times New Roman" w:cs="Times New Roman"/>
      <w:sz w:val="24"/>
      <w:szCs w:val="24"/>
      <w:lang w:val="en-US"/>
    </w:rPr>
  </w:style>
  <w:style w:type="table" w:styleId="GridTable2-Accent4">
    <w:name w:val="Grid Table 2 Accent 4"/>
    <w:basedOn w:val="TableNormal"/>
    <w:uiPriority w:val="47"/>
    <w:rsid w:val="00B96F69"/>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6">
    <w:name w:val="Grid Table 2 Accent 6"/>
    <w:basedOn w:val="TableNormal"/>
    <w:uiPriority w:val="47"/>
    <w:rsid w:val="00D92F65"/>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md">
    <w:name w:val="md"/>
    <w:basedOn w:val="Normal"/>
    <w:rsid w:val="00072DCE"/>
    <w:pPr>
      <w:spacing w:after="0" w:line="240" w:lineRule="auto"/>
      <w:ind w:firstLine="567"/>
      <w:jc w:val="both"/>
    </w:pPr>
    <w:rPr>
      <w:rFonts w:ascii="Times New Roman" w:eastAsia="Times New Roman" w:hAnsi="Times New Roman" w:cs="Times New Roman"/>
      <w:i/>
      <w:iCs/>
      <w:color w:val="663300"/>
      <w:sz w:val="20"/>
      <w:szCs w:val="20"/>
      <w:lang w:val="en-US"/>
    </w:rPr>
  </w:style>
  <w:style w:type="character" w:customStyle="1" w:styleId="Bodytext5">
    <w:name w:val="Body text (5)_"/>
    <w:basedOn w:val="DefaultParagraphFont"/>
    <w:link w:val="Bodytext50"/>
    <w:rsid w:val="006A573A"/>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6A573A"/>
    <w:pPr>
      <w:widowControl w:val="0"/>
      <w:shd w:val="clear" w:color="auto" w:fill="FFFFFF"/>
      <w:spacing w:before="120" w:after="0" w:line="562" w:lineRule="exact"/>
      <w:jc w:val="center"/>
    </w:pPr>
    <w:rPr>
      <w:rFonts w:ascii="Times New Roman" w:eastAsia="Times New Roman" w:hAnsi="Times New Roman" w:cs="Times New Roman"/>
      <w:b/>
      <w:bCs/>
      <w:lang w:val="en-US"/>
    </w:rPr>
  </w:style>
  <w:style w:type="table" w:styleId="GridTable2-Accent2">
    <w:name w:val="Grid Table 2 Accent 2"/>
    <w:basedOn w:val="TableNormal"/>
    <w:uiPriority w:val="47"/>
    <w:rsid w:val="004E33BC"/>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nt">
    <w:name w:val="nt"/>
    <w:basedOn w:val="Normal"/>
    <w:rsid w:val="009E6F6B"/>
    <w:pPr>
      <w:spacing w:after="0" w:line="240" w:lineRule="auto"/>
      <w:ind w:left="567" w:right="567" w:hanging="567"/>
      <w:jc w:val="both"/>
    </w:pPr>
    <w:rPr>
      <w:rFonts w:ascii="Times New Roman" w:eastAsia="Times New Roman" w:hAnsi="Times New Roman" w:cs="Times New Roman"/>
      <w:i/>
      <w:iCs/>
      <w:color w:val="663300"/>
      <w:sz w:val="20"/>
      <w:szCs w:val="20"/>
      <w:lang w:val="en-US"/>
    </w:rPr>
  </w:style>
  <w:style w:type="table" w:styleId="GridTable6Colorful-Accent5">
    <w:name w:val="Grid Table 6 Colorful Accent 5"/>
    <w:basedOn w:val="TableNormal"/>
    <w:uiPriority w:val="51"/>
    <w:rsid w:val="008E1175"/>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js">
    <w:name w:val="js"/>
    <w:basedOn w:val="Normal"/>
    <w:rsid w:val="0014052D"/>
    <w:pPr>
      <w:spacing w:after="0" w:line="240" w:lineRule="auto"/>
      <w:jc w:val="both"/>
    </w:pPr>
    <w:rPr>
      <w:rFonts w:ascii="Times New Roman" w:eastAsia="Times New Roman" w:hAnsi="Times New Roman" w:cs="Times New Roman"/>
      <w:sz w:val="24"/>
      <w:szCs w:val="24"/>
      <w:lang w:val="en-US"/>
    </w:rPr>
  </w:style>
  <w:style w:type="table" w:customStyle="1" w:styleId="3">
    <w:name w:val="Сетка таблицы3"/>
    <w:basedOn w:val="TableNormal"/>
    <w:next w:val="TableGrid"/>
    <w:uiPriority w:val="39"/>
    <w:rsid w:val="007E108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6">
    <w:name w:val="List Table 3 Accent 6"/>
    <w:basedOn w:val="TableNormal"/>
    <w:uiPriority w:val="48"/>
    <w:rsid w:val="007E108D"/>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GridTable1Light-Accent4">
    <w:name w:val="Grid Table 1 Light Accent 4"/>
    <w:basedOn w:val="TableNormal"/>
    <w:uiPriority w:val="46"/>
    <w:rsid w:val="000C7FE2"/>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4">
    <w:name w:val="Сетка таблицы4"/>
    <w:basedOn w:val="TableNormal"/>
    <w:next w:val="TableGrid"/>
    <w:uiPriority w:val="39"/>
    <w:rsid w:val="00716DF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716DF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5">
    <w:name w:val="Сетка таблицы5"/>
    <w:basedOn w:val="TableNormal"/>
    <w:next w:val="TableGrid"/>
    <w:uiPriority w:val="39"/>
    <w:rsid w:val="00CA0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C2181A"/>
    <w:rPr>
      <w:rFonts w:asciiTheme="majorHAnsi" w:eastAsiaTheme="majorEastAsia" w:hAnsiTheme="majorHAnsi" w:cstheme="majorBidi"/>
      <w:i/>
      <w:iCs/>
      <w:color w:val="2E74B5" w:themeColor="accent1" w:themeShade="BF"/>
      <w:lang w:val="ru-RU"/>
    </w:rPr>
  </w:style>
  <w:style w:type="table" w:customStyle="1" w:styleId="-451">
    <w:name w:val="Таблица-сетка 4 — акцент 51"/>
    <w:basedOn w:val="TableNormal"/>
    <w:next w:val="GridTable4-Accent5"/>
    <w:uiPriority w:val="49"/>
    <w:rsid w:val="00BC0781"/>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HTMLPreformatted">
    <w:name w:val="HTML Preformatted"/>
    <w:basedOn w:val="Normal"/>
    <w:link w:val="HTMLPreformattedChar"/>
    <w:uiPriority w:val="99"/>
    <w:unhideWhenUsed/>
    <w:rsid w:val="00610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610E05"/>
    <w:rPr>
      <w:rFonts w:ascii="Courier New" w:eastAsia="Times New Roman" w:hAnsi="Courier New" w:cs="Courier New"/>
      <w:sz w:val="20"/>
      <w:szCs w:val="20"/>
    </w:rPr>
  </w:style>
  <w:style w:type="character" w:customStyle="1" w:styleId="y2iqfc">
    <w:name w:val="y2iqfc"/>
    <w:basedOn w:val="DefaultParagraphFont"/>
    <w:rsid w:val="00610E05"/>
  </w:style>
  <w:style w:type="character" w:customStyle="1" w:styleId="apple-converted-space">
    <w:name w:val="apple-converted-space"/>
    <w:basedOn w:val="DefaultParagraphFont"/>
    <w:rsid w:val="00587CCC"/>
  </w:style>
  <w:style w:type="table" w:styleId="TableGridLight">
    <w:name w:val="Grid Table Light"/>
    <w:basedOn w:val="TableNormal"/>
    <w:uiPriority w:val="40"/>
    <w:rsid w:val="000034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00348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gt-cd-cl">
    <w:name w:val="gt-cd-cl"/>
    <w:rsid w:val="00377BB7"/>
  </w:style>
  <w:style w:type="table" w:customStyle="1" w:styleId="6">
    <w:name w:val="Сетка таблицы6"/>
    <w:basedOn w:val="TableNormal"/>
    <w:next w:val="TableGrid"/>
    <w:uiPriority w:val="39"/>
    <w:rsid w:val="00322C8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Bold">
    <w:name w:val="Body text (2) + Bold"/>
    <w:basedOn w:val="Bodytext20"/>
    <w:rsid w:val="001B3400"/>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Bodytext2Italic">
    <w:name w:val="Body text (2) + Italic"/>
    <w:basedOn w:val="Bodytext20"/>
    <w:rsid w:val="001B3400"/>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table" w:styleId="GridTable1Light">
    <w:name w:val="Grid Table 1 Light"/>
    <w:basedOn w:val="TableNormal"/>
    <w:uiPriority w:val="46"/>
    <w:rsid w:val="009C2D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835">
      <w:bodyDiv w:val="1"/>
      <w:marLeft w:val="0"/>
      <w:marRight w:val="0"/>
      <w:marTop w:val="0"/>
      <w:marBottom w:val="0"/>
      <w:divBdr>
        <w:top w:val="none" w:sz="0" w:space="0" w:color="auto"/>
        <w:left w:val="none" w:sz="0" w:space="0" w:color="auto"/>
        <w:bottom w:val="none" w:sz="0" w:space="0" w:color="auto"/>
        <w:right w:val="none" w:sz="0" w:space="0" w:color="auto"/>
      </w:divBdr>
    </w:div>
    <w:div w:id="11107308">
      <w:bodyDiv w:val="1"/>
      <w:marLeft w:val="0"/>
      <w:marRight w:val="0"/>
      <w:marTop w:val="0"/>
      <w:marBottom w:val="0"/>
      <w:divBdr>
        <w:top w:val="none" w:sz="0" w:space="0" w:color="auto"/>
        <w:left w:val="none" w:sz="0" w:space="0" w:color="auto"/>
        <w:bottom w:val="none" w:sz="0" w:space="0" w:color="auto"/>
        <w:right w:val="none" w:sz="0" w:space="0" w:color="auto"/>
      </w:divBdr>
    </w:div>
    <w:div w:id="22168493">
      <w:bodyDiv w:val="1"/>
      <w:marLeft w:val="0"/>
      <w:marRight w:val="0"/>
      <w:marTop w:val="0"/>
      <w:marBottom w:val="0"/>
      <w:divBdr>
        <w:top w:val="none" w:sz="0" w:space="0" w:color="auto"/>
        <w:left w:val="none" w:sz="0" w:space="0" w:color="auto"/>
        <w:bottom w:val="none" w:sz="0" w:space="0" w:color="auto"/>
        <w:right w:val="none" w:sz="0" w:space="0" w:color="auto"/>
      </w:divBdr>
    </w:div>
    <w:div w:id="37248142">
      <w:bodyDiv w:val="1"/>
      <w:marLeft w:val="0"/>
      <w:marRight w:val="0"/>
      <w:marTop w:val="0"/>
      <w:marBottom w:val="0"/>
      <w:divBdr>
        <w:top w:val="none" w:sz="0" w:space="0" w:color="auto"/>
        <w:left w:val="none" w:sz="0" w:space="0" w:color="auto"/>
        <w:bottom w:val="none" w:sz="0" w:space="0" w:color="auto"/>
        <w:right w:val="none" w:sz="0" w:space="0" w:color="auto"/>
      </w:divBdr>
    </w:div>
    <w:div w:id="37248332">
      <w:bodyDiv w:val="1"/>
      <w:marLeft w:val="0"/>
      <w:marRight w:val="0"/>
      <w:marTop w:val="0"/>
      <w:marBottom w:val="0"/>
      <w:divBdr>
        <w:top w:val="none" w:sz="0" w:space="0" w:color="auto"/>
        <w:left w:val="none" w:sz="0" w:space="0" w:color="auto"/>
        <w:bottom w:val="none" w:sz="0" w:space="0" w:color="auto"/>
        <w:right w:val="none" w:sz="0" w:space="0" w:color="auto"/>
      </w:divBdr>
    </w:div>
    <w:div w:id="45182912">
      <w:bodyDiv w:val="1"/>
      <w:marLeft w:val="0"/>
      <w:marRight w:val="0"/>
      <w:marTop w:val="0"/>
      <w:marBottom w:val="0"/>
      <w:divBdr>
        <w:top w:val="none" w:sz="0" w:space="0" w:color="auto"/>
        <w:left w:val="none" w:sz="0" w:space="0" w:color="auto"/>
        <w:bottom w:val="none" w:sz="0" w:space="0" w:color="auto"/>
        <w:right w:val="none" w:sz="0" w:space="0" w:color="auto"/>
      </w:divBdr>
    </w:div>
    <w:div w:id="48652058">
      <w:bodyDiv w:val="1"/>
      <w:marLeft w:val="0"/>
      <w:marRight w:val="0"/>
      <w:marTop w:val="0"/>
      <w:marBottom w:val="0"/>
      <w:divBdr>
        <w:top w:val="none" w:sz="0" w:space="0" w:color="auto"/>
        <w:left w:val="none" w:sz="0" w:space="0" w:color="auto"/>
        <w:bottom w:val="none" w:sz="0" w:space="0" w:color="auto"/>
        <w:right w:val="none" w:sz="0" w:space="0" w:color="auto"/>
      </w:divBdr>
    </w:div>
    <w:div w:id="50887726">
      <w:bodyDiv w:val="1"/>
      <w:marLeft w:val="0"/>
      <w:marRight w:val="0"/>
      <w:marTop w:val="0"/>
      <w:marBottom w:val="0"/>
      <w:divBdr>
        <w:top w:val="none" w:sz="0" w:space="0" w:color="auto"/>
        <w:left w:val="none" w:sz="0" w:space="0" w:color="auto"/>
        <w:bottom w:val="none" w:sz="0" w:space="0" w:color="auto"/>
        <w:right w:val="none" w:sz="0" w:space="0" w:color="auto"/>
      </w:divBdr>
    </w:div>
    <w:div w:id="86312635">
      <w:bodyDiv w:val="1"/>
      <w:marLeft w:val="0"/>
      <w:marRight w:val="0"/>
      <w:marTop w:val="0"/>
      <w:marBottom w:val="0"/>
      <w:divBdr>
        <w:top w:val="none" w:sz="0" w:space="0" w:color="auto"/>
        <w:left w:val="none" w:sz="0" w:space="0" w:color="auto"/>
        <w:bottom w:val="none" w:sz="0" w:space="0" w:color="auto"/>
        <w:right w:val="none" w:sz="0" w:space="0" w:color="auto"/>
      </w:divBdr>
    </w:div>
    <w:div w:id="91127696">
      <w:bodyDiv w:val="1"/>
      <w:marLeft w:val="0"/>
      <w:marRight w:val="0"/>
      <w:marTop w:val="0"/>
      <w:marBottom w:val="0"/>
      <w:divBdr>
        <w:top w:val="none" w:sz="0" w:space="0" w:color="auto"/>
        <w:left w:val="none" w:sz="0" w:space="0" w:color="auto"/>
        <w:bottom w:val="none" w:sz="0" w:space="0" w:color="auto"/>
        <w:right w:val="none" w:sz="0" w:space="0" w:color="auto"/>
      </w:divBdr>
    </w:div>
    <w:div w:id="91826300">
      <w:bodyDiv w:val="1"/>
      <w:marLeft w:val="0"/>
      <w:marRight w:val="0"/>
      <w:marTop w:val="0"/>
      <w:marBottom w:val="0"/>
      <w:divBdr>
        <w:top w:val="none" w:sz="0" w:space="0" w:color="auto"/>
        <w:left w:val="none" w:sz="0" w:space="0" w:color="auto"/>
        <w:bottom w:val="none" w:sz="0" w:space="0" w:color="auto"/>
        <w:right w:val="none" w:sz="0" w:space="0" w:color="auto"/>
      </w:divBdr>
    </w:div>
    <w:div w:id="95563384">
      <w:bodyDiv w:val="1"/>
      <w:marLeft w:val="0"/>
      <w:marRight w:val="0"/>
      <w:marTop w:val="0"/>
      <w:marBottom w:val="0"/>
      <w:divBdr>
        <w:top w:val="none" w:sz="0" w:space="0" w:color="auto"/>
        <w:left w:val="none" w:sz="0" w:space="0" w:color="auto"/>
        <w:bottom w:val="none" w:sz="0" w:space="0" w:color="auto"/>
        <w:right w:val="none" w:sz="0" w:space="0" w:color="auto"/>
      </w:divBdr>
    </w:div>
    <w:div w:id="126628554">
      <w:bodyDiv w:val="1"/>
      <w:marLeft w:val="0"/>
      <w:marRight w:val="0"/>
      <w:marTop w:val="0"/>
      <w:marBottom w:val="0"/>
      <w:divBdr>
        <w:top w:val="none" w:sz="0" w:space="0" w:color="auto"/>
        <w:left w:val="none" w:sz="0" w:space="0" w:color="auto"/>
        <w:bottom w:val="none" w:sz="0" w:space="0" w:color="auto"/>
        <w:right w:val="none" w:sz="0" w:space="0" w:color="auto"/>
      </w:divBdr>
    </w:div>
    <w:div w:id="136799905">
      <w:bodyDiv w:val="1"/>
      <w:marLeft w:val="0"/>
      <w:marRight w:val="0"/>
      <w:marTop w:val="0"/>
      <w:marBottom w:val="0"/>
      <w:divBdr>
        <w:top w:val="none" w:sz="0" w:space="0" w:color="auto"/>
        <w:left w:val="none" w:sz="0" w:space="0" w:color="auto"/>
        <w:bottom w:val="none" w:sz="0" w:space="0" w:color="auto"/>
        <w:right w:val="none" w:sz="0" w:space="0" w:color="auto"/>
      </w:divBdr>
    </w:div>
    <w:div w:id="181285305">
      <w:bodyDiv w:val="1"/>
      <w:marLeft w:val="0"/>
      <w:marRight w:val="0"/>
      <w:marTop w:val="0"/>
      <w:marBottom w:val="0"/>
      <w:divBdr>
        <w:top w:val="none" w:sz="0" w:space="0" w:color="auto"/>
        <w:left w:val="none" w:sz="0" w:space="0" w:color="auto"/>
        <w:bottom w:val="none" w:sz="0" w:space="0" w:color="auto"/>
        <w:right w:val="none" w:sz="0" w:space="0" w:color="auto"/>
      </w:divBdr>
    </w:div>
    <w:div w:id="191193926">
      <w:bodyDiv w:val="1"/>
      <w:marLeft w:val="0"/>
      <w:marRight w:val="0"/>
      <w:marTop w:val="0"/>
      <w:marBottom w:val="0"/>
      <w:divBdr>
        <w:top w:val="none" w:sz="0" w:space="0" w:color="auto"/>
        <w:left w:val="none" w:sz="0" w:space="0" w:color="auto"/>
        <w:bottom w:val="none" w:sz="0" w:space="0" w:color="auto"/>
        <w:right w:val="none" w:sz="0" w:space="0" w:color="auto"/>
      </w:divBdr>
    </w:div>
    <w:div w:id="218899754">
      <w:bodyDiv w:val="1"/>
      <w:marLeft w:val="0"/>
      <w:marRight w:val="0"/>
      <w:marTop w:val="0"/>
      <w:marBottom w:val="0"/>
      <w:divBdr>
        <w:top w:val="none" w:sz="0" w:space="0" w:color="auto"/>
        <w:left w:val="none" w:sz="0" w:space="0" w:color="auto"/>
        <w:bottom w:val="none" w:sz="0" w:space="0" w:color="auto"/>
        <w:right w:val="none" w:sz="0" w:space="0" w:color="auto"/>
      </w:divBdr>
    </w:div>
    <w:div w:id="223415973">
      <w:bodyDiv w:val="1"/>
      <w:marLeft w:val="0"/>
      <w:marRight w:val="0"/>
      <w:marTop w:val="0"/>
      <w:marBottom w:val="0"/>
      <w:divBdr>
        <w:top w:val="none" w:sz="0" w:space="0" w:color="auto"/>
        <w:left w:val="none" w:sz="0" w:space="0" w:color="auto"/>
        <w:bottom w:val="none" w:sz="0" w:space="0" w:color="auto"/>
        <w:right w:val="none" w:sz="0" w:space="0" w:color="auto"/>
      </w:divBdr>
    </w:div>
    <w:div w:id="224801632">
      <w:bodyDiv w:val="1"/>
      <w:marLeft w:val="0"/>
      <w:marRight w:val="0"/>
      <w:marTop w:val="0"/>
      <w:marBottom w:val="0"/>
      <w:divBdr>
        <w:top w:val="none" w:sz="0" w:space="0" w:color="auto"/>
        <w:left w:val="none" w:sz="0" w:space="0" w:color="auto"/>
        <w:bottom w:val="none" w:sz="0" w:space="0" w:color="auto"/>
        <w:right w:val="none" w:sz="0" w:space="0" w:color="auto"/>
      </w:divBdr>
    </w:div>
    <w:div w:id="229463142">
      <w:bodyDiv w:val="1"/>
      <w:marLeft w:val="0"/>
      <w:marRight w:val="0"/>
      <w:marTop w:val="0"/>
      <w:marBottom w:val="0"/>
      <w:divBdr>
        <w:top w:val="none" w:sz="0" w:space="0" w:color="auto"/>
        <w:left w:val="none" w:sz="0" w:space="0" w:color="auto"/>
        <w:bottom w:val="none" w:sz="0" w:space="0" w:color="auto"/>
        <w:right w:val="none" w:sz="0" w:space="0" w:color="auto"/>
      </w:divBdr>
    </w:div>
    <w:div w:id="230576874">
      <w:bodyDiv w:val="1"/>
      <w:marLeft w:val="0"/>
      <w:marRight w:val="0"/>
      <w:marTop w:val="0"/>
      <w:marBottom w:val="0"/>
      <w:divBdr>
        <w:top w:val="none" w:sz="0" w:space="0" w:color="auto"/>
        <w:left w:val="none" w:sz="0" w:space="0" w:color="auto"/>
        <w:bottom w:val="none" w:sz="0" w:space="0" w:color="auto"/>
        <w:right w:val="none" w:sz="0" w:space="0" w:color="auto"/>
      </w:divBdr>
    </w:div>
    <w:div w:id="235289814">
      <w:bodyDiv w:val="1"/>
      <w:marLeft w:val="0"/>
      <w:marRight w:val="0"/>
      <w:marTop w:val="0"/>
      <w:marBottom w:val="0"/>
      <w:divBdr>
        <w:top w:val="none" w:sz="0" w:space="0" w:color="auto"/>
        <w:left w:val="none" w:sz="0" w:space="0" w:color="auto"/>
        <w:bottom w:val="none" w:sz="0" w:space="0" w:color="auto"/>
        <w:right w:val="none" w:sz="0" w:space="0" w:color="auto"/>
      </w:divBdr>
    </w:div>
    <w:div w:id="240871706">
      <w:bodyDiv w:val="1"/>
      <w:marLeft w:val="0"/>
      <w:marRight w:val="0"/>
      <w:marTop w:val="0"/>
      <w:marBottom w:val="0"/>
      <w:divBdr>
        <w:top w:val="none" w:sz="0" w:space="0" w:color="auto"/>
        <w:left w:val="none" w:sz="0" w:space="0" w:color="auto"/>
        <w:bottom w:val="none" w:sz="0" w:space="0" w:color="auto"/>
        <w:right w:val="none" w:sz="0" w:space="0" w:color="auto"/>
      </w:divBdr>
    </w:div>
    <w:div w:id="273631979">
      <w:bodyDiv w:val="1"/>
      <w:marLeft w:val="0"/>
      <w:marRight w:val="0"/>
      <w:marTop w:val="0"/>
      <w:marBottom w:val="0"/>
      <w:divBdr>
        <w:top w:val="none" w:sz="0" w:space="0" w:color="auto"/>
        <w:left w:val="none" w:sz="0" w:space="0" w:color="auto"/>
        <w:bottom w:val="none" w:sz="0" w:space="0" w:color="auto"/>
        <w:right w:val="none" w:sz="0" w:space="0" w:color="auto"/>
      </w:divBdr>
    </w:div>
    <w:div w:id="277876123">
      <w:bodyDiv w:val="1"/>
      <w:marLeft w:val="0"/>
      <w:marRight w:val="0"/>
      <w:marTop w:val="0"/>
      <w:marBottom w:val="0"/>
      <w:divBdr>
        <w:top w:val="none" w:sz="0" w:space="0" w:color="auto"/>
        <w:left w:val="none" w:sz="0" w:space="0" w:color="auto"/>
        <w:bottom w:val="none" w:sz="0" w:space="0" w:color="auto"/>
        <w:right w:val="none" w:sz="0" w:space="0" w:color="auto"/>
      </w:divBdr>
    </w:div>
    <w:div w:id="322703164">
      <w:bodyDiv w:val="1"/>
      <w:marLeft w:val="0"/>
      <w:marRight w:val="0"/>
      <w:marTop w:val="0"/>
      <w:marBottom w:val="0"/>
      <w:divBdr>
        <w:top w:val="none" w:sz="0" w:space="0" w:color="auto"/>
        <w:left w:val="none" w:sz="0" w:space="0" w:color="auto"/>
        <w:bottom w:val="none" w:sz="0" w:space="0" w:color="auto"/>
        <w:right w:val="none" w:sz="0" w:space="0" w:color="auto"/>
      </w:divBdr>
    </w:div>
    <w:div w:id="329022214">
      <w:bodyDiv w:val="1"/>
      <w:marLeft w:val="0"/>
      <w:marRight w:val="0"/>
      <w:marTop w:val="0"/>
      <w:marBottom w:val="0"/>
      <w:divBdr>
        <w:top w:val="none" w:sz="0" w:space="0" w:color="auto"/>
        <w:left w:val="none" w:sz="0" w:space="0" w:color="auto"/>
        <w:bottom w:val="none" w:sz="0" w:space="0" w:color="auto"/>
        <w:right w:val="none" w:sz="0" w:space="0" w:color="auto"/>
      </w:divBdr>
    </w:div>
    <w:div w:id="333458040">
      <w:bodyDiv w:val="1"/>
      <w:marLeft w:val="0"/>
      <w:marRight w:val="0"/>
      <w:marTop w:val="0"/>
      <w:marBottom w:val="0"/>
      <w:divBdr>
        <w:top w:val="none" w:sz="0" w:space="0" w:color="auto"/>
        <w:left w:val="none" w:sz="0" w:space="0" w:color="auto"/>
        <w:bottom w:val="none" w:sz="0" w:space="0" w:color="auto"/>
        <w:right w:val="none" w:sz="0" w:space="0" w:color="auto"/>
      </w:divBdr>
    </w:div>
    <w:div w:id="358287704">
      <w:bodyDiv w:val="1"/>
      <w:marLeft w:val="0"/>
      <w:marRight w:val="0"/>
      <w:marTop w:val="0"/>
      <w:marBottom w:val="0"/>
      <w:divBdr>
        <w:top w:val="none" w:sz="0" w:space="0" w:color="auto"/>
        <w:left w:val="none" w:sz="0" w:space="0" w:color="auto"/>
        <w:bottom w:val="none" w:sz="0" w:space="0" w:color="auto"/>
        <w:right w:val="none" w:sz="0" w:space="0" w:color="auto"/>
      </w:divBdr>
    </w:div>
    <w:div w:id="372076578">
      <w:bodyDiv w:val="1"/>
      <w:marLeft w:val="0"/>
      <w:marRight w:val="0"/>
      <w:marTop w:val="0"/>
      <w:marBottom w:val="0"/>
      <w:divBdr>
        <w:top w:val="none" w:sz="0" w:space="0" w:color="auto"/>
        <w:left w:val="none" w:sz="0" w:space="0" w:color="auto"/>
        <w:bottom w:val="none" w:sz="0" w:space="0" w:color="auto"/>
        <w:right w:val="none" w:sz="0" w:space="0" w:color="auto"/>
      </w:divBdr>
    </w:div>
    <w:div w:id="381444126">
      <w:bodyDiv w:val="1"/>
      <w:marLeft w:val="0"/>
      <w:marRight w:val="0"/>
      <w:marTop w:val="0"/>
      <w:marBottom w:val="0"/>
      <w:divBdr>
        <w:top w:val="none" w:sz="0" w:space="0" w:color="auto"/>
        <w:left w:val="none" w:sz="0" w:space="0" w:color="auto"/>
        <w:bottom w:val="none" w:sz="0" w:space="0" w:color="auto"/>
        <w:right w:val="none" w:sz="0" w:space="0" w:color="auto"/>
      </w:divBdr>
    </w:div>
    <w:div w:id="382601880">
      <w:bodyDiv w:val="1"/>
      <w:marLeft w:val="0"/>
      <w:marRight w:val="0"/>
      <w:marTop w:val="0"/>
      <w:marBottom w:val="0"/>
      <w:divBdr>
        <w:top w:val="none" w:sz="0" w:space="0" w:color="auto"/>
        <w:left w:val="none" w:sz="0" w:space="0" w:color="auto"/>
        <w:bottom w:val="none" w:sz="0" w:space="0" w:color="auto"/>
        <w:right w:val="none" w:sz="0" w:space="0" w:color="auto"/>
      </w:divBdr>
    </w:div>
    <w:div w:id="405877674">
      <w:bodyDiv w:val="1"/>
      <w:marLeft w:val="0"/>
      <w:marRight w:val="0"/>
      <w:marTop w:val="0"/>
      <w:marBottom w:val="0"/>
      <w:divBdr>
        <w:top w:val="none" w:sz="0" w:space="0" w:color="auto"/>
        <w:left w:val="none" w:sz="0" w:space="0" w:color="auto"/>
        <w:bottom w:val="none" w:sz="0" w:space="0" w:color="auto"/>
        <w:right w:val="none" w:sz="0" w:space="0" w:color="auto"/>
      </w:divBdr>
    </w:div>
    <w:div w:id="410935340">
      <w:bodyDiv w:val="1"/>
      <w:marLeft w:val="0"/>
      <w:marRight w:val="0"/>
      <w:marTop w:val="0"/>
      <w:marBottom w:val="0"/>
      <w:divBdr>
        <w:top w:val="none" w:sz="0" w:space="0" w:color="auto"/>
        <w:left w:val="none" w:sz="0" w:space="0" w:color="auto"/>
        <w:bottom w:val="none" w:sz="0" w:space="0" w:color="auto"/>
        <w:right w:val="none" w:sz="0" w:space="0" w:color="auto"/>
      </w:divBdr>
    </w:div>
    <w:div w:id="413359554">
      <w:bodyDiv w:val="1"/>
      <w:marLeft w:val="0"/>
      <w:marRight w:val="0"/>
      <w:marTop w:val="0"/>
      <w:marBottom w:val="0"/>
      <w:divBdr>
        <w:top w:val="none" w:sz="0" w:space="0" w:color="auto"/>
        <w:left w:val="none" w:sz="0" w:space="0" w:color="auto"/>
        <w:bottom w:val="none" w:sz="0" w:space="0" w:color="auto"/>
        <w:right w:val="none" w:sz="0" w:space="0" w:color="auto"/>
      </w:divBdr>
    </w:div>
    <w:div w:id="489180949">
      <w:bodyDiv w:val="1"/>
      <w:marLeft w:val="0"/>
      <w:marRight w:val="0"/>
      <w:marTop w:val="0"/>
      <w:marBottom w:val="0"/>
      <w:divBdr>
        <w:top w:val="none" w:sz="0" w:space="0" w:color="auto"/>
        <w:left w:val="none" w:sz="0" w:space="0" w:color="auto"/>
        <w:bottom w:val="none" w:sz="0" w:space="0" w:color="auto"/>
        <w:right w:val="none" w:sz="0" w:space="0" w:color="auto"/>
      </w:divBdr>
    </w:div>
    <w:div w:id="507525741">
      <w:bodyDiv w:val="1"/>
      <w:marLeft w:val="0"/>
      <w:marRight w:val="0"/>
      <w:marTop w:val="0"/>
      <w:marBottom w:val="0"/>
      <w:divBdr>
        <w:top w:val="none" w:sz="0" w:space="0" w:color="auto"/>
        <w:left w:val="none" w:sz="0" w:space="0" w:color="auto"/>
        <w:bottom w:val="none" w:sz="0" w:space="0" w:color="auto"/>
        <w:right w:val="none" w:sz="0" w:space="0" w:color="auto"/>
      </w:divBdr>
      <w:divsChild>
        <w:div w:id="1083337904">
          <w:marLeft w:val="0"/>
          <w:marRight w:val="0"/>
          <w:marTop w:val="0"/>
          <w:marBottom w:val="0"/>
          <w:divBdr>
            <w:top w:val="none" w:sz="0" w:space="0" w:color="auto"/>
            <w:left w:val="none" w:sz="0" w:space="0" w:color="auto"/>
            <w:bottom w:val="none" w:sz="0" w:space="0" w:color="auto"/>
            <w:right w:val="none" w:sz="0" w:space="0" w:color="auto"/>
          </w:divBdr>
        </w:div>
        <w:div w:id="1294360597">
          <w:marLeft w:val="0"/>
          <w:marRight w:val="0"/>
          <w:marTop w:val="0"/>
          <w:marBottom w:val="0"/>
          <w:divBdr>
            <w:top w:val="none" w:sz="0" w:space="0" w:color="auto"/>
            <w:left w:val="none" w:sz="0" w:space="0" w:color="auto"/>
            <w:bottom w:val="none" w:sz="0" w:space="0" w:color="auto"/>
            <w:right w:val="none" w:sz="0" w:space="0" w:color="auto"/>
          </w:divBdr>
          <w:divsChild>
            <w:div w:id="10831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68813">
      <w:bodyDiv w:val="1"/>
      <w:marLeft w:val="0"/>
      <w:marRight w:val="0"/>
      <w:marTop w:val="0"/>
      <w:marBottom w:val="0"/>
      <w:divBdr>
        <w:top w:val="none" w:sz="0" w:space="0" w:color="auto"/>
        <w:left w:val="none" w:sz="0" w:space="0" w:color="auto"/>
        <w:bottom w:val="none" w:sz="0" w:space="0" w:color="auto"/>
        <w:right w:val="none" w:sz="0" w:space="0" w:color="auto"/>
      </w:divBdr>
    </w:div>
    <w:div w:id="551499468">
      <w:bodyDiv w:val="1"/>
      <w:marLeft w:val="0"/>
      <w:marRight w:val="0"/>
      <w:marTop w:val="0"/>
      <w:marBottom w:val="0"/>
      <w:divBdr>
        <w:top w:val="none" w:sz="0" w:space="0" w:color="auto"/>
        <w:left w:val="none" w:sz="0" w:space="0" w:color="auto"/>
        <w:bottom w:val="none" w:sz="0" w:space="0" w:color="auto"/>
        <w:right w:val="none" w:sz="0" w:space="0" w:color="auto"/>
      </w:divBdr>
    </w:div>
    <w:div w:id="569004148">
      <w:bodyDiv w:val="1"/>
      <w:marLeft w:val="0"/>
      <w:marRight w:val="0"/>
      <w:marTop w:val="0"/>
      <w:marBottom w:val="0"/>
      <w:divBdr>
        <w:top w:val="none" w:sz="0" w:space="0" w:color="auto"/>
        <w:left w:val="none" w:sz="0" w:space="0" w:color="auto"/>
        <w:bottom w:val="none" w:sz="0" w:space="0" w:color="auto"/>
        <w:right w:val="none" w:sz="0" w:space="0" w:color="auto"/>
      </w:divBdr>
    </w:div>
    <w:div w:id="592008242">
      <w:bodyDiv w:val="1"/>
      <w:marLeft w:val="0"/>
      <w:marRight w:val="0"/>
      <w:marTop w:val="0"/>
      <w:marBottom w:val="0"/>
      <w:divBdr>
        <w:top w:val="none" w:sz="0" w:space="0" w:color="auto"/>
        <w:left w:val="none" w:sz="0" w:space="0" w:color="auto"/>
        <w:bottom w:val="none" w:sz="0" w:space="0" w:color="auto"/>
        <w:right w:val="none" w:sz="0" w:space="0" w:color="auto"/>
      </w:divBdr>
    </w:div>
    <w:div w:id="645821064">
      <w:bodyDiv w:val="1"/>
      <w:marLeft w:val="0"/>
      <w:marRight w:val="0"/>
      <w:marTop w:val="0"/>
      <w:marBottom w:val="0"/>
      <w:divBdr>
        <w:top w:val="none" w:sz="0" w:space="0" w:color="auto"/>
        <w:left w:val="none" w:sz="0" w:space="0" w:color="auto"/>
        <w:bottom w:val="none" w:sz="0" w:space="0" w:color="auto"/>
        <w:right w:val="none" w:sz="0" w:space="0" w:color="auto"/>
      </w:divBdr>
    </w:div>
    <w:div w:id="684333387">
      <w:bodyDiv w:val="1"/>
      <w:marLeft w:val="0"/>
      <w:marRight w:val="0"/>
      <w:marTop w:val="0"/>
      <w:marBottom w:val="0"/>
      <w:divBdr>
        <w:top w:val="none" w:sz="0" w:space="0" w:color="auto"/>
        <w:left w:val="none" w:sz="0" w:space="0" w:color="auto"/>
        <w:bottom w:val="none" w:sz="0" w:space="0" w:color="auto"/>
        <w:right w:val="none" w:sz="0" w:space="0" w:color="auto"/>
      </w:divBdr>
    </w:div>
    <w:div w:id="690029794">
      <w:bodyDiv w:val="1"/>
      <w:marLeft w:val="0"/>
      <w:marRight w:val="0"/>
      <w:marTop w:val="0"/>
      <w:marBottom w:val="0"/>
      <w:divBdr>
        <w:top w:val="none" w:sz="0" w:space="0" w:color="auto"/>
        <w:left w:val="none" w:sz="0" w:space="0" w:color="auto"/>
        <w:bottom w:val="none" w:sz="0" w:space="0" w:color="auto"/>
        <w:right w:val="none" w:sz="0" w:space="0" w:color="auto"/>
      </w:divBdr>
    </w:div>
    <w:div w:id="711147926">
      <w:bodyDiv w:val="1"/>
      <w:marLeft w:val="0"/>
      <w:marRight w:val="0"/>
      <w:marTop w:val="0"/>
      <w:marBottom w:val="0"/>
      <w:divBdr>
        <w:top w:val="none" w:sz="0" w:space="0" w:color="auto"/>
        <w:left w:val="none" w:sz="0" w:space="0" w:color="auto"/>
        <w:bottom w:val="none" w:sz="0" w:space="0" w:color="auto"/>
        <w:right w:val="none" w:sz="0" w:space="0" w:color="auto"/>
      </w:divBdr>
    </w:div>
    <w:div w:id="715005172">
      <w:bodyDiv w:val="1"/>
      <w:marLeft w:val="0"/>
      <w:marRight w:val="0"/>
      <w:marTop w:val="0"/>
      <w:marBottom w:val="0"/>
      <w:divBdr>
        <w:top w:val="none" w:sz="0" w:space="0" w:color="auto"/>
        <w:left w:val="none" w:sz="0" w:space="0" w:color="auto"/>
        <w:bottom w:val="none" w:sz="0" w:space="0" w:color="auto"/>
        <w:right w:val="none" w:sz="0" w:space="0" w:color="auto"/>
      </w:divBdr>
    </w:div>
    <w:div w:id="723255809">
      <w:bodyDiv w:val="1"/>
      <w:marLeft w:val="0"/>
      <w:marRight w:val="0"/>
      <w:marTop w:val="0"/>
      <w:marBottom w:val="0"/>
      <w:divBdr>
        <w:top w:val="none" w:sz="0" w:space="0" w:color="auto"/>
        <w:left w:val="none" w:sz="0" w:space="0" w:color="auto"/>
        <w:bottom w:val="none" w:sz="0" w:space="0" w:color="auto"/>
        <w:right w:val="none" w:sz="0" w:space="0" w:color="auto"/>
      </w:divBdr>
    </w:div>
    <w:div w:id="731348011">
      <w:bodyDiv w:val="1"/>
      <w:marLeft w:val="0"/>
      <w:marRight w:val="0"/>
      <w:marTop w:val="0"/>
      <w:marBottom w:val="0"/>
      <w:divBdr>
        <w:top w:val="none" w:sz="0" w:space="0" w:color="auto"/>
        <w:left w:val="none" w:sz="0" w:space="0" w:color="auto"/>
        <w:bottom w:val="none" w:sz="0" w:space="0" w:color="auto"/>
        <w:right w:val="none" w:sz="0" w:space="0" w:color="auto"/>
      </w:divBdr>
      <w:divsChild>
        <w:div w:id="681663505">
          <w:marLeft w:val="0"/>
          <w:marRight w:val="0"/>
          <w:marTop w:val="0"/>
          <w:marBottom w:val="0"/>
          <w:divBdr>
            <w:top w:val="none" w:sz="0" w:space="0" w:color="auto"/>
            <w:left w:val="none" w:sz="0" w:space="0" w:color="auto"/>
            <w:bottom w:val="none" w:sz="0" w:space="0" w:color="auto"/>
            <w:right w:val="none" w:sz="0" w:space="0" w:color="auto"/>
          </w:divBdr>
          <w:divsChild>
            <w:div w:id="1408697645">
              <w:marLeft w:val="0"/>
              <w:marRight w:val="0"/>
              <w:marTop w:val="0"/>
              <w:marBottom w:val="0"/>
              <w:divBdr>
                <w:top w:val="none" w:sz="0" w:space="0" w:color="auto"/>
                <w:left w:val="none" w:sz="0" w:space="0" w:color="auto"/>
                <w:bottom w:val="none" w:sz="0" w:space="0" w:color="auto"/>
                <w:right w:val="none" w:sz="0" w:space="0" w:color="auto"/>
              </w:divBdr>
              <w:divsChild>
                <w:div w:id="1297487602">
                  <w:marLeft w:val="0"/>
                  <w:marRight w:val="0"/>
                  <w:marTop w:val="0"/>
                  <w:marBottom w:val="0"/>
                  <w:divBdr>
                    <w:top w:val="none" w:sz="0" w:space="0" w:color="auto"/>
                    <w:left w:val="none" w:sz="0" w:space="0" w:color="auto"/>
                    <w:bottom w:val="none" w:sz="0" w:space="0" w:color="auto"/>
                    <w:right w:val="none" w:sz="0" w:space="0" w:color="auto"/>
                  </w:divBdr>
                  <w:divsChild>
                    <w:div w:id="844905885">
                      <w:marLeft w:val="0"/>
                      <w:marRight w:val="0"/>
                      <w:marTop w:val="0"/>
                      <w:marBottom w:val="0"/>
                      <w:divBdr>
                        <w:top w:val="none" w:sz="0" w:space="0" w:color="auto"/>
                        <w:left w:val="none" w:sz="0" w:space="0" w:color="auto"/>
                        <w:bottom w:val="none" w:sz="0" w:space="0" w:color="auto"/>
                        <w:right w:val="none" w:sz="0" w:space="0" w:color="auto"/>
                      </w:divBdr>
                      <w:divsChild>
                        <w:div w:id="2135563087">
                          <w:marLeft w:val="0"/>
                          <w:marRight w:val="0"/>
                          <w:marTop w:val="0"/>
                          <w:marBottom w:val="0"/>
                          <w:divBdr>
                            <w:top w:val="none" w:sz="0" w:space="0" w:color="auto"/>
                            <w:left w:val="none" w:sz="0" w:space="0" w:color="auto"/>
                            <w:bottom w:val="none" w:sz="0" w:space="0" w:color="auto"/>
                            <w:right w:val="none" w:sz="0" w:space="0" w:color="auto"/>
                          </w:divBdr>
                          <w:divsChild>
                            <w:div w:id="3210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908626">
      <w:bodyDiv w:val="1"/>
      <w:marLeft w:val="0"/>
      <w:marRight w:val="0"/>
      <w:marTop w:val="0"/>
      <w:marBottom w:val="0"/>
      <w:divBdr>
        <w:top w:val="none" w:sz="0" w:space="0" w:color="auto"/>
        <w:left w:val="none" w:sz="0" w:space="0" w:color="auto"/>
        <w:bottom w:val="none" w:sz="0" w:space="0" w:color="auto"/>
        <w:right w:val="none" w:sz="0" w:space="0" w:color="auto"/>
      </w:divBdr>
    </w:div>
    <w:div w:id="850416684">
      <w:bodyDiv w:val="1"/>
      <w:marLeft w:val="0"/>
      <w:marRight w:val="0"/>
      <w:marTop w:val="0"/>
      <w:marBottom w:val="0"/>
      <w:divBdr>
        <w:top w:val="none" w:sz="0" w:space="0" w:color="auto"/>
        <w:left w:val="none" w:sz="0" w:space="0" w:color="auto"/>
        <w:bottom w:val="none" w:sz="0" w:space="0" w:color="auto"/>
        <w:right w:val="none" w:sz="0" w:space="0" w:color="auto"/>
      </w:divBdr>
    </w:div>
    <w:div w:id="851992108">
      <w:bodyDiv w:val="1"/>
      <w:marLeft w:val="0"/>
      <w:marRight w:val="0"/>
      <w:marTop w:val="0"/>
      <w:marBottom w:val="0"/>
      <w:divBdr>
        <w:top w:val="none" w:sz="0" w:space="0" w:color="auto"/>
        <w:left w:val="none" w:sz="0" w:space="0" w:color="auto"/>
        <w:bottom w:val="none" w:sz="0" w:space="0" w:color="auto"/>
        <w:right w:val="none" w:sz="0" w:space="0" w:color="auto"/>
      </w:divBdr>
    </w:div>
    <w:div w:id="919411856">
      <w:bodyDiv w:val="1"/>
      <w:marLeft w:val="0"/>
      <w:marRight w:val="0"/>
      <w:marTop w:val="0"/>
      <w:marBottom w:val="0"/>
      <w:divBdr>
        <w:top w:val="none" w:sz="0" w:space="0" w:color="auto"/>
        <w:left w:val="none" w:sz="0" w:space="0" w:color="auto"/>
        <w:bottom w:val="none" w:sz="0" w:space="0" w:color="auto"/>
        <w:right w:val="none" w:sz="0" w:space="0" w:color="auto"/>
      </w:divBdr>
    </w:div>
    <w:div w:id="928542575">
      <w:bodyDiv w:val="1"/>
      <w:marLeft w:val="0"/>
      <w:marRight w:val="0"/>
      <w:marTop w:val="0"/>
      <w:marBottom w:val="0"/>
      <w:divBdr>
        <w:top w:val="none" w:sz="0" w:space="0" w:color="auto"/>
        <w:left w:val="none" w:sz="0" w:space="0" w:color="auto"/>
        <w:bottom w:val="none" w:sz="0" w:space="0" w:color="auto"/>
        <w:right w:val="none" w:sz="0" w:space="0" w:color="auto"/>
      </w:divBdr>
    </w:div>
    <w:div w:id="952174446">
      <w:bodyDiv w:val="1"/>
      <w:marLeft w:val="0"/>
      <w:marRight w:val="0"/>
      <w:marTop w:val="0"/>
      <w:marBottom w:val="0"/>
      <w:divBdr>
        <w:top w:val="none" w:sz="0" w:space="0" w:color="auto"/>
        <w:left w:val="none" w:sz="0" w:space="0" w:color="auto"/>
        <w:bottom w:val="none" w:sz="0" w:space="0" w:color="auto"/>
        <w:right w:val="none" w:sz="0" w:space="0" w:color="auto"/>
      </w:divBdr>
    </w:div>
    <w:div w:id="969365041">
      <w:bodyDiv w:val="1"/>
      <w:marLeft w:val="0"/>
      <w:marRight w:val="0"/>
      <w:marTop w:val="0"/>
      <w:marBottom w:val="0"/>
      <w:divBdr>
        <w:top w:val="none" w:sz="0" w:space="0" w:color="auto"/>
        <w:left w:val="none" w:sz="0" w:space="0" w:color="auto"/>
        <w:bottom w:val="none" w:sz="0" w:space="0" w:color="auto"/>
        <w:right w:val="none" w:sz="0" w:space="0" w:color="auto"/>
      </w:divBdr>
    </w:div>
    <w:div w:id="1003630048">
      <w:bodyDiv w:val="1"/>
      <w:marLeft w:val="0"/>
      <w:marRight w:val="0"/>
      <w:marTop w:val="0"/>
      <w:marBottom w:val="0"/>
      <w:divBdr>
        <w:top w:val="none" w:sz="0" w:space="0" w:color="auto"/>
        <w:left w:val="none" w:sz="0" w:space="0" w:color="auto"/>
        <w:bottom w:val="none" w:sz="0" w:space="0" w:color="auto"/>
        <w:right w:val="none" w:sz="0" w:space="0" w:color="auto"/>
      </w:divBdr>
    </w:div>
    <w:div w:id="1023289424">
      <w:bodyDiv w:val="1"/>
      <w:marLeft w:val="0"/>
      <w:marRight w:val="0"/>
      <w:marTop w:val="0"/>
      <w:marBottom w:val="0"/>
      <w:divBdr>
        <w:top w:val="none" w:sz="0" w:space="0" w:color="auto"/>
        <w:left w:val="none" w:sz="0" w:space="0" w:color="auto"/>
        <w:bottom w:val="none" w:sz="0" w:space="0" w:color="auto"/>
        <w:right w:val="none" w:sz="0" w:space="0" w:color="auto"/>
      </w:divBdr>
    </w:div>
    <w:div w:id="1040322472">
      <w:bodyDiv w:val="1"/>
      <w:marLeft w:val="0"/>
      <w:marRight w:val="0"/>
      <w:marTop w:val="0"/>
      <w:marBottom w:val="0"/>
      <w:divBdr>
        <w:top w:val="none" w:sz="0" w:space="0" w:color="auto"/>
        <w:left w:val="none" w:sz="0" w:space="0" w:color="auto"/>
        <w:bottom w:val="none" w:sz="0" w:space="0" w:color="auto"/>
        <w:right w:val="none" w:sz="0" w:space="0" w:color="auto"/>
      </w:divBdr>
    </w:div>
    <w:div w:id="1041511521">
      <w:bodyDiv w:val="1"/>
      <w:marLeft w:val="0"/>
      <w:marRight w:val="0"/>
      <w:marTop w:val="0"/>
      <w:marBottom w:val="0"/>
      <w:divBdr>
        <w:top w:val="none" w:sz="0" w:space="0" w:color="auto"/>
        <w:left w:val="none" w:sz="0" w:space="0" w:color="auto"/>
        <w:bottom w:val="none" w:sz="0" w:space="0" w:color="auto"/>
        <w:right w:val="none" w:sz="0" w:space="0" w:color="auto"/>
      </w:divBdr>
    </w:div>
    <w:div w:id="1043821122">
      <w:bodyDiv w:val="1"/>
      <w:marLeft w:val="0"/>
      <w:marRight w:val="0"/>
      <w:marTop w:val="0"/>
      <w:marBottom w:val="0"/>
      <w:divBdr>
        <w:top w:val="none" w:sz="0" w:space="0" w:color="auto"/>
        <w:left w:val="none" w:sz="0" w:space="0" w:color="auto"/>
        <w:bottom w:val="none" w:sz="0" w:space="0" w:color="auto"/>
        <w:right w:val="none" w:sz="0" w:space="0" w:color="auto"/>
      </w:divBdr>
    </w:div>
    <w:div w:id="1055203150">
      <w:bodyDiv w:val="1"/>
      <w:marLeft w:val="0"/>
      <w:marRight w:val="0"/>
      <w:marTop w:val="0"/>
      <w:marBottom w:val="0"/>
      <w:divBdr>
        <w:top w:val="none" w:sz="0" w:space="0" w:color="auto"/>
        <w:left w:val="none" w:sz="0" w:space="0" w:color="auto"/>
        <w:bottom w:val="none" w:sz="0" w:space="0" w:color="auto"/>
        <w:right w:val="none" w:sz="0" w:space="0" w:color="auto"/>
      </w:divBdr>
    </w:div>
    <w:div w:id="1124345759">
      <w:bodyDiv w:val="1"/>
      <w:marLeft w:val="0"/>
      <w:marRight w:val="0"/>
      <w:marTop w:val="0"/>
      <w:marBottom w:val="0"/>
      <w:divBdr>
        <w:top w:val="none" w:sz="0" w:space="0" w:color="auto"/>
        <w:left w:val="none" w:sz="0" w:space="0" w:color="auto"/>
        <w:bottom w:val="none" w:sz="0" w:space="0" w:color="auto"/>
        <w:right w:val="none" w:sz="0" w:space="0" w:color="auto"/>
      </w:divBdr>
    </w:div>
    <w:div w:id="1139228969">
      <w:bodyDiv w:val="1"/>
      <w:marLeft w:val="0"/>
      <w:marRight w:val="0"/>
      <w:marTop w:val="0"/>
      <w:marBottom w:val="0"/>
      <w:divBdr>
        <w:top w:val="none" w:sz="0" w:space="0" w:color="auto"/>
        <w:left w:val="none" w:sz="0" w:space="0" w:color="auto"/>
        <w:bottom w:val="none" w:sz="0" w:space="0" w:color="auto"/>
        <w:right w:val="none" w:sz="0" w:space="0" w:color="auto"/>
      </w:divBdr>
    </w:div>
    <w:div w:id="1150243857">
      <w:bodyDiv w:val="1"/>
      <w:marLeft w:val="0"/>
      <w:marRight w:val="0"/>
      <w:marTop w:val="0"/>
      <w:marBottom w:val="0"/>
      <w:divBdr>
        <w:top w:val="none" w:sz="0" w:space="0" w:color="auto"/>
        <w:left w:val="none" w:sz="0" w:space="0" w:color="auto"/>
        <w:bottom w:val="none" w:sz="0" w:space="0" w:color="auto"/>
        <w:right w:val="none" w:sz="0" w:space="0" w:color="auto"/>
      </w:divBdr>
    </w:div>
    <w:div w:id="1155951976">
      <w:bodyDiv w:val="1"/>
      <w:marLeft w:val="0"/>
      <w:marRight w:val="0"/>
      <w:marTop w:val="0"/>
      <w:marBottom w:val="0"/>
      <w:divBdr>
        <w:top w:val="none" w:sz="0" w:space="0" w:color="auto"/>
        <w:left w:val="none" w:sz="0" w:space="0" w:color="auto"/>
        <w:bottom w:val="none" w:sz="0" w:space="0" w:color="auto"/>
        <w:right w:val="none" w:sz="0" w:space="0" w:color="auto"/>
      </w:divBdr>
    </w:div>
    <w:div w:id="1161434954">
      <w:bodyDiv w:val="1"/>
      <w:marLeft w:val="0"/>
      <w:marRight w:val="0"/>
      <w:marTop w:val="0"/>
      <w:marBottom w:val="0"/>
      <w:divBdr>
        <w:top w:val="none" w:sz="0" w:space="0" w:color="auto"/>
        <w:left w:val="none" w:sz="0" w:space="0" w:color="auto"/>
        <w:bottom w:val="none" w:sz="0" w:space="0" w:color="auto"/>
        <w:right w:val="none" w:sz="0" w:space="0" w:color="auto"/>
      </w:divBdr>
    </w:div>
    <w:div w:id="1187253379">
      <w:bodyDiv w:val="1"/>
      <w:marLeft w:val="0"/>
      <w:marRight w:val="0"/>
      <w:marTop w:val="0"/>
      <w:marBottom w:val="0"/>
      <w:divBdr>
        <w:top w:val="none" w:sz="0" w:space="0" w:color="auto"/>
        <w:left w:val="none" w:sz="0" w:space="0" w:color="auto"/>
        <w:bottom w:val="none" w:sz="0" w:space="0" w:color="auto"/>
        <w:right w:val="none" w:sz="0" w:space="0" w:color="auto"/>
      </w:divBdr>
    </w:div>
    <w:div w:id="1192183521">
      <w:bodyDiv w:val="1"/>
      <w:marLeft w:val="0"/>
      <w:marRight w:val="0"/>
      <w:marTop w:val="0"/>
      <w:marBottom w:val="0"/>
      <w:divBdr>
        <w:top w:val="none" w:sz="0" w:space="0" w:color="auto"/>
        <w:left w:val="none" w:sz="0" w:space="0" w:color="auto"/>
        <w:bottom w:val="none" w:sz="0" w:space="0" w:color="auto"/>
        <w:right w:val="none" w:sz="0" w:space="0" w:color="auto"/>
      </w:divBdr>
    </w:div>
    <w:div w:id="1221743902">
      <w:bodyDiv w:val="1"/>
      <w:marLeft w:val="0"/>
      <w:marRight w:val="0"/>
      <w:marTop w:val="0"/>
      <w:marBottom w:val="0"/>
      <w:divBdr>
        <w:top w:val="none" w:sz="0" w:space="0" w:color="auto"/>
        <w:left w:val="none" w:sz="0" w:space="0" w:color="auto"/>
        <w:bottom w:val="none" w:sz="0" w:space="0" w:color="auto"/>
        <w:right w:val="none" w:sz="0" w:space="0" w:color="auto"/>
      </w:divBdr>
    </w:div>
    <w:div w:id="1229918751">
      <w:bodyDiv w:val="1"/>
      <w:marLeft w:val="0"/>
      <w:marRight w:val="0"/>
      <w:marTop w:val="0"/>
      <w:marBottom w:val="0"/>
      <w:divBdr>
        <w:top w:val="none" w:sz="0" w:space="0" w:color="auto"/>
        <w:left w:val="none" w:sz="0" w:space="0" w:color="auto"/>
        <w:bottom w:val="none" w:sz="0" w:space="0" w:color="auto"/>
        <w:right w:val="none" w:sz="0" w:space="0" w:color="auto"/>
      </w:divBdr>
    </w:div>
    <w:div w:id="1242833941">
      <w:bodyDiv w:val="1"/>
      <w:marLeft w:val="0"/>
      <w:marRight w:val="0"/>
      <w:marTop w:val="0"/>
      <w:marBottom w:val="0"/>
      <w:divBdr>
        <w:top w:val="none" w:sz="0" w:space="0" w:color="auto"/>
        <w:left w:val="none" w:sz="0" w:space="0" w:color="auto"/>
        <w:bottom w:val="none" w:sz="0" w:space="0" w:color="auto"/>
        <w:right w:val="none" w:sz="0" w:space="0" w:color="auto"/>
      </w:divBdr>
    </w:div>
    <w:div w:id="1245454396">
      <w:bodyDiv w:val="1"/>
      <w:marLeft w:val="0"/>
      <w:marRight w:val="0"/>
      <w:marTop w:val="0"/>
      <w:marBottom w:val="0"/>
      <w:divBdr>
        <w:top w:val="none" w:sz="0" w:space="0" w:color="auto"/>
        <w:left w:val="none" w:sz="0" w:space="0" w:color="auto"/>
        <w:bottom w:val="none" w:sz="0" w:space="0" w:color="auto"/>
        <w:right w:val="none" w:sz="0" w:space="0" w:color="auto"/>
      </w:divBdr>
    </w:div>
    <w:div w:id="1254510816">
      <w:bodyDiv w:val="1"/>
      <w:marLeft w:val="0"/>
      <w:marRight w:val="0"/>
      <w:marTop w:val="0"/>
      <w:marBottom w:val="0"/>
      <w:divBdr>
        <w:top w:val="none" w:sz="0" w:space="0" w:color="auto"/>
        <w:left w:val="none" w:sz="0" w:space="0" w:color="auto"/>
        <w:bottom w:val="none" w:sz="0" w:space="0" w:color="auto"/>
        <w:right w:val="none" w:sz="0" w:space="0" w:color="auto"/>
      </w:divBdr>
    </w:div>
    <w:div w:id="1275138060">
      <w:bodyDiv w:val="1"/>
      <w:marLeft w:val="0"/>
      <w:marRight w:val="0"/>
      <w:marTop w:val="0"/>
      <w:marBottom w:val="0"/>
      <w:divBdr>
        <w:top w:val="none" w:sz="0" w:space="0" w:color="auto"/>
        <w:left w:val="none" w:sz="0" w:space="0" w:color="auto"/>
        <w:bottom w:val="none" w:sz="0" w:space="0" w:color="auto"/>
        <w:right w:val="none" w:sz="0" w:space="0" w:color="auto"/>
      </w:divBdr>
    </w:div>
    <w:div w:id="1276133933">
      <w:bodyDiv w:val="1"/>
      <w:marLeft w:val="0"/>
      <w:marRight w:val="0"/>
      <w:marTop w:val="0"/>
      <w:marBottom w:val="0"/>
      <w:divBdr>
        <w:top w:val="none" w:sz="0" w:space="0" w:color="auto"/>
        <w:left w:val="none" w:sz="0" w:space="0" w:color="auto"/>
        <w:bottom w:val="none" w:sz="0" w:space="0" w:color="auto"/>
        <w:right w:val="none" w:sz="0" w:space="0" w:color="auto"/>
      </w:divBdr>
    </w:div>
    <w:div w:id="1287663898">
      <w:bodyDiv w:val="1"/>
      <w:marLeft w:val="0"/>
      <w:marRight w:val="0"/>
      <w:marTop w:val="0"/>
      <w:marBottom w:val="0"/>
      <w:divBdr>
        <w:top w:val="none" w:sz="0" w:space="0" w:color="auto"/>
        <w:left w:val="none" w:sz="0" w:space="0" w:color="auto"/>
        <w:bottom w:val="none" w:sz="0" w:space="0" w:color="auto"/>
        <w:right w:val="none" w:sz="0" w:space="0" w:color="auto"/>
      </w:divBdr>
    </w:div>
    <w:div w:id="1328826425">
      <w:bodyDiv w:val="1"/>
      <w:marLeft w:val="0"/>
      <w:marRight w:val="0"/>
      <w:marTop w:val="0"/>
      <w:marBottom w:val="0"/>
      <w:divBdr>
        <w:top w:val="none" w:sz="0" w:space="0" w:color="auto"/>
        <w:left w:val="none" w:sz="0" w:space="0" w:color="auto"/>
        <w:bottom w:val="none" w:sz="0" w:space="0" w:color="auto"/>
        <w:right w:val="none" w:sz="0" w:space="0" w:color="auto"/>
      </w:divBdr>
    </w:div>
    <w:div w:id="1373575629">
      <w:bodyDiv w:val="1"/>
      <w:marLeft w:val="0"/>
      <w:marRight w:val="0"/>
      <w:marTop w:val="0"/>
      <w:marBottom w:val="0"/>
      <w:divBdr>
        <w:top w:val="none" w:sz="0" w:space="0" w:color="auto"/>
        <w:left w:val="none" w:sz="0" w:space="0" w:color="auto"/>
        <w:bottom w:val="none" w:sz="0" w:space="0" w:color="auto"/>
        <w:right w:val="none" w:sz="0" w:space="0" w:color="auto"/>
      </w:divBdr>
    </w:div>
    <w:div w:id="1378699491">
      <w:bodyDiv w:val="1"/>
      <w:marLeft w:val="0"/>
      <w:marRight w:val="0"/>
      <w:marTop w:val="0"/>
      <w:marBottom w:val="0"/>
      <w:divBdr>
        <w:top w:val="none" w:sz="0" w:space="0" w:color="auto"/>
        <w:left w:val="none" w:sz="0" w:space="0" w:color="auto"/>
        <w:bottom w:val="none" w:sz="0" w:space="0" w:color="auto"/>
        <w:right w:val="none" w:sz="0" w:space="0" w:color="auto"/>
      </w:divBdr>
    </w:div>
    <w:div w:id="1397897064">
      <w:bodyDiv w:val="1"/>
      <w:marLeft w:val="0"/>
      <w:marRight w:val="0"/>
      <w:marTop w:val="0"/>
      <w:marBottom w:val="0"/>
      <w:divBdr>
        <w:top w:val="none" w:sz="0" w:space="0" w:color="auto"/>
        <w:left w:val="none" w:sz="0" w:space="0" w:color="auto"/>
        <w:bottom w:val="none" w:sz="0" w:space="0" w:color="auto"/>
        <w:right w:val="none" w:sz="0" w:space="0" w:color="auto"/>
      </w:divBdr>
    </w:div>
    <w:div w:id="1401749942">
      <w:bodyDiv w:val="1"/>
      <w:marLeft w:val="0"/>
      <w:marRight w:val="0"/>
      <w:marTop w:val="0"/>
      <w:marBottom w:val="0"/>
      <w:divBdr>
        <w:top w:val="none" w:sz="0" w:space="0" w:color="auto"/>
        <w:left w:val="none" w:sz="0" w:space="0" w:color="auto"/>
        <w:bottom w:val="none" w:sz="0" w:space="0" w:color="auto"/>
        <w:right w:val="none" w:sz="0" w:space="0" w:color="auto"/>
      </w:divBdr>
    </w:div>
    <w:div w:id="1403409937">
      <w:bodyDiv w:val="1"/>
      <w:marLeft w:val="0"/>
      <w:marRight w:val="0"/>
      <w:marTop w:val="0"/>
      <w:marBottom w:val="0"/>
      <w:divBdr>
        <w:top w:val="none" w:sz="0" w:space="0" w:color="auto"/>
        <w:left w:val="none" w:sz="0" w:space="0" w:color="auto"/>
        <w:bottom w:val="none" w:sz="0" w:space="0" w:color="auto"/>
        <w:right w:val="none" w:sz="0" w:space="0" w:color="auto"/>
      </w:divBdr>
    </w:div>
    <w:div w:id="1405756759">
      <w:bodyDiv w:val="1"/>
      <w:marLeft w:val="0"/>
      <w:marRight w:val="0"/>
      <w:marTop w:val="0"/>
      <w:marBottom w:val="0"/>
      <w:divBdr>
        <w:top w:val="none" w:sz="0" w:space="0" w:color="auto"/>
        <w:left w:val="none" w:sz="0" w:space="0" w:color="auto"/>
        <w:bottom w:val="none" w:sz="0" w:space="0" w:color="auto"/>
        <w:right w:val="none" w:sz="0" w:space="0" w:color="auto"/>
      </w:divBdr>
    </w:div>
    <w:div w:id="1410421579">
      <w:bodyDiv w:val="1"/>
      <w:marLeft w:val="0"/>
      <w:marRight w:val="0"/>
      <w:marTop w:val="0"/>
      <w:marBottom w:val="0"/>
      <w:divBdr>
        <w:top w:val="none" w:sz="0" w:space="0" w:color="auto"/>
        <w:left w:val="none" w:sz="0" w:space="0" w:color="auto"/>
        <w:bottom w:val="none" w:sz="0" w:space="0" w:color="auto"/>
        <w:right w:val="none" w:sz="0" w:space="0" w:color="auto"/>
      </w:divBdr>
    </w:div>
    <w:div w:id="1430471018">
      <w:bodyDiv w:val="1"/>
      <w:marLeft w:val="0"/>
      <w:marRight w:val="0"/>
      <w:marTop w:val="0"/>
      <w:marBottom w:val="0"/>
      <w:divBdr>
        <w:top w:val="none" w:sz="0" w:space="0" w:color="auto"/>
        <w:left w:val="none" w:sz="0" w:space="0" w:color="auto"/>
        <w:bottom w:val="none" w:sz="0" w:space="0" w:color="auto"/>
        <w:right w:val="none" w:sz="0" w:space="0" w:color="auto"/>
      </w:divBdr>
    </w:div>
    <w:div w:id="1444301321">
      <w:bodyDiv w:val="1"/>
      <w:marLeft w:val="0"/>
      <w:marRight w:val="0"/>
      <w:marTop w:val="0"/>
      <w:marBottom w:val="0"/>
      <w:divBdr>
        <w:top w:val="none" w:sz="0" w:space="0" w:color="auto"/>
        <w:left w:val="none" w:sz="0" w:space="0" w:color="auto"/>
        <w:bottom w:val="none" w:sz="0" w:space="0" w:color="auto"/>
        <w:right w:val="none" w:sz="0" w:space="0" w:color="auto"/>
      </w:divBdr>
    </w:div>
    <w:div w:id="1448625862">
      <w:bodyDiv w:val="1"/>
      <w:marLeft w:val="0"/>
      <w:marRight w:val="0"/>
      <w:marTop w:val="0"/>
      <w:marBottom w:val="0"/>
      <w:divBdr>
        <w:top w:val="none" w:sz="0" w:space="0" w:color="auto"/>
        <w:left w:val="none" w:sz="0" w:space="0" w:color="auto"/>
        <w:bottom w:val="none" w:sz="0" w:space="0" w:color="auto"/>
        <w:right w:val="none" w:sz="0" w:space="0" w:color="auto"/>
      </w:divBdr>
    </w:div>
    <w:div w:id="1450314323">
      <w:bodyDiv w:val="1"/>
      <w:marLeft w:val="0"/>
      <w:marRight w:val="0"/>
      <w:marTop w:val="0"/>
      <w:marBottom w:val="0"/>
      <w:divBdr>
        <w:top w:val="none" w:sz="0" w:space="0" w:color="auto"/>
        <w:left w:val="none" w:sz="0" w:space="0" w:color="auto"/>
        <w:bottom w:val="none" w:sz="0" w:space="0" w:color="auto"/>
        <w:right w:val="none" w:sz="0" w:space="0" w:color="auto"/>
      </w:divBdr>
    </w:div>
    <w:div w:id="1464538248">
      <w:bodyDiv w:val="1"/>
      <w:marLeft w:val="0"/>
      <w:marRight w:val="0"/>
      <w:marTop w:val="0"/>
      <w:marBottom w:val="0"/>
      <w:divBdr>
        <w:top w:val="none" w:sz="0" w:space="0" w:color="auto"/>
        <w:left w:val="none" w:sz="0" w:space="0" w:color="auto"/>
        <w:bottom w:val="none" w:sz="0" w:space="0" w:color="auto"/>
        <w:right w:val="none" w:sz="0" w:space="0" w:color="auto"/>
      </w:divBdr>
    </w:div>
    <w:div w:id="1498375990">
      <w:bodyDiv w:val="1"/>
      <w:marLeft w:val="0"/>
      <w:marRight w:val="0"/>
      <w:marTop w:val="0"/>
      <w:marBottom w:val="0"/>
      <w:divBdr>
        <w:top w:val="none" w:sz="0" w:space="0" w:color="auto"/>
        <w:left w:val="none" w:sz="0" w:space="0" w:color="auto"/>
        <w:bottom w:val="none" w:sz="0" w:space="0" w:color="auto"/>
        <w:right w:val="none" w:sz="0" w:space="0" w:color="auto"/>
      </w:divBdr>
      <w:divsChild>
        <w:div w:id="919827967">
          <w:marLeft w:val="0"/>
          <w:marRight w:val="0"/>
          <w:marTop w:val="0"/>
          <w:marBottom w:val="0"/>
          <w:divBdr>
            <w:top w:val="none" w:sz="0" w:space="0" w:color="auto"/>
            <w:left w:val="none" w:sz="0" w:space="0" w:color="auto"/>
            <w:bottom w:val="none" w:sz="0" w:space="0" w:color="auto"/>
            <w:right w:val="none" w:sz="0" w:space="0" w:color="auto"/>
          </w:divBdr>
          <w:divsChild>
            <w:div w:id="1980649455">
              <w:marLeft w:val="0"/>
              <w:marRight w:val="0"/>
              <w:marTop w:val="0"/>
              <w:marBottom w:val="0"/>
              <w:divBdr>
                <w:top w:val="none" w:sz="0" w:space="0" w:color="auto"/>
                <w:left w:val="none" w:sz="0" w:space="0" w:color="auto"/>
                <w:bottom w:val="none" w:sz="0" w:space="0" w:color="auto"/>
                <w:right w:val="none" w:sz="0" w:space="0" w:color="auto"/>
              </w:divBdr>
              <w:divsChild>
                <w:div w:id="2100128535">
                  <w:marLeft w:val="0"/>
                  <w:marRight w:val="0"/>
                  <w:marTop w:val="0"/>
                  <w:marBottom w:val="0"/>
                  <w:divBdr>
                    <w:top w:val="none" w:sz="0" w:space="0" w:color="auto"/>
                    <w:left w:val="none" w:sz="0" w:space="0" w:color="auto"/>
                    <w:bottom w:val="none" w:sz="0" w:space="0" w:color="auto"/>
                    <w:right w:val="none" w:sz="0" w:space="0" w:color="auto"/>
                  </w:divBdr>
                  <w:divsChild>
                    <w:div w:id="2057313842">
                      <w:marLeft w:val="0"/>
                      <w:marRight w:val="0"/>
                      <w:marTop w:val="0"/>
                      <w:marBottom w:val="0"/>
                      <w:divBdr>
                        <w:top w:val="none" w:sz="0" w:space="0" w:color="auto"/>
                        <w:left w:val="none" w:sz="0" w:space="0" w:color="auto"/>
                        <w:bottom w:val="none" w:sz="0" w:space="0" w:color="auto"/>
                        <w:right w:val="none" w:sz="0" w:space="0" w:color="auto"/>
                      </w:divBdr>
                      <w:divsChild>
                        <w:div w:id="360403363">
                          <w:marLeft w:val="0"/>
                          <w:marRight w:val="0"/>
                          <w:marTop w:val="0"/>
                          <w:marBottom w:val="0"/>
                          <w:divBdr>
                            <w:top w:val="none" w:sz="0" w:space="0" w:color="auto"/>
                            <w:left w:val="none" w:sz="0" w:space="0" w:color="auto"/>
                            <w:bottom w:val="none" w:sz="0" w:space="0" w:color="auto"/>
                            <w:right w:val="none" w:sz="0" w:space="0" w:color="auto"/>
                          </w:divBdr>
                          <w:divsChild>
                            <w:div w:id="13717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634537">
      <w:bodyDiv w:val="1"/>
      <w:marLeft w:val="0"/>
      <w:marRight w:val="0"/>
      <w:marTop w:val="0"/>
      <w:marBottom w:val="0"/>
      <w:divBdr>
        <w:top w:val="none" w:sz="0" w:space="0" w:color="auto"/>
        <w:left w:val="none" w:sz="0" w:space="0" w:color="auto"/>
        <w:bottom w:val="none" w:sz="0" w:space="0" w:color="auto"/>
        <w:right w:val="none" w:sz="0" w:space="0" w:color="auto"/>
      </w:divBdr>
    </w:div>
    <w:div w:id="1591040565">
      <w:bodyDiv w:val="1"/>
      <w:marLeft w:val="0"/>
      <w:marRight w:val="0"/>
      <w:marTop w:val="0"/>
      <w:marBottom w:val="0"/>
      <w:divBdr>
        <w:top w:val="none" w:sz="0" w:space="0" w:color="auto"/>
        <w:left w:val="none" w:sz="0" w:space="0" w:color="auto"/>
        <w:bottom w:val="none" w:sz="0" w:space="0" w:color="auto"/>
        <w:right w:val="none" w:sz="0" w:space="0" w:color="auto"/>
      </w:divBdr>
    </w:div>
    <w:div w:id="1597977045">
      <w:bodyDiv w:val="1"/>
      <w:marLeft w:val="0"/>
      <w:marRight w:val="0"/>
      <w:marTop w:val="0"/>
      <w:marBottom w:val="0"/>
      <w:divBdr>
        <w:top w:val="none" w:sz="0" w:space="0" w:color="auto"/>
        <w:left w:val="none" w:sz="0" w:space="0" w:color="auto"/>
        <w:bottom w:val="none" w:sz="0" w:space="0" w:color="auto"/>
        <w:right w:val="none" w:sz="0" w:space="0" w:color="auto"/>
      </w:divBdr>
    </w:div>
    <w:div w:id="1602569598">
      <w:bodyDiv w:val="1"/>
      <w:marLeft w:val="0"/>
      <w:marRight w:val="0"/>
      <w:marTop w:val="0"/>
      <w:marBottom w:val="0"/>
      <w:divBdr>
        <w:top w:val="none" w:sz="0" w:space="0" w:color="auto"/>
        <w:left w:val="none" w:sz="0" w:space="0" w:color="auto"/>
        <w:bottom w:val="none" w:sz="0" w:space="0" w:color="auto"/>
        <w:right w:val="none" w:sz="0" w:space="0" w:color="auto"/>
      </w:divBdr>
    </w:div>
    <w:div w:id="1619098572">
      <w:bodyDiv w:val="1"/>
      <w:marLeft w:val="0"/>
      <w:marRight w:val="0"/>
      <w:marTop w:val="0"/>
      <w:marBottom w:val="0"/>
      <w:divBdr>
        <w:top w:val="none" w:sz="0" w:space="0" w:color="auto"/>
        <w:left w:val="none" w:sz="0" w:space="0" w:color="auto"/>
        <w:bottom w:val="none" w:sz="0" w:space="0" w:color="auto"/>
        <w:right w:val="none" w:sz="0" w:space="0" w:color="auto"/>
      </w:divBdr>
    </w:div>
    <w:div w:id="1640576529">
      <w:bodyDiv w:val="1"/>
      <w:marLeft w:val="0"/>
      <w:marRight w:val="0"/>
      <w:marTop w:val="0"/>
      <w:marBottom w:val="0"/>
      <w:divBdr>
        <w:top w:val="none" w:sz="0" w:space="0" w:color="auto"/>
        <w:left w:val="none" w:sz="0" w:space="0" w:color="auto"/>
        <w:bottom w:val="none" w:sz="0" w:space="0" w:color="auto"/>
        <w:right w:val="none" w:sz="0" w:space="0" w:color="auto"/>
      </w:divBdr>
    </w:div>
    <w:div w:id="1642804474">
      <w:bodyDiv w:val="1"/>
      <w:marLeft w:val="0"/>
      <w:marRight w:val="0"/>
      <w:marTop w:val="0"/>
      <w:marBottom w:val="0"/>
      <w:divBdr>
        <w:top w:val="none" w:sz="0" w:space="0" w:color="auto"/>
        <w:left w:val="none" w:sz="0" w:space="0" w:color="auto"/>
        <w:bottom w:val="none" w:sz="0" w:space="0" w:color="auto"/>
        <w:right w:val="none" w:sz="0" w:space="0" w:color="auto"/>
      </w:divBdr>
    </w:div>
    <w:div w:id="1655838372">
      <w:bodyDiv w:val="1"/>
      <w:marLeft w:val="0"/>
      <w:marRight w:val="0"/>
      <w:marTop w:val="0"/>
      <w:marBottom w:val="0"/>
      <w:divBdr>
        <w:top w:val="none" w:sz="0" w:space="0" w:color="auto"/>
        <w:left w:val="none" w:sz="0" w:space="0" w:color="auto"/>
        <w:bottom w:val="none" w:sz="0" w:space="0" w:color="auto"/>
        <w:right w:val="none" w:sz="0" w:space="0" w:color="auto"/>
      </w:divBdr>
    </w:div>
    <w:div w:id="1669167101">
      <w:bodyDiv w:val="1"/>
      <w:marLeft w:val="0"/>
      <w:marRight w:val="0"/>
      <w:marTop w:val="0"/>
      <w:marBottom w:val="0"/>
      <w:divBdr>
        <w:top w:val="none" w:sz="0" w:space="0" w:color="auto"/>
        <w:left w:val="none" w:sz="0" w:space="0" w:color="auto"/>
        <w:bottom w:val="none" w:sz="0" w:space="0" w:color="auto"/>
        <w:right w:val="none" w:sz="0" w:space="0" w:color="auto"/>
      </w:divBdr>
    </w:div>
    <w:div w:id="1713379788">
      <w:bodyDiv w:val="1"/>
      <w:marLeft w:val="0"/>
      <w:marRight w:val="0"/>
      <w:marTop w:val="0"/>
      <w:marBottom w:val="0"/>
      <w:divBdr>
        <w:top w:val="none" w:sz="0" w:space="0" w:color="auto"/>
        <w:left w:val="none" w:sz="0" w:space="0" w:color="auto"/>
        <w:bottom w:val="none" w:sz="0" w:space="0" w:color="auto"/>
        <w:right w:val="none" w:sz="0" w:space="0" w:color="auto"/>
      </w:divBdr>
    </w:div>
    <w:div w:id="1753745127">
      <w:bodyDiv w:val="1"/>
      <w:marLeft w:val="0"/>
      <w:marRight w:val="0"/>
      <w:marTop w:val="0"/>
      <w:marBottom w:val="0"/>
      <w:divBdr>
        <w:top w:val="none" w:sz="0" w:space="0" w:color="auto"/>
        <w:left w:val="none" w:sz="0" w:space="0" w:color="auto"/>
        <w:bottom w:val="none" w:sz="0" w:space="0" w:color="auto"/>
        <w:right w:val="none" w:sz="0" w:space="0" w:color="auto"/>
      </w:divBdr>
    </w:div>
    <w:div w:id="1799949150">
      <w:bodyDiv w:val="1"/>
      <w:marLeft w:val="0"/>
      <w:marRight w:val="0"/>
      <w:marTop w:val="0"/>
      <w:marBottom w:val="0"/>
      <w:divBdr>
        <w:top w:val="none" w:sz="0" w:space="0" w:color="auto"/>
        <w:left w:val="none" w:sz="0" w:space="0" w:color="auto"/>
        <w:bottom w:val="none" w:sz="0" w:space="0" w:color="auto"/>
        <w:right w:val="none" w:sz="0" w:space="0" w:color="auto"/>
      </w:divBdr>
    </w:div>
    <w:div w:id="1809082225">
      <w:bodyDiv w:val="1"/>
      <w:marLeft w:val="0"/>
      <w:marRight w:val="0"/>
      <w:marTop w:val="0"/>
      <w:marBottom w:val="0"/>
      <w:divBdr>
        <w:top w:val="none" w:sz="0" w:space="0" w:color="auto"/>
        <w:left w:val="none" w:sz="0" w:space="0" w:color="auto"/>
        <w:bottom w:val="none" w:sz="0" w:space="0" w:color="auto"/>
        <w:right w:val="none" w:sz="0" w:space="0" w:color="auto"/>
      </w:divBdr>
    </w:div>
    <w:div w:id="1810979416">
      <w:bodyDiv w:val="1"/>
      <w:marLeft w:val="0"/>
      <w:marRight w:val="0"/>
      <w:marTop w:val="0"/>
      <w:marBottom w:val="0"/>
      <w:divBdr>
        <w:top w:val="none" w:sz="0" w:space="0" w:color="auto"/>
        <w:left w:val="none" w:sz="0" w:space="0" w:color="auto"/>
        <w:bottom w:val="none" w:sz="0" w:space="0" w:color="auto"/>
        <w:right w:val="none" w:sz="0" w:space="0" w:color="auto"/>
      </w:divBdr>
      <w:divsChild>
        <w:div w:id="718675472">
          <w:marLeft w:val="0"/>
          <w:marRight w:val="0"/>
          <w:marTop w:val="150"/>
          <w:marBottom w:val="150"/>
          <w:divBdr>
            <w:top w:val="none" w:sz="0" w:space="0" w:color="auto"/>
            <w:left w:val="none" w:sz="0" w:space="0" w:color="auto"/>
            <w:bottom w:val="none" w:sz="0" w:space="0" w:color="auto"/>
            <w:right w:val="none" w:sz="0" w:space="0" w:color="auto"/>
          </w:divBdr>
        </w:div>
        <w:div w:id="771360494">
          <w:marLeft w:val="0"/>
          <w:marRight w:val="0"/>
          <w:marTop w:val="0"/>
          <w:marBottom w:val="0"/>
          <w:divBdr>
            <w:top w:val="none" w:sz="0" w:space="0" w:color="auto"/>
            <w:left w:val="none" w:sz="0" w:space="0" w:color="auto"/>
            <w:bottom w:val="none" w:sz="0" w:space="0" w:color="auto"/>
            <w:right w:val="none" w:sz="0" w:space="0" w:color="auto"/>
          </w:divBdr>
        </w:div>
        <w:div w:id="1933656870">
          <w:marLeft w:val="0"/>
          <w:marRight w:val="0"/>
          <w:marTop w:val="150"/>
          <w:marBottom w:val="150"/>
          <w:divBdr>
            <w:top w:val="single" w:sz="6" w:space="3" w:color="E4E4E4"/>
            <w:left w:val="none" w:sz="0" w:space="0" w:color="auto"/>
            <w:bottom w:val="single" w:sz="6" w:space="3" w:color="E4E4E4"/>
            <w:right w:val="none" w:sz="0" w:space="0" w:color="auto"/>
          </w:divBdr>
        </w:div>
      </w:divsChild>
    </w:div>
    <w:div w:id="1811244550">
      <w:bodyDiv w:val="1"/>
      <w:marLeft w:val="0"/>
      <w:marRight w:val="0"/>
      <w:marTop w:val="0"/>
      <w:marBottom w:val="0"/>
      <w:divBdr>
        <w:top w:val="none" w:sz="0" w:space="0" w:color="auto"/>
        <w:left w:val="none" w:sz="0" w:space="0" w:color="auto"/>
        <w:bottom w:val="none" w:sz="0" w:space="0" w:color="auto"/>
        <w:right w:val="none" w:sz="0" w:space="0" w:color="auto"/>
      </w:divBdr>
    </w:div>
    <w:div w:id="1813675155">
      <w:bodyDiv w:val="1"/>
      <w:marLeft w:val="0"/>
      <w:marRight w:val="0"/>
      <w:marTop w:val="0"/>
      <w:marBottom w:val="0"/>
      <w:divBdr>
        <w:top w:val="none" w:sz="0" w:space="0" w:color="auto"/>
        <w:left w:val="none" w:sz="0" w:space="0" w:color="auto"/>
        <w:bottom w:val="none" w:sz="0" w:space="0" w:color="auto"/>
        <w:right w:val="none" w:sz="0" w:space="0" w:color="auto"/>
      </w:divBdr>
    </w:div>
    <w:div w:id="1820923723">
      <w:bodyDiv w:val="1"/>
      <w:marLeft w:val="0"/>
      <w:marRight w:val="0"/>
      <w:marTop w:val="0"/>
      <w:marBottom w:val="0"/>
      <w:divBdr>
        <w:top w:val="none" w:sz="0" w:space="0" w:color="auto"/>
        <w:left w:val="none" w:sz="0" w:space="0" w:color="auto"/>
        <w:bottom w:val="none" w:sz="0" w:space="0" w:color="auto"/>
        <w:right w:val="none" w:sz="0" w:space="0" w:color="auto"/>
      </w:divBdr>
    </w:div>
    <w:div w:id="1824392972">
      <w:bodyDiv w:val="1"/>
      <w:marLeft w:val="0"/>
      <w:marRight w:val="0"/>
      <w:marTop w:val="0"/>
      <w:marBottom w:val="0"/>
      <w:divBdr>
        <w:top w:val="none" w:sz="0" w:space="0" w:color="auto"/>
        <w:left w:val="none" w:sz="0" w:space="0" w:color="auto"/>
        <w:bottom w:val="none" w:sz="0" w:space="0" w:color="auto"/>
        <w:right w:val="none" w:sz="0" w:space="0" w:color="auto"/>
      </w:divBdr>
    </w:div>
    <w:div w:id="1824538565">
      <w:bodyDiv w:val="1"/>
      <w:marLeft w:val="0"/>
      <w:marRight w:val="0"/>
      <w:marTop w:val="0"/>
      <w:marBottom w:val="0"/>
      <w:divBdr>
        <w:top w:val="none" w:sz="0" w:space="0" w:color="auto"/>
        <w:left w:val="none" w:sz="0" w:space="0" w:color="auto"/>
        <w:bottom w:val="none" w:sz="0" w:space="0" w:color="auto"/>
        <w:right w:val="none" w:sz="0" w:space="0" w:color="auto"/>
      </w:divBdr>
    </w:div>
    <w:div w:id="1827891271">
      <w:bodyDiv w:val="1"/>
      <w:marLeft w:val="0"/>
      <w:marRight w:val="0"/>
      <w:marTop w:val="0"/>
      <w:marBottom w:val="0"/>
      <w:divBdr>
        <w:top w:val="none" w:sz="0" w:space="0" w:color="auto"/>
        <w:left w:val="none" w:sz="0" w:space="0" w:color="auto"/>
        <w:bottom w:val="none" w:sz="0" w:space="0" w:color="auto"/>
        <w:right w:val="none" w:sz="0" w:space="0" w:color="auto"/>
      </w:divBdr>
    </w:div>
    <w:div w:id="1839274191">
      <w:bodyDiv w:val="1"/>
      <w:marLeft w:val="0"/>
      <w:marRight w:val="0"/>
      <w:marTop w:val="0"/>
      <w:marBottom w:val="0"/>
      <w:divBdr>
        <w:top w:val="none" w:sz="0" w:space="0" w:color="auto"/>
        <w:left w:val="none" w:sz="0" w:space="0" w:color="auto"/>
        <w:bottom w:val="none" w:sz="0" w:space="0" w:color="auto"/>
        <w:right w:val="none" w:sz="0" w:space="0" w:color="auto"/>
      </w:divBdr>
    </w:div>
    <w:div w:id="1842771428">
      <w:bodyDiv w:val="1"/>
      <w:marLeft w:val="0"/>
      <w:marRight w:val="0"/>
      <w:marTop w:val="0"/>
      <w:marBottom w:val="0"/>
      <w:divBdr>
        <w:top w:val="none" w:sz="0" w:space="0" w:color="auto"/>
        <w:left w:val="none" w:sz="0" w:space="0" w:color="auto"/>
        <w:bottom w:val="none" w:sz="0" w:space="0" w:color="auto"/>
        <w:right w:val="none" w:sz="0" w:space="0" w:color="auto"/>
      </w:divBdr>
    </w:div>
    <w:div w:id="1853063143">
      <w:bodyDiv w:val="1"/>
      <w:marLeft w:val="0"/>
      <w:marRight w:val="0"/>
      <w:marTop w:val="0"/>
      <w:marBottom w:val="0"/>
      <w:divBdr>
        <w:top w:val="none" w:sz="0" w:space="0" w:color="auto"/>
        <w:left w:val="none" w:sz="0" w:space="0" w:color="auto"/>
        <w:bottom w:val="none" w:sz="0" w:space="0" w:color="auto"/>
        <w:right w:val="none" w:sz="0" w:space="0" w:color="auto"/>
      </w:divBdr>
    </w:div>
    <w:div w:id="1858960829">
      <w:bodyDiv w:val="1"/>
      <w:marLeft w:val="0"/>
      <w:marRight w:val="0"/>
      <w:marTop w:val="0"/>
      <w:marBottom w:val="0"/>
      <w:divBdr>
        <w:top w:val="none" w:sz="0" w:space="0" w:color="auto"/>
        <w:left w:val="none" w:sz="0" w:space="0" w:color="auto"/>
        <w:bottom w:val="none" w:sz="0" w:space="0" w:color="auto"/>
        <w:right w:val="none" w:sz="0" w:space="0" w:color="auto"/>
      </w:divBdr>
    </w:div>
    <w:div w:id="1873036661">
      <w:bodyDiv w:val="1"/>
      <w:marLeft w:val="0"/>
      <w:marRight w:val="0"/>
      <w:marTop w:val="0"/>
      <w:marBottom w:val="0"/>
      <w:divBdr>
        <w:top w:val="none" w:sz="0" w:space="0" w:color="auto"/>
        <w:left w:val="none" w:sz="0" w:space="0" w:color="auto"/>
        <w:bottom w:val="none" w:sz="0" w:space="0" w:color="auto"/>
        <w:right w:val="none" w:sz="0" w:space="0" w:color="auto"/>
      </w:divBdr>
    </w:div>
    <w:div w:id="1882013686">
      <w:bodyDiv w:val="1"/>
      <w:marLeft w:val="0"/>
      <w:marRight w:val="0"/>
      <w:marTop w:val="0"/>
      <w:marBottom w:val="0"/>
      <w:divBdr>
        <w:top w:val="none" w:sz="0" w:space="0" w:color="auto"/>
        <w:left w:val="none" w:sz="0" w:space="0" w:color="auto"/>
        <w:bottom w:val="none" w:sz="0" w:space="0" w:color="auto"/>
        <w:right w:val="none" w:sz="0" w:space="0" w:color="auto"/>
      </w:divBdr>
    </w:div>
    <w:div w:id="1888488289">
      <w:bodyDiv w:val="1"/>
      <w:marLeft w:val="0"/>
      <w:marRight w:val="0"/>
      <w:marTop w:val="0"/>
      <w:marBottom w:val="0"/>
      <w:divBdr>
        <w:top w:val="none" w:sz="0" w:space="0" w:color="auto"/>
        <w:left w:val="none" w:sz="0" w:space="0" w:color="auto"/>
        <w:bottom w:val="none" w:sz="0" w:space="0" w:color="auto"/>
        <w:right w:val="none" w:sz="0" w:space="0" w:color="auto"/>
      </w:divBdr>
    </w:div>
    <w:div w:id="1896157807">
      <w:bodyDiv w:val="1"/>
      <w:marLeft w:val="0"/>
      <w:marRight w:val="0"/>
      <w:marTop w:val="0"/>
      <w:marBottom w:val="0"/>
      <w:divBdr>
        <w:top w:val="none" w:sz="0" w:space="0" w:color="auto"/>
        <w:left w:val="none" w:sz="0" w:space="0" w:color="auto"/>
        <w:bottom w:val="none" w:sz="0" w:space="0" w:color="auto"/>
        <w:right w:val="none" w:sz="0" w:space="0" w:color="auto"/>
      </w:divBdr>
    </w:div>
    <w:div w:id="1907178383">
      <w:bodyDiv w:val="1"/>
      <w:marLeft w:val="0"/>
      <w:marRight w:val="0"/>
      <w:marTop w:val="0"/>
      <w:marBottom w:val="0"/>
      <w:divBdr>
        <w:top w:val="none" w:sz="0" w:space="0" w:color="auto"/>
        <w:left w:val="none" w:sz="0" w:space="0" w:color="auto"/>
        <w:bottom w:val="none" w:sz="0" w:space="0" w:color="auto"/>
        <w:right w:val="none" w:sz="0" w:space="0" w:color="auto"/>
      </w:divBdr>
    </w:div>
    <w:div w:id="1910800307">
      <w:bodyDiv w:val="1"/>
      <w:marLeft w:val="0"/>
      <w:marRight w:val="0"/>
      <w:marTop w:val="0"/>
      <w:marBottom w:val="0"/>
      <w:divBdr>
        <w:top w:val="none" w:sz="0" w:space="0" w:color="auto"/>
        <w:left w:val="none" w:sz="0" w:space="0" w:color="auto"/>
        <w:bottom w:val="none" w:sz="0" w:space="0" w:color="auto"/>
        <w:right w:val="none" w:sz="0" w:space="0" w:color="auto"/>
      </w:divBdr>
    </w:div>
    <w:div w:id="1911302323">
      <w:bodyDiv w:val="1"/>
      <w:marLeft w:val="0"/>
      <w:marRight w:val="0"/>
      <w:marTop w:val="0"/>
      <w:marBottom w:val="0"/>
      <w:divBdr>
        <w:top w:val="none" w:sz="0" w:space="0" w:color="auto"/>
        <w:left w:val="none" w:sz="0" w:space="0" w:color="auto"/>
        <w:bottom w:val="none" w:sz="0" w:space="0" w:color="auto"/>
        <w:right w:val="none" w:sz="0" w:space="0" w:color="auto"/>
      </w:divBdr>
    </w:div>
    <w:div w:id="1922791400">
      <w:bodyDiv w:val="1"/>
      <w:marLeft w:val="0"/>
      <w:marRight w:val="0"/>
      <w:marTop w:val="0"/>
      <w:marBottom w:val="0"/>
      <w:divBdr>
        <w:top w:val="none" w:sz="0" w:space="0" w:color="auto"/>
        <w:left w:val="none" w:sz="0" w:space="0" w:color="auto"/>
        <w:bottom w:val="none" w:sz="0" w:space="0" w:color="auto"/>
        <w:right w:val="none" w:sz="0" w:space="0" w:color="auto"/>
      </w:divBdr>
    </w:div>
    <w:div w:id="1926110684">
      <w:bodyDiv w:val="1"/>
      <w:marLeft w:val="0"/>
      <w:marRight w:val="0"/>
      <w:marTop w:val="0"/>
      <w:marBottom w:val="0"/>
      <w:divBdr>
        <w:top w:val="none" w:sz="0" w:space="0" w:color="auto"/>
        <w:left w:val="none" w:sz="0" w:space="0" w:color="auto"/>
        <w:bottom w:val="none" w:sz="0" w:space="0" w:color="auto"/>
        <w:right w:val="none" w:sz="0" w:space="0" w:color="auto"/>
      </w:divBdr>
    </w:div>
    <w:div w:id="1937051907">
      <w:bodyDiv w:val="1"/>
      <w:marLeft w:val="0"/>
      <w:marRight w:val="0"/>
      <w:marTop w:val="0"/>
      <w:marBottom w:val="0"/>
      <w:divBdr>
        <w:top w:val="none" w:sz="0" w:space="0" w:color="auto"/>
        <w:left w:val="none" w:sz="0" w:space="0" w:color="auto"/>
        <w:bottom w:val="none" w:sz="0" w:space="0" w:color="auto"/>
        <w:right w:val="none" w:sz="0" w:space="0" w:color="auto"/>
      </w:divBdr>
    </w:div>
    <w:div w:id="1956524195">
      <w:bodyDiv w:val="1"/>
      <w:marLeft w:val="0"/>
      <w:marRight w:val="0"/>
      <w:marTop w:val="0"/>
      <w:marBottom w:val="0"/>
      <w:divBdr>
        <w:top w:val="none" w:sz="0" w:space="0" w:color="auto"/>
        <w:left w:val="none" w:sz="0" w:space="0" w:color="auto"/>
        <w:bottom w:val="none" w:sz="0" w:space="0" w:color="auto"/>
        <w:right w:val="none" w:sz="0" w:space="0" w:color="auto"/>
      </w:divBdr>
    </w:div>
    <w:div w:id="1978099672">
      <w:bodyDiv w:val="1"/>
      <w:marLeft w:val="0"/>
      <w:marRight w:val="0"/>
      <w:marTop w:val="0"/>
      <w:marBottom w:val="0"/>
      <w:divBdr>
        <w:top w:val="none" w:sz="0" w:space="0" w:color="auto"/>
        <w:left w:val="none" w:sz="0" w:space="0" w:color="auto"/>
        <w:bottom w:val="none" w:sz="0" w:space="0" w:color="auto"/>
        <w:right w:val="none" w:sz="0" w:space="0" w:color="auto"/>
      </w:divBdr>
    </w:div>
    <w:div w:id="2006124233">
      <w:bodyDiv w:val="1"/>
      <w:marLeft w:val="0"/>
      <w:marRight w:val="0"/>
      <w:marTop w:val="0"/>
      <w:marBottom w:val="0"/>
      <w:divBdr>
        <w:top w:val="none" w:sz="0" w:space="0" w:color="auto"/>
        <w:left w:val="none" w:sz="0" w:space="0" w:color="auto"/>
        <w:bottom w:val="none" w:sz="0" w:space="0" w:color="auto"/>
        <w:right w:val="none" w:sz="0" w:space="0" w:color="auto"/>
      </w:divBdr>
    </w:div>
    <w:div w:id="2034459474">
      <w:bodyDiv w:val="1"/>
      <w:marLeft w:val="0"/>
      <w:marRight w:val="0"/>
      <w:marTop w:val="0"/>
      <w:marBottom w:val="0"/>
      <w:divBdr>
        <w:top w:val="none" w:sz="0" w:space="0" w:color="auto"/>
        <w:left w:val="none" w:sz="0" w:space="0" w:color="auto"/>
        <w:bottom w:val="none" w:sz="0" w:space="0" w:color="auto"/>
        <w:right w:val="none" w:sz="0" w:space="0" w:color="auto"/>
      </w:divBdr>
    </w:div>
    <w:div w:id="2047363813">
      <w:bodyDiv w:val="1"/>
      <w:marLeft w:val="0"/>
      <w:marRight w:val="0"/>
      <w:marTop w:val="0"/>
      <w:marBottom w:val="0"/>
      <w:divBdr>
        <w:top w:val="none" w:sz="0" w:space="0" w:color="auto"/>
        <w:left w:val="none" w:sz="0" w:space="0" w:color="auto"/>
        <w:bottom w:val="none" w:sz="0" w:space="0" w:color="auto"/>
        <w:right w:val="none" w:sz="0" w:space="0" w:color="auto"/>
      </w:divBdr>
    </w:div>
    <w:div w:id="2051680636">
      <w:bodyDiv w:val="1"/>
      <w:marLeft w:val="0"/>
      <w:marRight w:val="0"/>
      <w:marTop w:val="0"/>
      <w:marBottom w:val="0"/>
      <w:divBdr>
        <w:top w:val="none" w:sz="0" w:space="0" w:color="auto"/>
        <w:left w:val="none" w:sz="0" w:space="0" w:color="auto"/>
        <w:bottom w:val="none" w:sz="0" w:space="0" w:color="auto"/>
        <w:right w:val="none" w:sz="0" w:space="0" w:color="auto"/>
      </w:divBdr>
    </w:div>
    <w:div w:id="2057466041">
      <w:bodyDiv w:val="1"/>
      <w:marLeft w:val="0"/>
      <w:marRight w:val="0"/>
      <w:marTop w:val="0"/>
      <w:marBottom w:val="0"/>
      <w:divBdr>
        <w:top w:val="none" w:sz="0" w:space="0" w:color="auto"/>
        <w:left w:val="none" w:sz="0" w:space="0" w:color="auto"/>
        <w:bottom w:val="none" w:sz="0" w:space="0" w:color="auto"/>
        <w:right w:val="none" w:sz="0" w:space="0" w:color="auto"/>
      </w:divBdr>
    </w:div>
    <w:div w:id="2073769572">
      <w:bodyDiv w:val="1"/>
      <w:marLeft w:val="0"/>
      <w:marRight w:val="0"/>
      <w:marTop w:val="0"/>
      <w:marBottom w:val="0"/>
      <w:divBdr>
        <w:top w:val="none" w:sz="0" w:space="0" w:color="auto"/>
        <w:left w:val="none" w:sz="0" w:space="0" w:color="auto"/>
        <w:bottom w:val="none" w:sz="0" w:space="0" w:color="auto"/>
        <w:right w:val="none" w:sz="0" w:space="0" w:color="auto"/>
      </w:divBdr>
    </w:div>
    <w:div w:id="2079207583">
      <w:bodyDiv w:val="1"/>
      <w:marLeft w:val="0"/>
      <w:marRight w:val="0"/>
      <w:marTop w:val="0"/>
      <w:marBottom w:val="0"/>
      <w:divBdr>
        <w:top w:val="none" w:sz="0" w:space="0" w:color="auto"/>
        <w:left w:val="none" w:sz="0" w:space="0" w:color="auto"/>
        <w:bottom w:val="none" w:sz="0" w:space="0" w:color="auto"/>
        <w:right w:val="none" w:sz="0" w:space="0" w:color="auto"/>
      </w:divBdr>
    </w:div>
    <w:div w:id="2084795218">
      <w:bodyDiv w:val="1"/>
      <w:marLeft w:val="0"/>
      <w:marRight w:val="0"/>
      <w:marTop w:val="0"/>
      <w:marBottom w:val="0"/>
      <w:divBdr>
        <w:top w:val="none" w:sz="0" w:space="0" w:color="auto"/>
        <w:left w:val="none" w:sz="0" w:space="0" w:color="auto"/>
        <w:bottom w:val="none" w:sz="0" w:space="0" w:color="auto"/>
        <w:right w:val="none" w:sz="0" w:space="0" w:color="auto"/>
      </w:divBdr>
    </w:div>
    <w:div w:id="211158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hyperlink" Target="callto:1%20293%20451,70"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yperlink" Target="https://customs.gov.md/ro/articles/graficul-controalelo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crm@ccrm.m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hyperlink" Target="http://www.ccrm.md" TargetMode="Externa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image" Target="cid:image003.jpg@01D53192.824E8D70" TargetMode="External"/><Relationship Id="rId14" Type="http://schemas.openxmlformats.org/officeDocument/2006/relationships/chart" Target="charts/chart2.xm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lex:LPLP199711201380" TargetMode="External"/><Relationship Id="rId2" Type="http://schemas.openxmlformats.org/officeDocument/2006/relationships/hyperlink" Target="lex:LPLP199704241163" TargetMode="External"/><Relationship Id="rId1" Type="http://schemas.openxmlformats.org/officeDocument/2006/relationships/hyperlink" Target="lex:LPLP200007201149" TargetMode="External"/><Relationship Id="rId6" Type="http://schemas.openxmlformats.org/officeDocument/2006/relationships/hyperlink" Target="lex:LPLP20160609129" TargetMode="External"/><Relationship Id="rId5" Type="http://schemas.openxmlformats.org/officeDocument/2006/relationships/hyperlink" Target="lex:LPLP199711201380" TargetMode="External"/><Relationship Id="rId4" Type="http://schemas.openxmlformats.org/officeDocument/2006/relationships/hyperlink" Target="lex:LPLP199711201380"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v_munteanu\Desktop\Diagrame%20SV\Grafic%20Venituri%20vamale%20in%20Buge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v_munteanu\Desktop\Diagrame%20SV\EVOLPercep%20drepturi%20IM&amp;EX.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file:///d:\v_munteanu\Desktop\Diagrame%20SV\Evol%20lunar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v_munteanu\Desktop\Diagrame%20SV\Comert%20exterior%202019-2021.xls"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d:\v_munteanu\Desktop\Diagrame%20SV\EVOLPercep%20drepturi%20IM&amp;EX.xlsx" TargetMode="External"/><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4.xml"/><Relationship Id="rId1" Type="http://schemas.microsoft.com/office/2011/relationships/chartStyle" Target="style4.xml"/></Relationships>
</file>

<file path=word/charts/_rels/chart7.xml.rels><?xml version="1.0" encoding="UTF-8" standalone="yes"?>
<Relationships xmlns="http://schemas.openxmlformats.org/package/2006/relationships"><Relationship Id="rId1" Type="http://schemas.openxmlformats.org/officeDocument/2006/relationships/oleObject" Target="file:///d:\v_munteanu\Desktop\Diagrame%20SV\antrepozite%20vamal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j-lt"/>
                <a:ea typeface="+mn-ea"/>
                <a:cs typeface="+mn-cs"/>
              </a:defRPr>
            </a:pPr>
            <a:r>
              <a:rPr lang="ru-RU" sz="1100" b="1">
                <a:solidFill>
                  <a:sysClr val="windowText" lastClr="000000"/>
                </a:solidFill>
                <a:latin typeface="+mj-lt"/>
                <a:cs typeface="Times New Roman" panose="02020603050405020304" pitchFamily="18" charset="0"/>
              </a:rPr>
              <a:t>Удельный вес таможенных дохожов, полученных Таможенной службой, по отношению  к общим доходам государственного бюджета за </a:t>
            </a:r>
            <a:r>
              <a:rPr lang="ro-MD" sz="1100" b="1" baseline="0">
                <a:solidFill>
                  <a:sysClr val="windowText" lastClr="000000"/>
                </a:solidFill>
                <a:latin typeface="+mj-lt"/>
                <a:cs typeface="Times New Roman" panose="02020603050405020304" pitchFamily="18" charset="0"/>
              </a:rPr>
              <a:t>2019-2021</a:t>
            </a:r>
            <a:r>
              <a:rPr lang="ro-MD" sz="1100" b="1">
                <a:solidFill>
                  <a:sysClr val="windowText" lastClr="000000"/>
                </a:solidFill>
                <a:latin typeface="+mj-lt"/>
                <a:cs typeface="Times New Roman" panose="02020603050405020304" pitchFamily="18" charset="0"/>
              </a:rPr>
              <a:t> </a:t>
            </a:r>
            <a:r>
              <a:rPr lang="ru-RU" sz="1100" b="1">
                <a:solidFill>
                  <a:sysClr val="windowText" lastClr="000000"/>
                </a:solidFill>
                <a:latin typeface="+mj-lt"/>
                <a:cs typeface="Times New Roman" panose="02020603050405020304" pitchFamily="18" charset="0"/>
              </a:rPr>
              <a:t>годы</a:t>
            </a:r>
            <a:endParaRPr lang="ru-MD" sz="1100" b="1">
              <a:solidFill>
                <a:sysClr val="windowText" lastClr="000000"/>
              </a:solidFill>
              <a:latin typeface="+mj-lt"/>
              <a:cs typeface="Times New Roman" panose="02020603050405020304" pitchFamily="18" charset="0"/>
            </a:endParaRPr>
          </a:p>
        </c:rich>
      </c:tx>
      <c:layout>
        <c:manualLayout>
          <c:xMode val="edge"/>
          <c:yMode val="edge"/>
          <c:x val="9.6383980039878192E-2"/>
          <c:y val="3.568324862402235E-3"/>
        </c:manualLayout>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j-lt"/>
              <a:ea typeface="+mn-ea"/>
              <a:cs typeface="+mn-cs"/>
            </a:defRPr>
          </a:pPr>
          <a:endParaRPr lang="en-US"/>
        </a:p>
      </c:txPr>
    </c:title>
    <c:autoTitleDeleted val="0"/>
    <c:plotArea>
      <c:layout>
        <c:manualLayout>
          <c:layoutTarget val="inner"/>
          <c:xMode val="edge"/>
          <c:yMode val="edge"/>
          <c:x val="8.4910089892349383E-2"/>
          <c:y val="0.17171296296296296"/>
          <c:w val="0.84568491861386064"/>
          <c:h val="0.50409703995333921"/>
        </c:manualLayout>
      </c:layout>
      <c:barChart>
        <c:barDir val="col"/>
        <c:grouping val="clustered"/>
        <c:varyColors val="0"/>
        <c:ser>
          <c:idx val="0"/>
          <c:order val="0"/>
          <c:tx>
            <c:strRef>
              <c:f>Лист1!$A$2</c:f>
              <c:strCache>
                <c:ptCount val="1"/>
                <c:pt idx="0">
                  <c:v>Veniturile incasate la bugetul de stat de către Serviciul Vamal (mil. lei)</c:v>
                </c:pt>
              </c:strCache>
            </c:strRef>
          </c:tx>
          <c:spPr>
            <a:solidFill>
              <a:srgbClr val="FF0000"/>
            </a:soli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j-lt"/>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Лист1!$B$1:$D$1</c:f>
              <c:numCache>
                <c:formatCode>General</c:formatCode>
                <c:ptCount val="3"/>
                <c:pt idx="0">
                  <c:v>2019</c:v>
                </c:pt>
                <c:pt idx="1">
                  <c:v>2020</c:v>
                </c:pt>
                <c:pt idx="2">
                  <c:v>2021</c:v>
                </c:pt>
              </c:numCache>
            </c:numRef>
          </c:cat>
          <c:val>
            <c:numRef>
              <c:f>Лист1!$B$2:$D$2</c:f>
              <c:numCache>
                <c:formatCode>General</c:formatCode>
                <c:ptCount val="3"/>
                <c:pt idx="0">
                  <c:v>22896.7</c:v>
                </c:pt>
                <c:pt idx="1">
                  <c:v>22526.799999999999</c:v>
                </c:pt>
                <c:pt idx="2">
                  <c:v>28553.7</c:v>
                </c:pt>
              </c:numCache>
            </c:numRef>
          </c:val>
          <c:extLst>
            <c:ext xmlns:c16="http://schemas.microsoft.com/office/drawing/2014/chart" uri="{C3380CC4-5D6E-409C-BE32-E72D297353CC}">
              <c16:uniqueId val="{00000000-8484-4FA3-A45D-A0E626FAEFD6}"/>
            </c:ext>
          </c:extLst>
        </c:ser>
        <c:ser>
          <c:idx val="1"/>
          <c:order val="1"/>
          <c:tx>
            <c:strRef>
              <c:f>Лист1!$A$3</c:f>
              <c:strCache>
                <c:ptCount val="1"/>
                <c:pt idx="0">
                  <c:v>Veniturile bugetului de stat (mil.lei)</c:v>
                </c:pt>
              </c:strCache>
            </c:strRef>
          </c:tx>
          <c:spPr>
            <a:solidFill>
              <a:srgbClr val="0000CC"/>
            </a:soli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j-lt"/>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Лист1!$B$1:$D$1</c:f>
              <c:numCache>
                <c:formatCode>General</c:formatCode>
                <c:ptCount val="3"/>
                <c:pt idx="0">
                  <c:v>2019</c:v>
                </c:pt>
                <c:pt idx="1">
                  <c:v>2020</c:v>
                </c:pt>
                <c:pt idx="2">
                  <c:v>2021</c:v>
                </c:pt>
              </c:numCache>
            </c:numRef>
          </c:cat>
          <c:val>
            <c:numRef>
              <c:f>Лист1!$B$3:$D$3</c:f>
              <c:numCache>
                <c:formatCode>0.0</c:formatCode>
                <c:ptCount val="3"/>
                <c:pt idx="0">
                  <c:v>40633.5</c:v>
                </c:pt>
                <c:pt idx="1">
                  <c:v>37201.5</c:v>
                </c:pt>
                <c:pt idx="2">
                  <c:v>45862.400000000001</c:v>
                </c:pt>
              </c:numCache>
            </c:numRef>
          </c:val>
          <c:extLst>
            <c:ext xmlns:c16="http://schemas.microsoft.com/office/drawing/2014/chart" uri="{C3380CC4-5D6E-409C-BE32-E72D297353CC}">
              <c16:uniqueId val="{00000001-8484-4FA3-A45D-A0E626FAEFD6}"/>
            </c:ext>
          </c:extLst>
        </c:ser>
        <c:dLbls>
          <c:showLegendKey val="0"/>
          <c:showVal val="0"/>
          <c:showCatName val="0"/>
          <c:showSerName val="0"/>
          <c:showPercent val="0"/>
          <c:showBubbleSize val="0"/>
        </c:dLbls>
        <c:gapWidth val="75"/>
        <c:overlap val="-25"/>
        <c:axId val="301802936"/>
        <c:axId val="301420744"/>
      </c:barChart>
      <c:lineChart>
        <c:grouping val="standard"/>
        <c:varyColors val="0"/>
        <c:ser>
          <c:idx val="2"/>
          <c:order val="2"/>
          <c:tx>
            <c:strRef>
              <c:f>Лист1!$A$4</c:f>
              <c:strCache>
                <c:ptCount val="1"/>
                <c:pt idx="0">
                  <c:v>Ponderea veniturilor administrate de Serviciul Vamal în raport cu veniturile bugetului de stat (%)</c:v>
                </c:pt>
              </c:strCache>
            </c:strRef>
          </c:tx>
          <c:spPr>
            <a:ln w="38100" cap="rnd">
              <a:solidFill>
                <a:srgbClr val="FFFF00"/>
              </a:solidFill>
              <a:round/>
            </a:ln>
            <a:effectLst>
              <a:outerShdw blurRad="40000" dist="20000" dir="5400000" rotWithShape="0">
                <a:srgbClr val="000000">
                  <a:alpha val="38000"/>
                </a:srgbClr>
              </a:outerShdw>
            </a:effectLst>
          </c:spPr>
          <c:marker>
            <c:symbol val="none"/>
          </c:marker>
          <c:dLbls>
            <c:dLbl>
              <c:idx val="0"/>
              <c:layout>
                <c:manualLayout>
                  <c:x val="0"/>
                  <c:y val="2.64200792602376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484-4FA3-A45D-A0E626FAEFD6}"/>
                </c:ext>
              </c:extLst>
            </c:dLbl>
            <c:dLbl>
              <c:idx val="1"/>
              <c:layout>
                <c:manualLayout>
                  <c:x val="-2.2251891410769915E-3"/>
                  <c:y val="3.96301188903566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484-4FA3-A45D-A0E626FAEFD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j-lt"/>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Лист1!$B$1:$D$1</c:f>
              <c:numCache>
                <c:formatCode>General</c:formatCode>
                <c:ptCount val="3"/>
                <c:pt idx="0">
                  <c:v>2019</c:v>
                </c:pt>
                <c:pt idx="1">
                  <c:v>2020</c:v>
                </c:pt>
                <c:pt idx="2">
                  <c:v>2021</c:v>
                </c:pt>
              </c:numCache>
            </c:numRef>
          </c:cat>
          <c:val>
            <c:numRef>
              <c:f>Лист1!$B$4:$D$4</c:f>
              <c:numCache>
                <c:formatCode>0.0</c:formatCode>
                <c:ptCount val="3"/>
                <c:pt idx="0">
                  <c:v>56.349317681223624</c:v>
                </c:pt>
                <c:pt idx="1">
                  <c:v>60.553472306224208</c:v>
                </c:pt>
                <c:pt idx="2">
                  <c:v>62.2</c:v>
                </c:pt>
              </c:numCache>
            </c:numRef>
          </c:val>
          <c:smooth val="0"/>
          <c:extLst>
            <c:ext xmlns:c16="http://schemas.microsoft.com/office/drawing/2014/chart" uri="{C3380CC4-5D6E-409C-BE32-E72D297353CC}">
              <c16:uniqueId val="{00000004-8484-4FA3-A45D-A0E626FAEFD6}"/>
            </c:ext>
          </c:extLst>
        </c:ser>
        <c:dLbls>
          <c:showLegendKey val="0"/>
          <c:showVal val="0"/>
          <c:showCatName val="0"/>
          <c:showSerName val="0"/>
          <c:showPercent val="0"/>
          <c:showBubbleSize val="0"/>
        </c:dLbls>
        <c:marker val="1"/>
        <c:smooth val="0"/>
        <c:axId val="301421528"/>
        <c:axId val="301421136"/>
      </c:lineChart>
      <c:catAx>
        <c:axId val="301802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j-lt"/>
                <a:ea typeface="+mn-ea"/>
                <a:cs typeface="Times New Roman" panose="02020603050405020304" pitchFamily="18" charset="0"/>
              </a:defRPr>
            </a:pPr>
            <a:endParaRPr lang="en-US"/>
          </a:p>
        </c:txPr>
        <c:crossAx val="301420744"/>
        <c:crosses val="autoZero"/>
        <c:auto val="1"/>
        <c:lblAlgn val="ctr"/>
        <c:lblOffset val="100"/>
        <c:noMultiLvlLbl val="0"/>
      </c:catAx>
      <c:valAx>
        <c:axId val="301420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01802936"/>
        <c:crosses val="autoZero"/>
        <c:crossBetween val="between"/>
      </c:valAx>
      <c:valAx>
        <c:axId val="301421136"/>
        <c:scaling>
          <c:orientation val="minMax"/>
        </c:scaling>
        <c:delete val="0"/>
        <c:axPos val="r"/>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01421528"/>
        <c:crosses val="max"/>
        <c:crossBetween val="between"/>
      </c:valAx>
      <c:catAx>
        <c:axId val="301421528"/>
        <c:scaling>
          <c:orientation val="minMax"/>
        </c:scaling>
        <c:delete val="1"/>
        <c:axPos val="b"/>
        <c:numFmt formatCode="General" sourceLinked="1"/>
        <c:majorTickMark val="none"/>
        <c:minorTickMark val="none"/>
        <c:tickLblPos val="nextTo"/>
        <c:crossAx val="301421136"/>
        <c:crosses val="autoZero"/>
        <c:auto val="1"/>
        <c:lblAlgn val="ctr"/>
        <c:lblOffset val="100"/>
        <c:noMultiLvlLbl val="0"/>
      </c:catAx>
      <c:spPr>
        <a:solidFill>
          <a:srgbClr val="CCECFF"/>
        </a:solidFill>
        <a:ln w="25400">
          <a:noFill/>
        </a:ln>
        <a:effectLst/>
      </c:spPr>
    </c:plotArea>
    <c:legend>
      <c:legendPos val="b"/>
      <c:layout>
        <c:manualLayout>
          <c:xMode val="edge"/>
          <c:yMode val="edge"/>
          <c:x val="5.585399955846641E-3"/>
          <c:y val="0.7684155233568063"/>
          <c:w val="0.9798081396794277"/>
          <c:h val="0.19940364125554319"/>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j-lt"/>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000" b="1" i="0" u="none" strike="noStrike" kern="1200" spc="100" baseline="0">
                <a:solidFill>
                  <a:schemeClr val="tx1"/>
                </a:solidFill>
                <a:effectLst>
                  <a:outerShdw blurRad="50800" dist="38100" dir="5400000" algn="t" rotWithShape="0">
                    <a:prstClr val="black">
                      <a:alpha val="40000"/>
                    </a:prstClr>
                  </a:outerShdw>
                </a:effectLst>
                <a:latin typeface="+mj-lt"/>
                <a:ea typeface="+mn-ea"/>
                <a:cs typeface="Times New Roman" panose="02020603050405020304" pitchFamily="18" charset="0"/>
              </a:defRPr>
            </a:pPr>
            <a:r>
              <a:rPr lang="ru-RU" sz="1000">
                <a:latin typeface="+mj-lt"/>
                <a:cs typeface="Times New Roman" panose="02020603050405020304" pitchFamily="18" charset="0"/>
              </a:rPr>
              <a:t>Структура доходов, собранных в государственный бюджет Таможенной службой за </a:t>
            </a:r>
            <a:r>
              <a:rPr lang="ro-MD" sz="1000" baseline="0">
                <a:latin typeface="+mj-lt"/>
                <a:cs typeface="Times New Roman" panose="02020603050405020304" pitchFamily="18" charset="0"/>
              </a:rPr>
              <a:t>2019-2021</a:t>
            </a:r>
            <a:r>
              <a:rPr lang="ru-RU" sz="1000" baseline="0">
                <a:latin typeface="+mj-lt"/>
                <a:cs typeface="Times New Roman" panose="02020603050405020304" pitchFamily="18" charset="0"/>
              </a:rPr>
              <a:t> годы</a:t>
            </a:r>
            <a:r>
              <a:rPr lang="ro-MD" sz="1000" baseline="0">
                <a:latin typeface="+mj-lt"/>
                <a:cs typeface="Times New Roman" panose="02020603050405020304" pitchFamily="18" charset="0"/>
              </a:rPr>
              <a:t> (</a:t>
            </a:r>
            <a:r>
              <a:rPr lang="ru-RU" sz="1000" baseline="0">
                <a:latin typeface="+mj-lt"/>
                <a:cs typeface="Times New Roman" panose="02020603050405020304" pitchFamily="18" charset="0"/>
              </a:rPr>
              <a:t>млн. леев</a:t>
            </a:r>
            <a:r>
              <a:rPr lang="ro-MD" sz="1000" baseline="0">
                <a:latin typeface="+mj-lt"/>
                <a:cs typeface="Times New Roman" panose="02020603050405020304" pitchFamily="18" charset="0"/>
              </a:rPr>
              <a:t>)</a:t>
            </a:r>
            <a:endParaRPr lang="ru-MD" sz="1000">
              <a:latin typeface="+mj-lt"/>
              <a:cs typeface="Times New Roman" panose="02020603050405020304" pitchFamily="18" charset="0"/>
            </a:endParaRPr>
          </a:p>
        </c:rich>
      </c:tx>
      <c:layout>
        <c:manualLayout>
          <c:xMode val="edge"/>
          <c:yMode val="edge"/>
          <c:x val="0.15751904766574165"/>
          <c:y val="5.5590707411573544E-3"/>
        </c:manualLayout>
      </c:layout>
      <c:overlay val="0"/>
      <c:spPr>
        <a:noFill/>
        <a:ln>
          <a:noFill/>
        </a:ln>
        <a:effectLst/>
      </c:spPr>
      <c:txPr>
        <a:bodyPr rot="0" spcFirstLastPara="1" vertOverflow="ellipsis" vert="horz" wrap="square" anchor="ctr" anchorCtr="1"/>
        <a:lstStyle/>
        <a:p>
          <a:pPr algn="ctr">
            <a:defRPr sz="1000" b="1" i="0" u="none" strike="noStrike" kern="1200" spc="100" baseline="0">
              <a:solidFill>
                <a:schemeClr val="tx1"/>
              </a:solidFill>
              <a:effectLst>
                <a:outerShdw blurRad="50800" dist="38100" dir="5400000" algn="t" rotWithShape="0">
                  <a:prstClr val="black">
                    <a:alpha val="40000"/>
                  </a:prstClr>
                </a:outerShdw>
              </a:effectLst>
              <a:latin typeface="+mj-lt"/>
              <a:ea typeface="+mn-ea"/>
              <a:cs typeface="Times New Roman" panose="02020603050405020304" pitchFamily="18" charset="0"/>
            </a:defRPr>
          </a:pPr>
          <a:endParaRPr lang="en-US"/>
        </a:p>
      </c:txPr>
    </c:title>
    <c:autoTitleDeleted val="0"/>
    <c:plotArea>
      <c:layout>
        <c:manualLayout>
          <c:layoutTarget val="inner"/>
          <c:xMode val="edge"/>
          <c:yMode val="edge"/>
          <c:x val="3.4083511658667999E-2"/>
          <c:y val="0.19645200599925011"/>
          <c:w val="0.94762423736767998"/>
          <c:h val="0.58323959505061862"/>
        </c:manualLayout>
      </c:layout>
      <c:barChart>
        <c:barDir val="col"/>
        <c:grouping val="clustered"/>
        <c:varyColors val="0"/>
        <c:ser>
          <c:idx val="0"/>
          <c:order val="0"/>
          <c:tx>
            <c:strRef>
              <c:f>'struc venit'!$A$2</c:f>
              <c:strCache>
                <c:ptCount val="1"/>
                <c:pt idx="0">
                  <c:v>Total venituri vamale calculate la bugetul de stat</c:v>
                </c:pt>
              </c:strCache>
            </c:strRef>
          </c:tx>
          <c:spPr>
            <a:solidFill>
              <a:schemeClr val="accent6">
                <a:lumMod val="50000"/>
              </a:schemeClr>
            </a:solidFill>
            <a:ln>
              <a:solidFill>
                <a:schemeClr val="accent6">
                  <a:lumMod val="50000"/>
                </a:schemeClr>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spPr>
              <a:solidFill>
                <a:schemeClr val="accent6">
                  <a:lumMod val="50000"/>
                </a:schemeClr>
              </a:solidFill>
              <a:ln>
                <a:solidFill>
                  <a:schemeClr val="accent6">
                    <a:lumMod val="50000"/>
                  </a:schemeClr>
                </a:soli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0-1FC6-4FB3-9194-5A881E47BE6B}"/>
              </c:ext>
            </c:extLst>
          </c:dPt>
          <c:dPt>
            <c:idx val="1"/>
            <c:invertIfNegative val="0"/>
            <c:bubble3D val="0"/>
            <c:extLst>
              <c:ext xmlns:c16="http://schemas.microsoft.com/office/drawing/2014/chart" uri="{C3380CC4-5D6E-409C-BE32-E72D297353CC}">
                <c16:uniqueId val="{00000001-1FC6-4FB3-9194-5A881E47BE6B}"/>
              </c:ext>
            </c:extLst>
          </c:dPt>
          <c:dPt>
            <c:idx val="2"/>
            <c:invertIfNegative val="0"/>
            <c:bubble3D val="0"/>
            <c:extLst>
              <c:ext xmlns:c16="http://schemas.microsoft.com/office/drawing/2014/chart" uri="{C3380CC4-5D6E-409C-BE32-E72D297353CC}">
                <c16:uniqueId val="{00000002-1FC6-4FB3-9194-5A881E47BE6B}"/>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j-lt"/>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0-1FC6-4FB3-9194-5A881E47BE6B}"/>
                </c:ext>
              </c:extLst>
            </c:dLbl>
            <c:dLbl>
              <c:idx val="1"/>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j-lt"/>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1-1FC6-4FB3-9194-5A881E47BE6B}"/>
                </c:ext>
              </c:extLst>
            </c:dLbl>
            <c:dLbl>
              <c:idx val="2"/>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j-lt"/>
                      <a:ea typeface="+mn-ea"/>
                      <a:cs typeface="Times New Roman" panose="02020603050405020304" pitchFamily="18" charset="0"/>
                    </a:defRPr>
                  </a:pPr>
                  <a:endParaRPr lang="en-US"/>
                </a:p>
              </c:txPr>
              <c:dLblPos val="outEnd"/>
              <c:showLegendKey val="0"/>
              <c:showVal val="1"/>
              <c:showCatName val="0"/>
              <c:showSerName val="0"/>
              <c:showPercent val="0"/>
              <c:showBubbleSize val="0"/>
              <c:extLst>
                <c:ext xmlns:c16="http://schemas.microsoft.com/office/drawing/2014/chart" uri="{C3380CC4-5D6E-409C-BE32-E72D297353CC}">
                  <c16:uniqueId val="{00000002-1FC6-4FB3-9194-5A881E47BE6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j-lt"/>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'struc venit'!$B$1:$D$1</c:f>
              <c:numCache>
                <c:formatCode>General</c:formatCode>
                <c:ptCount val="3"/>
                <c:pt idx="0">
                  <c:v>2019</c:v>
                </c:pt>
                <c:pt idx="1">
                  <c:v>2020</c:v>
                </c:pt>
                <c:pt idx="2">
                  <c:v>2021</c:v>
                </c:pt>
              </c:numCache>
            </c:numRef>
          </c:cat>
          <c:val>
            <c:numRef>
              <c:f>'struc venit'!$B$2:$D$2</c:f>
              <c:numCache>
                <c:formatCode>0.0</c:formatCode>
                <c:ptCount val="3"/>
                <c:pt idx="0">
                  <c:v>22896.7</c:v>
                </c:pt>
                <c:pt idx="1">
                  <c:v>22526.799999999999</c:v>
                </c:pt>
                <c:pt idx="2">
                  <c:v>28553.7</c:v>
                </c:pt>
              </c:numCache>
            </c:numRef>
          </c:val>
          <c:extLst>
            <c:ext xmlns:c16="http://schemas.microsoft.com/office/drawing/2014/chart" uri="{C3380CC4-5D6E-409C-BE32-E72D297353CC}">
              <c16:uniqueId val="{00000003-1FC6-4FB3-9194-5A881E47BE6B}"/>
            </c:ext>
          </c:extLst>
        </c:ser>
        <c:ser>
          <c:idx val="1"/>
          <c:order val="1"/>
          <c:tx>
            <c:strRef>
              <c:f>'struc venit'!$A$3</c:f>
              <c:strCache>
                <c:ptCount val="1"/>
                <c:pt idx="0">
                  <c:v>TVA</c:v>
                </c:pt>
              </c:strCache>
            </c:strRef>
          </c:tx>
          <c:spPr>
            <a:solidFill>
              <a:srgbClr val="FFC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2.8285465622280244E-2"/>
                  <c:y val="2.596053997923156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FC6-4FB3-9194-5A881E47BE6B}"/>
                </c:ext>
              </c:extLst>
            </c:dLbl>
            <c:dLbl>
              <c:idx val="1"/>
              <c:layout>
                <c:manualLayout>
                  <c:x val="3.6988685813751011E-2"/>
                  <c:y val="1.557632398753894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FC6-4FB3-9194-5A881E47BE6B}"/>
                </c:ext>
              </c:extLst>
            </c:dLbl>
            <c:dLbl>
              <c:idx val="2"/>
              <c:layout>
                <c:manualLayout>
                  <c:x val="3.6988685813750928E-2"/>
                  <c:y val="2.076843198338525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FC6-4FB3-9194-5A881E47BE6B}"/>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j-lt"/>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'struc venit'!$B$1:$D$1</c:f>
              <c:numCache>
                <c:formatCode>General</c:formatCode>
                <c:ptCount val="3"/>
                <c:pt idx="0">
                  <c:v>2019</c:v>
                </c:pt>
                <c:pt idx="1">
                  <c:v>2020</c:v>
                </c:pt>
                <c:pt idx="2">
                  <c:v>2021</c:v>
                </c:pt>
              </c:numCache>
            </c:numRef>
          </c:cat>
          <c:val>
            <c:numRef>
              <c:f>'struc venit'!$B$3:$D$3</c:f>
              <c:numCache>
                <c:formatCode>0.0</c:formatCode>
                <c:ptCount val="3"/>
                <c:pt idx="0">
                  <c:v>15454.4</c:v>
                </c:pt>
                <c:pt idx="1">
                  <c:v>14914.1</c:v>
                </c:pt>
                <c:pt idx="2">
                  <c:v>19614.599999999999</c:v>
                </c:pt>
              </c:numCache>
            </c:numRef>
          </c:val>
          <c:extLst>
            <c:ext xmlns:c16="http://schemas.microsoft.com/office/drawing/2014/chart" uri="{C3380CC4-5D6E-409C-BE32-E72D297353CC}">
              <c16:uniqueId val="{00000007-1FC6-4FB3-9194-5A881E47BE6B}"/>
            </c:ext>
          </c:extLst>
        </c:ser>
        <c:ser>
          <c:idx val="2"/>
          <c:order val="2"/>
          <c:tx>
            <c:strRef>
              <c:f>'struc venit'!$A$4</c:f>
              <c:strCache>
                <c:ptCount val="1"/>
                <c:pt idx="0">
                  <c:v>Accize</c:v>
                </c:pt>
              </c:strCache>
            </c:strRef>
          </c:tx>
          <c:spPr>
            <a:solidFill>
              <a:srgbClr val="C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1.5230635335073977E-2"/>
                  <c:y val="1.557632398753894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FC6-4FB3-9194-5A881E47BE6B}"/>
                </c:ext>
              </c:extLst>
            </c:dLbl>
            <c:dLbl>
              <c:idx val="1"/>
              <c:layout>
                <c:manualLayout>
                  <c:x val="1.0879025239338555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FC6-4FB3-9194-5A881E47BE6B}"/>
                </c:ext>
              </c:extLst>
            </c:dLbl>
            <c:dLbl>
              <c:idx val="2"/>
              <c:layout>
                <c:manualLayout>
                  <c:x val="2.8285465622280244E-2"/>
                  <c:y val="1.038421599169253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FC6-4FB3-9194-5A881E47BE6B}"/>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j-lt"/>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'struc venit'!$B$1:$D$1</c:f>
              <c:numCache>
                <c:formatCode>General</c:formatCode>
                <c:ptCount val="3"/>
                <c:pt idx="0">
                  <c:v>2019</c:v>
                </c:pt>
                <c:pt idx="1">
                  <c:v>2020</c:v>
                </c:pt>
                <c:pt idx="2">
                  <c:v>2021</c:v>
                </c:pt>
              </c:numCache>
            </c:numRef>
          </c:cat>
          <c:val>
            <c:numRef>
              <c:f>'struc venit'!$B$4:$D$4</c:f>
              <c:numCache>
                <c:formatCode>0.0</c:formatCode>
                <c:ptCount val="3"/>
                <c:pt idx="0">
                  <c:v>5693.1</c:v>
                </c:pt>
                <c:pt idx="1">
                  <c:v>5909.8</c:v>
                </c:pt>
                <c:pt idx="2">
                  <c:v>6731.5</c:v>
                </c:pt>
              </c:numCache>
            </c:numRef>
          </c:val>
          <c:extLst>
            <c:ext xmlns:c16="http://schemas.microsoft.com/office/drawing/2014/chart" uri="{C3380CC4-5D6E-409C-BE32-E72D297353CC}">
              <c16:uniqueId val="{0000000B-1FC6-4FB3-9194-5A881E47BE6B}"/>
            </c:ext>
          </c:extLst>
        </c:ser>
        <c:ser>
          <c:idx val="3"/>
          <c:order val="3"/>
          <c:tx>
            <c:strRef>
              <c:f>'struc venit'!$A$5</c:f>
              <c:strCache>
                <c:ptCount val="1"/>
                <c:pt idx="0">
                  <c:v>Taxa vamală </c:v>
                </c:pt>
              </c:strCache>
            </c:strRef>
          </c:tx>
          <c:spPr>
            <a:solidFill>
              <a:schemeClr val="tx1"/>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2.1964660420086012E-2"/>
                  <c:y val="5.192107995846218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FC6-4FB3-9194-5A881E47BE6B}"/>
                </c:ext>
              </c:extLst>
            </c:dLbl>
            <c:dLbl>
              <c:idx val="1"/>
              <c:layout>
                <c:manualLayout>
                  <c:x val="2.1964660420085932E-2"/>
                  <c:y val="-9.5187546975850416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FC6-4FB3-9194-5A881E47BE6B}"/>
                </c:ext>
              </c:extLst>
            </c:dLbl>
            <c:dLbl>
              <c:idx val="2"/>
              <c:layout>
                <c:manualLayout>
                  <c:x val="2.1987686895338612E-2"/>
                  <c:y val="-5.192107995846408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1FC6-4FB3-9194-5A881E47BE6B}"/>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j-lt"/>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'struc venit'!$B$1:$D$1</c:f>
              <c:numCache>
                <c:formatCode>General</c:formatCode>
                <c:ptCount val="3"/>
                <c:pt idx="0">
                  <c:v>2019</c:v>
                </c:pt>
                <c:pt idx="1">
                  <c:v>2020</c:v>
                </c:pt>
                <c:pt idx="2">
                  <c:v>2021</c:v>
                </c:pt>
              </c:numCache>
            </c:numRef>
          </c:cat>
          <c:val>
            <c:numRef>
              <c:f>'struc venit'!$B$5:$D$5</c:f>
              <c:numCache>
                <c:formatCode>General</c:formatCode>
                <c:ptCount val="3"/>
                <c:pt idx="0" formatCode="0.0">
                  <c:v>1197.0999999999999</c:v>
                </c:pt>
                <c:pt idx="1">
                  <c:v>1191.5</c:v>
                </c:pt>
                <c:pt idx="2" formatCode="0.0">
                  <c:v>1539.1</c:v>
                </c:pt>
              </c:numCache>
            </c:numRef>
          </c:val>
          <c:extLst>
            <c:ext xmlns:c16="http://schemas.microsoft.com/office/drawing/2014/chart" uri="{C3380CC4-5D6E-409C-BE32-E72D297353CC}">
              <c16:uniqueId val="{0000000E-1FC6-4FB3-9194-5A881E47BE6B}"/>
            </c:ext>
          </c:extLst>
        </c:ser>
        <c:ser>
          <c:idx val="4"/>
          <c:order val="4"/>
          <c:tx>
            <c:strRef>
              <c:f>'struc venit'!$A$6</c:f>
              <c:strCache>
                <c:ptCount val="1"/>
                <c:pt idx="0">
                  <c:v>Proceduri vamale</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2.8472323215534733E-2"/>
                  <c:y val="2.557951284126867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FC6-4FB3-9194-5A881E47BE6B}"/>
                </c:ext>
              </c:extLst>
            </c:dLbl>
            <c:dLbl>
              <c:idx val="1"/>
              <c:layout>
                <c:manualLayout>
                  <c:x val="3.7307910719603321E-2"/>
                  <c:y val="2.557951284126857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1FC6-4FB3-9194-5A881E47BE6B}"/>
                </c:ext>
              </c:extLst>
            </c:dLbl>
            <c:dLbl>
              <c:idx val="2"/>
              <c:layout>
                <c:manualLayout>
                  <c:x val="1.7438135180883069E-2"/>
                  <c:y val="2.557951284126857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1FC6-4FB3-9194-5A881E47BE6B}"/>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j-lt"/>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'struc venit'!$B$1:$D$1</c:f>
              <c:numCache>
                <c:formatCode>General</c:formatCode>
                <c:ptCount val="3"/>
                <c:pt idx="0">
                  <c:v>2019</c:v>
                </c:pt>
                <c:pt idx="1">
                  <c:v>2020</c:v>
                </c:pt>
                <c:pt idx="2">
                  <c:v>2021</c:v>
                </c:pt>
              </c:numCache>
            </c:numRef>
          </c:cat>
          <c:val>
            <c:numRef>
              <c:f>'struc venit'!$B$6:$D$6</c:f>
              <c:numCache>
                <c:formatCode>0.0</c:formatCode>
                <c:ptCount val="3"/>
                <c:pt idx="0">
                  <c:v>525.79999999999995</c:v>
                </c:pt>
                <c:pt idx="1">
                  <c:v>489.4</c:v>
                </c:pt>
                <c:pt idx="2" formatCode="General">
                  <c:v>635.9</c:v>
                </c:pt>
              </c:numCache>
            </c:numRef>
          </c:val>
          <c:extLst>
            <c:ext xmlns:c16="http://schemas.microsoft.com/office/drawing/2014/chart" uri="{C3380CC4-5D6E-409C-BE32-E72D297353CC}">
              <c16:uniqueId val="{00000012-1FC6-4FB3-9194-5A881E47BE6B}"/>
            </c:ext>
          </c:extLst>
        </c:ser>
        <c:ser>
          <c:idx val="5"/>
          <c:order val="5"/>
          <c:tx>
            <c:strRef>
              <c:f>'struc venit'!$A$7</c:f>
              <c:strCache>
                <c:ptCount val="1"/>
                <c:pt idx="0">
                  <c:v>Alte taxe</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3.5262190181372451E-2"/>
                  <c:y val="2.577002641025021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1FC6-4FB3-9194-5A881E47BE6B}"/>
                </c:ext>
              </c:extLst>
            </c:dLbl>
            <c:dLbl>
              <c:idx val="1"/>
              <c:layout>
                <c:manualLayout>
                  <c:x val="4.6296373243582017E-2"/>
                  <c:y val="2.557951284126867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1FC6-4FB3-9194-5A881E47BE6B}"/>
                </c:ext>
              </c:extLst>
            </c:dLbl>
            <c:dLbl>
              <c:idx val="2"/>
              <c:layout>
                <c:manualLayout>
                  <c:x val="3.1263720662885477E-2"/>
                  <c:y val="7.597852838488647E-3"/>
                </c:manualLayout>
              </c:layout>
              <c:spPr>
                <a:noFill/>
                <a:ln>
                  <a:noFill/>
                </a:ln>
                <a:effectLst/>
              </c:spPr>
              <c:txPr>
                <a:bodyPr rot="0" spcFirstLastPara="1" vertOverflow="ellipsis" vert="horz" wrap="square" lIns="38100" tIns="19050" rIns="38100" bIns="19050" anchor="ctr" anchorCtr="0">
                  <a:noAutofit/>
                </a:bodyPr>
                <a:lstStyle/>
                <a:p>
                  <a:pPr algn="ctr">
                    <a:defRPr sz="900" b="1" i="0" u="none" strike="noStrike" kern="1200" baseline="0">
                      <a:solidFill>
                        <a:schemeClr val="tx1"/>
                      </a:solidFill>
                      <a:latin typeface="+mj-lt"/>
                      <a:ea typeface="+mn-ea"/>
                      <a:cs typeface="Times New Roman" panose="02020603050405020304" pitchFamily="18" charset="0"/>
                    </a:defRPr>
                  </a:pPr>
                  <a:endParaRPr lang="en-US"/>
                </a:p>
              </c:txPr>
              <c:dLblPos val="outEnd"/>
              <c:showLegendKey val="1"/>
              <c:showVal val="1"/>
              <c:showCatName val="0"/>
              <c:showSerName val="0"/>
              <c:showPercent val="0"/>
              <c:showBubbleSize val="0"/>
              <c:extLst>
                <c:ext xmlns:c15="http://schemas.microsoft.com/office/drawing/2012/chart" uri="{CE6537A1-D6FC-4f65-9D91-7224C49458BB}">
                  <c15:layout>
                    <c:manualLayout>
                      <c:w val="4.7823218997361479E-2"/>
                      <c:h val="3.2944129647345478E-2"/>
                    </c:manualLayout>
                  </c15:layout>
                </c:ext>
                <c:ext xmlns:c16="http://schemas.microsoft.com/office/drawing/2014/chart" uri="{C3380CC4-5D6E-409C-BE32-E72D297353CC}">
                  <c16:uniqueId val="{00000015-1FC6-4FB3-9194-5A881E47BE6B}"/>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j-lt"/>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'struc venit'!$B$1:$D$1</c:f>
              <c:numCache>
                <c:formatCode>General</c:formatCode>
                <c:ptCount val="3"/>
                <c:pt idx="0">
                  <c:v>2019</c:v>
                </c:pt>
                <c:pt idx="1">
                  <c:v>2020</c:v>
                </c:pt>
                <c:pt idx="2">
                  <c:v>2021</c:v>
                </c:pt>
              </c:numCache>
            </c:numRef>
          </c:cat>
          <c:val>
            <c:numRef>
              <c:f>'struc venit'!$B$7:$D$7</c:f>
              <c:numCache>
                <c:formatCode>0.0</c:formatCode>
                <c:ptCount val="3"/>
                <c:pt idx="0">
                  <c:v>26.3</c:v>
                </c:pt>
                <c:pt idx="1">
                  <c:v>22</c:v>
                </c:pt>
                <c:pt idx="2">
                  <c:v>32.6</c:v>
                </c:pt>
              </c:numCache>
            </c:numRef>
          </c:val>
          <c:extLst>
            <c:ext xmlns:c16="http://schemas.microsoft.com/office/drawing/2014/chart" uri="{C3380CC4-5D6E-409C-BE32-E72D297353CC}">
              <c16:uniqueId val="{00000016-1FC6-4FB3-9194-5A881E47BE6B}"/>
            </c:ext>
          </c:extLst>
        </c:ser>
        <c:dLbls>
          <c:dLblPos val="outEnd"/>
          <c:showLegendKey val="0"/>
          <c:showVal val="1"/>
          <c:showCatName val="0"/>
          <c:showSerName val="0"/>
          <c:showPercent val="0"/>
          <c:showBubbleSize val="0"/>
        </c:dLbls>
        <c:gapWidth val="75"/>
        <c:overlap val="40"/>
        <c:axId val="301422312"/>
        <c:axId val="296842712"/>
      </c:barChart>
      <c:catAx>
        <c:axId val="301422312"/>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j-lt"/>
                <a:ea typeface="+mn-ea"/>
                <a:cs typeface="Times New Roman" panose="02020603050405020304" pitchFamily="18" charset="0"/>
              </a:defRPr>
            </a:pPr>
            <a:endParaRPr lang="en-US"/>
          </a:p>
        </c:txPr>
        <c:crossAx val="296842712"/>
        <c:crosses val="autoZero"/>
        <c:auto val="1"/>
        <c:lblAlgn val="ctr"/>
        <c:lblOffset val="100"/>
        <c:noMultiLvlLbl val="0"/>
      </c:catAx>
      <c:valAx>
        <c:axId val="296842712"/>
        <c:scaling>
          <c:orientation val="minMax"/>
        </c:scaling>
        <c:delete val="1"/>
        <c:axPos val="l"/>
        <c:majorGridlines>
          <c:spPr>
            <a:ln w="9525" cap="flat" cmpd="sng" algn="ctr">
              <a:solidFill>
                <a:schemeClr val="lt1">
                  <a:lumMod val="95000"/>
                  <a:alpha val="10000"/>
                </a:schemeClr>
              </a:solidFill>
              <a:round/>
            </a:ln>
            <a:effectLst/>
          </c:spPr>
        </c:majorGridlines>
        <c:numFmt formatCode="0.0" sourceLinked="1"/>
        <c:majorTickMark val="none"/>
        <c:minorTickMark val="none"/>
        <c:tickLblPos val="nextTo"/>
        <c:crossAx val="301422312"/>
        <c:crosses val="autoZero"/>
        <c:crossBetween val="between"/>
      </c:valAx>
      <c:spPr>
        <a:solidFill>
          <a:srgbClr val="FFFFCC"/>
        </a:solidFill>
        <a:ln>
          <a:noFill/>
        </a:ln>
        <a:effectLst/>
      </c:spPr>
    </c:plotArea>
    <c:legend>
      <c:legendPos val="r"/>
      <c:layout>
        <c:manualLayout>
          <c:xMode val="edge"/>
          <c:yMode val="edge"/>
          <c:x val="1.2644487319879704E-2"/>
          <c:y val="0.87604598490609231"/>
          <c:w val="0.9763179850863013"/>
          <c:h val="0.12395401509390766"/>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j-lt"/>
              <a:ea typeface="+mn-ea"/>
              <a:cs typeface="Times New Roman" panose="02020603050405020304" pitchFamily="18" charset="0"/>
            </a:defRPr>
          </a:pPr>
          <a:endParaRPr lang="en-US"/>
        </a:p>
      </c:txPr>
    </c:legend>
    <c:plotVisOnly val="1"/>
    <c:dispBlanksAs val="gap"/>
    <c:showDLblsOverMax val="0"/>
  </c:chart>
  <c:spPr>
    <a:noFill/>
    <a:ln>
      <a:solidFill>
        <a:schemeClr val="tx1"/>
      </a:solidFill>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5"/>
    </mc:Choice>
    <mc:Fallback>
      <c:style val="25"/>
    </mc:Fallback>
  </mc:AlternateContent>
  <c:chart>
    <c:title>
      <c:tx>
        <c:rich>
          <a:bodyPr/>
          <a:lstStyle/>
          <a:p>
            <a:pPr>
              <a:defRPr sz="1100">
                <a:latin typeface="Calibri Light" panose="020F0302020204030204" pitchFamily="34" charset="0"/>
                <a:cs typeface="Calibri Light" panose="020F0302020204030204" pitchFamily="34" charset="0"/>
              </a:defRPr>
            </a:pPr>
            <a:r>
              <a:rPr lang="ru-RU" sz="1100">
                <a:latin typeface="Calibri Light" panose="020F0302020204030204" pitchFamily="34" charset="0"/>
                <a:cs typeface="Calibri Light" panose="020F0302020204030204" pitchFamily="34" charset="0"/>
              </a:rPr>
              <a:t>Динамика ежемесячных поступлений в государственный бюджет доходов, управляемых Таможенной службой, по сравнению с уточненным планом на 2021 год</a:t>
            </a:r>
            <a:r>
              <a:rPr lang="ro-RO" sz="1100" b="1" i="0" u="none" strike="noStrike" baseline="0">
                <a:effectLst/>
              </a:rPr>
              <a:t> </a:t>
            </a:r>
            <a:r>
              <a:rPr lang="ro-RO" sz="1100">
                <a:latin typeface="Calibri Light" panose="020F0302020204030204" pitchFamily="34" charset="0"/>
                <a:cs typeface="Calibri Light" panose="020F0302020204030204" pitchFamily="34" charset="0"/>
              </a:rPr>
              <a:t>(</a:t>
            </a:r>
            <a:r>
              <a:rPr lang="ru-RU" sz="1100">
                <a:latin typeface="Calibri Light" panose="020F0302020204030204" pitchFamily="34" charset="0"/>
                <a:cs typeface="Calibri Light" panose="020F0302020204030204" pitchFamily="34" charset="0"/>
              </a:rPr>
              <a:t>млн. леев</a:t>
            </a:r>
            <a:r>
              <a:rPr lang="ro-RO" sz="1100">
                <a:latin typeface="Calibri Light" panose="020F0302020204030204" pitchFamily="34" charset="0"/>
                <a:cs typeface="Calibri Light" panose="020F0302020204030204" pitchFamily="34" charset="0"/>
              </a:rPr>
              <a:t>)</a:t>
            </a:r>
            <a:endParaRPr lang="ru-RU" sz="1100">
              <a:latin typeface="Calibri Light" panose="020F0302020204030204" pitchFamily="34" charset="0"/>
              <a:cs typeface="Calibri Light" panose="020F0302020204030204" pitchFamily="34" charset="0"/>
            </a:endParaRPr>
          </a:p>
        </c:rich>
      </c:tx>
      <c:layout>
        <c:manualLayout>
          <c:xMode val="edge"/>
          <c:yMode val="edge"/>
          <c:x val="0.12942574675592966"/>
          <c:y val="1.2210210058147878E-3"/>
        </c:manualLayout>
      </c:layout>
      <c:overlay val="1"/>
    </c:title>
    <c:autoTitleDeleted val="0"/>
    <c:plotArea>
      <c:layout>
        <c:manualLayout>
          <c:layoutTarget val="inner"/>
          <c:xMode val="edge"/>
          <c:yMode val="edge"/>
          <c:x val="2.77713821191038E-2"/>
          <c:y val="0.1598066114751529"/>
          <c:w val="0.96525950797059945"/>
          <c:h val="0.52508277735124376"/>
        </c:manualLayout>
      </c:layout>
      <c:barChart>
        <c:barDir val="col"/>
        <c:grouping val="clustered"/>
        <c:varyColors val="0"/>
        <c:ser>
          <c:idx val="0"/>
          <c:order val="0"/>
          <c:tx>
            <c:strRef>
              <c:f>Лист2!$A$3</c:f>
              <c:strCache>
                <c:ptCount val="1"/>
                <c:pt idx="0">
                  <c:v>Calcularea lunară a veniturilor la bugetul de stat</c:v>
                </c:pt>
              </c:strCache>
            </c:strRef>
          </c:tx>
          <c:spPr>
            <a:solidFill>
              <a:srgbClr val="5E19E7"/>
            </a:solidFill>
          </c:spPr>
          <c:invertIfNegative val="0"/>
          <c:dLbls>
            <c:dLbl>
              <c:idx val="0"/>
              <c:layout>
                <c:manualLayout>
                  <c:x val="2.1401819154628215E-3"/>
                  <c:y val="1.379483814523186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FAD-486D-8203-71B3405E429F}"/>
                </c:ext>
              </c:extLst>
            </c:dLbl>
            <c:dLbl>
              <c:idx val="1"/>
              <c:layout>
                <c:manualLayout>
                  <c:x val="0"/>
                  <c:y val="1.727280183727034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FAD-486D-8203-71B3405E429F}"/>
                </c:ext>
              </c:extLst>
            </c:dLbl>
            <c:dLbl>
              <c:idx val="2"/>
              <c:layout>
                <c:manualLayout>
                  <c:x val="2.1401819154628215E-3"/>
                  <c:y val="9.964457567804053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FAD-486D-8203-71B3405E429F}"/>
                </c:ext>
              </c:extLst>
            </c:dLbl>
            <c:dLbl>
              <c:idx val="3"/>
              <c:layout>
                <c:manualLayout>
                  <c:x val="4.2803638309256422E-3"/>
                  <c:y val="7.499726596675417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FAD-486D-8203-71B3405E429F}"/>
                </c:ext>
              </c:extLst>
            </c:dLbl>
            <c:dLbl>
              <c:idx val="4"/>
              <c:layout>
                <c:manualLayout>
                  <c:x val="2.1401819154628215E-3"/>
                  <c:y val="1.19819006999125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FAD-486D-8203-71B3405E429F}"/>
                </c:ext>
              </c:extLst>
            </c:dLbl>
            <c:dLbl>
              <c:idx val="5"/>
              <c:layout>
                <c:manualLayout>
                  <c:x val="2.1401819154628215E-3"/>
                  <c:y val="7.850503062117238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FAD-486D-8203-71B3405E429F}"/>
                </c:ext>
              </c:extLst>
            </c:dLbl>
            <c:dLbl>
              <c:idx val="6"/>
              <c:layout>
                <c:manualLayout>
                  <c:x val="2.1401819154628215E-3"/>
                  <c:y val="7.0811461067366791E-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FAD-486D-8203-71B3405E429F}"/>
                </c:ext>
              </c:extLst>
            </c:dLbl>
            <c:dLbl>
              <c:idx val="7"/>
              <c:layout>
                <c:manualLayout>
                  <c:x val="2.1401819154628215E-3"/>
                  <c:y val="4.440343394575698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FAD-486D-8203-71B3405E429F}"/>
                </c:ext>
              </c:extLst>
            </c:dLbl>
            <c:dLbl>
              <c:idx val="8"/>
              <c:layout>
                <c:manualLayout>
                  <c:x val="7.8472430380091774E-17"/>
                  <c:y val="2.046287182852144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FAD-486D-8203-71B3405E429F}"/>
                </c:ext>
              </c:extLst>
            </c:dLbl>
            <c:dLbl>
              <c:idx val="9"/>
              <c:layout>
                <c:manualLayout>
                  <c:x val="0"/>
                  <c:y val="6.710411198600214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FAD-486D-8203-71B3405E429F}"/>
                </c:ext>
              </c:extLst>
            </c:dLbl>
            <c:dLbl>
              <c:idx val="10"/>
              <c:layout>
                <c:manualLayout>
                  <c:x val="0"/>
                  <c:y val="8.568460192475958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FAD-486D-8203-71B3405E429F}"/>
                </c:ext>
              </c:extLst>
            </c:dLbl>
            <c:dLbl>
              <c:idx val="11"/>
              <c:layout>
                <c:manualLayout>
                  <c:x val="0"/>
                  <c:y val="1.409038713910761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FAD-486D-8203-71B3405E429F}"/>
                </c:ext>
              </c:extLst>
            </c:dLbl>
            <c:spPr>
              <a:noFill/>
              <a:ln>
                <a:noFill/>
              </a:ln>
              <a:effectLst/>
            </c:spPr>
            <c:txPr>
              <a:bodyPr/>
              <a:lstStyle/>
              <a:p>
                <a:pPr>
                  <a:defRPr b="1">
                    <a:latin typeface="Calibri Light" panose="020F0302020204030204" pitchFamily="34" charset="0"/>
                    <a:cs typeface="Calibri Light" panose="020F030202020403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Лист2!$B$1:$M$1</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Лист2!$B$3:$M$3</c:f>
              <c:numCache>
                <c:formatCode>General</c:formatCode>
                <c:ptCount val="12"/>
                <c:pt idx="0">
                  <c:v>1488.4</c:v>
                </c:pt>
                <c:pt idx="1">
                  <c:v>1980</c:v>
                </c:pt>
                <c:pt idx="2">
                  <c:v>2034.9</c:v>
                </c:pt>
                <c:pt idx="3">
                  <c:v>2233.9</c:v>
                </c:pt>
                <c:pt idx="4">
                  <c:v>2183.9</c:v>
                </c:pt>
                <c:pt idx="5">
                  <c:v>2393.3000000000002</c:v>
                </c:pt>
                <c:pt idx="6">
                  <c:v>2312.1999999999998</c:v>
                </c:pt>
                <c:pt idx="7">
                  <c:v>2504.6</c:v>
                </c:pt>
                <c:pt idx="8">
                  <c:v>2795.8</c:v>
                </c:pt>
                <c:pt idx="9">
                  <c:v>2628.5</c:v>
                </c:pt>
                <c:pt idx="10">
                  <c:v>2656.3</c:v>
                </c:pt>
                <c:pt idx="11">
                  <c:v>3062.2</c:v>
                </c:pt>
              </c:numCache>
            </c:numRef>
          </c:val>
          <c:extLst>
            <c:ext xmlns:c16="http://schemas.microsoft.com/office/drawing/2014/chart" uri="{C3380CC4-5D6E-409C-BE32-E72D297353CC}">
              <c16:uniqueId val="{0000000C-4FAD-486D-8203-71B3405E429F}"/>
            </c:ext>
          </c:extLst>
        </c:ser>
        <c:dLbls>
          <c:showLegendKey val="0"/>
          <c:showVal val="0"/>
          <c:showCatName val="0"/>
          <c:showSerName val="0"/>
          <c:showPercent val="0"/>
          <c:showBubbleSize val="0"/>
        </c:dLbls>
        <c:gapWidth val="150"/>
        <c:axId val="296843496"/>
        <c:axId val="296843888"/>
      </c:barChart>
      <c:lineChart>
        <c:grouping val="standard"/>
        <c:varyColors val="0"/>
        <c:ser>
          <c:idx val="1"/>
          <c:order val="1"/>
          <c:tx>
            <c:strRef>
              <c:f>Лист2!$A$4</c:f>
              <c:strCache>
                <c:ptCount val="1"/>
                <c:pt idx="0">
                  <c:v>Devieri de la planul lunar aprobat</c:v>
                </c:pt>
              </c:strCache>
            </c:strRef>
          </c:tx>
          <c:spPr>
            <a:ln>
              <a:solidFill>
                <a:srgbClr val="C00000"/>
              </a:solidFill>
            </a:ln>
          </c:spPr>
          <c:marker>
            <c:symbol val="none"/>
          </c:marker>
          <c:dLbls>
            <c:dLbl>
              <c:idx val="0"/>
              <c:layout>
                <c:manualLayout>
                  <c:x val="-5.2259654593535543E-2"/>
                  <c:y val="-7.41587901384695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FAD-486D-8203-71B3405E429F}"/>
                </c:ext>
              </c:extLst>
            </c:dLbl>
            <c:dLbl>
              <c:idx val="1"/>
              <c:layout>
                <c:manualLayout>
                  <c:x val="-4.7583980060046452E-2"/>
                  <c:y val="-7.414271046368087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4FAD-486D-8203-71B3405E429F}"/>
                </c:ext>
              </c:extLst>
            </c:dLbl>
            <c:dLbl>
              <c:idx val="2"/>
              <c:layout>
                <c:manualLayout>
                  <c:x val="-5.8932741321003984E-2"/>
                  <c:y val="-7.222755419771635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4FAD-486D-8203-71B3405E429F}"/>
                </c:ext>
              </c:extLst>
            </c:dLbl>
            <c:dLbl>
              <c:idx val="3"/>
              <c:layout>
                <c:manualLayout>
                  <c:x val="-5.801990578515815E-2"/>
                  <c:y val="-7.494669420310974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4FAD-486D-8203-71B3405E429F}"/>
                </c:ext>
              </c:extLst>
            </c:dLbl>
            <c:dLbl>
              <c:idx val="4"/>
              <c:layout>
                <c:manualLayout>
                  <c:x val="-5.1767989432975552E-2"/>
                  <c:y val="-7.34723890209320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4FAD-486D-8203-71B3405E429F}"/>
                </c:ext>
              </c:extLst>
            </c:dLbl>
            <c:dLbl>
              <c:idx val="5"/>
              <c:layout>
                <c:manualLayout>
                  <c:x val="-5.2324214868824853E-2"/>
                  <c:y val="-7.91424843432541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4FAD-486D-8203-71B3405E429F}"/>
                </c:ext>
              </c:extLst>
            </c:dLbl>
            <c:dLbl>
              <c:idx val="6"/>
              <c:layout>
                <c:manualLayout>
                  <c:x val="-4.4056003790893125E-2"/>
                  <c:y val="-7.433198163567149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4FAD-486D-8203-71B3405E429F}"/>
                </c:ext>
              </c:extLst>
            </c:dLbl>
            <c:dLbl>
              <c:idx val="7"/>
              <c:layout>
                <c:manualLayout>
                  <c:x val="-5.2868031783796891E-2"/>
                  <c:y val="-8.131022550068925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4FAD-486D-8203-71B3405E429F}"/>
                </c:ext>
              </c:extLst>
            </c:dLbl>
            <c:dLbl>
              <c:idx val="8"/>
              <c:layout>
                <c:manualLayout>
                  <c:x val="-5.1313909502319406E-2"/>
                  <c:y val="-7.888922946533413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4FAD-486D-8203-71B3405E429F}"/>
                </c:ext>
              </c:extLst>
            </c:dLbl>
            <c:dLbl>
              <c:idx val="9"/>
              <c:layout>
                <c:manualLayout>
                  <c:x val="-4.963606167934044E-2"/>
                  <c:y val="-9.21104070670170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4FAD-486D-8203-71B3405E429F}"/>
                </c:ext>
              </c:extLst>
            </c:dLbl>
            <c:dLbl>
              <c:idx val="10"/>
              <c:layout>
                <c:manualLayout>
                  <c:x val="-5.0740599871059285E-2"/>
                  <c:y val="-7.881151103718926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4FAD-486D-8203-71B3405E429F}"/>
                </c:ext>
              </c:extLst>
            </c:dLbl>
            <c:dLbl>
              <c:idx val="11"/>
              <c:layout>
                <c:manualLayout>
                  <c:x val="-3.5973990935743098E-2"/>
                  <c:y val="7.002557156239713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4FAD-486D-8203-71B3405E429F}"/>
                </c:ext>
              </c:extLst>
            </c:dLbl>
            <c:spPr>
              <a:solidFill>
                <a:srgbClr val="FFFF00"/>
              </a:solidFill>
            </c:spPr>
            <c:txPr>
              <a:bodyPr wrap="square" lIns="38100" tIns="19050" rIns="38100" bIns="19050" anchor="ctr">
                <a:spAutoFit/>
              </a:bodyPr>
              <a:lstStyle/>
              <a:p>
                <a:pPr>
                  <a:defRPr b="1">
                    <a:latin typeface="Calibri Light" panose="020F0302020204030204" pitchFamily="34" charset="0"/>
                    <a:cs typeface="Calibri Light" panose="020F0302020204030204" pitchFamily="34" charset="0"/>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Лист2!$B$1:$M$1</c:f>
              <c:strCache>
                <c:ptCount val="12"/>
                <c:pt idx="0">
                  <c:v>Ianuarie</c:v>
                </c:pt>
                <c:pt idx="1">
                  <c:v>Februarie</c:v>
                </c:pt>
                <c:pt idx="2">
                  <c:v>Martie</c:v>
                </c:pt>
                <c:pt idx="3">
                  <c:v>Aprilie</c:v>
                </c:pt>
                <c:pt idx="4">
                  <c:v>Mai</c:v>
                </c:pt>
                <c:pt idx="5">
                  <c:v>Iunie</c:v>
                </c:pt>
                <c:pt idx="6">
                  <c:v>Iulie</c:v>
                </c:pt>
                <c:pt idx="7">
                  <c:v>August</c:v>
                </c:pt>
                <c:pt idx="8">
                  <c:v>Septembrie</c:v>
                </c:pt>
                <c:pt idx="9">
                  <c:v>Octombrie</c:v>
                </c:pt>
                <c:pt idx="10">
                  <c:v>Noiembrie</c:v>
                </c:pt>
                <c:pt idx="11">
                  <c:v>Decembrie</c:v>
                </c:pt>
              </c:strCache>
            </c:strRef>
          </c:cat>
          <c:val>
            <c:numRef>
              <c:f>Лист2!$B$4:$M$4</c:f>
              <c:numCache>
                <c:formatCode>General</c:formatCode>
                <c:ptCount val="12"/>
                <c:pt idx="0">
                  <c:v>131.1</c:v>
                </c:pt>
                <c:pt idx="1">
                  <c:v>86.3</c:v>
                </c:pt>
                <c:pt idx="2">
                  <c:v>266.60000000000002</c:v>
                </c:pt>
                <c:pt idx="3">
                  <c:v>331.6</c:v>
                </c:pt>
                <c:pt idx="4">
                  <c:v>118.3</c:v>
                </c:pt>
                <c:pt idx="5">
                  <c:v>291.39999999999998</c:v>
                </c:pt>
                <c:pt idx="6">
                  <c:v>146</c:v>
                </c:pt>
                <c:pt idx="7">
                  <c:v>218.9</c:v>
                </c:pt>
                <c:pt idx="8">
                  <c:v>623.79999999999995</c:v>
                </c:pt>
                <c:pt idx="9">
                  <c:v>141.69999999999999</c:v>
                </c:pt>
                <c:pt idx="10">
                  <c:v>252</c:v>
                </c:pt>
                <c:pt idx="11">
                  <c:v>1466.5</c:v>
                </c:pt>
              </c:numCache>
            </c:numRef>
          </c:val>
          <c:smooth val="0"/>
          <c:extLst>
            <c:ext xmlns:c16="http://schemas.microsoft.com/office/drawing/2014/chart" uri="{C3380CC4-5D6E-409C-BE32-E72D297353CC}">
              <c16:uniqueId val="{00000019-4FAD-486D-8203-71B3405E429F}"/>
            </c:ext>
          </c:extLst>
        </c:ser>
        <c:dLbls>
          <c:showLegendKey val="0"/>
          <c:showVal val="0"/>
          <c:showCatName val="0"/>
          <c:showSerName val="0"/>
          <c:showPercent val="0"/>
          <c:showBubbleSize val="0"/>
        </c:dLbls>
        <c:marker val="1"/>
        <c:smooth val="0"/>
        <c:axId val="301523160"/>
        <c:axId val="296844280"/>
      </c:lineChart>
      <c:catAx>
        <c:axId val="296843496"/>
        <c:scaling>
          <c:orientation val="minMax"/>
        </c:scaling>
        <c:delete val="0"/>
        <c:axPos val="b"/>
        <c:numFmt formatCode="General" sourceLinked="0"/>
        <c:majorTickMark val="out"/>
        <c:minorTickMark val="none"/>
        <c:tickLblPos val="nextTo"/>
        <c:txPr>
          <a:bodyPr/>
          <a:lstStyle/>
          <a:p>
            <a:pPr>
              <a:defRPr b="1">
                <a:latin typeface="Calibri Light" panose="020F0302020204030204" pitchFamily="34" charset="0"/>
                <a:cs typeface="Calibri Light" panose="020F0302020204030204" pitchFamily="34" charset="0"/>
              </a:defRPr>
            </a:pPr>
            <a:endParaRPr lang="en-US"/>
          </a:p>
        </c:txPr>
        <c:crossAx val="296843888"/>
        <c:crosses val="autoZero"/>
        <c:auto val="1"/>
        <c:lblAlgn val="ctr"/>
        <c:lblOffset val="100"/>
        <c:noMultiLvlLbl val="0"/>
      </c:catAx>
      <c:valAx>
        <c:axId val="296843888"/>
        <c:scaling>
          <c:orientation val="minMax"/>
        </c:scaling>
        <c:delete val="1"/>
        <c:axPos val="l"/>
        <c:numFmt formatCode="General" sourceLinked="1"/>
        <c:majorTickMark val="out"/>
        <c:minorTickMark val="none"/>
        <c:tickLblPos val="nextTo"/>
        <c:crossAx val="296843496"/>
        <c:crosses val="autoZero"/>
        <c:crossBetween val="between"/>
      </c:valAx>
      <c:valAx>
        <c:axId val="296844280"/>
        <c:scaling>
          <c:orientation val="minMax"/>
        </c:scaling>
        <c:delete val="1"/>
        <c:axPos val="r"/>
        <c:numFmt formatCode="General" sourceLinked="1"/>
        <c:majorTickMark val="out"/>
        <c:minorTickMark val="none"/>
        <c:tickLblPos val="nextTo"/>
        <c:crossAx val="301523160"/>
        <c:crosses val="max"/>
        <c:crossBetween val="between"/>
      </c:valAx>
      <c:catAx>
        <c:axId val="301523160"/>
        <c:scaling>
          <c:orientation val="minMax"/>
        </c:scaling>
        <c:delete val="1"/>
        <c:axPos val="b"/>
        <c:numFmt formatCode="General" sourceLinked="1"/>
        <c:majorTickMark val="out"/>
        <c:minorTickMark val="none"/>
        <c:tickLblPos val="nextTo"/>
        <c:crossAx val="296844280"/>
        <c:crosses val="autoZero"/>
        <c:auto val="1"/>
        <c:lblAlgn val="ctr"/>
        <c:lblOffset val="100"/>
        <c:noMultiLvlLbl val="0"/>
      </c:catAx>
    </c:plotArea>
    <c:legend>
      <c:legendPos val="r"/>
      <c:layout>
        <c:manualLayout>
          <c:xMode val="edge"/>
          <c:yMode val="edge"/>
          <c:x val="1.6576742340197171E-2"/>
          <c:y val="0.89949479405874044"/>
          <c:w val="0.98342319569604253"/>
          <c:h val="0.10050520594125975"/>
        </c:manualLayout>
      </c:layout>
      <c:overlay val="0"/>
      <c:txPr>
        <a:bodyPr/>
        <a:lstStyle/>
        <a:p>
          <a:pPr>
            <a:defRPr b="1">
              <a:latin typeface="Calibri Light" panose="020F0302020204030204" pitchFamily="34" charset="0"/>
              <a:cs typeface="Calibri Light" panose="020F0302020204030204" pitchFamily="34" charset="0"/>
            </a:defRPr>
          </a:pPr>
          <a:endParaRPr lang="en-US"/>
        </a:p>
      </c:txPr>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200">
                <a:latin typeface="+mj-lt"/>
                <a:cs typeface="Times New Roman" panose="02020603050405020304" pitchFamily="18" charset="0"/>
              </a:defRPr>
            </a:pPr>
            <a:r>
              <a:rPr lang="ru-RU" sz="1000">
                <a:latin typeface="+mj-lt"/>
                <a:cs typeface="Times New Roman" panose="02020603050405020304" pitchFamily="18" charset="0"/>
              </a:rPr>
              <a:t>Эволюция внешней торговли за </a:t>
            </a:r>
            <a:r>
              <a:rPr lang="ro-RO" sz="1000" baseline="0">
                <a:latin typeface="+mj-lt"/>
                <a:cs typeface="Times New Roman" panose="02020603050405020304" pitchFamily="18" charset="0"/>
              </a:rPr>
              <a:t>2019-2021</a:t>
            </a:r>
            <a:r>
              <a:rPr lang="ru-RU" sz="1000" baseline="0">
                <a:latin typeface="+mj-lt"/>
                <a:cs typeface="Times New Roman" panose="02020603050405020304" pitchFamily="18" charset="0"/>
              </a:rPr>
              <a:t> годы</a:t>
            </a:r>
            <a:endParaRPr lang="en-US" sz="1000">
              <a:latin typeface="+mj-lt"/>
              <a:cs typeface="Times New Roman" panose="02020603050405020304" pitchFamily="18" charset="0"/>
            </a:endParaRPr>
          </a:p>
        </c:rich>
      </c:tx>
      <c:layout>
        <c:manualLayout>
          <c:xMode val="edge"/>
          <c:yMode val="edge"/>
          <c:x val="0.28445665645960921"/>
          <c:y val="1.0897160582199953E-2"/>
        </c:manualLayout>
      </c:layout>
      <c:overlay val="1"/>
    </c:title>
    <c:autoTitleDeleted val="0"/>
    <c:plotArea>
      <c:layout>
        <c:manualLayout>
          <c:layoutTarget val="inner"/>
          <c:xMode val="edge"/>
          <c:yMode val="edge"/>
          <c:x val="8.64279267643185E-2"/>
          <c:y val="0.15831623319812296"/>
          <c:w val="0.90258098053660663"/>
          <c:h val="0.674712456325125"/>
        </c:manualLayout>
      </c:layout>
      <c:barChart>
        <c:barDir val="col"/>
        <c:grouping val="clustered"/>
        <c:varyColors val="0"/>
        <c:ser>
          <c:idx val="0"/>
          <c:order val="0"/>
          <c:tx>
            <c:strRef>
              <c:f>Sheet1!$A$2</c:f>
              <c:strCache>
                <c:ptCount val="1"/>
                <c:pt idx="0">
                  <c:v>Exporturi</c:v>
                </c:pt>
              </c:strCache>
            </c:strRef>
          </c:tx>
          <c:spPr>
            <a:solidFill>
              <a:srgbClr val="00CCFF"/>
            </a:solidFill>
          </c:spPr>
          <c:invertIfNegative val="0"/>
          <c:dLbls>
            <c:dLbl>
              <c:idx val="0"/>
              <c:layout>
                <c:manualLayout>
                  <c:x val="-1.4787430683918669E-2"/>
                  <c:y val="0"/>
                </c:manualLayout>
              </c:layout>
              <c:spPr/>
              <c:txPr>
                <a:bodyPr/>
                <a:lstStyle/>
                <a:p>
                  <a:pPr>
                    <a:defRPr sz="1100" b="1">
                      <a:latin typeface="+mj-lt"/>
                      <a:cs typeface="Times New Roman" pitchFamily="18"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5BD-4FB8-BD71-01079047770B}"/>
                </c:ext>
              </c:extLst>
            </c:dLbl>
            <c:dLbl>
              <c:idx val="1"/>
              <c:layout>
                <c:manualLayout>
                  <c:x val="-2.7110289587184273E-2"/>
                  <c:y val="6.41025802802797E-3"/>
                </c:manualLayout>
              </c:layout>
              <c:spPr/>
              <c:txPr>
                <a:bodyPr/>
                <a:lstStyle/>
                <a:p>
                  <a:pPr>
                    <a:defRPr sz="1100" b="1">
                      <a:latin typeface="+mj-lt"/>
                      <a:cs typeface="Times New Roman" pitchFamily="18"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5BD-4FB8-BD71-01079047770B}"/>
                </c:ext>
              </c:extLst>
            </c:dLbl>
            <c:dLbl>
              <c:idx val="2"/>
              <c:layout>
                <c:manualLayout>
                  <c:x val="-2.9574861367837248E-2"/>
                  <c:y val="5.876001978949359E-17"/>
                </c:manualLayout>
              </c:layout>
              <c:spPr/>
              <c:txPr>
                <a:bodyPr/>
                <a:lstStyle/>
                <a:p>
                  <a:pPr>
                    <a:defRPr sz="1100" b="1">
                      <a:latin typeface="+mj-lt"/>
                      <a:cs typeface="Times New Roman" pitchFamily="18"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5BD-4FB8-BD71-01079047770B}"/>
                </c:ext>
              </c:extLst>
            </c:dLbl>
            <c:spPr>
              <a:noFill/>
              <a:ln w="25400">
                <a:noFill/>
              </a:ln>
            </c:spPr>
            <c:txPr>
              <a:bodyPr/>
              <a:lstStyle/>
              <a:p>
                <a:pPr>
                  <a:defRPr sz="1100" b="1">
                    <a:latin typeface="+mj-lt"/>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General</c:formatCode>
                <c:ptCount val="3"/>
                <c:pt idx="0">
                  <c:v>2019</c:v>
                </c:pt>
                <c:pt idx="1">
                  <c:v>2020</c:v>
                </c:pt>
                <c:pt idx="2">
                  <c:v>2021</c:v>
                </c:pt>
              </c:numCache>
            </c:numRef>
          </c:cat>
          <c:val>
            <c:numRef>
              <c:f>Sheet1!$B$2:$D$2</c:f>
              <c:numCache>
                <c:formatCode>General</c:formatCode>
                <c:ptCount val="3"/>
                <c:pt idx="0">
                  <c:v>2779.2</c:v>
                </c:pt>
                <c:pt idx="1">
                  <c:v>2467.1</c:v>
                </c:pt>
                <c:pt idx="2">
                  <c:v>3144.4</c:v>
                </c:pt>
              </c:numCache>
            </c:numRef>
          </c:val>
          <c:extLst>
            <c:ext xmlns:c16="http://schemas.microsoft.com/office/drawing/2014/chart" uri="{C3380CC4-5D6E-409C-BE32-E72D297353CC}">
              <c16:uniqueId val="{00000003-75BD-4FB8-BD71-01079047770B}"/>
            </c:ext>
          </c:extLst>
        </c:ser>
        <c:ser>
          <c:idx val="1"/>
          <c:order val="1"/>
          <c:tx>
            <c:strRef>
              <c:f>Sheet1!$A$3</c:f>
              <c:strCache>
                <c:ptCount val="1"/>
                <c:pt idx="0">
                  <c:v>Importuri</c:v>
                </c:pt>
              </c:strCache>
            </c:strRef>
          </c:tx>
          <c:spPr>
            <a:solidFill>
              <a:srgbClr val="FF0000"/>
            </a:solidFill>
            <a:ln>
              <a:noFill/>
            </a:ln>
          </c:spPr>
          <c:invertIfNegative val="0"/>
          <c:dLbls>
            <c:dLbl>
              <c:idx val="0"/>
              <c:layout>
                <c:manualLayout>
                  <c:x val="-2.4645717806531114E-2"/>
                  <c:y val="0"/>
                </c:manualLayout>
              </c:layout>
              <c:spPr/>
              <c:txPr>
                <a:bodyPr rot="0"/>
                <a:lstStyle/>
                <a:p>
                  <a:pPr>
                    <a:defRPr sz="1100" b="1">
                      <a:latin typeface="+mj-lt"/>
                      <a:cs typeface="Times New Roman" panose="02020603050405020304" pitchFamily="18"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5BD-4FB8-BD71-01079047770B}"/>
                </c:ext>
              </c:extLst>
            </c:dLbl>
            <c:dLbl>
              <c:idx val="1"/>
              <c:layout>
                <c:manualLayout>
                  <c:x val="-1.4787430683918669E-2"/>
                  <c:y val="9.6153870420419545E-3"/>
                </c:manualLayout>
              </c:layout>
              <c:spPr/>
              <c:txPr>
                <a:bodyPr rot="0"/>
                <a:lstStyle/>
                <a:p>
                  <a:pPr>
                    <a:defRPr sz="1100" b="1">
                      <a:latin typeface="+mj-lt"/>
                      <a:cs typeface="Times New Roman" panose="02020603050405020304" pitchFamily="18"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5BD-4FB8-BD71-01079047770B}"/>
                </c:ext>
              </c:extLst>
            </c:dLbl>
            <c:dLbl>
              <c:idx val="2"/>
              <c:layout>
                <c:manualLayout>
                  <c:x val="-2.7110483647954358E-2"/>
                  <c:y val="-2.5237236330818777E-7"/>
                </c:manualLayout>
              </c:layout>
              <c:spPr/>
              <c:txPr>
                <a:bodyPr rot="0"/>
                <a:lstStyle/>
                <a:p>
                  <a:pPr>
                    <a:defRPr sz="1100" b="1">
                      <a:latin typeface="+mj-lt"/>
                      <a:cs typeface="Times New Roman" panose="02020603050405020304" pitchFamily="18" charset="0"/>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5BD-4FB8-BD71-01079047770B}"/>
                </c:ext>
              </c:extLst>
            </c:dLbl>
            <c:spPr>
              <a:noFill/>
              <a:ln w="25400">
                <a:noFill/>
              </a:ln>
            </c:spPr>
            <c:txPr>
              <a:bodyPr rot="0"/>
              <a:lstStyle/>
              <a:p>
                <a:pPr>
                  <a:defRPr sz="1100" b="1">
                    <a:latin typeface="+mj-lt"/>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General</c:formatCode>
                <c:ptCount val="3"/>
                <c:pt idx="0">
                  <c:v>2019</c:v>
                </c:pt>
                <c:pt idx="1">
                  <c:v>2020</c:v>
                </c:pt>
                <c:pt idx="2">
                  <c:v>2021</c:v>
                </c:pt>
              </c:numCache>
            </c:numRef>
          </c:cat>
          <c:val>
            <c:numRef>
              <c:f>Sheet1!$B$3:$D$3</c:f>
              <c:numCache>
                <c:formatCode>General</c:formatCode>
                <c:ptCount val="3"/>
                <c:pt idx="0">
                  <c:v>5842.5</c:v>
                </c:pt>
                <c:pt idx="1">
                  <c:v>5416</c:v>
                </c:pt>
                <c:pt idx="2">
                  <c:v>7176.6</c:v>
                </c:pt>
              </c:numCache>
            </c:numRef>
          </c:val>
          <c:extLst>
            <c:ext xmlns:c16="http://schemas.microsoft.com/office/drawing/2014/chart" uri="{C3380CC4-5D6E-409C-BE32-E72D297353CC}">
              <c16:uniqueId val="{00000007-75BD-4FB8-BD71-01079047770B}"/>
            </c:ext>
          </c:extLst>
        </c:ser>
        <c:ser>
          <c:idx val="3"/>
          <c:order val="3"/>
          <c:tx>
            <c:strRef>
              <c:f>Sheet1!$A$5</c:f>
              <c:strCache>
                <c:ptCount val="1"/>
                <c:pt idx="0">
                  <c:v>Total comerț exterior</c:v>
                </c:pt>
              </c:strCache>
            </c:strRef>
          </c:tx>
          <c:spPr>
            <a:solidFill>
              <a:srgbClr val="002060"/>
            </a:solidFill>
          </c:spPr>
          <c:invertIfNegative val="0"/>
          <c:dLbls>
            <c:dLbl>
              <c:idx val="0"/>
              <c:tx>
                <c:rich>
                  <a:bodyPr/>
                  <a:lstStyle/>
                  <a:p>
                    <a:pPr>
                      <a:defRPr sz="1100" b="1">
                        <a:latin typeface="+mj-lt"/>
                        <a:cs typeface="Times New Roman" pitchFamily="18" charset="0"/>
                      </a:defRPr>
                    </a:pPr>
                    <a:r>
                      <a:rPr lang="en-US" sz="1100" b="1">
                        <a:latin typeface="+mj-lt"/>
                        <a:cs typeface="Times New Roman" pitchFamily="18" charset="0"/>
                      </a:rPr>
                      <a:t>8621,7</a:t>
                    </a:r>
                  </a:p>
                </c:rich>
              </c:tx>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5BD-4FB8-BD71-01079047770B}"/>
                </c:ext>
              </c:extLst>
            </c:dLbl>
            <c:spPr>
              <a:noFill/>
              <a:ln w="25400">
                <a:noFill/>
              </a:ln>
            </c:spPr>
            <c:txPr>
              <a:bodyPr/>
              <a:lstStyle/>
              <a:p>
                <a:pPr>
                  <a:defRPr sz="1100" b="1">
                    <a:latin typeface="+mj-lt"/>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Sheet1!$B$5:$D$5</c:f>
              <c:numCache>
                <c:formatCode>General</c:formatCode>
                <c:ptCount val="3"/>
                <c:pt idx="0">
                  <c:v>8621.7000000000007</c:v>
                </c:pt>
                <c:pt idx="1">
                  <c:v>7883.1</c:v>
                </c:pt>
                <c:pt idx="2">
                  <c:v>10321</c:v>
                </c:pt>
              </c:numCache>
            </c:numRef>
          </c:val>
          <c:extLst>
            <c:ext xmlns:c16="http://schemas.microsoft.com/office/drawing/2014/chart" uri="{C3380CC4-5D6E-409C-BE32-E72D297353CC}">
              <c16:uniqueId val="{00000009-75BD-4FB8-BD71-01079047770B}"/>
            </c:ext>
          </c:extLst>
        </c:ser>
        <c:dLbls>
          <c:showLegendKey val="0"/>
          <c:showVal val="0"/>
          <c:showCatName val="0"/>
          <c:showSerName val="0"/>
          <c:showPercent val="0"/>
          <c:showBubbleSize val="0"/>
        </c:dLbls>
        <c:gapWidth val="150"/>
        <c:axId val="301523944"/>
        <c:axId val="301524336"/>
      </c:barChart>
      <c:lineChart>
        <c:grouping val="standard"/>
        <c:varyColors val="0"/>
        <c:ser>
          <c:idx val="2"/>
          <c:order val="2"/>
          <c:tx>
            <c:strRef>
              <c:f>Sheet1!$A$4</c:f>
              <c:strCache>
                <c:ptCount val="1"/>
                <c:pt idx="0">
                  <c:v>Balanța comerciala</c:v>
                </c:pt>
              </c:strCache>
            </c:strRef>
          </c:tx>
          <c:spPr>
            <a:ln w="28575">
              <a:solidFill>
                <a:srgbClr val="FFFF00"/>
              </a:solidFill>
            </a:ln>
          </c:spPr>
          <c:marker>
            <c:spPr>
              <a:solidFill>
                <a:schemeClr val="tx1"/>
              </a:solidFill>
              <a:ln w="28575">
                <a:solidFill>
                  <a:srgbClr val="FFFF00"/>
                </a:solidFill>
              </a:ln>
            </c:spPr>
          </c:marker>
          <c:dLbls>
            <c:dLbl>
              <c:idx val="0"/>
              <c:layout>
                <c:manualLayout>
                  <c:x val="-7.3937154503731728E-2"/>
                  <c:y val="6.3860743822116581E-2"/>
                </c:manualLayout>
              </c:layout>
              <c:spPr/>
              <c:txPr>
                <a:bodyPr/>
                <a:lstStyle/>
                <a:p>
                  <a:pPr>
                    <a:defRPr sz="1100" b="1">
                      <a:latin typeface="+mj-lt"/>
                      <a:cs typeface="Times New Roman" panose="02020603050405020304" pitchFamily="18" charset="0"/>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5BD-4FB8-BD71-01079047770B}"/>
                </c:ext>
              </c:extLst>
            </c:dLbl>
            <c:dLbl>
              <c:idx val="1"/>
              <c:layout>
                <c:manualLayout>
                  <c:x val="-5.9131267809400923E-2"/>
                  <c:y val="5.1040129417785039E-2"/>
                </c:manualLayout>
              </c:layout>
              <c:spPr/>
              <c:txPr>
                <a:bodyPr/>
                <a:lstStyle/>
                <a:p>
                  <a:pPr>
                    <a:defRPr sz="1100" b="1">
                      <a:latin typeface="+mj-lt"/>
                      <a:cs typeface="Times New Roman" panose="02020603050405020304" pitchFamily="18" charset="0"/>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5BD-4FB8-BD71-01079047770B}"/>
                </c:ext>
              </c:extLst>
            </c:dLbl>
            <c:dLbl>
              <c:idx val="2"/>
              <c:layout>
                <c:manualLayout>
                  <c:x val="-5.6685093134307932E-2"/>
                  <c:y val="5.7986489393743817E-2"/>
                </c:manualLayout>
              </c:layout>
              <c:spPr/>
              <c:txPr>
                <a:bodyPr/>
                <a:lstStyle/>
                <a:p>
                  <a:pPr>
                    <a:defRPr sz="1100" b="1">
                      <a:latin typeface="+mj-lt"/>
                      <a:cs typeface="Times New Roman" panose="02020603050405020304" pitchFamily="18" charset="0"/>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5BD-4FB8-BD71-01079047770B}"/>
                </c:ext>
              </c:extLst>
            </c:dLbl>
            <c:spPr>
              <a:noFill/>
              <a:ln w="25400">
                <a:noFill/>
              </a:ln>
            </c:spPr>
            <c:txPr>
              <a:bodyPr/>
              <a:lstStyle/>
              <a:p>
                <a:pPr>
                  <a:defRPr sz="1100" b="1">
                    <a:latin typeface="+mj-lt"/>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Sheet1!$B$4:$D$4</c:f>
              <c:numCache>
                <c:formatCode>General</c:formatCode>
                <c:ptCount val="3"/>
                <c:pt idx="0">
                  <c:v>-3063.3</c:v>
                </c:pt>
                <c:pt idx="1">
                  <c:v>-2948.9</c:v>
                </c:pt>
                <c:pt idx="2">
                  <c:v>-4042.2</c:v>
                </c:pt>
              </c:numCache>
            </c:numRef>
          </c:val>
          <c:smooth val="0"/>
          <c:extLst>
            <c:ext xmlns:c16="http://schemas.microsoft.com/office/drawing/2014/chart" uri="{C3380CC4-5D6E-409C-BE32-E72D297353CC}">
              <c16:uniqueId val="{0000000D-75BD-4FB8-BD71-01079047770B}"/>
            </c:ext>
          </c:extLst>
        </c:ser>
        <c:dLbls>
          <c:showLegendKey val="0"/>
          <c:showVal val="0"/>
          <c:showCatName val="0"/>
          <c:showSerName val="0"/>
          <c:showPercent val="0"/>
          <c:showBubbleSize val="0"/>
        </c:dLbls>
        <c:marker val="1"/>
        <c:smooth val="0"/>
        <c:axId val="301523944"/>
        <c:axId val="301524336"/>
      </c:lineChart>
      <c:catAx>
        <c:axId val="301523944"/>
        <c:scaling>
          <c:orientation val="minMax"/>
        </c:scaling>
        <c:delete val="0"/>
        <c:axPos val="b"/>
        <c:numFmt formatCode="General" sourceLinked="1"/>
        <c:majorTickMark val="out"/>
        <c:minorTickMark val="none"/>
        <c:tickLblPos val="nextTo"/>
        <c:crossAx val="301524336"/>
        <c:crosses val="autoZero"/>
        <c:auto val="1"/>
        <c:lblAlgn val="ctr"/>
        <c:lblOffset val="100"/>
        <c:noMultiLvlLbl val="0"/>
      </c:catAx>
      <c:valAx>
        <c:axId val="301524336"/>
        <c:scaling>
          <c:orientation val="minMax"/>
        </c:scaling>
        <c:delete val="0"/>
        <c:axPos val="l"/>
        <c:majorGridlines/>
        <c:title>
          <c:tx>
            <c:rich>
              <a:bodyPr rot="0" vert="horz"/>
              <a:lstStyle/>
              <a:p>
                <a:pPr>
                  <a:defRPr sz="900">
                    <a:latin typeface="+mj-lt"/>
                  </a:defRPr>
                </a:pPr>
                <a:r>
                  <a:rPr lang="ru-RU" sz="900">
                    <a:latin typeface="+mj-lt"/>
                  </a:rPr>
                  <a:t>млн. долларов США</a:t>
                </a:r>
                <a:endParaRPr lang="en-US" sz="900">
                  <a:latin typeface="+mj-lt"/>
                </a:endParaRPr>
              </a:p>
            </c:rich>
          </c:tx>
          <c:layout>
            <c:manualLayout>
              <c:xMode val="edge"/>
              <c:yMode val="edge"/>
              <c:x val="0.10808362496354622"/>
              <c:y val="5.5634685791664577E-2"/>
            </c:manualLayout>
          </c:layout>
          <c:overlay val="0"/>
        </c:title>
        <c:numFmt formatCode="General" sourceLinked="1"/>
        <c:majorTickMark val="out"/>
        <c:minorTickMark val="none"/>
        <c:tickLblPos val="nextTo"/>
        <c:crossAx val="301523944"/>
        <c:crosses val="autoZero"/>
        <c:crossBetween val="between"/>
      </c:valAx>
      <c:spPr>
        <a:noFill/>
        <a:ln w="25400">
          <a:noFill/>
        </a:ln>
      </c:spPr>
    </c:plotArea>
    <c:legend>
      <c:legendPos val="r"/>
      <c:layout>
        <c:manualLayout>
          <c:xMode val="edge"/>
          <c:yMode val="edge"/>
          <c:x val="0.10156641878098571"/>
          <c:y val="0.89290377317484992"/>
          <c:w val="0.83460095392775635"/>
          <c:h val="9.2024006553320964E-2"/>
        </c:manualLayout>
      </c:layout>
      <c:overlay val="0"/>
      <c:txPr>
        <a:bodyPr/>
        <a:lstStyle/>
        <a:p>
          <a:pPr>
            <a:defRPr sz="1000" b="1">
              <a:latin typeface="+mj-lt"/>
              <a:cs typeface="Times New Roman" panose="02020603050405020304" pitchFamily="18" charset="0"/>
            </a:defRPr>
          </a:pPr>
          <a:endParaRPr lang="en-US"/>
        </a:p>
      </c:txPr>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100" baseline="0">
                <a:solidFill>
                  <a:schemeClr val="dk1"/>
                </a:solidFill>
                <a:effectLst>
                  <a:outerShdw blurRad="50800" dist="38100" dir="5400000" algn="t" rotWithShape="0">
                    <a:prstClr val="black">
                      <a:alpha val="40000"/>
                    </a:prstClr>
                  </a:outerShdw>
                </a:effectLst>
                <a:latin typeface="Times New Roman" panose="02020603050405020304" pitchFamily="18" charset="0"/>
                <a:ea typeface="+mn-ea"/>
                <a:cs typeface="Times New Roman" panose="02020603050405020304" pitchFamily="18" charset="0"/>
              </a:defRPr>
            </a:pPr>
            <a:r>
              <a:rPr lang="ru-MD" sz="1000" b="1" i="0" u="none" strike="noStrike" baseline="0">
                <a:effectLst/>
                <a:latin typeface="+mj-lt"/>
              </a:rPr>
              <a:t>Структура задолженностей экономических агентов перед государственным бюджетом, по видам налогов и сборов, за </a:t>
            </a:r>
            <a:r>
              <a:rPr lang="ro-MD" sz="1000">
                <a:latin typeface="+mj-lt"/>
                <a:cs typeface="Times New Roman" panose="02020603050405020304" pitchFamily="18" charset="0"/>
              </a:rPr>
              <a:t>2019-2021 </a:t>
            </a:r>
            <a:r>
              <a:rPr lang="ru-RU" sz="1000">
                <a:latin typeface="+mj-lt"/>
                <a:cs typeface="Times New Roman" panose="02020603050405020304" pitchFamily="18" charset="0"/>
              </a:rPr>
              <a:t>годы </a:t>
            </a:r>
            <a:r>
              <a:rPr lang="ro-MD" sz="1000">
                <a:latin typeface="+mj-lt"/>
                <a:cs typeface="Times New Roman" panose="02020603050405020304" pitchFamily="18" charset="0"/>
              </a:rPr>
              <a:t>(</a:t>
            </a:r>
            <a:r>
              <a:rPr lang="ru-RU" sz="1000">
                <a:latin typeface="+mj-lt"/>
                <a:cs typeface="Times New Roman" panose="02020603050405020304" pitchFamily="18" charset="0"/>
              </a:rPr>
              <a:t>млн. леев</a:t>
            </a:r>
            <a:r>
              <a:rPr lang="ro-MD" sz="1000">
                <a:latin typeface="+mj-lt"/>
                <a:cs typeface="Times New Roman" panose="02020603050405020304" pitchFamily="18" charset="0"/>
              </a:rPr>
              <a:t>) </a:t>
            </a:r>
            <a:endParaRPr lang="ru-MD" sz="1000">
              <a:latin typeface="+mj-lt"/>
              <a:cs typeface="Times New Roman" panose="02020603050405020304" pitchFamily="18" charset="0"/>
            </a:endParaRPr>
          </a:p>
        </c:rich>
      </c:tx>
      <c:layout>
        <c:manualLayout>
          <c:xMode val="edge"/>
          <c:yMode val="edge"/>
          <c:x val="0.1095889196282897"/>
          <c:y val="0"/>
        </c:manualLayout>
      </c:layout>
      <c:overlay val="0"/>
      <c:spPr>
        <a:noFill/>
        <a:ln>
          <a:noFill/>
        </a:ln>
        <a:effectLst/>
      </c:spPr>
      <c:txPr>
        <a:bodyPr rot="0" spcFirstLastPara="1" vertOverflow="ellipsis" vert="horz" wrap="square" anchor="ctr" anchorCtr="1"/>
        <a:lstStyle/>
        <a:p>
          <a:pPr>
            <a:defRPr sz="1000" b="1" i="0" u="none" strike="noStrike" kern="1200" spc="100" baseline="0">
              <a:solidFill>
                <a:schemeClr val="dk1"/>
              </a:solidFill>
              <a:effectLst>
                <a:outerShdw blurRad="50800" dist="38100" dir="5400000" algn="t" rotWithShape="0">
                  <a:prstClr val="black">
                    <a:alpha val="40000"/>
                  </a:prstClr>
                </a:outerShdw>
              </a:effectLst>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7.5207668298219496E-2"/>
          <c:y val="0.18808777429467086"/>
          <c:w val="0.89026863066918749"/>
          <c:h val="0.61506265478570665"/>
        </c:manualLayout>
      </c:layout>
      <c:barChart>
        <c:barDir val="bar"/>
        <c:grouping val="stacked"/>
        <c:varyColors val="0"/>
        <c:ser>
          <c:idx val="0"/>
          <c:order val="0"/>
          <c:tx>
            <c:strRef>
              <c:f>Лист3!$A$2</c:f>
              <c:strCache>
                <c:ptCount val="1"/>
                <c:pt idx="0">
                  <c:v>TVA</c:v>
                </c:pt>
              </c:strCache>
            </c:strRef>
          </c:tx>
          <c:spPr>
            <a:solidFill>
              <a:srgbClr val="C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spPr>
              <a:solidFill>
                <a:srgbClr val="C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F4D6-487D-9B2F-13D60F330FE6}"/>
              </c:ext>
            </c:extLst>
          </c:dPt>
          <c:dPt>
            <c:idx val="1"/>
            <c:invertIfNegative val="0"/>
            <c:bubble3D val="0"/>
            <c:spPr>
              <a:solidFill>
                <a:srgbClr val="C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A-F4D6-487D-9B2F-13D60F330FE6}"/>
              </c:ext>
            </c:extLst>
          </c:dPt>
          <c:dPt>
            <c:idx val="2"/>
            <c:invertIfNegative val="0"/>
            <c:bubble3D val="0"/>
            <c:spPr>
              <a:solidFill>
                <a:srgbClr val="C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F4D6-487D-9B2F-13D60F330FE6}"/>
              </c:ext>
            </c:extLst>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j-lt"/>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Лист3!$B$1:$D$1</c:f>
              <c:numCache>
                <c:formatCode>General</c:formatCode>
                <c:ptCount val="3"/>
                <c:pt idx="0">
                  <c:v>2019</c:v>
                </c:pt>
                <c:pt idx="1">
                  <c:v>2020</c:v>
                </c:pt>
                <c:pt idx="2">
                  <c:v>2021</c:v>
                </c:pt>
              </c:numCache>
            </c:numRef>
          </c:cat>
          <c:val>
            <c:numRef>
              <c:f>Лист3!$B$2:$D$2</c:f>
              <c:numCache>
                <c:formatCode>General</c:formatCode>
                <c:ptCount val="3"/>
                <c:pt idx="0">
                  <c:v>327.5</c:v>
                </c:pt>
                <c:pt idx="1">
                  <c:v>275.60000000000002</c:v>
                </c:pt>
                <c:pt idx="2">
                  <c:v>230.3</c:v>
                </c:pt>
              </c:numCache>
            </c:numRef>
          </c:val>
          <c:extLst>
            <c:ext xmlns:c16="http://schemas.microsoft.com/office/drawing/2014/chart" uri="{C3380CC4-5D6E-409C-BE32-E72D297353CC}">
              <c16:uniqueId val="{00000000-F4D6-487D-9B2F-13D60F330FE6}"/>
            </c:ext>
          </c:extLst>
        </c:ser>
        <c:ser>
          <c:idx val="1"/>
          <c:order val="1"/>
          <c:tx>
            <c:strRef>
              <c:f>Лист3!$A$3</c:f>
              <c:strCache>
                <c:ptCount val="1"/>
                <c:pt idx="0">
                  <c:v>Taxa vamală </c:v>
                </c:pt>
              </c:strCache>
            </c:strRef>
          </c:tx>
          <c:spPr>
            <a:solidFill>
              <a:srgbClr val="0000FF"/>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j-lt"/>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Лист3!$B$1:$D$1</c:f>
              <c:numCache>
                <c:formatCode>General</c:formatCode>
                <c:ptCount val="3"/>
                <c:pt idx="0">
                  <c:v>2019</c:v>
                </c:pt>
                <c:pt idx="1">
                  <c:v>2020</c:v>
                </c:pt>
                <c:pt idx="2">
                  <c:v>2021</c:v>
                </c:pt>
              </c:numCache>
            </c:numRef>
          </c:cat>
          <c:val>
            <c:numRef>
              <c:f>Лист3!$B$3:$D$3</c:f>
              <c:numCache>
                <c:formatCode>General</c:formatCode>
                <c:ptCount val="3"/>
                <c:pt idx="0">
                  <c:v>53.1</c:v>
                </c:pt>
                <c:pt idx="1">
                  <c:v>39.700000000000003</c:v>
                </c:pt>
                <c:pt idx="2">
                  <c:v>25.6</c:v>
                </c:pt>
              </c:numCache>
            </c:numRef>
          </c:val>
          <c:extLst>
            <c:ext xmlns:c16="http://schemas.microsoft.com/office/drawing/2014/chart" uri="{C3380CC4-5D6E-409C-BE32-E72D297353CC}">
              <c16:uniqueId val="{00000001-F4D6-487D-9B2F-13D60F330FE6}"/>
            </c:ext>
          </c:extLst>
        </c:ser>
        <c:ser>
          <c:idx val="2"/>
          <c:order val="2"/>
          <c:tx>
            <c:strRef>
              <c:f>Лист3!$A$4</c:f>
              <c:strCache>
                <c:ptCount val="1"/>
                <c:pt idx="0">
                  <c:v>Amenzi </c:v>
                </c:pt>
              </c:strCache>
            </c:strRef>
          </c:tx>
          <c:spPr>
            <a:solidFill>
              <a:srgbClr val="FFFF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mj-lt"/>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Лист3!$B$1:$D$1</c:f>
              <c:numCache>
                <c:formatCode>General</c:formatCode>
                <c:ptCount val="3"/>
                <c:pt idx="0">
                  <c:v>2019</c:v>
                </c:pt>
                <c:pt idx="1">
                  <c:v>2020</c:v>
                </c:pt>
                <c:pt idx="2">
                  <c:v>2021</c:v>
                </c:pt>
              </c:numCache>
            </c:numRef>
          </c:cat>
          <c:val>
            <c:numRef>
              <c:f>Лист3!$B$4:$D$4</c:f>
              <c:numCache>
                <c:formatCode>General</c:formatCode>
                <c:ptCount val="3"/>
                <c:pt idx="0">
                  <c:v>57.3</c:v>
                </c:pt>
                <c:pt idx="1">
                  <c:v>60.2</c:v>
                </c:pt>
                <c:pt idx="2">
                  <c:v>62.3</c:v>
                </c:pt>
              </c:numCache>
            </c:numRef>
          </c:val>
          <c:extLst>
            <c:ext xmlns:c16="http://schemas.microsoft.com/office/drawing/2014/chart" uri="{C3380CC4-5D6E-409C-BE32-E72D297353CC}">
              <c16:uniqueId val="{00000002-F4D6-487D-9B2F-13D60F330FE6}"/>
            </c:ext>
          </c:extLst>
        </c:ser>
        <c:ser>
          <c:idx val="3"/>
          <c:order val="3"/>
          <c:tx>
            <c:strRef>
              <c:f>Лист3!$A$5</c:f>
              <c:strCache>
                <c:ptCount val="1"/>
                <c:pt idx="0">
                  <c:v>Accize</c:v>
                </c:pt>
              </c:strCache>
            </c:strRef>
          </c:tx>
          <c:spPr>
            <a:solidFill>
              <a:srgbClr val="00FF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0"/>
                  <c:y val="-9.40438871473354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418-4CA4-A977-30050D586F6A}"/>
                </c:ext>
              </c:extLst>
            </c:dLbl>
            <c:dLbl>
              <c:idx val="1"/>
              <c:layout>
                <c:manualLayout>
                  <c:x val="4.3975373790677225E-3"/>
                  <c:y val="-9.4043887147335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A07-45D1-9178-35456AFB4E54}"/>
                </c:ext>
              </c:extLst>
            </c:dLbl>
            <c:dLbl>
              <c:idx val="2"/>
              <c:layout>
                <c:manualLayout>
                  <c:x val="-2.1987686895338612E-3"/>
                  <c:y val="-7.83699059561128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418-4CA4-A977-30050D586F6A}"/>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dk1"/>
                    </a:solidFill>
                    <a:latin typeface="+mj-lt"/>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Лист3!$B$1:$D$1</c:f>
              <c:numCache>
                <c:formatCode>General</c:formatCode>
                <c:ptCount val="3"/>
                <c:pt idx="0">
                  <c:v>2019</c:v>
                </c:pt>
                <c:pt idx="1">
                  <c:v>2020</c:v>
                </c:pt>
                <c:pt idx="2">
                  <c:v>2021</c:v>
                </c:pt>
              </c:numCache>
            </c:numRef>
          </c:cat>
          <c:val>
            <c:numRef>
              <c:f>Лист3!$B$5:$D$5</c:f>
              <c:numCache>
                <c:formatCode>General</c:formatCode>
                <c:ptCount val="3"/>
                <c:pt idx="0">
                  <c:v>9.6999999999999993</c:v>
                </c:pt>
                <c:pt idx="1">
                  <c:v>7.2</c:v>
                </c:pt>
                <c:pt idx="2">
                  <c:v>7.2</c:v>
                </c:pt>
              </c:numCache>
            </c:numRef>
          </c:val>
          <c:extLst>
            <c:ext xmlns:c16="http://schemas.microsoft.com/office/drawing/2014/chart" uri="{C3380CC4-5D6E-409C-BE32-E72D297353CC}">
              <c16:uniqueId val="{00000003-F4D6-487D-9B2F-13D60F330FE6}"/>
            </c:ext>
          </c:extLst>
        </c:ser>
        <c:ser>
          <c:idx val="4"/>
          <c:order val="4"/>
          <c:tx>
            <c:strRef>
              <c:f>Лист3!$A$6</c:f>
              <c:strCache>
                <c:ptCount val="1"/>
                <c:pt idx="0">
                  <c:v>Proceduri vamale</c:v>
                </c:pt>
              </c:strCache>
            </c:strRef>
          </c:tx>
          <c:spPr>
            <a:solidFill>
              <a:schemeClr val="tx1"/>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Лист3!$B$1:$D$1</c:f>
              <c:numCache>
                <c:formatCode>General</c:formatCode>
                <c:ptCount val="3"/>
                <c:pt idx="0">
                  <c:v>2019</c:v>
                </c:pt>
                <c:pt idx="1">
                  <c:v>2020</c:v>
                </c:pt>
                <c:pt idx="2">
                  <c:v>2021</c:v>
                </c:pt>
              </c:numCache>
            </c:numRef>
          </c:cat>
          <c:val>
            <c:numRef>
              <c:f>Лист3!$B$6:$D$6</c:f>
              <c:numCache>
                <c:formatCode>General</c:formatCode>
                <c:ptCount val="3"/>
                <c:pt idx="0">
                  <c:v>2.4</c:v>
                </c:pt>
                <c:pt idx="1">
                  <c:v>2</c:v>
                </c:pt>
                <c:pt idx="2">
                  <c:v>1.7</c:v>
                </c:pt>
              </c:numCache>
            </c:numRef>
          </c:val>
          <c:extLst>
            <c:ext xmlns:c16="http://schemas.microsoft.com/office/drawing/2014/chart" uri="{C3380CC4-5D6E-409C-BE32-E72D297353CC}">
              <c16:uniqueId val="{00000004-F4D6-487D-9B2F-13D60F330FE6}"/>
            </c:ext>
          </c:extLst>
        </c:ser>
        <c:ser>
          <c:idx val="5"/>
          <c:order val="5"/>
          <c:tx>
            <c:strRef>
              <c:f>Лист3!$A$7</c:f>
              <c:strCache>
                <c:ptCount val="1"/>
                <c:pt idx="0">
                  <c:v>Contravaloare</c:v>
                </c:pt>
              </c:strCache>
            </c:strRef>
          </c:tx>
          <c:spPr>
            <a:solidFill>
              <a:srgbClr val="00B0F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2.1987686895338612E-2"/>
                  <c:y val="-1.04493207941484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4D6-487D-9B2F-13D60F330FE6}"/>
                </c:ext>
              </c:extLst>
            </c:dLbl>
            <c:dLbl>
              <c:idx val="1"/>
              <c:layout>
                <c:manualLayout>
                  <c:x val="2.4186455584872472E-2"/>
                  <c:y val="-5.224660397074285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4D6-487D-9B2F-13D60F330FE6}"/>
                </c:ext>
              </c:extLst>
            </c:dLbl>
            <c:dLbl>
              <c:idx val="2"/>
              <c:layout>
                <c:manualLayout>
                  <c:x val="2.418645558487230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4D6-487D-9B2F-13D60F330FE6}"/>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mj-lt"/>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Лист3!$B$1:$D$1</c:f>
              <c:numCache>
                <c:formatCode>General</c:formatCode>
                <c:ptCount val="3"/>
                <c:pt idx="0">
                  <c:v>2019</c:v>
                </c:pt>
                <c:pt idx="1">
                  <c:v>2020</c:v>
                </c:pt>
                <c:pt idx="2">
                  <c:v>2021</c:v>
                </c:pt>
              </c:numCache>
            </c:numRef>
          </c:cat>
          <c:val>
            <c:numRef>
              <c:f>Лист3!$B$7:$D$7</c:f>
              <c:numCache>
                <c:formatCode>General</c:formatCode>
                <c:ptCount val="3"/>
                <c:pt idx="0">
                  <c:v>7.1</c:v>
                </c:pt>
                <c:pt idx="1">
                  <c:v>14.5</c:v>
                </c:pt>
                <c:pt idx="2">
                  <c:v>16.899999999999999</c:v>
                </c:pt>
              </c:numCache>
            </c:numRef>
          </c:val>
          <c:extLst>
            <c:ext xmlns:c16="http://schemas.microsoft.com/office/drawing/2014/chart" uri="{C3380CC4-5D6E-409C-BE32-E72D297353CC}">
              <c16:uniqueId val="{00000008-F4D6-487D-9B2F-13D60F330FE6}"/>
            </c:ext>
          </c:extLst>
        </c:ser>
        <c:dLbls>
          <c:showLegendKey val="0"/>
          <c:showVal val="0"/>
          <c:showCatName val="0"/>
          <c:showSerName val="0"/>
          <c:showPercent val="0"/>
          <c:showBubbleSize val="0"/>
        </c:dLbls>
        <c:gapWidth val="75"/>
        <c:overlap val="100"/>
        <c:axId val="194058336"/>
        <c:axId val="194058728"/>
      </c:barChart>
      <c:catAx>
        <c:axId val="194058336"/>
        <c:scaling>
          <c:orientation val="minMax"/>
        </c:scaling>
        <c:delete val="0"/>
        <c:axPos val="l"/>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1" i="0" u="none" strike="noStrike" kern="1200" baseline="0">
                <a:solidFill>
                  <a:schemeClr val="dk1"/>
                </a:solidFill>
                <a:latin typeface="+mj-lt"/>
                <a:ea typeface="+mn-ea"/>
                <a:cs typeface="Times New Roman" panose="02020603050405020304" pitchFamily="18" charset="0"/>
              </a:defRPr>
            </a:pPr>
            <a:endParaRPr lang="en-US"/>
          </a:p>
        </c:txPr>
        <c:crossAx val="194058728"/>
        <c:crosses val="autoZero"/>
        <c:auto val="1"/>
        <c:lblAlgn val="ctr"/>
        <c:lblOffset val="100"/>
        <c:noMultiLvlLbl val="0"/>
      </c:catAx>
      <c:valAx>
        <c:axId val="194058728"/>
        <c:scaling>
          <c:orientation val="minMax"/>
        </c:scaling>
        <c:delete val="0"/>
        <c:axPos val="b"/>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en-US"/>
          </a:p>
        </c:txPr>
        <c:crossAx val="194058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dk1"/>
              </a:solidFill>
              <a:latin typeface="+mj-lt"/>
              <a:ea typeface="+mn-ea"/>
              <a:cs typeface="Times New Roman" panose="02020603050405020304" pitchFamily="18" charset="0"/>
            </a:defRPr>
          </a:pPr>
          <a:endParaRPr lang="en-US"/>
        </a:p>
      </c:txPr>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cap="all" spc="0" baseline="0">
                <a:solidFill>
                  <a:sysClr val="windowText" lastClr="000000"/>
                </a:solidFill>
                <a:latin typeface="+mj-lt"/>
                <a:ea typeface="+mn-ea"/>
                <a:cs typeface="+mn-cs"/>
              </a:defRPr>
            </a:pPr>
            <a:r>
              <a:rPr lang="ro-MD" sz="1100" b="1" i="0" u="none" strike="noStrike" cap="all" baseline="0">
                <a:effectLst/>
              </a:rPr>
              <a:t>Эволюция таможенных деклараций, </a:t>
            </a:r>
            <a:r>
              <a:rPr lang="ru-RU" sz="1100" b="1" i="0" u="none" strike="noStrike" cap="all" baseline="0">
                <a:effectLst/>
              </a:rPr>
              <a:t>по</a:t>
            </a:r>
            <a:r>
              <a:rPr lang="ro-MD" sz="1100" b="1" i="0" u="none" strike="noStrike" cap="all" baseline="0">
                <a:effectLst/>
              </a:rPr>
              <a:t> методам таможенного оформления</a:t>
            </a:r>
            <a:r>
              <a:rPr lang="ru-RU" sz="1100" b="1" i="0" u="none" strike="noStrike" cap="all" baseline="0">
                <a:effectLst/>
              </a:rPr>
              <a:t>, в</a:t>
            </a:r>
            <a:r>
              <a:rPr lang="ro-RO" sz="1100" b="1" i="0" u="none" strike="noStrike" cap="all" baseline="0">
                <a:effectLst/>
              </a:rPr>
              <a:t> </a:t>
            </a:r>
            <a:r>
              <a:rPr lang="en-US" sz="1100" b="1">
                <a:solidFill>
                  <a:sysClr val="windowText" lastClr="000000"/>
                </a:solidFill>
                <a:latin typeface="+mj-lt"/>
              </a:rPr>
              <a:t>20</a:t>
            </a:r>
            <a:r>
              <a:rPr lang="ro-MD" sz="1100" b="1">
                <a:solidFill>
                  <a:sysClr val="windowText" lastClr="000000"/>
                </a:solidFill>
                <a:latin typeface="+mj-lt"/>
              </a:rPr>
              <a:t>21</a:t>
            </a:r>
            <a:r>
              <a:rPr lang="ru-RU" sz="1100" b="1">
                <a:solidFill>
                  <a:sysClr val="windowText" lastClr="000000"/>
                </a:solidFill>
                <a:latin typeface="+mj-lt"/>
              </a:rPr>
              <a:t> году</a:t>
            </a:r>
            <a:endParaRPr lang="en-US" sz="1100" b="1">
              <a:solidFill>
                <a:sysClr val="windowText" lastClr="000000"/>
              </a:solidFill>
              <a:latin typeface="+mj-lt"/>
            </a:endParaRPr>
          </a:p>
        </c:rich>
      </c:tx>
      <c:layout>
        <c:manualLayout>
          <c:xMode val="edge"/>
          <c:yMode val="edge"/>
          <c:x val="0.16851810492325217"/>
          <c:y val="0"/>
        </c:manualLayout>
      </c:layout>
      <c:overlay val="0"/>
      <c:spPr>
        <a:noFill/>
        <a:ln>
          <a:noFill/>
        </a:ln>
        <a:effectLst/>
      </c:spPr>
      <c:txPr>
        <a:bodyPr rot="0" spcFirstLastPara="1" vertOverflow="ellipsis" vert="horz" wrap="square" anchor="ctr" anchorCtr="1"/>
        <a:lstStyle/>
        <a:p>
          <a:pPr>
            <a:defRPr sz="1100" b="1" i="0" u="none" strike="noStrike" kern="1200" cap="all" spc="0" baseline="0">
              <a:solidFill>
                <a:sysClr val="windowText" lastClr="000000"/>
              </a:solidFill>
              <a:latin typeface="+mj-lt"/>
              <a:ea typeface="+mn-ea"/>
              <a:cs typeface="+mn-cs"/>
            </a:defRPr>
          </a:pPr>
          <a:endParaRPr lang="en-US"/>
        </a:p>
      </c:txPr>
    </c:title>
    <c:autoTitleDeleted val="0"/>
    <c:plotArea>
      <c:layout>
        <c:manualLayout>
          <c:layoutTarget val="inner"/>
          <c:xMode val="edge"/>
          <c:yMode val="edge"/>
          <c:x val="8.7989838456248207E-2"/>
          <c:y val="0.22317783193767446"/>
          <c:w val="0.86702703021799898"/>
          <c:h val="0.58858423947006622"/>
        </c:manualLayout>
      </c:layout>
      <c:lineChart>
        <c:grouping val="stacked"/>
        <c:varyColors val="0"/>
        <c:ser>
          <c:idx val="0"/>
          <c:order val="0"/>
          <c:tx>
            <c:strRef>
              <c:f>Лист1!$B$1</c:f>
              <c:strCache>
                <c:ptCount val="1"/>
                <c:pt idx="0">
                  <c:v>2019</c:v>
                </c:pt>
              </c:strCache>
            </c:strRef>
          </c:tx>
          <c:spPr>
            <a:ln w="19050" cap="rnd" cmpd="sng" algn="ctr">
              <a:solidFill>
                <a:schemeClr val="accent1">
                  <a:shade val="95000"/>
                  <a:satMod val="105000"/>
                </a:schemeClr>
              </a:solidFill>
              <a:round/>
            </a:ln>
            <a:effectLst/>
          </c:spPr>
          <c:marker>
            <c:symbol val="circle"/>
            <c:size val="17"/>
            <c:spPr>
              <a:solidFill>
                <a:srgbClr val="00B0F0"/>
              </a:solidFill>
              <a:ln>
                <a:noFill/>
              </a:ln>
              <a:effectLst/>
            </c:spPr>
          </c:marker>
          <c:dLbls>
            <c:dLbl>
              <c:idx val="0"/>
              <c:tx>
                <c:rich>
                  <a:bodyPr/>
                  <a:lstStyle/>
                  <a:p>
                    <a:r>
                      <a:rPr lang="en-US"/>
                      <a:t>319772</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1F6-471F-9B12-EF896F30B276}"/>
                </c:ext>
              </c:extLst>
            </c:dLbl>
            <c:dLbl>
              <c:idx val="1"/>
              <c:tx>
                <c:rich>
                  <a:bodyPr/>
                  <a:lstStyle/>
                  <a:p>
                    <a:r>
                      <a:rPr lang="en-US"/>
                      <a:t>60</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1F6-471F-9B12-EF896F30B276}"/>
                </c:ext>
              </c:extLst>
            </c:dLbl>
            <c:dLbl>
              <c:idx val="2"/>
              <c:tx>
                <c:rich>
                  <a:bodyPr/>
                  <a:lstStyle/>
                  <a:p>
                    <a:r>
                      <a:rPr lang="en-US"/>
                      <a:t>33</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1F6-471F-9B12-EF896F30B276}"/>
                </c:ext>
              </c:extLst>
            </c:dLbl>
            <c:dLbl>
              <c:idx val="3"/>
              <c:tx>
                <c:rich>
                  <a:bodyPr/>
                  <a:lstStyle/>
                  <a:p>
                    <a:r>
                      <a:rPr lang="en-US"/>
                      <a:t>71</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1F6-471F-9B12-EF896F30B276}"/>
                </c:ext>
              </c:extLst>
            </c:dLbl>
            <c:dLbl>
              <c:idx val="4"/>
              <c:tx>
                <c:rich>
                  <a:bodyPr/>
                  <a:lstStyle/>
                  <a:p>
                    <a:r>
                      <a:rPr lang="en-US"/>
                      <a:t>40</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1F6-471F-9B12-EF896F30B276}"/>
                </c:ext>
              </c:extLst>
            </c:dLbl>
            <c:dLbl>
              <c:idx val="5"/>
              <c:tx>
                <c:rich>
                  <a:bodyPr/>
                  <a:lstStyle/>
                  <a:p>
                    <a:r>
                      <a:rPr lang="en-US"/>
                      <a:t>35577</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1F6-471F-9B12-EF896F30B276}"/>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j-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Лист1!$A$2:$A$7</c:f>
              <c:strCache>
                <c:ptCount val="6"/>
                <c:pt idx="0">
                  <c:v>metoda 1</c:v>
                </c:pt>
                <c:pt idx="1">
                  <c:v>metoda 2</c:v>
                </c:pt>
                <c:pt idx="2">
                  <c:v>metoda 3</c:v>
                </c:pt>
                <c:pt idx="3">
                  <c:v>metoda 4</c:v>
                </c:pt>
                <c:pt idx="4">
                  <c:v>metoda 5</c:v>
                </c:pt>
                <c:pt idx="5">
                  <c:v>metoda 6</c:v>
                </c:pt>
              </c:strCache>
            </c:strRef>
          </c:cat>
          <c:val>
            <c:numRef>
              <c:f>Лист1!$B$2:$B$7</c:f>
              <c:numCache>
                <c:formatCode>General</c:formatCode>
                <c:ptCount val="6"/>
                <c:pt idx="0">
                  <c:v>270717</c:v>
                </c:pt>
                <c:pt idx="1">
                  <c:v>186</c:v>
                </c:pt>
                <c:pt idx="2">
                  <c:v>26</c:v>
                </c:pt>
                <c:pt idx="3">
                  <c:v>47</c:v>
                </c:pt>
                <c:pt idx="4">
                  <c:v>41</c:v>
                </c:pt>
                <c:pt idx="5">
                  <c:v>38430</c:v>
                </c:pt>
              </c:numCache>
            </c:numRef>
          </c:val>
          <c:smooth val="0"/>
          <c:extLst>
            <c:ext xmlns:c16="http://schemas.microsoft.com/office/drawing/2014/chart" uri="{C3380CC4-5D6E-409C-BE32-E72D297353CC}">
              <c16:uniqueId val="{00000001-F1F6-471F-9B12-EF896F30B276}"/>
            </c:ext>
          </c:extLst>
        </c:ser>
        <c:dLbls>
          <c:dLblPos val="ctr"/>
          <c:showLegendKey val="0"/>
          <c:showVal val="1"/>
          <c:showCatName val="0"/>
          <c:showSerName val="0"/>
          <c:showPercent val="0"/>
          <c:showBubbleSize val="0"/>
        </c:dLbls>
        <c:marker val="1"/>
        <c:smooth val="0"/>
        <c:axId val="302074496"/>
        <c:axId val="296676768"/>
      </c:lineChart>
      <c:catAx>
        <c:axId val="302074496"/>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dk1">
                    <a:lumMod val="65000"/>
                    <a:lumOff val="35000"/>
                  </a:schemeClr>
                </a:solidFill>
                <a:latin typeface="+mj-lt"/>
                <a:ea typeface="+mn-ea"/>
                <a:cs typeface="+mn-cs"/>
              </a:defRPr>
            </a:pPr>
            <a:endParaRPr lang="en-US"/>
          </a:p>
        </c:txPr>
        <c:crossAx val="296676768"/>
        <c:crosses val="autoZero"/>
        <c:auto val="1"/>
        <c:lblAlgn val="ctr"/>
        <c:lblOffset val="100"/>
        <c:noMultiLvlLbl val="0"/>
      </c:catAx>
      <c:valAx>
        <c:axId val="296676768"/>
        <c:scaling>
          <c:orientation val="minMax"/>
        </c:scaling>
        <c:delete val="1"/>
        <c:axPos val="l"/>
        <c:numFmt formatCode="General" sourceLinked="1"/>
        <c:majorTickMark val="none"/>
        <c:minorTickMark val="none"/>
        <c:tickLblPos val="nextTo"/>
        <c:crossAx val="302074496"/>
        <c:crosses val="autoZero"/>
        <c:crossBetween val="between"/>
      </c:valAx>
      <c:spPr>
        <a:noFill/>
        <a:ln>
          <a:noFill/>
        </a:ln>
        <a:effectLst/>
      </c:spPr>
    </c:plotArea>
    <c:plotVisOnly val="1"/>
    <c:dispBlanksAs val="zero"/>
    <c:showDLblsOverMax val="0"/>
  </c:chart>
  <c:spPr>
    <a:no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title>
      <c:tx>
        <c:rich>
          <a:bodyPr/>
          <a:lstStyle/>
          <a:p>
            <a:pPr>
              <a:defRPr sz="1200"/>
            </a:pPr>
            <a:r>
              <a:rPr lang="ru-MD" sz="1200" b="1" i="0" u="none" strike="noStrike" baseline="0">
                <a:effectLst/>
                <a:latin typeface="+mj-lt"/>
              </a:rPr>
              <a:t>Количество и виды таможенных складов, которые были разрешены Таможенной службой в 2021 годуКоличество и виды таможенных складов, которые были разрешены Таможенной службой в 2021 году</a:t>
            </a:r>
            <a:endParaRPr lang="ru-RU" sz="1200" b="1">
              <a:latin typeface="Calibri Light" panose="020F0302020204030204" pitchFamily="34" charset="0"/>
              <a:cs typeface="Calibri Light" panose="020F0302020204030204" pitchFamily="34" charset="0"/>
            </a:endParaRPr>
          </a:p>
        </c:rich>
      </c:tx>
      <c:layout>
        <c:manualLayout>
          <c:xMode val="edge"/>
          <c:yMode val="edge"/>
          <c:x val="9.5536023113389906E-2"/>
          <c:y val="3.3871965764327456E-3"/>
        </c:manualLayout>
      </c:layout>
      <c:overlay val="0"/>
    </c:title>
    <c:autoTitleDeleted val="0"/>
    <c:plotArea>
      <c:layout>
        <c:manualLayout>
          <c:layoutTarget val="inner"/>
          <c:xMode val="edge"/>
          <c:yMode val="edge"/>
          <c:x val="0.14332560174164277"/>
          <c:y val="0.22374111464760466"/>
          <c:w val="0.41483346558424383"/>
          <c:h val="0.76557220266965453"/>
        </c:manualLayout>
      </c:layout>
      <c:doughnutChart>
        <c:varyColors val="1"/>
        <c:ser>
          <c:idx val="0"/>
          <c:order val="0"/>
          <c:explosion val="4"/>
          <c:dPt>
            <c:idx val="0"/>
            <c:bubble3D val="0"/>
            <c:spPr>
              <a:solidFill>
                <a:srgbClr val="002060"/>
              </a:solidFill>
            </c:spPr>
            <c:extLst>
              <c:ext xmlns:c16="http://schemas.microsoft.com/office/drawing/2014/chart" uri="{C3380CC4-5D6E-409C-BE32-E72D297353CC}">
                <c16:uniqueId val="{00000001-BE0B-4C5E-9492-9399CBC48D63}"/>
              </c:ext>
            </c:extLst>
          </c:dPt>
          <c:dPt>
            <c:idx val="1"/>
            <c:bubble3D val="0"/>
            <c:spPr>
              <a:solidFill>
                <a:srgbClr val="0000FF"/>
              </a:solidFill>
            </c:spPr>
            <c:extLst>
              <c:ext xmlns:c16="http://schemas.microsoft.com/office/drawing/2014/chart" uri="{C3380CC4-5D6E-409C-BE32-E72D297353CC}">
                <c16:uniqueId val="{00000003-BE0B-4C5E-9492-9399CBC48D63}"/>
              </c:ext>
            </c:extLst>
          </c:dPt>
          <c:dPt>
            <c:idx val="2"/>
            <c:bubble3D val="0"/>
            <c:spPr>
              <a:solidFill>
                <a:srgbClr val="FF0000"/>
              </a:solidFill>
            </c:spPr>
            <c:extLst>
              <c:ext xmlns:c16="http://schemas.microsoft.com/office/drawing/2014/chart" uri="{C3380CC4-5D6E-409C-BE32-E72D297353CC}">
                <c16:uniqueId val="{00000005-BE0B-4C5E-9492-9399CBC48D63}"/>
              </c:ext>
            </c:extLst>
          </c:dPt>
          <c:dLbls>
            <c:dLbl>
              <c:idx val="0"/>
              <c:spPr>
                <a:solidFill>
                  <a:srgbClr val="FFFF00"/>
                </a:solidFill>
              </c:spPr>
              <c:txPr>
                <a:bodyPr/>
                <a:lstStyle/>
                <a:p>
                  <a:pPr>
                    <a:defRPr sz="1200"/>
                  </a:pPr>
                  <a:endParaRPr lang="en-US"/>
                </a:p>
              </c:txPr>
              <c:showLegendKey val="0"/>
              <c:showVal val="0"/>
              <c:showCatName val="0"/>
              <c:showSerName val="0"/>
              <c:showPercent val="1"/>
              <c:showBubbleSize val="0"/>
              <c:extLst>
                <c:ext xmlns:c16="http://schemas.microsoft.com/office/drawing/2014/chart" uri="{C3380CC4-5D6E-409C-BE32-E72D297353CC}">
                  <c16:uniqueId val="{00000001-BE0B-4C5E-9492-9399CBC48D63}"/>
                </c:ext>
              </c:extLst>
            </c:dLbl>
            <c:dLbl>
              <c:idx val="1"/>
              <c:layout>
                <c:manualLayout>
                  <c:x val="0"/>
                  <c:y val="4.2918438820197274E-2"/>
                </c:manualLayout>
              </c:layout>
              <c:spPr>
                <a:solidFill>
                  <a:srgbClr val="FFFF00"/>
                </a:solidFill>
              </c:spPr>
              <c:txPr>
                <a:bodyPr/>
                <a:lstStyle/>
                <a:p>
                  <a:pPr>
                    <a:defRPr sz="1200"/>
                  </a:pPr>
                  <a:endParaRPr lang="en-US"/>
                </a:p>
              </c:txP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E0B-4C5E-9492-9399CBC48D63}"/>
                </c:ext>
              </c:extLst>
            </c:dLbl>
            <c:dLbl>
              <c:idx val="2"/>
              <c:spPr>
                <a:solidFill>
                  <a:srgbClr val="FFFF00"/>
                </a:solidFill>
              </c:spPr>
              <c:txPr>
                <a:bodyPr/>
                <a:lstStyle/>
                <a:p>
                  <a:pPr>
                    <a:defRPr sz="1200"/>
                  </a:pPr>
                  <a:endParaRPr lang="en-US"/>
                </a:p>
              </c:txPr>
              <c:showLegendKey val="0"/>
              <c:showVal val="0"/>
              <c:showCatName val="0"/>
              <c:showSerName val="0"/>
              <c:showPercent val="1"/>
              <c:showBubbleSize val="0"/>
              <c:extLst>
                <c:ext xmlns:c16="http://schemas.microsoft.com/office/drawing/2014/chart" uri="{C3380CC4-5D6E-409C-BE32-E72D297353CC}">
                  <c16:uniqueId val="{00000005-BE0B-4C5E-9492-9399CBC48D63}"/>
                </c:ext>
              </c:extLst>
            </c:dLbl>
            <c:spPr>
              <a:solidFill>
                <a:srgbClr val="FFFF00"/>
              </a:solidFill>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3"/>
                <c:pt idx="0">
                  <c:v>Antrepozite de tip A (8)</c:v>
                </c:pt>
                <c:pt idx="1">
                  <c:v>Antrepozite de tip B (29)</c:v>
                </c:pt>
                <c:pt idx="2">
                  <c:v>Antrepozite de tip C (11)</c:v>
                </c:pt>
              </c:strCache>
            </c:strRef>
          </c:cat>
          <c:val>
            <c:numRef>
              <c:f>Sheet1!$B$2:$B$4</c:f>
              <c:numCache>
                <c:formatCode>General</c:formatCode>
                <c:ptCount val="3"/>
                <c:pt idx="0">
                  <c:v>8</c:v>
                </c:pt>
                <c:pt idx="1">
                  <c:v>29</c:v>
                </c:pt>
                <c:pt idx="2">
                  <c:v>11</c:v>
                </c:pt>
              </c:numCache>
            </c:numRef>
          </c:val>
          <c:extLst>
            <c:ext xmlns:c16="http://schemas.microsoft.com/office/drawing/2014/chart" uri="{C3380CC4-5D6E-409C-BE32-E72D297353CC}">
              <c16:uniqueId val="{00000006-BE0B-4C5E-9492-9399CBC48D63}"/>
            </c:ext>
          </c:extLst>
        </c:ser>
        <c:dLbls>
          <c:showLegendKey val="0"/>
          <c:showVal val="0"/>
          <c:showCatName val="0"/>
          <c:showSerName val="0"/>
          <c:showPercent val="1"/>
          <c:showBubbleSize val="0"/>
          <c:showLeaderLines val="1"/>
        </c:dLbls>
        <c:firstSliceAng val="288"/>
        <c:holeSize val="50"/>
      </c:doughnutChart>
    </c:plotArea>
    <c:legend>
      <c:legendPos val="r"/>
      <c:layout>
        <c:manualLayout>
          <c:xMode val="edge"/>
          <c:yMode val="edge"/>
          <c:x val="0.55963681865348225"/>
          <c:y val="0.47631506715064748"/>
          <c:w val="0.41752609412195574"/>
          <c:h val="0.27604666732502475"/>
        </c:manualLayout>
      </c:layout>
      <c:overlay val="0"/>
      <c:txPr>
        <a:bodyPr/>
        <a:lstStyle/>
        <a:p>
          <a:pPr>
            <a:defRPr sz="1100" b="1">
              <a:latin typeface="+mj-lt"/>
              <a:cs typeface="Calibri Light" panose="020F0302020204030204" pitchFamily="34" charset="0"/>
            </a:defRPr>
          </a:pPr>
          <a:endParaRPr lang="en-US"/>
        </a:p>
      </c:txPr>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0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30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234">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00" kern="120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cs:styleClr val="auto"/>
    </cs:fontRef>
    <cs:spPr/>
    <cs:defRPr sz="900" b="1" i="0" u="none" strike="noStrike" kern="1200" baseline="0"/>
  </cs:dataLabel>
  <cs:dataLabelCallout>
    <cs:lnRef idx="0"/>
    <cs:fillRef idx="0"/>
    <cs:effectRef idx="0"/>
    <cs:fontRef idx="minor">
      <a:schemeClr val="dk1">
        <a:lumMod val="65000"/>
        <a:lumOff val="35000"/>
      </a:schemeClr>
    </cs:fontRef>
    <cs:spPr>
      <a:solidFill>
        <a:schemeClr val="lt1"/>
      </a:solidFill>
      <a:ln w="9575">
        <a:solidFill>
          <a:schemeClr val="lt1">
            <a:lumMod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19050" cap="rnd" cmpd="sng" algn="ctr">
        <a:solidFill>
          <a:schemeClr val="phClr">
            <a:shade val="95000"/>
            <a:satMod val="105000"/>
          </a:schemeClr>
        </a:solidFill>
        <a:round/>
      </a:ln>
    </cs:spPr>
  </cs:dataPointLine>
  <cs:dataPointMarker>
    <cs:lnRef idx="0"/>
    <cs:fillRef idx="0"/>
    <cs:effectRef idx="0"/>
    <cs:fontRef idx="minor">
      <a:schemeClr val="dk1"/>
    </cs:fontRef>
    <cs:spPr>
      <a:solidFill>
        <a:schemeClr val="lt1"/>
      </a:solidFill>
    </cs:spPr>
  </cs:dataPointMarker>
  <cs:dataPointMarkerLayout symbol="circle" size="17"/>
  <cs:dataPointWireframe>
    <cs:lnRef idx="0">
      <cs:styleClr val="auto"/>
    </cs:lnRef>
    <cs:fillRef idx="1"/>
    <cs:effectRef idx="0"/>
    <cs:fontRef idx="minor">
      <a:schemeClr val="dk1"/>
    </cs:fontRef>
    <cs:spPr>
      <a:ln w="9525">
        <a:solidFill>
          <a:schemeClr val="phClr"/>
        </a:solidFill>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35000"/>
            <a:lumOff val="65000"/>
          </a:schemeClr>
        </a:solidFill>
      </a:ln>
    </cs:spPr>
  </cs:dropLine>
  <cs:errorBar>
    <cs:lnRef idx="0"/>
    <cs:fillRef idx="0"/>
    <cs:effectRef idx="0"/>
    <cs:fontRef idx="minor">
      <a:schemeClr val="dk1"/>
    </cs:fontRef>
    <cs:spPr>
      <a:ln w="9525">
        <a:solidFill>
          <a:schemeClr val="dk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ln>
    </cs:spPr>
  </cs:seriesLine>
  <cs:title>
    <cs:lnRef idx="0"/>
    <cs:fillRef idx="0"/>
    <cs:effectRef idx="0"/>
    <cs:fontRef idx="minor">
      <a:schemeClr val="dk1"/>
    </cs:fontRef>
    <cs:defRPr sz="1440" b="0" kern="1200" cap="all" spc="0" baseline="0">
      <a:gradFill>
        <a:gsLst>
          <a:gs pos="0">
            <a:schemeClr val="dk1">
              <a:lumMod val="50000"/>
              <a:lumOff val="50000"/>
            </a:schemeClr>
          </a:gs>
          <a:gs pos="100000">
            <a:schemeClr val="dk1">
              <a:lumMod val="85000"/>
              <a:lumOff val="15000"/>
            </a:schemeClr>
          </a:gs>
        </a:gsLst>
        <a:lin ang="5400000" scaled="0"/>
      </a:gradFill>
    </cs:defRPr>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50000"/>
            <a:lumOff val="50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884FF-347E-41DC-9704-4C9FBE44D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21851</Words>
  <Characters>124556</Characters>
  <Application>Microsoft Office Word</Application>
  <DocSecurity>0</DocSecurity>
  <Lines>1037</Lines>
  <Paragraphs>292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Negru Uliana</dc:creator>
  <cp:keywords/>
  <dc:description/>
  <cp:lastModifiedBy>Paiu Eugenia</cp:lastModifiedBy>
  <cp:revision>2</cp:revision>
  <cp:lastPrinted>2022-09-16T07:20:00Z</cp:lastPrinted>
  <dcterms:created xsi:type="dcterms:W3CDTF">2023-02-12T20:16:00Z</dcterms:created>
  <dcterms:modified xsi:type="dcterms:W3CDTF">2023-02-12T20:16:00Z</dcterms:modified>
</cp:coreProperties>
</file>